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7EF3" w14:textId="77777777" w:rsidR="0073641D" w:rsidRDefault="0073641D" w:rsidP="0073641D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CA65B0A" wp14:editId="54FF63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BEE3F" w14:textId="77777777" w:rsidR="0073641D" w:rsidRDefault="0073641D" w:rsidP="0073641D">
      <w:pPr>
        <w:rPr>
          <w:sz w:val="19"/>
        </w:rPr>
      </w:pPr>
    </w:p>
    <w:p w14:paraId="178FA2AF" w14:textId="77777777" w:rsidR="0073641D" w:rsidRPr="00400E4D" w:rsidRDefault="0073641D" w:rsidP="0073641D">
      <w:pPr>
        <w:pStyle w:val="ShortT"/>
      </w:pPr>
      <w:r w:rsidRPr="00400E4D">
        <w:t>So</w:t>
      </w:r>
      <w:r>
        <w:t xml:space="preserve">cial Security (Administration) (Weekly Payments </w:t>
      </w:r>
      <w:r>
        <w:softHyphen/>
        <w:t>– Class of Persons)</w:t>
      </w:r>
      <w:r w:rsidRPr="00400E4D">
        <w:t xml:space="preserve"> Specification </w:t>
      </w:r>
      <w:r>
        <w:t>2020</w:t>
      </w:r>
      <w:r w:rsidRPr="00400E4D">
        <w:t xml:space="preserve"> </w:t>
      </w:r>
    </w:p>
    <w:p w14:paraId="7C60C519" w14:textId="77777777" w:rsidR="0073641D" w:rsidRDefault="0073641D" w:rsidP="0073641D">
      <w:pPr>
        <w:rPr>
          <w:lang w:eastAsia="en-AU"/>
        </w:rPr>
      </w:pPr>
    </w:p>
    <w:p w14:paraId="277652C2" w14:textId="77777777" w:rsidR="0073641D" w:rsidRDefault="0073641D" w:rsidP="0073641D">
      <w:pPr>
        <w:rPr>
          <w:lang w:eastAsia="en-AU"/>
        </w:rPr>
      </w:pPr>
    </w:p>
    <w:p w14:paraId="0151ADEE" w14:textId="77777777" w:rsidR="0073641D" w:rsidRPr="00A55A0B" w:rsidRDefault="0073641D" w:rsidP="0073641D">
      <w:pPr>
        <w:rPr>
          <w:lang w:eastAsia="en-AU"/>
        </w:rPr>
      </w:pPr>
    </w:p>
    <w:p w14:paraId="358A2195" w14:textId="77777777" w:rsidR="0073641D" w:rsidRPr="00DA182D" w:rsidRDefault="0073641D" w:rsidP="0073641D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Anne Ruston</w:t>
      </w:r>
      <w:r w:rsidRPr="00DA182D">
        <w:rPr>
          <w:szCs w:val="22"/>
        </w:rPr>
        <w:t xml:space="preserve">, </w:t>
      </w:r>
      <w:r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Specification</w:t>
      </w:r>
      <w:r w:rsidRPr="00DA182D">
        <w:rPr>
          <w:szCs w:val="22"/>
        </w:rPr>
        <w:t>.</w:t>
      </w:r>
    </w:p>
    <w:p w14:paraId="0F372BB9" w14:textId="177578B9" w:rsidR="0073641D" w:rsidRPr="00001A63" w:rsidRDefault="0073641D" w:rsidP="0073641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 xml:space="preserve">   </w:t>
      </w:r>
      <w:r w:rsidR="00834CEF">
        <w:rPr>
          <w:szCs w:val="22"/>
        </w:rPr>
        <w:t xml:space="preserve">24 </w:t>
      </w:r>
      <w:bookmarkStart w:id="0" w:name="_GoBack"/>
      <w:bookmarkEnd w:id="0"/>
      <w:r>
        <w:rPr>
          <w:szCs w:val="22"/>
        </w:rPr>
        <w:t>September 2020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29507F0" w14:textId="77777777" w:rsidR="0073641D" w:rsidRPr="00D22C57" w:rsidRDefault="0073641D" w:rsidP="0073641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Anne Ruston</w:t>
      </w:r>
    </w:p>
    <w:p w14:paraId="3A5E50B7" w14:textId="77777777" w:rsidR="0073641D" w:rsidRPr="000D3FB9" w:rsidRDefault="0073641D" w:rsidP="0073641D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4F4B3DBE" w14:textId="77777777" w:rsidR="0073641D" w:rsidRDefault="0073641D" w:rsidP="0073641D"/>
    <w:p w14:paraId="148C83E2" w14:textId="77777777" w:rsidR="0073641D" w:rsidRDefault="0073641D" w:rsidP="0073641D">
      <w:pPr>
        <w:sectPr w:rsidR="0073641D" w:rsidSect="007364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AC311E" w14:textId="77777777" w:rsidR="0073641D" w:rsidRDefault="0073641D" w:rsidP="0073641D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1E538B3" w14:textId="344CC3D8" w:rsidR="0073641D" w:rsidRDefault="0073641D" w:rsidP="00736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_Toc49761324 \h </w:instrText>
      </w:r>
      <w:r>
        <w:rPr>
          <w:noProof/>
        </w:rPr>
      </w:r>
      <w:r>
        <w:rPr>
          <w:noProof/>
        </w:rPr>
        <w:fldChar w:fldCharType="separate"/>
      </w:r>
      <w:r w:rsidR="00DC4A6C">
        <w:rPr>
          <w:noProof/>
        </w:rPr>
        <w:t>1</w:t>
      </w:r>
      <w:r>
        <w:rPr>
          <w:noProof/>
        </w:rPr>
        <w:fldChar w:fldCharType="end"/>
      </w:r>
    </w:p>
    <w:p w14:paraId="51BCD49D" w14:textId="69D89DF5" w:rsidR="0073641D" w:rsidRDefault="0073641D" w:rsidP="00736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_Toc49761325 \h </w:instrText>
      </w:r>
      <w:r>
        <w:rPr>
          <w:noProof/>
        </w:rPr>
      </w:r>
      <w:r>
        <w:rPr>
          <w:noProof/>
        </w:rPr>
        <w:fldChar w:fldCharType="separate"/>
      </w:r>
      <w:r w:rsidR="00DC4A6C">
        <w:rPr>
          <w:noProof/>
        </w:rPr>
        <w:t>1</w:t>
      </w:r>
      <w:r>
        <w:rPr>
          <w:noProof/>
        </w:rPr>
        <w:fldChar w:fldCharType="end"/>
      </w:r>
    </w:p>
    <w:p w14:paraId="54355D9C" w14:textId="025409F4" w:rsidR="0073641D" w:rsidRDefault="0073641D" w:rsidP="00736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_Toc49761326 \h </w:instrText>
      </w:r>
      <w:r>
        <w:rPr>
          <w:noProof/>
        </w:rPr>
      </w:r>
      <w:r>
        <w:rPr>
          <w:noProof/>
        </w:rPr>
        <w:fldChar w:fldCharType="separate"/>
      </w:r>
      <w:r w:rsidR="00DC4A6C">
        <w:rPr>
          <w:noProof/>
        </w:rPr>
        <w:t>1</w:t>
      </w:r>
      <w:r>
        <w:rPr>
          <w:noProof/>
        </w:rPr>
        <w:fldChar w:fldCharType="end"/>
      </w:r>
    </w:p>
    <w:p w14:paraId="1E54FA99" w14:textId="621970C9" w:rsidR="0073641D" w:rsidRDefault="0073641D" w:rsidP="00736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_Toc49761327 \h </w:instrText>
      </w:r>
      <w:r>
        <w:rPr>
          <w:noProof/>
        </w:rPr>
      </w:r>
      <w:r>
        <w:rPr>
          <w:noProof/>
        </w:rPr>
        <w:fldChar w:fldCharType="separate"/>
      </w:r>
      <w:r w:rsidR="00DC4A6C">
        <w:rPr>
          <w:noProof/>
        </w:rPr>
        <w:t>1</w:t>
      </w:r>
      <w:r>
        <w:rPr>
          <w:noProof/>
        </w:rPr>
        <w:fldChar w:fldCharType="end"/>
      </w:r>
    </w:p>
    <w:p w14:paraId="3D1E79A7" w14:textId="3BC968FC" w:rsidR="0073641D" w:rsidRDefault="0073641D" w:rsidP="00736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_Toc49761328 \h </w:instrText>
      </w:r>
      <w:r>
        <w:rPr>
          <w:noProof/>
        </w:rPr>
      </w:r>
      <w:r>
        <w:rPr>
          <w:noProof/>
        </w:rPr>
        <w:fldChar w:fldCharType="separate"/>
      </w:r>
      <w:r w:rsidR="00DC4A6C">
        <w:rPr>
          <w:noProof/>
        </w:rPr>
        <w:t>1</w:t>
      </w:r>
      <w:r>
        <w:rPr>
          <w:noProof/>
        </w:rPr>
        <w:fldChar w:fldCharType="end"/>
      </w:r>
    </w:p>
    <w:p w14:paraId="552DCCBD" w14:textId="3C32C791" w:rsidR="0073641D" w:rsidRDefault="0073641D" w:rsidP="00736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 of persons for period payments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_Toc49761329 \h </w:instrText>
      </w:r>
      <w:r>
        <w:rPr>
          <w:noProof/>
        </w:rPr>
      </w:r>
      <w:r>
        <w:rPr>
          <w:noProof/>
        </w:rPr>
        <w:fldChar w:fldCharType="separate"/>
      </w:r>
      <w:r w:rsidR="00DC4A6C">
        <w:rPr>
          <w:noProof/>
        </w:rPr>
        <w:t>1</w:t>
      </w:r>
      <w:r>
        <w:rPr>
          <w:noProof/>
        </w:rPr>
        <w:fldChar w:fldCharType="end"/>
      </w:r>
    </w:p>
    <w:p w14:paraId="59145D07" w14:textId="5157E94C" w:rsidR="0073641D" w:rsidRDefault="0073641D" w:rsidP="007364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0A38F9">
        <w:rPr>
          <w:b w:val="0"/>
          <w:noProof/>
        </w:rPr>
        <w:fldChar w:fldCharType="begin"/>
      </w:r>
      <w:r w:rsidRPr="000A38F9">
        <w:rPr>
          <w:b w:val="0"/>
          <w:noProof/>
        </w:rPr>
        <w:instrText xml:space="preserve"> PAGEREF _Toc49761330 \h </w:instrText>
      </w:r>
      <w:r w:rsidRPr="000A38F9">
        <w:rPr>
          <w:b w:val="0"/>
          <w:noProof/>
        </w:rPr>
      </w:r>
      <w:r w:rsidRPr="000A38F9">
        <w:rPr>
          <w:b w:val="0"/>
          <w:noProof/>
        </w:rPr>
        <w:fldChar w:fldCharType="separate"/>
      </w:r>
      <w:r w:rsidR="00DC4A6C">
        <w:rPr>
          <w:b w:val="0"/>
          <w:noProof/>
        </w:rPr>
        <w:t>3</w:t>
      </w:r>
      <w:r w:rsidRPr="000A38F9">
        <w:rPr>
          <w:b w:val="0"/>
          <w:noProof/>
        </w:rPr>
        <w:fldChar w:fldCharType="end"/>
      </w:r>
    </w:p>
    <w:p w14:paraId="7D41C4BC" w14:textId="2AFC1C50" w:rsidR="0073641D" w:rsidRDefault="0073641D" w:rsidP="007364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(Weekly Payments – Class of Persons) (FaHCSIA) Specification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_Toc49761331 \h </w:instrText>
      </w:r>
      <w:r>
        <w:rPr>
          <w:noProof/>
        </w:rPr>
      </w:r>
      <w:r>
        <w:rPr>
          <w:noProof/>
        </w:rPr>
        <w:fldChar w:fldCharType="separate"/>
      </w:r>
      <w:r w:rsidR="00DC4A6C">
        <w:rPr>
          <w:noProof/>
        </w:rPr>
        <w:t>3</w:t>
      </w:r>
      <w:r>
        <w:rPr>
          <w:noProof/>
        </w:rPr>
        <w:fldChar w:fldCharType="end"/>
      </w:r>
    </w:p>
    <w:p w14:paraId="5F254F6A" w14:textId="641931CF" w:rsidR="0073641D" w:rsidRDefault="0073641D" w:rsidP="007364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(Weekly Payments – Classes of Persons) (DEEWR) Specification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_Toc49761332 \h </w:instrText>
      </w:r>
      <w:r>
        <w:rPr>
          <w:noProof/>
        </w:rPr>
      </w:r>
      <w:r>
        <w:rPr>
          <w:noProof/>
        </w:rPr>
        <w:fldChar w:fldCharType="separate"/>
      </w:r>
      <w:r w:rsidR="00DC4A6C">
        <w:rPr>
          <w:noProof/>
        </w:rPr>
        <w:t>3</w:t>
      </w:r>
      <w:r>
        <w:rPr>
          <w:noProof/>
        </w:rPr>
        <w:fldChar w:fldCharType="end"/>
      </w:r>
    </w:p>
    <w:p w14:paraId="35647DBC" w14:textId="77777777" w:rsidR="0073641D" w:rsidRPr="00D22C57" w:rsidRDefault="0073641D" w:rsidP="007364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317F">
        <w:fldChar w:fldCharType="end"/>
      </w:r>
    </w:p>
    <w:p w14:paraId="6B38622C" w14:textId="77777777" w:rsidR="0073641D" w:rsidRDefault="0073641D" w:rsidP="0073641D"/>
    <w:p w14:paraId="6D1B19C2" w14:textId="77777777" w:rsidR="0073641D" w:rsidRDefault="0073641D" w:rsidP="0073641D">
      <w:pPr>
        <w:sectPr w:rsidR="0073641D" w:rsidSect="0062121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B81758" w14:textId="77777777" w:rsidR="0073641D" w:rsidRPr="009C2562" w:rsidRDefault="0073641D" w:rsidP="0073641D">
      <w:pPr>
        <w:pStyle w:val="ActHead5"/>
      </w:pPr>
      <w:bookmarkStart w:id="2" w:name="_Toc4976132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08646C28" w14:textId="77777777" w:rsidR="0073641D" w:rsidRDefault="0073641D" w:rsidP="0073641D">
      <w:pPr>
        <w:pStyle w:val="subsection"/>
      </w:pPr>
      <w:r w:rsidRPr="009C2562">
        <w:tab/>
      </w:r>
      <w:r w:rsidRPr="009C2562">
        <w:tab/>
      </w:r>
      <w:r w:rsidRPr="00D22C57">
        <w:t xml:space="preserve">This instrument is the </w:t>
      </w:r>
      <w:r w:rsidRPr="00275732">
        <w:rPr>
          <w:i/>
        </w:rPr>
        <w:t>Social Security (Adm</w:t>
      </w:r>
      <w:r>
        <w:rPr>
          <w:i/>
        </w:rPr>
        <w:t xml:space="preserve">inistration) (Weekly Payments – </w:t>
      </w:r>
      <w:r w:rsidRPr="00275732">
        <w:rPr>
          <w:i/>
        </w:rPr>
        <w:t>Class of Persons</w:t>
      </w:r>
      <w:r>
        <w:rPr>
          <w:i/>
        </w:rPr>
        <w:t>)</w:t>
      </w:r>
      <w:r w:rsidRPr="00275732">
        <w:rPr>
          <w:i/>
        </w:rPr>
        <w:t xml:space="preserve"> Specification 2020</w:t>
      </w:r>
      <w:r>
        <w:rPr>
          <w:i/>
        </w:rPr>
        <w:t>.</w:t>
      </w:r>
    </w:p>
    <w:p w14:paraId="0F95DE33" w14:textId="77777777" w:rsidR="0073641D" w:rsidRDefault="0073641D" w:rsidP="0073641D">
      <w:pPr>
        <w:pStyle w:val="ActHead5"/>
      </w:pPr>
      <w:bookmarkStart w:id="3" w:name="_Toc4976132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37A0FB1" w14:textId="77777777" w:rsidR="0073641D" w:rsidRDefault="0073641D" w:rsidP="0073641D">
      <w:pPr>
        <w:pStyle w:val="subsection"/>
      </w:pPr>
      <w:r>
        <w:tab/>
        <w:t>(1)</w:t>
      </w:r>
      <w:r>
        <w:tab/>
        <w:t xml:space="preserve">Each provision of this instrument specified in column 1 of the table commences, or </w:t>
      </w:r>
      <w:proofErr w:type="gramStart"/>
      <w:r>
        <w:t>is taken</w:t>
      </w:r>
      <w:proofErr w:type="gramEnd"/>
      <w:r>
        <w:t xml:space="preserve"> to have commenced, in accordance with column 2 of the table. Any other statement in column 2 has effect according to its terms.</w:t>
      </w:r>
    </w:p>
    <w:p w14:paraId="7CB89F83" w14:textId="77777777" w:rsidR="0073641D" w:rsidRDefault="0073641D" w:rsidP="0073641D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3641D" w14:paraId="272CE98D" w14:textId="77777777" w:rsidTr="00654B1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CC56DB" w14:textId="77777777" w:rsidR="0073641D" w:rsidRDefault="0073641D" w:rsidP="00654B16">
            <w:pPr>
              <w:pStyle w:val="TableHeading"/>
              <w:spacing w:line="276" w:lineRule="auto"/>
            </w:pPr>
            <w:r>
              <w:t>Commencement information</w:t>
            </w:r>
          </w:p>
        </w:tc>
      </w:tr>
      <w:tr w:rsidR="0073641D" w14:paraId="2AE89F2D" w14:textId="77777777" w:rsidTr="00654B16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087F79" w14:textId="77777777" w:rsidR="0073641D" w:rsidRDefault="0073641D" w:rsidP="00654B16">
            <w:pPr>
              <w:pStyle w:val="TableHeading"/>
              <w:spacing w:line="276" w:lineRule="auto"/>
            </w:pPr>
            <w: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0EEFBE" w14:textId="77777777" w:rsidR="0073641D" w:rsidRDefault="0073641D" w:rsidP="00654B16">
            <w:pPr>
              <w:pStyle w:val="TableHeading"/>
              <w:spacing w:line="276" w:lineRule="auto"/>
            </w:pPr>
            <w: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101AFF" w14:textId="77777777" w:rsidR="0073641D" w:rsidRDefault="0073641D" w:rsidP="00654B16">
            <w:pPr>
              <w:pStyle w:val="TableHeading"/>
              <w:spacing w:line="276" w:lineRule="auto"/>
            </w:pPr>
            <w:r>
              <w:t>Column 3</w:t>
            </w:r>
          </w:p>
        </w:tc>
      </w:tr>
      <w:tr w:rsidR="0073641D" w14:paraId="1B8820A1" w14:textId="77777777" w:rsidTr="00654B16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2F4276" w14:textId="77777777" w:rsidR="0073641D" w:rsidRDefault="0073641D" w:rsidP="00654B16">
            <w:pPr>
              <w:pStyle w:val="TableHeading"/>
              <w:spacing w:line="276" w:lineRule="auto"/>
            </w:pPr>
            <w: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157CC9" w14:textId="77777777" w:rsidR="0073641D" w:rsidRDefault="0073641D" w:rsidP="00654B16">
            <w:pPr>
              <w:pStyle w:val="TableHeading"/>
              <w:spacing w:line="276" w:lineRule="auto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6115A5" w14:textId="77777777" w:rsidR="0073641D" w:rsidRDefault="0073641D" w:rsidP="00654B16">
            <w:pPr>
              <w:pStyle w:val="TableHeading"/>
              <w:spacing w:line="276" w:lineRule="auto"/>
            </w:pPr>
            <w:r>
              <w:t>Date/Details</w:t>
            </w:r>
          </w:p>
        </w:tc>
      </w:tr>
      <w:tr w:rsidR="0073641D" w14:paraId="2DC18FCC" w14:textId="77777777" w:rsidTr="00654B16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58711E" w14:textId="77777777" w:rsidR="0073641D" w:rsidRPr="00816DA8" w:rsidRDefault="0073641D" w:rsidP="00654B16">
            <w:pPr>
              <w:pStyle w:val="Tabletext"/>
              <w:spacing w:line="276" w:lineRule="auto"/>
            </w:pPr>
            <w:r w:rsidRPr="00816DA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F86150" w14:textId="77777777" w:rsidR="0073641D" w:rsidRPr="00816DA8" w:rsidRDefault="0073641D" w:rsidP="00654B16">
            <w:pPr>
              <w:pStyle w:val="Tabletext"/>
              <w:spacing w:line="276" w:lineRule="auto"/>
            </w:pPr>
            <w:r>
              <w:t>The day after this instrument is registered.</w:t>
            </w:r>
            <w:r w:rsidRPr="00816DA8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BA3CF7" w14:textId="77777777" w:rsidR="0073641D" w:rsidRDefault="0073641D" w:rsidP="00654B16">
            <w:pPr>
              <w:pStyle w:val="Tabletext"/>
              <w:spacing w:line="276" w:lineRule="auto"/>
            </w:pPr>
          </w:p>
        </w:tc>
      </w:tr>
    </w:tbl>
    <w:p w14:paraId="75B64432" w14:textId="77777777" w:rsidR="0073641D" w:rsidRDefault="0073641D" w:rsidP="0073641D">
      <w:pPr>
        <w:pStyle w:val="notetext"/>
        <w:spacing w:line="240" w:lineRule="auto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</w:t>
      </w:r>
      <w:proofErr w:type="gramStart"/>
      <w:r>
        <w:rPr>
          <w:snapToGrid w:val="0"/>
          <w:lang w:eastAsia="en-US"/>
        </w:rPr>
        <w:t>will not be amended</w:t>
      </w:r>
      <w:proofErr w:type="gramEnd"/>
      <w:r>
        <w:rPr>
          <w:snapToGrid w:val="0"/>
          <w:lang w:eastAsia="en-US"/>
        </w:rPr>
        <w:t xml:space="preserve">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6C63301E" w14:textId="77777777" w:rsidR="0073641D" w:rsidRDefault="0073641D" w:rsidP="0073641D">
      <w:pPr>
        <w:pStyle w:val="subsection"/>
      </w:pPr>
      <w:r>
        <w:tab/>
        <w:t>(2)</w:t>
      </w:r>
      <w:r>
        <w:tab/>
        <w:t xml:space="preserve">Any information in column 3 of the table is not part of this instrument. Information </w:t>
      </w:r>
      <w:proofErr w:type="gramStart"/>
      <w:r>
        <w:t>may be inserted</w:t>
      </w:r>
      <w:proofErr w:type="gramEnd"/>
      <w:r>
        <w:t xml:space="preserve"> in this column, or information in it may be edited, in any published version of this instrument.</w:t>
      </w:r>
    </w:p>
    <w:p w14:paraId="3439D5C7" w14:textId="77777777" w:rsidR="0073641D" w:rsidRDefault="0073641D" w:rsidP="0073641D">
      <w:pPr>
        <w:pStyle w:val="ActHead5"/>
        <w:rPr>
          <w:rStyle w:val="CharSectno"/>
        </w:rPr>
      </w:pPr>
      <w:bookmarkStart w:id="4" w:name="_Toc49761326"/>
      <w:proofErr w:type="gramStart"/>
      <w:r>
        <w:rPr>
          <w:rStyle w:val="CharSectno"/>
        </w:rPr>
        <w:t>3  Authority</w:t>
      </w:r>
      <w:bookmarkEnd w:id="4"/>
      <w:proofErr w:type="gramEnd"/>
    </w:p>
    <w:p w14:paraId="29CAF5E8" w14:textId="77777777" w:rsidR="0073641D" w:rsidRPr="00A73B0D" w:rsidRDefault="0073641D" w:rsidP="0073641D">
      <w:pPr>
        <w:pStyle w:val="subsection"/>
      </w:pPr>
      <w:r>
        <w:tab/>
      </w:r>
      <w:r>
        <w:tab/>
        <w:t xml:space="preserve">This instrument is made under subsection 43(3B) of the </w:t>
      </w:r>
      <w:r>
        <w:rPr>
          <w:i/>
        </w:rPr>
        <w:t>Social Security (Administration) Act 1999</w:t>
      </w:r>
      <w:r>
        <w:t>.</w:t>
      </w:r>
    </w:p>
    <w:p w14:paraId="6A488B1D" w14:textId="77777777" w:rsidR="0073641D" w:rsidRPr="009C2562" w:rsidRDefault="0073641D" w:rsidP="0073641D">
      <w:pPr>
        <w:pStyle w:val="ActHead5"/>
      </w:pPr>
      <w:bookmarkStart w:id="5" w:name="_Toc49761327"/>
      <w:proofErr w:type="gramStart"/>
      <w:r>
        <w:rPr>
          <w:rStyle w:val="CharSectno"/>
        </w:rPr>
        <w:t>4</w:t>
      </w:r>
      <w:r w:rsidRPr="009C2562">
        <w:t xml:space="preserve">  </w:t>
      </w:r>
      <w:r>
        <w:t>Definitions</w:t>
      </w:r>
      <w:bookmarkEnd w:id="5"/>
      <w:proofErr w:type="gramEnd"/>
    </w:p>
    <w:p w14:paraId="7C0DBC76" w14:textId="77777777" w:rsidR="0073641D" w:rsidRDefault="0073641D" w:rsidP="0073641D">
      <w:pPr>
        <w:pStyle w:val="subsection"/>
      </w:pPr>
      <w:r>
        <w:tab/>
      </w:r>
      <w:r>
        <w:tab/>
        <w:t>In this instrument:</w:t>
      </w:r>
    </w:p>
    <w:p w14:paraId="3603EE68" w14:textId="77777777" w:rsidR="0073641D" w:rsidRPr="00763002" w:rsidRDefault="0073641D" w:rsidP="0073641D">
      <w:pPr>
        <w:pStyle w:val="subsection"/>
      </w:pPr>
      <w:r>
        <w:rPr>
          <w:b/>
        </w:rPr>
        <w:tab/>
      </w:r>
      <w:r>
        <w:rPr>
          <w:b/>
        </w:rPr>
        <w:tab/>
      </w:r>
      <w:r w:rsidRPr="00026024">
        <w:rPr>
          <w:b/>
          <w:i/>
        </w:rPr>
        <w:t>Act</w:t>
      </w:r>
      <w:r>
        <w:t xml:space="preserve"> means the </w:t>
      </w:r>
      <w:r>
        <w:rPr>
          <w:i/>
        </w:rPr>
        <w:t>Social Security (Administration) Act 1999</w:t>
      </w:r>
      <w:r w:rsidRPr="004F5C87">
        <w:t>.</w:t>
      </w:r>
      <w:r>
        <w:t xml:space="preserve"> </w:t>
      </w:r>
    </w:p>
    <w:p w14:paraId="4FDDE937" w14:textId="77777777" w:rsidR="0073641D" w:rsidRPr="006065DA" w:rsidRDefault="0073641D" w:rsidP="0073641D">
      <w:pPr>
        <w:pStyle w:val="ActHead5"/>
      </w:pPr>
      <w:bookmarkStart w:id="6" w:name="_Toc49761328"/>
      <w:proofErr w:type="gramStart"/>
      <w:r>
        <w:t>5</w:t>
      </w:r>
      <w:r w:rsidRPr="006065DA">
        <w:t xml:space="preserve">  Schedules</w:t>
      </w:r>
      <w:bookmarkEnd w:id="6"/>
      <w:proofErr w:type="gramEnd"/>
    </w:p>
    <w:p w14:paraId="0F48D03B" w14:textId="77777777" w:rsidR="0073641D" w:rsidRDefault="0073641D" w:rsidP="0073641D">
      <w:pPr>
        <w:pStyle w:val="subsection"/>
      </w:pPr>
      <w:r w:rsidRPr="006065DA">
        <w:tab/>
      </w:r>
      <w:r w:rsidRPr="006065DA">
        <w:tab/>
        <w:t>Each i</w:t>
      </w:r>
      <w:r>
        <w:t xml:space="preserve">nstrument that </w:t>
      </w:r>
      <w:proofErr w:type="gramStart"/>
      <w:r>
        <w:t>is specified</w:t>
      </w:r>
      <w:proofErr w:type="gramEnd"/>
      <w:r>
        <w:t xml:space="preserve"> in the</w:t>
      </w:r>
      <w:r w:rsidRPr="006065DA">
        <w:t xml:space="preserve"> Schedule to this </w:t>
      </w:r>
      <w:r>
        <w:t>instrument</w:t>
      </w:r>
      <w:r w:rsidRPr="006065DA">
        <w:t xml:space="preserve"> is repealed as set out in the applicable items in the Schedule</w:t>
      </w:r>
      <w:r>
        <w:t>, and any other item in the</w:t>
      </w:r>
      <w:r w:rsidRPr="006065DA">
        <w:t xml:space="preserve"> Schedule to this </w:t>
      </w:r>
      <w:r>
        <w:t>instrument</w:t>
      </w:r>
      <w:r w:rsidRPr="006065DA">
        <w:t xml:space="preserve"> has effect according to its terms.</w:t>
      </w:r>
    </w:p>
    <w:p w14:paraId="77691476" w14:textId="77777777" w:rsidR="0073641D" w:rsidRDefault="0073641D" w:rsidP="0073641D">
      <w:pPr>
        <w:pStyle w:val="ActHead5"/>
      </w:pPr>
      <w:bookmarkStart w:id="7" w:name="_Toc49761329"/>
      <w:proofErr w:type="gramStart"/>
      <w:r>
        <w:t>6  Class</w:t>
      </w:r>
      <w:proofErr w:type="gramEnd"/>
      <w:r>
        <w:t xml:space="preserve"> of persons </w:t>
      </w:r>
      <w:bookmarkEnd w:id="7"/>
    </w:p>
    <w:p w14:paraId="1542F971" w14:textId="77777777" w:rsidR="0073641D" w:rsidRPr="00EE03BB" w:rsidRDefault="0073641D" w:rsidP="0073641D">
      <w:pPr>
        <w:pStyle w:val="subsection"/>
      </w:pPr>
      <w:r w:rsidRPr="00EE03BB">
        <w:tab/>
      </w:r>
      <w:r>
        <w:t>(1)</w:t>
      </w:r>
      <w:r w:rsidRPr="00EE03BB">
        <w:tab/>
      </w:r>
      <w:r>
        <w:t xml:space="preserve">For subsection 43(3A) of the Act, </w:t>
      </w:r>
      <w:r w:rsidRPr="00A62AC9">
        <w:t xml:space="preserve">the class of persons who meet </w:t>
      </w:r>
      <w:r>
        <w:t xml:space="preserve">all of </w:t>
      </w:r>
      <w:r w:rsidRPr="00A62AC9">
        <w:t xml:space="preserve">the </w:t>
      </w:r>
      <w:r>
        <w:t xml:space="preserve">following criteria </w:t>
      </w:r>
      <w:proofErr w:type="gramStart"/>
      <w:r>
        <w:t>is specified</w:t>
      </w:r>
      <w:proofErr w:type="gramEnd"/>
      <w:r>
        <w:t>:</w:t>
      </w:r>
    </w:p>
    <w:p w14:paraId="45682038" w14:textId="77777777" w:rsidR="0073641D" w:rsidRDefault="0073641D" w:rsidP="0073641D">
      <w:pPr>
        <w:pStyle w:val="paragraph"/>
      </w:pPr>
      <w:r w:rsidRPr="00231117">
        <w:tab/>
        <w:t>(</w:t>
      </w:r>
      <w:r>
        <w:t>a)</w:t>
      </w:r>
      <w:r>
        <w:tab/>
      </w:r>
      <w:proofErr w:type="gramStart"/>
      <w:r>
        <w:t>the</w:t>
      </w:r>
      <w:proofErr w:type="gramEnd"/>
      <w:r>
        <w:t xml:space="preserve"> person is an Australian resident living in Australia;</w:t>
      </w:r>
    </w:p>
    <w:p w14:paraId="46A8D8B7" w14:textId="77777777" w:rsidR="0073641D" w:rsidRDefault="0073641D" w:rsidP="0073641D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person is receiving one of the social security periodic payments mentioned in subsection (2);</w:t>
      </w:r>
    </w:p>
    <w:p w14:paraId="568EAC30" w14:textId="77777777" w:rsidR="0073641D" w:rsidRDefault="0073641D" w:rsidP="0073641D">
      <w:pPr>
        <w:pStyle w:val="paragraph"/>
      </w:pPr>
      <w:r>
        <w:lastRenderedPageBreak/>
        <w:tab/>
        <w:t>(c)</w:t>
      </w:r>
      <w:r>
        <w:tab/>
        <w:t xml:space="preserve">the person would benefit from having their social security periodic payment paid as described in subsection 43(3A) of the Act, including in the circumstances specified in subsection (3); </w:t>
      </w:r>
    </w:p>
    <w:p w14:paraId="3A7080C2" w14:textId="77777777" w:rsidR="0073641D" w:rsidRDefault="0073641D" w:rsidP="0073641D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person has requested the Secretary that they be paid their social security periodic payment in accordance with subsection 43(3A) of the Act and the person has not revoked that request.</w:t>
      </w:r>
    </w:p>
    <w:p w14:paraId="09086BB8" w14:textId="77777777" w:rsidR="0073641D" w:rsidRDefault="0073641D" w:rsidP="0073641D">
      <w:pPr>
        <w:pStyle w:val="subsection"/>
      </w:pPr>
      <w:r w:rsidRPr="00EE03BB">
        <w:tab/>
      </w:r>
      <w:r>
        <w:t>(2)</w:t>
      </w:r>
      <w:r w:rsidRPr="00EE03BB">
        <w:tab/>
      </w:r>
      <w:r>
        <w:t>For the purposes of paragraph (1</w:t>
      </w:r>
      <w:proofErr w:type="gramStart"/>
      <w:r>
        <w:t>)(</w:t>
      </w:r>
      <w:proofErr w:type="gramEnd"/>
      <w:r>
        <w:t>b), the social security periodic payments are:</w:t>
      </w:r>
    </w:p>
    <w:p w14:paraId="23193222" w14:textId="77777777" w:rsidR="0073641D" w:rsidRDefault="0073641D" w:rsidP="0073641D">
      <w:pPr>
        <w:pStyle w:val="paragraph"/>
      </w:pPr>
      <w:r w:rsidRPr="00231117">
        <w:tab/>
        <w:t>(</w:t>
      </w:r>
      <w:r>
        <w:t>a)</w:t>
      </w:r>
      <w:r>
        <w:tab/>
      </w:r>
      <w:proofErr w:type="gramStart"/>
      <w:r>
        <w:t>age</w:t>
      </w:r>
      <w:proofErr w:type="gramEnd"/>
      <w:r>
        <w:t xml:space="preserve"> pension;</w:t>
      </w:r>
    </w:p>
    <w:p w14:paraId="18A51659" w14:textId="77777777" w:rsidR="0073641D" w:rsidRDefault="0073641D" w:rsidP="0073641D">
      <w:pPr>
        <w:pStyle w:val="paragraph"/>
      </w:pPr>
      <w:r>
        <w:tab/>
        <w:t>(b)</w:t>
      </w:r>
      <w:r>
        <w:tab/>
      </w:r>
      <w:proofErr w:type="gramStart"/>
      <w:r>
        <w:t>disability</w:t>
      </w:r>
      <w:proofErr w:type="gramEnd"/>
      <w:r>
        <w:t xml:space="preserve"> support pension;</w:t>
      </w:r>
    </w:p>
    <w:p w14:paraId="10571F90" w14:textId="77777777" w:rsidR="0073641D" w:rsidRDefault="0073641D" w:rsidP="0073641D">
      <w:pPr>
        <w:pStyle w:val="paragraph"/>
      </w:pPr>
      <w:r>
        <w:tab/>
        <w:t>(c)</w:t>
      </w:r>
      <w:r>
        <w:tab/>
      </w:r>
      <w:proofErr w:type="gramStart"/>
      <w:r>
        <w:t>carer</w:t>
      </w:r>
      <w:proofErr w:type="gramEnd"/>
      <w:r>
        <w:t xml:space="preserve"> payment;</w:t>
      </w:r>
    </w:p>
    <w:p w14:paraId="796298DF" w14:textId="77777777" w:rsidR="0073641D" w:rsidRDefault="0073641D" w:rsidP="0073641D">
      <w:pPr>
        <w:pStyle w:val="paragraph"/>
      </w:pPr>
      <w:r>
        <w:tab/>
        <w:t>(d)</w:t>
      </w:r>
      <w:r>
        <w:tab/>
      </w:r>
      <w:proofErr w:type="gramStart"/>
      <w:r>
        <w:t>special</w:t>
      </w:r>
      <w:proofErr w:type="gramEnd"/>
      <w:r>
        <w:t xml:space="preserve"> benefit;</w:t>
      </w:r>
      <w:r>
        <w:tab/>
      </w:r>
    </w:p>
    <w:p w14:paraId="568FA0BE" w14:textId="77777777" w:rsidR="0073641D" w:rsidRDefault="0073641D" w:rsidP="0073641D">
      <w:pPr>
        <w:pStyle w:val="paragraph"/>
      </w:pPr>
      <w:r>
        <w:tab/>
        <w:t>(e)</w:t>
      </w:r>
      <w:r>
        <w:tab/>
      </w:r>
      <w:proofErr w:type="gramStart"/>
      <w:r>
        <w:t>widow</w:t>
      </w:r>
      <w:proofErr w:type="gramEnd"/>
      <w:r>
        <w:t xml:space="preserve"> allowance;</w:t>
      </w:r>
    </w:p>
    <w:p w14:paraId="5F166B11" w14:textId="77777777" w:rsidR="0073641D" w:rsidRDefault="0073641D" w:rsidP="0073641D">
      <w:pPr>
        <w:pStyle w:val="paragraph"/>
      </w:pPr>
      <w:r>
        <w:tab/>
        <w:t>(f)</w:t>
      </w:r>
      <w:r>
        <w:tab/>
      </w:r>
      <w:proofErr w:type="gramStart"/>
      <w:r>
        <w:t>parenting</w:t>
      </w:r>
      <w:proofErr w:type="gramEnd"/>
      <w:r>
        <w:t xml:space="preserve"> payment;</w:t>
      </w:r>
    </w:p>
    <w:p w14:paraId="7A166767" w14:textId="77777777" w:rsidR="0073641D" w:rsidRDefault="0073641D" w:rsidP="0073641D">
      <w:pPr>
        <w:pStyle w:val="paragraph"/>
      </w:pPr>
      <w:r>
        <w:tab/>
        <w:t>(g)</w:t>
      </w:r>
      <w:r>
        <w:tab/>
      </w:r>
      <w:proofErr w:type="gramStart"/>
      <w:r>
        <w:t>youth</w:t>
      </w:r>
      <w:proofErr w:type="gramEnd"/>
      <w:r>
        <w:t xml:space="preserve"> allowance;</w:t>
      </w:r>
    </w:p>
    <w:p w14:paraId="4889E0C4" w14:textId="77777777" w:rsidR="0073641D" w:rsidRDefault="0073641D" w:rsidP="0073641D">
      <w:pPr>
        <w:pStyle w:val="paragraph"/>
      </w:pPr>
      <w:r>
        <w:tab/>
        <w:t>(h)</w:t>
      </w:r>
      <w:r>
        <w:tab/>
      </w:r>
      <w:proofErr w:type="spellStart"/>
      <w:proofErr w:type="gramStart"/>
      <w:r>
        <w:t>austudy</w:t>
      </w:r>
      <w:proofErr w:type="spellEnd"/>
      <w:proofErr w:type="gramEnd"/>
      <w:r>
        <w:t xml:space="preserve"> payment; </w:t>
      </w:r>
    </w:p>
    <w:p w14:paraId="6C808CE7" w14:textId="77777777" w:rsidR="0073641D" w:rsidRDefault="0073641D" w:rsidP="0073641D">
      <w:pPr>
        <w:pStyle w:val="paragrap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partner</w:t>
      </w:r>
      <w:proofErr w:type="gramEnd"/>
      <w:r>
        <w:t xml:space="preserve"> allowance; </w:t>
      </w:r>
    </w:p>
    <w:p w14:paraId="1AAA619F" w14:textId="77777777" w:rsidR="0073641D" w:rsidRDefault="0073641D" w:rsidP="0073641D">
      <w:pPr>
        <w:pStyle w:val="paragraph"/>
      </w:pPr>
      <w:r>
        <w:tab/>
        <w:t>(j)</w:t>
      </w:r>
      <w:r>
        <w:tab/>
      </w:r>
      <w:proofErr w:type="gramStart"/>
      <w:r>
        <w:t>jobseeker</w:t>
      </w:r>
      <w:proofErr w:type="gramEnd"/>
      <w:r>
        <w:t xml:space="preserve"> payment.</w:t>
      </w:r>
    </w:p>
    <w:p w14:paraId="156FD33A" w14:textId="77777777" w:rsidR="0073641D" w:rsidRPr="00EE03BB" w:rsidRDefault="0073641D" w:rsidP="0073641D">
      <w:pPr>
        <w:pStyle w:val="subsection"/>
      </w:pPr>
      <w:r w:rsidRPr="00EE03BB">
        <w:tab/>
      </w:r>
      <w:r>
        <w:t>(3)</w:t>
      </w:r>
      <w:r w:rsidRPr="00EE03BB">
        <w:tab/>
      </w:r>
      <w:r>
        <w:t xml:space="preserve">A person </w:t>
      </w:r>
      <w:proofErr w:type="gramStart"/>
      <w:r>
        <w:t>is taken</w:t>
      </w:r>
      <w:proofErr w:type="gramEnd"/>
      <w:r>
        <w:t xml:space="preserve"> to benefit from having their social security payment paid in accordance with subsection 43(3A) of the Act if:</w:t>
      </w:r>
    </w:p>
    <w:p w14:paraId="7E070FF7" w14:textId="77777777" w:rsidR="0073641D" w:rsidRDefault="0073641D" w:rsidP="0073641D">
      <w:pPr>
        <w:pStyle w:val="paragraph"/>
      </w:pPr>
      <w:r w:rsidRPr="00231117">
        <w:tab/>
        <w:t>(</w:t>
      </w:r>
      <w:r w:rsidRPr="00752B99">
        <w:rPr>
          <w:color w:val="000000"/>
          <w:shd w:val="clear" w:color="auto" w:fill="FFFFFF"/>
        </w:rPr>
        <w:t>a)</w:t>
      </w:r>
      <w:r w:rsidRPr="00752B99">
        <w:rPr>
          <w:color w:val="000000"/>
          <w:shd w:val="clear" w:color="auto" w:fill="FFFFFF"/>
        </w:rPr>
        <w:tab/>
      </w:r>
      <w:proofErr w:type="gramStart"/>
      <w:r w:rsidRPr="00752B99">
        <w:rPr>
          <w:color w:val="000000"/>
          <w:shd w:val="clear" w:color="auto" w:fill="FFFFFF"/>
        </w:rPr>
        <w:t>the</w:t>
      </w:r>
      <w:proofErr w:type="gramEnd"/>
      <w:r w:rsidRPr="00752B99">
        <w:rPr>
          <w:color w:val="000000"/>
          <w:shd w:val="clear" w:color="auto" w:fill="FFFFFF"/>
        </w:rPr>
        <w:t xml:space="preserve"> person does </w:t>
      </w:r>
      <w:r w:rsidRPr="00752B99">
        <w:t>not have access</w:t>
      </w:r>
      <w:r>
        <w:t xml:space="preserve"> to safe, secure and adequate housing, including in the circumstances specified in subsection (4); or</w:t>
      </w:r>
    </w:p>
    <w:p w14:paraId="6FFC63E6" w14:textId="77777777" w:rsidR="0073641D" w:rsidRDefault="0073641D" w:rsidP="0073641D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person is using emergency accommodation or is a refugee; or</w:t>
      </w:r>
    </w:p>
    <w:p w14:paraId="4091616C" w14:textId="77777777" w:rsidR="0073641D" w:rsidRDefault="0073641D" w:rsidP="0073641D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person is financially vulnerable and significantly disadvantaged.</w:t>
      </w:r>
    </w:p>
    <w:p w14:paraId="2453313F" w14:textId="77777777" w:rsidR="0073641D" w:rsidRPr="00EE03BB" w:rsidRDefault="0073641D" w:rsidP="0073641D">
      <w:pPr>
        <w:pStyle w:val="subsection"/>
      </w:pPr>
      <w:r w:rsidRPr="00EE03BB">
        <w:tab/>
      </w:r>
      <w:r>
        <w:t>(4)</w:t>
      </w:r>
      <w:r w:rsidRPr="00EE03BB">
        <w:tab/>
      </w:r>
      <w:r>
        <w:t xml:space="preserve">A person </w:t>
      </w:r>
      <w:proofErr w:type="gramStart"/>
      <w:r>
        <w:t>is taken</w:t>
      </w:r>
      <w:proofErr w:type="gramEnd"/>
      <w:r>
        <w:t xml:space="preserve"> not to have access to safe, secure and adequate housing if:</w:t>
      </w:r>
    </w:p>
    <w:p w14:paraId="2694FC87" w14:textId="77777777" w:rsidR="0073641D" w:rsidRDefault="0073641D" w:rsidP="0073641D">
      <w:pPr>
        <w:pStyle w:val="paragrap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752B99">
        <w:t>(a)</w:t>
      </w:r>
      <w:r w:rsidRPr="00752B99">
        <w:tab/>
      </w:r>
      <w:proofErr w:type="gramStart"/>
      <w:r w:rsidRPr="00752B99">
        <w:t>the</w:t>
      </w:r>
      <w:proofErr w:type="gramEnd"/>
      <w:r w:rsidRPr="00752B99">
        <w:t xml:space="preserve"> housing </w:t>
      </w:r>
      <w:r>
        <w:t xml:space="preserve">to </w:t>
      </w:r>
      <w:r w:rsidRPr="00752B99">
        <w:t xml:space="preserve">which the person </w:t>
      </w:r>
      <w:r>
        <w:t>currently has access</w:t>
      </w:r>
      <w:r w:rsidRPr="00752B99">
        <w:t>:</w:t>
      </w:r>
    </w:p>
    <w:p w14:paraId="3CA89B30" w14:textId="77777777" w:rsidR="0073641D" w:rsidRDefault="0073641D" w:rsidP="0073641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damages</w:t>
      </w:r>
      <w:proofErr w:type="gramEnd"/>
      <w:r>
        <w:t>, or is likely to damage, the person’s health; or</w:t>
      </w:r>
    </w:p>
    <w:p w14:paraId="2B56599B" w14:textId="77777777" w:rsidR="0073641D" w:rsidRDefault="0073641D" w:rsidP="0073641D">
      <w:pPr>
        <w:pStyle w:val="paragraphsub"/>
      </w:pPr>
      <w:r>
        <w:tab/>
        <w:t>(ii)</w:t>
      </w:r>
      <w:r>
        <w:tab/>
      </w:r>
      <w:proofErr w:type="gramStart"/>
      <w:r>
        <w:t>threatens</w:t>
      </w:r>
      <w:proofErr w:type="gramEnd"/>
      <w:r>
        <w:t xml:space="preserve"> or is likely to threaten the person’s safety; or</w:t>
      </w:r>
    </w:p>
    <w:p w14:paraId="2AB848A1" w14:textId="77777777" w:rsidR="0073641D" w:rsidRDefault="0073641D" w:rsidP="0073641D">
      <w:pPr>
        <w:pStyle w:val="paragraphsub"/>
      </w:pPr>
      <w:r>
        <w:tab/>
        <w:t>(iii)</w:t>
      </w:r>
      <w:r>
        <w:tab/>
      </w:r>
      <w:proofErr w:type="gramStart"/>
      <w:r>
        <w:t>does</w:t>
      </w:r>
      <w:proofErr w:type="gramEnd"/>
      <w:r>
        <w:t xml:space="preserve"> not provide the person with access to a reasonably level of personal amenities or the economic and social support that housing normally affords; or</w:t>
      </w:r>
    </w:p>
    <w:p w14:paraId="7AC7209A" w14:textId="77777777" w:rsidR="0073641D" w:rsidRDefault="0073641D" w:rsidP="0073641D">
      <w:pPr>
        <w:pStyle w:val="paragraph"/>
      </w:pPr>
      <w:r>
        <w:rPr>
          <w:color w:val="000000"/>
          <w:shd w:val="clear" w:color="auto" w:fill="FFFFFF"/>
        </w:rPr>
        <w:tab/>
      </w:r>
      <w:r w:rsidRPr="00752B99">
        <w:t>(b)</w:t>
      </w:r>
      <w:r w:rsidRPr="00752B99">
        <w:tab/>
        <w:t>in the circumstances, the adequacy, safety, security, or affo</w:t>
      </w:r>
      <w:r>
        <w:t xml:space="preserve">rdability of the housing to which the person currently has access is adversely affected or may be adversely affected; or </w:t>
      </w:r>
    </w:p>
    <w:p w14:paraId="443AA529" w14:textId="77777777" w:rsidR="0073641D" w:rsidRDefault="0073641D" w:rsidP="0073641D">
      <w:pPr>
        <w:pStyle w:val="paragraph"/>
      </w:pPr>
      <w:r w:rsidRPr="00507F7B">
        <w:tab/>
      </w:r>
      <w:r w:rsidRPr="00514161">
        <w:t>(</w:t>
      </w:r>
      <w:r>
        <w:t>c</w:t>
      </w:r>
      <w:r w:rsidRPr="00514161">
        <w:t>)</w:t>
      </w:r>
      <w:r w:rsidRPr="00514161">
        <w:tab/>
      </w:r>
      <w:proofErr w:type="gramStart"/>
      <w:r>
        <w:t>the</w:t>
      </w:r>
      <w:proofErr w:type="gramEnd"/>
      <w:r>
        <w:t xml:space="preserve"> person does not have a right to remain, or a reasonable expectation of being able to remain, in the housing to which the person currently has access. </w:t>
      </w:r>
    </w:p>
    <w:p w14:paraId="18DF016B" w14:textId="77777777" w:rsidR="0073641D" w:rsidRPr="00EE03BB" w:rsidRDefault="0073641D" w:rsidP="0073641D">
      <w:pPr>
        <w:pStyle w:val="subsection"/>
        <w:ind w:left="0" w:firstLine="0"/>
      </w:pPr>
    </w:p>
    <w:p w14:paraId="3E463273" w14:textId="77777777" w:rsidR="0073641D" w:rsidRDefault="0073641D" w:rsidP="0073641D">
      <w:pPr>
        <w:pStyle w:val="ActHead6"/>
        <w:pageBreakBefore/>
      </w:pPr>
      <w:bookmarkStart w:id="8" w:name="_Toc49761330"/>
      <w:r w:rsidRPr="00DB64FC"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Repeals</w:t>
      </w:r>
      <w:bookmarkEnd w:id="8"/>
    </w:p>
    <w:p w14:paraId="260A31AE" w14:textId="77777777" w:rsidR="0073641D" w:rsidRDefault="0073641D" w:rsidP="0073641D">
      <w:pPr>
        <w:pStyle w:val="ActHead9"/>
      </w:pPr>
      <w:bookmarkStart w:id="9" w:name="_Toc49761331"/>
      <w:r>
        <w:t>Social Security (Administration) (Weekly Payments – Class of Persons) (</w:t>
      </w:r>
      <w:proofErr w:type="spellStart"/>
      <w:r>
        <w:t>FaHCSIA</w:t>
      </w:r>
      <w:proofErr w:type="spellEnd"/>
      <w:r>
        <w:t>) Specification 2010</w:t>
      </w:r>
      <w:bookmarkEnd w:id="9"/>
    </w:p>
    <w:p w14:paraId="7020BA1F" w14:textId="77777777" w:rsidR="0073641D" w:rsidRDefault="0073641D" w:rsidP="0073641D">
      <w:pPr>
        <w:pStyle w:val="ItemHead"/>
      </w:pPr>
      <w:proofErr w:type="gramStart"/>
      <w:r>
        <w:t>1  The</w:t>
      </w:r>
      <w:proofErr w:type="gramEnd"/>
      <w:r>
        <w:t xml:space="preserve"> whole of the instrument</w:t>
      </w:r>
    </w:p>
    <w:p w14:paraId="32913644" w14:textId="77777777" w:rsidR="0073641D" w:rsidRDefault="0073641D" w:rsidP="0073641D">
      <w:pPr>
        <w:pStyle w:val="Item"/>
      </w:pPr>
      <w:r>
        <w:t>Repeal the instrument.</w:t>
      </w:r>
    </w:p>
    <w:p w14:paraId="07DBA40D" w14:textId="77777777" w:rsidR="0073641D" w:rsidRDefault="0073641D" w:rsidP="0073641D">
      <w:pPr>
        <w:pStyle w:val="ActHead9"/>
      </w:pPr>
      <w:bookmarkStart w:id="10" w:name="_Toc49761332"/>
      <w:r>
        <w:t>Social Security (Administration) (Weekly Payments – Classes of Persons) (DEEWR) Specification 2010</w:t>
      </w:r>
      <w:bookmarkEnd w:id="10"/>
    </w:p>
    <w:p w14:paraId="103135EE" w14:textId="77777777" w:rsidR="0073641D" w:rsidRDefault="0073641D" w:rsidP="0073641D">
      <w:pPr>
        <w:pStyle w:val="ItemHead"/>
      </w:pPr>
      <w:proofErr w:type="gramStart"/>
      <w:r>
        <w:t>2  The</w:t>
      </w:r>
      <w:proofErr w:type="gramEnd"/>
      <w:r>
        <w:t xml:space="preserve"> whole of the instrument</w:t>
      </w:r>
    </w:p>
    <w:p w14:paraId="4AEEAF92" w14:textId="77777777" w:rsidR="0073641D" w:rsidRPr="005F4AAC" w:rsidRDefault="0073641D" w:rsidP="0073641D">
      <w:pPr>
        <w:pStyle w:val="Item"/>
      </w:pPr>
      <w:r>
        <w:t>Repeal the instrument.</w:t>
      </w:r>
    </w:p>
    <w:p w14:paraId="41D25226" w14:textId="77777777" w:rsidR="0073641D" w:rsidRPr="00DA182D" w:rsidRDefault="0073641D" w:rsidP="0073641D">
      <w:pPr>
        <w:pStyle w:val="paragraph"/>
      </w:pPr>
    </w:p>
    <w:p w14:paraId="06ACD0F1" w14:textId="77777777" w:rsidR="00752B99" w:rsidRPr="0073641D" w:rsidRDefault="00752B99" w:rsidP="0073641D"/>
    <w:sectPr w:rsidR="00752B99" w:rsidRPr="0073641D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65041" w14:textId="77777777" w:rsidR="005742DE" w:rsidRDefault="005742DE" w:rsidP="0048364F">
      <w:pPr>
        <w:spacing w:line="240" w:lineRule="auto"/>
      </w:pPr>
      <w:r>
        <w:separator/>
      </w:r>
    </w:p>
  </w:endnote>
  <w:endnote w:type="continuationSeparator" w:id="0">
    <w:p w14:paraId="25C5FDE9" w14:textId="77777777" w:rsidR="005742DE" w:rsidRDefault="005742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3641D" w14:paraId="03F18126" w14:textId="77777777" w:rsidTr="00621212">
      <w:tc>
        <w:tcPr>
          <w:tcW w:w="5000" w:type="pct"/>
        </w:tcPr>
        <w:p w14:paraId="563680A1" w14:textId="77777777" w:rsidR="0073641D" w:rsidRDefault="0073641D" w:rsidP="00621212">
          <w:pPr>
            <w:rPr>
              <w:sz w:val="18"/>
            </w:rPr>
          </w:pPr>
        </w:p>
      </w:tc>
    </w:tr>
  </w:tbl>
  <w:p w14:paraId="62F44E6B" w14:textId="77777777" w:rsidR="0073641D" w:rsidRPr="005F1388" w:rsidRDefault="0073641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3641D" w14:paraId="305D87DB" w14:textId="77777777" w:rsidTr="00621212">
      <w:tc>
        <w:tcPr>
          <w:tcW w:w="5000" w:type="pct"/>
        </w:tcPr>
        <w:p w14:paraId="00D2C1B2" w14:textId="77777777" w:rsidR="0073641D" w:rsidRDefault="0073641D" w:rsidP="00621212">
          <w:pPr>
            <w:rPr>
              <w:sz w:val="18"/>
            </w:rPr>
          </w:pPr>
        </w:p>
      </w:tc>
    </w:tr>
  </w:tbl>
  <w:p w14:paraId="0F31AD43" w14:textId="77777777" w:rsidR="0073641D" w:rsidRPr="006D3667" w:rsidRDefault="0073641D" w:rsidP="00621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D05F6" w14:textId="77777777" w:rsidR="0073641D" w:rsidRDefault="0073641D" w:rsidP="0062121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3641D" w14:paraId="0B8525B3" w14:textId="77777777" w:rsidTr="00621212">
      <w:tc>
        <w:tcPr>
          <w:tcW w:w="5000" w:type="pct"/>
        </w:tcPr>
        <w:p w14:paraId="6DCA78B2" w14:textId="77777777" w:rsidR="0073641D" w:rsidRDefault="0073641D" w:rsidP="00621212">
          <w:pPr>
            <w:rPr>
              <w:sz w:val="18"/>
            </w:rPr>
          </w:pPr>
        </w:p>
      </w:tc>
    </w:tr>
  </w:tbl>
  <w:p w14:paraId="0E040033" w14:textId="77777777" w:rsidR="0073641D" w:rsidRPr="00486382" w:rsidRDefault="0073641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B15E8" w14:textId="77777777" w:rsidR="0073641D" w:rsidRPr="00E33C1C" w:rsidRDefault="0073641D" w:rsidP="006212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3641D" w14:paraId="5C514532" w14:textId="77777777" w:rsidTr="0062121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4464D0" w14:textId="77777777" w:rsidR="0073641D" w:rsidRDefault="0073641D" w:rsidP="006212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8DC38E2" w14:textId="30CBE43B" w:rsidR="0073641D" w:rsidRDefault="0073641D" w:rsidP="0062121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4A6C">
            <w:rPr>
              <w:i/>
              <w:noProof/>
              <w:sz w:val="18"/>
            </w:rPr>
            <w:t>Social Security (Administration) (Weekly Payments – Class of Persons) Specification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37F0E38" w14:textId="77777777" w:rsidR="0073641D" w:rsidRDefault="0073641D" w:rsidP="00621212">
          <w:pPr>
            <w:spacing w:line="0" w:lineRule="atLeast"/>
            <w:jc w:val="right"/>
            <w:rPr>
              <w:sz w:val="18"/>
            </w:rPr>
          </w:pPr>
        </w:p>
      </w:tc>
    </w:tr>
    <w:tr w:rsidR="0073641D" w14:paraId="6FE49EA4" w14:textId="77777777" w:rsidTr="006212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D87A9D" w14:textId="77777777" w:rsidR="0073641D" w:rsidRDefault="0073641D" w:rsidP="00621212">
          <w:pPr>
            <w:jc w:val="right"/>
            <w:rPr>
              <w:sz w:val="18"/>
            </w:rPr>
          </w:pPr>
        </w:p>
      </w:tc>
    </w:tr>
  </w:tbl>
  <w:p w14:paraId="30A6EFF7" w14:textId="77777777" w:rsidR="0073641D" w:rsidRPr="00ED79B6" w:rsidRDefault="0073641D" w:rsidP="0062121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7233B" w14:textId="77777777" w:rsidR="0073641D" w:rsidRPr="00E33C1C" w:rsidRDefault="0073641D" w:rsidP="006212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3641D" w14:paraId="405D989E" w14:textId="77777777" w:rsidTr="0062121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5F51F2" w14:textId="77777777" w:rsidR="0073641D" w:rsidRDefault="0073641D" w:rsidP="0062121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D77DA3" w14:textId="1F61532B" w:rsidR="0073641D" w:rsidRPr="00B20990" w:rsidRDefault="0073641D" w:rsidP="0062121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4CEF">
            <w:rPr>
              <w:i/>
              <w:noProof/>
              <w:sz w:val="18"/>
            </w:rPr>
            <w:t>Social Security (Administration) (Weekly Payments – Class of Persons) Specification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8FBD66C" w14:textId="34A13C55" w:rsidR="0073641D" w:rsidRDefault="0073641D" w:rsidP="006212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C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3641D" w14:paraId="6F136D94" w14:textId="77777777" w:rsidTr="006212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1B4C5C1" w14:textId="77777777" w:rsidR="0073641D" w:rsidRDefault="0073641D" w:rsidP="00621212">
          <w:pPr>
            <w:rPr>
              <w:sz w:val="18"/>
            </w:rPr>
          </w:pPr>
        </w:p>
      </w:tc>
    </w:tr>
  </w:tbl>
  <w:p w14:paraId="575FB941" w14:textId="77777777" w:rsidR="0073641D" w:rsidRPr="00ED79B6" w:rsidRDefault="0073641D" w:rsidP="0062121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8A2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63B5EF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0E4A04" w14:textId="2217376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C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3A76B6" w14:textId="0A5E270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4CEF">
            <w:rPr>
              <w:i/>
              <w:noProof/>
              <w:sz w:val="18"/>
            </w:rPr>
            <w:t>Social Security (Administration) (Weekly Payments – Class of Persons) Specification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E8F63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C5F345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B8389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B68F99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B6CA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1BB69C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034D6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BD5E5A" w14:textId="19C0585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4CEF">
            <w:rPr>
              <w:i/>
              <w:noProof/>
              <w:sz w:val="18"/>
            </w:rPr>
            <w:t>Social Security (Administration) (Weekly Payments – Class of Persons) Specification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D99F27" w14:textId="7FA6773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CE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0A1D9D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D572CB" w14:textId="77777777" w:rsidR="00EE57E8" w:rsidRDefault="00EE57E8" w:rsidP="00EE57E8">
          <w:pPr>
            <w:rPr>
              <w:sz w:val="18"/>
            </w:rPr>
          </w:pPr>
        </w:p>
      </w:tc>
    </w:tr>
  </w:tbl>
  <w:p w14:paraId="5C2F164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01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214E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189AB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F332C0" w14:textId="7BF81C7D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4A6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EE96F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7465A8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DEB158" w14:textId="76B9179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C4A6C">
            <w:rPr>
              <w:i/>
              <w:noProof/>
              <w:sz w:val="18"/>
            </w:rPr>
            <w:t>C:\Users\staieb\AppData\Local\Arc\Offline Records (PR)\Payments ~ SOCIAL WELFARE DEVELOPMENT - POLICY - Routine Operational(7)\Attachment A Social Security (Administration) Weekly ~ Class of Persons Specification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34CEF">
            <w:rPr>
              <w:i/>
              <w:noProof/>
              <w:sz w:val="18"/>
            </w:rPr>
            <w:t>25/9/2020 1:58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0CCE6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B78A1" w14:textId="77777777" w:rsidR="005742DE" w:rsidRDefault="005742DE" w:rsidP="0048364F">
      <w:pPr>
        <w:spacing w:line="240" w:lineRule="auto"/>
      </w:pPr>
      <w:r>
        <w:separator/>
      </w:r>
    </w:p>
  </w:footnote>
  <w:footnote w:type="continuationSeparator" w:id="0">
    <w:p w14:paraId="776C49AA" w14:textId="77777777" w:rsidR="005742DE" w:rsidRDefault="005742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648D" w14:textId="77777777" w:rsidR="0073641D" w:rsidRPr="005F1388" w:rsidRDefault="0073641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22FF8" w14:textId="77777777" w:rsidR="0073641D" w:rsidRPr="005F1388" w:rsidRDefault="0073641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AD672" w14:textId="77777777" w:rsidR="0073641D" w:rsidRPr="005F1388" w:rsidRDefault="0073641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1979" w14:textId="77777777" w:rsidR="0073641D" w:rsidRPr="00ED79B6" w:rsidRDefault="0073641D" w:rsidP="0062121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DCD1" w14:textId="77777777" w:rsidR="0073641D" w:rsidRPr="00ED79B6" w:rsidRDefault="0073641D" w:rsidP="0062121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2B9B" w14:textId="77777777" w:rsidR="0073641D" w:rsidRPr="00ED79B6" w:rsidRDefault="0073641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D714" w14:textId="5FE8785F" w:rsidR="00EE57E8" w:rsidRPr="00A961C4" w:rsidRDefault="00EE57E8" w:rsidP="0048364F">
    <w:pPr>
      <w:rPr>
        <w:b/>
        <w:sz w:val="20"/>
      </w:rPr>
    </w:pPr>
  </w:p>
  <w:p w14:paraId="1FB5D324" w14:textId="77777777" w:rsidR="00EE57E8" w:rsidRPr="00A961C4" w:rsidRDefault="00EE57E8" w:rsidP="0048364F">
    <w:pPr>
      <w:rPr>
        <w:b/>
        <w:sz w:val="20"/>
      </w:rPr>
    </w:pPr>
  </w:p>
  <w:p w14:paraId="1D71C5E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BD22" w14:textId="745EB744" w:rsidR="00EE57E8" w:rsidRPr="00A961C4" w:rsidRDefault="00EE57E8" w:rsidP="0048364F">
    <w:pPr>
      <w:jc w:val="right"/>
      <w:rPr>
        <w:sz w:val="20"/>
      </w:rPr>
    </w:pPr>
  </w:p>
  <w:p w14:paraId="27C76282" w14:textId="77777777" w:rsidR="00EE57E8" w:rsidRPr="00A961C4" w:rsidRDefault="00EE57E8" w:rsidP="0048364F">
    <w:pPr>
      <w:jc w:val="right"/>
      <w:rPr>
        <w:b/>
        <w:sz w:val="20"/>
      </w:rPr>
    </w:pPr>
  </w:p>
  <w:p w14:paraId="271AEA4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E28A" w14:textId="3CECB4FF" w:rsidR="001B1EB1" w:rsidRDefault="001B1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B2766"/>
    <w:multiLevelType w:val="hybridMultilevel"/>
    <w:tmpl w:val="E99CC3A4"/>
    <w:lvl w:ilvl="0" w:tplc="8152A224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05A77E9D"/>
    <w:multiLevelType w:val="hybridMultilevel"/>
    <w:tmpl w:val="D258F2A0"/>
    <w:lvl w:ilvl="0" w:tplc="F526620C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751E11"/>
    <w:multiLevelType w:val="hybridMultilevel"/>
    <w:tmpl w:val="BD18E328"/>
    <w:lvl w:ilvl="0" w:tplc="40DA51F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0D1F0395"/>
    <w:multiLevelType w:val="hybridMultilevel"/>
    <w:tmpl w:val="CAF475AA"/>
    <w:lvl w:ilvl="0" w:tplc="F3E439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0BC07A7"/>
    <w:multiLevelType w:val="hybridMultilevel"/>
    <w:tmpl w:val="335228EA"/>
    <w:lvl w:ilvl="0" w:tplc="6B4A5EC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FA80B4E"/>
    <w:multiLevelType w:val="hybridMultilevel"/>
    <w:tmpl w:val="2CF2A21C"/>
    <w:lvl w:ilvl="0" w:tplc="BD7E1CD0">
      <w:start w:val="1"/>
      <w:numFmt w:val="lowerLetter"/>
      <w:lvlText w:val="(%1)"/>
      <w:lvlJc w:val="left"/>
      <w:pPr>
        <w:ind w:left="1174" w:hanging="465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6BE16C8D"/>
    <w:multiLevelType w:val="hybridMultilevel"/>
    <w:tmpl w:val="00367DDA"/>
    <w:lvl w:ilvl="0" w:tplc="3F9827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B452B4"/>
    <w:multiLevelType w:val="hybridMultilevel"/>
    <w:tmpl w:val="C8120F0A"/>
    <w:lvl w:ilvl="0" w:tplc="2FD66AE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799F1D6C"/>
    <w:multiLevelType w:val="hybridMultilevel"/>
    <w:tmpl w:val="61FA2CD6"/>
    <w:lvl w:ilvl="0" w:tplc="39944C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D0B58"/>
    <w:multiLevelType w:val="hybridMultilevel"/>
    <w:tmpl w:val="84E4C3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14"/>
  </w:num>
  <w:num w:numId="18">
    <w:abstractNumId w:val="19"/>
  </w:num>
  <w:num w:numId="19">
    <w:abstractNumId w:val="11"/>
  </w:num>
  <w:num w:numId="20">
    <w:abstractNumId w:val="10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57"/>
    <w:rsid w:val="00000263"/>
    <w:rsid w:val="00002BCC"/>
    <w:rsid w:val="00003A02"/>
    <w:rsid w:val="000113BC"/>
    <w:rsid w:val="000136AF"/>
    <w:rsid w:val="0004044E"/>
    <w:rsid w:val="0004775C"/>
    <w:rsid w:val="0005120E"/>
    <w:rsid w:val="00054577"/>
    <w:rsid w:val="00054ED1"/>
    <w:rsid w:val="000614BF"/>
    <w:rsid w:val="0007169C"/>
    <w:rsid w:val="00077593"/>
    <w:rsid w:val="00083F48"/>
    <w:rsid w:val="00090EB6"/>
    <w:rsid w:val="0009512D"/>
    <w:rsid w:val="000A1001"/>
    <w:rsid w:val="000A38F9"/>
    <w:rsid w:val="000A479A"/>
    <w:rsid w:val="000A7DF9"/>
    <w:rsid w:val="000C1C20"/>
    <w:rsid w:val="000C5C33"/>
    <w:rsid w:val="000D05EF"/>
    <w:rsid w:val="000D3FB9"/>
    <w:rsid w:val="000D5485"/>
    <w:rsid w:val="000E598E"/>
    <w:rsid w:val="000E5A3D"/>
    <w:rsid w:val="000F0ADA"/>
    <w:rsid w:val="000F21C1"/>
    <w:rsid w:val="000F23FF"/>
    <w:rsid w:val="0010745C"/>
    <w:rsid w:val="001122FF"/>
    <w:rsid w:val="0011295D"/>
    <w:rsid w:val="001270C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7BDC"/>
    <w:rsid w:val="001A3B9F"/>
    <w:rsid w:val="001A5520"/>
    <w:rsid w:val="001A65C0"/>
    <w:rsid w:val="001B1EB1"/>
    <w:rsid w:val="001B614D"/>
    <w:rsid w:val="001B7A5D"/>
    <w:rsid w:val="001C69C4"/>
    <w:rsid w:val="001E0A8D"/>
    <w:rsid w:val="001E3590"/>
    <w:rsid w:val="001E7407"/>
    <w:rsid w:val="001F0F3D"/>
    <w:rsid w:val="001F1A46"/>
    <w:rsid w:val="00201D27"/>
    <w:rsid w:val="0021153A"/>
    <w:rsid w:val="002137CC"/>
    <w:rsid w:val="0022278F"/>
    <w:rsid w:val="002245A6"/>
    <w:rsid w:val="002302EA"/>
    <w:rsid w:val="00231117"/>
    <w:rsid w:val="00237614"/>
    <w:rsid w:val="00240749"/>
    <w:rsid w:val="002468D7"/>
    <w:rsid w:val="00247E97"/>
    <w:rsid w:val="00256C81"/>
    <w:rsid w:val="00271DEC"/>
    <w:rsid w:val="00275732"/>
    <w:rsid w:val="00285CDD"/>
    <w:rsid w:val="00291167"/>
    <w:rsid w:val="0029489E"/>
    <w:rsid w:val="00297ECB"/>
    <w:rsid w:val="002C152A"/>
    <w:rsid w:val="002D043A"/>
    <w:rsid w:val="002D5414"/>
    <w:rsid w:val="002E4B93"/>
    <w:rsid w:val="002F6DF7"/>
    <w:rsid w:val="003159B8"/>
    <w:rsid w:val="0031713F"/>
    <w:rsid w:val="003222D1"/>
    <w:rsid w:val="0032750F"/>
    <w:rsid w:val="00330059"/>
    <w:rsid w:val="003415D3"/>
    <w:rsid w:val="003442F6"/>
    <w:rsid w:val="00346335"/>
    <w:rsid w:val="00352B0F"/>
    <w:rsid w:val="003561B0"/>
    <w:rsid w:val="00391F1E"/>
    <w:rsid w:val="00396F6B"/>
    <w:rsid w:val="00397893"/>
    <w:rsid w:val="003A15AC"/>
    <w:rsid w:val="003B0627"/>
    <w:rsid w:val="003C236E"/>
    <w:rsid w:val="003C5BBD"/>
    <w:rsid w:val="003C5F2B"/>
    <w:rsid w:val="003C7D35"/>
    <w:rsid w:val="003D0BFE"/>
    <w:rsid w:val="003D5700"/>
    <w:rsid w:val="003F5291"/>
    <w:rsid w:val="003F6F52"/>
    <w:rsid w:val="00400E4D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67E5"/>
    <w:rsid w:val="00474835"/>
    <w:rsid w:val="004819C7"/>
    <w:rsid w:val="0048364F"/>
    <w:rsid w:val="004877FC"/>
    <w:rsid w:val="00490F2E"/>
    <w:rsid w:val="00496F97"/>
    <w:rsid w:val="004A53EA"/>
    <w:rsid w:val="004B2DF6"/>
    <w:rsid w:val="004B35E7"/>
    <w:rsid w:val="004C78F8"/>
    <w:rsid w:val="004F1FAC"/>
    <w:rsid w:val="004F676E"/>
    <w:rsid w:val="004F71C0"/>
    <w:rsid w:val="00507F7B"/>
    <w:rsid w:val="00510443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5AA8"/>
    <w:rsid w:val="00557C7A"/>
    <w:rsid w:val="00562A58"/>
    <w:rsid w:val="0056541A"/>
    <w:rsid w:val="005742DE"/>
    <w:rsid w:val="00581211"/>
    <w:rsid w:val="00584811"/>
    <w:rsid w:val="00593AA6"/>
    <w:rsid w:val="00594161"/>
    <w:rsid w:val="00594749"/>
    <w:rsid w:val="00594956"/>
    <w:rsid w:val="005955AE"/>
    <w:rsid w:val="00596C0B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DEC"/>
    <w:rsid w:val="005F4AAC"/>
    <w:rsid w:val="005F7EB9"/>
    <w:rsid w:val="00600219"/>
    <w:rsid w:val="006065DA"/>
    <w:rsid w:val="00606AA4"/>
    <w:rsid w:val="00606E0C"/>
    <w:rsid w:val="00621212"/>
    <w:rsid w:val="00640402"/>
    <w:rsid w:val="00640F78"/>
    <w:rsid w:val="00655D6A"/>
    <w:rsid w:val="00656DE9"/>
    <w:rsid w:val="006704D2"/>
    <w:rsid w:val="00672876"/>
    <w:rsid w:val="00677213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1A66"/>
    <w:rsid w:val="00722E89"/>
    <w:rsid w:val="00731E00"/>
    <w:rsid w:val="007339C7"/>
    <w:rsid w:val="0073641D"/>
    <w:rsid w:val="007405F5"/>
    <w:rsid w:val="007440B7"/>
    <w:rsid w:val="00747993"/>
    <w:rsid w:val="00752B99"/>
    <w:rsid w:val="007634AD"/>
    <w:rsid w:val="0076372B"/>
    <w:rsid w:val="007715C9"/>
    <w:rsid w:val="00774EDD"/>
    <w:rsid w:val="007757EC"/>
    <w:rsid w:val="007A6863"/>
    <w:rsid w:val="007C6F6F"/>
    <w:rsid w:val="007C78B4"/>
    <w:rsid w:val="007D53A9"/>
    <w:rsid w:val="007E32B6"/>
    <w:rsid w:val="007E486B"/>
    <w:rsid w:val="007E7D4A"/>
    <w:rsid w:val="007F48ED"/>
    <w:rsid w:val="007F5E3F"/>
    <w:rsid w:val="00812F45"/>
    <w:rsid w:val="00834CEF"/>
    <w:rsid w:val="00836FE9"/>
    <w:rsid w:val="0084172C"/>
    <w:rsid w:val="00843973"/>
    <w:rsid w:val="0085175E"/>
    <w:rsid w:val="00854012"/>
    <w:rsid w:val="00856A31"/>
    <w:rsid w:val="008601E7"/>
    <w:rsid w:val="00867332"/>
    <w:rsid w:val="00870363"/>
    <w:rsid w:val="008754D0"/>
    <w:rsid w:val="00877C69"/>
    <w:rsid w:val="00877D48"/>
    <w:rsid w:val="0088345B"/>
    <w:rsid w:val="00894BDA"/>
    <w:rsid w:val="00895E52"/>
    <w:rsid w:val="008A16A5"/>
    <w:rsid w:val="008A5C57"/>
    <w:rsid w:val="008C0629"/>
    <w:rsid w:val="008D0EE0"/>
    <w:rsid w:val="008D7A27"/>
    <w:rsid w:val="008E4702"/>
    <w:rsid w:val="008E4FC8"/>
    <w:rsid w:val="008E69AA"/>
    <w:rsid w:val="008F197E"/>
    <w:rsid w:val="008F4B8A"/>
    <w:rsid w:val="008F4F1C"/>
    <w:rsid w:val="009069AD"/>
    <w:rsid w:val="00910E64"/>
    <w:rsid w:val="00922764"/>
    <w:rsid w:val="009278C1"/>
    <w:rsid w:val="00932377"/>
    <w:rsid w:val="009346E3"/>
    <w:rsid w:val="0094523D"/>
    <w:rsid w:val="00952C1A"/>
    <w:rsid w:val="00976A63"/>
    <w:rsid w:val="00985A36"/>
    <w:rsid w:val="009B2490"/>
    <w:rsid w:val="009B50E5"/>
    <w:rsid w:val="009C3315"/>
    <w:rsid w:val="009C3431"/>
    <w:rsid w:val="009C5989"/>
    <w:rsid w:val="009C6A32"/>
    <w:rsid w:val="009D08DA"/>
    <w:rsid w:val="00A06860"/>
    <w:rsid w:val="00A126D9"/>
    <w:rsid w:val="00A136F5"/>
    <w:rsid w:val="00A231E2"/>
    <w:rsid w:val="00A2550D"/>
    <w:rsid w:val="00A2787A"/>
    <w:rsid w:val="00A379BB"/>
    <w:rsid w:val="00A4169B"/>
    <w:rsid w:val="00A46DD7"/>
    <w:rsid w:val="00A50D55"/>
    <w:rsid w:val="00A52FDA"/>
    <w:rsid w:val="00A55A0B"/>
    <w:rsid w:val="00A62AC9"/>
    <w:rsid w:val="00A64912"/>
    <w:rsid w:val="00A70A74"/>
    <w:rsid w:val="00A73B0D"/>
    <w:rsid w:val="00A9231A"/>
    <w:rsid w:val="00A95BC7"/>
    <w:rsid w:val="00AA0343"/>
    <w:rsid w:val="00AA78CE"/>
    <w:rsid w:val="00AA7B26"/>
    <w:rsid w:val="00AC767C"/>
    <w:rsid w:val="00AD3467"/>
    <w:rsid w:val="00AD5641"/>
    <w:rsid w:val="00AE17E1"/>
    <w:rsid w:val="00AE4B54"/>
    <w:rsid w:val="00AF2328"/>
    <w:rsid w:val="00AF33DB"/>
    <w:rsid w:val="00B032D8"/>
    <w:rsid w:val="00B05D72"/>
    <w:rsid w:val="00B14243"/>
    <w:rsid w:val="00B20990"/>
    <w:rsid w:val="00B23FAF"/>
    <w:rsid w:val="00B33B3C"/>
    <w:rsid w:val="00B3754F"/>
    <w:rsid w:val="00B40D74"/>
    <w:rsid w:val="00B42649"/>
    <w:rsid w:val="00B46467"/>
    <w:rsid w:val="00B51A01"/>
    <w:rsid w:val="00B52663"/>
    <w:rsid w:val="00B56DCB"/>
    <w:rsid w:val="00B60266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3F0B"/>
    <w:rsid w:val="00BD08A5"/>
    <w:rsid w:val="00BE42C5"/>
    <w:rsid w:val="00BE719A"/>
    <w:rsid w:val="00BE720A"/>
    <w:rsid w:val="00BF0723"/>
    <w:rsid w:val="00BF6650"/>
    <w:rsid w:val="00C067E5"/>
    <w:rsid w:val="00C164CA"/>
    <w:rsid w:val="00C166C5"/>
    <w:rsid w:val="00C26051"/>
    <w:rsid w:val="00C42BF8"/>
    <w:rsid w:val="00C44064"/>
    <w:rsid w:val="00C460AE"/>
    <w:rsid w:val="00C50043"/>
    <w:rsid w:val="00C5015F"/>
    <w:rsid w:val="00C50A0F"/>
    <w:rsid w:val="00C50F4A"/>
    <w:rsid w:val="00C553B8"/>
    <w:rsid w:val="00C72D10"/>
    <w:rsid w:val="00C7573B"/>
    <w:rsid w:val="00C76CF3"/>
    <w:rsid w:val="00C93205"/>
    <w:rsid w:val="00C945DC"/>
    <w:rsid w:val="00CA7844"/>
    <w:rsid w:val="00CB58EF"/>
    <w:rsid w:val="00CD1E80"/>
    <w:rsid w:val="00CE0A93"/>
    <w:rsid w:val="00CF0BB2"/>
    <w:rsid w:val="00CF48D4"/>
    <w:rsid w:val="00D12B0D"/>
    <w:rsid w:val="00D13441"/>
    <w:rsid w:val="00D22C57"/>
    <w:rsid w:val="00D23AA8"/>
    <w:rsid w:val="00D243A3"/>
    <w:rsid w:val="00D33440"/>
    <w:rsid w:val="00D52EFE"/>
    <w:rsid w:val="00D53305"/>
    <w:rsid w:val="00D56A0D"/>
    <w:rsid w:val="00D57515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12E1"/>
    <w:rsid w:val="00DC4A6C"/>
    <w:rsid w:val="00DE149E"/>
    <w:rsid w:val="00DF63FE"/>
    <w:rsid w:val="00E034DB"/>
    <w:rsid w:val="00E05704"/>
    <w:rsid w:val="00E12F1A"/>
    <w:rsid w:val="00E1313A"/>
    <w:rsid w:val="00E22935"/>
    <w:rsid w:val="00E2699D"/>
    <w:rsid w:val="00E5120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023D"/>
    <w:rsid w:val="00F8121C"/>
    <w:rsid w:val="00F84CF5"/>
    <w:rsid w:val="00F8612E"/>
    <w:rsid w:val="00F94583"/>
    <w:rsid w:val="00F95B63"/>
    <w:rsid w:val="00FA420B"/>
    <w:rsid w:val="00FB584A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BD1DB"/>
  <w15:docId w15:val="{7903EFCA-3D0E-4550-9960-63E4874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5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8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8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4A"/>
    <w:rPr>
      <w:b/>
      <w:bCs/>
    </w:rPr>
  </w:style>
  <w:style w:type="paragraph" w:styleId="ListParagraph">
    <w:name w:val="List Paragraph"/>
    <w:basedOn w:val="Normal"/>
    <w:uiPriority w:val="34"/>
    <w:qFormat/>
    <w:rsid w:val="00FB5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DF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07F7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7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4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7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0032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511C68532751E498A50FE1DFDA008C9" ma:contentTypeVersion="" ma:contentTypeDescription="PDMS Document Site Content Type" ma:contentTypeScope="" ma:versionID="e1d57250ff584e4b8e60ef7fdd104d89">
  <xsd:schema xmlns:xsd="http://www.w3.org/2001/XMLSchema" xmlns:xs="http://www.w3.org/2001/XMLSchema" xmlns:p="http://schemas.microsoft.com/office/2006/metadata/properties" xmlns:ns2="EF557D28-4594-49EF-9182-298B044AB89C" targetNamespace="http://schemas.microsoft.com/office/2006/metadata/properties" ma:root="true" ma:fieldsID="6f7a01f8c7f377737b8a3fd7f1683ed1" ns2:_="">
    <xsd:import namespace="EF557D28-4594-49EF-9182-298B044AB89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57D28-4594-49EF-9182-298B044AB89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F557D28-4594-49EF-9182-298B044AB8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C0B8-F864-49B7-9841-F32D98F83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57D28-4594-49EF-9182-298B044AB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F3435-E053-48C8-AFF4-6821AB9DA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28274-85A7-4DC5-B636-5D5241AE65E4}">
  <ds:schemaRefs>
    <ds:schemaRef ds:uri="http://schemas.microsoft.com/office/2006/metadata/properties"/>
    <ds:schemaRef ds:uri="http://schemas.microsoft.com/office/infopath/2007/PartnerControls"/>
    <ds:schemaRef ds:uri="EF557D28-4594-49EF-9182-298B044AB89C"/>
  </ds:schemaRefs>
</ds:datastoreItem>
</file>

<file path=customXml/itemProps4.xml><?xml version="1.0" encoding="utf-8"?>
<ds:datastoreItem xmlns:ds="http://schemas.openxmlformats.org/officeDocument/2006/customXml" ds:itemID="{AEEC757D-6BBE-46A1-8381-CA80628C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0</TotalTime>
  <Pages>7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TSAO, Thomas</dc:creator>
  <cp:keywords/>
  <dc:description/>
  <cp:lastModifiedBy>TEIVONEN, Brittany</cp:lastModifiedBy>
  <cp:revision>3</cp:revision>
  <cp:lastPrinted>2020-09-14T05:32:00Z</cp:lastPrinted>
  <dcterms:created xsi:type="dcterms:W3CDTF">2020-09-25T03:23:00Z</dcterms:created>
  <dcterms:modified xsi:type="dcterms:W3CDTF">2020-09-25T03:58:00Z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0x010100266966F133664895A6EE3632470D45F5006511C68532751E498A50FE1DFDA008C9</vt:lpwstr>
  </property>
</Properties>
</file>