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8A" w:rsidRPr="00034E0F" w:rsidRDefault="00633F8A" w:rsidP="00D42FE1">
      <w:pPr>
        <w:rPr>
          <w:sz w:val="28"/>
        </w:rPr>
      </w:pPr>
      <w:r w:rsidRPr="00034E0F">
        <w:rPr>
          <w:noProof/>
          <w:lang w:eastAsia="en-AU"/>
        </w:rPr>
        <w:drawing>
          <wp:inline distT="0" distB="0" distL="0" distR="0" wp14:anchorId="3150809C" wp14:editId="7862B45D">
            <wp:extent cx="1503328" cy="1105200"/>
            <wp:effectExtent l="0" t="0" r="1905" b="0"/>
            <wp:docPr id="101" name="Picture 10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8A" w:rsidRPr="00034E0F" w:rsidRDefault="00633F8A" w:rsidP="00D42FE1">
      <w:pPr>
        <w:rPr>
          <w:sz w:val="19"/>
        </w:rPr>
      </w:pPr>
    </w:p>
    <w:p w:rsidR="00633F8A" w:rsidRPr="00034E0F" w:rsidRDefault="00633F8A" w:rsidP="00D42FE1">
      <w:pPr>
        <w:pStyle w:val="ShortT"/>
      </w:pPr>
      <w:r w:rsidRPr="00034E0F">
        <w:t xml:space="preserve">Federal Circuit Court Amendment (Powers Delegated to Registrars) </w:t>
      </w:r>
      <w:r w:rsidR="00034E0F">
        <w:t>Rules 2</w:t>
      </w:r>
      <w:r w:rsidRPr="00034E0F">
        <w:t>020</w:t>
      </w:r>
    </w:p>
    <w:p w:rsidR="00633F8A" w:rsidRPr="00034E0F" w:rsidRDefault="00633F8A" w:rsidP="00D42FE1">
      <w:pPr>
        <w:pStyle w:val="SignCoverPageStart"/>
        <w:rPr>
          <w:i/>
          <w:szCs w:val="22"/>
        </w:rPr>
      </w:pPr>
      <w:r w:rsidRPr="00034E0F">
        <w:rPr>
          <w:szCs w:val="22"/>
        </w:rPr>
        <w:t>We, Judges of the Federal Circuit Court of Australia, make the following Rules of Court.</w:t>
      </w:r>
    </w:p>
    <w:p w:rsidR="00633F8A" w:rsidRPr="00034E0F" w:rsidRDefault="00633F8A" w:rsidP="00D42FE1">
      <w:pPr>
        <w:rPr>
          <w:szCs w:val="22"/>
        </w:rPr>
      </w:pPr>
    </w:p>
    <w:p w:rsidR="00633F8A" w:rsidRPr="00034E0F" w:rsidRDefault="00633F8A" w:rsidP="00D42FE1">
      <w:pPr>
        <w:keepNext/>
        <w:spacing w:before="300" w:line="240" w:lineRule="atLeast"/>
        <w:ind w:right="397"/>
        <w:jc w:val="both"/>
        <w:rPr>
          <w:szCs w:val="22"/>
        </w:rPr>
      </w:pPr>
      <w:r w:rsidRPr="00034E0F">
        <w:rPr>
          <w:szCs w:val="22"/>
        </w:rPr>
        <w:t>Dated</w:t>
      </w:r>
      <w:r w:rsidR="00B620C5">
        <w:rPr>
          <w:szCs w:val="22"/>
        </w:rPr>
        <w:t xml:space="preserve"> </w:t>
      </w:r>
      <w:bookmarkStart w:id="0" w:name="BKCheck15B_1"/>
      <w:bookmarkEnd w:id="0"/>
      <w:r w:rsidRPr="00034E0F">
        <w:rPr>
          <w:szCs w:val="22"/>
        </w:rPr>
        <w:fldChar w:fldCharType="begin"/>
      </w:r>
      <w:r w:rsidRPr="00034E0F">
        <w:rPr>
          <w:szCs w:val="22"/>
        </w:rPr>
        <w:instrText xml:space="preserve"> DOCPROPERTY  DateMade </w:instrText>
      </w:r>
      <w:r w:rsidRPr="00034E0F">
        <w:rPr>
          <w:szCs w:val="22"/>
        </w:rPr>
        <w:fldChar w:fldCharType="separate"/>
      </w:r>
      <w:r w:rsidR="00B620C5">
        <w:rPr>
          <w:szCs w:val="22"/>
        </w:rPr>
        <w:t>21 September 2020</w:t>
      </w:r>
      <w:r w:rsidRPr="00034E0F">
        <w:rPr>
          <w:szCs w:val="22"/>
        </w:rPr>
        <w:fldChar w:fldCharType="end"/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Chief Judge Alstergren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Altobelli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Andrew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Baird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Bender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Boyle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Brown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Cameron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Demack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Driver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Harland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Howard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Humphreys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Jarrett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A Kelly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Kemp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Kendall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Lapthorn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McGuire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McNab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Mercuri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Middleton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Monahan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Myers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W Neville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lastRenderedPageBreak/>
        <w:t>Judge Purdon-Sully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>
        <w:rPr>
          <w:szCs w:val="22"/>
        </w:rPr>
        <w:t>Judge Riethmuller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>
        <w:rPr>
          <w:szCs w:val="22"/>
        </w:rPr>
        <w:t>Judge B Smith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Spelleken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>
        <w:rPr>
          <w:szCs w:val="22"/>
        </w:rPr>
        <w:t>Judge Street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Tonkin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>
        <w:rPr>
          <w:szCs w:val="22"/>
        </w:rPr>
        <w:t>Judge Turner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>
        <w:rPr>
          <w:szCs w:val="22"/>
        </w:rPr>
        <w:t>Judge Vasta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>
        <w:rPr>
          <w:szCs w:val="22"/>
        </w:rPr>
        <w:t>Judge Willis</w:t>
      </w:r>
    </w:p>
    <w:p w:rsidR="00B620C5" w:rsidRPr="00B620C5" w:rsidRDefault="00B620C5" w:rsidP="00B620C5">
      <w:pPr>
        <w:spacing w:before="120"/>
        <w:ind w:left="397" w:right="397"/>
        <w:jc w:val="right"/>
        <w:rPr>
          <w:szCs w:val="22"/>
        </w:rPr>
      </w:pPr>
      <w:r w:rsidRPr="00B620C5">
        <w:rPr>
          <w:szCs w:val="22"/>
        </w:rPr>
        <w:t>Judge Young</w:t>
      </w:r>
    </w:p>
    <w:p w:rsidR="00633F8A" w:rsidRPr="00034E0F" w:rsidRDefault="00633F8A" w:rsidP="00DC3987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034E0F">
        <w:rPr>
          <w:szCs w:val="22"/>
        </w:rPr>
        <w:t>Judges of the Federal Circuit</w:t>
      </w:r>
      <w:r w:rsidRPr="00034E0F">
        <w:rPr>
          <w:szCs w:val="22"/>
        </w:rPr>
        <w:br/>
        <w:t>Court of Australia</w:t>
      </w:r>
    </w:p>
    <w:p w:rsidR="003F7D96" w:rsidRDefault="007D7453" w:rsidP="003F7D96">
      <w:pPr>
        <w:pStyle w:val="SignCoverPageEnd"/>
        <w:spacing w:before="1080" w:after="0"/>
        <w:rPr>
          <w:szCs w:val="22"/>
        </w:rPr>
      </w:pPr>
      <w:r>
        <w:rPr>
          <w:szCs w:val="22"/>
        </w:rPr>
        <w:t>Virginia Wilso</w:t>
      </w:r>
      <w:r w:rsidR="000E2CA7">
        <w:rPr>
          <w:szCs w:val="22"/>
        </w:rPr>
        <w:t>n</w:t>
      </w:r>
    </w:p>
    <w:p w:rsidR="00633F8A" w:rsidRPr="00034E0F" w:rsidRDefault="003F7D96" w:rsidP="003F7D96">
      <w:pPr>
        <w:pStyle w:val="SignCoverPageEnd"/>
        <w:spacing w:before="120" w:line="260" w:lineRule="atLeast"/>
      </w:pPr>
      <w:r>
        <w:rPr>
          <w:szCs w:val="22"/>
        </w:rPr>
        <w:t xml:space="preserve">Acting </w:t>
      </w:r>
      <w:r w:rsidR="00633F8A" w:rsidRPr="00034E0F">
        <w:rPr>
          <w:szCs w:val="22"/>
        </w:rPr>
        <w:t>Chief Executive Officer and Principal Registrar</w:t>
      </w:r>
    </w:p>
    <w:p w:rsidR="00633F8A" w:rsidRPr="00034E0F" w:rsidRDefault="00633F8A" w:rsidP="00D42FE1"/>
    <w:p w:rsidR="00633F8A" w:rsidRPr="002B020E" w:rsidRDefault="00633F8A" w:rsidP="00D42FE1">
      <w:pPr>
        <w:pStyle w:val="Header"/>
        <w:tabs>
          <w:tab w:val="clear" w:pos="4150"/>
          <w:tab w:val="clear" w:pos="8307"/>
        </w:tabs>
      </w:pPr>
      <w:r w:rsidRPr="002B020E">
        <w:rPr>
          <w:rStyle w:val="CharAmSchNo"/>
        </w:rPr>
        <w:t xml:space="preserve"> </w:t>
      </w:r>
      <w:r w:rsidRPr="002B020E">
        <w:rPr>
          <w:rStyle w:val="CharAmSchText"/>
        </w:rPr>
        <w:t xml:space="preserve"> </w:t>
      </w:r>
    </w:p>
    <w:p w:rsidR="00633F8A" w:rsidRPr="002B020E" w:rsidRDefault="00633F8A" w:rsidP="00D42FE1">
      <w:pPr>
        <w:pStyle w:val="Header"/>
        <w:tabs>
          <w:tab w:val="clear" w:pos="4150"/>
          <w:tab w:val="clear" w:pos="8307"/>
        </w:tabs>
      </w:pPr>
      <w:r w:rsidRPr="002B020E">
        <w:rPr>
          <w:rStyle w:val="CharAmPartNo"/>
        </w:rPr>
        <w:t xml:space="preserve"> </w:t>
      </w:r>
      <w:r w:rsidRPr="002B020E">
        <w:rPr>
          <w:rStyle w:val="CharAmPartText"/>
        </w:rPr>
        <w:t xml:space="preserve"> </w:t>
      </w:r>
    </w:p>
    <w:p w:rsidR="00633F8A" w:rsidRPr="00034E0F" w:rsidRDefault="00633F8A" w:rsidP="00D42FE1">
      <w:pPr>
        <w:sectPr w:rsidR="00633F8A" w:rsidRPr="00034E0F" w:rsidSect="000A33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34E0F" w:rsidRDefault="0048364F" w:rsidP="0064086E">
      <w:pPr>
        <w:rPr>
          <w:sz w:val="36"/>
        </w:rPr>
      </w:pPr>
      <w:r w:rsidRPr="00034E0F">
        <w:rPr>
          <w:sz w:val="36"/>
        </w:rPr>
        <w:lastRenderedPageBreak/>
        <w:t>Contents</w:t>
      </w:r>
    </w:p>
    <w:bookmarkStart w:id="1" w:name="BKCheck15B_2"/>
    <w:bookmarkEnd w:id="1"/>
    <w:p w:rsidR="00034E0F" w:rsidRDefault="00034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34E0F">
        <w:rPr>
          <w:noProof/>
        </w:rPr>
        <w:tab/>
      </w:r>
      <w:r w:rsidRPr="00034E0F">
        <w:rPr>
          <w:noProof/>
        </w:rPr>
        <w:fldChar w:fldCharType="begin"/>
      </w:r>
      <w:r w:rsidRPr="00034E0F">
        <w:rPr>
          <w:noProof/>
        </w:rPr>
        <w:instrText xml:space="preserve"> PAGEREF _Toc51062726 \h </w:instrText>
      </w:r>
      <w:r w:rsidRPr="00034E0F">
        <w:rPr>
          <w:noProof/>
        </w:rPr>
      </w:r>
      <w:r w:rsidRPr="00034E0F">
        <w:rPr>
          <w:noProof/>
        </w:rPr>
        <w:fldChar w:fldCharType="separate"/>
      </w:r>
      <w:r w:rsidR="00B620C5">
        <w:rPr>
          <w:noProof/>
        </w:rPr>
        <w:t>1</w:t>
      </w:r>
      <w:r w:rsidRPr="00034E0F">
        <w:rPr>
          <w:noProof/>
        </w:rPr>
        <w:fldChar w:fldCharType="end"/>
      </w:r>
    </w:p>
    <w:p w:rsidR="00034E0F" w:rsidRDefault="00034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34E0F">
        <w:rPr>
          <w:noProof/>
        </w:rPr>
        <w:tab/>
      </w:r>
      <w:r w:rsidRPr="00034E0F">
        <w:rPr>
          <w:noProof/>
        </w:rPr>
        <w:fldChar w:fldCharType="begin"/>
      </w:r>
      <w:r w:rsidRPr="00034E0F">
        <w:rPr>
          <w:noProof/>
        </w:rPr>
        <w:instrText xml:space="preserve"> PAGEREF _Toc51062727 \h </w:instrText>
      </w:r>
      <w:r w:rsidRPr="00034E0F">
        <w:rPr>
          <w:noProof/>
        </w:rPr>
      </w:r>
      <w:r w:rsidRPr="00034E0F">
        <w:rPr>
          <w:noProof/>
        </w:rPr>
        <w:fldChar w:fldCharType="separate"/>
      </w:r>
      <w:r w:rsidR="00B620C5">
        <w:rPr>
          <w:noProof/>
        </w:rPr>
        <w:t>1</w:t>
      </w:r>
      <w:r w:rsidRPr="00034E0F">
        <w:rPr>
          <w:noProof/>
        </w:rPr>
        <w:fldChar w:fldCharType="end"/>
      </w:r>
    </w:p>
    <w:p w:rsidR="00034E0F" w:rsidRDefault="00034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34E0F">
        <w:rPr>
          <w:noProof/>
        </w:rPr>
        <w:tab/>
      </w:r>
      <w:r w:rsidRPr="00034E0F">
        <w:rPr>
          <w:noProof/>
        </w:rPr>
        <w:fldChar w:fldCharType="begin"/>
      </w:r>
      <w:r w:rsidRPr="00034E0F">
        <w:rPr>
          <w:noProof/>
        </w:rPr>
        <w:instrText xml:space="preserve"> PAGEREF _Toc51062728 \h </w:instrText>
      </w:r>
      <w:r w:rsidRPr="00034E0F">
        <w:rPr>
          <w:noProof/>
        </w:rPr>
      </w:r>
      <w:r w:rsidRPr="00034E0F">
        <w:rPr>
          <w:noProof/>
        </w:rPr>
        <w:fldChar w:fldCharType="separate"/>
      </w:r>
      <w:r w:rsidR="00B620C5">
        <w:rPr>
          <w:noProof/>
        </w:rPr>
        <w:t>1</w:t>
      </w:r>
      <w:r w:rsidRPr="00034E0F">
        <w:rPr>
          <w:noProof/>
        </w:rPr>
        <w:fldChar w:fldCharType="end"/>
      </w:r>
    </w:p>
    <w:p w:rsidR="00034E0F" w:rsidRDefault="00034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34E0F">
        <w:rPr>
          <w:noProof/>
        </w:rPr>
        <w:tab/>
      </w:r>
      <w:r w:rsidRPr="00034E0F">
        <w:rPr>
          <w:noProof/>
        </w:rPr>
        <w:fldChar w:fldCharType="begin"/>
      </w:r>
      <w:r w:rsidRPr="00034E0F">
        <w:rPr>
          <w:noProof/>
        </w:rPr>
        <w:instrText xml:space="preserve"> PAGEREF _Toc51062729 \h </w:instrText>
      </w:r>
      <w:r w:rsidRPr="00034E0F">
        <w:rPr>
          <w:noProof/>
        </w:rPr>
      </w:r>
      <w:r w:rsidRPr="00034E0F">
        <w:rPr>
          <w:noProof/>
        </w:rPr>
        <w:fldChar w:fldCharType="separate"/>
      </w:r>
      <w:r w:rsidR="00B620C5">
        <w:rPr>
          <w:noProof/>
        </w:rPr>
        <w:t>1</w:t>
      </w:r>
      <w:r w:rsidRPr="00034E0F">
        <w:rPr>
          <w:noProof/>
        </w:rPr>
        <w:fldChar w:fldCharType="end"/>
      </w:r>
    </w:p>
    <w:p w:rsidR="00034E0F" w:rsidRDefault="00034E0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34E0F">
        <w:rPr>
          <w:b w:val="0"/>
          <w:noProof/>
          <w:sz w:val="18"/>
        </w:rPr>
        <w:tab/>
      </w:r>
      <w:r w:rsidRPr="00034E0F">
        <w:rPr>
          <w:b w:val="0"/>
          <w:noProof/>
          <w:sz w:val="18"/>
        </w:rPr>
        <w:fldChar w:fldCharType="begin"/>
      </w:r>
      <w:r w:rsidRPr="00034E0F">
        <w:rPr>
          <w:b w:val="0"/>
          <w:noProof/>
          <w:sz w:val="18"/>
        </w:rPr>
        <w:instrText xml:space="preserve"> PAGEREF _Toc51062730 \h </w:instrText>
      </w:r>
      <w:r w:rsidRPr="00034E0F">
        <w:rPr>
          <w:b w:val="0"/>
          <w:noProof/>
          <w:sz w:val="18"/>
        </w:rPr>
      </w:r>
      <w:r w:rsidRPr="00034E0F">
        <w:rPr>
          <w:b w:val="0"/>
          <w:noProof/>
          <w:sz w:val="18"/>
        </w:rPr>
        <w:fldChar w:fldCharType="separate"/>
      </w:r>
      <w:r w:rsidR="00B620C5">
        <w:rPr>
          <w:b w:val="0"/>
          <w:noProof/>
          <w:sz w:val="18"/>
        </w:rPr>
        <w:t>2</w:t>
      </w:r>
      <w:r w:rsidRPr="00034E0F">
        <w:rPr>
          <w:b w:val="0"/>
          <w:noProof/>
          <w:sz w:val="18"/>
        </w:rPr>
        <w:fldChar w:fldCharType="end"/>
      </w:r>
    </w:p>
    <w:p w:rsidR="00034E0F" w:rsidRDefault="00034E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Federal Circuit Court Rules 2001</w:t>
      </w:r>
      <w:r w:rsidRPr="00034E0F">
        <w:rPr>
          <w:i w:val="0"/>
          <w:noProof/>
          <w:sz w:val="18"/>
        </w:rPr>
        <w:tab/>
      </w:r>
      <w:r w:rsidRPr="00034E0F">
        <w:rPr>
          <w:i w:val="0"/>
          <w:noProof/>
          <w:sz w:val="18"/>
        </w:rPr>
        <w:fldChar w:fldCharType="begin"/>
      </w:r>
      <w:r w:rsidRPr="00034E0F">
        <w:rPr>
          <w:i w:val="0"/>
          <w:noProof/>
          <w:sz w:val="18"/>
        </w:rPr>
        <w:instrText xml:space="preserve"> PAGEREF _Toc51062731 \h </w:instrText>
      </w:r>
      <w:r w:rsidRPr="00034E0F">
        <w:rPr>
          <w:i w:val="0"/>
          <w:noProof/>
          <w:sz w:val="18"/>
        </w:rPr>
      </w:r>
      <w:r w:rsidRPr="00034E0F">
        <w:rPr>
          <w:i w:val="0"/>
          <w:noProof/>
          <w:sz w:val="18"/>
        </w:rPr>
        <w:fldChar w:fldCharType="separate"/>
      </w:r>
      <w:r w:rsidR="00B620C5">
        <w:rPr>
          <w:i w:val="0"/>
          <w:noProof/>
          <w:sz w:val="18"/>
        </w:rPr>
        <w:t>2</w:t>
      </w:r>
      <w:r w:rsidRPr="00034E0F">
        <w:rPr>
          <w:i w:val="0"/>
          <w:noProof/>
          <w:sz w:val="18"/>
        </w:rPr>
        <w:fldChar w:fldCharType="end"/>
      </w:r>
    </w:p>
    <w:p w:rsidR="0048364F" w:rsidRPr="00034E0F" w:rsidRDefault="00034E0F" w:rsidP="0048364F">
      <w:r>
        <w:fldChar w:fldCharType="end"/>
      </w:r>
    </w:p>
    <w:p w:rsidR="0048364F" w:rsidRPr="00034E0F" w:rsidRDefault="0048364F" w:rsidP="0048364F">
      <w:pPr>
        <w:sectPr w:rsidR="0048364F" w:rsidRPr="00034E0F" w:rsidSect="000A331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34E0F" w:rsidRDefault="0048364F" w:rsidP="0048364F">
      <w:pPr>
        <w:pStyle w:val="ActHead5"/>
      </w:pPr>
      <w:bookmarkStart w:id="2" w:name="_Toc51062726"/>
      <w:r w:rsidRPr="002B020E">
        <w:rPr>
          <w:rStyle w:val="CharSectno"/>
        </w:rPr>
        <w:t>1</w:t>
      </w:r>
      <w:r w:rsidRPr="00034E0F">
        <w:t xml:space="preserve">  </w:t>
      </w:r>
      <w:r w:rsidR="004F676E" w:rsidRPr="00034E0F">
        <w:t>Name</w:t>
      </w:r>
      <w:bookmarkEnd w:id="2"/>
    </w:p>
    <w:p w:rsidR="0048364F" w:rsidRPr="00034E0F" w:rsidRDefault="0048364F" w:rsidP="0048364F">
      <w:pPr>
        <w:pStyle w:val="subsection"/>
      </w:pPr>
      <w:r w:rsidRPr="00034E0F">
        <w:tab/>
      </w:r>
      <w:r w:rsidRPr="00034E0F">
        <w:tab/>
      </w:r>
      <w:r w:rsidR="00633F8A" w:rsidRPr="00034E0F">
        <w:t>These Rules are</w:t>
      </w:r>
      <w:r w:rsidRPr="00034E0F">
        <w:t xml:space="preserve"> the </w:t>
      </w:r>
      <w:bookmarkStart w:id="3" w:name="BKCheck15B_3"/>
      <w:bookmarkEnd w:id="3"/>
      <w:r w:rsidR="00414ADE" w:rsidRPr="00034E0F">
        <w:rPr>
          <w:i/>
        </w:rPr>
        <w:fldChar w:fldCharType="begin"/>
      </w:r>
      <w:r w:rsidR="00414ADE" w:rsidRPr="00034E0F">
        <w:rPr>
          <w:i/>
        </w:rPr>
        <w:instrText xml:space="preserve"> STYLEREF  ShortT </w:instrText>
      </w:r>
      <w:r w:rsidR="00414ADE" w:rsidRPr="00034E0F">
        <w:rPr>
          <w:i/>
        </w:rPr>
        <w:fldChar w:fldCharType="separate"/>
      </w:r>
      <w:r w:rsidR="00B620C5">
        <w:rPr>
          <w:i/>
          <w:noProof/>
        </w:rPr>
        <w:t>Federal Circuit Court Amendment (Powers Delegated to Registrars) Rules 2020</w:t>
      </w:r>
      <w:r w:rsidR="00414ADE" w:rsidRPr="00034E0F">
        <w:rPr>
          <w:i/>
        </w:rPr>
        <w:fldChar w:fldCharType="end"/>
      </w:r>
      <w:r w:rsidRPr="00034E0F">
        <w:t>.</w:t>
      </w:r>
    </w:p>
    <w:p w:rsidR="004F676E" w:rsidRPr="00034E0F" w:rsidRDefault="0048364F" w:rsidP="005452CC">
      <w:pPr>
        <w:pStyle w:val="ActHead5"/>
      </w:pPr>
      <w:bookmarkStart w:id="4" w:name="_Toc51062727"/>
      <w:r w:rsidRPr="002B020E">
        <w:rPr>
          <w:rStyle w:val="CharSectno"/>
        </w:rPr>
        <w:t>2</w:t>
      </w:r>
      <w:r w:rsidRPr="00034E0F">
        <w:t xml:space="preserve">  Commencement</w:t>
      </w:r>
      <w:bookmarkEnd w:id="4"/>
    </w:p>
    <w:p w:rsidR="005452CC" w:rsidRPr="00034E0F" w:rsidRDefault="005452CC" w:rsidP="00D42FE1">
      <w:pPr>
        <w:pStyle w:val="subsection"/>
      </w:pPr>
      <w:r w:rsidRPr="00034E0F">
        <w:tab/>
        <w:t>(1)</w:t>
      </w:r>
      <w:r w:rsidRPr="00034E0F">
        <w:tab/>
        <w:t xml:space="preserve">Each provision of </w:t>
      </w:r>
      <w:r w:rsidR="00633F8A" w:rsidRPr="00034E0F">
        <w:t>these Rules</w:t>
      </w:r>
      <w:r w:rsidRPr="00034E0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34E0F" w:rsidRDefault="005452CC" w:rsidP="00D42FE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34E0F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34E0F" w:rsidRDefault="005452CC" w:rsidP="00D42FE1">
            <w:pPr>
              <w:pStyle w:val="TableHeading"/>
            </w:pPr>
            <w:r w:rsidRPr="00034E0F">
              <w:t>Commencement information</w:t>
            </w:r>
          </w:p>
        </w:tc>
      </w:tr>
      <w:tr w:rsidR="005452CC" w:rsidRPr="00034E0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34E0F" w:rsidRDefault="005452CC" w:rsidP="00D42FE1">
            <w:pPr>
              <w:pStyle w:val="TableHeading"/>
            </w:pPr>
            <w:r w:rsidRPr="00034E0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34E0F" w:rsidRDefault="005452CC" w:rsidP="00D42FE1">
            <w:pPr>
              <w:pStyle w:val="TableHeading"/>
            </w:pPr>
            <w:r w:rsidRPr="00034E0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34E0F" w:rsidRDefault="005452CC" w:rsidP="00D42FE1">
            <w:pPr>
              <w:pStyle w:val="TableHeading"/>
            </w:pPr>
            <w:r w:rsidRPr="00034E0F">
              <w:t>Column 3</w:t>
            </w:r>
          </w:p>
        </w:tc>
      </w:tr>
      <w:tr w:rsidR="005452CC" w:rsidRPr="00034E0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34E0F" w:rsidRDefault="005452CC" w:rsidP="00D42FE1">
            <w:pPr>
              <w:pStyle w:val="TableHeading"/>
            </w:pPr>
            <w:r w:rsidRPr="00034E0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34E0F" w:rsidRDefault="005452CC" w:rsidP="00D42FE1">
            <w:pPr>
              <w:pStyle w:val="TableHeading"/>
            </w:pPr>
            <w:r w:rsidRPr="00034E0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34E0F" w:rsidRDefault="005452CC" w:rsidP="00D42FE1">
            <w:pPr>
              <w:pStyle w:val="TableHeading"/>
            </w:pPr>
            <w:r w:rsidRPr="00034E0F">
              <w:t>Date/Details</w:t>
            </w:r>
          </w:p>
        </w:tc>
      </w:tr>
      <w:tr w:rsidR="005452CC" w:rsidRPr="00034E0F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34E0F" w:rsidRDefault="005452CC" w:rsidP="00AD7252">
            <w:pPr>
              <w:pStyle w:val="Tabletext"/>
            </w:pPr>
            <w:r w:rsidRPr="00034E0F">
              <w:t xml:space="preserve">1.  </w:t>
            </w:r>
            <w:r w:rsidR="00AD7252" w:rsidRPr="00034E0F">
              <w:t xml:space="preserve">The whole of </w:t>
            </w:r>
            <w:r w:rsidR="00633F8A" w:rsidRPr="00034E0F">
              <w:t>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34E0F" w:rsidRDefault="005452CC" w:rsidP="005452CC">
            <w:pPr>
              <w:pStyle w:val="Tabletext"/>
            </w:pPr>
            <w:r w:rsidRPr="00034E0F">
              <w:t xml:space="preserve">The day after </w:t>
            </w:r>
            <w:r w:rsidR="00633F8A" w:rsidRPr="00034E0F">
              <w:t>these Rules are</w:t>
            </w:r>
            <w:r w:rsidRPr="00034E0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34E0F" w:rsidRDefault="00507499">
            <w:pPr>
              <w:pStyle w:val="Tabletext"/>
            </w:pPr>
            <w:r>
              <w:t>26 September 2020</w:t>
            </w:r>
            <w:bookmarkStart w:id="5" w:name="_GoBack"/>
            <w:bookmarkEnd w:id="5"/>
          </w:p>
        </w:tc>
      </w:tr>
    </w:tbl>
    <w:p w:rsidR="005452CC" w:rsidRPr="00034E0F" w:rsidRDefault="005452CC" w:rsidP="00D42FE1">
      <w:pPr>
        <w:pStyle w:val="notetext"/>
      </w:pPr>
      <w:r w:rsidRPr="00034E0F">
        <w:rPr>
          <w:snapToGrid w:val="0"/>
          <w:lang w:eastAsia="en-US"/>
        </w:rPr>
        <w:t>Note:</w:t>
      </w:r>
      <w:r w:rsidRPr="00034E0F">
        <w:rPr>
          <w:snapToGrid w:val="0"/>
          <w:lang w:eastAsia="en-US"/>
        </w:rPr>
        <w:tab/>
        <w:t xml:space="preserve">This table relates only to the provisions of </w:t>
      </w:r>
      <w:r w:rsidR="00633F8A" w:rsidRPr="00034E0F">
        <w:rPr>
          <w:snapToGrid w:val="0"/>
          <w:lang w:eastAsia="en-US"/>
        </w:rPr>
        <w:t>these Rules</w:t>
      </w:r>
      <w:r w:rsidRPr="00034E0F">
        <w:t xml:space="preserve"> </w:t>
      </w:r>
      <w:r w:rsidRPr="00034E0F">
        <w:rPr>
          <w:snapToGrid w:val="0"/>
          <w:lang w:eastAsia="en-US"/>
        </w:rPr>
        <w:t xml:space="preserve">as originally made. It will not be amended to deal with any later amendments of </w:t>
      </w:r>
      <w:r w:rsidR="00633F8A" w:rsidRPr="00034E0F">
        <w:rPr>
          <w:snapToGrid w:val="0"/>
          <w:lang w:eastAsia="en-US"/>
        </w:rPr>
        <w:t>these Rules</w:t>
      </w:r>
      <w:r w:rsidRPr="00034E0F">
        <w:rPr>
          <w:snapToGrid w:val="0"/>
          <w:lang w:eastAsia="en-US"/>
        </w:rPr>
        <w:t>.</w:t>
      </w:r>
    </w:p>
    <w:p w:rsidR="005452CC" w:rsidRPr="00034E0F" w:rsidRDefault="005452CC" w:rsidP="004F676E">
      <w:pPr>
        <w:pStyle w:val="subsection"/>
      </w:pPr>
      <w:r w:rsidRPr="00034E0F">
        <w:tab/>
        <w:t>(2)</w:t>
      </w:r>
      <w:r w:rsidRPr="00034E0F">
        <w:tab/>
        <w:t xml:space="preserve">Any information in column 3 of the table is not part of </w:t>
      </w:r>
      <w:r w:rsidR="00633F8A" w:rsidRPr="00034E0F">
        <w:t>these Rules</w:t>
      </w:r>
      <w:r w:rsidRPr="00034E0F">
        <w:t xml:space="preserve">. Information may be inserted in this column, or information in it may be edited, in any published version of </w:t>
      </w:r>
      <w:r w:rsidR="00633F8A" w:rsidRPr="00034E0F">
        <w:t>these Rules</w:t>
      </w:r>
      <w:r w:rsidRPr="00034E0F">
        <w:t>.</w:t>
      </w:r>
    </w:p>
    <w:p w:rsidR="00BF6650" w:rsidRPr="00034E0F" w:rsidRDefault="00BF6650" w:rsidP="00BF6650">
      <w:pPr>
        <w:pStyle w:val="ActHead5"/>
      </w:pPr>
      <w:bookmarkStart w:id="6" w:name="_Toc51062728"/>
      <w:r w:rsidRPr="002B020E">
        <w:rPr>
          <w:rStyle w:val="CharSectno"/>
        </w:rPr>
        <w:t>3</w:t>
      </w:r>
      <w:r w:rsidRPr="00034E0F">
        <w:t xml:space="preserve">  Authority</w:t>
      </w:r>
      <w:bookmarkEnd w:id="6"/>
    </w:p>
    <w:p w:rsidR="00BF6650" w:rsidRPr="00034E0F" w:rsidRDefault="00BF6650" w:rsidP="00BF6650">
      <w:pPr>
        <w:pStyle w:val="subsection"/>
      </w:pPr>
      <w:r w:rsidRPr="00034E0F">
        <w:tab/>
      </w:r>
      <w:r w:rsidRPr="00034E0F">
        <w:tab/>
      </w:r>
      <w:r w:rsidR="00633F8A" w:rsidRPr="00034E0F">
        <w:t>These Rules are</w:t>
      </w:r>
      <w:r w:rsidRPr="00034E0F">
        <w:t xml:space="preserve"> made under the </w:t>
      </w:r>
      <w:r w:rsidR="002B6D19" w:rsidRPr="00034E0F">
        <w:rPr>
          <w:i/>
        </w:rPr>
        <w:t>Federal Circuit Court of Australia Act 1999</w:t>
      </w:r>
      <w:r w:rsidR="00546FA3" w:rsidRPr="00034E0F">
        <w:rPr>
          <w:i/>
        </w:rPr>
        <w:t>.</w:t>
      </w:r>
    </w:p>
    <w:p w:rsidR="00557C7A" w:rsidRPr="00034E0F" w:rsidRDefault="00BF6650" w:rsidP="00557C7A">
      <w:pPr>
        <w:pStyle w:val="ActHead5"/>
      </w:pPr>
      <w:bookmarkStart w:id="7" w:name="_Toc51062729"/>
      <w:r w:rsidRPr="002B020E">
        <w:rPr>
          <w:rStyle w:val="CharSectno"/>
        </w:rPr>
        <w:t>4</w:t>
      </w:r>
      <w:r w:rsidR="00557C7A" w:rsidRPr="00034E0F">
        <w:t xml:space="preserve">  </w:t>
      </w:r>
      <w:r w:rsidR="00083F48" w:rsidRPr="00034E0F">
        <w:t>Schedules</w:t>
      </w:r>
      <w:bookmarkEnd w:id="7"/>
    </w:p>
    <w:p w:rsidR="00557C7A" w:rsidRPr="00034E0F" w:rsidRDefault="00557C7A" w:rsidP="00557C7A">
      <w:pPr>
        <w:pStyle w:val="subsection"/>
      </w:pPr>
      <w:r w:rsidRPr="00034E0F">
        <w:tab/>
      </w:r>
      <w:r w:rsidRPr="00034E0F">
        <w:tab/>
      </w:r>
      <w:r w:rsidR="00083F48" w:rsidRPr="00034E0F">
        <w:t xml:space="preserve">Each </w:t>
      </w:r>
      <w:r w:rsidR="00160BD7" w:rsidRPr="00034E0F">
        <w:t>instrument</w:t>
      </w:r>
      <w:r w:rsidR="00083F48" w:rsidRPr="00034E0F">
        <w:t xml:space="preserve"> that is specified in a Schedule to </w:t>
      </w:r>
      <w:r w:rsidR="00633F8A" w:rsidRPr="00034E0F">
        <w:t>these Rules</w:t>
      </w:r>
      <w:r w:rsidR="00083F48" w:rsidRPr="00034E0F">
        <w:t xml:space="preserve"> is amended or repealed as set out in the applicable items in the Schedule concerned, and any other item in a Schedule to </w:t>
      </w:r>
      <w:r w:rsidR="00633F8A" w:rsidRPr="00034E0F">
        <w:t>these Rules</w:t>
      </w:r>
      <w:r w:rsidR="00083F48" w:rsidRPr="00034E0F">
        <w:t xml:space="preserve"> has effect according to its terms.</w:t>
      </w:r>
    </w:p>
    <w:p w:rsidR="0048364F" w:rsidRPr="00034E0F" w:rsidRDefault="0048364F" w:rsidP="009C5989">
      <w:pPr>
        <w:pStyle w:val="ActHead6"/>
        <w:pageBreakBefore/>
      </w:pPr>
      <w:bookmarkStart w:id="8" w:name="_Toc51062730"/>
      <w:bookmarkStart w:id="9" w:name="opcAmSched"/>
      <w:bookmarkStart w:id="10" w:name="opcCurrentFind"/>
      <w:r w:rsidRPr="002B020E">
        <w:rPr>
          <w:rStyle w:val="CharAmSchNo"/>
        </w:rPr>
        <w:t>Schedule</w:t>
      </w:r>
      <w:r w:rsidR="0064086E" w:rsidRPr="002B020E">
        <w:rPr>
          <w:rStyle w:val="CharAmSchNo"/>
        </w:rPr>
        <w:t> </w:t>
      </w:r>
      <w:r w:rsidRPr="002B020E">
        <w:rPr>
          <w:rStyle w:val="CharAmSchNo"/>
        </w:rPr>
        <w:t>1</w:t>
      </w:r>
      <w:r w:rsidRPr="00034E0F">
        <w:t>—</w:t>
      </w:r>
      <w:r w:rsidR="00460499" w:rsidRPr="002B020E">
        <w:rPr>
          <w:rStyle w:val="CharAmSchText"/>
        </w:rPr>
        <w:t>Amendments</w:t>
      </w:r>
      <w:bookmarkEnd w:id="8"/>
    </w:p>
    <w:bookmarkEnd w:id="9"/>
    <w:bookmarkEnd w:id="10"/>
    <w:p w:rsidR="00741069" w:rsidRPr="002B020E" w:rsidRDefault="0004044E" w:rsidP="002F32C3">
      <w:pPr>
        <w:pStyle w:val="Header"/>
      </w:pPr>
      <w:r w:rsidRPr="002B020E">
        <w:rPr>
          <w:rStyle w:val="CharAmPartNo"/>
        </w:rPr>
        <w:t xml:space="preserve"> </w:t>
      </w:r>
      <w:r w:rsidRPr="002B020E">
        <w:rPr>
          <w:rStyle w:val="CharAmPartText"/>
        </w:rPr>
        <w:t xml:space="preserve"> </w:t>
      </w:r>
    </w:p>
    <w:p w:rsidR="00D747DF" w:rsidRPr="00034E0F" w:rsidRDefault="009F0A80" w:rsidP="00987CA1">
      <w:pPr>
        <w:pStyle w:val="ActHead9"/>
      </w:pPr>
      <w:bookmarkStart w:id="11" w:name="_Toc51062731"/>
      <w:r w:rsidRPr="00034E0F">
        <w:t xml:space="preserve">Federal Circuit Court </w:t>
      </w:r>
      <w:r w:rsidR="00034E0F">
        <w:t>Rules 2</w:t>
      </w:r>
      <w:r w:rsidRPr="00034E0F">
        <w:t>001</w:t>
      </w:r>
      <w:bookmarkEnd w:id="11"/>
    </w:p>
    <w:p w:rsidR="009F0A80" w:rsidRPr="00034E0F" w:rsidRDefault="00DD4C12" w:rsidP="009F0A80">
      <w:pPr>
        <w:pStyle w:val="ItemHead"/>
      </w:pPr>
      <w:r w:rsidRPr="00034E0F">
        <w:t>1</w:t>
      </w:r>
      <w:r w:rsidR="009A6306" w:rsidRPr="00034E0F">
        <w:t xml:space="preserve">  Rule</w:t>
      </w:r>
      <w:bookmarkStart w:id="12" w:name="BK_S3P2L4C8"/>
      <w:bookmarkEnd w:id="12"/>
      <w:r w:rsidR="0064086E" w:rsidRPr="00034E0F">
        <w:t> </w:t>
      </w:r>
      <w:r w:rsidR="009A6306" w:rsidRPr="00034E0F">
        <w:t>13.10</w:t>
      </w:r>
    </w:p>
    <w:p w:rsidR="009A6306" w:rsidRPr="00034E0F" w:rsidRDefault="009A6306" w:rsidP="009A6306">
      <w:pPr>
        <w:pStyle w:val="Item"/>
      </w:pPr>
      <w:r w:rsidRPr="00034E0F">
        <w:t>Omit “or a Registrar”.</w:t>
      </w:r>
    </w:p>
    <w:p w:rsidR="009A6306" w:rsidRPr="00034E0F" w:rsidRDefault="00DD4C12" w:rsidP="009A6306">
      <w:pPr>
        <w:pStyle w:val="ItemHead"/>
      </w:pPr>
      <w:r w:rsidRPr="00034E0F">
        <w:t>2</w:t>
      </w:r>
      <w:r w:rsidR="009A6306" w:rsidRPr="00034E0F">
        <w:t xml:space="preserve">  Rule</w:t>
      </w:r>
      <w:r w:rsidR="0064086E" w:rsidRPr="00034E0F">
        <w:t> </w:t>
      </w:r>
      <w:r w:rsidR="009A6306" w:rsidRPr="00034E0F">
        <w:t>13.10</w:t>
      </w:r>
    </w:p>
    <w:p w:rsidR="009A6306" w:rsidRPr="00034E0F" w:rsidRDefault="009A6306" w:rsidP="009A6306">
      <w:pPr>
        <w:pStyle w:val="Item"/>
      </w:pPr>
      <w:r w:rsidRPr="00034E0F">
        <w:t>Omit “or the Registrar”.</w:t>
      </w:r>
    </w:p>
    <w:p w:rsidR="002F32C3" w:rsidRPr="00034E0F" w:rsidRDefault="00DD4C12" w:rsidP="00A35231">
      <w:pPr>
        <w:pStyle w:val="ItemHead"/>
      </w:pPr>
      <w:r w:rsidRPr="00034E0F">
        <w:t>3</w:t>
      </w:r>
      <w:r w:rsidR="002F32C3" w:rsidRPr="00034E0F">
        <w:t xml:space="preserve">  Sub</w:t>
      </w:r>
      <w:r w:rsidR="00305FD1" w:rsidRPr="00034E0F">
        <w:t>rule 2</w:t>
      </w:r>
      <w:r w:rsidR="002F32C3" w:rsidRPr="00034E0F">
        <w:t>0.00A(1) (before the table)</w:t>
      </w:r>
    </w:p>
    <w:p w:rsidR="002F32C3" w:rsidRPr="00034E0F" w:rsidRDefault="002F32C3" w:rsidP="002F32C3">
      <w:pPr>
        <w:pStyle w:val="Item"/>
      </w:pPr>
      <w:r w:rsidRPr="00034E0F">
        <w:t>Insert:</w:t>
      </w:r>
    </w:p>
    <w:p w:rsidR="002F32C3" w:rsidRPr="00034E0F" w:rsidRDefault="002F32C3" w:rsidP="00DC3592">
      <w:pPr>
        <w:pStyle w:val="notetext"/>
      </w:pPr>
      <w:r w:rsidRPr="00034E0F">
        <w:t>Note:</w:t>
      </w:r>
      <w:r w:rsidRPr="00034E0F">
        <w:tab/>
      </w:r>
      <w:r w:rsidR="0064086E" w:rsidRPr="00034E0F">
        <w:t>Sub</w:t>
      </w:r>
      <w:r w:rsidR="00805E50" w:rsidRPr="00034E0F">
        <w:t>rule</w:t>
      </w:r>
      <w:r w:rsidR="0064086E" w:rsidRPr="00034E0F">
        <w:t> (</w:t>
      </w:r>
      <w:r w:rsidRPr="00034E0F">
        <w:t xml:space="preserve">1A) of this </w:t>
      </w:r>
      <w:r w:rsidR="00805E50" w:rsidRPr="00034E0F">
        <w:t>rule</w:t>
      </w:r>
      <w:r w:rsidRPr="00034E0F">
        <w:t xml:space="preserve"> provides that certain powers mentioned in the table may only be exercised by a</w:t>
      </w:r>
      <w:r w:rsidR="00CA2EC7" w:rsidRPr="00034E0F">
        <w:t>n approved</w:t>
      </w:r>
      <w:r w:rsidRPr="00034E0F">
        <w:t xml:space="preserve"> Registrar who is also a Registrar </w:t>
      </w:r>
      <w:r w:rsidR="00E17606" w:rsidRPr="00034E0F">
        <w:t xml:space="preserve">(other than a Deputy Registrar) </w:t>
      </w:r>
      <w:r w:rsidRPr="00034E0F">
        <w:t>of the Family Court.</w:t>
      </w:r>
    </w:p>
    <w:p w:rsidR="00A35231" w:rsidRPr="00034E0F" w:rsidRDefault="00DD4C12" w:rsidP="00A35231">
      <w:pPr>
        <w:pStyle w:val="ItemHead"/>
      </w:pPr>
      <w:r w:rsidRPr="00034E0F">
        <w:t>4</w:t>
      </w:r>
      <w:r w:rsidR="00A35231" w:rsidRPr="00034E0F">
        <w:t xml:space="preserve">  Sub</w:t>
      </w:r>
      <w:r w:rsidR="00305FD1" w:rsidRPr="00034E0F">
        <w:t>rule 2</w:t>
      </w:r>
      <w:r w:rsidR="00A35231" w:rsidRPr="00034E0F">
        <w:t>0.00A(1) (before table item</w:t>
      </w:r>
      <w:r w:rsidR="0064086E" w:rsidRPr="00034E0F">
        <w:t> </w:t>
      </w:r>
      <w:r w:rsidR="00A35231" w:rsidRPr="00034E0F">
        <w:t>1)</w:t>
      </w:r>
    </w:p>
    <w:p w:rsidR="00A35231" w:rsidRPr="00034E0F" w:rsidRDefault="00A35231" w:rsidP="00A35231">
      <w:pPr>
        <w:pStyle w:val="Item"/>
      </w:pPr>
      <w:r w:rsidRPr="00034E0F">
        <w:t>Insert:</w:t>
      </w: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669"/>
        <w:gridCol w:w="5025"/>
      </w:tblGrid>
      <w:tr w:rsidR="00A35231" w:rsidRPr="00034E0F" w:rsidTr="007B1F07">
        <w:tc>
          <w:tcPr>
            <w:tcW w:w="719" w:type="dxa"/>
            <w:tcBorders>
              <w:top w:val="nil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1AA</w:t>
            </w:r>
          </w:p>
        </w:tc>
        <w:tc>
          <w:tcPr>
            <w:tcW w:w="2669" w:type="dxa"/>
            <w:tcBorders>
              <w:top w:val="nil"/>
            </w:tcBorders>
            <w:shd w:val="clear" w:color="auto" w:fill="auto"/>
          </w:tcPr>
          <w:p w:rsidR="00A35231" w:rsidRPr="00034E0F" w:rsidRDefault="00A35231" w:rsidP="00530FE0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39</w:t>
            </w:r>
            <w:r w:rsidR="00530FE0" w:rsidRPr="00034E0F">
              <w:t xml:space="preserve"> (but only to the extent that it gives the Court the power to transfer proceedings to the Family Court)</w:t>
            </w:r>
          </w:p>
        </w:tc>
        <w:tc>
          <w:tcPr>
            <w:tcW w:w="5025" w:type="dxa"/>
            <w:tcBorders>
              <w:top w:val="nil"/>
            </w:tcBorders>
            <w:shd w:val="clear" w:color="auto" w:fill="auto"/>
          </w:tcPr>
          <w:p w:rsidR="00A35231" w:rsidRPr="00034E0F" w:rsidRDefault="00A35231" w:rsidP="00A35231">
            <w:pPr>
              <w:pStyle w:val="Tabletext"/>
            </w:pPr>
            <w:r w:rsidRPr="00034E0F">
              <w:t>To transfer a proceeding to the Family Court</w:t>
            </w:r>
          </w:p>
        </w:tc>
      </w:tr>
      <w:tr w:rsidR="00A35231" w:rsidRPr="00034E0F" w:rsidTr="007B1F07">
        <w:tc>
          <w:tcPr>
            <w:tcW w:w="719" w:type="dxa"/>
            <w:tcBorders>
              <w:bottom w:val="single" w:sz="2" w:space="0" w:color="auto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1AB</w:t>
            </w:r>
          </w:p>
        </w:tc>
        <w:tc>
          <w:tcPr>
            <w:tcW w:w="2669" w:type="dxa"/>
            <w:tcBorders>
              <w:bottom w:val="single" w:sz="2" w:space="0" w:color="auto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subsection</w:t>
            </w:r>
            <w:r w:rsidR="0064086E" w:rsidRPr="00034E0F">
              <w:t> </w:t>
            </w:r>
            <w:r w:rsidRPr="00034E0F">
              <w:t>43(2)</w:t>
            </w:r>
            <w:r w:rsidR="00936937" w:rsidRPr="00034E0F">
              <w:t xml:space="preserve"> (but only for a proceeding that is within the power of a Registrar to hear and determine)</w:t>
            </w:r>
          </w:p>
        </w:tc>
        <w:tc>
          <w:tcPr>
            <w:tcW w:w="5025" w:type="dxa"/>
            <w:tcBorders>
              <w:bottom w:val="single" w:sz="2" w:space="0" w:color="auto"/>
            </w:tcBorders>
            <w:shd w:val="clear" w:color="auto" w:fill="auto"/>
          </w:tcPr>
          <w:p w:rsidR="00A35231" w:rsidRPr="00034E0F" w:rsidRDefault="00A35231" w:rsidP="00936937">
            <w:pPr>
              <w:pStyle w:val="Tabletext"/>
            </w:pPr>
            <w:r w:rsidRPr="00034E0F">
              <w:t>To give directions about the practice and procedure to be followed in relation to a proceeding or a part of a proceeding</w:t>
            </w:r>
          </w:p>
        </w:tc>
      </w:tr>
      <w:tr w:rsidR="00A35231" w:rsidRPr="00034E0F" w:rsidTr="007B1F07">
        <w:tc>
          <w:tcPr>
            <w:tcW w:w="71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1AC</w:t>
            </w:r>
          </w:p>
        </w:tc>
        <w:tc>
          <w:tcPr>
            <w:tcW w:w="266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51</w:t>
            </w:r>
            <w:r w:rsidR="00936937" w:rsidRPr="00034E0F">
              <w:t xml:space="preserve"> (but only for a proceeding that is within the power of a Registrar to hear and determine)</w:t>
            </w:r>
          </w:p>
        </w:tc>
        <w:tc>
          <w:tcPr>
            <w:tcW w:w="502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To give directions about the length of documents required or permitted to be filed in the Court</w:t>
            </w:r>
          </w:p>
        </w:tc>
      </w:tr>
    </w:tbl>
    <w:p w:rsidR="00CD4457" w:rsidRPr="00034E0F" w:rsidRDefault="00DD4C12">
      <w:pPr>
        <w:pStyle w:val="ItemHead"/>
      </w:pPr>
      <w:r w:rsidRPr="00034E0F">
        <w:t>5</w:t>
      </w:r>
      <w:r w:rsidR="00A35231" w:rsidRPr="00034E0F">
        <w:t xml:space="preserve">  Sub</w:t>
      </w:r>
      <w:r w:rsidR="00305FD1" w:rsidRPr="00034E0F">
        <w:t>rule 2</w:t>
      </w:r>
      <w:r w:rsidR="00A35231" w:rsidRPr="00034E0F">
        <w:t>0.00A(1) (after table item</w:t>
      </w:r>
      <w:r w:rsidR="0064086E" w:rsidRPr="00034E0F">
        <w:t> </w:t>
      </w:r>
      <w:r w:rsidR="00A35231" w:rsidRPr="00034E0F">
        <w:t>1)</w:t>
      </w:r>
    </w:p>
    <w:p w:rsidR="00A35231" w:rsidRPr="00034E0F" w:rsidRDefault="00A35231" w:rsidP="00A35231">
      <w:pPr>
        <w:pStyle w:val="Item"/>
      </w:pPr>
      <w:r w:rsidRPr="00034E0F">
        <w:t>Insert:</w:t>
      </w: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655"/>
        <w:gridCol w:w="4990"/>
      </w:tblGrid>
      <w:tr w:rsidR="00A35231" w:rsidRPr="00034E0F" w:rsidTr="007B1F07">
        <w:tc>
          <w:tcPr>
            <w:tcW w:w="719" w:type="dxa"/>
            <w:tcBorders>
              <w:top w:val="nil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1A</w:t>
            </w:r>
          </w:p>
        </w:tc>
        <w:tc>
          <w:tcPr>
            <w:tcW w:w="2655" w:type="dxa"/>
            <w:tcBorders>
              <w:top w:val="nil"/>
            </w:tcBorders>
            <w:shd w:val="clear" w:color="auto" w:fill="auto"/>
          </w:tcPr>
          <w:p w:rsidR="00A35231" w:rsidRPr="00034E0F" w:rsidRDefault="00207DA9" w:rsidP="00D42FE1">
            <w:pPr>
              <w:pStyle w:val="Tabletext"/>
            </w:pPr>
            <w:r w:rsidRPr="00034E0F">
              <w:t>s</w:t>
            </w:r>
            <w:r w:rsidR="00A35231" w:rsidRPr="00034E0F">
              <w:t>ection</w:t>
            </w:r>
            <w:r w:rsidR="0064086E" w:rsidRPr="00034E0F">
              <w:t> </w:t>
            </w:r>
            <w:r w:rsidR="00A35231" w:rsidRPr="00034E0F">
              <w:t>55</w:t>
            </w:r>
            <w:r w:rsidR="00936937" w:rsidRPr="00034E0F">
              <w:t xml:space="preserve"> (but only for a proceeding that is within the power of a Registrar to hear and determine)</w:t>
            </w:r>
          </w:p>
        </w:tc>
        <w:tc>
          <w:tcPr>
            <w:tcW w:w="4990" w:type="dxa"/>
            <w:tcBorders>
              <w:top w:val="nil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To give directions about limiting the time for oral argument in a proceeding</w:t>
            </w:r>
          </w:p>
        </w:tc>
      </w:tr>
      <w:tr w:rsidR="00A35231" w:rsidRPr="00034E0F" w:rsidTr="007B1F07">
        <w:tc>
          <w:tcPr>
            <w:tcW w:w="719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1B</w:t>
            </w:r>
          </w:p>
        </w:tc>
        <w:tc>
          <w:tcPr>
            <w:tcW w:w="2655" w:type="dxa"/>
            <w:shd w:val="clear" w:color="auto" w:fill="auto"/>
          </w:tcPr>
          <w:p w:rsidR="00A35231" w:rsidRPr="00034E0F" w:rsidRDefault="00207DA9" w:rsidP="00D42FE1">
            <w:pPr>
              <w:pStyle w:val="Tabletext"/>
            </w:pPr>
            <w:r w:rsidRPr="00034E0F">
              <w:t>s</w:t>
            </w:r>
            <w:r w:rsidR="00A35231" w:rsidRPr="00034E0F">
              <w:t>ection</w:t>
            </w:r>
            <w:r w:rsidR="0064086E" w:rsidRPr="00034E0F">
              <w:t> </w:t>
            </w:r>
            <w:r w:rsidR="00A35231" w:rsidRPr="00034E0F">
              <w:t>56</w:t>
            </w:r>
            <w:r w:rsidR="00936937" w:rsidRPr="00034E0F">
              <w:t xml:space="preserve"> (but only for a proceeding that is within the power of a Registrar to hear and determine)</w:t>
            </w:r>
          </w:p>
        </w:tc>
        <w:tc>
          <w:tcPr>
            <w:tcW w:w="4990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 xml:space="preserve">To </w:t>
            </w:r>
            <w:r w:rsidR="0062427A" w:rsidRPr="00034E0F">
              <w:t>give directions about the use</w:t>
            </w:r>
            <w:r w:rsidRPr="00034E0F">
              <w:t>, or length</w:t>
            </w:r>
            <w:r w:rsidR="0062427A" w:rsidRPr="00034E0F">
              <w:t>, of</w:t>
            </w:r>
            <w:r w:rsidRPr="00034E0F">
              <w:t xml:space="preserve"> written submissions in a proceeding</w:t>
            </w:r>
          </w:p>
        </w:tc>
      </w:tr>
      <w:tr w:rsidR="00A35231" w:rsidRPr="00034E0F" w:rsidTr="007B1F07">
        <w:tc>
          <w:tcPr>
            <w:tcW w:w="719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1C</w:t>
            </w:r>
          </w:p>
        </w:tc>
        <w:tc>
          <w:tcPr>
            <w:tcW w:w="2655" w:type="dxa"/>
            <w:shd w:val="clear" w:color="auto" w:fill="auto"/>
          </w:tcPr>
          <w:p w:rsidR="00A35231" w:rsidRPr="00034E0F" w:rsidRDefault="00207DA9" w:rsidP="00D42FE1">
            <w:pPr>
              <w:pStyle w:val="Tabletext"/>
            </w:pPr>
            <w:r w:rsidRPr="00034E0F">
              <w:t>s</w:t>
            </w:r>
            <w:r w:rsidR="00A35231" w:rsidRPr="00034E0F">
              <w:t>ubsection</w:t>
            </w:r>
            <w:r w:rsidR="0064086E" w:rsidRPr="00034E0F">
              <w:t> </w:t>
            </w:r>
            <w:r w:rsidR="00A35231" w:rsidRPr="00034E0F">
              <w:t>57(2)</w:t>
            </w:r>
          </w:p>
        </w:tc>
        <w:tc>
          <w:tcPr>
            <w:tcW w:w="4990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To make an order declaring that a proceeding is not invalid by reason of a formal defect or an irregularity</w:t>
            </w:r>
          </w:p>
        </w:tc>
      </w:tr>
      <w:tr w:rsidR="00A35231" w:rsidRPr="00034E0F" w:rsidTr="007B1F07">
        <w:tc>
          <w:tcPr>
            <w:tcW w:w="719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</w:t>
            </w:r>
            <w:r w:rsidR="00207DA9" w:rsidRPr="00034E0F">
              <w:t>D</w:t>
            </w:r>
          </w:p>
        </w:tc>
        <w:tc>
          <w:tcPr>
            <w:tcW w:w="2655" w:type="dxa"/>
            <w:shd w:val="clear" w:color="auto" w:fill="auto"/>
          </w:tcPr>
          <w:p w:rsidR="00A35231" w:rsidRPr="00034E0F" w:rsidRDefault="00207DA9" w:rsidP="00D42FE1">
            <w:pPr>
              <w:pStyle w:val="Tabletext"/>
            </w:pPr>
            <w:r w:rsidRPr="00034E0F">
              <w:t>s</w:t>
            </w:r>
            <w:r w:rsidR="00A35231" w:rsidRPr="00034E0F">
              <w:t>ection</w:t>
            </w:r>
            <w:r w:rsidR="0064086E" w:rsidRPr="00034E0F">
              <w:t> </w:t>
            </w:r>
            <w:r w:rsidR="00A35231" w:rsidRPr="00034E0F">
              <w:t>62</w:t>
            </w:r>
            <w:r w:rsidR="00936937" w:rsidRPr="00034E0F">
              <w:t xml:space="preserve"> (but only for a proceeding that is within the power of a Registrar to hear and determine)</w:t>
            </w:r>
          </w:p>
        </w:tc>
        <w:tc>
          <w:tcPr>
            <w:tcW w:w="4990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To give directions about limiting the time for giving testimony in a proceeding</w:t>
            </w:r>
          </w:p>
        </w:tc>
      </w:tr>
      <w:tr w:rsidR="00A35231" w:rsidRPr="00034E0F" w:rsidTr="007B1F07">
        <w:tc>
          <w:tcPr>
            <w:tcW w:w="719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</w:t>
            </w:r>
            <w:r w:rsidR="00207DA9" w:rsidRPr="00034E0F">
              <w:t>E</w:t>
            </w:r>
          </w:p>
        </w:tc>
        <w:tc>
          <w:tcPr>
            <w:tcW w:w="2655" w:type="dxa"/>
            <w:shd w:val="clear" w:color="auto" w:fill="auto"/>
          </w:tcPr>
          <w:p w:rsidR="00A35231" w:rsidRPr="00034E0F" w:rsidRDefault="00207DA9" w:rsidP="00D42FE1">
            <w:pPr>
              <w:pStyle w:val="Tabletext"/>
            </w:pPr>
            <w:r w:rsidRPr="00034E0F">
              <w:t>s</w:t>
            </w:r>
            <w:r w:rsidR="00A35231" w:rsidRPr="00034E0F">
              <w:t>ubsection</w:t>
            </w:r>
            <w:r w:rsidR="0064086E" w:rsidRPr="00034E0F">
              <w:t> </w:t>
            </w:r>
            <w:r w:rsidR="00A35231" w:rsidRPr="00034E0F">
              <w:t>64(2)</w:t>
            </w:r>
            <w:r w:rsidR="00936937" w:rsidRPr="00034E0F">
              <w:t xml:space="preserve"> (but only for a proceeding that is within the power of a Registrar to hear and determine)</w:t>
            </w:r>
          </w:p>
        </w:tc>
        <w:tc>
          <w:tcPr>
            <w:tcW w:w="4990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To give directions that particular testimony is to be given orally or by affidavit</w:t>
            </w:r>
          </w:p>
        </w:tc>
      </w:tr>
      <w:tr w:rsidR="00A35231" w:rsidRPr="00034E0F" w:rsidTr="007B1F07">
        <w:tc>
          <w:tcPr>
            <w:tcW w:w="719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</w:t>
            </w:r>
            <w:r w:rsidR="00207DA9" w:rsidRPr="00034E0F">
              <w:t>F</w:t>
            </w:r>
          </w:p>
        </w:tc>
        <w:tc>
          <w:tcPr>
            <w:tcW w:w="2655" w:type="dxa"/>
            <w:shd w:val="clear" w:color="auto" w:fill="auto"/>
          </w:tcPr>
          <w:p w:rsidR="00A35231" w:rsidRPr="00034E0F" w:rsidRDefault="00207DA9" w:rsidP="00D42FE1">
            <w:pPr>
              <w:pStyle w:val="Tabletext"/>
            </w:pPr>
            <w:r w:rsidRPr="00034E0F">
              <w:t>s</w:t>
            </w:r>
            <w:r w:rsidR="00A35231" w:rsidRPr="00034E0F">
              <w:t>ubsection</w:t>
            </w:r>
            <w:r w:rsidR="0064086E" w:rsidRPr="00034E0F">
              <w:t> </w:t>
            </w:r>
            <w:r w:rsidR="00A35231" w:rsidRPr="00034E0F">
              <w:t>66(1)</w:t>
            </w:r>
            <w:r w:rsidR="00936937" w:rsidRPr="00034E0F">
              <w:t xml:space="preserve"> (but only for a proceeding that is within the power of a Registrar to hear and determine)</w:t>
            </w:r>
          </w:p>
        </w:tc>
        <w:tc>
          <w:tcPr>
            <w:tcW w:w="4990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To direct or allow testimony to be given by video link or audio link</w:t>
            </w:r>
          </w:p>
        </w:tc>
      </w:tr>
      <w:tr w:rsidR="00A35231" w:rsidRPr="00034E0F" w:rsidTr="007B1F07">
        <w:tc>
          <w:tcPr>
            <w:tcW w:w="719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</w:t>
            </w:r>
            <w:r w:rsidR="00207DA9" w:rsidRPr="00034E0F">
              <w:t>G</w:t>
            </w:r>
          </w:p>
        </w:tc>
        <w:tc>
          <w:tcPr>
            <w:tcW w:w="2655" w:type="dxa"/>
            <w:shd w:val="clear" w:color="auto" w:fill="auto"/>
          </w:tcPr>
          <w:p w:rsidR="00A35231" w:rsidRPr="00034E0F" w:rsidRDefault="00207DA9" w:rsidP="00D42FE1">
            <w:pPr>
              <w:pStyle w:val="Tabletext"/>
            </w:pPr>
            <w:r w:rsidRPr="00034E0F">
              <w:t>s</w:t>
            </w:r>
            <w:r w:rsidR="00A35231" w:rsidRPr="00034E0F">
              <w:t>ubsection</w:t>
            </w:r>
            <w:r w:rsidR="0064086E" w:rsidRPr="00034E0F">
              <w:t> </w:t>
            </w:r>
            <w:r w:rsidR="00A35231" w:rsidRPr="00034E0F">
              <w:t>67(1)</w:t>
            </w:r>
            <w:r w:rsidR="00936937" w:rsidRPr="00034E0F">
              <w:t xml:space="preserve"> (but only for a proceeding that is within the power of a Registrar to hear and determine)</w:t>
            </w:r>
          </w:p>
        </w:tc>
        <w:tc>
          <w:tcPr>
            <w:tcW w:w="4990" w:type="dxa"/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To direct or allow a person to appear by way of video link or audio link</w:t>
            </w:r>
          </w:p>
        </w:tc>
      </w:tr>
      <w:tr w:rsidR="00A35231" w:rsidRPr="00034E0F" w:rsidTr="007B1F07">
        <w:tc>
          <w:tcPr>
            <w:tcW w:w="719" w:type="dxa"/>
            <w:tcBorders>
              <w:bottom w:val="single" w:sz="2" w:space="0" w:color="auto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</w:t>
            </w:r>
            <w:r w:rsidR="00207DA9" w:rsidRPr="00034E0F">
              <w:t>H</w:t>
            </w:r>
          </w:p>
        </w:tc>
        <w:tc>
          <w:tcPr>
            <w:tcW w:w="2655" w:type="dxa"/>
            <w:tcBorders>
              <w:bottom w:val="single" w:sz="2" w:space="0" w:color="auto"/>
            </w:tcBorders>
            <w:shd w:val="clear" w:color="auto" w:fill="auto"/>
          </w:tcPr>
          <w:p w:rsidR="00A35231" w:rsidRPr="00034E0F" w:rsidRDefault="00207DA9" w:rsidP="00D42FE1">
            <w:pPr>
              <w:pStyle w:val="Tabletext"/>
            </w:pPr>
            <w:r w:rsidRPr="00034E0F">
              <w:t>s</w:t>
            </w:r>
            <w:r w:rsidR="00A35231" w:rsidRPr="00034E0F">
              <w:t>ubsection</w:t>
            </w:r>
            <w:r w:rsidR="0064086E" w:rsidRPr="00034E0F">
              <w:t> </w:t>
            </w:r>
            <w:r w:rsidR="00A35231" w:rsidRPr="00034E0F">
              <w:t>68(1)</w:t>
            </w:r>
            <w:r w:rsidR="00936937" w:rsidRPr="00034E0F">
              <w:t xml:space="preserve"> (but only for a proceeding that is within the power of a Registrar to hear and determine)</w:t>
            </w:r>
          </w:p>
        </w:tc>
        <w:tc>
          <w:tcPr>
            <w:tcW w:w="4990" w:type="dxa"/>
            <w:tcBorders>
              <w:bottom w:val="single" w:sz="2" w:space="0" w:color="auto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To direct or allow a person to make a submission by way of video link or audio link</w:t>
            </w:r>
          </w:p>
        </w:tc>
      </w:tr>
      <w:tr w:rsidR="00A35231" w:rsidRPr="00034E0F" w:rsidTr="007B1F07"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>1</w:t>
            </w:r>
            <w:r w:rsidR="00207DA9" w:rsidRPr="00034E0F">
              <w:t>J</w:t>
            </w:r>
          </w:p>
        </w:tc>
        <w:tc>
          <w:tcPr>
            <w:tcW w:w="265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5231" w:rsidRPr="00034E0F" w:rsidRDefault="00207DA9" w:rsidP="00D42FE1">
            <w:pPr>
              <w:pStyle w:val="Tabletext"/>
            </w:pPr>
            <w:r w:rsidRPr="00034E0F">
              <w:t>s</w:t>
            </w:r>
            <w:r w:rsidR="00A35231" w:rsidRPr="00034E0F">
              <w:t>ection</w:t>
            </w:r>
            <w:r w:rsidR="0064086E" w:rsidRPr="00034E0F">
              <w:t> </w:t>
            </w:r>
            <w:r w:rsidR="00A35231" w:rsidRPr="00034E0F">
              <w:t>72</w:t>
            </w:r>
            <w:r w:rsidR="00936937" w:rsidRPr="00034E0F">
              <w:t xml:space="preserve"> (but only for a proceeding that is within the power of a Registrar to hear and determine)</w:t>
            </w:r>
          </w:p>
        </w:tc>
        <w:tc>
          <w:tcPr>
            <w:tcW w:w="4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35231" w:rsidRPr="00034E0F" w:rsidRDefault="00A35231" w:rsidP="00D42FE1">
            <w:pPr>
              <w:pStyle w:val="Tabletext"/>
            </w:pPr>
            <w:r w:rsidRPr="00034E0F">
              <w:t xml:space="preserve">To make orders for the payment of expenses </w:t>
            </w:r>
            <w:r w:rsidR="003675DE" w:rsidRPr="00034E0F">
              <w:t xml:space="preserve">incurred </w:t>
            </w:r>
            <w:r w:rsidRPr="00034E0F">
              <w:t>in connection with giving testimony, appearing, or making submissions, by video link or audio link</w:t>
            </w:r>
          </w:p>
        </w:tc>
      </w:tr>
      <w:tr w:rsidR="007B36C4" w:rsidRPr="00034E0F" w:rsidTr="007B1F07">
        <w:tc>
          <w:tcPr>
            <w:tcW w:w="71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B36C4" w:rsidRPr="00034E0F" w:rsidRDefault="007B36C4" w:rsidP="00D42FE1">
            <w:pPr>
              <w:pStyle w:val="Tabletext"/>
            </w:pPr>
            <w:r w:rsidRPr="00034E0F">
              <w:t>1K</w:t>
            </w:r>
          </w:p>
        </w:tc>
        <w:tc>
          <w:tcPr>
            <w:tcW w:w="265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B36C4" w:rsidRPr="00034E0F" w:rsidRDefault="007B36C4" w:rsidP="007B36C4">
            <w:pPr>
              <w:pStyle w:val="Tabletext"/>
            </w:pPr>
            <w:r w:rsidRPr="00034E0F">
              <w:t>subparagraphs</w:t>
            </w:r>
            <w:r w:rsidR="0064086E" w:rsidRPr="00034E0F">
              <w:t> </w:t>
            </w:r>
            <w:r w:rsidRPr="00034E0F">
              <w:t>102(2)(k)(iv) and (l)(i) (excep</w:t>
            </w:r>
            <w:r w:rsidR="000574D6" w:rsidRPr="00034E0F">
              <w:t xml:space="preserve">t the reference in </w:t>
            </w:r>
            <w:r w:rsidR="0064086E" w:rsidRPr="00034E0F">
              <w:t>sub</w:t>
            </w:r>
            <w:r w:rsidR="00305FD1" w:rsidRPr="00034E0F">
              <w:t>paragraph (</w:t>
            </w:r>
            <w:r w:rsidRPr="00034E0F">
              <w:t>l)(i) to an order under section</w:t>
            </w:r>
            <w:r w:rsidR="0064086E" w:rsidRPr="00034E0F">
              <w:t> </w:t>
            </w:r>
            <w:r w:rsidRPr="00034E0F">
              <w:t>77 or 90SG)</w:t>
            </w:r>
          </w:p>
        </w:tc>
        <w:tc>
          <w:tcPr>
            <w:tcW w:w="499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B36C4" w:rsidRPr="00034E0F" w:rsidRDefault="007B36C4" w:rsidP="00D42FE1">
            <w:pPr>
              <w:pStyle w:val="Tabletext"/>
            </w:pPr>
            <w:r w:rsidRPr="00034E0F">
              <w:t>To do the following:</w:t>
            </w:r>
          </w:p>
          <w:p w:rsidR="007B36C4" w:rsidRPr="00034E0F" w:rsidRDefault="007B36C4" w:rsidP="007B36C4">
            <w:pPr>
              <w:pStyle w:val="Tablea"/>
            </w:pPr>
            <w:r w:rsidRPr="00034E0F">
              <w:t>(a) make an order under paragraph</w:t>
            </w:r>
            <w:r w:rsidR="0064086E" w:rsidRPr="00034E0F">
              <w:t> </w:t>
            </w:r>
            <w:r w:rsidRPr="00034E0F">
              <w:t>70NEB(1)(a) of the Family Law Act;</w:t>
            </w:r>
          </w:p>
          <w:p w:rsidR="007B36C4" w:rsidRPr="00034E0F" w:rsidRDefault="007B36C4" w:rsidP="007B36C4">
            <w:pPr>
              <w:pStyle w:val="Tablea"/>
            </w:pPr>
            <w:r w:rsidRPr="00034E0F">
              <w:t xml:space="preserve">(b) in family law </w:t>
            </w:r>
            <w:r w:rsidR="00E96DE1" w:rsidRPr="00034E0F">
              <w:t>or child support proceedings—</w:t>
            </w:r>
            <w:r w:rsidRPr="00034E0F">
              <w:t>make an order under section</w:t>
            </w:r>
            <w:r w:rsidR="0064086E" w:rsidRPr="00034E0F">
              <w:t> </w:t>
            </w:r>
            <w:r w:rsidRPr="00034E0F">
              <w:t>66Q or 67E of the Family Law Act</w:t>
            </w:r>
          </w:p>
        </w:tc>
      </w:tr>
    </w:tbl>
    <w:p w:rsidR="00CE121C" w:rsidRPr="00034E0F" w:rsidRDefault="00CE121C" w:rsidP="00CE121C">
      <w:pPr>
        <w:pStyle w:val="ItemHead"/>
      </w:pPr>
      <w:r w:rsidRPr="00034E0F">
        <w:t>6  Sub</w:t>
      </w:r>
      <w:r w:rsidR="00305FD1" w:rsidRPr="00034E0F">
        <w:t>rule 2</w:t>
      </w:r>
      <w:r w:rsidRPr="00034E0F">
        <w:t xml:space="preserve">0.00A(1) (cell at table item 2, column headed </w:t>
      </w:r>
      <w:bookmarkStart w:id="13" w:name="BK_S3P3L26C59"/>
      <w:bookmarkEnd w:id="13"/>
      <w:r w:rsidRPr="00034E0F">
        <w:t>“Legislative provision</w:t>
      </w:r>
      <w:bookmarkStart w:id="14" w:name="BK_S3P3L27C10"/>
      <w:bookmarkEnd w:id="14"/>
      <w:r w:rsidRPr="00034E0F">
        <w:t>”)</w:t>
      </w:r>
    </w:p>
    <w:p w:rsidR="00CE121C" w:rsidRPr="00034E0F" w:rsidRDefault="00CE121C" w:rsidP="00CE121C">
      <w:pPr>
        <w:pStyle w:val="Item"/>
      </w:pPr>
      <w:r w:rsidRPr="00034E0F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693"/>
      </w:tblGrid>
      <w:tr w:rsidR="00CE121C" w:rsidRPr="00034E0F" w:rsidTr="008A137E">
        <w:tc>
          <w:tcPr>
            <w:tcW w:w="2693" w:type="dxa"/>
            <w:shd w:val="clear" w:color="auto" w:fill="auto"/>
          </w:tcPr>
          <w:p w:rsidR="00CE121C" w:rsidRPr="00034E0F" w:rsidRDefault="00CE121C" w:rsidP="00CE121C">
            <w:pPr>
              <w:pStyle w:val="Tabletext"/>
            </w:pPr>
            <w:r w:rsidRPr="00034E0F">
              <w:t>s</w:t>
            </w:r>
            <w:r w:rsidR="008A137E" w:rsidRPr="00034E0F">
              <w:t xml:space="preserve">ubject to </w:t>
            </w:r>
            <w:r w:rsidR="00305FD1" w:rsidRPr="00034E0F">
              <w:t>items 1</w:t>
            </w:r>
            <w:r w:rsidRPr="00034E0F">
              <w:t xml:space="preserve">9D, 19F, 19Q and 19S of this table, </w:t>
            </w:r>
            <w:r w:rsidR="00305FD1" w:rsidRPr="00034E0F">
              <w:t>subsection 1</w:t>
            </w:r>
            <w:r w:rsidRPr="00034E0F">
              <w:t>02(2) (except sub</w:t>
            </w:r>
            <w:r w:rsidR="00305FD1" w:rsidRPr="00034E0F">
              <w:t>paragraph (</w:t>
            </w:r>
            <w:r w:rsidRPr="00034E0F">
              <w:t>k)(iv) and the reference in sub</w:t>
            </w:r>
            <w:r w:rsidR="00305FD1" w:rsidRPr="00034E0F">
              <w:t>paragraph (</w:t>
            </w:r>
            <w:r w:rsidRPr="00034E0F">
              <w:t>l)(i) to an order under section 66Q or 67E)</w:t>
            </w:r>
          </w:p>
        </w:tc>
      </w:tr>
    </w:tbl>
    <w:p w:rsidR="000574D6" w:rsidRPr="00034E0F" w:rsidRDefault="00DD4C12" w:rsidP="000574D6">
      <w:pPr>
        <w:pStyle w:val="ItemHead"/>
      </w:pPr>
      <w:r w:rsidRPr="00034E0F">
        <w:t>7</w:t>
      </w:r>
      <w:r w:rsidR="000574D6" w:rsidRPr="00034E0F">
        <w:t xml:space="preserve">  </w:t>
      </w:r>
      <w:r w:rsidR="003272D7" w:rsidRPr="00034E0F">
        <w:t>Sub</w:t>
      </w:r>
      <w:r w:rsidR="00305FD1" w:rsidRPr="00034E0F">
        <w:t>rule 2</w:t>
      </w:r>
      <w:r w:rsidR="003272D7" w:rsidRPr="00034E0F">
        <w:t>0.00A(1) (table item</w:t>
      </w:r>
      <w:r w:rsidR="0064086E" w:rsidRPr="00034E0F">
        <w:t> </w:t>
      </w:r>
      <w:r w:rsidR="003272D7" w:rsidRPr="00034E0F">
        <w:t xml:space="preserve">2, column headed </w:t>
      </w:r>
      <w:bookmarkStart w:id="15" w:name="BK_S3P3L36C51"/>
      <w:bookmarkEnd w:id="15"/>
      <w:r w:rsidR="003272D7" w:rsidRPr="00034E0F">
        <w:t>“Description of power (for information only)</w:t>
      </w:r>
      <w:bookmarkStart w:id="16" w:name="BK_S3P3L37C23"/>
      <w:bookmarkEnd w:id="16"/>
      <w:r w:rsidR="003272D7" w:rsidRPr="00034E0F">
        <w:t xml:space="preserve">”, </w:t>
      </w:r>
      <w:r w:rsidR="0064086E" w:rsidRPr="00034E0F">
        <w:t>sub</w:t>
      </w:r>
      <w:r w:rsidR="00305FD1" w:rsidRPr="00034E0F">
        <w:t>paragraph (</w:t>
      </w:r>
      <w:r w:rsidR="003272D7" w:rsidRPr="00034E0F">
        <w:t>k)(iv))</w:t>
      </w:r>
    </w:p>
    <w:p w:rsidR="003272D7" w:rsidRPr="00034E0F" w:rsidRDefault="003272D7" w:rsidP="003272D7">
      <w:pPr>
        <w:pStyle w:val="Item"/>
      </w:pPr>
      <w:r w:rsidRPr="00034E0F">
        <w:t>Repeal the subparagraph.</w:t>
      </w:r>
    </w:p>
    <w:p w:rsidR="003272D7" w:rsidRPr="00034E0F" w:rsidRDefault="00DD4C12" w:rsidP="003272D7">
      <w:pPr>
        <w:pStyle w:val="ItemHead"/>
      </w:pPr>
      <w:r w:rsidRPr="00034E0F">
        <w:t>8</w:t>
      </w:r>
      <w:r w:rsidR="003272D7" w:rsidRPr="00034E0F">
        <w:t xml:space="preserve">  Sub</w:t>
      </w:r>
      <w:r w:rsidR="00305FD1" w:rsidRPr="00034E0F">
        <w:t>rule 2</w:t>
      </w:r>
      <w:r w:rsidR="003272D7" w:rsidRPr="00034E0F">
        <w:t>0.00A(1) (table item</w:t>
      </w:r>
      <w:r w:rsidR="0064086E" w:rsidRPr="00034E0F">
        <w:t> </w:t>
      </w:r>
      <w:r w:rsidR="003272D7" w:rsidRPr="00034E0F">
        <w:t xml:space="preserve">2, column headed </w:t>
      </w:r>
      <w:bookmarkStart w:id="17" w:name="BK_S3P3L39C51"/>
      <w:bookmarkEnd w:id="17"/>
      <w:r w:rsidR="003272D7" w:rsidRPr="00034E0F">
        <w:t>“Description of power (for information only)</w:t>
      </w:r>
      <w:bookmarkStart w:id="18" w:name="BK_S3P3L40C23"/>
      <w:bookmarkEnd w:id="18"/>
      <w:r w:rsidR="003272D7" w:rsidRPr="00034E0F">
        <w:t xml:space="preserve">”, </w:t>
      </w:r>
      <w:r w:rsidR="0064086E" w:rsidRPr="00034E0F">
        <w:t>sub</w:t>
      </w:r>
      <w:r w:rsidR="00305FD1" w:rsidRPr="00034E0F">
        <w:t>paragraph (</w:t>
      </w:r>
      <w:r w:rsidR="003272D7" w:rsidRPr="00034E0F">
        <w:t>l)(i))</w:t>
      </w:r>
    </w:p>
    <w:p w:rsidR="003272D7" w:rsidRPr="00034E0F" w:rsidRDefault="003272D7" w:rsidP="003272D7">
      <w:pPr>
        <w:pStyle w:val="Item"/>
      </w:pPr>
      <w:r w:rsidRPr="00034E0F">
        <w:t>Omit “66Q, 67E</w:t>
      </w:r>
      <w:r w:rsidR="00E17606" w:rsidRPr="00034E0F">
        <w:t>,</w:t>
      </w:r>
      <w:r w:rsidRPr="00034E0F">
        <w:t>”.</w:t>
      </w:r>
    </w:p>
    <w:p w:rsidR="00A35231" w:rsidRPr="00034E0F" w:rsidRDefault="00DD4C12" w:rsidP="00A35231">
      <w:pPr>
        <w:pStyle w:val="ItemHead"/>
      </w:pPr>
      <w:r w:rsidRPr="00034E0F">
        <w:t>9</w:t>
      </w:r>
      <w:r w:rsidR="00530FE0" w:rsidRPr="00034E0F">
        <w:t xml:space="preserve">  </w:t>
      </w:r>
      <w:r w:rsidR="0068229A" w:rsidRPr="00034E0F">
        <w:t>Sub</w:t>
      </w:r>
      <w:r w:rsidR="00305FD1" w:rsidRPr="00034E0F">
        <w:t>rule 2</w:t>
      </w:r>
      <w:r w:rsidR="0068229A" w:rsidRPr="00034E0F">
        <w:t xml:space="preserve">0.00A(1) (before table </w:t>
      </w:r>
      <w:r w:rsidR="00305FD1" w:rsidRPr="00034E0F">
        <w:t>item 3</w:t>
      </w:r>
      <w:r w:rsidR="0068229A" w:rsidRPr="00034E0F">
        <w:t>)</w:t>
      </w:r>
    </w:p>
    <w:p w:rsidR="0068229A" w:rsidRPr="00034E0F" w:rsidRDefault="0068229A" w:rsidP="0068229A">
      <w:pPr>
        <w:pStyle w:val="Item"/>
      </w:pPr>
      <w:r w:rsidRPr="00034E0F">
        <w:t>Insert:</w:t>
      </w: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669"/>
        <w:gridCol w:w="4997"/>
      </w:tblGrid>
      <w:tr w:rsidR="0068229A" w:rsidRPr="00034E0F" w:rsidTr="00CD7B46">
        <w:tc>
          <w:tcPr>
            <w:tcW w:w="71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68229A" w:rsidRPr="00034E0F" w:rsidRDefault="0068229A" w:rsidP="00D42FE1">
            <w:pPr>
              <w:pStyle w:val="Tabletext"/>
            </w:pPr>
            <w:r w:rsidRPr="00034E0F">
              <w:t>3AA</w:t>
            </w:r>
          </w:p>
        </w:tc>
        <w:tc>
          <w:tcPr>
            <w:tcW w:w="266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68229A" w:rsidRPr="00034E0F" w:rsidRDefault="0068229A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11F</w:t>
            </w:r>
          </w:p>
        </w:tc>
        <w:tc>
          <w:tcPr>
            <w:tcW w:w="499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081521" w:rsidRPr="00034E0F" w:rsidRDefault="0068229A" w:rsidP="002E002F">
            <w:pPr>
              <w:pStyle w:val="Tabletext"/>
            </w:pPr>
            <w:r w:rsidRPr="00034E0F">
              <w:t>To order parties to attend</w:t>
            </w:r>
            <w:r w:rsidR="00081521" w:rsidRPr="00034E0F">
              <w:t>, or arrange for a child to attend,</w:t>
            </w:r>
            <w:r w:rsidRPr="00034E0F">
              <w:t xml:space="preserve"> an appointment </w:t>
            </w:r>
            <w:r w:rsidR="00712FA3" w:rsidRPr="00034E0F">
              <w:t>(</w:t>
            </w:r>
            <w:r w:rsidRPr="00034E0F">
              <w:t>or a series of appointments</w:t>
            </w:r>
            <w:r w:rsidR="00712FA3" w:rsidRPr="00034E0F">
              <w:t>)</w:t>
            </w:r>
            <w:r w:rsidRPr="00034E0F">
              <w:t xml:space="preserve"> with a family consultant</w:t>
            </w:r>
          </w:p>
        </w:tc>
      </w:tr>
      <w:tr w:rsidR="0068229A" w:rsidRPr="00034E0F" w:rsidTr="00CD7B46">
        <w:tc>
          <w:tcPr>
            <w:tcW w:w="71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68229A" w:rsidRPr="00034E0F" w:rsidRDefault="0068229A" w:rsidP="00D42FE1">
            <w:pPr>
              <w:pStyle w:val="Tabletext"/>
            </w:pPr>
            <w:r w:rsidRPr="00034E0F">
              <w:t>3AB</w:t>
            </w:r>
          </w:p>
        </w:tc>
        <w:tc>
          <w:tcPr>
            <w:tcW w:w="266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68229A" w:rsidRPr="00034E0F" w:rsidRDefault="0068229A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11G</w:t>
            </w:r>
          </w:p>
        </w:tc>
        <w:tc>
          <w:tcPr>
            <w:tcW w:w="499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68229A" w:rsidRPr="00034E0F" w:rsidRDefault="0068229A" w:rsidP="005A40EA">
            <w:pPr>
              <w:pStyle w:val="Tabletext"/>
            </w:pPr>
            <w:r w:rsidRPr="00034E0F">
              <w:t xml:space="preserve">To </w:t>
            </w:r>
            <w:r w:rsidR="00712FA3" w:rsidRPr="00034E0F">
              <w:t xml:space="preserve">make a further </w:t>
            </w:r>
            <w:r w:rsidRPr="00034E0F">
              <w:t xml:space="preserve">order </w:t>
            </w:r>
            <w:r w:rsidR="00712FA3" w:rsidRPr="00034E0F">
              <w:t xml:space="preserve">because </w:t>
            </w:r>
            <w:r w:rsidRPr="00034E0F">
              <w:t xml:space="preserve">of failure to </w:t>
            </w:r>
            <w:r w:rsidR="00712FA3" w:rsidRPr="00034E0F">
              <w:t>comply with an order under section</w:t>
            </w:r>
            <w:r w:rsidR="0064086E" w:rsidRPr="00034E0F">
              <w:t> </w:t>
            </w:r>
            <w:r w:rsidR="00712FA3" w:rsidRPr="00034E0F">
              <w:t xml:space="preserve">11F </w:t>
            </w:r>
            <w:r w:rsidR="00403D05" w:rsidRPr="00034E0F">
              <w:t xml:space="preserve">of the Family Law Act </w:t>
            </w:r>
            <w:r w:rsidR="00712FA3" w:rsidRPr="00034E0F">
              <w:t>or an instruction given by the family consultant</w:t>
            </w:r>
          </w:p>
        </w:tc>
      </w:tr>
    </w:tbl>
    <w:p w:rsidR="00712FA3" w:rsidRPr="00034E0F" w:rsidRDefault="00DD4C12" w:rsidP="00712FA3">
      <w:pPr>
        <w:pStyle w:val="ItemHead"/>
      </w:pPr>
      <w:r w:rsidRPr="00034E0F">
        <w:t>10</w:t>
      </w:r>
      <w:r w:rsidR="00712FA3" w:rsidRPr="00034E0F">
        <w:t xml:space="preserve">  Sub</w:t>
      </w:r>
      <w:r w:rsidR="00305FD1" w:rsidRPr="00034E0F">
        <w:t>rule 2</w:t>
      </w:r>
      <w:r w:rsidR="00712FA3" w:rsidRPr="00034E0F">
        <w:t xml:space="preserve">0.00A(1) (after table </w:t>
      </w:r>
      <w:r w:rsidR="00305FD1" w:rsidRPr="00034E0F">
        <w:t>item 3</w:t>
      </w:r>
      <w:r w:rsidR="00712FA3" w:rsidRPr="00034E0F">
        <w:t>)</w:t>
      </w:r>
    </w:p>
    <w:p w:rsidR="0068229A" w:rsidRPr="00034E0F" w:rsidRDefault="00712FA3" w:rsidP="0068229A">
      <w:pPr>
        <w:pStyle w:val="Item"/>
      </w:pPr>
      <w:r w:rsidRPr="00034E0F">
        <w:t>Insert:</w:t>
      </w: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683"/>
        <w:gridCol w:w="4962"/>
      </w:tblGrid>
      <w:tr w:rsidR="00712FA3" w:rsidRPr="00034E0F" w:rsidTr="00CD7B46">
        <w:tc>
          <w:tcPr>
            <w:tcW w:w="71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712FA3" w:rsidRPr="00034E0F" w:rsidRDefault="00712FA3" w:rsidP="00D42FE1">
            <w:pPr>
              <w:pStyle w:val="Tabletext"/>
            </w:pPr>
            <w:r w:rsidRPr="00034E0F">
              <w:t>3A</w:t>
            </w:r>
          </w:p>
        </w:tc>
        <w:tc>
          <w:tcPr>
            <w:tcW w:w="26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712FA3" w:rsidRPr="00034E0F" w:rsidRDefault="00712FA3" w:rsidP="005A40EA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="005A40EA" w:rsidRPr="00034E0F">
              <w:t>13C</w:t>
            </w:r>
          </w:p>
        </w:tc>
        <w:tc>
          <w:tcPr>
            <w:tcW w:w="4962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081521" w:rsidRPr="00034E0F" w:rsidRDefault="00712FA3" w:rsidP="00081521">
            <w:pPr>
              <w:pStyle w:val="Tabletext"/>
            </w:pPr>
            <w:r w:rsidRPr="00034E0F">
              <w:t xml:space="preserve">To order parties to attend </w:t>
            </w:r>
            <w:r w:rsidR="005A40EA" w:rsidRPr="00034E0F">
              <w:t xml:space="preserve">family counselling, family dispute resolution and other family services and to </w:t>
            </w:r>
            <w:r w:rsidR="00081521" w:rsidRPr="00034E0F">
              <w:t>make other related orders</w:t>
            </w:r>
          </w:p>
        </w:tc>
      </w:tr>
      <w:tr w:rsidR="00712FA3" w:rsidRPr="00034E0F" w:rsidTr="00CD7B46">
        <w:tc>
          <w:tcPr>
            <w:tcW w:w="71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12FA3" w:rsidRPr="00034E0F" w:rsidRDefault="00712FA3" w:rsidP="00D42FE1">
            <w:pPr>
              <w:pStyle w:val="Tabletext"/>
            </w:pPr>
            <w:r w:rsidRPr="00034E0F">
              <w:t>3B</w:t>
            </w:r>
          </w:p>
        </w:tc>
        <w:tc>
          <w:tcPr>
            <w:tcW w:w="26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12FA3" w:rsidRPr="00034E0F" w:rsidRDefault="00712FA3" w:rsidP="005A40EA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="005A40EA" w:rsidRPr="00034E0F">
              <w:t>13D</w:t>
            </w:r>
          </w:p>
        </w:tc>
        <w:tc>
          <w:tcPr>
            <w:tcW w:w="496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12FA3" w:rsidRPr="00034E0F" w:rsidRDefault="00712FA3" w:rsidP="005A40EA">
            <w:pPr>
              <w:pStyle w:val="Tabletext"/>
            </w:pPr>
            <w:r w:rsidRPr="00034E0F">
              <w:t>To make a further order because of a failure to comply with an order under section</w:t>
            </w:r>
            <w:r w:rsidR="0064086E" w:rsidRPr="00034E0F">
              <w:t> </w:t>
            </w:r>
            <w:r w:rsidR="005A40EA" w:rsidRPr="00034E0F">
              <w:t>13C</w:t>
            </w:r>
            <w:r w:rsidR="00403D05" w:rsidRPr="00034E0F">
              <w:t xml:space="preserve"> of the Family Law Act</w:t>
            </w:r>
          </w:p>
        </w:tc>
      </w:tr>
    </w:tbl>
    <w:p w:rsidR="005A40EA" w:rsidRPr="00034E0F" w:rsidRDefault="00DD4C12" w:rsidP="005A40EA">
      <w:pPr>
        <w:pStyle w:val="ItemHead"/>
      </w:pPr>
      <w:r w:rsidRPr="00034E0F">
        <w:t>11</w:t>
      </w:r>
      <w:r w:rsidR="005A40EA" w:rsidRPr="00034E0F">
        <w:t xml:space="preserve">  Sub</w:t>
      </w:r>
      <w:r w:rsidR="00305FD1" w:rsidRPr="00034E0F">
        <w:t>rule 2</w:t>
      </w:r>
      <w:r w:rsidR="005A40EA" w:rsidRPr="00034E0F">
        <w:t>0.00A(1) (after table item</w:t>
      </w:r>
      <w:r w:rsidR="0064086E" w:rsidRPr="00034E0F">
        <w:t> </w:t>
      </w:r>
      <w:r w:rsidR="005A40EA" w:rsidRPr="00034E0F">
        <w:t>5)</w:t>
      </w:r>
    </w:p>
    <w:p w:rsidR="00712FA3" w:rsidRPr="00034E0F" w:rsidRDefault="005A40EA" w:rsidP="005A40EA">
      <w:pPr>
        <w:pStyle w:val="Item"/>
      </w:pPr>
      <w:r w:rsidRPr="00034E0F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5A40EA" w:rsidRPr="00034E0F" w:rsidTr="005A40EA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A40EA" w:rsidRPr="00034E0F" w:rsidRDefault="005A40EA" w:rsidP="00D42FE1">
            <w:pPr>
              <w:pStyle w:val="Tabletext"/>
            </w:pPr>
            <w:r w:rsidRPr="00034E0F">
              <w:t>5A</w:t>
            </w:r>
          </w:p>
        </w:tc>
        <w:tc>
          <w:tcPr>
            <w:tcW w:w="2400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A40EA" w:rsidRPr="00034E0F" w:rsidRDefault="008D68FD" w:rsidP="00D42FE1">
            <w:pPr>
              <w:pStyle w:val="Tabletext"/>
            </w:pPr>
            <w:r w:rsidRPr="00034E0F">
              <w:t>p</w:t>
            </w:r>
            <w:r w:rsidR="005A40EA" w:rsidRPr="00034E0F">
              <w:t>aragraphs 44(3A)(d) and (3B)(d)</w:t>
            </w:r>
            <w:r w:rsidR="000250B8" w:rsidRPr="00034E0F">
              <w:t xml:space="preserve"> (but only if all parties consent to leave being granted)</w:t>
            </w:r>
          </w:p>
        </w:tc>
        <w:tc>
          <w:tcPr>
            <w:tcW w:w="519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A40EA" w:rsidRPr="00034E0F" w:rsidRDefault="005A40EA" w:rsidP="000250B8">
            <w:pPr>
              <w:pStyle w:val="Tabletext"/>
            </w:pPr>
            <w:r w:rsidRPr="00034E0F">
              <w:t>To grant leave for proceedin</w:t>
            </w:r>
            <w:r w:rsidR="000250B8" w:rsidRPr="00034E0F">
              <w:t>gs to be instituted out of time</w:t>
            </w:r>
          </w:p>
        </w:tc>
      </w:tr>
      <w:tr w:rsidR="005A40EA" w:rsidRPr="00034E0F" w:rsidTr="005A40EA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A40EA" w:rsidRPr="00034E0F" w:rsidRDefault="005A40EA" w:rsidP="00D42FE1">
            <w:pPr>
              <w:pStyle w:val="Tabletext"/>
            </w:pPr>
            <w:r w:rsidRPr="00034E0F">
              <w:t>5B</w:t>
            </w:r>
          </w:p>
        </w:tc>
        <w:tc>
          <w:tcPr>
            <w:tcW w:w="240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A40EA" w:rsidRPr="00034E0F" w:rsidRDefault="008D68FD" w:rsidP="00D42FE1">
            <w:pPr>
              <w:pStyle w:val="Tabletext"/>
            </w:pPr>
            <w:r w:rsidRPr="00034E0F">
              <w:t>s</w:t>
            </w:r>
            <w:r w:rsidR="005A40EA" w:rsidRPr="00034E0F">
              <w:t>ubsection</w:t>
            </w:r>
            <w:r w:rsidR="0064086E" w:rsidRPr="00034E0F">
              <w:t> </w:t>
            </w:r>
            <w:r w:rsidR="005A40EA" w:rsidRPr="00034E0F">
              <w:t>44(6)</w:t>
            </w:r>
            <w:r w:rsidR="000250B8" w:rsidRPr="00034E0F">
              <w:t xml:space="preserve"> (but only if all parties consent to leave being granted)</w:t>
            </w:r>
          </w:p>
        </w:tc>
        <w:tc>
          <w:tcPr>
            <w:tcW w:w="51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A40EA" w:rsidRPr="00034E0F" w:rsidRDefault="005A40EA" w:rsidP="000250B8">
            <w:pPr>
              <w:pStyle w:val="Tabletext"/>
            </w:pPr>
            <w:r w:rsidRPr="00034E0F">
              <w:t>To grant leave to a party to a de facto relationship to make certain applicati</w:t>
            </w:r>
            <w:r w:rsidR="000250B8" w:rsidRPr="00034E0F">
              <w:t>ons out of time</w:t>
            </w:r>
          </w:p>
        </w:tc>
      </w:tr>
    </w:tbl>
    <w:p w:rsidR="008D68FD" w:rsidRPr="00034E0F" w:rsidRDefault="00DD4C12" w:rsidP="008D68FD">
      <w:pPr>
        <w:pStyle w:val="ItemHead"/>
      </w:pPr>
      <w:r w:rsidRPr="00034E0F">
        <w:t>12</w:t>
      </w:r>
      <w:r w:rsidR="008D68FD" w:rsidRPr="00034E0F">
        <w:t xml:space="preserve">  Sub</w:t>
      </w:r>
      <w:r w:rsidR="00305FD1" w:rsidRPr="00034E0F">
        <w:t>rule 2</w:t>
      </w:r>
      <w:r w:rsidR="008D68FD" w:rsidRPr="00034E0F">
        <w:t>0.00A(1) (after table item</w:t>
      </w:r>
      <w:r w:rsidR="0064086E" w:rsidRPr="00034E0F">
        <w:t> </w:t>
      </w:r>
      <w:r w:rsidR="008D68FD" w:rsidRPr="00034E0F">
        <w:t>6)</w:t>
      </w:r>
    </w:p>
    <w:p w:rsidR="005A40EA" w:rsidRPr="00034E0F" w:rsidRDefault="008D68FD" w:rsidP="008D68FD">
      <w:pPr>
        <w:pStyle w:val="Item"/>
      </w:pPr>
      <w:r w:rsidRPr="00034E0F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8D68FD" w:rsidRPr="00034E0F" w:rsidTr="008D68FD">
        <w:tc>
          <w:tcPr>
            <w:tcW w:w="714" w:type="dxa"/>
            <w:shd w:val="clear" w:color="auto" w:fill="auto"/>
          </w:tcPr>
          <w:p w:rsidR="008D68FD" w:rsidRPr="00034E0F" w:rsidRDefault="008D68FD" w:rsidP="00D42FE1">
            <w:pPr>
              <w:pStyle w:val="Tabletext"/>
            </w:pPr>
            <w:r w:rsidRPr="00034E0F">
              <w:t>6A</w:t>
            </w:r>
          </w:p>
        </w:tc>
        <w:tc>
          <w:tcPr>
            <w:tcW w:w="2400" w:type="dxa"/>
            <w:shd w:val="clear" w:color="auto" w:fill="auto"/>
          </w:tcPr>
          <w:p w:rsidR="008D68FD" w:rsidRPr="00034E0F" w:rsidRDefault="008D68FD" w:rsidP="00D42FE1">
            <w:pPr>
              <w:pStyle w:val="Tabletext"/>
            </w:pPr>
            <w:r w:rsidRPr="00034E0F">
              <w:t>subsection</w:t>
            </w:r>
            <w:r w:rsidR="0064086E" w:rsidRPr="00034E0F">
              <w:t> </w:t>
            </w:r>
            <w:r w:rsidRPr="00034E0F">
              <w:t>46(3A)</w:t>
            </w:r>
          </w:p>
        </w:tc>
        <w:tc>
          <w:tcPr>
            <w:tcW w:w="5198" w:type="dxa"/>
            <w:shd w:val="clear" w:color="auto" w:fill="auto"/>
          </w:tcPr>
          <w:p w:rsidR="008D68FD" w:rsidRPr="00034E0F" w:rsidRDefault="008D68FD" w:rsidP="00081521">
            <w:pPr>
              <w:pStyle w:val="Tabletext"/>
            </w:pPr>
            <w:r w:rsidRPr="00034E0F">
              <w:t xml:space="preserve">To order that proceedings be removed from a court of summary jurisdiction to </w:t>
            </w:r>
            <w:r w:rsidR="00081521" w:rsidRPr="00034E0F">
              <w:t>the Court</w:t>
            </w:r>
          </w:p>
        </w:tc>
      </w:tr>
    </w:tbl>
    <w:p w:rsidR="00406AE7" w:rsidRPr="00034E0F" w:rsidRDefault="00DD4C12" w:rsidP="00406AE7">
      <w:pPr>
        <w:pStyle w:val="ItemHead"/>
      </w:pPr>
      <w:r w:rsidRPr="00034E0F">
        <w:t>13</w:t>
      </w:r>
      <w:r w:rsidR="00406AE7" w:rsidRPr="00034E0F">
        <w:t xml:space="preserve">  Sub</w:t>
      </w:r>
      <w:r w:rsidR="00305FD1" w:rsidRPr="00034E0F">
        <w:t>rule 2</w:t>
      </w:r>
      <w:r w:rsidR="00406AE7" w:rsidRPr="00034E0F">
        <w:t>0.00A(1) (after table item</w:t>
      </w:r>
      <w:r w:rsidR="0064086E" w:rsidRPr="00034E0F">
        <w:t> </w:t>
      </w:r>
      <w:r w:rsidR="00406AE7" w:rsidRPr="00034E0F">
        <w:t>15)</w:t>
      </w:r>
    </w:p>
    <w:p w:rsidR="00406AE7" w:rsidRPr="00034E0F" w:rsidRDefault="00406AE7" w:rsidP="00406AE7">
      <w:pPr>
        <w:pStyle w:val="Item"/>
      </w:pPr>
      <w:r w:rsidRPr="00034E0F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406AE7" w:rsidRPr="00034E0F" w:rsidTr="00406AE7">
        <w:tc>
          <w:tcPr>
            <w:tcW w:w="714" w:type="dxa"/>
            <w:tcBorders>
              <w:top w:val="nil"/>
            </w:tcBorders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15A</w:t>
            </w:r>
          </w:p>
        </w:tc>
        <w:tc>
          <w:tcPr>
            <w:tcW w:w="2400" w:type="dxa"/>
            <w:tcBorders>
              <w:top w:val="nil"/>
            </w:tcBorders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63H</w:t>
            </w:r>
          </w:p>
        </w:tc>
        <w:tc>
          <w:tcPr>
            <w:tcW w:w="5198" w:type="dxa"/>
            <w:tcBorders>
              <w:top w:val="nil"/>
            </w:tcBorders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To make an order in relation to a parenting plan</w:t>
            </w:r>
          </w:p>
        </w:tc>
      </w:tr>
      <w:tr w:rsidR="00406AE7" w:rsidRPr="00034E0F" w:rsidTr="00D42FE1">
        <w:tc>
          <w:tcPr>
            <w:tcW w:w="714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15B</w:t>
            </w:r>
          </w:p>
        </w:tc>
        <w:tc>
          <w:tcPr>
            <w:tcW w:w="2400" w:type="dxa"/>
            <w:shd w:val="clear" w:color="auto" w:fill="auto"/>
          </w:tcPr>
          <w:p w:rsidR="00406AE7" w:rsidRPr="00034E0F" w:rsidRDefault="00406AE7" w:rsidP="00CD7B46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65D</w:t>
            </w:r>
          </w:p>
        </w:tc>
        <w:tc>
          <w:tcPr>
            <w:tcW w:w="5198" w:type="dxa"/>
            <w:shd w:val="clear" w:color="auto" w:fill="auto"/>
          </w:tcPr>
          <w:p w:rsidR="00EC0A45" w:rsidRPr="00034E0F" w:rsidRDefault="0049386E" w:rsidP="0049386E">
            <w:pPr>
              <w:pStyle w:val="Tabletext"/>
            </w:pPr>
            <w:r w:rsidRPr="00034E0F">
              <w:t>To make a parenting order</w:t>
            </w:r>
            <w:r w:rsidR="00894BD4" w:rsidRPr="00034E0F">
              <w:t xml:space="preserve"> (except an excluded child order)</w:t>
            </w:r>
          </w:p>
        </w:tc>
      </w:tr>
      <w:tr w:rsidR="00221904" w:rsidRPr="00034E0F" w:rsidTr="00D42FE1">
        <w:tc>
          <w:tcPr>
            <w:tcW w:w="714" w:type="dxa"/>
            <w:shd w:val="clear" w:color="auto" w:fill="auto"/>
          </w:tcPr>
          <w:p w:rsidR="00221904" w:rsidRPr="00034E0F" w:rsidRDefault="00992EC3" w:rsidP="00D42FE1">
            <w:pPr>
              <w:pStyle w:val="Tabletext"/>
            </w:pPr>
            <w:r w:rsidRPr="00034E0F">
              <w:t>15C</w:t>
            </w:r>
          </w:p>
        </w:tc>
        <w:tc>
          <w:tcPr>
            <w:tcW w:w="2400" w:type="dxa"/>
            <w:shd w:val="clear" w:color="auto" w:fill="auto"/>
          </w:tcPr>
          <w:p w:rsidR="00A017D1" w:rsidRPr="00034E0F" w:rsidRDefault="00A017D1" w:rsidP="00A017D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65D (but only if:</w:t>
            </w:r>
          </w:p>
          <w:p w:rsidR="007F7F54" w:rsidRPr="00034E0F" w:rsidRDefault="007F7F54" w:rsidP="007F7F54">
            <w:pPr>
              <w:pStyle w:val="Tablea"/>
            </w:pPr>
            <w:r w:rsidRPr="00034E0F">
              <w:t>(a) both of the following apply:</w:t>
            </w:r>
          </w:p>
          <w:p w:rsidR="007F7F54" w:rsidRPr="00034E0F" w:rsidRDefault="007F7F54" w:rsidP="007F7F54">
            <w:pPr>
              <w:pStyle w:val="Tablei"/>
            </w:pPr>
            <w:r w:rsidRPr="00034E0F">
              <w:t>(i) the order is made in an undefended case;</w:t>
            </w:r>
          </w:p>
          <w:p w:rsidR="007F7F54" w:rsidRPr="00034E0F" w:rsidRDefault="00E17606" w:rsidP="007F7F54">
            <w:pPr>
              <w:pStyle w:val="Tablei"/>
            </w:pPr>
            <w:r w:rsidRPr="00034E0F">
              <w:t>(ii</w:t>
            </w:r>
            <w:r w:rsidR="007F7F54" w:rsidRPr="00034E0F">
              <w:t>) the order is to come into effect at least 21 days after the order is served on the non</w:t>
            </w:r>
            <w:r w:rsidR="00034E0F">
              <w:noBreakHyphen/>
            </w:r>
            <w:r w:rsidR="007F7F54" w:rsidRPr="00034E0F">
              <w:t>appearing party; or</w:t>
            </w:r>
          </w:p>
          <w:p w:rsidR="00E17606" w:rsidRPr="00034E0F" w:rsidRDefault="007F7F54" w:rsidP="00407213">
            <w:pPr>
              <w:pStyle w:val="Tablea"/>
            </w:pPr>
            <w:r w:rsidRPr="00034E0F">
              <w:t>(b) the order is made with the consent of all the parties to the case)</w:t>
            </w:r>
          </w:p>
        </w:tc>
        <w:tc>
          <w:tcPr>
            <w:tcW w:w="5198" w:type="dxa"/>
            <w:shd w:val="clear" w:color="auto" w:fill="auto"/>
          </w:tcPr>
          <w:p w:rsidR="00221904" w:rsidRPr="00034E0F" w:rsidRDefault="00EC0A45" w:rsidP="00564FDD">
            <w:pPr>
              <w:pStyle w:val="Tabletext"/>
            </w:pPr>
            <w:r w:rsidRPr="00034E0F">
              <w:t>To make a parenting order</w:t>
            </w:r>
            <w:r w:rsidR="00AD326E" w:rsidRPr="00034E0F">
              <w:t xml:space="preserve"> (except an excluded child order)</w:t>
            </w:r>
          </w:p>
        </w:tc>
      </w:tr>
      <w:tr w:rsidR="00406AE7" w:rsidRPr="00034E0F" w:rsidTr="00D42FE1">
        <w:tc>
          <w:tcPr>
            <w:tcW w:w="714" w:type="dxa"/>
            <w:shd w:val="clear" w:color="auto" w:fill="auto"/>
          </w:tcPr>
          <w:p w:rsidR="00406AE7" w:rsidRPr="00034E0F" w:rsidRDefault="00406AE7" w:rsidP="00406AE7">
            <w:pPr>
              <w:pStyle w:val="Tabletext"/>
            </w:pPr>
            <w:r w:rsidRPr="00034E0F">
              <w:t>1</w:t>
            </w:r>
            <w:r w:rsidR="00992EC3" w:rsidRPr="00034E0F">
              <w:t>5D</w:t>
            </w:r>
          </w:p>
        </w:tc>
        <w:tc>
          <w:tcPr>
            <w:tcW w:w="2400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65G(2)(b)</w:t>
            </w:r>
          </w:p>
        </w:tc>
        <w:tc>
          <w:tcPr>
            <w:tcW w:w="5198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To make a parenting order by consent in favour of a non</w:t>
            </w:r>
            <w:r w:rsidR="00034E0F">
              <w:noBreakHyphen/>
            </w:r>
            <w:r w:rsidRPr="00034E0F">
              <w:t>parent even though the parties have not attended a conference with a family consultant</w:t>
            </w:r>
          </w:p>
        </w:tc>
      </w:tr>
      <w:tr w:rsidR="00406AE7" w:rsidRPr="00034E0F" w:rsidTr="00D42FE1">
        <w:tc>
          <w:tcPr>
            <w:tcW w:w="714" w:type="dxa"/>
            <w:shd w:val="clear" w:color="auto" w:fill="auto"/>
          </w:tcPr>
          <w:p w:rsidR="00406AE7" w:rsidRPr="00034E0F" w:rsidRDefault="00992EC3" w:rsidP="00D42FE1">
            <w:pPr>
              <w:pStyle w:val="Tabletext"/>
            </w:pPr>
            <w:r w:rsidRPr="00034E0F">
              <w:t>15E</w:t>
            </w:r>
          </w:p>
        </w:tc>
        <w:tc>
          <w:tcPr>
            <w:tcW w:w="2400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65L</w:t>
            </w:r>
          </w:p>
        </w:tc>
        <w:tc>
          <w:tcPr>
            <w:tcW w:w="5198" w:type="dxa"/>
            <w:shd w:val="clear" w:color="auto" w:fill="auto"/>
          </w:tcPr>
          <w:p w:rsidR="00081521" w:rsidRPr="00034E0F" w:rsidRDefault="00406AE7" w:rsidP="005254D6">
            <w:pPr>
              <w:pStyle w:val="Tabletext"/>
            </w:pPr>
            <w:r w:rsidRPr="00034E0F">
              <w:t>To make an order requiring family consultants to supervise or assist compliance with a parenting order</w:t>
            </w:r>
          </w:p>
        </w:tc>
      </w:tr>
      <w:tr w:rsidR="00406AE7" w:rsidRPr="00034E0F" w:rsidTr="00D42FE1">
        <w:tc>
          <w:tcPr>
            <w:tcW w:w="714" w:type="dxa"/>
            <w:shd w:val="clear" w:color="auto" w:fill="auto"/>
          </w:tcPr>
          <w:p w:rsidR="00406AE7" w:rsidRPr="00034E0F" w:rsidRDefault="00992EC3" w:rsidP="00D42FE1">
            <w:pPr>
              <w:pStyle w:val="Tabletext"/>
            </w:pPr>
            <w:r w:rsidRPr="00034E0F">
              <w:t>15F</w:t>
            </w:r>
          </w:p>
        </w:tc>
        <w:tc>
          <w:tcPr>
            <w:tcW w:w="2400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66G</w:t>
            </w:r>
          </w:p>
        </w:tc>
        <w:tc>
          <w:tcPr>
            <w:tcW w:w="5198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To make a child maintenance order</w:t>
            </w:r>
          </w:p>
        </w:tc>
      </w:tr>
      <w:tr w:rsidR="00406AE7" w:rsidRPr="00034E0F" w:rsidTr="00D42FE1">
        <w:tc>
          <w:tcPr>
            <w:tcW w:w="714" w:type="dxa"/>
            <w:shd w:val="clear" w:color="auto" w:fill="auto"/>
          </w:tcPr>
          <w:p w:rsidR="00406AE7" w:rsidRPr="00034E0F" w:rsidRDefault="00992EC3" w:rsidP="00D42FE1">
            <w:pPr>
              <w:pStyle w:val="Tabletext"/>
            </w:pPr>
            <w:r w:rsidRPr="00034E0F">
              <w:t>15G</w:t>
            </w:r>
          </w:p>
        </w:tc>
        <w:tc>
          <w:tcPr>
            <w:tcW w:w="2400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66M</w:t>
            </w:r>
            <w:bookmarkStart w:id="19" w:name="BK_S3P5L2C1"/>
            <w:bookmarkEnd w:id="19"/>
          </w:p>
        </w:tc>
        <w:tc>
          <w:tcPr>
            <w:tcW w:w="5198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To make an order determining that it is proper for a step</w:t>
            </w:r>
            <w:r w:rsidR="00034E0F">
              <w:noBreakHyphen/>
            </w:r>
            <w:r w:rsidRPr="00034E0F">
              <w:t>parent to have a duty of maintaining a step</w:t>
            </w:r>
            <w:r w:rsidR="00034E0F">
              <w:noBreakHyphen/>
            </w:r>
            <w:r w:rsidRPr="00034E0F">
              <w:t>child</w:t>
            </w:r>
          </w:p>
        </w:tc>
      </w:tr>
      <w:tr w:rsidR="00406AE7" w:rsidRPr="00034E0F" w:rsidTr="00D42FE1">
        <w:tc>
          <w:tcPr>
            <w:tcW w:w="714" w:type="dxa"/>
            <w:shd w:val="clear" w:color="auto" w:fill="auto"/>
          </w:tcPr>
          <w:p w:rsidR="00406AE7" w:rsidRPr="00034E0F" w:rsidRDefault="00992EC3" w:rsidP="00D42FE1">
            <w:pPr>
              <w:pStyle w:val="Tabletext"/>
            </w:pPr>
            <w:r w:rsidRPr="00034E0F">
              <w:t>15H</w:t>
            </w:r>
          </w:p>
        </w:tc>
        <w:tc>
          <w:tcPr>
            <w:tcW w:w="2400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66P</w:t>
            </w:r>
            <w:bookmarkStart w:id="20" w:name="BK_S3P5L4C12"/>
            <w:bookmarkEnd w:id="20"/>
          </w:p>
        </w:tc>
        <w:tc>
          <w:tcPr>
            <w:tcW w:w="5198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To make an order referred to in subsection</w:t>
            </w:r>
            <w:r w:rsidR="0064086E" w:rsidRPr="00034E0F">
              <w:t> </w:t>
            </w:r>
            <w:r w:rsidRPr="00034E0F">
              <w:t>66P(1) of the Family Law Act</w:t>
            </w:r>
          </w:p>
        </w:tc>
      </w:tr>
      <w:tr w:rsidR="00406AE7" w:rsidRPr="00034E0F" w:rsidTr="00D42FE1">
        <w:tc>
          <w:tcPr>
            <w:tcW w:w="714" w:type="dxa"/>
            <w:shd w:val="clear" w:color="auto" w:fill="auto"/>
          </w:tcPr>
          <w:p w:rsidR="00406AE7" w:rsidRPr="00034E0F" w:rsidRDefault="00992EC3" w:rsidP="00D42FE1">
            <w:pPr>
              <w:pStyle w:val="Tabletext"/>
            </w:pPr>
            <w:r w:rsidRPr="00034E0F">
              <w:t>15J</w:t>
            </w:r>
          </w:p>
        </w:tc>
        <w:tc>
          <w:tcPr>
            <w:tcW w:w="2400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66Q</w:t>
            </w:r>
          </w:p>
        </w:tc>
        <w:tc>
          <w:tcPr>
            <w:tcW w:w="5198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To make an urgent child maintenance order, pending the disposal of the proceedings for a child maintenance order</w:t>
            </w:r>
          </w:p>
        </w:tc>
      </w:tr>
      <w:tr w:rsidR="00406AE7" w:rsidRPr="00034E0F" w:rsidTr="00D42FE1">
        <w:tc>
          <w:tcPr>
            <w:tcW w:w="714" w:type="dxa"/>
            <w:shd w:val="clear" w:color="auto" w:fill="auto"/>
          </w:tcPr>
          <w:p w:rsidR="00406AE7" w:rsidRPr="00034E0F" w:rsidRDefault="00992EC3" w:rsidP="00D42FE1">
            <w:pPr>
              <w:pStyle w:val="Tabletext"/>
            </w:pPr>
            <w:r w:rsidRPr="00034E0F">
              <w:t>15K</w:t>
            </w:r>
          </w:p>
        </w:tc>
        <w:tc>
          <w:tcPr>
            <w:tcW w:w="2400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66S</w:t>
            </w:r>
          </w:p>
        </w:tc>
        <w:tc>
          <w:tcPr>
            <w:tcW w:w="5198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To make an order discharging, suspending, reviving or varying a child maintenance order</w:t>
            </w:r>
          </w:p>
        </w:tc>
      </w:tr>
      <w:tr w:rsidR="00406AE7" w:rsidRPr="00034E0F" w:rsidTr="00D42FE1">
        <w:tc>
          <w:tcPr>
            <w:tcW w:w="714" w:type="dxa"/>
            <w:shd w:val="clear" w:color="auto" w:fill="auto"/>
          </w:tcPr>
          <w:p w:rsidR="00406AE7" w:rsidRPr="00034E0F" w:rsidRDefault="00992EC3" w:rsidP="00D42FE1">
            <w:pPr>
              <w:pStyle w:val="Tabletext"/>
            </w:pPr>
            <w:r w:rsidRPr="00034E0F">
              <w:t>15L</w:t>
            </w:r>
          </w:p>
        </w:tc>
        <w:tc>
          <w:tcPr>
            <w:tcW w:w="2400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subsection</w:t>
            </w:r>
            <w:r w:rsidR="0064086E" w:rsidRPr="00034E0F">
              <w:t> </w:t>
            </w:r>
            <w:r w:rsidRPr="00034E0F">
              <w:t>66W(2)</w:t>
            </w:r>
          </w:p>
        </w:tc>
        <w:tc>
          <w:tcPr>
            <w:tcW w:w="5198" w:type="dxa"/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To discharge or vary a child maintenance order if arrears are due under the order when it ceases to be in force</w:t>
            </w:r>
          </w:p>
        </w:tc>
      </w:tr>
      <w:tr w:rsidR="00406AE7" w:rsidRPr="00034E0F" w:rsidTr="007A01D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06AE7" w:rsidRPr="00034E0F" w:rsidRDefault="00992EC3" w:rsidP="00D42FE1">
            <w:pPr>
              <w:pStyle w:val="Tabletext"/>
            </w:pPr>
            <w:r w:rsidRPr="00034E0F">
              <w:t>15M</w:t>
            </w:r>
          </w:p>
        </w:tc>
        <w:tc>
          <w:tcPr>
            <w:tcW w:w="2400" w:type="dxa"/>
            <w:tcBorders>
              <w:bottom w:val="single" w:sz="2" w:space="0" w:color="auto"/>
            </w:tcBorders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67D</w:t>
            </w:r>
          </w:p>
        </w:tc>
        <w:tc>
          <w:tcPr>
            <w:tcW w:w="5198" w:type="dxa"/>
            <w:tcBorders>
              <w:bottom w:val="single" w:sz="2" w:space="0" w:color="auto"/>
            </w:tcBorders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To make an order in relation to the birth of a child, including for financial assistance</w:t>
            </w:r>
          </w:p>
        </w:tc>
      </w:tr>
      <w:tr w:rsidR="00406AE7" w:rsidRPr="00034E0F" w:rsidTr="007A01D9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06AE7" w:rsidRPr="00034E0F" w:rsidRDefault="00992EC3" w:rsidP="00D42FE1">
            <w:pPr>
              <w:pStyle w:val="Tabletext"/>
            </w:pPr>
            <w:r w:rsidRPr="00034E0F">
              <w:t>15N</w:t>
            </w:r>
          </w:p>
        </w:tc>
        <w:tc>
          <w:tcPr>
            <w:tcW w:w="240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67E</w:t>
            </w:r>
          </w:p>
        </w:tc>
        <w:tc>
          <w:tcPr>
            <w:tcW w:w="51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06AE7" w:rsidRPr="00034E0F" w:rsidRDefault="00406AE7" w:rsidP="00D42FE1">
            <w:pPr>
              <w:pStyle w:val="Tabletext"/>
            </w:pPr>
            <w:r w:rsidRPr="00034E0F">
              <w:t>To make an urgent order in relation to the birth of a child, including for financial assistance</w:t>
            </w:r>
          </w:p>
        </w:tc>
      </w:tr>
    </w:tbl>
    <w:p w:rsidR="007A01D9" w:rsidRPr="00034E0F" w:rsidRDefault="00DD4C12" w:rsidP="007A01D9">
      <w:pPr>
        <w:pStyle w:val="ItemHead"/>
      </w:pPr>
      <w:r w:rsidRPr="00034E0F">
        <w:t>14</w:t>
      </w:r>
      <w:r w:rsidR="007A01D9" w:rsidRPr="00034E0F">
        <w:t xml:space="preserve">  Sub</w:t>
      </w:r>
      <w:r w:rsidR="00305FD1" w:rsidRPr="00034E0F">
        <w:t>rule 2</w:t>
      </w:r>
      <w:r w:rsidR="007A01D9" w:rsidRPr="00034E0F">
        <w:t>0.00A(1) (after table item</w:t>
      </w:r>
      <w:r w:rsidR="0064086E" w:rsidRPr="00034E0F">
        <w:t> </w:t>
      </w:r>
      <w:r w:rsidR="007A01D9" w:rsidRPr="00034E0F">
        <w:t>17)</w:t>
      </w:r>
    </w:p>
    <w:p w:rsidR="007A01D9" w:rsidRPr="00034E0F" w:rsidRDefault="007A01D9" w:rsidP="007A01D9">
      <w:pPr>
        <w:pStyle w:val="Item"/>
      </w:pPr>
      <w:r w:rsidRPr="00034E0F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7A01D9" w:rsidRPr="00034E0F" w:rsidTr="00BA7F8C">
        <w:tc>
          <w:tcPr>
            <w:tcW w:w="714" w:type="dxa"/>
            <w:shd w:val="clear" w:color="auto" w:fill="auto"/>
          </w:tcPr>
          <w:p w:rsidR="007A01D9" w:rsidRPr="00034E0F" w:rsidRDefault="007A01D9" w:rsidP="00D42FE1">
            <w:pPr>
              <w:pStyle w:val="Tabletext"/>
            </w:pPr>
            <w:r w:rsidRPr="00034E0F">
              <w:t>17AA</w:t>
            </w:r>
          </w:p>
        </w:tc>
        <w:tc>
          <w:tcPr>
            <w:tcW w:w="2400" w:type="dxa"/>
            <w:shd w:val="clear" w:color="auto" w:fill="auto"/>
          </w:tcPr>
          <w:p w:rsidR="007A01D9" w:rsidRPr="00034E0F" w:rsidRDefault="007A01D9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67U</w:t>
            </w:r>
          </w:p>
        </w:tc>
        <w:tc>
          <w:tcPr>
            <w:tcW w:w="5198" w:type="dxa"/>
            <w:shd w:val="clear" w:color="auto" w:fill="auto"/>
          </w:tcPr>
          <w:p w:rsidR="007A01D9" w:rsidRPr="00034E0F" w:rsidRDefault="007A01D9" w:rsidP="00D42FE1">
            <w:pPr>
              <w:pStyle w:val="Tabletext"/>
            </w:pPr>
            <w:r w:rsidRPr="00034E0F">
              <w:t>To make a recovery order</w:t>
            </w:r>
          </w:p>
        </w:tc>
      </w:tr>
    </w:tbl>
    <w:p w:rsidR="007A01D9" w:rsidRPr="00034E0F" w:rsidRDefault="00DD4C12" w:rsidP="007A01D9">
      <w:pPr>
        <w:pStyle w:val="ItemHead"/>
      </w:pPr>
      <w:r w:rsidRPr="00034E0F">
        <w:t>15</w:t>
      </w:r>
      <w:r w:rsidR="007A01D9" w:rsidRPr="00034E0F">
        <w:t xml:space="preserve">  Sub</w:t>
      </w:r>
      <w:r w:rsidR="00305FD1" w:rsidRPr="00034E0F">
        <w:t>rule 2</w:t>
      </w:r>
      <w:r w:rsidR="007A01D9" w:rsidRPr="00034E0F">
        <w:t>0.00A(1) (after table item</w:t>
      </w:r>
      <w:r w:rsidR="0064086E" w:rsidRPr="00034E0F">
        <w:t> </w:t>
      </w:r>
      <w:r w:rsidR="007A01D9" w:rsidRPr="00034E0F">
        <w:t>17A)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7A01D9" w:rsidRPr="00034E0F" w:rsidTr="007A01D9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7A01D9" w:rsidRPr="00034E0F" w:rsidRDefault="007A01D9" w:rsidP="00D42FE1">
            <w:pPr>
              <w:pStyle w:val="Tabletext"/>
            </w:pPr>
            <w:r w:rsidRPr="00034E0F">
              <w:t>17B</w:t>
            </w:r>
          </w:p>
        </w:tc>
        <w:tc>
          <w:tcPr>
            <w:tcW w:w="2400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7A01D9" w:rsidRPr="00034E0F" w:rsidRDefault="007A01D9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67ZD</w:t>
            </w:r>
          </w:p>
        </w:tc>
        <w:tc>
          <w:tcPr>
            <w:tcW w:w="519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7A01D9" w:rsidRPr="00034E0F" w:rsidRDefault="007A01D9" w:rsidP="00D42FE1">
            <w:pPr>
              <w:pStyle w:val="Tabletext"/>
            </w:pPr>
            <w:r w:rsidRPr="00034E0F">
              <w:t>To order a passport or other travel document to be delivered to the court</w:t>
            </w:r>
          </w:p>
        </w:tc>
      </w:tr>
      <w:tr w:rsidR="007A01D9" w:rsidRPr="00034E0F" w:rsidTr="007A01D9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A01D9" w:rsidRPr="00034E0F" w:rsidRDefault="007A01D9" w:rsidP="00D42FE1">
            <w:pPr>
              <w:pStyle w:val="Tabletext"/>
            </w:pPr>
            <w:r w:rsidRPr="00034E0F">
              <w:t>17C</w:t>
            </w:r>
          </w:p>
        </w:tc>
        <w:tc>
          <w:tcPr>
            <w:tcW w:w="240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A01D9" w:rsidRPr="00034E0F" w:rsidRDefault="007A01D9" w:rsidP="00D42FE1">
            <w:pPr>
              <w:pStyle w:val="Tabletext"/>
            </w:pPr>
            <w:r w:rsidRPr="00034E0F">
              <w:t>subsections</w:t>
            </w:r>
            <w:r w:rsidR="0064086E" w:rsidRPr="00034E0F">
              <w:t> </w:t>
            </w:r>
            <w:r w:rsidRPr="00034E0F">
              <w:t>68B(1) and (2)</w:t>
            </w:r>
          </w:p>
        </w:tc>
        <w:tc>
          <w:tcPr>
            <w:tcW w:w="51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A01D9" w:rsidRPr="00034E0F" w:rsidRDefault="007A01D9" w:rsidP="00D42FE1">
            <w:pPr>
              <w:pStyle w:val="Tabletext"/>
            </w:pPr>
            <w:r w:rsidRPr="00034E0F">
              <w:t>To make an order or grant an injunction</w:t>
            </w:r>
          </w:p>
        </w:tc>
      </w:tr>
    </w:tbl>
    <w:p w:rsidR="00B32651" w:rsidRPr="00034E0F" w:rsidRDefault="00DD4C12" w:rsidP="00B32651">
      <w:pPr>
        <w:pStyle w:val="ItemHead"/>
      </w:pPr>
      <w:r w:rsidRPr="00034E0F">
        <w:t>16</w:t>
      </w:r>
      <w:r w:rsidR="00B32651" w:rsidRPr="00034E0F">
        <w:t xml:space="preserve">  Sub</w:t>
      </w:r>
      <w:r w:rsidR="00305FD1" w:rsidRPr="00034E0F">
        <w:t>rule 2</w:t>
      </w:r>
      <w:r w:rsidR="00B32651" w:rsidRPr="00034E0F">
        <w:t>0.00A(1) (after table item</w:t>
      </w:r>
      <w:r w:rsidR="0064086E" w:rsidRPr="00034E0F">
        <w:t> </w:t>
      </w:r>
      <w:r w:rsidR="00B32651" w:rsidRPr="00034E0F">
        <w:t>18)</w:t>
      </w:r>
    </w:p>
    <w:p w:rsidR="00B32651" w:rsidRPr="00034E0F" w:rsidRDefault="00B32651" w:rsidP="00B32651">
      <w:pPr>
        <w:pStyle w:val="Item"/>
      </w:pPr>
      <w:r w:rsidRPr="00034E0F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B32651" w:rsidRPr="00034E0F" w:rsidTr="00B32651">
        <w:tc>
          <w:tcPr>
            <w:tcW w:w="714" w:type="dxa"/>
            <w:tcBorders>
              <w:top w:val="nil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18A</w:t>
            </w:r>
          </w:p>
        </w:tc>
        <w:tc>
          <w:tcPr>
            <w:tcW w:w="2400" w:type="dxa"/>
            <w:tcBorders>
              <w:top w:val="nil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subsection</w:t>
            </w:r>
            <w:r w:rsidR="0064086E" w:rsidRPr="00034E0F">
              <w:t> </w:t>
            </w:r>
            <w:r w:rsidRPr="00034E0F">
              <w:t>68M(2)</w:t>
            </w:r>
          </w:p>
        </w:tc>
        <w:tc>
          <w:tcPr>
            <w:tcW w:w="5198" w:type="dxa"/>
            <w:tcBorders>
              <w:top w:val="nil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To order a person to make a child available for an examination for the purpose of preparing a report about the child for use by the independent children’s lawyer</w:t>
            </w:r>
          </w:p>
        </w:tc>
      </w:tr>
      <w:tr w:rsidR="00B32651" w:rsidRPr="00034E0F" w:rsidTr="00D42FE1">
        <w:tc>
          <w:tcPr>
            <w:tcW w:w="714" w:type="dxa"/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18B</w:t>
            </w:r>
          </w:p>
        </w:tc>
        <w:tc>
          <w:tcPr>
            <w:tcW w:w="2400" w:type="dxa"/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69V</w:t>
            </w:r>
          </w:p>
        </w:tc>
        <w:tc>
          <w:tcPr>
            <w:tcW w:w="5198" w:type="dxa"/>
            <w:shd w:val="clear" w:color="auto" w:fill="auto"/>
          </w:tcPr>
          <w:p w:rsidR="00B32651" w:rsidRPr="00034E0F" w:rsidRDefault="00B32651" w:rsidP="00622649">
            <w:pPr>
              <w:pStyle w:val="Tabletext"/>
            </w:pPr>
            <w:r w:rsidRPr="00034E0F">
              <w:t xml:space="preserve">To make an order </w:t>
            </w:r>
            <w:r w:rsidR="00622649" w:rsidRPr="00034E0F">
              <w:t>requiring any person to give evidence</w:t>
            </w:r>
            <w:r w:rsidRPr="00034E0F">
              <w:t xml:space="preserve"> </w:t>
            </w:r>
            <w:r w:rsidR="00622649" w:rsidRPr="00034E0F">
              <w:t xml:space="preserve">in relation to </w:t>
            </w:r>
            <w:r w:rsidRPr="00034E0F">
              <w:t>the parentage of a child</w:t>
            </w:r>
          </w:p>
        </w:tc>
      </w:tr>
      <w:tr w:rsidR="00B32651" w:rsidRPr="00034E0F" w:rsidTr="00D42FE1">
        <w:tc>
          <w:tcPr>
            <w:tcW w:w="714" w:type="dxa"/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18C</w:t>
            </w:r>
          </w:p>
        </w:tc>
        <w:tc>
          <w:tcPr>
            <w:tcW w:w="2400" w:type="dxa"/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69VA</w:t>
            </w:r>
          </w:p>
        </w:tc>
        <w:tc>
          <w:tcPr>
            <w:tcW w:w="5198" w:type="dxa"/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To issue a declaration of the parentage of a child</w:t>
            </w:r>
          </w:p>
        </w:tc>
      </w:tr>
      <w:tr w:rsidR="00B32651" w:rsidRPr="00034E0F" w:rsidTr="00D42FE1">
        <w:tc>
          <w:tcPr>
            <w:tcW w:w="714" w:type="dxa"/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18D</w:t>
            </w:r>
          </w:p>
        </w:tc>
        <w:tc>
          <w:tcPr>
            <w:tcW w:w="2400" w:type="dxa"/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subsection</w:t>
            </w:r>
            <w:r w:rsidR="0064086E" w:rsidRPr="00034E0F">
              <w:t> </w:t>
            </w:r>
            <w:r w:rsidRPr="00034E0F">
              <w:t>69W(1)</w:t>
            </w:r>
          </w:p>
        </w:tc>
        <w:tc>
          <w:tcPr>
            <w:tcW w:w="5198" w:type="dxa"/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To order a parentage testing procedure to be carried out on a person</w:t>
            </w:r>
          </w:p>
        </w:tc>
      </w:tr>
      <w:tr w:rsidR="00B32651" w:rsidRPr="00034E0F" w:rsidTr="00BA7F8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18E</w:t>
            </w:r>
          </w:p>
        </w:tc>
        <w:tc>
          <w:tcPr>
            <w:tcW w:w="2400" w:type="dxa"/>
            <w:tcBorders>
              <w:bottom w:val="single" w:sz="2" w:space="0" w:color="auto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69X</w:t>
            </w:r>
          </w:p>
        </w:tc>
        <w:tc>
          <w:tcPr>
            <w:tcW w:w="5198" w:type="dxa"/>
            <w:tcBorders>
              <w:bottom w:val="single" w:sz="2" w:space="0" w:color="auto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To make orders associated with a parentage testing order</w:t>
            </w:r>
          </w:p>
        </w:tc>
      </w:tr>
      <w:tr w:rsidR="00B32651" w:rsidRPr="00034E0F" w:rsidTr="00BA7F8C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18F</w:t>
            </w:r>
          </w:p>
        </w:tc>
        <w:tc>
          <w:tcPr>
            <w:tcW w:w="240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subsection</w:t>
            </w:r>
            <w:r w:rsidR="0064086E" w:rsidRPr="00034E0F">
              <w:t> </w:t>
            </w:r>
            <w:r w:rsidRPr="00034E0F">
              <w:t>69ZC(2)</w:t>
            </w:r>
          </w:p>
        </w:tc>
        <w:tc>
          <w:tcPr>
            <w:tcW w:w="51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 xml:space="preserve">To order a person to appear before </w:t>
            </w:r>
            <w:r w:rsidR="00BA7F8C" w:rsidRPr="00034E0F">
              <w:t>the</w:t>
            </w:r>
            <w:r w:rsidR="00622649" w:rsidRPr="00034E0F">
              <w:t xml:space="preserve"> </w:t>
            </w:r>
            <w:r w:rsidRPr="00034E0F">
              <w:t>court and give evidence in relation to a report of a parentage testing procedure</w:t>
            </w:r>
          </w:p>
        </w:tc>
      </w:tr>
    </w:tbl>
    <w:p w:rsidR="00B32651" w:rsidRPr="00034E0F" w:rsidRDefault="00DD4C12" w:rsidP="00B32651">
      <w:pPr>
        <w:pStyle w:val="ItemHead"/>
      </w:pPr>
      <w:r w:rsidRPr="00034E0F">
        <w:t>17</w:t>
      </w:r>
      <w:r w:rsidR="00B32651" w:rsidRPr="00034E0F">
        <w:t xml:space="preserve">  Sub</w:t>
      </w:r>
      <w:r w:rsidR="00305FD1" w:rsidRPr="00034E0F">
        <w:t>rule 2</w:t>
      </w:r>
      <w:r w:rsidR="00B32651" w:rsidRPr="00034E0F">
        <w:t>0.00A(1) (after table item</w:t>
      </w:r>
      <w:r w:rsidR="0064086E" w:rsidRPr="00034E0F">
        <w:t> </w:t>
      </w:r>
      <w:r w:rsidR="00B32651" w:rsidRPr="00034E0F">
        <w:t>19)</w:t>
      </w:r>
    </w:p>
    <w:p w:rsidR="00B32651" w:rsidRPr="00034E0F" w:rsidRDefault="00B32651" w:rsidP="00B32651">
      <w:pPr>
        <w:pStyle w:val="Item"/>
      </w:pPr>
      <w:r w:rsidRPr="00034E0F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B32651" w:rsidRPr="00034E0F" w:rsidTr="00BA7F8C">
        <w:tc>
          <w:tcPr>
            <w:tcW w:w="714" w:type="dxa"/>
            <w:tcBorders>
              <w:top w:val="nil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19A</w:t>
            </w:r>
          </w:p>
        </w:tc>
        <w:tc>
          <w:tcPr>
            <w:tcW w:w="2400" w:type="dxa"/>
            <w:tcBorders>
              <w:top w:val="nil"/>
            </w:tcBorders>
            <w:shd w:val="clear" w:color="auto" w:fill="auto"/>
          </w:tcPr>
          <w:p w:rsidR="00B32651" w:rsidRPr="00034E0F" w:rsidRDefault="00B32651" w:rsidP="00D42FE1">
            <w:pPr>
              <w:pStyle w:val="Tabletext"/>
            </w:pPr>
            <w:r w:rsidRPr="00034E0F">
              <w:t>subject to item</w:t>
            </w:r>
            <w:r w:rsidR="0064086E" w:rsidRPr="00034E0F">
              <w:t> </w:t>
            </w:r>
            <w:r w:rsidRPr="00034E0F">
              <w:t>19B of this table, Division</w:t>
            </w:r>
            <w:r w:rsidR="0064086E" w:rsidRPr="00034E0F">
              <w:t> </w:t>
            </w:r>
            <w:r w:rsidRPr="00034E0F">
              <w:t>13A of Part</w:t>
            </w:r>
            <w:r w:rsidR="0064086E" w:rsidRPr="00034E0F">
              <w:t> </w:t>
            </w:r>
            <w:r w:rsidRPr="00034E0F">
              <w:t>VII</w:t>
            </w:r>
            <w:r w:rsidR="002F1414" w:rsidRPr="00034E0F">
              <w:t xml:space="preserve"> </w:t>
            </w:r>
            <w:r w:rsidR="005A75A6" w:rsidRPr="00034E0F">
              <w:t>except paragraph</w:t>
            </w:r>
            <w:r w:rsidR="0064086E" w:rsidRPr="00034E0F">
              <w:t> </w:t>
            </w:r>
            <w:r w:rsidR="005A75A6" w:rsidRPr="00034E0F">
              <w:t>70NFB(2)(e) and only if:</w:t>
            </w:r>
          </w:p>
          <w:p w:rsidR="005A75A6" w:rsidRPr="00034E0F" w:rsidRDefault="005A75A6" w:rsidP="002F1414">
            <w:pPr>
              <w:pStyle w:val="Tablea"/>
            </w:pPr>
            <w:r w:rsidRPr="00034E0F">
              <w:t>(a) the order made is an order until further order; or</w:t>
            </w:r>
          </w:p>
          <w:p w:rsidR="005A75A6" w:rsidRPr="00034E0F" w:rsidRDefault="005A75A6" w:rsidP="005A75A6">
            <w:pPr>
              <w:pStyle w:val="Tablea"/>
            </w:pPr>
            <w:r w:rsidRPr="00034E0F">
              <w:t>(b) the power is exercised in an undefended case; or</w:t>
            </w:r>
          </w:p>
          <w:p w:rsidR="00290488" w:rsidRPr="00034E0F" w:rsidRDefault="005A75A6" w:rsidP="002F1414">
            <w:pPr>
              <w:pStyle w:val="Tablea"/>
            </w:pPr>
            <w:r w:rsidRPr="00034E0F">
              <w:t>(c) the power is exercised with the consent of all the parties to the case</w:t>
            </w:r>
          </w:p>
        </w:tc>
        <w:tc>
          <w:tcPr>
            <w:tcW w:w="5198" w:type="dxa"/>
            <w:tcBorders>
              <w:top w:val="nil"/>
            </w:tcBorders>
            <w:shd w:val="clear" w:color="auto" w:fill="auto"/>
          </w:tcPr>
          <w:p w:rsidR="00B32651" w:rsidRPr="00034E0F" w:rsidRDefault="00563E40" w:rsidP="00D42FE1">
            <w:pPr>
              <w:pStyle w:val="Tabletext"/>
            </w:pPr>
            <w:r w:rsidRPr="00034E0F">
              <w:t>To make orders to enforce compliance with order</w:t>
            </w:r>
            <w:r w:rsidR="00BA7F8C" w:rsidRPr="00034E0F">
              <w:t>s</w:t>
            </w:r>
            <w:r w:rsidRPr="00034E0F">
              <w:t xml:space="preserve"> under the Family Law Act affecting children</w:t>
            </w:r>
            <w:r w:rsidR="00622649" w:rsidRPr="00034E0F">
              <w:t>, and to do any other thing referred to in Division</w:t>
            </w:r>
            <w:r w:rsidR="0064086E" w:rsidRPr="00034E0F">
              <w:t> </w:t>
            </w:r>
            <w:r w:rsidR="00622649" w:rsidRPr="00034E0F">
              <w:t>13A of Part</w:t>
            </w:r>
            <w:r w:rsidR="0064086E" w:rsidRPr="00034E0F">
              <w:t> </w:t>
            </w:r>
            <w:r w:rsidR="00622649" w:rsidRPr="00034E0F">
              <w:t>VII</w:t>
            </w:r>
            <w:r w:rsidR="00805E50" w:rsidRPr="00034E0F">
              <w:t xml:space="preserve"> of the Family Law Act</w:t>
            </w:r>
          </w:p>
        </w:tc>
      </w:tr>
      <w:tr w:rsidR="00B32651" w:rsidRPr="00034E0F" w:rsidTr="00D42FE1">
        <w:tc>
          <w:tcPr>
            <w:tcW w:w="714" w:type="dxa"/>
            <w:shd w:val="clear" w:color="auto" w:fill="auto"/>
          </w:tcPr>
          <w:p w:rsidR="00B32651" w:rsidRPr="00034E0F" w:rsidRDefault="00334EE1" w:rsidP="00D42FE1">
            <w:pPr>
              <w:pStyle w:val="Tabletext"/>
            </w:pPr>
            <w:r w:rsidRPr="00034E0F">
              <w:t>19B</w:t>
            </w:r>
          </w:p>
        </w:tc>
        <w:tc>
          <w:tcPr>
            <w:tcW w:w="2400" w:type="dxa"/>
            <w:shd w:val="clear" w:color="auto" w:fill="auto"/>
          </w:tcPr>
          <w:p w:rsidR="00334EE1" w:rsidRPr="00034E0F" w:rsidRDefault="00305FD1" w:rsidP="00334EE1">
            <w:pPr>
              <w:pStyle w:val="Tabletext"/>
            </w:pPr>
            <w:r w:rsidRPr="00034E0F">
              <w:t>sections 7</w:t>
            </w:r>
            <w:r w:rsidR="001F0330" w:rsidRPr="00034E0F">
              <w:t xml:space="preserve">0NBA and </w:t>
            </w:r>
            <w:r w:rsidR="00334EE1" w:rsidRPr="00034E0F">
              <w:t>70NFD (but only if the order to be varied or discharged:</w:t>
            </w:r>
          </w:p>
          <w:p w:rsidR="00334EE1" w:rsidRPr="00034E0F" w:rsidRDefault="00334EE1" w:rsidP="00334EE1">
            <w:pPr>
              <w:pStyle w:val="Tablea"/>
            </w:pPr>
            <w:r w:rsidRPr="00034E0F">
              <w:t>(a) was made by a Registrar; or</w:t>
            </w:r>
          </w:p>
          <w:p w:rsidR="00334EE1" w:rsidRPr="00034E0F" w:rsidRDefault="00334EE1" w:rsidP="00334EE1">
            <w:pPr>
              <w:pStyle w:val="Tablea"/>
            </w:pPr>
            <w:r w:rsidRPr="00034E0F">
              <w:t>(b) is an order until further order; or</w:t>
            </w:r>
          </w:p>
          <w:p w:rsidR="00334EE1" w:rsidRPr="00034E0F" w:rsidRDefault="00334EE1" w:rsidP="00334EE1">
            <w:pPr>
              <w:pStyle w:val="Tablea"/>
            </w:pPr>
            <w:r w:rsidRPr="00034E0F">
              <w:t>(c) was made in an undefended case; or</w:t>
            </w:r>
          </w:p>
          <w:p w:rsidR="005A75A6" w:rsidRPr="00034E0F" w:rsidRDefault="00334EE1" w:rsidP="0094271B">
            <w:pPr>
              <w:pStyle w:val="Tablea"/>
            </w:pPr>
            <w:r w:rsidRPr="00034E0F">
              <w:t>(d) was made with the consent of all the parties to the case)</w:t>
            </w:r>
          </w:p>
        </w:tc>
        <w:tc>
          <w:tcPr>
            <w:tcW w:w="5198" w:type="dxa"/>
            <w:shd w:val="clear" w:color="auto" w:fill="auto"/>
          </w:tcPr>
          <w:p w:rsidR="00B32651" w:rsidRPr="00034E0F" w:rsidRDefault="00563E40" w:rsidP="00563E40">
            <w:pPr>
              <w:pStyle w:val="Tabletext"/>
            </w:pPr>
            <w:r w:rsidRPr="00034E0F">
              <w:t>To</w:t>
            </w:r>
            <w:r w:rsidR="001F0330" w:rsidRPr="00034E0F">
              <w:t xml:space="preserve"> vary a parenting order, and to</w:t>
            </w:r>
            <w:r w:rsidRPr="00034E0F">
              <w:t xml:space="preserve"> vary or discharge</w:t>
            </w:r>
            <w:r w:rsidR="00334EE1" w:rsidRPr="00034E0F">
              <w:t xml:space="preserve"> </w:t>
            </w:r>
            <w:r w:rsidRPr="00034E0F">
              <w:t xml:space="preserve">a </w:t>
            </w:r>
            <w:r w:rsidR="00334EE1" w:rsidRPr="00034E0F">
              <w:t xml:space="preserve">community service </w:t>
            </w:r>
            <w:r w:rsidRPr="00034E0F">
              <w:t xml:space="preserve">order that was made </w:t>
            </w:r>
            <w:r w:rsidR="00334EE1" w:rsidRPr="00034E0F">
              <w:t>under paragraph</w:t>
            </w:r>
            <w:r w:rsidR="0064086E" w:rsidRPr="00034E0F">
              <w:t> </w:t>
            </w:r>
            <w:r w:rsidR="00334EE1" w:rsidRPr="00034E0F">
              <w:t>70NFB(2)(a)</w:t>
            </w:r>
            <w:r w:rsidRPr="00034E0F">
              <w:t xml:space="preserve"> of the Family Law Act</w:t>
            </w:r>
          </w:p>
        </w:tc>
      </w:tr>
      <w:tr w:rsidR="003E43D1" w:rsidRPr="00034E0F" w:rsidTr="00D42FE1">
        <w:tc>
          <w:tcPr>
            <w:tcW w:w="714" w:type="dxa"/>
            <w:shd w:val="clear" w:color="auto" w:fill="auto"/>
          </w:tcPr>
          <w:p w:rsidR="003E43D1" w:rsidRPr="00034E0F" w:rsidRDefault="00BF7645" w:rsidP="00D42FE1">
            <w:pPr>
              <w:pStyle w:val="Tabletext"/>
            </w:pPr>
            <w:r w:rsidRPr="00034E0F">
              <w:t>19C</w:t>
            </w:r>
          </w:p>
        </w:tc>
        <w:tc>
          <w:tcPr>
            <w:tcW w:w="2400" w:type="dxa"/>
            <w:shd w:val="clear" w:color="auto" w:fill="auto"/>
          </w:tcPr>
          <w:p w:rsidR="003E43D1" w:rsidRPr="00034E0F" w:rsidRDefault="003E43D1" w:rsidP="00334E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74</w:t>
            </w:r>
          </w:p>
        </w:tc>
        <w:tc>
          <w:tcPr>
            <w:tcW w:w="5198" w:type="dxa"/>
            <w:shd w:val="clear" w:color="auto" w:fill="auto"/>
          </w:tcPr>
          <w:p w:rsidR="003E43D1" w:rsidRPr="00034E0F" w:rsidRDefault="003E43D1" w:rsidP="00D42FE1">
            <w:pPr>
              <w:pStyle w:val="Tabletext"/>
            </w:pPr>
            <w:r w:rsidRPr="00034E0F">
              <w:t>To make an order for the maintenance of a party to a marriage</w:t>
            </w:r>
          </w:p>
        </w:tc>
      </w:tr>
      <w:tr w:rsidR="00B32651" w:rsidRPr="00034E0F" w:rsidTr="00D42FE1">
        <w:tc>
          <w:tcPr>
            <w:tcW w:w="714" w:type="dxa"/>
            <w:shd w:val="clear" w:color="auto" w:fill="auto"/>
          </w:tcPr>
          <w:p w:rsidR="00B32651" w:rsidRPr="00034E0F" w:rsidRDefault="00BF7645" w:rsidP="00D42FE1">
            <w:pPr>
              <w:pStyle w:val="Tabletext"/>
            </w:pPr>
            <w:r w:rsidRPr="00034E0F">
              <w:t>19D</w:t>
            </w:r>
          </w:p>
        </w:tc>
        <w:tc>
          <w:tcPr>
            <w:tcW w:w="2400" w:type="dxa"/>
            <w:shd w:val="clear" w:color="auto" w:fill="auto"/>
          </w:tcPr>
          <w:p w:rsidR="00B9397C" w:rsidRPr="00034E0F" w:rsidRDefault="00334EE1" w:rsidP="00334EE1">
            <w:pPr>
              <w:pStyle w:val="Tabletext"/>
            </w:pPr>
            <w:r w:rsidRPr="00034E0F">
              <w:t>s</w:t>
            </w:r>
            <w:r w:rsidR="00B32651" w:rsidRPr="00034E0F">
              <w:t>ection</w:t>
            </w:r>
            <w:r w:rsidR="0064086E" w:rsidRPr="00034E0F">
              <w:t> </w:t>
            </w:r>
            <w:r w:rsidR="00B32651" w:rsidRPr="00034E0F">
              <w:t>74</w:t>
            </w:r>
            <w:r w:rsidRPr="00034E0F">
              <w:t xml:space="preserve"> (but only if</w:t>
            </w:r>
            <w:r w:rsidR="00B9397C" w:rsidRPr="00034E0F">
              <w:t>:</w:t>
            </w:r>
          </w:p>
          <w:p w:rsidR="00334EE1" w:rsidRPr="00034E0F" w:rsidRDefault="00B9397C" w:rsidP="00B9397C">
            <w:pPr>
              <w:pStyle w:val="Tablea"/>
            </w:pPr>
            <w:r w:rsidRPr="00034E0F">
              <w:t>(a) all of the following apply:</w:t>
            </w:r>
          </w:p>
          <w:p w:rsidR="00CC40CC" w:rsidRPr="00034E0F" w:rsidRDefault="00B9397C" w:rsidP="00B9397C">
            <w:pPr>
              <w:pStyle w:val="Tablei"/>
            </w:pPr>
            <w:r w:rsidRPr="00034E0F">
              <w:t>(i</w:t>
            </w:r>
            <w:r w:rsidR="00334EE1" w:rsidRPr="00034E0F">
              <w:t xml:space="preserve">) </w:t>
            </w:r>
            <w:r w:rsidRPr="00034E0F">
              <w:t xml:space="preserve">the order </w:t>
            </w:r>
            <w:r w:rsidR="00CC40CC" w:rsidRPr="00034E0F">
              <w:t>is a</w:t>
            </w:r>
            <w:r w:rsidRPr="00034E0F">
              <w:t>n order until further order;</w:t>
            </w:r>
          </w:p>
          <w:p w:rsidR="00334EE1" w:rsidRPr="00034E0F" w:rsidRDefault="00B9397C" w:rsidP="00B9397C">
            <w:pPr>
              <w:pStyle w:val="Tablei"/>
            </w:pPr>
            <w:r w:rsidRPr="00034E0F">
              <w:t>(ii</w:t>
            </w:r>
            <w:r w:rsidR="00CC40CC" w:rsidRPr="00034E0F">
              <w:t xml:space="preserve">) </w:t>
            </w:r>
            <w:r w:rsidRPr="00034E0F">
              <w:t xml:space="preserve">the order </w:t>
            </w:r>
            <w:r w:rsidR="00334EE1" w:rsidRPr="00034E0F">
              <w:t>is</w:t>
            </w:r>
            <w:r w:rsidRPr="00034E0F">
              <w:t xml:space="preserve"> made in an undefended case;</w:t>
            </w:r>
          </w:p>
          <w:p w:rsidR="00B9397C" w:rsidRPr="00034E0F" w:rsidRDefault="00B9397C" w:rsidP="00B9397C">
            <w:pPr>
              <w:pStyle w:val="Tablei"/>
            </w:pPr>
            <w:r w:rsidRPr="00034E0F">
              <w:t>(iii</w:t>
            </w:r>
            <w:r w:rsidR="00334EE1" w:rsidRPr="00034E0F">
              <w:t xml:space="preserve">) </w:t>
            </w:r>
            <w:r w:rsidRPr="00034E0F">
              <w:t xml:space="preserve">the order </w:t>
            </w:r>
            <w:r w:rsidR="00334EE1" w:rsidRPr="00034E0F">
              <w:t xml:space="preserve">is to come into effect </w:t>
            </w:r>
            <w:r w:rsidR="00CC40CC" w:rsidRPr="00034E0F">
              <w:t>at least 21</w:t>
            </w:r>
            <w:r w:rsidR="00334EE1" w:rsidRPr="00034E0F">
              <w:t xml:space="preserve"> days after </w:t>
            </w:r>
            <w:r w:rsidR="00CC40CC" w:rsidRPr="00034E0F">
              <w:t>the order is</w:t>
            </w:r>
            <w:r w:rsidR="00334EE1" w:rsidRPr="00034E0F">
              <w:t xml:space="preserve"> served on the other party</w:t>
            </w:r>
            <w:r w:rsidRPr="00034E0F">
              <w:t>; or</w:t>
            </w:r>
          </w:p>
          <w:p w:rsidR="00CC40CC" w:rsidRPr="00034E0F" w:rsidRDefault="00B9397C" w:rsidP="00B9397C">
            <w:pPr>
              <w:pStyle w:val="Tablea"/>
            </w:pPr>
            <w:r w:rsidRPr="00034E0F">
              <w:t>(b) the order is made with the consent of all the parties to the case</w:t>
            </w:r>
            <w:r w:rsidR="00334EE1" w:rsidRPr="00034E0F">
              <w:t>)</w:t>
            </w:r>
          </w:p>
        </w:tc>
        <w:tc>
          <w:tcPr>
            <w:tcW w:w="5198" w:type="dxa"/>
            <w:shd w:val="clear" w:color="auto" w:fill="auto"/>
          </w:tcPr>
          <w:p w:rsidR="00334EE1" w:rsidRPr="00034E0F" w:rsidRDefault="00B32651" w:rsidP="00D42FE1">
            <w:pPr>
              <w:pStyle w:val="Tabletext"/>
            </w:pPr>
            <w:r w:rsidRPr="00034E0F">
              <w:t>To make an order</w:t>
            </w:r>
            <w:r w:rsidR="005A75A6" w:rsidRPr="00034E0F">
              <w:t xml:space="preserve"> </w:t>
            </w:r>
            <w:r w:rsidRPr="00034E0F">
              <w:t>for the maintenance of a party</w:t>
            </w:r>
            <w:r w:rsidR="005A75A6" w:rsidRPr="00034E0F">
              <w:t xml:space="preserve"> to a marriage</w:t>
            </w:r>
          </w:p>
        </w:tc>
      </w:tr>
      <w:tr w:rsidR="00AF2380" w:rsidRPr="00034E0F" w:rsidTr="00D42FE1">
        <w:tc>
          <w:tcPr>
            <w:tcW w:w="714" w:type="dxa"/>
            <w:shd w:val="clear" w:color="auto" w:fill="auto"/>
          </w:tcPr>
          <w:p w:rsidR="00AF2380" w:rsidRPr="00034E0F" w:rsidRDefault="00BF7645" w:rsidP="00D42FE1">
            <w:pPr>
              <w:pStyle w:val="Tabletext"/>
            </w:pPr>
            <w:r w:rsidRPr="00034E0F">
              <w:t>19E</w:t>
            </w:r>
          </w:p>
        </w:tc>
        <w:tc>
          <w:tcPr>
            <w:tcW w:w="2400" w:type="dxa"/>
            <w:shd w:val="clear" w:color="auto" w:fill="auto"/>
          </w:tcPr>
          <w:p w:rsidR="00AF2380" w:rsidRPr="00034E0F" w:rsidRDefault="00AF2380" w:rsidP="00A95D2A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77</w:t>
            </w:r>
          </w:p>
        </w:tc>
        <w:tc>
          <w:tcPr>
            <w:tcW w:w="5198" w:type="dxa"/>
            <w:shd w:val="clear" w:color="auto" w:fill="auto"/>
          </w:tcPr>
          <w:p w:rsidR="00AF2380" w:rsidRPr="00034E0F" w:rsidRDefault="00AF2380" w:rsidP="00D42FE1">
            <w:pPr>
              <w:pStyle w:val="Tabletext"/>
            </w:pPr>
            <w:r w:rsidRPr="00034E0F">
              <w:t>To make an urgent order for the maintenance of a party to a marriage, pending the disposal of the proceedings</w:t>
            </w:r>
          </w:p>
        </w:tc>
      </w:tr>
      <w:tr w:rsidR="00A95D2A" w:rsidRPr="00034E0F" w:rsidTr="00D42FE1">
        <w:tc>
          <w:tcPr>
            <w:tcW w:w="714" w:type="dxa"/>
            <w:shd w:val="clear" w:color="auto" w:fill="auto"/>
          </w:tcPr>
          <w:p w:rsidR="00A95D2A" w:rsidRPr="00034E0F" w:rsidRDefault="00BF7645" w:rsidP="00D42FE1">
            <w:pPr>
              <w:pStyle w:val="Tabletext"/>
            </w:pPr>
            <w:r w:rsidRPr="00034E0F">
              <w:t>19F</w:t>
            </w:r>
          </w:p>
        </w:tc>
        <w:tc>
          <w:tcPr>
            <w:tcW w:w="2400" w:type="dxa"/>
            <w:shd w:val="clear" w:color="auto" w:fill="auto"/>
          </w:tcPr>
          <w:p w:rsidR="008E3699" w:rsidRPr="00034E0F" w:rsidRDefault="00A95D2A" w:rsidP="00A95D2A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77 (but only if</w:t>
            </w:r>
            <w:r w:rsidR="008E3699" w:rsidRPr="00034E0F">
              <w:t>:</w:t>
            </w:r>
          </w:p>
          <w:p w:rsidR="00A95D2A" w:rsidRPr="00034E0F" w:rsidRDefault="008E3699" w:rsidP="008E3699">
            <w:pPr>
              <w:pStyle w:val="Tablea"/>
            </w:pPr>
            <w:r w:rsidRPr="00034E0F">
              <w:t>(a) both of the following apply:</w:t>
            </w:r>
          </w:p>
          <w:p w:rsidR="00A95D2A" w:rsidRPr="00034E0F" w:rsidRDefault="00A95D2A" w:rsidP="008E3699">
            <w:pPr>
              <w:pStyle w:val="Tablei"/>
            </w:pPr>
            <w:r w:rsidRPr="00034E0F">
              <w:t>(</w:t>
            </w:r>
            <w:r w:rsidR="008E3699" w:rsidRPr="00034E0F">
              <w:t>i</w:t>
            </w:r>
            <w:r w:rsidRPr="00034E0F">
              <w:t xml:space="preserve">) </w:t>
            </w:r>
            <w:r w:rsidR="008E3699" w:rsidRPr="00034E0F">
              <w:t xml:space="preserve">the order </w:t>
            </w:r>
            <w:r w:rsidRPr="00034E0F">
              <w:t>is</w:t>
            </w:r>
            <w:r w:rsidR="008E3699" w:rsidRPr="00034E0F">
              <w:t xml:space="preserve"> made in an undefended case;</w:t>
            </w:r>
          </w:p>
          <w:p w:rsidR="008E3699" w:rsidRPr="00034E0F" w:rsidRDefault="008E3699" w:rsidP="008E3699">
            <w:pPr>
              <w:pStyle w:val="Tablei"/>
            </w:pPr>
            <w:r w:rsidRPr="00034E0F">
              <w:t>(ii</w:t>
            </w:r>
            <w:r w:rsidR="00A95D2A" w:rsidRPr="00034E0F">
              <w:t xml:space="preserve">) </w:t>
            </w:r>
            <w:r w:rsidRPr="00034E0F">
              <w:t xml:space="preserve">the order </w:t>
            </w:r>
            <w:r w:rsidR="00A95D2A" w:rsidRPr="00034E0F">
              <w:t xml:space="preserve">is to come into effect </w:t>
            </w:r>
            <w:r w:rsidR="0025574C" w:rsidRPr="00034E0F">
              <w:t>at least 21</w:t>
            </w:r>
            <w:r w:rsidR="00A95D2A" w:rsidRPr="00034E0F">
              <w:t xml:space="preserve"> days after the </w:t>
            </w:r>
            <w:r w:rsidR="0025574C" w:rsidRPr="00034E0F">
              <w:t>order is served</w:t>
            </w:r>
            <w:r w:rsidR="00A95D2A" w:rsidRPr="00034E0F">
              <w:t xml:space="preserve"> on the other party</w:t>
            </w:r>
            <w:r w:rsidRPr="00034E0F">
              <w:t>; or</w:t>
            </w:r>
          </w:p>
          <w:p w:rsidR="0025574C" w:rsidRPr="00034E0F" w:rsidRDefault="008E3699" w:rsidP="008E3699">
            <w:pPr>
              <w:pStyle w:val="Tablea"/>
            </w:pPr>
            <w:r w:rsidRPr="00034E0F">
              <w:t>(b) the order is made with the consent of all the parties to the case</w:t>
            </w:r>
            <w:r w:rsidR="00A95D2A" w:rsidRPr="00034E0F">
              <w:t>)</w:t>
            </w:r>
          </w:p>
        </w:tc>
        <w:tc>
          <w:tcPr>
            <w:tcW w:w="5198" w:type="dxa"/>
            <w:shd w:val="clear" w:color="auto" w:fill="auto"/>
          </w:tcPr>
          <w:p w:rsidR="00A95D2A" w:rsidRPr="00034E0F" w:rsidRDefault="0091797D" w:rsidP="00D42FE1">
            <w:pPr>
              <w:pStyle w:val="Tabletext"/>
            </w:pPr>
            <w:r w:rsidRPr="00034E0F">
              <w:t>To make an urgent order for the maintenance of a party to a marriage, pending the disposal of the proceedings</w:t>
            </w:r>
          </w:p>
        </w:tc>
      </w:tr>
      <w:tr w:rsidR="002E69A5" w:rsidRPr="00034E0F" w:rsidTr="00D42FE1">
        <w:tc>
          <w:tcPr>
            <w:tcW w:w="714" w:type="dxa"/>
            <w:shd w:val="clear" w:color="auto" w:fill="auto"/>
          </w:tcPr>
          <w:p w:rsidR="002E69A5" w:rsidRPr="00034E0F" w:rsidRDefault="00BF7645" w:rsidP="00D42FE1">
            <w:pPr>
              <w:pStyle w:val="Tabletext"/>
            </w:pPr>
            <w:r w:rsidRPr="00034E0F">
              <w:t>19G</w:t>
            </w:r>
          </w:p>
        </w:tc>
        <w:tc>
          <w:tcPr>
            <w:tcW w:w="2400" w:type="dxa"/>
            <w:shd w:val="clear" w:color="auto" w:fill="auto"/>
          </w:tcPr>
          <w:p w:rsidR="002E69A5" w:rsidRPr="00034E0F" w:rsidRDefault="00305FD1" w:rsidP="002E69A5">
            <w:pPr>
              <w:pStyle w:val="Tabletext"/>
            </w:pPr>
            <w:r w:rsidRPr="00034E0F">
              <w:t>sections 7</w:t>
            </w:r>
            <w:r w:rsidR="002E69A5" w:rsidRPr="00034E0F">
              <w:t>8, 79 and 79A (</w:t>
            </w:r>
            <w:r w:rsidR="00494407" w:rsidRPr="00034E0F">
              <w:t xml:space="preserve">but only </w:t>
            </w:r>
            <w:r w:rsidR="0025574C" w:rsidRPr="00034E0F">
              <w:t>if</w:t>
            </w:r>
            <w:r w:rsidR="002E69A5" w:rsidRPr="00034E0F">
              <w:t>:</w:t>
            </w:r>
          </w:p>
          <w:p w:rsidR="002E69A5" w:rsidRPr="00034E0F" w:rsidRDefault="002E69A5" w:rsidP="002E69A5">
            <w:pPr>
              <w:pStyle w:val="Tablea"/>
            </w:pPr>
            <w:r w:rsidRPr="00034E0F">
              <w:t xml:space="preserve">(a) </w:t>
            </w:r>
            <w:r w:rsidR="0025574C" w:rsidRPr="00034E0F">
              <w:t xml:space="preserve">the declaration or order made is </w:t>
            </w:r>
            <w:r w:rsidRPr="00034E0F">
              <w:t>a declaration or an order until further order; or</w:t>
            </w:r>
          </w:p>
          <w:p w:rsidR="00494407" w:rsidRPr="00034E0F" w:rsidRDefault="002E69A5" w:rsidP="00047F32">
            <w:pPr>
              <w:pStyle w:val="Tablea"/>
            </w:pPr>
            <w:r w:rsidRPr="00034E0F">
              <w:t xml:space="preserve">(b) </w:t>
            </w:r>
            <w:r w:rsidR="0025574C" w:rsidRPr="00034E0F">
              <w:t>the power is exercised in an undefended case</w:t>
            </w:r>
            <w:r w:rsidR="00BA7F8C" w:rsidRPr="00034E0F">
              <w:t>)</w:t>
            </w:r>
          </w:p>
        </w:tc>
        <w:tc>
          <w:tcPr>
            <w:tcW w:w="5198" w:type="dxa"/>
            <w:shd w:val="clear" w:color="auto" w:fill="auto"/>
          </w:tcPr>
          <w:p w:rsidR="000E0433" w:rsidRPr="00034E0F" w:rsidRDefault="0025574C" w:rsidP="007F7F54">
            <w:pPr>
              <w:pStyle w:val="Tabletext"/>
            </w:pPr>
            <w:r w:rsidRPr="00034E0F">
              <w:t>To make a declaration or order in relation to the property interests of the parties to a marriage</w:t>
            </w:r>
            <w:r w:rsidR="00BA7F8C" w:rsidRPr="00034E0F">
              <w:t>, and to do any other thing referred to in section</w:t>
            </w:r>
            <w:r w:rsidR="0064086E" w:rsidRPr="00034E0F">
              <w:t> </w:t>
            </w:r>
            <w:r w:rsidR="00BA7F8C" w:rsidRPr="00034E0F">
              <w:t>79 or 79A</w:t>
            </w:r>
            <w:r w:rsidR="00805E50" w:rsidRPr="00034E0F">
              <w:t xml:space="preserve"> of the Family Law Act</w:t>
            </w:r>
          </w:p>
        </w:tc>
      </w:tr>
      <w:tr w:rsidR="002E69A5" w:rsidRPr="00034E0F" w:rsidTr="00D42FE1">
        <w:tc>
          <w:tcPr>
            <w:tcW w:w="714" w:type="dxa"/>
            <w:shd w:val="clear" w:color="auto" w:fill="auto"/>
          </w:tcPr>
          <w:p w:rsidR="002E69A5" w:rsidRPr="00034E0F" w:rsidRDefault="00BF7645" w:rsidP="00D42FE1">
            <w:pPr>
              <w:pStyle w:val="Tabletext"/>
            </w:pPr>
            <w:r w:rsidRPr="00034E0F">
              <w:t>19H</w:t>
            </w:r>
          </w:p>
        </w:tc>
        <w:tc>
          <w:tcPr>
            <w:tcW w:w="2400" w:type="dxa"/>
            <w:shd w:val="clear" w:color="auto" w:fill="auto"/>
          </w:tcPr>
          <w:p w:rsidR="003A61B1" w:rsidRPr="00034E0F" w:rsidRDefault="00305FD1" w:rsidP="001E3928">
            <w:pPr>
              <w:pStyle w:val="Tabletext"/>
            </w:pPr>
            <w:r w:rsidRPr="00034E0F">
              <w:t>sections 7</w:t>
            </w:r>
            <w:r w:rsidR="002E69A5" w:rsidRPr="00034E0F">
              <w:t>8, 79 and 79A (</w:t>
            </w:r>
            <w:r w:rsidR="00494407" w:rsidRPr="00034E0F">
              <w:t xml:space="preserve">but only </w:t>
            </w:r>
            <w:r w:rsidR="002E69A5" w:rsidRPr="00034E0F">
              <w:t>if</w:t>
            </w:r>
            <w:r w:rsidR="003A61B1" w:rsidRPr="00034E0F">
              <w:t>:</w:t>
            </w:r>
          </w:p>
          <w:p w:rsidR="007F7F54" w:rsidRPr="00034E0F" w:rsidRDefault="003A61B1" w:rsidP="003A61B1">
            <w:pPr>
              <w:pStyle w:val="Tablea"/>
            </w:pPr>
            <w:r w:rsidRPr="00034E0F">
              <w:t xml:space="preserve">(a) </w:t>
            </w:r>
            <w:r w:rsidR="007F7F54" w:rsidRPr="00034E0F">
              <w:t>both of the following apply:</w:t>
            </w:r>
          </w:p>
          <w:p w:rsidR="003A61B1" w:rsidRPr="00034E0F" w:rsidRDefault="007F7F54" w:rsidP="007F7F54">
            <w:pPr>
              <w:pStyle w:val="Tablei"/>
            </w:pPr>
            <w:r w:rsidRPr="00034E0F">
              <w:t xml:space="preserve">(i) </w:t>
            </w:r>
            <w:r w:rsidR="003A61B1" w:rsidRPr="00034E0F">
              <w:t>the power is exer</w:t>
            </w:r>
            <w:r w:rsidRPr="00034E0F">
              <w:t>cised in an undefended case;</w:t>
            </w:r>
          </w:p>
          <w:p w:rsidR="003A61B1" w:rsidRPr="00034E0F" w:rsidRDefault="00BF7645" w:rsidP="007F7F54">
            <w:pPr>
              <w:pStyle w:val="Tablei"/>
            </w:pPr>
            <w:r w:rsidRPr="00034E0F">
              <w:t>(ii</w:t>
            </w:r>
            <w:r w:rsidR="003A61B1" w:rsidRPr="00034E0F">
              <w:t>) the declaration or order is to come into effect at least 21 days after the declaration or order is served on the non</w:t>
            </w:r>
            <w:r w:rsidR="00034E0F">
              <w:noBreakHyphen/>
            </w:r>
            <w:r w:rsidR="003A61B1" w:rsidRPr="00034E0F">
              <w:t>appearing party;</w:t>
            </w:r>
            <w:r w:rsidR="007F7F54" w:rsidRPr="00034E0F">
              <w:t xml:space="preserve"> or</w:t>
            </w:r>
          </w:p>
          <w:p w:rsidR="00E17606" w:rsidRPr="00034E0F" w:rsidRDefault="007F7F54" w:rsidP="007A2C83">
            <w:pPr>
              <w:pStyle w:val="Tablea"/>
            </w:pPr>
            <w:r w:rsidRPr="00034E0F">
              <w:t>(b</w:t>
            </w:r>
            <w:r w:rsidR="003A61B1" w:rsidRPr="00034E0F">
              <w:t xml:space="preserve">) </w:t>
            </w:r>
            <w:r w:rsidR="002E69A5" w:rsidRPr="00034E0F">
              <w:t xml:space="preserve">the </w:t>
            </w:r>
            <w:r w:rsidR="001E3928" w:rsidRPr="00034E0F">
              <w:t>power is exercised</w:t>
            </w:r>
            <w:r w:rsidR="002E69A5" w:rsidRPr="00034E0F">
              <w:t xml:space="preserve"> with the consent of all the parties to the case)</w:t>
            </w:r>
          </w:p>
        </w:tc>
        <w:tc>
          <w:tcPr>
            <w:tcW w:w="5198" w:type="dxa"/>
            <w:shd w:val="clear" w:color="auto" w:fill="auto"/>
          </w:tcPr>
          <w:p w:rsidR="002E69A5" w:rsidRPr="00034E0F" w:rsidRDefault="0025574C" w:rsidP="00AD4CC7">
            <w:pPr>
              <w:pStyle w:val="Tabletext"/>
            </w:pPr>
            <w:r w:rsidRPr="00034E0F">
              <w:t>To m</w:t>
            </w:r>
            <w:r w:rsidR="00BA7F8C" w:rsidRPr="00034E0F">
              <w:t xml:space="preserve">ake a declaration or order </w:t>
            </w:r>
            <w:r w:rsidRPr="00034E0F">
              <w:t>in relation to the property interests of the parties to a marriage</w:t>
            </w:r>
            <w:r w:rsidR="00BA7F8C" w:rsidRPr="00034E0F">
              <w:t>, and to do any other thing referred to in section</w:t>
            </w:r>
            <w:r w:rsidR="0064086E" w:rsidRPr="00034E0F">
              <w:t> </w:t>
            </w:r>
            <w:r w:rsidR="00BA7F8C" w:rsidRPr="00034E0F">
              <w:t>79 or 79A</w:t>
            </w:r>
            <w:r w:rsidR="00805E50" w:rsidRPr="00034E0F">
              <w:t xml:space="preserve"> of the Family Law Act</w:t>
            </w:r>
          </w:p>
        </w:tc>
      </w:tr>
      <w:tr w:rsidR="00DF1FD6" w:rsidRPr="00034E0F" w:rsidTr="001F255B">
        <w:tc>
          <w:tcPr>
            <w:tcW w:w="714" w:type="dxa"/>
            <w:shd w:val="clear" w:color="auto" w:fill="auto"/>
          </w:tcPr>
          <w:p w:rsidR="00DF1FD6" w:rsidRPr="00034E0F" w:rsidRDefault="00BF7645" w:rsidP="001F255B">
            <w:pPr>
              <w:pStyle w:val="Tabletext"/>
            </w:pPr>
            <w:r w:rsidRPr="00034E0F">
              <w:t>19J</w:t>
            </w:r>
          </w:p>
        </w:tc>
        <w:tc>
          <w:tcPr>
            <w:tcW w:w="2400" w:type="dxa"/>
            <w:shd w:val="clear" w:color="auto" w:fill="auto"/>
          </w:tcPr>
          <w:p w:rsidR="00494407" w:rsidRPr="00034E0F" w:rsidRDefault="00DF1FD6" w:rsidP="006E2933">
            <w:pPr>
              <w:pStyle w:val="Tabletext"/>
            </w:pPr>
            <w:r w:rsidRPr="00034E0F">
              <w:t>subsection</w:t>
            </w:r>
            <w:r w:rsidR="0064086E" w:rsidRPr="00034E0F">
              <w:t> </w:t>
            </w:r>
            <w:r w:rsidRPr="00034E0F">
              <w:t>83(1)</w:t>
            </w:r>
          </w:p>
        </w:tc>
        <w:tc>
          <w:tcPr>
            <w:tcW w:w="5198" w:type="dxa"/>
            <w:shd w:val="clear" w:color="auto" w:fill="auto"/>
          </w:tcPr>
          <w:p w:rsidR="00DF1FD6" w:rsidRPr="00034E0F" w:rsidRDefault="00DF1FD6" w:rsidP="001F255B">
            <w:pPr>
              <w:pStyle w:val="Tabletext"/>
              <w:rPr>
                <w:highlight w:val="magenta"/>
              </w:rPr>
            </w:pPr>
            <w:r w:rsidRPr="00034E0F">
              <w:t>To discharge, suspend, revive or vary a spousal maintenance order</w:t>
            </w:r>
          </w:p>
        </w:tc>
      </w:tr>
      <w:tr w:rsidR="0025574C" w:rsidRPr="00034E0F" w:rsidTr="001F255B">
        <w:tc>
          <w:tcPr>
            <w:tcW w:w="714" w:type="dxa"/>
            <w:shd w:val="clear" w:color="auto" w:fill="auto"/>
          </w:tcPr>
          <w:p w:rsidR="0025574C" w:rsidRPr="00034E0F" w:rsidRDefault="00BF7645" w:rsidP="001F255B">
            <w:pPr>
              <w:pStyle w:val="Tabletext"/>
            </w:pPr>
            <w:r w:rsidRPr="00034E0F">
              <w:t>19K</w:t>
            </w:r>
          </w:p>
        </w:tc>
        <w:tc>
          <w:tcPr>
            <w:tcW w:w="2400" w:type="dxa"/>
            <w:shd w:val="clear" w:color="auto" w:fill="auto"/>
          </w:tcPr>
          <w:p w:rsidR="0025574C" w:rsidRPr="00034E0F" w:rsidRDefault="0025574C" w:rsidP="001F255B">
            <w:pPr>
              <w:pStyle w:val="Tabletext"/>
            </w:pPr>
            <w:r w:rsidRPr="00034E0F">
              <w:t>subsection</w:t>
            </w:r>
            <w:r w:rsidR="0064086E" w:rsidRPr="00034E0F">
              <w:t> </w:t>
            </w:r>
            <w:r w:rsidRPr="00034E0F">
              <w:t>83(1) (</w:t>
            </w:r>
            <w:r w:rsidR="00494407" w:rsidRPr="00034E0F">
              <w:t xml:space="preserve">but only </w:t>
            </w:r>
            <w:r w:rsidRPr="00034E0F">
              <w:t>if:</w:t>
            </w:r>
          </w:p>
          <w:p w:rsidR="001776E7" w:rsidRPr="00034E0F" w:rsidRDefault="001776E7" w:rsidP="001776E7">
            <w:pPr>
              <w:pStyle w:val="Tablea"/>
            </w:pPr>
            <w:r w:rsidRPr="00034E0F">
              <w:t>(a) all of the following apply:</w:t>
            </w:r>
          </w:p>
          <w:p w:rsidR="00A67A62" w:rsidRPr="00034E0F" w:rsidRDefault="001776E7" w:rsidP="001776E7">
            <w:pPr>
              <w:pStyle w:val="Tablei"/>
            </w:pPr>
            <w:r w:rsidRPr="00034E0F">
              <w:t>(i</w:t>
            </w:r>
            <w:r w:rsidR="0025574C" w:rsidRPr="00034E0F">
              <w:t xml:space="preserve">) </w:t>
            </w:r>
            <w:r w:rsidR="00A67A62" w:rsidRPr="00034E0F">
              <w:t>the order to be discharged, suspended, revived or varied is a</w:t>
            </w:r>
            <w:r w:rsidRPr="00034E0F">
              <w:t>n order until further order;</w:t>
            </w:r>
          </w:p>
          <w:p w:rsidR="0025574C" w:rsidRPr="00034E0F" w:rsidRDefault="001776E7" w:rsidP="001776E7">
            <w:pPr>
              <w:pStyle w:val="Tablei"/>
            </w:pPr>
            <w:r w:rsidRPr="00034E0F">
              <w:t>(ii</w:t>
            </w:r>
            <w:r w:rsidR="00A67A62" w:rsidRPr="00034E0F">
              <w:t xml:space="preserve">) the order to discharge, suspend, revive or vary </w:t>
            </w:r>
            <w:r w:rsidR="0025574C" w:rsidRPr="00034E0F">
              <w:t>is</w:t>
            </w:r>
            <w:r w:rsidRPr="00034E0F">
              <w:t xml:space="preserve"> made in an undefended case;</w:t>
            </w:r>
          </w:p>
          <w:p w:rsidR="001776E7" w:rsidRPr="00034E0F" w:rsidRDefault="001776E7" w:rsidP="001776E7">
            <w:pPr>
              <w:pStyle w:val="Tablei"/>
            </w:pPr>
            <w:r w:rsidRPr="00034E0F">
              <w:t>(iii</w:t>
            </w:r>
            <w:r w:rsidR="0025574C" w:rsidRPr="00034E0F">
              <w:t xml:space="preserve">) </w:t>
            </w:r>
            <w:r w:rsidR="00A67A62" w:rsidRPr="00034E0F">
              <w:t xml:space="preserve">the order to discharge, suspend, revive or vary </w:t>
            </w:r>
            <w:r w:rsidR="0025574C" w:rsidRPr="00034E0F">
              <w:t xml:space="preserve">is to come into effect </w:t>
            </w:r>
            <w:r w:rsidR="00DF1FD6" w:rsidRPr="00034E0F">
              <w:t>at least 21</w:t>
            </w:r>
            <w:r w:rsidR="0025574C" w:rsidRPr="00034E0F">
              <w:t xml:space="preserve"> days after the </w:t>
            </w:r>
            <w:r w:rsidR="00DF1FD6" w:rsidRPr="00034E0F">
              <w:t>order is</w:t>
            </w:r>
            <w:r w:rsidR="0025574C" w:rsidRPr="00034E0F">
              <w:t xml:space="preserve"> served on the </w:t>
            </w:r>
            <w:r w:rsidR="00DF1FD6" w:rsidRPr="00034E0F">
              <w:t>non</w:t>
            </w:r>
            <w:r w:rsidR="00034E0F">
              <w:noBreakHyphen/>
            </w:r>
            <w:r w:rsidR="00DF1FD6" w:rsidRPr="00034E0F">
              <w:t>appearing</w:t>
            </w:r>
            <w:r w:rsidR="0025574C" w:rsidRPr="00034E0F">
              <w:t xml:space="preserve"> party</w:t>
            </w:r>
            <w:r w:rsidRPr="00034E0F">
              <w:t>; or</w:t>
            </w:r>
          </w:p>
          <w:p w:rsidR="00DF1FD6" w:rsidRPr="00034E0F" w:rsidRDefault="001776E7" w:rsidP="001776E7">
            <w:pPr>
              <w:pStyle w:val="Tablea"/>
            </w:pPr>
            <w:r w:rsidRPr="00034E0F">
              <w:t xml:space="preserve">(b) the order </w:t>
            </w:r>
            <w:r w:rsidR="00704374" w:rsidRPr="00034E0F">
              <w:t xml:space="preserve">to discharge, suspend, revive or vary </w:t>
            </w:r>
            <w:r w:rsidRPr="00034E0F">
              <w:t>is made with the consent of all the parties to the case</w:t>
            </w:r>
            <w:r w:rsidR="0025574C" w:rsidRPr="00034E0F">
              <w:t>)</w:t>
            </w:r>
          </w:p>
        </w:tc>
        <w:tc>
          <w:tcPr>
            <w:tcW w:w="5198" w:type="dxa"/>
            <w:shd w:val="clear" w:color="auto" w:fill="auto"/>
          </w:tcPr>
          <w:p w:rsidR="0025574C" w:rsidRPr="00034E0F" w:rsidRDefault="0025574C" w:rsidP="001F255B">
            <w:pPr>
              <w:pStyle w:val="Tabletext"/>
            </w:pPr>
            <w:r w:rsidRPr="00034E0F">
              <w:t>To discharge, suspend, revive or vary a spousal maintenance order</w:t>
            </w:r>
          </w:p>
        </w:tc>
      </w:tr>
      <w:tr w:rsidR="0025574C" w:rsidRPr="00034E0F" w:rsidTr="001F255B">
        <w:tc>
          <w:tcPr>
            <w:tcW w:w="714" w:type="dxa"/>
            <w:shd w:val="clear" w:color="auto" w:fill="auto"/>
          </w:tcPr>
          <w:p w:rsidR="0025574C" w:rsidRPr="00034E0F" w:rsidRDefault="0025574C" w:rsidP="00084461">
            <w:pPr>
              <w:pStyle w:val="Tabletext"/>
            </w:pPr>
            <w:r w:rsidRPr="00034E0F">
              <w:t>19</w:t>
            </w:r>
            <w:r w:rsidR="00BF7645" w:rsidRPr="00034E0F">
              <w:t>L</w:t>
            </w:r>
          </w:p>
        </w:tc>
        <w:tc>
          <w:tcPr>
            <w:tcW w:w="2400" w:type="dxa"/>
            <w:shd w:val="clear" w:color="auto" w:fill="auto"/>
          </w:tcPr>
          <w:p w:rsidR="0025574C" w:rsidRPr="00034E0F" w:rsidRDefault="0025574C" w:rsidP="001F255B">
            <w:pPr>
              <w:pStyle w:val="Tabletext"/>
            </w:pPr>
            <w:r w:rsidRPr="00034E0F">
              <w:t>subsection</w:t>
            </w:r>
            <w:r w:rsidR="0064086E" w:rsidRPr="00034E0F">
              <w:t> </w:t>
            </w:r>
            <w:r w:rsidRPr="00034E0F">
              <w:t>87(3)</w:t>
            </w:r>
          </w:p>
        </w:tc>
        <w:tc>
          <w:tcPr>
            <w:tcW w:w="5198" w:type="dxa"/>
            <w:shd w:val="clear" w:color="auto" w:fill="auto"/>
          </w:tcPr>
          <w:p w:rsidR="0025574C" w:rsidRPr="00034E0F" w:rsidRDefault="0025574C" w:rsidP="001F255B">
            <w:pPr>
              <w:pStyle w:val="Tabletext"/>
            </w:pPr>
            <w:r w:rsidRPr="00034E0F">
              <w:t>To approve</w:t>
            </w:r>
            <w:r w:rsidR="004E4207" w:rsidRPr="00034E0F">
              <w:t>, or refuse to approve,</w:t>
            </w:r>
            <w:r w:rsidRPr="00034E0F">
              <w:t xml:space="preserve"> a maintenance agreement</w:t>
            </w:r>
          </w:p>
        </w:tc>
      </w:tr>
      <w:tr w:rsidR="002E69A5" w:rsidRPr="00034E0F" w:rsidTr="00D42FE1">
        <w:tc>
          <w:tcPr>
            <w:tcW w:w="714" w:type="dxa"/>
            <w:shd w:val="clear" w:color="auto" w:fill="auto"/>
          </w:tcPr>
          <w:p w:rsidR="002E69A5" w:rsidRPr="00034E0F" w:rsidRDefault="00BF7645" w:rsidP="00D42FE1">
            <w:pPr>
              <w:pStyle w:val="Tabletext"/>
            </w:pPr>
            <w:r w:rsidRPr="00034E0F">
              <w:t>19M</w:t>
            </w:r>
          </w:p>
        </w:tc>
        <w:tc>
          <w:tcPr>
            <w:tcW w:w="2400" w:type="dxa"/>
            <w:shd w:val="clear" w:color="auto" w:fill="auto"/>
          </w:tcPr>
          <w:p w:rsidR="002E69A5" w:rsidRPr="00034E0F" w:rsidRDefault="002E69A5" w:rsidP="002E69A5">
            <w:pPr>
              <w:pStyle w:val="Tabletext"/>
            </w:pPr>
            <w:r w:rsidRPr="00034E0F">
              <w:t>subsections</w:t>
            </w:r>
            <w:r w:rsidR="0064086E" w:rsidRPr="00034E0F">
              <w:t> </w:t>
            </w:r>
            <w:r w:rsidRPr="00034E0F">
              <w:t>87(8), 90J(3) and 90K(1) (</w:t>
            </w:r>
            <w:r w:rsidR="00844524" w:rsidRPr="00034E0F">
              <w:t xml:space="preserve">but only </w:t>
            </w:r>
            <w:r w:rsidRPr="00034E0F">
              <w:t>if the order is:</w:t>
            </w:r>
          </w:p>
          <w:p w:rsidR="002E69A5" w:rsidRPr="00034E0F" w:rsidRDefault="002E69A5" w:rsidP="002E69A5">
            <w:pPr>
              <w:pStyle w:val="Tablea"/>
            </w:pPr>
            <w:r w:rsidRPr="00034E0F">
              <w:t>(a) an order until further order; or</w:t>
            </w:r>
          </w:p>
          <w:p w:rsidR="00494407" w:rsidRPr="00034E0F" w:rsidRDefault="001A5066" w:rsidP="001A5066">
            <w:pPr>
              <w:pStyle w:val="Tablea"/>
            </w:pPr>
            <w:r w:rsidRPr="00034E0F">
              <w:t>(b) made in an undefended case)</w:t>
            </w:r>
          </w:p>
        </w:tc>
        <w:tc>
          <w:tcPr>
            <w:tcW w:w="5198" w:type="dxa"/>
            <w:shd w:val="clear" w:color="auto" w:fill="auto"/>
          </w:tcPr>
          <w:p w:rsidR="00B60286" w:rsidRPr="00034E0F" w:rsidRDefault="001E3928" w:rsidP="00BC3A19">
            <w:pPr>
              <w:pStyle w:val="Tabletext"/>
            </w:pPr>
            <w:r w:rsidRPr="00034E0F">
              <w:t xml:space="preserve">To make an order revoking the approval of a maintenance agreement, </w:t>
            </w:r>
            <w:r w:rsidR="004E4207" w:rsidRPr="00034E0F">
              <w:t xml:space="preserve">or </w:t>
            </w:r>
            <w:r w:rsidRPr="00034E0F">
              <w:t>after a financial agreement has been terminated, or setting aside a financial agreement or termination agreement</w:t>
            </w:r>
          </w:p>
        </w:tc>
      </w:tr>
      <w:tr w:rsidR="002E69A5" w:rsidRPr="00034E0F" w:rsidTr="00D42FE1">
        <w:tc>
          <w:tcPr>
            <w:tcW w:w="714" w:type="dxa"/>
            <w:shd w:val="clear" w:color="auto" w:fill="auto"/>
          </w:tcPr>
          <w:p w:rsidR="002E69A5" w:rsidRPr="00034E0F" w:rsidRDefault="00BF7645" w:rsidP="00D42FE1">
            <w:pPr>
              <w:pStyle w:val="Tabletext"/>
            </w:pPr>
            <w:r w:rsidRPr="00034E0F">
              <w:t>19N</w:t>
            </w:r>
          </w:p>
        </w:tc>
        <w:tc>
          <w:tcPr>
            <w:tcW w:w="2400" w:type="dxa"/>
            <w:shd w:val="clear" w:color="auto" w:fill="auto"/>
          </w:tcPr>
          <w:p w:rsidR="00B60286" w:rsidRPr="00034E0F" w:rsidRDefault="002E69A5" w:rsidP="00B60286">
            <w:pPr>
              <w:pStyle w:val="Tabletext"/>
            </w:pPr>
            <w:r w:rsidRPr="00034E0F">
              <w:t>subsections</w:t>
            </w:r>
            <w:r w:rsidR="0064086E" w:rsidRPr="00034E0F">
              <w:t> </w:t>
            </w:r>
            <w:r w:rsidRPr="00034E0F">
              <w:t xml:space="preserve">87(8), 90J(3) and 90K(1) </w:t>
            </w:r>
            <w:r w:rsidR="008E17DB" w:rsidRPr="00034E0F">
              <w:t>(but only if</w:t>
            </w:r>
            <w:r w:rsidR="00B60286" w:rsidRPr="00034E0F">
              <w:t>:</w:t>
            </w:r>
          </w:p>
          <w:p w:rsidR="008E17DB" w:rsidRPr="00034E0F" w:rsidRDefault="008E17DB" w:rsidP="008E17DB">
            <w:pPr>
              <w:pStyle w:val="Tablea"/>
            </w:pPr>
            <w:r w:rsidRPr="00034E0F">
              <w:t>(a) both of the following apply:</w:t>
            </w:r>
          </w:p>
          <w:p w:rsidR="008E17DB" w:rsidRPr="00034E0F" w:rsidRDefault="008E17DB" w:rsidP="008E17DB">
            <w:pPr>
              <w:pStyle w:val="Tablei"/>
            </w:pPr>
            <w:r w:rsidRPr="00034E0F">
              <w:t>(i) the order is made in an undefended case;</w:t>
            </w:r>
          </w:p>
          <w:p w:rsidR="008E17DB" w:rsidRPr="00034E0F" w:rsidRDefault="00BF7645" w:rsidP="008E17DB">
            <w:pPr>
              <w:pStyle w:val="Tablei"/>
            </w:pPr>
            <w:r w:rsidRPr="00034E0F">
              <w:t>(ii</w:t>
            </w:r>
            <w:r w:rsidR="008E17DB" w:rsidRPr="00034E0F">
              <w:t>) the order is to come into effect at least 21 days after the order is served on the non</w:t>
            </w:r>
            <w:r w:rsidR="00034E0F">
              <w:noBreakHyphen/>
            </w:r>
            <w:r w:rsidR="008E17DB" w:rsidRPr="00034E0F">
              <w:t>appearing party; or</w:t>
            </w:r>
          </w:p>
          <w:p w:rsidR="00E17606" w:rsidRPr="00034E0F" w:rsidRDefault="008E17DB" w:rsidP="007A2C83">
            <w:pPr>
              <w:pStyle w:val="Tablea"/>
            </w:pPr>
            <w:r w:rsidRPr="00034E0F">
              <w:t>(b) the order is made with the consent of all the parties to the case)</w:t>
            </w:r>
          </w:p>
        </w:tc>
        <w:tc>
          <w:tcPr>
            <w:tcW w:w="5198" w:type="dxa"/>
            <w:shd w:val="clear" w:color="auto" w:fill="auto"/>
          </w:tcPr>
          <w:p w:rsidR="002E69A5" w:rsidRPr="00034E0F" w:rsidRDefault="001E3928" w:rsidP="00D42FE1">
            <w:pPr>
              <w:pStyle w:val="Tabletext"/>
            </w:pPr>
            <w:r w:rsidRPr="00034E0F">
              <w:t xml:space="preserve">To make an order revoking the approval of a maintenance agreement, </w:t>
            </w:r>
            <w:r w:rsidR="004E4207" w:rsidRPr="00034E0F">
              <w:t xml:space="preserve">or </w:t>
            </w:r>
            <w:r w:rsidRPr="00034E0F">
              <w:t>after a financial agreement has been terminated, or setting aside a financial agreement or termination agreement</w:t>
            </w:r>
          </w:p>
        </w:tc>
      </w:tr>
      <w:tr w:rsidR="00EF2AFA" w:rsidRPr="00034E0F" w:rsidTr="00D42FE1">
        <w:tc>
          <w:tcPr>
            <w:tcW w:w="714" w:type="dxa"/>
            <w:shd w:val="clear" w:color="auto" w:fill="auto"/>
          </w:tcPr>
          <w:p w:rsidR="00EF2AFA" w:rsidRPr="00034E0F" w:rsidRDefault="00BF7645" w:rsidP="00D42FE1">
            <w:pPr>
              <w:pStyle w:val="Tabletext"/>
            </w:pPr>
            <w:r w:rsidRPr="00034E0F">
              <w:t>19P</w:t>
            </w:r>
          </w:p>
        </w:tc>
        <w:tc>
          <w:tcPr>
            <w:tcW w:w="2400" w:type="dxa"/>
            <w:shd w:val="clear" w:color="auto" w:fill="auto"/>
          </w:tcPr>
          <w:p w:rsidR="00EF2AFA" w:rsidRPr="00034E0F" w:rsidRDefault="00EF2AFA" w:rsidP="008F571E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90SE</w:t>
            </w:r>
          </w:p>
        </w:tc>
        <w:tc>
          <w:tcPr>
            <w:tcW w:w="5198" w:type="dxa"/>
            <w:shd w:val="clear" w:color="auto" w:fill="auto"/>
          </w:tcPr>
          <w:p w:rsidR="00EF2AFA" w:rsidRPr="00034E0F" w:rsidRDefault="00EF2AFA" w:rsidP="00D42FE1">
            <w:pPr>
              <w:pStyle w:val="Tabletext"/>
            </w:pPr>
            <w:r w:rsidRPr="00034E0F">
              <w:t>To make an order for the maintenance of a party to a de facto relationship</w:t>
            </w:r>
          </w:p>
        </w:tc>
      </w:tr>
      <w:tr w:rsidR="00334EE1" w:rsidRPr="00034E0F" w:rsidTr="00D42FE1">
        <w:tc>
          <w:tcPr>
            <w:tcW w:w="714" w:type="dxa"/>
            <w:shd w:val="clear" w:color="auto" w:fill="auto"/>
          </w:tcPr>
          <w:p w:rsidR="00334EE1" w:rsidRPr="00034E0F" w:rsidRDefault="00BF7645" w:rsidP="00D42FE1">
            <w:pPr>
              <w:pStyle w:val="Tabletext"/>
            </w:pPr>
            <w:r w:rsidRPr="00034E0F">
              <w:t>19Q</w:t>
            </w:r>
          </w:p>
        </w:tc>
        <w:tc>
          <w:tcPr>
            <w:tcW w:w="2400" w:type="dxa"/>
            <w:shd w:val="clear" w:color="auto" w:fill="auto"/>
          </w:tcPr>
          <w:p w:rsidR="00DD47DB" w:rsidRPr="00034E0F" w:rsidRDefault="00334EE1" w:rsidP="008F571E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 xml:space="preserve">90SE </w:t>
            </w:r>
            <w:r w:rsidR="008F571E" w:rsidRPr="00034E0F">
              <w:t>(but only if</w:t>
            </w:r>
            <w:r w:rsidR="00DD47DB" w:rsidRPr="00034E0F">
              <w:t>:</w:t>
            </w:r>
          </w:p>
          <w:p w:rsidR="008F571E" w:rsidRPr="00034E0F" w:rsidRDefault="00DD47DB" w:rsidP="00DD47DB">
            <w:pPr>
              <w:pStyle w:val="Tablea"/>
            </w:pPr>
            <w:r w:rsidRPr="00034E0F">
              <w:t>(a) all of the following apply:</w:t>
            </w:r>
          </w:p>
          <w:p w:rsidR="008F571E" w:rsidRPr="00034E0F" w:rsidRDefault="00DD47DB" w:rsidP="00DD47DB">
            <w:pPr>
              <w:pStyle w:val="Tablei"/>
            </w:pPr>
            <w:r w:rsidRPr="00034E0F">
              <w:t>(i</w:t>
            </w:r>
            <w:r w:rsidR="008F571E" w:rsidRPr="00034E0F">
              <w:t xml:space="preserve">) </w:t>
            </w:r>
            <w:r w:rsidR="00704374" w:rsidRPr="00034E0F">
              <w:t xml:space="preserve">the order </w:t>
            </w:r>
            <w:r w:rsidR="008F571E" w:rsidRPr="00034E0F">
              <w:t>is a</w:t>
            </w:r>
            <w:r w:rsidRPr="00034E0F">
              <w:t>n order until further order;</w:t>
            </w:r>
          </w:p>
          <w:p w:rsidR="008F571E" w:rsidRPr="00034E0F" w:rsidRDefault="008F571E" w:rsidP="00DD47DB">
            <w:pPr>
              <w:pStyle w:val="Tablei"/>
            </w:pPr>
            <w:r w:rsidRPr="00034E0F">
              <w:t>(</w:t>
            </w:r>
            <w:r w:rsidR="00DD47DB" w:rsidRPr="00034E0F">
              <w:t>ii</w:t>
            </w:r>
            <w:r w:rsidRPr="00034E0F">
              <w:t xml:space="preserve">) </w:t>
            </w:r>
            <w:r w:rsidR="00704374" w:rsidRPr="00034E0F">
              <w:t xml:space="preserve">the order </w:t>
            </w:r>
            <w:r w:rsidRPr="00034E0F">
              <w:t>is</w:t>
            </w:r>
            <w:r w:rsidR="00DD47DB" w:rsidRPr="00034E0F">
              <w:t xml:space="preserve"> made in an undefended case;</w:t>
            </w:r>
          </w:p>
          <w:p w:rsidR="00DD47DB" w:rsidRPr="00034E0F" w:rsidRDefault="00DD47DB" w:rsidP="00DD47DB">
            <w:pPr>
              <w:pStyle w:val="Tablei"/>
            </w:pPr>
            <w:r w:rsidRPr="00034E0F">
              <w:t>(iii</w:t>
            </w:r>
            <w:r w:rsidR="008F571E" w:rsidRPr="00034E0F">
              <w:t xml:space="preserve">) </w:t>
            </w:r>
            <w:r w:rsidR="00704374" w:rsidRPr="00034E0F">
              <w:t xml:space="preserve">the order </w:t>
            </w:r>
            <w:r w:rsidR="008F571E" w:rsidRPr="00034E0F">
              <w:t>is to come into effect at least 21 days after the order is served on the other party</w:t>
            </w:r>
            <w:r w:rsidRPr="00034E0F">
              <w:t>; or</w:t>
            </w:r>
          </w:p>
          <w:p w:rsidR="00334EE1" w:rsidRPr="00034E0F" w:rsidRDefault="00DD47DB" w:rsidP="00DD47DB">
            <w:pPr>
              <w:pStyle w:val="Tablea"/>
            </w:pPr>
            <w:r w:rsidRPr="00034E0F">
              <w:t>(b) the order is made with the consent of all the parties to the case</w:t>
            </w:r>
            <w:r w:rsidR="008F571E" w:rsidRPr="00034E0F">
              <w:t>)</w:t>
            </w:r>
          </w:p>
        </w:tc>
        <w:tc>
          <w:tcPr>
            <w:tcW w:w="5198" w:type="dxa"/>
            <w:shd w:val="clear" w:color="auto" w:fill="auto"/>
          </w:tcPr>
          <w:p w:rsidR="00334EE1" w:rsidRPr="00034E0F" w:rsidRDefault="008F571E" w:rsidP="00D42FE1">
            <w:pPr>
              <w:pStyle w:val="Tabletext"/>
            </w:pPr>
            <w:r w:rsidRPr="00034E0F">
              <w:t>To make an order for the maintenance of a party to a de facto relationship</w:t>
            </w:r>
          </w:p>
        </w:tc>
      </w:tr>
      <w:tr w:rsidR="009A7817" w:rsidRPr="00034E0F" w:rsidTr="00D42FE1">
        <w:tc>
          <w:tcPr>
            <w:tcW w:w="714" w:type="dxa"/>
            <w:shd w:val="clear" w:color="auto" w:fill="auto"/>
          </w:tcPr>
          <w:p w:rsidR="009A7817" w:rsidRPr="00034E0F" w:rsidRDefault="00BF7645" w:rsidP="00D42FE1">
            <w:pPr>
              <w:pStyle w:val="Tabletext"/>
            </w:pPr>
            <w:r w:rsidRPr="00034E0F">
              <w:t>19R</w:t>
            </w:r>
          </w:p>
        </w:tc>
        <w:tc>
          <w:tcPr>
            <w:tcW w:w="2400" w:type="dxa"/>
            <w:shd w:val="clear" w:color="auto" w:fill="auto"/>
          </w:tcPr>
          <w:p w:rsidR="009A7817" w:rsidRPr="00034E0F" w:rsidRDefault="009A7817" w:rsidP="0025574C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90SG</w:t>
            </w:r>
          </w:p>
        </w:tc>
        <w:tc>
          <w:tcPr>
            <w:tcW w:w="5198" w:type="dxa"/>
            <w:shd w:val="clear" w:color="auto" w:fill="auto"/>
          </w:tcPr>
          <w:p w:rsidR="009A7817" w:rsidRPr="00034E0F" w:rsidRDefault="009A7817" w:rsidP="0025574C">
            <w:pPr>
              <w:pStyle w:val="Tabletext"/>
            </w:pPr>
            <w:r w:rsidRPr="00034E0F">
              <w:t>To make an urgent order for the maintenance of a party to a de facto relationship, pending the disposal of the proceedings</w:t>
            </w:r>
          </w:p>
        </w:tc>
      </w:tr>
      <w:tr w:rsidR="00334EE1" w:rsidRPr="00034E0F" w:rsidTr="00D42FE1">
        <w:tc>
          <w:tcPr>
            <w:tcW w:w="714" w:type="dxa"/>
            <w:shd w:val="clear" w:color="auto" w:fill="auto"/>
          </w:tcPr>
          <w:p w:rsidR="00334EE1" w:rsidRPr="00034E0F" w:rsidRDefault="00BF7645" w:rsidP="00D42FE1">
            <w:pPr>
              <w:pStyle w:val="Tabletext"/>
            </w:pPr>
            <w:r w:rsidRPr="00034E0F">
              <w:t>19S</w:t>
            </w:r>
          </w:p>
        </w:tc>
        <w:tc>
          <w:tcPr>
            <w:tcW w:w="2400" w:type="dxa"/>
            <w:shd w:val="clear" w:color="auto" w:fill="auto"/>
          </w:tcPr>
          <w:p w:rsidR="000A77FC" w:rsidRPr="00034E0F" w:rsidRDefault="00A95D2A" w:rsidP="0025574C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 xml:space="preserve">90SG </w:t>
            </w:r>
            <w:r w:rsidR="0025574C" w:rsidRPr="00034E0F">
              <w:t>(but only if</w:t>
            </w:r>
            <w:r w:rsidR="000A77FC" w:rsidRPr="00034E0F">
              <w:t>:</w:t>
            </w:r>
          </w:p>
          <w:p w:rsidR="0025574C" w:rsidRPr="00034E0F" w:rsidRDefault="000A77FC" w:rsidP="000A77FC">
            <w:pPr>
              <w:pStyle w:val="Tablea"/>
            </w:pPr>
            <w:r w:rsidRPr="00034E0F">
              <w:t>(a) both of the following apply:</w:t>
            </w:r>
          </w:p>
          <w:p w:rsidR="0025574C" w:rsidRPr="00034E0F" w:rsidRDefault="000A77FC" w:rsidP="000A77FC">
            <w:pPr>
              <w:pStyle w:val="Tablei"/>
            </w:pPr>
            <w:r w:rsidRPr="00034E0F">
              <w:t>(i</w:t>
            </w:r>
            <w:r w:rsidR="0025574C" w:rsidRPr="00034E0F">
              <w:t xml:space="preserve">) </w:t>
            </w:r>
            <w:r w:rsidRPr="00034E0F">
              <w:t xml:space="preserve">the order </w:t>
            </w:r>
            <w:r w:rsidR="0025574C" w:rsidRPr="00034E0F">
              <w:t>is</w:t>
            </w:r>
            <w:r w:rsidRPr="00034E0F">
              <w:t xml:space="preserve"> made in an undefended case;</w:t>
            </w:r>
          </w:p>
          <w:p w:rsidR="000A77FC" w:rsidRPr="00034E0F" w:rsidRDefault="000A77FC" w:rsidP="000A77FC">
            <w:pPr>
              <w:pStyle w:val="Tablei"/>
            </w:pPr>
            <w:r w:rsidRPr="00034E0F">
              <w:t>(ii</w:t>
            </w:r>
            <w:r w:rsidR="0025574C" w:rsidRPr="00034E0F">
              <w:t xml:space="preserve">) </w:t>
            </w:r>
            <w:r w:rsidRPr="00034E0F">
              <w:t xml:space="preserve">the order </w:t>
            </w:r>
            <w:r w:rsidR="0025574C" w:rsidRPr="00034E0F">
              <w:t>is to come into effect at least 21 days after the order is served on the other party</w:t>
            </w:r>
            <w:r w:rsidRPr="00034E0F">
              <w:t>; or</w:t>
            </w:r>
          </w:p>
          <w:p w:rsidR="00334EE1" w:rsidRPr="00034E0F" w:rsidRDefault="000A77FC" w:rsidP="000A77FC">
            <w:pPr>
              <w:pStyle w:val="Tablea"/>
            </w:pPr>
            <w:r w:rsidRPr="00034E0F">
              <w:t>(b) the order is made with the consent of all the parties to the case</w:t>
            </w:r>
            <w:r w:rsidR="0025574C" w:rsidRPr="00034E0F">
              <w:t>)</w:t>
            </w:r>
          </w:p>
        </w:tc>
        <w:tc>
          <w:tcPr>
            <w:tcW w:w="5198" w:type="dxa"/>
            <w:shd w:val="clear" w:color="auto" w:fill="auto"/>
          </w:tcPr>
          <w:p w:rsidR="00334EE1" w:rsidRPr="00034E0F" w:rsidRDefault="0025574C" w:rsidP="0025574C">
            <w:pPr>
              <w:pStyle w:val="Tabletext"/>
            </w:pPr>
            <w:r w:rsidRPr="00034E0F">
              <w:t>To make an urgent order for the maintenance of a party to a de facto relationship, pending the disposal of the proceedings</w:t>
            </w:r>
          </w:p>
        </w:tc>
      </w:tr>
      <w:tr w:rsidR="00A67A62" w:rsidRPr="00034E0F" w:rsidTr="00D42FE1">
        <w:tc>
          <w:tcPr>
            <w:tcW w:w="714" w:type="dxa"/>
            <w:shd w:val="clear" w:color="auto" w:fill="auto"/>
          </w:tcPr>
          <w:p w:rsidR="00A67A62" w:rsidRPr="00034E0F" w:rsidRDefault="00BF7645" w:rsidP="00D42FE1">
            <w:pPr>
              <w:pStyle w:val="Tabletext"/>
            </w:pPr>
            <w:r w:rsidRPr="00034E0F">
              <w:t>19T</w:t>
            </w:r>
          </w:p>
        </w:tc>
        <w:tc>
          <w:tcPr>
            <w:tcW w:w="2400" w:type="dxa"/>
            <w:shd w:val="clear" w:color="auto" w:fill="auto"/>
          </w:tcPr>
          <w:p w:rsidR="00844524" w:rsidRPr="00034E0F" w:rsidRDefault="00A67A62" w:rsidP="009547F6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90SI</w:t>
            </w:r>
          </w:p>
        </w:tc>
        <w:tc>
          <w:tcPr>
            <w:tcW w:w="5198" w:type="dxa"/>
            <w:shd w:val="clear" w:color="auto" w:fill="auto"/>
          </w:tcPr>
          <w:p w:rsidR="00A67A62" w:rsidRPr="00034E0F" w:rsidRDefault="00A67A62" w:rsidP="002B3CCC">
            <w:pPr>
              <w:pStyle w:val="Tabletext"/>
            </w:pPr>
            <w:r w:rsidRPr="00034E0F">
              <w:t xml:space="preserve">To discharge, suspend, revive or vary </w:t>
            </w:r>
            <w:r w:rsidR="002B3CCC" w:rsidRPr="00034E0F">
              <w:t>an</w:t>
            </w:r>
            <w:r w:rsidRPr="00034E0F">
              <w:t xml:space="preserve"> order</w:t>
            </w:r>
            <w:r w:rsidR="002B3CCC" w:rsidRPr="00034E0F">
              <w:t xml:space="preserve"> with respect to the maintenance of a party to a de facto relationship</w:t>
            </w:r>
          </w:p>
        </w:tc>
      </w:tr>
      <w:tr w:rsidR="00334EE1" w:rsidRPr="00034E0F" w:rsidTr="00D42FE1">
        <w:tc>
          <w:tcPr>
            <w:tcW w:w="714" w:type="dxa"/>
            <w:shd w:val="clear" w:color="auto" w:fill="auto"/>
          </w:tcPr>
          <w:p w:rsidR="00334EE1" w:rsidRPr="00034E0F" w:rsidRDefault="00BF7645" w:rsidP="00D42FE1">
            <w:pPr>
              <w:pStyle w:val="Tabletext"/>
            </w:pPr>
            <w:r w:rsidRPr="00034E0F">
              <w:t>19U</w:t>
            </w:r>
          </w:p>
        </w:tc>
        <w:tc>
          <w:tcPr>
            <w:tcW w:w="2400" w:type="dxa"/>
            <w:shd w:val="clear" w:color="auto" w:fill="auto"/>
          </w:tcPr>
          <w:p w:rsidR="00A67A62" w:rsidRPr="00034E0F" w:rsidRDefault="00A95D2A" w:rsidP="00A67A62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 xml:space="preserve">90SI </w:t>
            </w:r>
            <w:r w:rsidR="00A67A62" w:rsidRPr="00034E0F">
              <w:t>(</w:t>
            </w:r>
            <w:r w:rsidR="00844524" w:rsidRPr="00034E0F">
              <w:t xml:space="preserve">but only </w:t>
            </w:r>
            <w:r w:rsidR="00A67A62" w:rsidRPr="00034E0F">
              <w:t>if:</w:t>
            </w:r>
          </w:p>
          <w:p w:rsidR="000A77FC" w:rsidRPr="00034E0F" w:rsidRDefault="000A77FC" w:rsidP="000A77FC">
            <w:pPr>
              <w:pStyle w:val="Tablea"/>
            </w:pPr>
            <w:r w:rsidRPr="00034E0F">
              <w:t>(a) all of the following apply:</w:t>
            </w:r>
          </w:p>
          <w:p w:rsidR="00A67A62" w:rsidRPr="00034E0F" w:rsidRDefault="000A77FC" w:rsidP="000A77FC">
            <w:pPr>
              <w:pStyle w:val="Tablei"/>
            </w:pPr>
            <w:r w:rsidRPr="00034E0F">
              <w:t>(i</w:t>
            </w:r>
            <w:r w:rsidR="00A67A62" w:rsidRPr="00034E0F">
              <w:t>) the order to be discharged, suspended, revived or varied is a</w:t>
            </w:r>
            <w:r w:rsidRPr="00034E0F">
              <w:t>n order until further order;</w:t>
            </w:r>
          </w:p>
          <w:p w:rsidR="00A67A62" w:rsidRPr="00034E0F" w:rsidRDefault="000A77FC" w:rsidP="000A77FC">
            <w:pPr>
              <w:pStyle w:val="Tablei"/>
            </w:pPr>
            <w:r w:rsidRPr="00034E0F">
              <w:t>(ii</w:t>
            </w:r>
            <w:r w:rsidR="00A67A62" w:rsidRPr="00034E0F">
              <w:t>) the order to discharge, suspend, revive or vary is</w:t>
            </w:r>
            <w:r w:rsidRPr="00034E0F">
              <w:t xml:space="preserve"> made in an undefended case;</w:t>
            </w:r>
          </w:p>
          <w:p w:rsidR="000A77FC" w:rsidRPr="00034E0F" w:rsidRDefault="000A77FC" w:rsidP="000A77FC">
            <w:pPr>
              <w:pStyle w:val="Tablei"/>
            </w:pPr>
            <w:r w:rsidRPr="00034E0F">
              <w:t>(iii</w:t>
            </w:r>
            <w:r w:rsidR="00A67A62" w:rsidRPr="00034E0F">
              <w:t>) the order to discharge, suspend, revive or vary is to come into effect at least 21 days after the order is served on the non</w:t>
            </w:r>
            <w:r w:rsidR="00034E0F">
              <w:noBreakHyphen/>
            </w:r>
            <w:r w:rsidR="00A67A62" w:rsidRPr="00034E0F">
              <w:t>appearing party</w:t>
            </w:r>
            <w:r w:rsidRPr="00034E0F">
              <w:t>; or</w:t>
            </w:r>
          </w:p>
          <w:p w:rsidR="00334EE1" w:rsidRPr="00034E0F" w:rsidRDefault="000A77FC" w:rsidP="000A77FC">
            <w:pPr>
              <w:pStyle w:val="Tablea"/>
            </w:pPr>
            <w:r w:rsidRPr="00034E0F">
              <w:t xml:space="preserve">(b) </w:t>
            </w:r>
            <w:r w:rsidR="00704374" w:rsidRPr="00034E0F">
              <w:t>the order to discharge, suspend, revive or vary</w:t>
            </w:r>
            <w:r w:rsidRPr="00034E0F">
              <w:t xml:space="preserve"> is made with the consent of all the parties to the case</w:t>
            </w:r>
            <w:r w:rsidR="00A67A62" w:rsidRPr="00034E0F">
              <w:t>)</w:t>
            </w:r>
          </w:p>
        </w:tc>
        <w:tc>
          <w:tcPr>
            <w:tcW w:w="5198" w:type="dxa"/>
            <w:shd w:val="clear" w:color="auto" w:fill="auto"/>
          </w:tcPr>
          <w:p w:rsidR="00334EE1" w:rsidRPr="00034E0F" w:rsidRDefault="002B3CCC" w:rsidP="00D42FE1">
            <w:pPr>
              <w:pStyle w:val="Tabletext"/>
            </w:pPr>
            <w:r w:rsidRPr="00034E0F">
              <w:t>To discharge, suspend, revive or vary an order with respect to the maintenance of a party to a de facto relationship</w:t>
            </w:r>
          </w:p>
        </w:tc>
      </w:tr>
      <w:tr w:rsidR="002E69A5" w:rsidRPr="00034E0F" w:rsidTr="0040291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2E69A5" w:rsidRPr="00034E0F" w:rsidRDefault="00BF7645" w:rsidP="00D42FE1">
            <w:pPr>
              <w:pStyle w:val="Tabletext"/>
            </w:pPr>
            <w:r w:rsidRPr="00034E0F">
              <w:t>19V</w:t>
            </w:r>
          </w:p>
        </w:tc>
        <w:tc>
          <w:tcPr>
            <w:tcW w:w="2400" w:type="dxa"/>
            <w:tcBorders>
              <w:bottom w:val="single" w:sz="2" w:space="0" w:color="auto"/>
            </w:tcBorders>
            <w:shd w:val="clear" w:color="auto" w:fill="auto"/>
          </w:tcPr>
          <w:p w:rsidR="002E69A5" w:rsidRPr="00034E0F" w:rsidRDefault="002E69A5" w:rsidP="002E69A5">
            <w:pPr>
              <w:pStyle w:val="Tabletext"/>
            </w:pPr>
            <w:r w:rsidRPr="00034E0F">
              <w:t>sections</w:t>
            </w:r>
            <w:r w:rsidR="0064086E" w:rsidRPr="00034E0F">
              <w:t> </w:t>
            </w:r>
            <w:r w:rsidRPr="00034E0F">
              <w:t>90SL, 90SM and 90SN and subsections</w:t>
            </w:r>
            <w:r w:rsidR="0064086E" w:rsidRPr="00034E0F">
              <w:t> </w:t>
            </w:r>
            <w:r w:rsidRPr="00034E0F">
              <w:t>90UL(3) and 90UM(1)</w:t>
            </w:r>
            <w:r w:rsidR="001E3928" w:rsidRPr="00034E0F">
              <w:t xml:space="preserve"> (</w:t>
            </w:r>
            <w:r w:rsidR="003C3266" w:rsidRPr="00034E0F">
              <w:t xml:space="preserve">but only </w:t>
            </w:r>
            <w:r w:rsidR="001E3928" w:rsidRPr="00034E0F">
              <w:t>if</w:t>
            </w:r>
            <w:r w:rsidRPr="00034E0F">
              <w:t>:</w:t>
            </w:r>
          </w:p>
          <w:p w:rsidR="002E69A5" w:rsidRPr="00034E0F" w:rsidRDefault="002E69A5" w:rsidP="002E69A5">
            <w:pPr>
              <w:pStyle w:val="Tablea"/>
            </w:pPr>
            <w:r w:rsidRPr="00034E0F">
              <w:t xml:space="preserve">(a) </w:t>
            </w:r>
            <w:r w:rsidR="001E3928" w:rsidRPr="00034E0F">
              <w:t xml:space="preserve">the declaration or order is </w:t>
            </w:r>
            <w:r w:rsidRPr="00034E0F">
              <w:t>a declaration or an order until further order; or</w:t>
            </w:r>
          </w:p>
          <w:p w:rsidR="00844524" w:rsidRPr="00034E0F" w:rsidRDefault="002E69A5" w:rsidP="007B21AD">
            <w:pPr>
              <w:pStyle w:val="Tablea"/>
            </w:pPr>
            <w:r w:rsidRPr="00034E0F">
              <w:t xml:space="preserve">(b) </w:t>
            </w:r>
            <w:r w:rsidR="001E3928" w:rsidRPr="00034E0F">
              <w:t>the power is exercised</w:t>
            </w:r>
            <w:r w:rsidR="007B21AD" w:rsidRPr="00034E0F">
              <w:t xml:space="preserve"> in an undefended case)</w:t>
            </w:r>
          </w:p>
        </w:tc>
        <w:tc>
          <w:tcPr>
            <w:tcW w:w="5198" w:type="dxa"/>
            <w:tcBorders>
              <w:bottom w:val="single" w:sz="2" w:space="0" w:color="auto"/>
            </w:tcBorders>
            <w:shd w:val="clear" w:color="auto" w:fill="auto"/>
          </w:tcPr>
          <w:p w:rsidR="00F20367" w:rsidRPr="00034E0F" w:rsidRDefault="00AD4CC7" w:rsidP="00401B8C">
            <w:pPr>
              <w:pStyle w:val="Tabletext"/>
            </w:pPr>
            <w:r w:rsidRPr="00034E0F">
              <w:t>To make a declaration or order, and to do any other thing referred to in sections</w:t>
            </w:r>
            <w:r w:rsidR="0064086E" w:rsidRPr="00034E0F">
              <w:t> </w:t>
            </w:r>
            <w:r w:rsidRPr="00034E0F">
              <w:t>90SM and 90SN</w:t>
            </w:r>
            <w:r w:rsidR="00805E50" w:rsidRPr="00034E0F">
              <w:t xml:space="preserve"> of the Family Law Act</w:t>
            </w:r>
            <w:r w:rsidRPr="00034E0F">
              <w:t>,</w:t>
            </w:r>
            <w:r w:rsidR="001E3928" w:rsidRPr="00034E0F">
              <w:t xml:space="preserve"> in relation to the property interests of the parties to a de facto relationship and to make an order after a financial agreement has been terminated or setting aside a financial agr</w:t>
            </w:r>
            <w:r w:rsidR="00401B8C" w:rsidRPr="00034E0F">
              <w:t>eement or termination agreement</w:t>
            </w:r>
          </w:p>
        </w:tc>
      </w:tr>
      <w:tr w:rsidR="002E69A5" w:rsidRPr="00034E0F" w:rsidTr="00402917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E69A5" w:rsidRPr="00034E0F" w:rsidRDefault="00BF7645" w:rsidP="00D42FE1">
            <w:pPr>
              <w:pStyle w:val="Tabletext"/>
            </w:pPr>
            <w:r w:rsidRPr="00034E0F">
              <w:t>19W</w:t>
            </w:r>
          </w:p>
        </w:tc>
        <w:tc>
          <w:tcPr>
            <w:tcW w:w="240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F20367" w:rsidRPr="00034E0F" w:rsidRDefault="002E69A5" w:rsidP="00F20367">
            <w:pPr>
              <w:pStyle w:val="Tabletext"/>
            </w:pPr>
            <w:r w:rsidRPr="00034E0F">
              <w:t>sections</w:t>
            </w:r>
            <w:r w:rsidR="0064086E" w:rsidRPr="00034E0F">
              <w:t> </w:t>
            </w:r>
            <w:r w:rsidRPr="00034E0F">
              <w:t>90SL, 90SM and 90SN and subsections</w:t>
            </w:r>
            <w:r w:rsidR="0064086E" w:rsidRPr="00034E0F">
              <w:t> </w:t>
            </w:r>
            <w:r w:rsidRPr="00034E0F">
              <w:t xml:space="preserve">90UL(3) and 90UM(1) </w:t>
            </w:r>
            <w:r w:rsidR="00401B8C" w:rsidRPr="00034E0F">
              <w:t>(but only if</w:t>
            </w:r>
            <w:r w:rsidR="00F20367" w:rsidRPr="00034E0F">
              <w:t>:</w:t>
            </w:r>
          </w:p>
          <w:p w:rsidR="00401B8C" w:rsidRPr="00034E0F" w:rsidRDefault="00401B8C" w:rsidP="00401B8C">
            <w:pPr>
              <w:pStyle w:val="Tablea"/>
            </w:pPr>
            <w:r w:rsidRPr="00034E0F">
              <w:t>(a) both of the following apply:</w:t>
            </w:r>
          </w:p>
          <w:p w:rsidR="00401B8C" w:rsidRPr="00034E0F" w:rsidRDefault="00401B8C" w:rsidP="00401B8C">
            <w:pPr>
              <w:pStyle w:val="Tablei"/>
            </w:pPr>
            <w:r w:rsidRPr="00034E0F">
              <w:t>(i) the power is exercised in an undefended case;</w:t>
            </w:r>
          </w:p>
          <w:p w:rsidR="00401B8C" w:rsidRPr="00034E0F" w:rsidRDefault="00401B8C" w:rsidP="00401B8C">
            <w:pPr>
              <w:pStyle w:val="Tablei"/>
            </w:pPr>
            <w:r w:rsidRPr="00034E0F">
              <w:t>(ii) the declaration or order is to come into effect at least 21 days after the declaration or order is served on the non</w:t>
            </w:r>
            <w:r w:rsidR="00034E0F">
              <w:noBreakHyphen/>
            </w:r>
            <w:r w:rsidRPr="00034E0F">
              <w:t>appearing party; or</w:t>
            </w:r>
          </w:p>
          <w:p w:rsidR="00FA692E" w:rsidRPr="00034E0F" w:rsidRDefault="00401B8C" w:rsidP="007A2C83">
            <w:pPr>
              <w:pStyle w:val="Tablea"/>
            </w:pPr>
            <w:r w:rsidRPr="00034E0F">
              <w:t>(b) the power is exercised with the consent of all the parties to the case)</w:t>
            </w:r>
          </w:p>
        </w:tc>
        <w:tc>
          <w:tcPr>
            <w:tcW w:w="51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E69A5" w:rsidRPr="00034E0F" w:rsidRDefault="00AD4CC7" w:rsidP="00AD4CC7">
            <w:pPr>
              <w:pStyle w:val="Tabletext"/>
            </w:pPr>
            <w:r w:rsidRPr="00034E0F">
              <w:t>To make a declaration or order, and to do any other thing referred to in sections</w:t>
            </w:r>
            <w:r w:rsidR="0064086E" w:rsidRPr="00034E0F">
              <w:t> </w:t>
            </w:r>
            <w:r w:rsidRPr="00034E0F">
              <w:t>90SM and 90SN</w:t>
            </w:r>
            <w:r w:rsidR="00805E50" w:rsidRPr="00034E0F">
              <w:t xml:space="preserve"> of the Family Law Act</w:t>
            </w:r>
            <w:r w:rsidRPr="00034E0F">
              <w:t xml:space="preserve">, </w:t>
            </w:r>
            <w:r w:rsidR="001E3928" w:rsidRPr="00034E0F">
              <w:t>in relation to the property interests of the parties to a de facto relationship and to make an order after a financial agreement has been terminated or setting aside a financial agreement or termination agreement</w:t>
            </w:r>
          </w:p>
        </w:tc>
      </w:tr>
    </w:tbl>
    <w:p w:rsidR="00955B44" w:rsidRPr="00034E0F" w:rsidRDefault="00DD4C12" w:rsidP="00955B44">
      <w:pPr>
        <w:pStyle w:val="ItemHead"/>
      </w:pPr>
      <w:r w:rsidRPr="00034E0F">
        <w:t>18</w:t>
      </w:r>
      <w:r w:rsidR="00955B44" w:rsidRPr="00034E0F">
        <w:t xml:space="preserve">  Sub</w:t>
      </w:r>
      <w:r w:rsidR="00305FD1" w:rsidRPr="00034E0F">
        <w:t>rule 2</w:t>
      </w:r>
      <w:r w:rsidR="00955B44" w:rsidRPr="00034E0F">
        <w:t>0.00A(1) (table item</w:t>
      </w:r>
      <w:r w:rsidR="0064086E" w:rsidRPr="00034E0F">
        <w:t> </w:t>
      </w:r>
      <w:r w:rsidR="00955B44" w:rsidRPr="00034E0F">
        <w:t>22</w:t>
      </w:r>
      <w:r w:rsidR="00805E50" w:rsidRPr="00034E0F">
        <w:t xml:space="preserve">, column headed </w:t>
      </w:r>
      <w:bookmarkStart w:id="21" w:name="BK_S3P10L66C53"/>
      <w:bookmarkEnd w:id="21"/>
      <w:r w:rsidR="00805E50" w:rsidRPr="00034E0F">
        <w:t>“Legislative provision</w:t>
      </w:r>
      <w:bookmarkStart w:id="22" w:name="BK_S3P10L67C10"/>
      <w:bookmarkEnd w:id="22"/>
      <w:r w:rsidR="00805E50" w:rsidRPr="00034E0F">
        <w:t>”</w:t>
      </w:r>
      <w:r w:rsidR="00955B44" w:rsidRPr="00034E0F">
        <w:t>)</w:t>
      </w:r>
    </w:p>
    <w:p w:rsidR="00955B44" w:rsidRPr="00034E0F" w:rsidRDefault="00955B44" w:rsidP="00955B44">
      <w:pPr>
        <w:pStyle w:val="Item"/>
      </w:pPr>
      <w:r w:rsidRPr="00034E0F">
        <w:t>Omit “subsection</w:t>
      </w:r>
      <w:r w:rsidR="0064086E" w:rsidRPr="00034E0F">
        <w:t> </w:t>
      </w:r>
      <w:r w:rsidRPr="00034E0F">
        <w:t>92(1)”, substitute “subsections</w:t>
      </w:r>
      <w:r w:rsidR="0064086E" w:rsidRPr="00034E0F">
        <w:t> </w:t>
      </w:r>
      <w:r w:rsidRPr="00034E0F">
        <w:t>92(1) and (2)”.</w:t>
      </w:r>
    </w:p>
    <w:p w:rsidR="002A077E" w:rsidRPr="00034E0F" w:rsidRDefault="00DD4C12" w:rsidP="002A077E">
      <w:pPr>
        <w:pStyle w:val="ItemHead"/>
      </w:pPr>
      <w:r w:rsidRPr="00034E0F">
        <w:t>19</w:t>
      </w:r>
      <w:r w:rsidR="002A077E" w:rsidRPr="00034E0F">
        <w:t xml:space="preserve">  Sub</w:t>
      </w:r>
      <w:r w:rsidR="00305FD1" w:rsidRPr="00034E0F">
        <w:t>rule 2</w:t>
      </w:r>
      <w:r w:rsidR="002A077E" w:rsidRPr="00034E0F">
        <w:t>0.00A(1) (after table item</w:t>
      </w:r>
      <w:r w:rsidR="0064086E" w:rsidRPr="00034E0F">
        <w:t> </w:t>
      </w:r>
      <w:r w:rsidR="002A077E" w:rsidRPr="00034E0F">
        <w:t>25)</w:t>
      </w:r>
    </w:p>
    <w:p w:rsidR="002A077E" w:rsidRPr="00034E0F" w:rsidRDefault="002A077E" w:rsidP="002A077E">
      <w:pPr>
        <w:pStyle w:val="Item"/>
      </w:pPr>
      <w:r w:rsidRPr="00034E0F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2A077E" w:rsidRPr="00034E0F" w:rsidTr="002A077E">
        <w:tc>
          <w:tcPr>
            <w:tcW w:w="714" w:type="dxa"/>
            <w:shd w:val="clear" w:color="auto" w:fill="auto"/>
          </w:tcPr>
          <w:p w:rsidR="002A077E" w:rsidRPr="00034E0F" w:rsidRDefault="002A077E" w:rsidP="00D42FE1">
            <w:pPr>
              <w:pStyle w:val="Tabletext"/>
            </w:pPr>
            <w:r w:rsidRPr="00034E0F">
              <w:t>25A</w:t>
            </w:r>
          </w:p>
        </w:tc>
        <w:tc>
          <w:tcPr>
            <w:tcW w:w="2400" w:type="dxa"/>
            <w:shd w:val="clear" w:color="auto" w:fill="auto"/>
          </w:tcPr>
          <w:p w:rsidR="002A077E" w:rsidRPr="00034E0F" w:rsidRDefault="002A077E" w:rsidP="00D42FE1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100B</w:t>
            </w:r>
          </w:p>
        </w:tc>
        <w:tc>
          <w:tcPr>
            <w:tcW w:w="5198" w:type="dxa"/>
            <w:shd w:val="clear" w:color="auto" w:fill="auto"/>
          </w:tcPr>
          <w:p w:rsidR="002A077E" w:rsidRPr="00034E0F" w:rsidRDefault="002A077E" w:rsidP="00D42FE1">
            <w:pPr>
              <w:pStyle w:val="Tabletext"/>
            </w:pPr>
            <w:r w:rsidRPr="00034E0F">
              <w:t>To make an order allowing a child to swear an affidavit or be called as a witness in, or be present during, proceedings</w:t>
            </w:r>
          </w:p>
        </w:tc>
      </w:tr>
    </w:tbl>
    <w:p w:rsidR="002A077E" w:rsidRPr="00034E0F" w:rsidRDefault="00DD4C12" w:rsidP="002A077E">
      <w:pPr>
        <w:pStyle w:val="ItemHead"/>
      </w:pPr>
      <w:r w:rsidRPr="00034E0F">
        <w:t>20</w:t>
      </w:r>
      <w:r w:rsidR="002A077E" w:rsidRPr="00034E0F">
        <w:t xml:space="preserve">  Sub</w:t>
      </w:r>
      <w:r w:rsidR="00305FD1" w:rsidRPr="00034E0F">
        <w:t>rule 2</w:t>
      </w:r>
      <w:r w:rsidR="002A077E" w:rsidRPr="00034E0F">
        <w:t>0.00A(1) (after table item</w:t>
      </w:r>
      <w:r w:rsidR="0064086E" w:rsidRPr="00034E0F">
        <w:t> </w:t>
      </w:r>
      <w:r w:rsidR="002A077E" w:rsidRPr="00034E0F">
        <w:t>26)</w:t>
      </w:r>
    </w:p>
    <w:p w:rsidR="002A077E" w:rsidRPr="00034E0F" w:rsidRDefault="002A077E" w:rsidP="002A077E">
      <w:pPr>
        <w:pStyle w:val="Item"/>
      </w:pPr>
      <w:r w:rsidRPr="00034E0F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2A077E" w:rsidRPr="00034E0F" w:rsidTr="002A077E">
        <w:tc>
          <w:tcPr>
            <w:tcW w:w="714" w:type="dxa"/>
            <w:shd w:val="clear" w:color="auto" w:fill="auto"/>
          </w:tcPr>
          <w:p w:rsidR="002A077E" w:rsidRPr="00034E0F" w:rsidRDefault="002A077E" w:rsidP="00D42FE1">
            <w:pPr>
              <w:pStyle w:val="Tabletext"/>
            </w:pPr>
            <w:r w:rsidRPr="00034E0F">
              <w:t>26A</w:t>
            </w:r>
          </w:p>
        </w:tc>
        <w:tc>
          <w:tcPr>
            <w:tcW w:w="2400" w:type="dxa"/>
            <w:shd w:val="clear" w:color="auto" w:fill="auto"/>
          </w:tcPr>
          <w:p w:rsidR="002A077E" w:rsidRPr="00034E0F" w:rsidRDefault="00305FD1" w:rsidP="00D42FE1">
            <w:pPr>
              <w:pStyle w:val="Tabletext"/>
            </w:pPr>
            <w:r w:rsidRPr="00034E0F">
              <w:t>subsection 1</w:t>
            </w:r>
            <w:r w:rsidR="002A077E" w:rsidRPr="00034E0F">
              <w:t>02A(3)</w:t>
            </w:r>
          </w:p>
        </w:tc>
        <w:tc>
          <w:tcPr>
            <w:tcW w:w="5198" w:type="dxa"/>
            <w:shd w:val="clear" w:color="auto" w:fill="auto"/>
          </w:tcPr>
          <w:p w:rsidR="002A077E" w:rsidRPr="00034E0F" w:rsidRDefault="002A077E" w:rsidP="00D42FE1">
            <w:pPr>
              <w:pStyle w:val="Tabletext"/>
            </w:pPr>
            <w:r w:rsidRPr="00034E0F">
              <w:t>To give leave for a child to be examined</w:t>
            </w:r>
          </w:p>
        </w:tc>
      </w:tr>
    </w:tbl>
    <w:p w:rsidR="002A077E" w:rsidRPr="00034E0F" w:rsidRDefault="00DD4C12" w:rsidP="002A077E">
      <w:pPr>
        <w:pStyle w:val="ItemHead"/>
      </w:pPr>
      <w:r w:rsidRPr="00034E0F">
        <w:t>21</w:t>
      </w:r>
      <w:r w:rsidR="002A077E" w:rsidRPr="00034E0F">
        <w:t xml:space="preserve">  Sub</w:t>
      </w:r>
      <w:r w:rsidR="00305FD1" w:rsidRPr="00034E0F">
        <w:t>rule 2</w:t>
      </w:r>
      <w:r w:rsidR="002A077E" w:rsidRPr="00034E0F">
        <w:t>0.00A(1) (after table item</w:t>
      </w:r>
      <w:r w:rsidR="0064086E" w:rsidRPr="00034E0F">
        <w:t> </w:t>
      </w:r>
      <w:r w:rsidR="002A077E" w:rsidRPr="00034E0F">
        <w:t>27)</w:t>
      </w:r>
    </w:p>
    <w:p w:rsidR="002A077E" w:rsidRPr="00034E0F" w:rsidRDefault="002A077E" w:rsidP="002A077E">
      <w:pPr>
        <w:pStyle w:val="Item"/>
      </w:pPr>
      <w:r w:rsidRPr="00034E0F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2A077E" w:rsidRPr="00034E0F" w:rsidTr="002A077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2A077E" w:rsidRPr="00034E0F" w:rsidRDefault="002A077E" w:rsidP="00D42FE1">
            <w:pPr>
              <w:pStyle w:val="Tabletext"/>
            </w:pPr>
            <w:r w:rsidRPr="00034E0F">
              <w:t>27A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2A077E" w:rsidRPr="00034E0F" w:rsidRDefault="002A077E" w:rsidP="002A077E">
            <w:pPr>
              <w:pStyle w:val="Tabletext"/>
            </w:pPr>
            <w:r w:rsidRPr="00034E0F">
              <w:t>subject to item</w:t>
            </w:r>
            <w:r w:rsidR="0064086E" w:rsidRPr="00034E0F">
              <w:t> </w:t>
            </w:r>
            <w:r w:rsidRPr="00034E0F">
              <w:t>27B of this table, Part</w:t>
            </w:r>
            <w:r w:rsidR="0064086E" w:rsidRPr="00034E0F">
              <w:t> </w:t>
            </w:r>
            <w:r w:rsidRPr="00034E0F">
              <w:t>XIIIA</w:t>
            </w:r>
            <w:r w:rsidR="00F40667" w:rsidRPr="00034E0F">
              <w:t xml:space="preserve"> </w:t>
            </w:r>
            <w:r w:rsidR="003C3266" w:rsidRPr="00034E0F">
              <w:t>(except paragraph</w:t>
            </w:r>
            <w:r w:rsidR="0064086E" w:rsidRPr="00034E0F">
              <w:t> </w:t>
            </w:r>
            <w:r w:rsidR="003C3266" w:rsidRPr="00034E0F">
              <w:t>112AD(2)</w:t>
            </w:r>
            <w:r w:rsidR="00A605A1" w:rsidRPr="00034E0F">
              <w:t>(d) and only if:</w:t>
            </w:r>
          </w:p>
          <w:p w:rsidR="00A605A1" w:rsidRPr="00034E0F" w:rsidRDefault="00A605A1" w:rsidP="00A605A1">
            <w:pPr>
              <w:pStyle w:val="Tablea"/>
            </w:pPr>
            <w:r w:rsidRPr="00034E0F">
              <w:t>(a) the order is an order until further order; or</w:t>
            </w:r>
          </w:p>
          <w:p w:rsidR="00A605A1" w:rsidRPr="00034E0F" w:rsidRDefault="00A605A1" w:rsidP="00A605A1">
            <w:pPr>
              <w:pStyle w:val="Tablea"/>
            </w:pPr>
            <w:r w:rsidRPr="00034E0F">
              <w:t>(b) the power is exercised in an undefended case; or</w:t>
            </w:r>
          </w:p>
          <w:p w:rsidR="00A605A1" w:rsidRPr="00034E0F" w:rsidRDefault="00A605A1" w:rsidP="00F40667">
            <w:pPr>
              <w:pStyle w:val="Tablea"/>
            </w:pPr>
            <w:r w:rsidRPr="00034E0F">
              <w:t>(c) the power is exercised with the consent of all the parties to the case)</w:t>
            </w:r>
          </w:p>
        </w:tc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</w:tcPr>
          <w:p w:rsidR="002A077E" w:rsidRPr="00034E0F" w:rsidRDefault="00A605A1" w:rsidP="00A605A1">
            <w:pPr>
              <w:pStyle w:val="Tabletext"/>
            </w:pPr>
            <w:r w:rsidRPr="00034E0F">
              <w:t>To make orders in relation to imposing sanctions for failure to comply with orders, and other obligations, that do not affect children</w:t>
            </w:r>
          </w:p>
        </w:tc>
      </w:tr>
      <w:tr w:rsidR="002A077E" w:rsidRPr="00034E0F" w:rsidTr="002A077E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:rsidR="002A077E" w:rsidRPr="00034E0F" w:rsidRDefault="002A077E" w:rsidP="00D42FE1">
            <w:pPr>
              <w:pStyle w:val="Tabletext"/>
            </w:pPr>
            <w:r w:rsidRPr="00034E0F">
              <w:t>27B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2A077E" w:rsidRPr="00034E0F" w:rsidRDefault="00305FD1" w:rsidP="002A077E">
            <w:pPr>
              <w:pStyle w:val="Tabletext"/>
            </w:pPr>
            <w:r w:rsidRPr="00034E0F">
              <w:t>subsection 1</w:t>
            </w:r>
            <w:r w:rsidR="002A077E" w:rsidRPr="00034E0F">
              <w:t>12AK(1) (but only if the order to be varied or discharged:</w:t>
            </w:r>
          </w:p>
          <w:p w:rsidR="002A077E" w:rsidRPr="00034E0F" w:rsidRDefault="002A077E" w:rsidP="002A077E">
            <w:pPr>
              <w:pStyle w:val="Tablea"/>
            </w:pPr>
            <w:r w:rsidRPr="00034E0F">
              <w:t>(a) was made by a Registrar; or</w:t>
            </w:r>
          </w:p>
          <w:p w:rsidR="002A077E" w:rsidRPr="00034E0F" w:rsidRDefault="002A077E" w:rsidP="002A077E">
            <w:pPr>
              <w:pStyle w:val="Tablea"/>
            </w:pPr>
            <w:r w:rsidRPr="00034E0F">
              <w:t>(b) is an order until further order; or</w:t>
            </w:r>
          </w:p>
          <w:p w:rsidR="002A077E" w:rsidRPr="00034E0F" w:rsidRDefault="002A077E" w:rsidP="002A077E">
            <w:pPr>
              <w:pStyle w:val="Tablea"/>
            </w:pPr>
            <w:r w:rsidRPr="00034E0F">
              <w:t>(c) was made in an undefended case; or</w:t>
            </w:r>
          </w:p>
          <w:p w:rsidR="00A605A1" w:rsidRPr="00034E0F" w:rsidRDefault="002A077E" w:rsidP="00C81FC5">
            <w:pPr>
              <w:pStyle w:val="Tablea"/>
            </w:pPr>
            <w:r w:rsidRPr="00034E0F">
              <w:t>(d) was made with the consent of all the parties to the case)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auto"/>
          </w:tcPr>
          <w:p w:rsidR="002A077E" w:rsidRPr="00034E0F" w:rsidRDefault="00A605A1" w:rsidP="00E6699E">
            <w:pPr>
              <w:pStyle w:val="Tabletext"/>
            </w:pPr>
            <w:r w:rsidRPr="00034E0F">
              <w:t>To vary or discharge an order made under section</w:t>
            </w:r>
            <w:r w:rsidR="0064086E" w:rsidRPr="00034E0F">
              <w:t> </w:t>
            </w:r>
            <w:r w:rsidRPr="00034E0F">
              <w:t>112AD of the Family Law Act</w:t>
            </w:r>
            <w:r w:rsidR="00E6699E" w:rsidRPr="00034E0F">
              <w:t xml:space="preserve"> in respect of a contravention of an order</w:t>
            </w:r>
          </w:p>
        </w:tc>
      </w:tr>
    </w:tbl>
    <w:p w:rsidR="002A077E" w:rsidRPr="00034E0F" w:rsidRDefault="00DD4C12" w:rsidP="002A077E">
      <w:pPr>
        <w:pStyle w:val="ItemHead"/>
      </w:pPr>
      <w:r w:rsidRPr="00034E0F">
        <w:t>22</w:t>
      </w:r>
      <w:r w:rsidR="002A077E" w:rsidRPr="00034E0F">
        <w:t xml:space="preserve">  Sub</w:t>
      </w:r>
      <w:r w:rsidR="00305FD1" w:rsidRPr="00034E0F">
        <w:t>rule 2</w:t>
      </w:r>
      <w:r w:rsidR="002A077E" w:rsidRPr="00034E0F">
        <w:t>0.00A(1) (after table item</w:t>
      </w:r>
      <w:r w:rsidR="0064086E" w:rsidRPr="00034E0F">
        <w:t> </w:t>
      </w:r>
      <w:r w:rsidR="002A077E" w:rsidRPr="00034E0F">
        <w:t>28)</w:t>
      </w:r>
    </w:p>
    <w:p w:rsidR="002A077E" w:rsidRPr="00034E0F" w:rsidRDefault="002A077E" w:rsidP="002A077E">
      <w:pPr>
        <w:pStyle w:val="Item"/>
      </w:pPr>
      <w:r w:rsidRPr="00034E0F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2A077E" w:rsidRPr="00034E0F" w:rsidTr="00D42FE1">
        <w:tc>
          <w:tcPr>
            <w:tcW w:w="714" w:type="dxa"/>
            <w:shd w:val="clear" w:color="auto" w:fill="auto"/>
          </w:tcPr>
          <w:p w:rsidR="002A077E" w:rsidRPr="00034E0F" w:rsidRDefault="002A077E" w:rsidP="00D42FE1">
            <w:pPr>
              <w:pStyle w:val="Tabletext"/>
            </w:pPr>
            <w:r w:rsidRPr="00034E0F">
              <w:t>28A</w:t>
            </w:r>
          </w:p>
        </w:tc>
        <w:tc>
          <w:tcPr>
            <w:tcW w:w="2400" w:type="dxa"/>
            <w:shd w:val="clear" w:color="auto" w:fill="auto"/>
          </w:tcPr>
          <w:p w:rsidR="002A077E" w:rsidRPr="00034E0F" w:rsidRDefault="00305FD1" w:rsidP="002A077E">
            <w:pPr>
              <w:pStyle w:val="Tabletext"/>
            </w:pPr>
            <w:r w:rsidRPr="00034E0F">
              <w:t>subsection 1</w:t>
            </w:r>
            <w:r w:rsidR="002A077E" w:rsidRPr="00034E0F">
              <w:t>17(2) (but only for a proceeding that is within the power of a Registrar to hear and determine)</w:t>
            </w:r>
          </w:p>
        </w:tc>
        <w:tc>
          <w:tcPr>
            <w:tcW w:w="5198" w:type="dxa"/>
            <w:shd w:val="clear" w:color="auto" w:fill="auto"/>
          </w:tcPr>
          <w:p w:rsidR="002A077E" w:rsidRPr="00034E0F" w:rsidRDefault="002A077E" w:rsidP="002A077E">
            <w:pPr>
              <w:pStyle w:val="Tabletext"/>
            </w:pPr>
            <w:r w:rsidRPr="00034E0F">
              <w:t>To make an order for costs or security for costs</w:t>
            </w:r>
          </w:p>
        </w:tc>
      </w:tr>
    </w:tbl>
    <w:p w:rsidR="00174C13" w:rsidRPr="00034E0F" w:rsidRDefault="00DD4C12" w:rsidP="00174C13">
      <w:pPr>
        <w:pStyle w:val="ItemHead"/>
      </w:pPr>
      <w:r w:rsidRPr="00034E0F">
        <w:t>23</w:t>
      </w:r>
      <w:r w:rsidR="00174C13" w:rsidRPr="00034E0F">
        <w:t xml:space="preserve">  Sub</w:t>
      </w:r>
      <w:r w:rsidR="00305FD1" w:rsidRPr="00034E0F">
        <w:t>rule 2</w:t>
      </w:r>
      <w:r w:rsidR="00174C13" w:rsidRPr="00034E0F">
        <w:t xml:space="preserve">0.00A(1) (after table </w:t>
      </w:r>
      <w:r w:rsidR="00305FD1" w:rsidRPr="00034E0F">
        <w:t>item 3</w:t>
      </w:r>
      <w:r w:rsidR="005F0F39" w:rsidRPr="00034E0F">
        <w:t>0</w:t>
      </w:r>
      <w:r w:rsidR="00174C13" w:rsidRPr="00034E0F">
        <w:t>)</w:t>
      </w:r>
    </w:p>
    <w:p w:rsidR="005F0F39" w:rsidRPr="00034E0F" w:rsidRDefault="005F0F39" w:rsidP="005F0F39">
      <w:pPr>
        <w:pStyle w:val="Item"/>
      </w:pPr>
      <w:r w:rsidRPr="00034E0F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5F0F39" w:rsidRPr="00034E0F" w:rsidTr="00AD4CC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  <w:r w:rsidRPr="00034E0F">
              <w:t>30A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6(1)(a)</w:t>
            </w:r>
          </w:p>
        </w:tc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</w:tcPr>
          <w:p w:rsidR="005F0F39" w:rsidRPr="00034E0F" w:rsidRDefault="00E33CCA" w:rsidP="00D42FE1">
            <w:pPr>
              <w:pStyle w:val="Tabletext"/>
            </w:pPr>
            <w:r w:rsidRPr="00034E0F">
              <w:t>To relieve a party from the consequences of non</w:t>
            </w:r>
            <w:r w:rsidR="00034E0F">
              <w:noBreakHyphen/>
            </w:r>
            <w:r w:rsidRPr="00034E0F">
              <w:t>compliance with the Family Law Regulations, a rule of practice or procedure or an order made by a registrar</w:t>
            </w:r>
          </w:p>
        </w:tc>
      </w:tr>
      <w:tr w:rsidR="005F0F39" w:rsidRPr="00034E0F" w:rsidTr="00AD4CC7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  <w:r w:rsidRPr="00034E0F">
              <w:t>30B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  <w:r w:rsidRPr="00034E0F">
              <w:t>subregulation</w:t>
            </w:r>
            <w:r w:rsidR="0064086E" w:rsidRPr="00034E0F">
              <w:t> </w:t>
            </w:r>
            <w:r w:rsidRPr="00034E0F">
              <w:t>23(6)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  <w:r w:rsidRPr="00034E0F">
              <w:t>To register an overseas child order</w:t>
            </w:r>
          </w:p>
        </w:tc>
      </w:tr>
      <w:tr w:rsidR="005F0F39" w:rsidRPr="00034E0F" w:rsidTr="00AD4CC7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  <w:r w:rsidRPr="00034E0F">
              <w:t>30C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  <w:r w:rsidRPr="00034E0F">
              <w:t>subregulation</w:t>
            </w:r>
            <w:r w:rsidR="0064086E" w:rsidRPr="00034E0F">
              <w:t> </w:t>
            </w:r>
            <w:r w:rsidRPr="00034E0F">
              <w:t>67Q(4)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  <w:r w:rsidRPr="00034E0F">
              <w:t>To register an award made in an arbitration</w:t>
            </w:r>
          </w:p>
        </w:tc>
      </w:tr>
    </w:tbl>
    <w:p w:rsidR="003C4D6A" w:rsidRPr="00034E0F" w:rsidRDefault="00DD4C12" w:rsidP="003C4D6A">
      <w:pPr>
        <w:pStyle w:val="ItemHead"/>
      </w:pPr>
      <w:r w:rsidRPr="00034E0F">
        <w:t>24</w:t>
      </w:r>
      <w:r w:rsidR="003C4D6A" w:rsidRPr="00034E0F">
        <w:t xml:space="preserve">  Sub</w:t>
      </w:r>
      <w:r w:rsidR="00305FD1" w:rsidRPr="00034E0F">
        <w:t>rule 2</w:t>
      </w:r>
      <w:r w:rsidR="003C4D6A" w:rsidRPr="00034E0F">
        <w:t xml:space="preserve">0.00A(1) (before table </w:t>
      </w:r>
      <w:r w:rsidR="00305FD1" w:rsidRPr="00034E0F">
        <w:t>item 3</w:t>
      </w:r>
      <w:r w:rsidR="003C4D6A" w:rsidRPr="00034E0F">
        <w:t>1)</w:t>
      </w:r>
    </w:p>
    <w:p w:rsidR="003C4D6A" w:rsidRPr="00034E0F" w:rsidRDefault="003C4D6A" w:rsidP="003C4D6A">
      <w:pPr>
        <w:pStyle w:val="Item"/>
      </w:pPr>
      <w:r w:rsidRPr="00034E0F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268"/>
        <w:gridCol w:w="5198"/>
      </w:tblGrid>
      <w:tr w:rsidR="003C4D6A" w:rsidRPr="00034E0F" w:rsidTr="00CD4457">
        <w:tc>
          <w:tcPr>
            <w:tcW w:w="846" w:type="dxa"/>
            <w:tcBorders>
              <w:top w:val="nil"/>
            </w:tcBorders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31AA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.05(2) (but only to the extent that it gives the Court the power to apply the Family Law Rules)</w:t>
            </w:r>
          </w:p>
        </w:tc>
        <w:tc>
          <w:tcPr>
            <w:tcW w:w="5198" w:type="dxa"/>
            <w:tcBorders>
              <w:top w:val="nil"/>
            </w:tcBorders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apply the Family Law Rules if in a particular case these Rules are insufficient or inappropriate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31AB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.06(1)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dispense with compliance with these Rules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31AC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.07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an order about procedure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31AD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2</w:t>
            </w:r>
            <w:r w:rsidRPr="00034E0F">
              <w:t>.01(1A)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orders in relation to compliance with requirements for documents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31AE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2</w:t>
            </w:r>
            <w:r w:rsidRPr="00034E0F">
              <w:t>.04(1)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orders in relation to compliance with forms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31AF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2</w:t>
            </w:r>
            <w:bookmarkStart w:id="23" w:name="BK_S3P12L11C12"/>
            <w:bookmarkEnd w:id="23"/>
            <w:r w:rsidRPr="00034E0F">
              <w:t>.07(5)(b)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direct that the original of a document or transmission report be produced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31AG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2</w:t>
            </w:r>
            <w:r w:rsidRPr="00034E0F">
              <w:t>.07B(3)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direct that the original of an affidavit or a paper copy of a document be produced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31AH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2.09(b)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direct that the seal of the Court be attached to a document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31AI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2</w:t>
            </w:r>
            <w:r w:rsidRPr="00034E0F">
              <w:t>.10(2)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direct that the stamp of the Court be attached to a document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31AJ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6</w:t>
            </w:r>
            <w:r w:rsidR="003C4D6A" w:rsidRPr="00034E0F">
              <w:t>.04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exercise discretion in relation to service of a document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31AK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6</w:t>
            </w:r>
            <w:r w:rsidRPr="00034E0F">
              <w:t>.05(1)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evidence of service of a document to be given otherwise than by affidavit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31AL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6</w:t>
            </w:r>
            <w:bookmarkStart w:id="24" w:name="BK_S3P12L21C12"/>
            <w:bookmarkEnd w:id="24"/>
            <w:r w:rsidRPr="00034E0F">
              <w:t>.06(2)(b)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direct that an application be served other than by hand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31AM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6</w:t>
            </w:r>
            <w:r w:rsidRPr="00034E0F">
              <w:t>.08(1)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an order in relation to the requirements for service by hand on a corporation, unincorporated association or organisation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31AN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6</w:t>
            </w:r>
            <w:r w:rsidRPr="00034E0F">
              <w:t>.14(1)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an order dispensing with service of a document or substituting another way of serving a document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31AO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6</w:t>
            </w:r>
            <w:r w:rsidRPr="00034E0F">
              <w:t>.14(2)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specify the steps to be taken for bringing a document to the attention of the person to be served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31AP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6</w:t>
            </w:r>
            <w:r w:rsidRPr="00034E0F">
              <w:t>.14(3)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specify that a document is to be taken to have been served on the happening of a specified event or at the end of a specified time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31AQ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6</w:t>
            </w:r>
            <w:r w:rsidR="003C4D6A" w:rsidRPr="00034E0F">
              <w:t>.15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have regard to certain matters when making an order dispensing with service of a document or for substituted service of a document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31AR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6</w:t>
            </w:r>
            <w:r w:rsidR="003C4D6A" w:rsidRPr="00034E0F">
              <w:t>.16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find that a document is taken to have been served on a date specified in an order for substituted service despite failure to comply with a condition of the order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31AS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6</w:t>
            </w:r>
            <w:r w:rsidR="003C4D6A" w:rsidRPr="00034E0F">
              <w:t>.17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that a document may be served more than 12 months after it is filed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31AT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6</w:t>
            </w:r>
            <w:r w:rsidR="003C4D6A" w:rsidRPr="00034E0F">
              <w:t>.19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 xml:space="preserve">To make an order permitting an application and any document filed with it to be served otherwise than as provided by </w:t>
            </w:r>
            <w:r w:rsidR="00305FD1" w:rsidRPr="00034E0F">
              <w:t>rule 6</w:t>
            </w:r>
            <w:r w:rsidRPr="00034E0F">
              <w:t>.19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31AU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rule</w:t>
            </w:r>
            <w:r w:rsidR="0064086E" w:rsidRPr="00034E0F">
              <w:t> </w:t>
            </w:r>
            <w:r w:rsidRPr="00034E0F">
              <w:t>7.02 (but only to the extent that it gives the Court the power to order a party or another appropriate person to make an amendment)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a party or another appropriate person to make an amendment to a document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31AV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8</w:t>
            </w:r>
            <w:r w:rsidR="003C4D6A" w:rsidRPr="00034E0F">
              <w:t>.01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consider an application to have a proceeding heard in another registry of the Court and to have regard to certain matters when considering the application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31AW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8</w:t>
            </w:r>
            <w:r w:rsidRPr="00034E0F">
              <w:t>.02(1) (but only to the extent that it gives the Court the power to transfer a proceeding to the Family Court)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transfer a proceeding to the Family Court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31AX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  <w:rPr>
                <w:i/>
              </w:rPr>
            </w:pPr>
            <w:r w:rsidRPr="00034E0F">
              <w:t>sub</w:t>
            </w:r>
            <w:r w:rsidR="00305FD1" w:rsidRPr="00034E0F">
              <w:t>rules 8</w:t>
            </w:r>
            <w:r w:rsidRPr="00034E0F">
              <w:t>.02(2) and (3) (but only in relation to a request for transfer of a proceeding to the Family Court)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orders in relation to a request for transfer of a proceeding to the Family Court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31AY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8</w:t>
            </w:r>
            <w:r w:rsidRPr="00034E0F">
              <w:t>.02(4) (but only in relation to a request for transfer of a proceeding to the Family Court)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have regard to additional factors in deciding whether to transfer a proceeding to the Family Court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31AZ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9</w:t>
            </w:r>
            <w:r w:rsidRPr="00034E0F">
              <w:t>.03(2)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give leave to a lawyer to file or serve a notice of withdrawal without satisfying the requirement to serve, within the time specified in sub</w:t>
            </w:r>
            <w:r w:rsidR="00305FD1" w:rsidRPr="00034E0F">
              <w:t>rule 9</w:t>
            </w:r>
            <w:r w:rsidRPr="00034E0F">
              <w:t>.03(2), a notice of intention to withdraw on the party for whom the lawyer is acting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31BA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10.04(b)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consent orders where parties resolve the issues between them following a dispute resolution process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31BB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0.05(1)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refer a proceeding, a part of a proceeding or a matter arising out of a proceeding, for conciliation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31BC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10</w:t>
            </w:r>
            <w:bookmarkStart w:id="25" w:name="BK_S3P13L25C13"/>
            <w:bookmarkEnd w:id="25"/>
            <w:r w:rsidRPr="00034E0F">
              <w:t>.05(2)(c)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appoint a person to hold a conciliation conference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31BD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rules 1</w:t>
            </w:r>
            <w:r w:rsidRPr="00034E0F">
              <w:t>1.01(1) and (2)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orders in relation to persons who must be included as parties to a proceeding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31BE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1.02(2)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give leave to a party to include a person as a party to a proceeding after the first court date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31BF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1.02(3)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a party who has included a person as a party to file and serve on each other party an affidavit setting out the basis on which the person has been included as a party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31BG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1.03(2)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an order that an application to be included as a party to a proceeding be supported otherwise than by an affidavit stating the matters referred to in sub</w:t>
            </w:r>
            <w:r w:rsidR="00305FD1" w:rsidRPr="00034E0F">
              <w:t>rule 1</w:t>
            </w:r>
            <w:r w:rsidRPr="00034E0F">
              <w:t>1.03(2)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31BH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1.04(1)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consider an application by a party to be removed as a party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31BI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1.05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To, at any time, order a party, or a person applying to be included as a party, to give notice to any person of certain matters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31BJ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1.08(2)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that a minor in a proceeding is not taken to need a litigation guardian in relation to the proceeding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31BK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1.11(1)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appoint or remove a litigation guardian, or substitute another person as litigation guardian, in a proceeding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31BL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1.11(3)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remove a litigation guardian at the request of the litigation guardian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31BM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1.14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orders for the payment of the costs and expenses of a litigation guardian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31BN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rules 1</w:t>
            </w:r>
            <w:r w:rsidRPr="00034E0F">
              <w:t>2.02(1) and (2)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refer a party to a lawyer for legal assistance and to take certain matters into account when making such a referral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31BO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3.02(3)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stay further proceedings until costs are paid by the party bringing the further proceedings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31BP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3.04(3) (but only if the order is made with the consent of all the parties to the case)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such orders as the Court considers appropriate in the circumstances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31BQ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3.07(3)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stay execution on, or other enforcement of, a judgment</w:t>
            </w:r>
            <w:bookmarkStart w:id="26" w:name="BK_S3P14L7C58"/>
            <w:bookmarkEnd w:id="26"/>
            <w:r w:rsidRPr="00034E0F">
              <w:t xml:space="preserve"> until determination of a claim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31BR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3.08(3)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give directions for the further conduct of a proceeding in relation to any claim or part of a claim not disposed of by judgment or dismissal and not stayed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31BS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3.10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that a proceeding be stayed, or dismissed generally or in relation to any claim for relief in the proceeding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31BT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rules 1</w:t>
            </w:r>
            <w:r w:rsidRPr="00034E0F">
              <w:t>3.12(1), (2) and 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that a proceeding, or a part of a proceeding, be dismissed if a party has not taken a step in the proceeding for 6 months, and to give notice to each party of the date and time when the Court will consider whether to make such an order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31BU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4.04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a party to produce to the Court a document in the possession, custody or control of the party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31BV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4.05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inspect a document for the purpose of determining whether a claim for privilege, or an objection, is valid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31BW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4.06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a party to file and serve an affidavit regarding the possession, custody or control of a document or class of document by the party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31BX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4.08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otherwise than permitting a party who inspects a document under Division</w:t>
            </w:r>
            <w:r w:rsidR="0064086E" w:rsidRPr="00034E0F">
              <w:t> </w:t>
            </w:r>
            <w:r w:rsidRPr="00034E0F">
              <w:t>14.2 to make a copy of, or take an extract from, the document</w:t>
            </w:r>
          </w:p>
        </w:tc>
      </w:tr>
      <w:tr w:rsidR="00AD326E" w:rsidRPr="00034E0F" w:rsidTr="00CD4457">
        <w:tc>
          <w:tcPr>
            <w:tcW w:w="846" w:type="dxa"/>
            <w:shd w:val="clear" w:color="auto" w:fill="auto"/>
          </w:tcPr>
          <w:p w:rsidR="00AD326E" w:rsidRPr="00034E0F" w:rsidRDefault="00ED5317" w:rsidP="00CD4457">
            <w:pPr>
              <w:pStyle w:val="Tabletext"/>
            </w:pPr>
            <w:r w:rsidRPr="00034E0F">
              <w:t>31BY</w:t>
            </w:r>
          </w:p>
        </w:tc>
        <w:tc>
          <w:tcPr>
            <w:tcW w:w="2268" w:type="dxa"/>
            <w:shd w:val="clear" w:color="auto" w:fill="auto"/>
          </w:tcPr>
          <w:p w:rsidR="00AD326E" w:rsidRPr="00034E0F" w:rsidRDefault="00AD326E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5.08(2)</w:t>
            </w:r>
          </w:p>
        </w:tc>
        <w:tc>
          <w:tcPr>
            <w:tcW w:w="5198" w:type="dxa"/>
            <w:shd w:val="clear" w:color="auto" w:fill="auto"/>
          </w:tcPr>
          <w:p w:rsidR="00AD326E" w:rsidRPr="00034E0F" w:rsidRDefault="00AD326E" w:rsidP="00CD4457">
            <w:pPr>
              <w:pStyle w:val="Tabletext"/>
            </w:pPr>
            <w:r w:rsidRPr="00034E0F">
              <w:t>To give a direction in relation to opinion evidence by expert witnesses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31BZ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5.09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appoint an expert as court expert to inquire into and report on a question arising in a proceeding, and give directions for the purposes of the inquiry or report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31CA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5.10(3)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do a thing referred to in sub</w:t>
            </w:r>
            <w:r w:rsidR="00305FD1" w:rsidRPr="00034E0F">
              <w:t>rule 1</w:t>
            </w:r>
            <w:r w:rsidRPr="00034E0F">
              <w:t>5.10(3) in relation to a report prepared by a court expert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31CB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5.11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direct otherwise than that the parties are jointly liable to pay the reasonable remuneration and expenses of a court expert for preparing a report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31CC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5.12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grant leave to a party to adduce evidence of another expert on a question on which a court expert has made a report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31CD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1</w:t>
            </w:r>
            <w:r w:rsidRPr="00034E0F">
              <w:t>5A.04(3)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fix time limits for service of a subpoena otherwise than as required by paragraph</w:t>
            </w:r>
            <w:r w:rsidR="0064086E" w:rsidRPr="00034E0F">
              <w:t> </w:t>
            </w:r>
            <w:r w:rsidRPr="00034E0F">
              <w:t>15A</w:t>
            </w:r>
            <w:bookmarkStart w:id="27" w:name="BK_S3P14L42C26"/>
            <w:bookmarkEnd w:id="27"/>
            <w:r w:rsidRPr="00034E0F">
              <w:t>.04(3)(a) or (b)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31CE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5A.05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direct that a party or independent children’s lawyer may request the issue of more than 5 subpoenas in a proceeding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31CF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5A.09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an order setting aside all or part of a subpoena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31CG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5A.10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an order for the payment of any loss or expense incurred in complying with a subpoena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31CH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1</w:t>
            </w:r>
            <w:r w:rsidR="003C4D6A" w:rsidRPr="00034E0F">
              <w:t>5A.11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orders with respect to the payment of costs incurred by a person in complying with a subpoena where the person is not a party to the proceedings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31CI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15A</w:t>
            </w:r>
            <w:bookmarkStart w:id="28" w:name="BK_S3P15L1C14"/>
            <w:bookmarkEnd w:id="28"/>
            <w:r w:rsidRPr="00034E0F">
              <w:t>.12(2)(b)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permit a person who inspects or copies a document under these Rules to disclose the contents of the document or give a copy of it to another person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31CJ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2</w:t>
            </w:r>
            <w:r w:rsidRPr="00034E0F">
              <w:t>1.01(1)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the applicant to give the security the Court considers appropriate for the respondent’s costs of the proceeding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31CK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21</w:t>
            </w:r>
            <w:bookmarkStart w:id="29" w:name="BK_S3P15L6C13"/>
            <w:bookmarkEnd w:id="29"/>
            <w:r w:rsidRPr="00034E0F">
              <w:t>.02(1)(c)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allow further time for an application for an order for costs to be made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31CL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2</w:t>
            </w:r>
            <w:r w:rsidRPr="00034E0F">
              <w:t>1.02(2)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do a thing referred to in any of paragraphs 21.02(2)(a) to (d) in making an order for costs in a proceeding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31CM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sub</w:t>
            </w:r>
            <w:r w:rsidR="00305FD1" w:rsidRPr="00034E0F">
              <w:t>rule 2</w:t>
            </w:r>
            <w:r w:rsidRPr="00034E0F">
              <w:t>1.03(1)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specify the maximum costs that may be recovered on a party and party basis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31CN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3692B" w:rsidP="0033692B">
            <w:pPr>
              <w:pStyle w:val="Tabletext"/>
            </w:pPr>
            <w:r w:rsidRPr="00034E0F">
              <w:t>sub</w:t>
            </w:r>
            <w:r w:rsidR="00305FD1" w:rsidRPr="00034E0F">
              <w:t>rule 2</w:t>
            </w:r>
            <w:r w:rsidRPr="00034E0F">
              <w:t>1.03(3)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vary the maximum costs specified if there are special reasons and it is in the interests of justice to do so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31CO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2</w:t>
            </w:r>
            <w:r w:rsidR="003C4D6A" w:rsidRPr="00034E0F">
              <w:t>1.04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If costs of a motion, application or other proceeding are reserved, to order otherwise than that the costs follow the event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31CP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2</w:t>
            </w:r>
            <w:r w:rsidR="003C4D6A" w:rsidRPr="00034E0F">
              <w:t>1.08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otherwise than that interest is payable on outstanding costs at the rate specified in paragraph</w:t>
            </w:r>
            <w:r w:rsidR="0064086E" w:rsidRPr="00034E0F">
              <w:t> </w:t>
            </w:r>
            <w:r w:rsidRPr="00034E0F">
              <w:t>21.08(a) or (b) (as applicable)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31CQ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2</w:t>
            </w:r>
            <w:r w:rsidR="003C4D6A" w:rsidRPr="00034E0F">
              <w:t>1.10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order otherwise than that a party is entitled to costs in accordance with Parts</w:t>
            </w:r>
            <w:r w:rsidR="0064086E" w:rsidRPr="00034E0F">
              <w:t> </w:t>
            </w:r>
            <w:r w:rsidRPr="00034E0F">
              <w:t>1 and 2 of Schedule</w:t>
            </w:r>
            <w:r w:rsidR="0064086E" w:rsidRPr="00034E0F">
              <w:t> </w:t>
            </w:r>
            <w:r w:rsidRPr="00034E0F">
              <w:t>1 and disbursements properly incurred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31CR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21.12(b)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authorise or approve an amount for attendance by a witness</w:t>
            </w:r>
          </w:p>
        </w:tc>
      </w:tr>
      <w:tr w:rsidR="003C4D6A" w:rsidRPr="00034E0F" w:rsidTr="00CD4457">
        <w:tc>
          <w:tcPr>
            <w:tcW w:w="846" w:type="dxa"/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31CS</w:t>
            </w:r>
          </w:p>
        </w:tc>
        <w:tc>
          <w:tcPr>
            <w:tcW w:w="226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paragraph</w:t>
            </w:r>
            <w:r w:rsidR="0064086E" w:rsidRPr="00034E0F">
              <w:t> </w:t>
            </w:r>
            <w:r w:rsidRPr="00034E0F">
              <w:t>21.13(b)</w:t>
            </w:r>
          </w:p>
        </w:tc>
        <w:tc>
          <w:tcPr>
            <w:tcW w:w="5198" w:type="dxa"/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authorise or approve an amount for preparation of a report by an expert</w:t>
            </w:r>
          </w:p>
        </w:tc>
      </w:tr>
      <w:tr w:rsidR="003C4D6A" w:rsidRPr="00034E0F" w:rsidTr="00CD7B46">
        <w:tc>
          <w:tcPr>
            <w:tcW w:w="846" w:type="dxa"/>
            <w:tcBorders>
              <w:bottom w:val="single" w:sz="2" w:space="0" w:color="auto"/>
            </w:tcBorders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31CT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2</w:t>
            </w:r>
            <w:r w:rsidR="003C4D6A" w:rsidRPr="00034E0F">
              <w:t>3.01A</w:t>
            </w:r>
          </w:p>
        </w:tc>
        <w:tc>
          <w:tcPr>
            <w:tcW w:w="5198" w:type="dxa"/>
            <w:tcBorders>
              <w:bottom w:val="single" w:sz="2" w:space="0" w:color="auto"/>
            </w:tcBorders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 xml:space="preserve">To order that a family report be prepared, make other orders or do any other thing referred to in </w:t>
            </w:r>
            <w:r w:rsidR="00305FD1" w:rsidRPr="00034E0F">
              <w:t>rule 2</w:t>
            </w:r>
            <w:r w:rsidRPr="00034E0F">
              <w:t>3.01A</w:t>
            </w:r>
          </w:p>
        </w:tc>
      </w:tr>
      <w:tr w:rsidR="003C4D6A" w:rsidRPr="00034E0F" w:rsidTr="00CD7B46">
        <w:tc>
          <w:tcPr>
            <w:tcW w:w="84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C4D6A" w:rsidRPr="00034E0F" w:rsidRDefault="00ED5317" w:rsidP="00CD4457">
            <w:pPr>
              <w:pStyle w:val="Tabletext"/>
            </w:pPr>
            <w:r w:rsidRPr="00034E0F">
              <w:t>31CU</w:t>
            </w:r>
          </w:p>
        </w:tc>
        <w:tc>
          <w:tcPr>
            <w:tcW w:w="226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C4D6A" w:rsidRPr="00034E0F" w:rsidRDefault="00305FD1" w:rsidP="00CD4457">
            <w:pPr>
              <w:pStyle w:val="Tabletext"/>
            </w:pPr>
            <w:r w:rsidRPr="00034E0F">
              <w:t>rule 2</w:t>
            </w:r>
            <w:r w:rsidR="003C4D6A" w:rsidRPr="00034E0F">
              <w:t>3.02</w:t>
            </w:r>
          </w:p>
        </w:tc>
        <w:tc>
          <w:tcPr>
            <w:tcW w:w="51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C4D6A" w:rsidRPr="00034E0F" w:rsidRDefault="003C4D6A" w:rsidP="00CD4457">
            <w:pPr>
              <w:pStyle w:val="Tabletext"/>
            </w:pPr>
            <w:r w:rsidRPr="00034E0F">
              <w:t>To make an order referring any or all of the matters in dispute for family dispute resolution and to do any other thing referred to in paragraphs 23.02(a) to (c)</w:t>
            </w:r>
          </w:p>
        </w:tc>
      </w:tr>
    </w:tbl>
    <w:p w:rsidR="00453E19" w:rsidRPr="00034E0F" w:rsidRDefault="00DD4C12" w:rsidP="00453E19">
      <w:pPr>
        <w:pStyle w:val="ItemHead"/>
      </w:pPr>
      <w:r w:rsidRPr="00034E0F">
        <w:t>25</w:t>
      </w:r>
      <w:r w:rsidR="00453E19" w:rsidRPr="00034E0F">
        <w:t xml:space="preserve">  Sub</w:t>
      </w:r>
      <w:r w:rsidR="00305FD1" w:rsidRPr="00034E0F">
        <w:t>rule 2</w:t>
      </w:r>
      <w:r w:rsidR="00453E19" w:rsidRPr="00034E0F">
        <w:t xml:space="preserve">0.00A(1) (cell at table </w:t>
      </w:r>
      <w:r w:rsidR="00305FD1" w:rsidRPr="00034E0F">
        <w:t>item 3</w:t>
      </w:r>
      <w:r w:rsidR="00453E19" w:rsidRPr="00034E0F">
        <w:t xml:space="preserve">1, column </w:t>
      </w:r>
      <w:r w:rsidR="003272D7" w:rsidRPr="00034E0F">
        <w:t xml:space="preserve">headed </w:t>
      </w:r>
      <w:bookmarkStart w:id="30" w:name="BK_S3P15L32C61"/>
      <w:bookmarkEnd w:id="30"/>
      <w:r w:rsidR="003272D7" w:rsidRPr="00034E0F">
        <w:t>“Legislative provision</w:t>
      </w:r>
      <w:bookmarkStart w:id="31" w:name="BK_S3P15L33C10"/>
      <w:bookmarkEnd w:id="31"/>
      <w:r w:rsidR="003272D7" w:rsidRPr="00034E0F">
        <w:t>”</w:t>
      </w:r>
      <w:r w:rsidR="00453E19" w:rsidRPr="00034E0F">
        <w:t>)</w:t>
      </w:r>
    </w:p>
    <w:p w:rsidR="00453E19" w:rsidRPr="00034E0F" w:rsidRDefault="00453E19" w:rsidP="00453E19">
      <w:pPr>
        <w:pStyle w:val="Item"/>
      </w:pPr>
      <w:r w:rsidRPr="00034E0F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</w:tblGrid>
      <w:tr w:rsidR="00453E19" w:rsidRPr="00034E0F" w:rsidTr="002E002F">
        <w:tc>
          <w:tcPr>
            <w:tcW w:w="2410" w:type="dxa"/>
            <w:shd w:val="clear" w:color="auto" w:fill="auto"/>
          </w:tcPr>
          <w:p w:rsidR="00453E19" w:rsidRPr="00034E0F" w:rsidRDefault="00305FD1" w:rsidP="002E002F">
            <w:pPr>
              <w:pStyle w:val="Tabletext"/>
            </w:pPr>
            <w:r w:rsidRPr="00034E0F">
              <w:t>Division 2</w:t>
            </w:r>
            <w:r w:rsidR="00453E19" w:rsidRPr="00034E0F">
              <w:t>5B.2</w:t>
            </w:r>
          </w:p>
        </w:tc>
      </w:tr>
    </w:tbl>
    <w:p w:rsidR="006B4073" w:rsidRPr="00034E0F" w:rsidRDefault="00DD4C12" w:rsidP="005F0F39">
      <w:pPr>
        <w:pStyle w:val="ItemHead"/>
      </w:pPr>
      <w:r w:rsidRPr="00034E0F">
        <w:t>26</w:t>
      </w:r>
      <w:r w:rsidR="006B4073" w:rsidRPr="00034E0F">
        <w:t xml:space="preserve">  Sub</w:t>
      </w:r>
      <w:r w:rsidR="00305FD1" w:rsidRPr="00034E0F">
        <w:t>rule 2</w:t>
      </w:r>
      <w:r w:rsidR="006B4073" w:rsidRPr="00034E0F">
        <w:t xml:space="preserve">0.00A(1) (after table </w:t>
      </w:r>
      <w:r w:rsidR="00305FD1" w:rsidRPr="00034E0F">
        <w:t>item 3</w:t>
      </w:r>
      <w:r w:rsidR="006B4073" w:rsidRPr="00034E0F">
        <w:t>1)</w:t>
      </w:r>
    </w:p>
    <w:p w:rsidR="006B4073" w:rsidRPr="00034E0F" w:rsidRDefault="006B4073" w:rsidP="006B4073">
      <w:pPr>
        <w:pStyle w:val="Item"/>
      </w:pPr>
      <w:r w:rsidRPr="00034E0F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6B4073" w:rsidRPr="00034E0F" w:rsidTr="006B4073">
        <w:tc>
          <w:tcPr>
            <w:tcW w:w="714" w:type="dxa"/>
            <w:shd w:val="clear" w:color="auto" w:fill="auto"/>
          </w:tcPr>
          <w:p w:rsidR="006B4073" w:rsidRPr="00034E0F" w:rsidRDefault="006B4073" w:rsidP="00D80C82">
            <w:pPr>
              <w:pStyle w:val="Tabletext"/>
            </w:pPr>
            <w:r w:rsidRPr="00034E0F">
              <w:t>31A</w:t>
            </w:r>
          </w:p>
        </w:tc>
        <w:tc>
          <w:tcPr>
            <w:tcW w:w="2400" w:type="dxa"/>
            <w:shd w:val="clear" w:color="auto" w:fill="auto"/>
          </w:tcPr>
          <w:p w:rsidR="006B4073" w:rsidRPr="00034E0F" w:rsidRDefault="00305FD1" w:rsidP="00D80C82">
            <w:pPr>
              <w:pStyle w:val="Tablea"/>
            </w:pPr>
            <w:r w:rsidRPr="00034E0F">
              <w:t>Division 2</w:t>
            </w:r>
            <w:r w:rsidR="006B4073" w:rsidRPr="00034E0F">
              <w:t>5B.4</w:t>
            </w:r>
          </w:p>
        </w:tc>
        <w:tc>
          <w:tcPr>
            <w:tcW w:w="5198" w:type="dxa"/>
            <w:shd w:val="clear" w:color="auto" w:fill="auto"/>
          </w:tcPr>
          <w:p w:rsidR="006B4073" w:rsidRPr="00034E0F" w:rsidRDefault="006B4073" w:rsidP="00D80C82">
            <w:pPr>
              <w:pStyle w:val="Tabletext"/>
            </w:pPr>
            <w:r w:rsidRPr="00034E0F">
              <w:t>To make orders in relation to warrants for arrest</w:t>
            </w:r>
            <w:r w:rsidR="00B70161" w:rsidRPr="00034E0F">
              <w:t xml:space="preserve"> and to do any other thing referred to in </w:t>
            </w:r>
            <w:r w:rsidR="00305FD1" w:rsidRPr="00034E0F">
              <w:t>Division 2</w:t>
            </w:r>
            <w:r w:rsidR="00B70161" w:rsidRPr="00034E0F">
              <w:t>5B.4</w:t>
            </w:r>
          </w:p>
        </w:tc>
      </w:tr>
    </w:tbl>
    <w:p w:rsidR="005F0F39" w:rsidRPr="00034E0F" w:rsidRDefault="00DD4C12" w:rsidP="005F0F39">
      <w:pPr>
        <w:pStyle w:val="ItemHead"/>
      </w:pPr>
      <w:r w:rsidRPr="00034E0F">
        <w:t>27</w:t>
      </w:r>
      <w:r w:rsidR="005F0F39" w:rsidRPr="00034E0F">
        <w:t xml:space="preserve">  Sub</w:t>
      </w:r>
      <w:r w:rsidR="00305FD1" w:rsidRPr="00034E0F">
        <w:t>rule 2</w:t>
      </w:r>
      <w:r w:rsidR="005F0F39" w:rsidRPr="00034E0F">
        <w:t>0.00A(1) (after table item</w:t>
      </w:r>
      <w:r w:rsidR="0064086E" w:rsidRPr="00034E0F">
        <w:t> </w:t>
      </w:r>
      <w:r w:rsidR="005F0F39" w:rsidRPr="00034E0F">
        <w:t>55)</w:t>
      </w:r>
    </w:p>
    <w:p w:rsidR="005F0F39" w:rsidRPr="00034E0F" w:rsidRDefault="005F0F39" w:rsidP="005F0F39">
      <w:pPr>
        <w:pStyle w:val="Item"/>
      </w:pPr>
      <w:r w:rsidRPr="00034E0F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5F0F39" w:rsidRPr="00034E0F" w:rsidTr="005F0F39">
        <w:tc>
          <w:tcPr>
            <w:tcW w:w="714" w:type="dxa"/>
            <w:tcBorders>
              <w:top w:val="nil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</w:p>
        </w:tc>
        <w:tc>
          <w:tcPr>
            <w:tcW w:w="2400" w:type="dxa"/>
            <w:tcBorders>
              <w:top w:val="nil"/>
            </w:tcBorders>
            <w:shd w:val="clear" w:color="auto" w:fill="auto"/>
          </w:tcPr>
          <w:p w:rsidR="005F0F39" w:rsidRPr="00034E0F" w:rsidRDefault="005F0F39" w:rsidP="004A1321">
            <w:pPr>
              <w:pStyle w:val="TableHeading"/>
            </w:pPr>
            <w:r w:rsidRPr="00034E0F">
              <w:t>Assessment Act</w:t>
            </w:r>
          </w:p>
        </w:tc>
        <w:tc>
          <w:tcPr>
            <w:tcW w:w="5198" w:type="dxa"/>
            <w:tcBorders>
              <w:top w:val="nil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</w:p>
        </w:tc>
      </w:tr>
      <w:tr w:rsidR="00403D05" w:rsidRPr="00034E0F" w:rsidTr="00894BD4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03D05" w:rsidRPr="00034E0F" w:rsidRDefault="00403D05" w:rsidP="00894BD4">
            <w:pPr>
              <w:pStyle w:val="Tabletext"/>
            </w:pPr>
            <w:r w:rsidRPr="00034E0F">
              <w:t>55A</w:t>
            </w:r>
          </w:p>
        </w:tc>
        <w:tc>
          <w:tcPr>
            <w:tcW w:w="240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03D05" w:rsidRPr="00034E0F" w:rsidRDefault="00403D05" w:rsidP="00894BD4">
            <w:pPr>
              <w:pStyle w:val="Tabletext"/>
            </w:pPr>
            <w:r w:rsidRPr="00034E0F">
              <w:t>Divisions 4 and 5 of Part 7</w:t>
            </w:r>
          </w:p>
        </w:tc>
        <w:tc>
          <w:tcPr>
            <w:tcW w:w="51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03D05" w:rsidRPr="00034E0F" w:rsidRDefault="00403D05" w:rsidP="00894BD4">
            <w:pPr>
              <w:pStyle w:val="Tabletext"/>
            </w:pPr>
            <w:r w:rsidRPr="00034E0F">
              <w:t>To make orders in relation to the provision of child support in certain circumstances</w:t>
            </w:r>
          </w:p>
        </w:tc>
      </w:tr>
      <w:tr w:rsidR="00403D05" w:rsidRPr="00034E0F" w:rsidTr="00894BD4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03D05" w:rsidRPr="00034E0F" w:rsidRDefault="00403D05" w:rsidP="00894BD4">
            <w:pPr>
              <w:pStyle w:val="Tabletext"/>
            </w:pPr>
            <w:r w:rsidRPr="00034E0F">
              <w:t>55B</w:t>
            </w:r>
          </w:p>
        </w:tc>
        <w:tc>
          <w:tcPr>
            <w:tcW w:w="240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03D05" w:rsidRPr="00034E0F" w:rsidRDefault="00403D05" w:rsidP="00894BD4">
            <w:pPr>
              <w:pStyle w:val="Tabletext"/>
            </w:pPr>
            <w:r w:rsidRPr="00034E0F">
              <w:t>Divisions 4 and 5 of Part 7 (but only if the order is:</w:t>
            </w:r>
          </w:p>
          <w:p w:rsidR="00403D05" w:rsidRPr="00034E0F" w:rsidRDefault="00403D05" w:rsidP="00894BD4">
            <w:pPr>
              <w:pStyle w:val="Tablea"/>
            </w:pPr>
            <w:r w:rsidRPr="00034E0F">
              <w:t>(a) made in an undefended case; or</w:t>
            </w:r>
          </w:p>
          <w:p w:rsidR="00403D05" w:rsidRPr="00034E0F" w:rsidRDefault="00403D05" w:rsidP="00894BD4">
            <w:pPr>
              <w:pStyle w:val="Tablea"/>
            </w:pPr>
            <w:r w:rsidRPr="00034E0F">
              <w:t>(b) made with the consent of all the parties to the case)</w:t>
            </w:r>
          </w:p>
        </w:tc>
        <w:tc>
          <w:tcPr>
            <w:tcW w:w="51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03D05" w:rsidRPr="00034E0F" w:rsidRDefault="00403D05" w:rsidP="00894BD4">
            <w:pPr>
              <w:pStyle w:val="Tabletext"/>
            </w:pPr>
            <w:r w:rsidRPr="00034E0F">
              <w:t>To make orders in relation to the provision of child support in certain circumstances</w:t>
            </w:r>
          </w:p>
        </w:tc>
      </w:tr>
      <w:tr w:rsidR="00B6505A" w:rsidRPr="00034E0F" w:rsidTr="00C17D4A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6505A" w:rsidRPr="00034E0F" w:rsidRDefault="00403D05" w:rsidP="00D42FE1">
            <w:pPr>
              <w:pStyle w:val="Tabletext"/>
            </w:pPr>
            <w:r w:rsidRPr="00034E0F">
              <w:t>55C</w:t>
            </w:r>
          </w:p>
        </w:tc>
        <w:tc>
          <w:tcPr>
            <w:tcW w:w="2400" w:type="dxa"/>
            <w:tcBorders>
              <w:bottom w:val="single" w:sz="2" w:space="0" w:color="auto"/>
            </w:tcBorders>
            <w:shd w:val="clear" w:color="auto" w:fill="auto"/>
          </w:tcPr>
          <w:p w:rsidR="00AD4CC7" w:rsidRPr="00034E0F" w:rsidRDefault="00B6505A" w:rsidP="00876DBA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139</w:t>
            </w:r>
          </w:p>
        </w:tc>
        <w:tc>
          <w:tcPr>
            <w:tcW w:w="5198" w:type="dxa"/>
            <w:tcBorders>
              <w:bottom w:val="single" w:sz="2" w:space="0" w:color="auto"/>
            </w:tcBorders>
            <w:shd w:val="clear" w:color="auto" w:fill="auto"/>
          </w:tcPr>
          <w:p w:rsidR="00B6505A" w:rsidRPr="00034E0F" w:rsidRDefault="00B6505A" w:rsidP="00D42FE1">
            <w:pPr>
              <w:pStyle w:val="Tabletext"/>
            </w:pPr>
            <w:r w:rsidRPr="00034E0F">
              <w:t>To order payment of maintenance if a child is in urgent need of financial assistance</w:t>
            </w:r>
          </w:p>
        </w:tc>
      </w:tr>
      <w:tr w:rsidR="005F0F39" w:rsidRPr="00034E0F" w:rsidTr="00C17D4A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5F0F39" w:rsidRPr="00034E0F" w:rsidRDefault="00403D05" w:rsidP="00D42FE1">
            <w:pPr>
              <w:pStyle w:val="Tabletext"/>
            </w:pPr>
            <w:r w:rsidRPr="00034E0F">
              <w:t>55D</w:t>
            </w:r>
          </w:p>
        </w:tc>
        <w:tc>
          <w:tcPr>
            <w:tcW w:w="2400" w:type="dxa"/>
            <w:tcBorders>
              <w:bottom w:val="single" w:sz="2" w:space="0" w:color="auto"/>
            </w:tcBorders>
            <w:shd w:val="clear" w:color="auto" w:fill="auto"/>
          </w:tcPr>
          <w:p w:rsidR="005F0F39" w:rsidRPr="00034E0F" w:rsidRDefault="005F0F39" w:rsidP="005F0F39">
            <w:pPr>
              <w:pStyle w:val="Tabletext"/>
            </w:pPr>
            <w:r w:rsidRPr="00034E0F">
              <w:t>section</w:t>
            </w:r>
            <w:r w:rsidR="0064086E" w:rsidRPr="00034E0F">
              <w:t> </w:t>
            </w:r>
            <w:r w:rsidRPr="00034E0F">
              <w:t>139 (but only if the order:</w:t>
            </w:r>
          </w:p>
          <w:p w:rsidR="005F0F39" w:rsidRPr="00034E0F" w:rsidRDefault="005F0F39" w:rsidP="005F0F39">
            <w:pPr>
              <w:pStyle w:val="Tablea"/>
            </w:pPr>
            <w:r w:rsidRPr="00034E0F">
              <w:t xml:space="preserve">(a) is made in an undefended case; </w:t>
            </w:r>
            <w:r w:rsidR="00A15E22" w:rsidRPr="00034E0F">
              <w:t>or</w:t>
            </w:r>
          </w:p>
          <w:p w:rsidR="00FA4409" w:rsidRPr="00034E0F" w:rsidRDefault="005F0F39" w:rsidP="00876DBA">
            <w:pPr>
              <w:pStyle w:val="Tablea"/>
            </w:pPr>
            <w:r w:rsidRPr="00034E0F">
              <w:t>(b) is made with the consent of all the parties to the case)</w:t>
            </w:r>
          </w:p>
        </w:tc>
        <w:tc>
          <w:tcPr>
            <w:tcW w:w="5198" w:type="dxa"/>
            <w:tcBorders>
              <w:bottom w:val="single" w:sz="2" w:space="0" w:color="auto"/>
            </w:tcBorders>
            <w:shd w:val="clear" w:color="auto" w:fill="auto"/>
          </w:tcPr>
          <w:p w:rsidR="005F0F39" w:rsidRPr="00034E0F" w:rsidRDefault="005F0F39" w:rsidP="00D42FE1">
            <w:pPr>
              <w:pStyle w:val="Tabletext"/>
            </w:pPr>
            <w:r w:rsidRPr="00034E0F">
              <w:t>To order payment of maintenance if a child is in urgent need of financial assistance</w:t>
            </w:r>
          </w:p>
        </w:tc>
      </w:tr>
    </w:tbl>
    <w:p w:rsidR="005F0F39" w:rsidRPr="00034E0F" w:rsidRDefault="00DD4C12" w:rsidP="005F0F39">
      <w:pPr>
        <w:pStyle w:val="ItemHead"/>
      </w:pPr>
      <w:r w:rsidRPr="00034E0F">
        <w:t>28</w:t>
      </w:r>
      <w:r w:rsidR="00C17D4A" w:rsidRPr="00034E0F">
        <w:t xml:space="preserve">  Sub</w:t>
      </w:r>
      <w:r w:rsidR="00305FD1" w:rsidRPr="00034E0F">
        <w:t>rule 2</w:t>
      </w:r>
      <w:r w:rsidR="00C17D4A" w:rsidRPr="00034E0F">
        <w:t>0.00A(1) (before table item</w:t>
      </w:r>
      <w:r w:rsidR="0064086E" w:rsidRPr="00034E0F">
        <w:t> </w:t>
      </w:r>
      <w:r w:rsidR="00C17D4A" w:rsidRPr="00034E0F">
        <w:t>56)</w:t>
      </w:r>
    </w:p>
    <w:p w:rsidR="00C17D4A" w:rsidRPr="00034E0F" w:rsidRDefault="00C17D4A" w:rsidP="00C17D4A">
      <w:pPr>
        <w:pStyle w:val="Item"/>
      </w:pPr>
      <w:r w:rsidRPr="00034E0F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400"/>
        <w:gridCol w:w="5198"/>
      </w:tblGrid>
      <w:tr w:rsidR="00C17D4A" w:rsidRPr="00034E0F" w:rsidTr="00C17D4A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C17D4A" w:rsidRPr="00034E0F" w:rsidRDefault="00C17D4A" w:rsidP="00D42FE1">
            <w:pPr>
              <w:pStyle w:val="Tabletext"/>
            </w:pPr>
            <w:r w:rsidRPr="00034E0F">
              <w:t>56AA</w:t>
            </w:r>
          </w:p>
        </w:tc>
        <w:tc>
          <w:tcPr>
            <w:tcW w:w="2400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C17D4A" w:rsidRPr="00034E0F" w:rsidRDefault="00305FD1" w:rsidP="00D42FE1">
            <w:pPr>
              <w:pStyle w:val="Tablea"/>
            </w:pPr>
            <w:r w:rsidRPr="00034E0F">
              <w:t>subsection 1</w:t>
            </w:r>
            <w:r w:rsidR="00C17D4A" w:rsidRPr="00034E0F">
              <w:t>05(2)</w:t>
            </w:r>
          </w:p>
        </w:tc>
        <w:tc>
          <w:tcPr>
            <w:tcW w:w="519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C17D4A" w:rsidRPr="00034E0F" w:rsidRDefault="004B4E48" w:rsidP="004E4207">
            <w:pPr>
              <w:pStyle w:val="Tabletext"/>
            </w:pPr>
            <w:r w:rsidRPr="00034E0F">
              <w:t xml:space="preserve">To </w:t>
            </w:r>
            <w:r w:rsidR="004E4207" w:rsidRPr="00034E0F">
              <w:t>give directions and make</w:t>
            </w:r>
            <w:r w:rsidRPr="00034E0F">
              <w:t xml:space="preserve"> orders to resolve a difficulty arising in the application of </w:t>
            </w:r>
            <w:r w:rsidR="00305FD1" w:rsidRPr="00034E0F">
              <w:t>subsection 1</w:t>
            </w:r>
            <w:r w:rsidRPr="00034E0F">
              <w:t>05(1) of the Registration Act in or in relation to a particular proceeding</w:t>
            </w:r>
          </w:p>
        </w:tc>
      </w:tr>
      <w:tr w:rsidR="00C17D4A" w:rsidRPr="00034E0F" w:rsidTr="00D42FE1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17D4A" w:rsidRPr="00034E0F" w:rsidRDefault="00C17D4A" w:rsidP="00C17D4A">
            <w:pPr>
              <w:pStyle w:val="Tabletext"/>
            </w:pPr>
            <w:r w:rsidRPr="00034E0F">
              <w:t>56AB</w:t>
            </w:r>
          </w:p>
        </w:tc>
        <w:tc>
          <w:tcPr>
            <w:tcW w:w="240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17D4A" w:rsidRPr="00034E0F" w:rsidRDefault="00C17D4A" w:rsidP="00D42FE1">
            <w:pPr>
              <w:pStyle w:val="Tablea"/>
              <w:rPr>
                <w:highlight w:val="green"/>
              </w:rPr>
            </w:pPr>
            <w:r w:rsidRPr="00034E0F">
              <w:t>section</w:t>
            </w:r>
            <w:r w:rsidR="0064086E" w:rsidRPr="00034E0F">
              <w:t> </w:t>
            </w:r>
            <w:r w:rsidRPr="00034E0F">
              <w:t>111B</w:t>
            </w:r>
            <w:bookmarkStart w:id="32" w:name="BK_S3P16L22C13"/>
            <w:bookmarkEnd w:id="32"/>
          </w:p>
        </w:tc>
        <w:tc>
          <w:tcPr>
            <w:tcW w:w="51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17D4A" w:rsidRPr="00034E0F" w:rsidRDefault="004B4E48" w:rsidP="00D42FE1">
            <w:pPr>
              <w:pStyle w:val="Tabletext"/>
              <w:rPr>
                <w:highlight w:val="magenta"/>
              </w:rPr>
            </w:pPr>
            <w:r w:rsidRPr="00034E0F">
              <w:t xml:space="preserve">To do a thing referred to in </w:t>
            </w:r>
            <w:r w:rsidR="00305FD1" w:rsidRPr="00034E0F">
              <w:t>subsection 1</w:t>
            </w:r>
            <w:r w:rsidRPr="00034E0F">
              <w:t>11B(1) of the Registration Act</w:t>
            </w:r>
          </w:p>
        </w:tc>
      </w:tr>
    </w:tbl>
    <w:p w:rsidR="00C17D4A" w:rsidRPr="00034E0F" w:rsidRDefault="00DD4C12" w:rsidP="001D3CEA">
      <w:pPr>
        <w:pStyle w:val="ItemHead"/>
      </w:pPr>
      <w:r w:rsidRPr="00034E0F">
        <w:t>29</w:t>
      </w:r>
      <w:r w:rsidR="001D3CEA" w:rsidRPr="00034E0F">
        <w:t xml:space="preserve">  After sub</w:t>
      </w:r>
      <w:r w:rsidR="00305FD1" w:rsidRPr="00034E0F">
        <w:t>rule 2</w:t>
      </w:r>
      <w:r w:rsidR="001D3CEA" w:rsidRPr="00034E0F">
        <w:t>0.00A(1)</w:t>
      </w:r>
    </w:p>
    <w:p w:rsidR="001D3CEA" w:rsidRPr="00034E0F" w:rsidRDefault="001D3CEA" w:rsidP="001D3CEA">
      <w:pPr>
        <w:pStyle w:val="Item"/>
      </w:pPr>
      <w:r w:rsidRPr="00034E0F">
        <w:t>Insert:</w:t>
      </w:r>
    </w:p>
    <w:p w:rsidR="001D3CEA" w:rsidRPr="00034E0F" w:rsidRDefault="001D3CEA" w:rsidP="001D3CEA">
      <w:pPr>
        <w:pStyle w:val="subsection"/>
      </w:pPr>
      <w:r w:rsidRPr="00034E0F">
        <w:tab/>
        <w:t>(1A)</w:t>
      </w:r>
      <w:r w:rsidRPr="00034E0F">
        <w:tab/>
        <w:t>The powers of the Court mentioned in the following items of the table may only be exercised by a</w:t>
      </w:r>
      <w:r w:rsidR="00F070D6" w:rsidRPr="00034E0F">
        <w:t>n approved</w:t>
      </w:r>
      <w:r w:rsidRPr="00034E0F">
        <w:t xml:space="preserve"> Registrar who is also a Registrar</w:t>
      </w:r>
      <w:r w:rsidR="00112493" w:rsidRPr="00034E0F">
        <w:t xml:space="preserve"> (other than a Deputy Registrar)</w:t>
      </w:r>
      <w:r w:rsidRPr="00034E0F">
        <w:t xml:space="preserve"> of the Family Court:</w:t>
      </w:r>
    </w:p>
    <w:p w:rsidR="003F7A6A" w:rsidRPr="00034E0F" w:rsidRDefault="001D3CEA" w:rsidP="001D3CEA">
      <w:pPr>
        <w:pStyle w:val="paragraph"/>
      </w:pPr>
      <w:r w:rsidRPr="00034E0F">
        <w:tab/>
        <w:t>(a)</w:t>
      </w:r>
      <w:r w:rsidRPr="00034E0F">
        <w:tab/>
      </w:r>
      <w:r w:rsidR="00E17606" w:rsidRPr="00034E0F">
        <w:t>item</w:t>
      </w:r>
      <w:r w:rsidR="0064086E" w:rsidRPr="00034E0F">
        <w:t> </w:t>
      </w:r>
      <w:r w:rsidR="00E17606" w:rsidRPr="00034E0F">
        <w:t>1K;</w:t>
      </w:r>
    </w:p>
    <w:p w:rsidR="003F7A6A" w:rsidRPr="00034E0F" w:rsidRDefault="003F7A6A" w:rsidP="001D3CEA">
      <w:pPr>
        <w:pStyle w:val="paragraph"/>
      </w:pPr>
      <w:r w:rsidRPr="00034E0F">
        <w:tab/>
      </w:r>
      <w:r w:rsidR="00176D7F" w:rsidRPr="00034E0F">
        <w:t>(b</w:t>
      </w:r>
      <w:r w:rsidRPr="00034E0F">
        <w:t>)</w:t>
      </w:r>
      <w:r w:rsidRPr="00034E0F">
        <w:tab/>
        <w:t>item</w:t>
      </w:r>
      <w:r w:rsidR="0064086E" w:rsidRPr="00034E0F">
        <w:t> </w:t>
      </w:r>
      <w:r w:rsidRPr="00034E0F">
        <w:t>6A;</w:t>
      </w:r>
    </w:p>
    <w:p w:rsidR="003F7A6A" w:rsidRPr="00034E0F" w:rsidRDefault="003F7A6A" w:rsidP="001D3CEA">
      <w:pPr>
        <w:pStyle w:val="paragraph"/>
      </w:pPr>
      <w:r w:rsidRPr="00034E0F">
        <w:tab/>
      </w:r>
      <w:r w:rsidR="00176D7F" w:rsidRPr="00034E0F">
        <w:t>(c</w:t>
      </w:r>
      <w:r w:rsidR="00992EC3" w:rsidRPr="00034E0F">
        <w:t>)</w:t>
      </w:r>
      <w:r w:rsidR="00992EC3" w:rsidRPr="00034E0F">
        <w:tab/>
      </w:r>
      <w:r w:rsidR="00305FD1" w:rsidRPr="00034E0F">
        <w:t>items 1</w:t>
      </w:r>
      <w:r w:rsidR="00992EC3" w:rsidRPr="00034E0F">
        <w:t>5A, 15B and 15E to 15N</w:t>
      </w:r>
      <w:r w:rsidRPr="00034E0F">
        <w:t>;</w:t>
      </w:r>
    </w:p>
    <w:p w:rsidR="003F7A6A" w:rsidRPr="00034E0F" w:rsidRDefault="003F7A6A" w:rsidP="001D3CEA">
      <w:pPr>
        <w:pStyle w:val="paragraph"/>
      </w:pPr>
      <w:r w:rsidRPr="00034E0F">
        <w:tab/>
      </w:r>
      <w:r w:rsidR="00176D7F" w:rsidRPr="00034E0F">
        <w:t>(d</w:t>
      </w:r>
      <w:r w:rsidRPr="00034E0F">
        <w:t>)</w:t>
      </w:r>
      <w:r w:rsidRPr="00034E0F">
        <w:tab/>
      </w:r>
      <w:r w:rsidR="00305FD1" w:rsidRPr="00034E0F">
        <w:t>items 1</w:t>
      </w:r>
      <w:r w:rsidRPr="00034E0F">
        <w:t>7AA, 17B and 17C</w:t>
      </w:r>
      <w:r w:rsidR="00176D7F" w:rsidRPr="00034E0F">
        <w:t>;</w:t>
      </w:r>
    </w:p>
    <w:p w:rsidR="00176D7F" w:rsidRPr="00034E0F" w:rsidRDefault="00176D7F" w:rsidP="001D3CEA">
      <w:pPr>
        <w:pStyle w:val="paragraph"/>
      </w:pPr>
      <w:r w:rsidRPr="00034E0F">
        <w:tab/>
        <w:t>(e)</w:t>
      </w:r>
      <w:r w:rsidRPr="00034E0F">
        <w:tab/>
      </w:r>
      <w:r w:rsidR="00305FD1" w:rsidRPr="00034E0F">
        <w:t>items 1</w:t>
      </w:r>
      <w:r w:rsidRPr="00034E0F">
        <w:t>8B to 18F;</w:t>
      </w:r>
    </w:p>
    <w:p w:rsidR="00176D7F" w:rsidRPr="00034E0F" w:rsidRDefault="00176D7F" w:rsidP="001D3CEA">
      <w:pPr>
        <w:pStyle w:val="paragraph"/>
      </w:pPr>
      <w:r w:rsidRPr="00034E0F">
        <w:tab/>
        <w:t>(f)</w:t>
      </w:r>
      <w:r w:rsidRPr="00034E0F">
        <w:tab/>
      </w:r>
      <w:r w:rsidR="00305FD1" w:rsidRPr="00034E0F">
        <w:t>items 1</w:t>
      </w:r>
      <w:r w:rsidR="00BF7645" w:rsidRPr="00034E0F">
        <w:t>9A to 19C</w:t>
      </w:r>
      <w:r w:rsidRPr="00034E0F">
        <w:t xml:space="preserve">, </w:t>
      </w:r>
      <w:r w:rsidR="00BF7645" w:rsidRPr="00034E0F">
        <w:t>19E,</w:t>
      </w:r>
      <w:r w:rsidR="00DC3359" w:rsidRPr="00034E0F">
        <w:t xml:space="preserve"> </w:t>
      </w:r>
      <w:r w:rsidRPr="00034E0F">
        <w:t>19G, 19J, 19</w:t>
      </w:r>
      <w:r w:rsidR="00BF7645" w:rsidRPr="00034E0F">
        <w:t>L</w:t>
      </w:r>
      <w:r w:rsidRPr="00034E0F">
        <w:t xml:space="preserve">, 19M, </w:t>
      </w:r>
      <w:r w:rsidR="00BF7645" w:rsidRPr="00034E0F">
        <w:t xml:space="preserve">19P, </w:t>
      </w:r>
      <w:r w:rsidRPr="00034E0F">
        <w:t>19R</w:t>
      </w:r>
      <w:r w:rsidR="002E1941" w:rsidRPr="00034E0F">
        <w:t>,</w:t>
      </w:r>
      <w:r w:rsidR="00BF7645" w:rsidRPr="00034E0F">
        <w:t xml:space="preserve"> 19T and 19V</w:t>
      </w:r>
      <w:r w:rsidRPr="00034E0F">
        <w:t>;</w:t>
      </w:r>
    </w:p>
    <w:p w:rsidR="00176D7F" w:rsidRPr="00034E0F" w:rsidRDefault="00176D7F" w:rsidP="001D3CEA">
      <w:pPr>
        <w:pStyle w:val="paragraph"/>
      </w:pPr>
      <w:r w:rsidRPr="00034E0F">
        <w:tab/>
        <w:t>(g)</w:t>
      </w:r>
      <w:r w:rsidRPr="00034E0F">
        <w:tab/>
        <w:t>item</w:t>
      </w:r>
      <w:r w:rsidR="0064086E" w:rsidRPr="00034E0F">
        <w:t> </w:t>
      </w:r>
      <w:r w:rsidRPr="00034E0F">
        <w:t>25A;</w:t>
      </w:r>
    </w:p>
    <w:p w:rsidR="00176D7F" w:rsidRPr="00034E0F" w:rsidRDefault="00176D7F" w:rsidP="001D3CEA">
      <w:pPr>
        <w:pStyle w:val="paragraph"/>
      </w:pPr>
      <w:r w:rsidRPr="00034E0F">
        <w:tab/>
        <w:t>(h)</w:t>
      </w:r>
      <w:r w:rsidRPr="00034E0F">
        <w:tab/>
        <w:t>item</w:t>
      </w:r>
      <w:r w:rsidR="0064086E" w:rsidRPr="00034E0F">
        <w:t> </w:t>
      </w:r>
      <w:r w:rsidRPr="00034E0F">
        <w:t>26A;</w:t>
      </w:r>
    </w:p>
    <w:p w:rsidR="00176D7F" w:rsidRPr="00034E0F" w:rsidRDefault="00176D7F" w:rsidP="001D3CEA">
      <w:pPr>
        <w:pStyle w:val="paragraph"/>
      </w:pPr>
      <w:r w:rsidRPr="00034E0F">
        <w:tab/>
        <w:t>(i)</w:t>
      </w:r>
      <w:r w:rsidRPr="00034E0F">
        <w:tab/>
        <w:t>items</w:t>
      </w:r>
      <w:r w:rsidR="0064086E" w:rsidRPr="00034E0F">
        <w:t> </w:t>
      </w:r>
      <w:r w:rsidRPr="00034E0F">
        <w:t>27A and 27B;</w:t>
      </w:r>
    </w:p>
    <w:p w:rsidR="001D3CEA" w:rsidRPr="00034E0F" w:rsidRDefault="00176D7F" w:rsidP="001D3CEA">
      <w:pPr>
        <w:pStyle w:val="paragraph"/>
      </w:pPr>
      <w:r w:rsidRPr="00034E0F">
        <w:tab/>
        <w:t>(j)</w:t>
      </w:r>
      <w:r w:rsidRPr="00034E0F">
        <w:tab/>
      </w:r>
      <w:r w:rsidR="00E33CCA" w:rsidRPr="00034E0F">
        <w:t>item</w:t>
      </w:r>
      <w:r w:rsidR="0064086E" w:rsidRPr="00034E0F">
        <w:t> </w:t>
      </w:r>
      <w:r w:rsidR="00E33CCA" w:rsidRPr="00034E0F">
        <w:t>28</w:t>
      </w:r>
      <w:r w:rsidRPr="00034E0F">
        <w:t>;</w:t>
      </w:r>
    </w:p>
    <w:p w:rsidR="00835358" w:rsidRPr="00034E0F" w:rsidRDefault="00C81EB9" w:rsidP="005E7162">
      <w:pPr>
        <w:pStyle w:val="paragraph"/>
      </w:pPr>
      <w:r w:rsidRPr="00034E0F">
        <w:tab/>
        <w:t>(k</w:t>
      </w:r>
      <w:r w:rsidR="00176D7F" w:rsidRPr="00034E0F">
        <w:t>)</w:t>
      </w:r>
      <w:r w:rsidR="00176D7F" w:rsidRPr="00034E0F">
        <w:tab/>
        <w:t>items</w:t>
      </w:r>
      <w:r w:rsidR="0064086E" w:rsidRPr="00034E0F">
        <w:t> </w:t>
      </w:r>
      <w:r w:rsidR="00176D7F" w:rsidRPr="00034E0F">
        <w:t>55</w:t>
      </w:r>
      <w:r w:rsidR="00FA4409" w:rsidRPr="00034E0F">
        <w:t>A and 55C</w:t>
      </w:r>
      <w:r w:rsidR="005E7162" w:rsidRPr="00034E0F">
        <w:t>.</w:t>
      </w:r>
    </w:p>
    <w:p w:rsidR="006B4073" w:rsidRPr="00034E0F" w:rsidRDefault="00DD4C12" w:rsidP="006B4073">
      <w:pPr>
        <w:pStyle w:val="ItemHead"/>
      </w:pPr>
      <w:r w:rsidRPr="00034E0F">
        <w:t>30</w:t>
      </w:r>
      <w:r w:rsidR="006B4073" w:rsidRPr="00034E0F">
        <w:t xml:space="preserve">  After sub</w:t>
      </w:r>
      <w:r w:rsidR="00305FD1" w:rsidRPr="00034E0F">
        <w:t>rule 2</w:t>
      </w:r>
      <w:r w:rsidR="006B4073" w:rsidRPr="00034E0F">
        <w:t>0.00A(2)</w:t>
      </w:r>
    </w:p>
    <w:p w:rsidR="006B4073" w:rsidRPr="00034E0F" w:rsidRDefault="006B4073" w:rsidP="006B4073">
      <w:pPr>
        <w:pStyle w:val="Item"/>
      </w:pPr>
      <w:r w:rsidRPr="00034E0F">
        <w:t>Insert:</w:t>
      </w:r>
    </w:p>
    <w:p w:rsidR="000F1281" w:rsidRPr="00034E0F" w:rsidRDefault="006B4073" w:rsidP="001F0330">
      <w:pPr>
        <w:pStyle w:val="subsection"/>
      </w:pPr>
      <w:r w:rsidRPr="00034E0F">
        <w:tab/>
        <w:t>(2A)</w:t>
      </w:r>
      <w:r w:rsidRPr="00034E0F">
        <w:tab/>
        <w:t xml:space="preserve">The powers of the Court mentioned in </w:t>
      </w:r>
      <w:r w:rsidR="00305FD1" w:rsidRPr="00034E0F">
        <w:t>item 3</w:t>
      </w:r>
      <w:r w:rsidRPr="00034E0F">
        <w:t>1A of the table may on</w:t>
      </w:r>
      <w:r w:rsidR="00EE607A" w:rsidRPr="00034E0F">
        <w:t>ly be exercised by</w:t>
      </w:r>
      <w:r w:rsidR="000F1281" w:rsidRPr="00034E0F">
        <w:t>:</w:t>
      </w:r>
    </w:p>
    <w:p w:rsidR="00B46304" w:rsidRPr="00034E0F" w:rsidRDefault="00B46304" w:rsidP="00B46304">
      <w:pPr>
        <w:pStyle w:val="paragraph"/>
      </w:pPr>
      <w:r w:rsidRPr="00034E0F">
        <w:tab/>
        <w:t>(a)</w:t>
      </w:r>
      <w:r w:rsidRPr="00034E0F">
        <w:tab/>
        <w:t>an approved Registrar who is also a Registrar (other than a Deputy Registrar) of the Family Court; or</w:t>
      </w:r>
    </w:p>
    <w:p w:rsidR="00286C89" w:rsidRPr="00034E0F" w:rsidRDefault="00B46304" w:rsidP="00B46304">
      <w:pPr>
        <w:pStyle w:val="paragraph"/>
      </w:pPr>
      <w:r w:rsidRPr="00034E0F">
        <w:tab/>
        <w:t>(b)</w:t>
      </w:r>
      <w:r w:rsidRPr="00034E0F">
        <w:tab/>
        <w:t>an approved Registrar when dealing with a case in relation to which a Registrar who is also a Deputy Registrar of the Family Court has, or has been delegated, the power to exercise the Court’s jurisdiction.</w:t>
      </w:r>
    </w:p>
    <w:p w:rsidR="00B228A8" w:rsidRPr="00034E0F" w:rsidRDefault="00DD4C12" w:rsidP="00067FD9">
      <w:pPr>
        <w:pStyle w:val="ItemHead"/>
      </w:pPr>
      <w:r w:rsidRPr="00034E0F">
        <w:t>31</w:t>
      </w:r>
      <w:r w:rsidR="00B228A8" w:rsidRPr="00034E0F">
        <w:t xml:space="preserve">  </w:t>
      </w:r>
      <w:r w:rsidR="00305FD1" w:rsidRPr="00034E0F">
        <w:t>Paragraph 2</w:t>
      </w:r>
      <w:r w:rsidR="00B228A8" w:rsidRPr="00034E0F">
        <w:t>0.01(1)(a)</w:t>
      </w:r>
    </w:p>
    <w:p w:rsidR="00406E15" w:rsidRPr="00034E0F" w:rsidRDefault="00B228A8" w:rsidP="001F0330">
      <w:pPr>
        <w:pStyle w:val="Item"/>
      </w:pPr>
      <w:r w:rsidRPr="00034E0F">
        <w:t>Omit “</w:t>
      </w:r>
      <w:r w:rsidR="00C34DF2" w:rsidRPr="00034E0F">
        <w:t>3 to 30”, substitute “3AA to 30C”.</w:t>
      </w:r>
    </w:p>
    <w:p w:rsidR="00C34DF2" w:rsidRPr="00034E0F" w:rsidRDefault="00DD4C12" w:rsidP="00C34DF2">
      <w:pPr>
        <w:pStyle w:val="ItemHead"/>
      </w:pPr>
      <w:r w:rsidRPr="00034E0F">
        <w:t>32</w:t>
      </w:r>
      <w:r w:rsidR="00C34DF2" w:rsidRPr="00034E0F">
        <w:t xml:space="preserve">  </w:t>
      </w:r>
      <w:r w:rsidR="00305FD1" w:rsidRPr="00034E0F">
        <w:t>Paragraph 2</w:t>
      </w:r>
      <w:r w:rsidR="00C34DF2" w:rsidRPr="00034E0F">
        <w:t>0.01(1)(a)</w:t>
      </w:r>
    </w:p>
    <w:p w:rsidR="00C34DF2" w:rsidRPr="00034E0F" w:rsidRDefault="00C34DF2" w:rsidP="00C34DF2">
      <w:pPr>
        <w:pStyle w:val="Item"/>
      </w:pPr>
      <w:r w:rsidRPr="00034E0F">
        <w:t>Omit “28 days”, substitute “21 days”.</w:t>
      </w:r>
    </w:p>
    <w:p w:rsidR="00067FD9" w:rsidRPr="00034E0F" w:rsidRDefault="00DD4C12" w:rsidP="00067FD9">
      <w:pPr>
        <w:pStyle w:val="ItemHead"/>
      </w:pPr>
      <w:r w:rsidRPr="00034E0F">
        <w:t>33</w:t>
      </w:r>
      <w:r w:rsidR="00067FD9" w:rsidRPr="00034E0F">
        <w:t xml:space="preserve">  In the appropriate position in Chapter</w:t>
      </w:r>
      <w:r w:rsidR="0064086E" w:rsidRPr="00034E0F">
        <w:t> </w:t>
      </w:r>
      <w:r w:rsidR="00067FD9" w:rsidRPr="00034E0F">
        <w:t>9</w:t>
      </w:r>
    </w:p>
    <w:p w:rsidR="00067FD9" w:rsidRPr="00034E0F" w:rsidRDefault="00067FD9" w:rsidP="00067FD9">
      <w:pPr>
        <w:pStyle w:val="Item"/>
      </w:pPr>
      <w:r w:rsidRPr="00034E0F">
        <w:t>Insert:</w:t>
      </w:r>
    </w:p>
    <w:p w:rsidR="00067FD9" w:rsidRPr="00034E0F" w:rsidRDefault="00067FD9" w:rsidP="00067FD9">
      <w:pPr>
        <w:pStyle w:val="ActHead2"/>
      </w:pPr>
      <w:bookmarkStart w:id="33" w:name="f_Check_Lines_above"/>
      <w:bookmarkStart w:id="34" w:name="_Toc51062732"/>
      <w:bookmarkEnd w:id="33"/>
      <w:r w:rsidRPr="002B020E">
        <w:rPr>
          <w:rStyle w:val="CharPartNo"/>
        </w:rPr>
        <w:t>Part</w:t>
      </w:r>
      <w:r w:rsidR="0064086E" w:rsidRPr="002B020E">
        <w:rPr>
          <w:rStyle w:val="CharPartNo"/>
        </w:rPr>
        <w:t> </w:t>
      </w:r>
      <w:r w:rsidRPr="002B020E">
        <w:rPr>
          <w:rStyle w:val="CharPartNo"/>
        </w:rPr>
        <w:t>48</w:t>
      </w:r>
      <w:r w:rsidRPr="00034E0F">
        <w:t>—</w:t>
      </w:r>
      <w:r w:rsidRPr="002B020E">
        <w:rPr>
          <w:rStyle w:val="CharPartText"/>
        </w:rPr>
        <w:t xml:space="preserve">Transitional provisions relating to the Federal Circuit Court Amendment (Powers Delegated to Registrars) </w:t>
      </w:r>
      <w:r w:rsidR="00034E0F" w:rsidRPr="002B020E">
        <w:rPr>
          <w:rStyle w:val="CharPartText"/>
        </w:rPr>
        <w:t>Rules 2</w:t>
      </w:r>
      <w:r w:rsidRPr="002B020E">
        <w:rPr>
          <w:rStyle w:val="CharPartText"/>
        </w:rPr>
        <w:t>020</w:t>
      </w:r>
      <w:bookmarkEnd w:id="34"/>
    </w:p>
    <w:p w:rsidR="00AF626A" w:rsidRPr="002B020E" w:rsidRDefault="00AF626A" w:rsidP="00AF626A">
      <w:pPr>
        <w:pStyle w:val="Header"/>
      </w:pPr>
      <w:r w:rsidRPr="002B020E">
        <w:rPr>
          <w:rStyle w:val="CharDivNo"/>
        </w:rPr>
        <w:t xml:space="preserve"> </w:t>
      </w:r>
      <w:r w:rsidRPr="002B020E">
        <w:rPr>
          <w:rStyle w:val="CharDivText"/>
        </w:rPr>
        <w:t xml:space="preserve"> </w:t>
      </w:r>
    </w:p>
    <w:p w:rsidR="00067FD9" w:rsidRPr="00034E0F" w:rsidRDefault="00067FD9" w:rsidP="00067FD9">
      <w:pPr>
        <w:pStyle w:val="ActHead5"/>
      </w:pPr>
      <w:bookmarkStart w:id="35" w:name="_Toc51062733"/>
      <w:r w:rsidRPr="002B020E">
        <w:rPr>
          <w:rStyle w:val="CharSectno"/>
        </w:rPr>
        <w:t>48.01</w:t>
      </w:r>
      <w:r w:rsidRPr="00034E0F">
        <w:t xml:space="preserve">  Application—powers delegated to Registrars</w:t>
      </w:r>
      <w:bookmarkEnd w:id="35"/>
    </w:p>
    <w:p w:rsidR="003E1754" w:rsidRPr="00034E0F" w:rsidRDefault="00067FD9" w:rsidP="001F0330">
      <w:pPr>
        <w:pStyle w:val="subsection"/>
      </w:pPr>
      <w:r w:rsidRPr="00034E0F">
        <w:tab/>
      </w:r>
      <w:r w:rsidRPr="00034E0F">
        <w:tab/>
      </w:r>
      <w:r w:rsidR="00034E0F">
        <w:t>Rules 2</w:t>
      </w:r>
      <w:r w:rsidRPr="00034E0F">
        <w:t>0.00A</w:t>
      </w:r>
      <w:r w:rsidR="00ED5317" w:rsidRPr="00034E0F">
        <w:t xml:space="preserve"> and 20.01</w:t>
      </w:r>
      <w:r w:rsidRPr="00034E0F">
        <w:t>, as amended by Schedule</w:t>
      </w:r>
      <w:r w:rsidR="0064086E" w:rsidRPr="00034E0F">
        <w:t> </w:t>
      </w:r>
      <w:r w:rsidRPr="00034E0F">
        <w:t xml:space="preserve">1 to the </w:t>
      </w:r>
      <w:r w:rsidRPr="00034E0F">
        <w:rPr>
          <w:i/>
        </w:rPr>
        <w:t xml:space="preserve">Federal Circuit Court Amendment (Powers Delegated to Registrars) </w:t>
      </w:r>
      <w:r w:rsidR="00034E0F">
        <w:rPr>
          <w:i/>
        </w:rPr>
        <w:t>Rules 2</w:t>
      </w:r>
      <w:r w:rsidRPr="00034E0F">
        <w:rPr>
          <w:i/>
        </w:rPr>
        <w:t>020</w:t>
      </w:r>
      <w:r w:rsidR="00B70161" w:rsidRPr="00034E0F">
        <w:rPr>
          <w:i/>
        </w:rPr>
        <w:t xml:space="preserve"> </w:t>
      </w:r>
      <w:r w:rsidR="00B70161" w:rsidRPr="00034E0F">
        <w:t xml:space="preserve">(the </w:t>
      </w:r>
      <w:r w:rsidR="00B70161" w:rsidRPr="00034E0F">
        <w:rPr>
          <w:b/>
          <w:i/>
        </w:rPr>
        <w:t>amending Rules</w:t>
      </w:r>
      <w:r w:rsidR="00B70161" w:rsidRPr="00034E0F">
        <w:t>)</w:t>
      </w:r>
      <w:r w:rsidR="007A2C83" w:rsidRPr="00034E0F">
        <w:t>, appl</w:t>
      </w:r>
      <w:r w:rsidR="00ED5317" w:rsidRPr="00034E0F">
        <w:t>y</w:t>
      </w:r>
      <w:r w:rsidRPr="00034E0F">
        <w:t xml:space="preserve"> in relation to the exercise of a power on or after the commencement of </w:t>
      </w:r>
      <w:r w:rsidR="00B70161" w:rsidRPr="00034E0F">
        <w:t>the amending</w:t>
      </w:r>
      <w:r w:rsidRPr="00034E0F">
        <w:t xml:space="preserve"> Rules (whether or not the exercise of the power relates to a proceeding instituted before, on or after that commencement).</w:t>
      </w:r>
    </w:p>
    <w:sectPr w:rsidR="003E1754" w:rsidRPr="00034E0F" w:rsidSect="000A331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C5" w:rsidRDefault="00B620C5" w:rsidP="0048364F">
      <w:pPr>
        <w:spacing w:line="240" w:lineRule="auto"/>
      </w:pPr>
      <w:r>
        <w:separator/>
      </w:r>
    </w:p>
  </w:endnote>
  <w:endnote w:type="continuationSeparator" w:id="0">
    <w:p w:rsidR="00B620C5" w:rsidRDefault="00B620C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0A3319" w:rsidRDefault="00B620C5" w:rsidP="000A33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A3319">
      <w:rPr>
        <w:i/>
        <w:sz w:val="18"/>
      </w:rPr>
      <w:t>OPC64791 -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Default="00B620C5" w:rsidP="00D42FE1"/>
  <w:p w:rsidR="00B620C5" w:rsidRPr="000A3319" w:rsidRDefault="00B620C5" w:rsidP="000A3319">
    <w:pPr>
      <w:rPr>
        <w:rFonts w:cs="Times New Roman"/>
        <w:i/>
        <w:sz w:val="18"/>
      </w:rPr>
    </w:pPr>
    <w:r w:rsidRPr="000A3319">
      <w:rPr>
        <w:rFonts w:cs="Times New Roman"/>
        <w:i/>
        <w:sz w:val="18"/>
      </w:rPr>
      <w:t>OPC64791 -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0A3319" w:rsidRDefault="00B620C5" w:rsidP="000A33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A3319">
      <w:rPr>
        <w:i/>
        <w:sz w:val="18"/>
      </w:rPr>
      <w:t>OPC64791 -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E33C1C" w:rsidRDefault="00B620C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620C5" w:rsidTr="002B020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Circuit Court Amendment (Powers Delegated to Registrars)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jc w:val="right"/>
            <w:rPr>
              <w:sz w:val="18"/>
            </w:rPr>
          </w:pPr>
        </w:p>
      </w:tc>
    </w:tr>
  </w:tbl>
  <w:p w:rsidR="00B620C5" w:rsidRPr="000A3319" w:rsidRDefault="00B620C5" w:rsidP="000A3319">
    <w:pPr>
      <w:rPr>
        <w:rFonts w:cs="Times New Roman"/>
        <w:i/>
        <w:sz w:val="18"/>
      </w:rPr>
    </w:pPr>
    <w:r w:rsidRPr="000A3319">
      <w:rPr>
        <w:rFonts w:cs="Times New Roman"/>
        <w:i/>
        <w:sz w:val="18"/>
      </w:rPr>
      <w:t>OPC64791 -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E33C1C" w:rsidRDefault="00B620C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620C5" w:rsidTr="002B020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Circuit Court Amendment (Powers Delegated to Registrars)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749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20C5" w:rsidRPr="000A3319" w:rsidRDefault="00B620C5" w:rsidP="000A3319">
    <w:pPr>
      <w:rPr>
        <w:rFonts w:cs="Times New Roman"/>
        <w:i/>
        <w:sz w:val="18"/>
      </w:rPr>
    </w:pPr>
    <w:r w:rsidRPr="000A3319">
      <w:rPr>
        <w:rFonts w:cs="Times New Roman"/>
        <w:i/>
        <w:sz w:val="18"/>
      </w:rPr>
      <w:t>OPC64791 -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E33C1C" w:rsidRDefault="00B620C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620C5" w:rsidTr="002B020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7499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Circuit Court Amendment (Powers Delegated to Registrars)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jc w:val="right"/>
            <w:rPr>
              <w:sz w:val="18"/>
            </w:rPr>
          </w:pPr>
        </w:p>
      </w:tc>
    </w:tr>
  </w:tbl>
  <w:p w:rsidR="00B620C5" w:rsidRPr="000A3319" w:rsidRDefault="00B620C5" w:rsidP="000A3319">
    <w:pPr>
      <w:rPr>
        <w:rFonts w:cs="Times New Roman"/>
        <w:i/>
        <w:sz w:val="18"/>
      </w:rPr>
    </w:pPr>
    <w:r w:rsidRPr="000A3319">
      <w:rPr>
        <w:rFonts w:cs="Times New Roman"/>
        <w:i/>
        <w:sz w:val="18"/>
      </w:rPr>
      <w:t>OPC64791 -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E33C1C" w:rsidRDefault="00B620C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620C5" w:rsidTr="00D42FE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Circuit Court Amendment (Powers Delegated to Registrars)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749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20C5" w:rsidRPr="000A3319" w:rsidRDefault="00B620C5" w:rsidP="000A3319">
    <w:pPr>
      <w:rPr>
        <w:rFonts w:cs="Times New Roman"/>
        <w:i/>
        <w:sz w:val="18"/>
      </w:rPr>
    </w:pPr>
    <w:r w:rsidRPr="000A3319">
      <w:rPr>
        <w:rFonts w:cs="Times New Roman"/>
        <w:i/>
        <w:sz w:val="18"/>
      </w:rPr>
      <w:t>OPC64791 -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E33C1C" w:rsidRDefault="00B620C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620C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Circuit Court Amendment (Powers Delegated to Registrars)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620C5" w:rsidRDefault="00B620C5" w:rsidP="00D42FE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20C5" w:rsidRPr="000A3319" w:rsidRDefault="00B620C5" w:rsidP="000A3319">
    <w:pPr>
      <w:rPr>
        <w:rFonts w:cs="Times New Roman"/>
        <w:i/>
        <w:sz w:val="18"/>
      </w:rPr>
    </w:pPr>
    <w:r w:rsidRPr="000A3319">
      <w:rPr>
        <w:rFonts w:cs="Times New Roman"/>
        <w:i/>
        <w:sz w:val="18"/>
      </w:rPr>
      <w:t>OPC64791 -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C5" w:rsidRDefault="00B620C5" w:rsidP="0048364F">
      <w:pPr>
        <w:spacing w:line="240" w:lineRule="auto"/>
      </w:pPr>
      <w:r>
        <w:separator/>
      </w:r>
    </w:p>
  </w:footnote>
  <w:footnote w:type="continuationSeparator" w:id="0">
    <w:p w:rsidR="00B620C5" w:rsidRDefault="00B620C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5F1388" w:rsidRDefault="00B620C5" w:rsidP="00D42FE1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5F1388" w:rsidRDefault="00B620C5" w:rsidP="00D42FE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5F1388" w:rsidRDefault="00B620C5" w:rsidP="00D42FE1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ED79B6" w:rsidRDefault="00B620C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ED79B6" w:rsidRDefault="00B620C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ED79B6" w:rsidRDefault="00B620C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A961C4" w:rsidRDefault="00B620C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0749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07499">
      <w:rPr>
        <w:noProof/>
        <w:sz w:val="20"/>
      </w:rPr>
      <w:t>Amendments</w:t>
    </w:r>
    <w:r>
      <w:rPr>
        <w:sz w:val="20"/>
      </w:rPr>
      <w:fldChar w:fldCharType="end"/>
    </w:r>
  </w:p>
  <w:p w:rsidR="00B620C5" w:rsidRPr="00A961C4" w:rsidRDefault="00B620C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20C5" w:rsidRPr="00A961C4" w:rsidRDefault="00B620C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A961C4" w:rsidRDefault="00B620C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620C5" w:rsidRPr="00A961C4" w:rsidRDefault="00B620C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620C5" w:rsidRPr="00A961C4" w:rsidRDefault="00B620C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C5" w:rsidRPr="00A961C4" w:rsidRDefault="00B620C5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14751F7"/>
    <w:multiLevelType w:val="hybridMultilevel"/>
    <w:tmpl w:val="54F47D68"/>
    <w:lvl w:ilvl="0" w:tplc="9572C85E">
      <w:start w:val="1"/>
      <w:numFmt w:val="lowerLetter"/>
      <w:lvlText w:val="(%1)"/>
      <w:lvlJc w:val="left"/>
      <w:pPr>
        <w:ind w:left="1815" w:hanging="375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8A"/>
    <w:rsid w:val="00000263"/>
    <w:rsid w:val="000113BC"/>
    <w:rsid w:val="00012331"/>
    <w:rsid w:val="000136AF"/>
    <w:rsid w:val="00014797"/>
    <w:rsid w:val="000250B8"/>
    <w:rsid w:val="00034E0F"/>
    <w:rsid w:val="0004044E"/>
    <w:rsid w:val="000442BB"/>
    <w:rsid w:val="00046F47"/>
    <w:rsid w:val="00047F32"/>
    <w:rsid w:val="0005120E"/>
    <w:rsid w:val="00054577"/>
    <w:rsid w:val="000574D6"/>
    <w:rsid w:val="00060557"/>
    <w:rsid w:val="000614BF"/>
    <w:rsid w:val="00067FD9"/>
    <w:rsid w:val="0007169C"/>
    <w:rsid w:val="00077593"/>
    <w:rsid w:val="00081521"/>
    <w:rsid w:val="00083F48"/>
    <w:rsid w:val="00084461"/>
    <w:rsid w:val="000A3319"/>
    <w:rsid w:val="000A77FC"/>
    <w:rsid w:val="000A7C16"/>
    <w:rsid w:val="000A7DF9"/>
    <w:rsid w:val="000B51CB"/>
    <w:rsid w:val="000D05EF"/>
    <w:rsid w:val="000D5485"/>
    <w:rsid w:val="000E0433"/>
    <w:rsid w:val="000E2CA7"/>
    <w:rsid w:val="000F1281"/>
    <w:rsid w:val="000F21C1"/>
    <w:rsid w:val="00105D72"/>
    <w:rsid w:val="0010745C"/>
    <w:rsid w:val="00112493"/>
    <w:rsid w:val="001139A7"/>
    <w:rsid w:val="00117277"/>
    <w:rsid w:val="00121798"/>
    <w:rsid w:val="00132893"/>
    <w:rsid w:val="0013496B"/>
    <w:rsid w:val="00155FD1"/>
    <w:rsid w:val="00160BD7"/>
    <w:rsid w:val="001643C9"/>
    <w:rsid w:val="00165568"/>
    <w:rsid w:val="00166082"/>
    <w:rsid w:val="00166C2F"/>
    <w:rsid w:val="001716C9"/>
    <w:rsid w:val="00174C13"/>
    <w:rsid w:val="00176D7F"/>
    <w:rsid w:val="001776E7"/>
    <w:rsid w:val="00184261"/>
    <w:rsid w:val="00185856"/>
    <w:rsid w:val="00190DF5"/>
    <w:rsid w:val="00193461"/>
    <w:rsid w:val="001939E1"/>
    <w:rsid w:val="00195382"/>
    <w:rsid w:val="001A3B9F"/>
    <w:rsid w:val="001A5066"/>
    <w:rsid w:val="001A65C0"/>
    <w:rsid w:val="001B6456"/>
    <w:rsid w:val="001B7A5D"/>
    <w:rsid w:val="001C69C4"/>
    <w:rsid w:val="001D3CEA"/>
    <w:rsid w:val="001E0A8D"/>
    <w:rsid w:val="001E3590"/>
    <w:rsid w:val="001E3928"/>
    <w:rsid w:val="001E7407"/>
    <w:rsid w:val="001F0330"/>
    <w:rsid w:val="001F255B"/>
    <w:rsid w:val="001F5A60"/>
    <w:rsid w:val="00201D27"/>
    <w:rsid w:val="0020300C"/>
    <w:rsid w:val="00207DA9"/>
    <w:rsid w:val="00220A0C"/>
    <w:rsid w:val="00221904"/>
    <w:rsid w:val="00223E4A"/>
    <w:rsid w:val="00225818"/>
    <w:rsid w:val="002302EA"/>
    <w:rsid w:val="00230CF0"/>
    <w:rsid w:val="00240749"/>
    <w:rsid w:val="00245653"/>
    <w:rsid w:val="002468D7"/>
    <w:rsid w:val="00250DB4"/>
    <w:rsid w:val="00252040"/>
    <w:rsid w:val="0025574C"/>
    <w:rsid w:val="00285CDD"/>
    <w:rsid w:val="00286C89"/>
    <w:rsid w:val="00290488"/>
    <w:rsid w:val="00291167"/>
    <w:rsid w:val="00297ECB"/>
    <w:rsid w:val="002A077E"/>
    <w:rsid w:val="002B020E"/>
    <w:rsid w:val="002B3CCC"/>
    <w:rsid w:val="002B6D19"/>
    <w:rsid w:val="002C152A"/>
    <w:rsid w:val="002C3572"/>
    <w:rsid w:val="002D043A"/>
    <w:rsid w:val="002E002F"/>
    <w:rsid w:val="002E1941"/>
    <w:rsid w:val="002E69A5"/>
    <w:rsid w:val="002E7D18"/>
    <w:rsid w:val="002F1414"/>
    <w:rsid w:val="002F32C3"/>
    <w:rsid w:val="00305FD1"/>
    <w:rsid w:val="0031713F"/>
    <w:rsid w:val="00321913"/>
    <w:rsid w:val="00323835"/>
    <w:rsid w:val="00324EE6"/>
    <w:rsid w:val="003272D7"/>
    <w:rsid w:val="003316DC"/>
    <w:rsid w:val="00332E0D"/>
    <w:rsid w:val="00334EE1"/>
    <w:rsid w:val="0033692B"/>
    <w:rsid w:val="003415D3"/>
    <w:rsid w:val="00346335"/>
    <w:rsid w:val="00352B0F"/>
    <w:rsid w:val="003561B0"/>
    <w:rsid w:val="00356A8D"/>
    <w:rsid w:val="003675DE"/>
    <w:rsid w:val="00367960"/>
    <w:rsid w:val="0038474A"/>
    <w:rsid w:val="003A15AC"/>
    <w:rsid w:val="003A56EB"/>
    <w:rsid w:val="003A61B1"/>
    <w:rsid w:val="003B0627"/>
    <w:rsid w:val="003C3266"/>
    <w:rsid w:val="003C4D6A"/>
    <w:rsid w:val="003C5F2B"/>
    <w:rsid w:val="003D0BFE"/>
    <w:rsid w:val="003D42BF"/>
    <w:rsid w:val="003D5700"/>
    <w:rsid w:val="003D7C1B"/>
    <w:rsid w:val="003E1754"/>
    <w:rsid w:val="003E1760"/>
    <w:rsid w:val="003E43D1"/>
    <w:rsid w:val="003F0F5A"/>
    <w:rsid w:val="003F46E0"/>
    <w:rsid w:val="003F7A6A"/>
    <w:rsid w:val="003F7D96"/>
    <w:rsid w:val="00400A30"/>
    <w:rsid w:val="00401B8C"/>
    <w:rsid w:val="004022CA"/>
    <w:rsid w:val="00402917"/>
    <w:rsid w:val="00403D05"/>
    <w:rsid w:val="00406AE7"/>
    <w:rsid w:val="00406E15"/>
    <w:rsid w:val="00407213"/>
    <w:rsid w:val="004116CD"/>
    <w:rsid w:val="00414ADE"/>
    <w:rsid w:val="00424CA9"/>
    <w:rsid w:val="00424F43"/>
    <w:rsid w:val="004257BB"/>
    <w:rsid w:val="004261D9"/>
    <w:rsid w:val="004353A2"/>
    <w:rsid w:val="00441584"/>
    <w:rsid w:val="0044291A"/>
    <w:rsid w:val="00453103"/>
    <w:rsid w:val="00453E19"/>
    <w:rsid w:val="0045559B"/>
    <w:rsid w:val="00460499"/>
    <w:rsid w:val="00474835"/>
    <w:rsid w:val="004800CB"/>
    <w:rsid w:val="004819C7"/>
    <w:rsid w:val="0048364F"/>
    <w:rsid w:val="004876EA"/>
    <w:rsid w:val="00490F2E"/>
    <w:rsid w:val="0049386E"/>
    <w:rsid w:val="00494407"/>
    <w:rsid w:val="00496DB3"/>
    <w:rsid w:val="00496F97"/>
    <w:rsid w:val="004A0095"/>
    <w:rsid w:val="004A1321"/>
    <w:rsid w:val="004A53EA"/>
    <w:rsid w:val="004B4E48"/>
    <w:rsid w:val="004E4207"/>
    <w:rsid w:val="004F1FAC"/>
    <w:rsid w:val="004F676E"/>
    <w:rsid w:val="0050055F"/>
    <w:rsid w:val="00503631"/>
    <w:rsid w:val="00507499"/>
    <w:rsid w:val="00516B8D"/>
    <w:rsid w:val="005254D6"/>
    <w:rsid w:val="0052686F"/>
    <w:rsid w:val="0052756C"/>
    <w:rsid w:val="00530230"/>
    <w:rsid w:val="00530CC9"/>
    <w:rsid w:val="00530FE0"/>
    <w:rsid w:val="00537FBC"/>
    <w:rsid w:val="00541D73"/>
    <w:rsid w:val="00543469"/>
    <w:rsid w:val="005452CC"/>
    <w:rsid w:val="00546FA3"/>
    <w:rsid w:val="00551641"/>
    <w:rsid w:val="00554243"/>
    <w:rsid w:val="00557C7A"/>
    <w:rsid w:val="00562A58"/>
    <w:rsid w:val="00563E40"/>
    <w:rsid w:val="00564FDD"/>
    <w:rsid w:val="00581211"/>
    <w:rsid w:val="00584811"/>
    <w:rsid w:val="00593AA6"/>
    <w:rsid w:val="00594161"/>
    <w:rsid w:val="00594749"/>
    <w:rsid w:val="005A40EA"/>
    <w:rsid w:val="005A482B"/>
    <w:rsid w:val="005A75A6"/>
    <w:rsid w:val="005B4067"/>
    <w:rsid w:val="005B58FD"/>
    <w:rsid w:val="005C36E0"/>
    <w:rsid w:val="005C3F41"/>
    <w:rsid w:val="005D168D"/>
    <w:rsid w:val="005D5EA1"/>
    <w:rsid w:val="005E5507"/>
    <w:rsid w:val="005E61D3"/>
    <w:rsid w:val="005E7162"/>
    <w:rsid w:val="005F0F39"/>
    <w:rsid w:val="005F7738"/>
    <w:rsid w:val="00600219"/>
    <w:rsid w:val="0060495A"/>
    <w:rsid w:val="00613EAD"/>
    <w:rsid w:val="006158AC"/>
    <w:rsid w:val="00622649"/>
    <w:rsid w:val="0062427A"/>
    <w:rsid w:val="00633F8A"/>
    <w:rsid w:val="00640402"/>
    <w:rsid w:val="0064086E"/>
    <w:rsid w:val="00640F78"/>
    <w:rsid w:val="0064552C"/>
    <w:rsid w:val="00646E7B"/>
    <w:rsid w:val="00655D6A"/>
    <w:rsid w:val="00656DE9"/>
    <w:rsid w:val="006721DA"/>
    <w:rsid w:val="00677CC2"/>
    <w:rsid w:val="0068229A"/>
    <w:rsid w:val="00685F42"/>
    <w:rsid w:val="006866A1"/>
    <w:rsid w:val="0069207B"/>
    <w:rsid w:val="006A4309"/>
    <w:rsid w:val="006B0E55"/>
    <w:rsid w:val="006B4073"/>
    <w:rsid w:val="006B7006"/>
    <w:rsid w:val="006C7F8C"/>
    <w:rsid w:val="006D57E4"/>
    <w:rsid w:val="006D7AB9"/>
    <w:rsid w:val="006E09BF"/>
    <w:rsid w:val="006E0E2A"/>
    <w:rsid w:val="006E2933"/>
    <w:rsid w:val="00700B2C"/>
    <w:rsid w:val="00704374"/>
    <w:rsid w:val="00712FA3"/>
    <w:rsid w:val="00713084"/>
    <w:rsid w:val="00715AAC"/>
    <w:rsid w:val="00720487"/>
    <w:rsid w:val="00720FC2"/>
    <w:rsid w:val="00731E00"/>
    <w:rsid w:val="00732E9D"/>
    <w:rsid w:val="0073491A"/>
    <w:rsid w:val="00736398"/>
    <w:rsid w:val="00741069"/>
    <w:rsid w:val="007440B7"/>
    <w:rsid w:val="00747993"/>
    <w:rsid w:val="007634AD"/>
    <w:rsid w:val="007715C9"/>
    <w:rsid w:val="00774EDD"/>
    <w:rsid w:val="007757EC"/>
    <w:rsid w:val="007A01D9"/>
    <w:rsid w:val="007A115D"/>
    <w:rsid w:val="007A2C83"/>
    <w:rsid w:val="007A35E6"/>
    <w:rsid w:val="007A6863"/>
    <w:rsid w:val="007B1F07"/>
    <w:rsid w:val="007B21AD"/>
    <w:rsid w:val="007B36C4"/>
    <w:rsid w:val="007D45C1"/>
    <w:rsid w:val="007D7453"/>
    <w:rsid w:val="007E1031"/>
    <w:rsid w:val="007E7D4A"/>
    <w:rsid w:val="007F48ED"/>
    <w:rsid w:val="007F7947"/>
    <w:rsid w:val="007F7F54"/>
    <w:rsid w:val="00805E50"/>
    <w:rsid w:val="00812F45"/>
    <w:rsid w:val="00835358"/>
    <w:rsid w:val="0084172C"/>
    <w:rsid w:val="00844524"/>
    <w:rsid w:val="00856A31"/>
    <w:rsid w:val="0086037A"/>
    <w:rsid w:val="008754D0"/>
    <w:rsid w:val="00876DBA"/>
    <w:rsid w:val="00877D48"/>
    <w:rsid w:val="008816F0"/>
    <w:rsid w:val="0088345B"/>
    <w:rsid w:val="00887906"/>
    <w:rsid w:val="00894BD4"/>
    <w:rsid w:val="008A0113"/>
    <w:rsid w:val="008A137E"/>
    <w:rsid w:val="008A16A5"/>
    <w:rsid w:val="008A3E5A"/>
    <w:rsid w:val="008B1C2D"/>
    <w:rsid w:val="008B59EF"/>
    <w:rsid w:val="008C2B5D"/>
    <w:rsid w:val="008D0EE0"/>
    <w:rsid w:val="008D5B99"/>
    <w:rsid w:val="008D68FD"/>
    <w:rsid w:val="008D7A27"/>
    <w:rsid w:val="008E17DB"/>
    <w:rsid w:val="008E3699"/>
    <w:rsid w:val="008E4702"/>
    <w:rsid w:val="008E69AA"/>
    <w:rsid w:val="008F4F1C"/>
    <w:rsid w:val="008F571E"/>
    <w:rsid w:val="00902744"/>
    <w:rsid w:val="00910449"/>
    <w:rsid w:val="0091797D"/>
    <w:rsid w:val="00922764"/>
    <w:rsid w:val="00932377"/>
    <w:rsid w:val="00936937"/>
    <w:rsid w:val="009408EA"/>
    <w:rsid w:val="0094271B"/>
    <w:rsid w:val="00943102"/>
    <w:rsid w:val="0094523D"/>
    <w:rsid w:val="009547F6"/>
    <w:rsid w:val="009559E6"/>
    <w:rsid w:val="00955B44"/>
    <w:rsid w:val="009644D5"/>
    <w:rsid w:val="00976A63"/>
    <w:rsid w:val="00983419"/>
    <w:rsid w:val="00987CA1"/>
    <w:rsid w:val="00992EC3"/>
    <w:rsid w:val="009A6306"/>
    <w:rsid w:val="009A7817"/>
    <w:rsid w:val="009B433C"/>
    <w:rsid w:val="009C3431"/>
    <w:rsid w:val="009C5989"/>
    <w:rsid w:val="009D08DA"/>
    <w:rsid w:val="009F0A80"/>
    <w:rsid w:val="009F7358"/>
    <w:rsid w:val="00A017D1"/>
    <w:rsid w:val="00A06860"/>
    <w:rsid w:val="00A136F5"/>
    <w:rsid w:val="00A15E22"/>
    <w:rsid w:val="00A205C6"/>
    <w:rsid w:val="00A231E2"/>
    <w:rsid w:val="00A2550D"/>
    <w:rsid w:val="00A27084"/>
    <w:rsid w:val="00A35231"/>
    <w:rsid w:val="00A4169B"/>
    <w:rsid w:val="00A445F2"/>
    <w:rsid w:val="00A50D55"/>
    <w:rsid w:val="00A5165B"/>
    <w:rsid w:val="00A52FDA"/>
    <w:rsid w:val="00A605A1"/>
    <w:rsid w:val="00A63F6D"/>
    <w:rsid w:val="00A64912"/>
    <w:rsid w:val="00A67A62"/>
    <w:rsid w:val="00A70A74"/>
    <w:rsid w:val="00A77619"/>
    <w:rsid w:val="00A81AB9"/>
    <w:rsid w:val="00A82016"/>
    <w:rsid w:val="00A824EB"/>
    <w:rsid w:val="00A95D2A"/>
    <w:rsid w:val="00AA0343"/>
    <w:rsid w:val="00AA2A5C"/>
    <w:rsid w:val="00AB78E9"/>
    <w:rsid w:val="00AC7125"/>
    <w:rsid w:val="00AD326E"/>
    <w:rsid w:val="00AD3467"/>
    <w:rsid w:val="00AD4CC7"/>
    <w:rsid w:val="00AD5641"/>
    <w:rsid w:val="00AD56CE"/>
    <w:rsid w:val="00AD7252"/>
    <w:rsid w:val="00AE0F9B"/>
    <w:rsid w:val="00AF2380"/>
    <w:rsid w:val="00AF24D0"/>
    <w:rsid w:val="00AF55FF"/>
    <w:rsid w:val="00AF626A"/>
    <w:rsid w:val="00B032D8"/>
    <w:rsid w:val="00B228A8"/>
    <w:rsid w:val="00B32651"/>
    <w:rsid w:val="00B334AF"/>
    <w:rsid w:val="00B33B3C"/>
    <w:rsid w:val="00B40D74"/>
    <w:rsid w:val="00B44CDE"/>
    <w:rsid w:val="00B46304"/>
    <w:rsid w:val="00B52663"/>
    <w:rsid w:val="00B56DCB"/>
    <w:rsid w:val="00B60286"/>
    <w:rsid w:val="00B620C5"/>
    <w:rsid w:val="00B64888"/>
    <w:rsid w:val="00B6505A"/>
    <w:rsid w:val="00B70161"/>
    <w:rsid w:val="00B770D2"/>
    <w:rsid w:val="00B77F9D"/>
    <w:rsid w:val="00B9397C"/>
    <w:rsid w:val="00BA47A3"/>
    <w:rsid w:val="00BA5026"/>
    <w:rsid w:val="00BA7F8C"/>
    <w:rsid w:val="00BB459B"/>
    <w:rsid w:val="00BB6E79"/>
    <w:rsid w:val="00BC3A19"/>
    <w:rsid w:val="00BC5B5C"/>
    <w:rsid w:val="00BE3B31"/>
    <w:rsid w:val="00BE719A"/>
    <w:rsid w:val="00BE720A"/>
    <w:rsid w:val="00BF6650"/>
    <w:rsid w:val="00BF7645"/>
    <w:rsid w:val="00C067E5"/>
    <w:rsid w:val="00C164CA"/>
    <w:rsid w:val="00C17D4A"/>
    <w:rsid w:val="00C325E9"/>
    <w:rsid w:val="00C34DF2"/>
    <w:rsid w:val="00C40846"/>
    <w:rsid w:val="00C42BF8"/>
    <w:rsid w:val="00C460AE"/>
    <w:rsid w:val="00C50043"/>
    <w:rsid w:val="00C50A0F"/>
    <w:rsid w:val="00C50AC0"/>
    <w:rsid w:val="00C7573B"/>
    <w:rsid w:val="00C76CF3"/>
    <w:rsid w:val="00C81EB9"/>
    <w:rsid w:val="00C81FC5"/>
    <w:rsid w:val="00CA2EC7"/>
    <w:rsid w:val="00CA7844"/>
    <w:rsid w:val="00CB2BA6"/>
    <w:rsid w:val="00CB58EF"/>
    <w:rsid w:val="00CC40CC"/>
    <w:rsid w:val="00CD4457"/>
    <w:rsid w:val="00CD6977"/>
    <w:rsid w:val="00CD7B46"/>
    <w:rsid w:val="00CE121C"/>
    <w:rsid w:val="00CE7D64"/>
    <w:rsid w:val="00CF0BB2"/>
    <w:rsid w:val="00D13441"/>
    <w:rsid w:val="00D20665"/>
    <w:rsid w:val="00D243A3"/>
    <w:rsid w:val="00D3200B"/>
    <w:rsid w:val="00D33440"/>
    <w:rsid w:val="00D42FE1"/>
    <w:rsid w:val="00D45BA8"/>
    <w:rsid w:val="00D52EFE"/>
    <w:rsid w:val="00D56A0D"/>
    <w:rsid w:val="00D63EF6"/>
    <w:rsid w:val="00D66518"/>
    <w:rsid w:val="00D70DFB"/>
    <w:rsid w:val="00D71EEA"/>
    <w:rsid w:val="00D735CD"/>
    <w:rsid w:val="00D747DF"/>
    <w:rsid w:val="00D766DF"/>
    <w:rsid w:val="00D80C82"/>
    <w:rsid w:val="00D95891"/>
    <w:rsid w:val="00D96696"/>
    <w:rsid w:val="00DB5CB4"/>
    <w:rsid w:val="00DC10E6"/>
    <w:rsid w:val="00DC3359"/>
    <w:rsid w:val="00DC3592"/>
    <w:rsid w:val="00DC3987"/>
    <w:rsid w:val="00DD47DB"/>
    <w:rsid w:val="00DD4C12"/>
    <w:rsid w:val="00DE149E"/>
    <w:rsid w:val="00DE2064"/>
    <w:rsid w:val="00DF1FD6"/>
    <w:rsid w:val="00E05704"/>
    <w:rsid w:val="00E12F1A"/>
    <w:rsid w:val="00E15561"/>
    <w:rsid w:val="00E17606"/>
    <w:rsid w:val="00E21CFB"/>
    <w:rsid w:val="00E22935"/>
    <w:rsid w:val="00E33CCA"/>
    <w:rsid w:val="00E53AE4"/>
    <w:rsid w:val="00E54292"/>
    <w:rsid w:val="00E60191"/>
    <w:rsid w:val="00E6699E"/>
    <w:rsid w:val="00E74DC7"/>
    <w:rsid w:val="00E87699"/>
    <w:rsid w:val="00E92027"/>
    <w:rsid w:val="00E92E27"/>
    <w:rsid w:val="00E94B07"/>
    <w:rsid w:val="00E9586B"/>
    <w:rsid w:val="00E96DE1"/>
    <w:rsid w:val="00E97334"/>
    <w:rsid w:val="00EA0D36"/>
    <w:rsid w:val="00EA436C"/>
    <w:rsid w:val="00EA668A"/>
    <w:rsid w:val="00EC0A45"/>
    <w:rsid w:val="00ED4928"/>
    <w:rsid w:val="00ED5317"/>
    <w:rsid w:val="00EE04C0"/>
    <w:rsid w:val="00EE3749"/>
    <w:rsid w:val="00EE607A"/>
    <w:rsid w:val="00EE6190"/>
    <w:rsid w:val="00EF2AFA"/>
    <w:rsid w:val="00EF2E3A"/>
    <w:rsid w:val="00EF6402"/>
    <w:rsid w:val="00F025DF"/>
    <w:rsid w:val="00F047E2"/>
    <w:rsid w:val="00F04D57"/>
    <w:rsid w:val="00F070D6"/>
    <w:rsid w:val="00F078DC"/>
    <w:rsid w:val="00F13E86"/>
    <w:rsid w:val="00F20367"/>
    <w:rsid w:val="00F32FCB"/>
    <w:rsid w:val="00F40667"/>
    <w:rsid w:val="00F6709F"/>
    <w:rsid w:val="00F677A9"/>
    <w:rsid w:val="00F723BD"/>
    <w:rsid w:val="00F732EA"/>
    <w:rsid w:val="00F7687B"/>
    <w:rsid w:val="00F8379D"/>
    <w:rsid w:val="00F84CF5"/>
    <w:rsid w:val="00F8612E"/>
    <w:rsid w:val="00FA420B"/>
    <w:rsid w:val="00FA4409"/>
    <w:rsid w:val="00FA692E"/>
    <w:rsid w:val="00FB1F7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4E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E0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E0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4E0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4E0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4E0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4E0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4E0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4E0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E0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34E0F"/>
  </w:style>
  <w:style w:type="paragraph" w:customStyle="1" w:styleId="OPCParaBase">
    <w:name w:val="OPCParaBase"/>
    <w:qFormat/>
    <w:rsid w:val="00034E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34E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34E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34E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34E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34E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34E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34E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34E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34E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34E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34E0F"/>
  </w:style>
  <w:style w:type="paragraph" w:customStyle="1" w:styleId="Blocks">
    <w:name w:val="Blocks"/>
    <w:aliases w:val="bb"/>
    <w:basedOn w:val="OPCParaBase"/>
    <w:qFormat/>
    <w:rsid w:val="00034E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34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34E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34E0F"/>
    <w:rPr>
      <w:i/>
    </w:rPr>
  </w:style>
  <w:style w:type="paragraph" w:customStyle="1" w:styleId="BoxList">
    <w:name w:val="BoxList"/>
    <w:aliases w:val="bl"/>
    <w:basedOn w:val="BoxText"/>
    <w:qFormat/>
    <w:rsid w:val="00034E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34E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34E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34E0F"/>
    <w:pPr>
      <w:ind w:left="1985" w:hanging="851"/>
    </w:pPr>
  </w:style>
  <w:style w:type="character" w:customStyle="1" w:styleId="CharAmPartNo">
    <w:name w:val="CharAmPartNo"/>
    <w:basedOn w:val="OPCCharBase"/>
    <w:qFormat/>
    <w:rsid w:val="00034E0F"/>
  </w:style>
  <w:style w:type="character" w:customStyle="1" w:styleId="CharAmPartText">
    <w:name w:val="CharAmPartText"/>
    <w:basedOn w:val="OPCCharBase"/>
    <w:qFormat/>
    <w:rsid w:val="00034E0F"/>
  </w:style>
  <w:style w:type="character" w:customStyle="1" w:styleId="CharAmSchNo">
    <w:name w:val="CharAmSchNo"/>
    <w:basedOn w:val="OPCCharBase"/>
    <w:qFormat/>
    <w:rsid w:val="00034E0F"/>
  </w:style>
  <w:style w:type="character" w:customStyle="1" w:styleId="CharAmSchText">
    <w:name w:val="CharAmSchText"/>
    <w:basedOn w:val="OPCCharBase"/>
    <w:qFormat/>
    <w:rsid w:val="00034E0F"/>
  </w:style>
  <w:style w:type="character" w:customStyle="1" w:styleId="CharBoldItalic">
    <w:name w:val="CharBoldItalic"/>
    <w:basedOn w:val="OPCCharBase"/>
    <w:uiPriority w:val="1"/>
    <w:qFormat/>
    <w:rsid w:val="00034E0F"/>
    <w:rPr>
      <w:b/>
      <w:i/>
    </w:rPr>
  </w:style>
  <w:style w:type="character" w:customStyle="1" w:styleId="CharChapNo">
    <w:name w:val="CharChapNo"/>
    <w:basedOn w:val="OPCCharBase"/>
    <w:uiPriority w:val="1"/>
    <w:qFormat/>
    <w:rsid w:val="00034E0F"/>
  </w:style>
  <w:style w:type="character" w:customStyle="1" w:styleId="CharChapText">
    <w:name w:val="CharChapText"/>
    <w:basedOn w:val="OPCCharBase"/>
    <w:uiPriority w:val="1"/>
    <w:qFormat/>
    <w:rsid w:val="00034E0F"/>
  </w:style>
  <w:style w:type="character" w:customStyle="1" w:styleId="CharDivNo">
    <w:name w:val="CharDivNo"/>
    <w:basedOn w:val="OPCCharBase"/>
    <w:uiPriority w:val="1"/>
    <w:qFormat/>
    <w:rsid w:val="00034E0F"/>
  </w:style>
  <w:style w:type="character" w:customStyle="1" w:styleId="CharDivText">
    <w:name w:val="CharDivText"/>
    <w:basedOn w:val="OPCCharBase"/>
    <w:uiPriority w:val="1"/>
    <w:qFormat/>
    <w:rsid w:val="00034E0F"/>
  </w:style>
  <w:style w:type="character" w:customStyle="1" w:styleId="CharItalic">
    <w:name w:val="CharItalic"/>
    <w:basedOn w:val="OPCCharBase"/>
    <w:uiPriority w:val="1"/>
    <w:qFormat/>
    <w:rsid w:val="00034E0F"/>
    <w:rPr>
      <w:i/>
    </w:rPr>
  </w:style>
  <w:style w:type="character" w:customStyle="1" w:styleId="CharPartNo">
    <w:name w:val="CharPartNo"/>
    <w:basedOn w:val="OPCCharBase"/>
    <w:uiPriority w:val="1"/>
    <w:qFormat/>
    <w:rsid w:val="00034E0F"/>
  </w:style>
  <w:style w:type="character" w:customStyle="1" w:styleId="CharPartText">
    <w:name w:val="CharPartText"/>
    <w:basedOn w:val="OPCCharBase"/>
    <w:uiPriority w:val="1"/>
    <w:qFormat/>
    <w:rsid w:val="00034E0F"/>
  </w:style>
  <w:style w:type="character" w:customStyle="1" w:styleId="CharSectno">
    <w:name w:val="CharSectno"/>
    <w:basedOn w:val="OPCCharBase"/>
    <w:qFormat/>
    <w:rsid w:val="00034E0F"/>
  </w:style>
  <w:style w:type="character" w:customStyle="1" w:styleId="CharSubdNo">
    <w:name w:val="CharSubdNo"/>
    <w:basedOn w:val="OPCCharBase"/>
    <w:uiPriority w:val="1"/>
    <w:qFormat/>
    <w:rsid w:val="00034E0F"/>
  </w:style>
  <w:style w:type="character" w:customStyle="1" w:styleId="CharSubdText">
    <w:name w:val="CharSubdText"/>
    <w:basedOn w:val="OPCCharBase"/>
    <w:uiPriority w:val="1"/>
    <w:qFormat/>
    <w:rsid w:val="00034E0F"/>
  </w:style>
  <w:style w:type="paragraph" w:customStyle="1" w:styleId="CTA--">
    <w:name w:val="CTA --"/>
    <w:basedOn w:val="OPCParaBase"/>
    <w:next w:val="Normal"/>
    <w:rsid w:val="00034E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34E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34E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34E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34E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34E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34E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34E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34E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34E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34E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34E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34E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34E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34E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34E0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34E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34E0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34E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34E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34E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34E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34E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34E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34E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34E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34E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34E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34E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34E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34E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34E0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34E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34E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34E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34E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34E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34E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34E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34E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34E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34E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34E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34E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34E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34E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34E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34E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34E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34E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34E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34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34E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34E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34E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34E0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34E0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34E0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34E0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34E0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34E0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34E0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34E0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34E0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34E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34E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34E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34E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34E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34E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34E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34E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34E0F"/>
    <w:rPr>
      <w:sz w:val="16"/>
    </w:rPr>
  </w:style>
  <w:style w:type="table" w:customStyle="1" w:styleId="CFlag">
    <w:name w:val="CFlag"/>
    <w:basedOn w:val="TableNormal"/>
    <w:uiPriority w:val="99"/>
    <w:rsid w:val="00034E0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34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4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4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34E0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34E0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34E0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34E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34E0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34E0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34E0F"/>
    <w:pPr>
      <w:spacing w:before="120"/>
    </w:pPr>
  </w:style>
  <w:style w:type="paragraph" w:customStyle="1" w:styleId="CompiledActNo">
    <w:name w:val="CompiledActNo"/>
    <w:basedOn w:val="OPCParaBase"/>
    <w:next w:val="Normal"/>
    <w:rsid w:val="00034E0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34E0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34E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34E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34E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34E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34E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34E0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34E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34E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34E0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34E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34E0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34E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34E0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34E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34E0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34E0F"/>
  </w:style>
  <w:style w:type="character" w:customStyle="1" w:styleId="CharSubPartNoCASA">
    <w:name w:val="CharSubPartNo(CASA)"/>
    <w:basedOn w:val="OPCCharBase"/>
    <w:uiPriority w:val="1"/>
    <w:rsid w:val="00034E0F"/>
  </w:style>
  <w:style w:type="paragraph" w:customStyle="1" w:styleId="ENoteTTIndentHeadingSub">
    <w:name w:val="ENoteTTIndentHeadingSub"/>
    <w:aliases w:val="enTTHis"/>
    <w:basedOn w:val="OPCParaBase"/>
    <w:rsid w:val="00034E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34E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34E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34E0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34E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34E0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34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34E0F"/>
    <w:rPr>
      <w:sz w:val="22"/>
    </w:rPr>
  </w:style>
  <w:style w:type="paragraph" w:customStyle="1" w:styleId="SOTextNote">
    <w:name w:val="SO TextNote"/>
    <w:aliases w:val="sont"/>
    <w:basedOn w:val="SOText"/>
    <w:qFormat/>
    <w:rsid w:val="00034E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34E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34E0F"/>
    <w:rPr>
      <w:sz w:val="22"/>
    </w:rPr>
  </w:style>
  <w:style w:type="paragraph" w:customStyle="1" w:styleId="FileName">
    <w:name w:val="FileName"/>
    <w:basedOn w:val="Normal"/>
    <w:rsid w:val="00034E0F"/>
  </w:style>
  <w:style w:type="paragraph" w:customStyle="1" w:styleId="TableHeading">
    <w:name w:val="TableHeading"/>
    <w:aliases w:val="th"/>
    <w:basedOn w:val="OPCParaBase"/>
    <w:next w:val="Tabletext"/>
    <w:rsid w:val="00034E0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34E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34E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34E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34E0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34E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34E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34E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34E0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34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34E0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34E0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34E0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34E0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34E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4E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4E0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4E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34E0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34E0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34E0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34E0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34E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34E0F"/>
  </w:style>
  <w:style w:type="character" w:customStyle="1" w:styleId="charlegsubtitle1">
    <w:name w:val="charlegsubtitle1"/>
    <w:basedOn w:val="DefaultParagraphFont"/>
    <w:rsid w:val="00034E0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34E0F"/>
    <w:pPr>
      <w:ind w:left="240" w:hanging="240"/>
    </w:pPr>
  </w:style>
  <w:style w:type="paragraph" w:styleId="Index2">
    <w:name w:val="index 2"/>
    <w:basedOn w:val="Normal"/>
    <w:next w:val="Normal"/>
    <w:autoRedefine/>
    <w:rsid w:val="00034E0F"/>
    <w:pPr>
      <w:ind w:left="480" w:hanging="240"/>
    </w:pPr>
  </w:style>
  <w:style w:type="paragraph" w:styleId="Index3">
    <w:name w:val="index 3"/>
    <w:basedOn w:val="Normal"/>
    <w:next w:val="Normal"/>
    <w:autoRedefine/>
    <w:rsid w:val="00034E0F"/>
    <w:pPr>
      <w:ind w:left="720" w:hanging="240"/>
    </w:pPr>
  </w:style>
  <w:style w:type="paragraph" w:styleId="Index4">
    <w:name w:val="index 4"/>
    <w:basedOn w:val="Normal"/>
    <w:next w:val="Normal"/>
    <w:autoRedefine/>
    <w:rsid w:val="00034E0F"/>
    <w:pPr>
      <w:ind w:left="960" w:hanging="240"/>
    </w:pPr>
  </w:style>
  <w:style w:type="paragraph" w:styleId="Index5">
    <w:name w:val="index 5"/>
    <w:basedOn w:val="Normal"/>
    <w:next w:val="Normal"/>
    <w:autoRedefine/>
    <w:rsid w:val="00034E0F"/>
    <w:pPr>
      <w:ind w:left="1200" w:hanging="240"/>
    </w:pPr>
  </w:style>
  <w:style w:type="paragraph" w:styleId="Index6">
    <w:name w:val="index 6"/>
    <w:basedOn w:val="Normal"/>
    <w:next w:val="Normal"/>
    <w:autoRedefine/>
    <w:rsid w:val="00034E0F"/>
    <w:pPr>
      <w:ind w:left="1440" w:hanging="240"/>
    </w:pPr>
  </w:style>
  <w:style w:type="paragraph" w:styleId="Index7">
    <w:name w:val="index 7"/>
    <w:basedOn w:val="Normal"/>
    <w:next w:val="Normal"/>
    <w:autoRedefine/>
    <w:rsid w:val="00034E0F"/>
    <w:pPr>
      <w:ind w:left="1680" w:hanging="240"/>
    </w:pPr>
  </w:style>
  <w:style w:type="paragraph" w:styleId="Index8">
    <w:name w:val="index 8"/>
    <w:basedOn w:val="Normal"/>
    <w:next w:val="Normal"/>
    <w:autoRedefine/>
    <w:rsid w:val="00034E0F"/>
    <w:pPr>
      <w:ind w:left="1920" w:hanging="240"/>
    </w:pPr>
  </w:style>
  <w:style w:type="paragraph" w:styleId="Index9">
    <w:name w:val="index 9"/>
    <w:basedOn w:val="Normal"/>
    <w:next w:val="Normal"/>
    <w:autoRedefine/>
    <w:rsid w:val="00034E0F"/>
    <w:pPr>
      <w:ind w:left="2160" w:hanging="240"/>
    </w:pPr>
  </w:style>
  <w:style w:type="paragraph" w:styleId="NormalIndent">
    <w:name w:val="Normal Indent"/>
    <w:basedOn w:val="Normal"/>
    <w:rsid w:val="00034E0F"/>
    <w:pPr>
      <w:ind w:left="720"/>
    </w:pPr>
  </w:style>
  <w:style w:type="paragraph" w:styleId="FootnoteText">
    <w:name w:val="footnote text"/>
    <w:basedOn w:val="Normal"/>
    <w:link w:val="FootnoteTextChar"/>
    <w:rsid w:val="00034E0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34E0F"/>
  </w:style>
  <w:style w:type="paragraph" w:styleId="CommentText">
    <w:name w:val="annotation text"/>
    <w:basedOn w:val="Normal"/>
    <w:link w:val="CommentTextChar"/>
    <w:rsid w:val="00034E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4E0F"/>
  </w:style>
  <w:style w:type="paragraph" w:styleId="IndexHeading">
    <w:name w:val="index heading"/>
    <w:basedOn w:val="Normal"/>
    <w:next w:val="Index1"/>
    <w:rsid w:val="00034E0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34E0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34E0F"/>
    <w:pPr>
      <w:ind w:left="480" w:hanging="480"/>
    </w:pPr>
  </w:style>
  <w:style w:type="paragraph" w:styleId="EnvelopeAddress">
    <w:name w:val="envelope address"/>
    <w:basedOn w:val="Normal"/>
    <w:rsid w:val="00034E0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34E0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34E0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34E0F"/>
    <w:rPr>
      <w:sz w:val="16"/>
      <w:szCs w:val="16"/>
    </w:rPr>
  </w:style>
  <w:style w:type="character" w:styleId="PageNumber">
    <w:name w:val="page number"/>
    <w:basedOn w:val="DefaultParagraphFont"/>
    <w:rsid w:val="00034E0F"/>
  </w:style>
  <w:style w:type="character" w:styleId="EndnoteReference">
    <w:name w:val="endnote reference"/>
    <w:basedOn w:val="DefaultParagraphFont"/>
    <w:rsid w:val="00034E0F"/>
    <w:rPr>
      <w:vertAlign w:val="superscript"/>
    </w:rPr>
  </w:style>
  <w:style w:type="paragraph" w:styleId="EndnoteText">
    <w:name w:val="endnote text"/>
    <w:basedOn w:val="Normal"/>
    <w:link w:val="EndnoteTextChar"/>
    <w:rsid w:val="00034E0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34E0F"/>
  </w:style>
  <w:style w:type="paragraph" w:styleId="TableofAuthorities">
    <w:name w:val="table of authorities"/>
    <w:basedOn w:val="Normal"/>
    <w:next w:val="Normal"/>
    <w:rsid w:val="00034E0F"/>
    <w:pPr>
      <w:ind w:left="240" w:hanging="240"/>
    </w:pPr>
  </w:style>
  <w:style w:type="paragraph" w:styleId="MacroText">
    <w:name w:val="macro"/>
    <w:link w:val="MacroTextChar"/>
    <w:rsid w:val="00034E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34E0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34E0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34E0F"/>
    <w:pPr>
      <w:ind w:left="283" w:hanging="283"/>
    </w:pPr>
  </w:style>
  <w:style w:type="paragraph" w:styleId="ListBullet">
    <w:name w:val="List Bullet"/>
    <w:basedOn w:val="Normal"/>
    <w:autoRedefine/>
    <w:rsid w:val="00034E0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34E0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34E0F"/>
    <w:pPr>
      <w:ind w:left="566" w:hanging="283"/>
    </w:pPr>
  </w:style>
  <w:style w:type="paragraph" w:styleId="List3">
    <w:name w:val="List 3"/>
    <w:basedOn w:val="Normal"/>
    <w:rsid w:val="00034E0F"/>
    <w:pPr>
      <w:ind w:left="849" w:hanging="283"/>
    </w:pPr>
  </w:style>
  <w:style w:type="paragraph" w:styleId="List4">
    <w:name w:val="List 4"/>
    <w:basedOn w:val="Normal"/>
    <w:rsid w:val="00034E0F"/>
    <w:pPr>
      <w:ind w:left="1132" w:hanging="283"/>
    </w:pPr>
  </w:style>
  <w:style w:type="paragraph" w:styleId="List5">
    <w:name w:val="List 5"/>
    <w:basedOn w:val="Normal"/>
    <w:rsid w:val="00034E0F"/>
    <w:pPr>
      <w:ind w:left="1415" w:hanging="283"/>
    </w:pPr>
  </w:style>
  <w:style w:type="paragraph" w:styleId="ListBullet2">
    <w:name w:val="List Bullet 2"/>
    <w:basedOn w:val="Normal"/>
    <w:autoRedefine/>
    <w:rsid w:val="00034E0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34E0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34E0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34E0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34E0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34E0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34E0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34E0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34E0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34E0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34E0F"/>
    <w:pPr>
      <w:ind w:left="4252"/>
    </w:pPr>
  </w:style>
  <w:style w:type="character" w:customStyle="1" w:styleId="ClosingChar">
    <w:name w:val="Closing Char"/>
    <w:basedOn w:val="DefaultParagraphFont"/>
    <w:link w:val="Closing"/>
    <w:rsid w:val="00034E0F"/>
    <w:rPr>
      <w:sz w:val="22"/>
    </w:rPr>
  </w:style>
  <w:style w:type="paragraph" w:styleId="Signature">
    <w:name w:val="Signature"/>
    <w:basedOn w:val="Normal"/>
    <w:link w:val="SignatureChar"/>
    <w:rsid w:val="00034E0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34E0F"/>
    <w:rPr>
      <w:sz w:val="22"/>
    </w:rPr>
  </w:style>
  <w:style w:type="paragraph" w:styleId="BodyText">
    <w:name w:val="Body Text"/>
    <w:basedOn w:val="Normal"/>
    <w:link w:val="BodyTextChar"/>
    <w:rsid w:val="00034E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34E0F"/>
    <w:rPr>
      <w:sz w:val="22"/>
    </w:rPr>
  </w:style>
  <w:style w:type="paragraph" w:styleId="BodyTextIndent">
    <w:name w:val="Body Text Indent"/>
    <w:basedOn w:val="Normal"/>
    <w:link w:val="BodyTextIndentChar"/>
    <w:rsid w:val="00034E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34E0F"/>
    <w:rPr>
      <w:sz w:val="22"/>
    </w:rPr>
  </w:style>
  <w:style w:type="paragraph" w:styleId="ListContinue">
    <w:name w:val="List Continue"/>
    <w:basedOn w:val="Normal"/>
    <w:rsid w:val="00034E0F"/>
    <w:pPr>
      <w:spacing w:after="120"/>
      <w:ind w:left="283"/>
    </w:pPr>
  </w:style>
  <w:style w:type="paragraph" w:styleId="ListContinue2">
    <w:name w:val="List Continue 2"/>
    <w:basedOn w:val="Normal"/>
    <w:rsid w:val="00034E0F"/>
    <w:pPr>
      <w:spacing w:after="120"/>
      <w:ind w:left="566"/>
    </w:pPr>
  </w:style>
  <w:style w:type="paragraph" w:styleId="ListContinue3">
    <w:name w:val="List Continue 3"/>
    <w:basedOn w:val="Normal"/>
    <w:rsid w:val="00034E0F"/>
    <w:pPr>
      <w:spacing w:after="120"/>
      <w:ind w:left="849"/>
    </w:pPr>
  </w:style>
  <w:style w:type="paragraph" w:styleId="ListContinue4">
    <w:name w:val="List Continue 4"/>
    <w:basedOn w:val="Normal"/>
    <w:rsid w:val="00034E0F"/>
    <w:pPr>
      <w:spacing w:after="120"/>
      <w:ind w:left="1132"/>
    </w:pPr>
  </w:style>
  <w:style w:type="paragraph" w:styleId="ListContinue5">
    <w:name w:val="List Continue 5"/>
    <w:basedOn w:val="Normal"/>
    <w:rsid w:val="00034E0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34E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34E0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34E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34E0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34E0F"/>
  </w:style>
  <w:style w:type="character" w:customStyle="1" w:styleId="SalutationChar">
    <w:name w:val="Salutation Char"/>
    <w:basedOn w:val="DefaultParagraphFont"/>
    <w:link w:val="Salutation"/>
    <w:rsid w:val="00034E0F"/>
    <w:rPr>
      <w:sz w:val="22"/>
    </w:rPr>
  </w:style>
  <w:style w:type="paragraph" w:styleId="Date">
    <w:name w:val="Date"/>
    <w:basedOn w:val="Normal"/>
    <w:next w:val="Normal"/>
    <w:link w:val="DateChar"/>
    <w:rsid w:val="00034E0F"/>
  </w:style>
  <w:style w:type="character" w:customStyle="1" w:styleId="DateChar">
    <w:name w:val="Date Char"/>
    <w:basedOn w:val="DefaultParagraphFont"/>
    <w:link w:val="Date"/>
    <w:rsid w:val="00034E0F"/>
    <w:rPr>
      <w:sz w:val="22"/>
    </w:rPr>
  </w:style>
  <w:style w:type="paragraph" w:styleId="BodyTextFirstIndent">
    <w:name w:val="Body Text First Indent"/>
    <w:basedOn w:val="BodyText"/>
    <w:link w:val="BodyTextFirstIndentChar"/>
    <w:rsid w:val="00034E0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34E0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34E0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34E0F"/>
    <w:rPr>
      <w:sz w:val="22"/>
    </w:rPr>
  </w:style>
  <w:style w:type="paragraph" w:styleId="BodyText2">
    <w:name w:val="Body Text 2"/>
    <w:basedOn w:val="Normal"/>
    <w:link w:val="BodyText2Char"/>
    <w:rsid w:val="00034E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4E0F"/>
    <w:rPr>
      <w:sz w:val="22"/>
    </w:rPr>
  </w:style>
  <w:style w:type="paragraph" w:styleId="BodyText3">
    <w:name w:val="Body Text 3"/>
    <w:basedOn w:val="Normal"/>
    <w:link w:val="BodyText3Char"/>
    <w:rsid w:val="00034E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4E0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34E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34E0F"/>
    <w:rPr>
      <w:sz w:val="22"/>
    </w:rPr>
  </w:style>
  <w:style w:type="paragraph" w:styleId="BodyTextIndent3">
    <w:name w:val="Body Text Indent 3"/>
    <w:basedOn w:val="Normal"/>
    <w:link w:val="BodyTextIndent3Char"/>
    <w:rsid w:val="00034E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4E0F"/>
    <w:rPr>
      <w:sz w:val="16"/>
      <w:szCs w:val="16"/>
    </w:rPr>
  </w:style>
  <w:style w:type="paragraph" w:styleId="BlockText">
    <w:name w:val="Block Text"/>
    <w:basedOn w:val="Normal"/>
    <w:rsid w:val="00034E0F"/>
    <w:pPr>
      <w:spacing w:after="120"/>
      <w:ind w:left="1440" w:right="1440"/>
    </w:pPr>
  </w:style>
  <w:style w:type="character" w:styleId="Hyperlink">
    <w:name w:val="Hyperlink"/>
    <w:basedOn w:val="DefaultParagraphFont"/>
    <w:rsid w:val="00034E0F"/>
    <w:rPr>
      <w:color w:val="0000FF"/>
      <w:u w:val="single"/>
    </w:rPr>
  </w:style>
  <w:style w:type="character" w:styleId="FollowedHyperlink">
    <w:name w:val="FollowedHyperlink"/>
    <w:basedOn w:val="DefaultParagraphFont"/>
    <w:rsid w:val="00034E0F"/>
    <w:rPr>
      <w:color w:val="800080"/>
      <w:u w:val="single"/>
    </w:rPr>
  </w:style>
  <w:style w:type="character" w:styleId="Strong">
    <w:name w:val="Strong"/>
    <w:basedOn w:val="DefaultParagraphFont"/>
    <w:qFormat/>
    <w:rsid w:val="00034E0F"/>
    <w:rPr>
      <w:b/>
      <w:bCs/>
    </w:rPr>
  </w:style>
  <w:style w:type="character" w:styleId="Emphasis">
    <w:name w:val="Emphasis"/>
    <w:basedOn w:val="DefaultParagraphFont"/>
    <w:qFormat/>
    <w:rsid w:val="00034E0F"/>
    <w:rPr>
      <w:i/>
      <w:iCs/>
    </w:rPr>
  </w:style>
  <w:style w:type="paragraph" w:styleId="DocumentMap">
    <w:name w:val="Document Map"/>
    <w:basedOn w:val="Normal"/>
    <w:link w:val="DocumentMapChar"/>
    <w:rsid w:val="00034E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34E0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34E0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34E0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34E0F"/>
  </w:style>
  <w:style w:type="character" w:customStyle="1" w:styleId="E-mailSignatureChar">
    <w:name w:val="E-mail Signature Char"/>
    <w:basedOn w:val="DefaultParagraphFont"/>
    <w:link w:val="E-mailSignature"/>
    <w:rsid w:val="00034E0F"/>
    <w:rPr>
      <w:sz w:val="22"/>
    </w:rPr>
  </w:style>
  <w:style w:type="paragraph" w:styleId="NormalWeb">
    <w:name w:val="Normal (Web)"/>
    <w:basedOn w:val="Normal"/>
    <w:rsid w:val="00034E0F"/>
  </w:style>
  <w:style w:type="character" w:styleId="HTMLAcronym">
    <w:name w:val="HTML Acronym"/>
    <w:basedOn w:val="DefaultParagraphFont"/>
    <w:rsid w:val="00034E0F"/>
  </w:style>
  <w:style w:type="paragraph" w:styleId="HTMLAddress">
    <w:name w:val="HTML Address"/>
    <w:basedOn w:val="Normal"/>
    <w:link w:val="HTMLAddressChar"/>
    <w:rsid w:val="00034E0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4E0F"/>
    <w:rPr>
      <w:i/>
      <w:iCs/>
      <w:sz w:val="22"/>
    </w:rPr>
  </w:style>
  <w:style w:type="character" w:styleId="HTMLCite">
    <w:name w:val="HTML Cite"/>
    <w:basedOn w:val="DefaultParagraphFont"/>
    <w:rsid w:val="00034E0F"/>
    <w:rPr>
      <w:i/>
      <w:iCs/>
    </w:rPr>
  </w:style>
  <w:style w:type="character" w:styleId="HTMLCode">
    <w:name w:val="HTML Code"/>
    <w:basedOn w:val="DefaultParagraphFont"/>
    <w:rsid w:val="00034E0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34E0F"/>
    <w:rPr>
      <w:i/>
      <w:iCs/>
    </w:rPr>
  </w:style>
  <w:style w:type="character" w:styleId="HTMLKeyboard">
    <w:name w:val="HTML Keyboard"/>
    <w:basedOn w:val="DefaultParagraphFont"/>
    <w:rsid w:val="00034E0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4E0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34E0F"/>
    <w:rPr>
      <w:rFonts w:ascii="Courier New" w:hAnsi="Courier New" w:cs="Courier New"/>
    </w:rPr>
  </w:style>
  <w:style w:type="character" w:styleId="HTMLSample">
    <w:name w:val="HTML Sample"/>
    <w:basedOn w:val="DefaultParagraphFont"/>
    <w:rsid w:val="00034E0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34E0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34E0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34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4E0F"/>
    <w:rPr>
      <w:b/>
      <w:bCs/>
    </w:rPr>
  </w:style>
  <w:style w:type="numbering" w:styleId="1ai">
    <w:name w:val="Outline List 1"/>
    <w:basedOn w:val="NoList"/>
    <w:rsid w:val="00034E0F"/>
    <w:pPr>
      <w:numPr>
        <w:numId w:val="14"/>
      </w:numPr>
    </w:pPr>
  </w:style>
  <w:style w:type="numbering" w:styleId="111111">
    <w:name w:val="Outline List 2"/>
    <w:basedOn w:val="NoList"/>
    <w:rsid w:val="00034E0F"/>
    <w:pPr>
      <w:numPr>
        <w:numId w:val="15"/>
      </w:numPr>
    </w:pPr>
  </w:style>
  <w:style w:type="numbering" w:styleId="ArticleSection">
    <w:name w:val="Outline List 3"/>
    <w:basedOn w:val="NoList"/>
    <w:rsid w:val="00034E0F"/>
    <w:pPr>
      <w:numPr>
        <w:numId w:val="17"/>
      </w:numPr>
    </w:pPr>
  </w:style>
  <w:style w:type="table" w:styleId="TableSimple1">
    <w:name w:val="Table Simple 1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34E0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34E0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34E0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34E0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34E0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34E0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34E0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34E0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34E0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34E0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34E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34E0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34E0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34E0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34E0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34E0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34E0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34E0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34E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34E0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34E0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34E0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34E0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34E0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34E0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34E0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34E0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34E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34E0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34E0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34E0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34E0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34E0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34E0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34E0F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CD7B46"/>
    <w:rPr>
      <w:sz w:val="22"/>
    </w:rPr>
  </w:style>
  <w:style w:type="paragraph" w:styleId="ListParagraph">
    <w:name w:val="List Paragraph"/>
    <w:basedOn w:val="Normal"/>
    <w:uiPriority w:val="34"/>
    <w:qFormat/>
    <w:rsid w:val="00B46304"/>
    <w:pPr>
      <w:spacing w:line="240" w:lineRule="auto"/>
      <w:ind w:left="720"/>
    </w:pPr>
    <w:rPr>
      <w:rFonts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4E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E0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E0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4E0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4E0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4E0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4E0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4E0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4E0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E0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34E0F"/>
  </w:style>
  <w:style w:type="paragraph" w:customStyle="1" w:styleId="OPCParaBase">
    <w:name w:val="OPCParaBase"/>
    <w:qFormat/>
    <w:rsid w:val="00034E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34E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34E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34E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34E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34E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34E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34E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34E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34E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34E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34E0F"/>
  </w:style>
  <w:style w:type="paragraph" w:customStyle="1" w:styleId="Blocks">
    <w:name w:val="Blocks"/>
    <w:aliases w:val="bb"/>
    <w:basedOn w:val="OPCParaBase"/>
    <w:qFormat/>
    <w:rsid w:val="00034E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34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34E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34E0F"/>
    <w:rPr>
      <w:i/>
    </w:rPr>
  </w:style>
  <w:style w:type="paragraph" w:customStyle="1" w:styleId="BoxList">
    <w:name w:val="BoxList"/>
    <w:aliases w:val="bl"/>
    <w:basedOn w:val="BoxText"/>
    <w:qFormat/>
    <w:rsid w:val="00034E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34E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34E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34E0F"/>
    <w:pPr>
      <w:ind w:left="1985" w:hanging="851"/>
    </w:pPr>
  </w:style>
  <w:style w:type="character" w:customStyle="1" w:styleId="CharAmPartNo">
    <w:name w:val="CharAmPartNo"/>
    <w:basedOn w:val="OPCCharBase"/>
    <w:qFormat/>
    <w:rsid w:val="00034E0F"/>
  </w:style>
  <w:style w:type="character" w:customStyle="1" w:styleId="CharAmPartText">
    <w:name w:val="CharAmPartText"/>
    <w:basedOn w:val="OPCCharBase"/>
    <w:qFormat/>
    <w:rsid w:val="00034E0F"/>
  </w:style>
  <w:style w:type="character" w:customStyle="1" w:styleId="CharAmSchNo">
    <w:name w:val="CharAmSchNo"/>
    <w:basedOn w:val="OPCCharBase"/>
    <w:qFormat/>
    <w:rsid w:val="00034E0F"/>
  </w:style>
  <w:style w:type="character" w:customStyle="1" w:styleId="CharAmSchText">
    <w:name w:val="CharAmSchText"/>
    <w:basedOn w:val="OPCCharBase"/>
    <w:qFormat/>
    <w:rsid w:val="00034E0F"/>
  </w:style>
  <w:style w:type="character" w:customStyle="1" w:styleId="CharBoldItalic">
    <w:name w:val="CharBoldItalic"/>
    <w:basedOn w:val="OPCCharBase"/>
    <w:uiPriority w:val="1"/>
    <w:qFormat/>
    <w:rsid w:val="00034E0F"/>
    <w:rPr>
      <w:b/>
      <w:i/>
    </w:rPr>
  </w:style>
  <w:style w:type="character" w:customStyle="1" w:styleId="CharChapNo">
    <w:name w:val="CharChapNo"/>
    <w:basedOn w:val="OPCCharBase"/>
    <w:uiPriority w:val="1"/>
    <w:qFormat/>
    <w:rsid w:val="00034E0F"/>
  </w:style>
  <w:style w:type="character" w:customStyle="1" w:styleId="CharChapText">
    <w:name w:val="CharChapText"/>
    <w:basedOn w:val="OPCCharBase"/>
    <w:uiPriority w:val="1"/>
    <w:qFormat/>
    <w:rsid w:val="00034E0F"/>
  </w:style>
  <w:style w:type="character" w:customStyle="1" w:styleId="CharDivNo">
    <w:name w:val="CharDivNo"/>
    <w:basedOn w:val="OPCCharBase"/>
    <w:uiPriority w:val="1"/>
    <w:qFormat/>
    <w:rsid w:val="00034E0F"/>
  </w:style>
  <w:style w:type="character" w:customStyle="1" w:styleId="CharDivText">
    <w:name w:val="CharDivText"/>
    <w:basedOn w:val="OPCCharBase"/>
    <w:uiPriority w:val="1"/>
    <w:qFormat/>
    <w:rsid w:val="00034E0F"/>
  </w:style>
  <w:style w:type="character" w:customStyle="1" w:styleId="CharItalic">
    <w:name w:val="CharItalic"/>
    <w:basedOn w:val="OPCCharBase"/>
    <w:uiPriority w:val="1"/>
    <w:qFormat/>
    <w:rsid w:val="00034E0F"/>
    <w:rPr>
      <w:i/>
    </w:rPr>
  </w:style>
  <w:style w:type="character" w:customStyle="1" w:styleId="CharPartNo">
    <w:name w:val="CharPartNo"/>
    <w:basedOn w:val="OPCCharBase"/>
    <w:uiPriority w:val="1"/>
    <w:qFormat/>
    <w:rsid w:val="00034E0F"/>
  </w:style>
  <w:style w:type="character" w:customStyle="1" w:styleId="CharPartText">
    <w:name w:val="CharPartText"/>
    <w:basedOn w:val="OPCCharBase"/>
    <w:uiPriority w:val="1"/>
    <w:qFormat/>
    <w:rsid w:val="00034E0F"/>
  </w:style>
  <w:style w:type="character" w:customStyle="1" w:styleId="CharSectno">
    <w:name w:val="CharSectno"/>
    <w:basedOn w:val="OPCCharBase"/>
    <w:qFormat/>
    <w:rsid w:val="00034E0F"/>
  </w:style>
  <w:style w:type="character" w:customStyle="1" w:styleId="CharSubdNo">
    <w:name w:val="CharSubdNo"/>
    <w:basedOn w:val="OPCCharBase"/>
    <w:uiPriority w:val="1"/>
    <w:qFormat/>
    <w:rsid w:val="00034E0F"/>
  </w:style>
  <w:style w:type="character" w:customStyle="1" w:styleId="CharSubdText">
    <w:name w:val="CharSubdText"/>
    <w:basedOn w:val="OPCCharBase"/>
    <w:uiPriority w:val="1"/>
    <w:qFormat/>
    <w:rsid w:val="00034E0F"/>
  </w:style>
  <w:style w:type="paragraph" w:customStyle="1" w:styleId="CTA--">
    <w:name w:val="CTA --"/>
    <w:basedOn w:val="OPCParaBase"/>
    <w:next w:val="Normal"/>
    <w:rsid w:val="00034E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34E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34E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34E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34E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34E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34E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34E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34E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34E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34E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34E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34E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34E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34E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34E0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34E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34E0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34E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34E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34E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34E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34E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34E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34E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34E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34E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34E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34E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34E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34E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34E0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34E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34E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34E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34E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34E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34E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34E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34E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34E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34E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34E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34E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34E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34E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34E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34E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34E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34E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34E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34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34E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34E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34E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34E0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34E0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34E0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34E0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34E0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34E0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34E0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34E0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34E0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34E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34E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34E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34E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34E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34E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34E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34E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34E0F"/>
    <w:rPr>
      <w:sz w:val="16"/>
    </w:rPr>
  </w:style>
  <w:style w:type="table" w:customStyle="1" w:styleId="CFlag">
    <w:name w:val="CFlag"/>
    <w:basedOn w:val="TableNormal"/>
    <w:uiPriority w:val="99"/>
    <w:rsid w:val="00034E0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34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4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4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34E0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34E0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34E0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34E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34E0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34E0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34E0F"/>
    <w:pPr>
      <w:spacing w:before="120"/>
    </w:pPr>
  </w:style>
  <w:style w:type="paragraph" w:customStyle="1" w:styleId="CompiledActNo">
    <w:name w:val="CompiledActNo"/>
    <w:basedOn w:val="OPCParaBase"/>
    <w:next w:val="Normal"/>
    <w:rsid w:val="00034E0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34E0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34E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34E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34E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34E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34E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34E0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34E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34E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34E0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34E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34E0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34E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34E0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34E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34E0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34E0F"/>
  </w:style>
  <w:style w:type="character" w:customStyle="1" w:styleId="CharSubPartNoCASA">
    <w:name w:val="CharSubPartNo(CASA)"/>
    <w:basedOn w:val="OPCCharBase"/>
    <w:uiPriority w:val="1"/>
    <w:rsid w:val="00034E0F"/>
  </w:style>
  <w:style w:type="paragraph" w:customStyle="1" w:styleId="ENoteTTIndentHeadingSub">
    <w:name w:val="ENoteTTIndentHeadingSub"/>
    <w:aliases w:val="enTTHis"/>
    <w:basedOn w:val="OPCParaBase"/>
    <w:rsid w:val="00034E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34E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34E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34E0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34E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34E0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34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34E0F"/>
    <w:rPr>
      <w:sz w:val="22"/>
    </w:rPr>
  </w:style>
  <w:style w:type="paragraph" w:customStyle="1" w:styleId="SOTextNote">
    <w:name w:val="SO TextNote"/>
    <w:aliases w:val="sont"/>
    <w:basedOn w:val="SOText"/>
    <w:qFormat/>
    <w:rsid w:val="00034E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34E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34E0F"/>
    <w:rPr>
      <w:sz w:val="22"/>
    </w:rPr>
  </w:style>
  <w:style w:type="paragraph" w:customStyle="1" w:styleId="FileName">
    <w:name w:val="FileName"/>
    <w:basedOn w:val="Normal"/>
    <w:rsid w:val="00034E0F"/>
  </w:style>
  <w:style w:type="paragraph" w:customStyle="1" w:styleId="TableHeading">
    <w:name w:val="TableHeading"/>
    <w:aliases w:val="th"/>
    <w:basedOn w:val="OPCParaBase"/>
    <w:next w:val="Tabletext"/>
    <w:rsid w:val="00034E0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34E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34E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34E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34E0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34E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34E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34E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34E0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34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34E0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34E0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34E0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34E0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34E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4E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4E0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4E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34E0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34E0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34E0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34E0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34E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34E0F"/>
  </w:style>
  <w:style w:type="character" w:customStyle="1" w:styleId="charlegsubtitle1">
    <w:name w:val="charlegsubtitle1"/>
    <w:basedOn w:val="DefaultParagraphFont"/>
    <w:rsid w:val="00034E0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34E0F"/>
    <w:pPr>
      <w:ind w:left="240" w:hanging="240"/>
    </w:pPr>
  </w:style>
  <w:style w:type="paragraph" w:styleId="Index2">
    <w:name w:val="index 2"/>
    <w:basedOn w:val="Normal"/>
    <w:next w:val="Normal"/>
    <w:autoRedefine/>
    <w:rsid w:val="00034E0F"/>
    <w:pPr>
      <w:ind w:left="480" w:hanging="240"/>
    </w:pPr>
  </w:style>
  <w:style w:type="paragraph" w:styleId="Index3">
    <w:name w:val="index 3"/>
    <w:basedOn w:val="Normal"/>
    <w:next w:val="Normal"/>
    <w:autoRedefine/>
    <w:rsid w:val="00034E0F"/>
    <w:pPr>
      <w:ind w:left="720" w:hanging="240"/>
    </w:pPr>
  </w:style>
  <w:style w:type="paragraph" w:styleId="Index4">
    <w:name w:val="index 4"/>
    <w:basedOn w:val="Normal"/>
    <w:next w:val="Normal"/>
    <w:autoRedefine/>
    <w:rsid w:val="00034E0F"/>
    <w:pPr>
      <w:ind w:left="960" w:hanging="240"/>
    </w:pPr>
  </w:style>
  <w:style w:type="paragraph" w:styleId="Index5">
    <w:name w:val="index 5"/>
    <w:basedOn w:val="Normal"/>
    <w:next w:val="Normal"/>
    <w:autoRedefine/>
    <w:rsid w:val="00034E0F"/>
    <w:pPr>
      <w:ind w:left="1200" w:hanging="240"/>
    </w:pPr>
  </w:style>
  <w:style w:type="paragraph" w:styleId="Index6">
    <w:name w:val="index 6"/>
    <w:basedOn w:val="Normal"/>
    <w:next w:val="Normal"/>
    <w:autoRedefine/>
    <w:rsid w:val="00034E0F"/>
    <w:pPr>
      <w:ind w:left="1440" w:hanging="240"/>
    </w:pPr>
  </w:style>
  <w:style w:type="paragraph" w:styleId="Index7">
    <w:name w:val="index 7"/>
    <w:basedOn w:val="Normal"/>
    <w:next w:val="Normal"/>
    <w:autoRedefine/>
    <w:rsid w:val="00034E0F"/>
    <w:pPr>
      <w:ind w:left="1680" w:hanging="240"/>
    </w:pPr>
  </w:style>
  <w:style w:type="paragraph" w:styleId="Index8">
    <w:name w:val="index 8"/>
    <w:basedOn w:val="Normal"/>
    <w:next w:val="Normal"/>
    <w:autoRedefine/>
    <w:rsid w:val="00034E0F"/>
    <w:pPr>
      <w:ind w:left="1920" w:hanging="240"/>
    </w:pPr>
  </w:style>
  <w:style w:type="paragraph" w:styleId="Index9">
    <w:name w:val="index 9"/>
    <w:basedOn w:val="Normal"/>
    <w:next w:val="Normal"/>
    <w:autoRedefine/>
    <w:rsid w:val="00034E0F"/>
    <w:pPr>
      <w:ind w:left="2160" w:hanging="240"/>
    </w:pPr>
  </w:style>
  <w:style w:type="paragraph" w:styleId="NormalIndent">
    <w:name w:val="Normal Indent"/>
    <w:basedOn w:val="Normal"/>
    <w:rsid w:val="00034E0F"/>
    <w:pPr>
      <w:ind w:left="720"/>
    </w:pPr>
  </w:style>
  <w:style w:type="paragraph" w:styleId="FootnoteText">
    <w:name w:val="footnote text"/>
    <w:basedOn w:val="Normal"/>
    <w:link w:val="FootnoteTextChar"/>
    <w:rsid w:val="00034E0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34E0F"/>
  </w:style>
  <w:style w:type="paragraph" w:styleId="CommentText">
    <w:name w:val="annotation text"/>
    <w:basedOn w:val="Normal"/>
    <w:link w:val="CommentTextChar"/>
    <w:rsid w:val="00034E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4E0F"/>
  </w:style>
  <w:style w:type="paragraph" w:styleId="IndexHeading">
    <w:name w:val="index heading"/>
    <w:basedOn w:val="Normal"/>
    <w:next w:val="Index1"/>
    <w:rsid w:val="00034E0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34E0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34E0F"/>
    <w:pPr>
      <w:ind w:left="480" w:hanging="480"/>
    </w:pPr>
  </w:style>
  <w:style w:type="paragraph" w:styleId="EnvelopeAddress">
    <w:name w:val="envelope address"/>
    <w:basedOn w:val="Normal"/>
    <w:rsid w:val="00034E0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34E0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34E0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34E0F"/>
    <w:rPr>
      <w:sz w:val="16"/>
      <w:szCs w:val="16"/>
    </w:rPr>
  </w:style>
  <w:style w:type="character" w:styleId="PageNumber">
    <w:name w:val="page number"/>
    <w:basedOn w:val="DefaultParagraphFont"/>
    <w:rsid w:val="00034E0F"/>
  </w:style>
  <w:style w:type="character" w:styleId="EndnoteReference">
    <w:name w:val="endnote reference"/>
    <w:basedOn w:val="DefaultParagraphFont"/>
    <w:rsid w:val="00034E0F"/>
    <w:rPr>
      <w:vertAlign w:val="superscript"/>
    </w:rPr>
  </w:style>
  <w:style w:type="paragraph" w:styleId="EndnoteText">
    <w:name w:val="endnote text"/>
    <w:basedOn w:val="Normal"/>
    <w:link w:val="EndnoteTextChar"/>
    <w:rsid w:val="00034E0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34E0F"/>
  </w:style>
  <w:style w:type="paragraph" w:styleId="TableofAuthorities">
    <w:name w:val="table of authorities"/>
    <w:basedOn w:val="Normal"/>
    <w:next w:val="Normal"/>
    <w:rsid w:val="00034E0F"/>
    <w:pPr>
      <w:ind w:left="240" w:hanging="240"/>
    </w:pPr>
  </w:style>
  <w:style w:type="paragraph" w:styleId="MacroText">
    <w:name w:val="macro"/>
    <w:link w:val="MacroTextChar"/>
    <w:rsid w:val="00034E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34E0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34E0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34E0F"/>
    <w:pPr>
      <w:ind w:left="283" w:hanging="283"/>
    </w:pPr>
  </w:style>
  <w:style w:type="paragraph" w:styleId="ListBullet">
    <w:name w:val="List Bullet"/>
    <w:basedOn w:val="Normal"/>
    <w:autoRedefine/>
    <w:rsid w:val="00034E0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34E0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34E0F"/>
    <w:pPr>
      <w:ind w:left="566" w:hanging="283"/>
    </w:pPr>
  </w:style>
  <w:style w:type="paragraph" w:styleId="List3">
    <w:name w:val="List 3"/>
    <w:basedOn w:val="Normal"/>
    <w:rsid w:val="00034E0F"/>
    <w:pPr>
      <w:ind w:left="849" w:hanging="283"/>
    </w:pPr>
  </w:style>
  <w:style w:type="paragraph" w:styleId="List4">
    <w:name w:val="List 4"/>
    <w:basedOn w:val="Normal"/>
    <w:rsid w:val="00034E0F"/>
    <w:pPr>
      <w:ind w:left="1132" w:hanging="283"/>
    </w:pPr>
  </w:style>
  <w:style w:type="paragraph" w:styleId="List5">
    <w:name w:val="List 5"/>
    <w:basedOn w:val="Normal"/>
    <w:rsid w:val="00034E0F"/>
    <w:pPr>
      <w:ind w:left="1415" w:hanging="283"/>
    </w:pPr>
  </w:style>
  <w:style w:type="paragraph" w:styleId="ListBullet2">
    <w:name w:val="List Bullet 2"/>
    <w:basedOn w:val="Normal"/>
    <w:autoRedefine/>
    <w:rsid w:val="00034E0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34E0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34E0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34E0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34E0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34E0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34E0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34E0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34E0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34E0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34E0F"/>
    <w:pPr>
      <w:ind w:left="4252"/>
    </w:pPr>
  </w:style>
  <w:style w:type="character" w:customStyle="1" w:styleId="ClosingChar">
    <w:name w:val="Closing Char"/>
    <w:basedOn w:val="DefaultParagraphFont"/>
    <w:link w:val="Closing"/>
    <w:rsid w:val="00034E0F"/>
    <w:rPr>
      <w:sz w:val="22"/>
    </w:rPr>
  </w:style>
  <w:style w:type="paragraph" w:styleId="Signature">
    <w:name w:val="Signature"/>
    <w:basedOn w:val="Normal"/>
    <w:link w:val="SignatureChar"/>
    <w:rsid w:val="00034E0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34E0F"/>
    <w:rPr>
      <w:sz w:val="22"/>
    </w:rPr>
  </w:style>
  <w:style w:type="paragraph" w:styleId="BodyText">
    <w:name w:val="Body Text"/>
    <w:basedOn w:val="Normal"/>
    <w:link w:val="BodyTextChar"/>
    <w:rsid w:val="00034E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34E0F"/>
    <w:rPr>
      <w:sz w:val="22"/>
    </w:rPr>
  </w:style>
  <w:style w:type="paragraph" w:styleId="BodyTextIndent">
    <w:name w:val="Body Text Indent"/>
    <w:basedOn w:val="Normal"/>
    <w:link w:val="BodyTextIndentChar"/>
    <w:rsid w:val="00034E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34E0F"/>
    <w:rPr>
      <w:sz w:val="22"/>
    </w:rPr>
  </w:style>
  <w:style w:type="paragraph" w:styleId="ListContinue">
    <w:name w:val="List Continue"/>
    <w:basedOn w:val="Normal"/>
    <w:rsid w:val="00034E0F"/>
    <w:pPr>
      <w:spacing w:after="120"/>
      <w:ind w:left="283"/>
    </w:pPr>
  </w:style>
  <w:style w:type="paragraph" w:styleId="ListContinue2">
    <w:name w:val="List Continue 2"/>
    <w:basedOn w:val="Normal"/>
    <w:rsid w:val="00034E0F"/>
    <w:pPr>
      <w:spacing w:after="120"/>
      <w:ind w:left="566"/>
    </w:pPr>
  </w:style>
  <w:style w:type="paragraph" w:styleId="ListContinue3">
    <w:name w:val="List Continue 3"/>
    <w:basedOn w:val="Normal"/>
    <w:rsid w:val="00034E0F"/>
    <w:pPr>
      <w:spacing w:after="120"/>
      <w:ind w:left="849"/>
    </w:pPr>
  </w:style>
  <w:style w:type="paragraph" w:styleId="ListContinue4">
    <w:name w:val="List Continue 4"/>
    <w:basedOn w:val="Normal"/>
    <w:rsid w:val="00034E0F"/>
    <w:pPr>
      <w:spacing w:after="120"/>
      <w:ind w:left="1132"/>
    </w:pPr>
  </w:style>
  <w:style w:type="paragraph" w:styleId="ListContinue5">
    <w:name w:val="List Continue 5"/>
    <w:basedOn w:val="Normal"/>
    <w:rsid w:val="00034E0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34E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34E0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34E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34E0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34E0F"/>
  </w:style>
  <w:style w:type="character" w:customStyle="1" w:styleId="SalutationChar">
    <w:name w:val="Salutation Char"/>
    <w:basedOn w:val="DefaultParagraphFont"/>
    <w:link w:val="Salutation"/>
    <w:rsid w:val="00034E0F"/>
    <w:rPr>
      <w:sz w:val="22"/>
    </w:rPr>
  </w:style>
  <w:style w:type="paragraph" w:styleId="Date">
    <w:name w:val="Date"/>
    <w:basedOn w:val="Normal"/>
    <w:next w:val="Normal"/>
    <w:link w:val="DateChar"/>
    <w:rsid w:val="00034E0F"/>
  </w:style>
  <w:style w:type="character" w:customStyle="1" w:styleId="DateChar">
    <w:name w:val="Date Char"/>
    <w:basedOn w:val="DefaultParagraphFont"/>
    <w:link w:val="Date"/>
    <w:rsid w:val="00034E0F"/>
    <w:rPr>
      <w:sz w:val="22"/>
    </w:rPr>
  </w:style>
  <w:style w:type="paragraph" w:styleId="BodyTextFirstIndent">
    <w:name w:val="Body Text First Indent"/>
    <w:basedOn w:val="BodyText"/>
    <w:link w:val="BodyTextFirstIndentChar"/>
    <w:rsid w:val="00034E0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34E0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34E0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34E0F"/>
    <w:rPr>
      <w:sz w:val="22"/>
    </w:rPr>
  </w:style>
  <w:style w:type="paragraph" w:styleId="BodyText2">
    <w:name w:val="Body Text 2"/>
    <w:basedOn w:val="Normal"/>
    <w:link w:val="BodyText2Char"/>
    <w:rsid w:val="00034E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4E0F"/>
    <w:rPr>
      <w:sz w:val="22"/>
    </w:rPr>
  </w:style>
  <w:style w:type="paragraph" w:styleId="BodyText3">
    <w:name w:val="Body Text 3"/>
    <w:basedOn w:val="Normal"/>
    <w:link w:val="BodyText3Char"/>
    <w:rsid w:val="00034E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4E0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34E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34E0F"/>
    <w:rPr>
      <w:sz w:val="22"/>
    </w:rPr>
  </w:style>
  <w:style w:type="paragraph" w:styleId="BodyTextIndent3">
    <w:name w:val="Body Text Indent 3"/>
    <w:basedOn w:val="Normal"/>
    <w:link w:val="BodyTextIndent3Char"/>
    <w:rsid w:val="00034E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4E0F"/>
    <w:rPr>
      <w:sz w:val="16"/>
      <w:szCs w:val="16"/>
    </w:rPr>
  </w:style>
  <w:style w:type="paragraph" w:styleId="BlockText">
    <w:name w:val="Block Text"/>
    <w:basedOn w:val="Normal"/>
    <w:rsid w:val="00034E0F"/>
    <w:pPr>
      <w:spacing w:after="120"/>
      <w:ind w:left="1440" w:right="1440"/>
    </w:pPr>
  </w:style>
  <w:style w:type="character" w:styleId="Hyperlink">
    <w:name w:val="Hyperlink"/>
    <w:basedOn w:val="DefaultParagraphFont"/>
    <w:rsid w:val="00034E0F"/>
    <w:rPr>
      <w:color w:val="0000FF"/>
      <w:u w:val="single"/>
    </w:rPr>
  </w:style>
  <w:style w:type="character" w:styleId="FollowedHyperlink">
    <w:name w:val="FollowedHyperlink"/>
    <w:basedOn w:val="DefaultParagraphFont"/>
    <w:rsid w:val="00034E0F"/>
    <w:rPr>
      <w:color w:val="800080"/>
      <w:u w:val="single"/>
    </w:rPr>
  </w:style>
  <w:style w:type="character" w:styleId="Strong">
    <w:name w:val="Strong"/>
    <w:basedOn w:val="DefaultParagraphFont"/>
    <w:qFormat/>
    <w:rsid w:val="00034E0F"/>
    <w:rPr>
      <w:b/>
      <w:bCs/>
    </w:rPr>
  </w:style>
  <w:style w:type="character" w:styleId="Emphasis">
    <w:name w:val="Emphasis"/>
    <w:basedOn w:val="DefaultParagraphFont"/>
    <w:qFormat/>
    <w:rsid w:val="00034E0F"/>
    <w:rPr>
      <w:i/>
      <w:iCs/>
    </w:rPr>
  </w:style>
  <w:style w:type="paragraph" w:styleId="DocumentMap">
    <w:name w:val="Document Map"/>
    <w:basedOn w:val="Normal"/>
    <w:link w:val="DocumentMapChar"/>
    <w:rsid w:val="00034E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34E0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34E0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34E0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34E0F"/>
  </w:style>
  <w:style w:type="character" w:customStyle="1" w:styleId="E-mailSignatureChar">
    <w:name w:val="E-mail Signature Char"/>
    <w:basedOn w:val="DefaultParagraphFont"/>
    <w:link w:val="E-mailSignature"/>
    <w:rsid w:val="00034E0F"/>
    <w:rPr>
      <w:sz w:val="22"/>
    </w:rPr>
  </w:style>
  <w:style w:type="paragraph" w:styleId="NormalWeb">
    <w:name w:val="Normal (Web)"/>
    <w:basedOn w:val="Normal"/>
    <w:rsid w:val="00034E0F"/>
  </w:style>
  <w:style w:type="character" w:styleId="HTMLAcronym">
    <w:name w:val="HTML Acronym"/>
    <w:basedOn w:val="DefaultParagraphFont"/>
    <w:rsid w:val="00034E0F"/>
  </w:style>
  <w:style w:type="paragraph" w:styleId="HTMLAddress">
    <w:name w:val="HTML Address"/>
    <w:basedOn w:val="Normal"/>
    <w:link w:val="HTMLAddressChar"/>
    <w:rsid w:val="00034E0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4E0F"/>
    <w:rPr>
      <w:i/>
      <w:iCs/>
      <w:sz w:val="22"/>
    </w:rPr>
  </w:style>
  <w:style w:type="character" w:styleId="HTMLCite">
    <w:name w:val="HTML Cite"/>
    <w:basedOn w:val="DefaultParagraphFont"/>
    <w:rsid w:val="00034E0F"/>
    <w:rPr>
      <w:i/>
      <w:iCs/>
    </w:rPr>
  </w:style>
  <w:style w:type="character" w:styleId="HTMLCode">
    <w:name w:val="HTML Code"/>
    <w:basedOn w:val="DefaultParagraphFont"/>
    <w:rsid w:val="00034E0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34E0F"/>
    <w:rPr>
      <w:i/>
      <w:iCs/>
    </w:rPr>
  </w:style>
  <w:style w:type="character" w:styleId="HTMLKeyboard">
    <w:name w:val="HTML Keyboard"/>
    <w:basedOn w:val="DefaultParagraphFont"/>
    <w:rsid w:val="00034E0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4E0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34E0F"/>
    <w:rPr>
      <w:rFonts w:ascii="Courier New" w:hAnsi="Courier New" w:cs="Courier New"/>
    </w:rPr>
  </w:style>
  <w:style w:type="character" w:styleId="HTMLSample">
    <w:name w:val="HTML Sample"/>
    <w:basedOn w:val="DefaultParagraphFont"/>
    <w:rsid w:val="00034E0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34E0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34E0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34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4E0F"/>
    <w:rPr>
      <w:b/>
      <w:bCs/>
    </w:rPr>
  </w:style>
  <w:style w:type="numbering" w:styleId="1ai">
    <w:name w:val="Outline List 1"/>
    <w:basedOn w:val="NoList"/>
    <w:rsid w:val="00034E0F"/>
    <w:pPr>
      <w:numPr>
        <w:numId w:val="14"/>
      </w:numPr>
    </w:pPr>
  </w:style>
  <w:style w:type="numbering" w:styleId="111111">
    <w:name w:val="Outline List 2"/>
    <w:basedOn w:val="NoList"/>
    <w:rsid w:val="00034E0F"/>
    <w:pPr>
      <w:numPr>
        <w:numId w:val="15"/>
      </w:numPr>
    </w:pPr>
  </w:style>
  <w:style w:type="numbering" w:styleId="ArticleSection">
    <w:name w:val="Outline List 3"/>
    <w:basedOn w:val="NoList"/>
    <w:rsid w:val="00034E0F"/>
    <w:pPr>
      <w:numPr>
        <w:numId w:val="17"/>
      </w:numPr>
    </w:pPr>
  </w:style>
  <w:style w:type="table" w:styleId="TableSimple1">
    <w:name w:val="Table Simple 1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34E0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34E0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34E0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34E0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34E0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34E0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34E0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34E0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34E0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34E0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34E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34E0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34E0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34E0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34E0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34E0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34E0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34E0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34E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34E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34E0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34E0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34E0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34E0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34E0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34E0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34E0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34E0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34E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34E0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34E0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34E0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34E0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34E0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34E0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34E0F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CD7B46"/>
    <w:rPr>
      <w:sz w:val="22"/>
    </w:rPr>
  </w:style>
  <w:style w:type="paragraph" w:styleId="ListParagraph">
    <w:name w:val="List Paragraph"/>
    <w:basedOn w:val="Normal"/>
    <w:uiPriority w:val="34"/>
    <w:qFormat/>
    <w:rsid w:val="00B46304"/>
    <w:pPr>
      <w:spacing w:line="240" w:lineRule="auto"/>
      <w:ind w:left="720"/>
    </w:pPr>
    <w:rPr>
      <w:rFonts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C812-8205-4F13-9BC1-6BC15E11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21</Pages>
  <Words>4841</Words>
  <Characters>27597</Characters>
  <Application>Microsoft Office Word</Application>
  <DocSecurity>4</DocSecurity>
  <PresentationFormat/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2020-09-10T06:46:00Z</cp:lastPrinted>
  <dcterms:created xsi:type="dcterms:W3CDTF">2020-09-25T03:12:00Z</dcterms:created>
  <dcterms:modified xsi:type="dcterms:W3CDTF">2020-09-25T03:12:00Z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Federal Circuit Court Amendment (Powers Delegated to Registrars) Rules 2020</vt:lpwstr>
  </property>
  <property fmtid="{D5CDD505-2E9C-101B-9397-08002B2CF9AE}" pid="4" name="Class">
    <vt:lpwstr>Federal Circuit Court 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OPC64791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21 September 2020</vt:lpwstr>
  </property>
</Properties>
</file>