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3F51DCC5" wp14:editId="428F3706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17F" w:rsidRDefault="005E317F" w:rsidP="005E317F">
      <w:pPr>
        <w:rPr>
          <w:sz w:val="19"/>
        </w:rPr>
      </w:pPr>
    </w:p>
    <w:p w:rsidR="005E317F" w:rsidRPr="00FD27D1" w:rsidRDefault="00FD27D1" w:rsidP="005E317F">
      <w:pPr>
        <w:pStyle w:val="ShortT"/>
      </w:pPr>
      <w:r w:rsidRPr="00FD27D1">
        <w:t xml:space="preserve">Therapeutic Goods </w:t>
      </w:r>
      <w:r w:rsidR="008F275A">
        <w:t xml:space="preserve">(Declared Goods) </w:t>
      </w:r>
      <w:r w:rsidR="005E317F" w:rsidRPr="00FD27D1">
        <w:t>Amendment (</w:t>
      </w:r>
      <w:r w:rsidRPr="00FD27D1">
        <w:t>Sports Supplements</w:t>
      </w:r>
      <w:r w:rsidR="005E317F" w:rsidRPr="00FD27D1">
        <w:t xml:space="preserve">) </w:t>
      </w:r>
      <w:r w:rsidRPr="00FD27D1">
        <w:t>Order 2020</w:t>
      </w:r>
    </w:p>
    <w:p w:rsidR="005E317F" w:rsidRPr="00FD27D1" w:rsidRDefault="005E317F" w:rsidP="005E317F">
      <w:pPr>
        <w:pStyle w:val="SignCoverPageStart"/>
        <w:spacing w:before="240"/>
        <w:ind w:right="91"/>
        <w:rPr>
          <w:szCs w:val="22"/>
        </w:rPr>
      </w:pPr>
      <w:r w:rsidRPr="00FD27D1">
        <w:rPr>
          <w:szCs w:val="22"/>
        </w:rPr>
        <w:t xml:space="preserve">I, </w:t>
      </w:r>
      <w:r w:rsidR="000461D4">
        <w:rPr>
          <w:szCs w:val="22"/>
        </w:rPr>
        <w:t xml:space="preserve">John </w:t>
      </w:r>
      <w:proofErr w:type="spellStart"/>
      <w:r w:rsidR="000461D4">
        <w:rPr>
          <w:szCs w:val="22"/>
        </w:rPr>
        <w:t>Skerritt</w:t>
      </w:r>
      <w:proofErr w:type="spellEnd"/>
      <w:r w:rsidRPr="00FD27D1">
        <w:rPr>
          <w:szCs w:val="22"/>
        </w:rPr>
        <w:t xml:space="preserve">, </w:t>
      </w:r>
      <w:r w:rsidR="00FD27D1" w:rsidRPr="00FD27D1">
        <w:rPr>
          <w:szCs w:val="22"/>
        </w:rPr>
        <w:t>as delegate of the Secretary of the Department of Health</w:t>
      </w:r>
      <w:r w:rsidRPr="00FD27D1">
        <w:rPr>
          <w:szCs w:val="22"/>
        </w:rPr>
        <w:t xml:space="preserve">, make the following </w:t>
      </w:r>
      <w:r w:rsidR="00FD27D1" w:rsidRPr="00FD27D1">
        <w:rPr>
          <w:szCs w:val="22"/>
        </w:rPr>
        <w:t>order</w:t>
      </w:r>
      <w:r w:rsidRPr="00FD27D1">
        <w:rPr>
          <w:szCs w:val="22"/>
        </w:rPr>
        <w:t>.</w:t>
      </w:r>
    </w:p>
    <w:p w:rsidR="005E317F" w:rsidRPr="00B14BAF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 w:rsidRPr="00FD27D1">
        <w:rPr>
          <w:szCs w:val="22"/>
        </w:rPr>
        <w:t>Dated</w:t>
      </w:r>
      <w:r w:rsidR="008A68D8">
        <w:rPr>
          <w:szCs w:val="22"/>
        </w:rPr>
        <w:t xml:space="preserve"> </w:t>
      </w:r>
      <w:r w:rsidR="00E14DA9">
        <w:rPr>
          <w:szCs w:val="22"/>
        </w:rPr>
        <w:t xml:space="preserve">18 </w:t>
      </w:r>
      <w:bookmarkStart w:id="0" w:name="_GoBack"/>
      <w:bookmarkEnd w:id="0"/>
      <w:r w:rsidR="00FD27D1" w:rsidRPr="00B14BAF">
        <w:rPr>
          <w:szCs w:val="22"/>
        </w:rPr>
        <w:t>September 2020</w:t>
      </w:r>
    </w:p>
    <w:p w:rsidR="005E317F" w:rsidRPr="00B14BAF" w:rsidRDefault="000461D4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B14BAF">
        <w:rPr>
          <w:szCs w:val="22"/>
        </w:rPr>
        <w:t xml:space="preserve">Adjunct Professor John </w:t>
      </w:r>
      <w:proofErr w:type="spellStart"/>
      <w:r w:rsidRPr="00B14BAF">
        <w:rPr>
          <w:szCs w:val="22"/>
        </w:rPr>
        <w:t>Skerritt</w:t>
      </w:r>
      <w:proofErr w:type="spellEnd"/>
    </w:p>
    <w:p w:rsidR="00FD27D1" w:rsidRPr="00B14BAF" w:rsidRDefault="000461D4" w:rsidP="005E317F">
      <w:pPr>
        <w:pStyle w:val="SignCoverPageEnd"/>
        <w:ind w:right="91"/>
        <w:rPr>
          <w:sz w:val="22"/>
        </w:rPr>
      </w:pPr>
      <w:r w:rsidRPr="00B14BAF">
        <w:rPr>
          <w:sz w:val="22"/>
        </w:rPr>
        <w:t xml:space="preserve">Deputy </w:t>
      </w:r>
      <w:r w:rsidR="00FD27D1" w:rsidRPr="00B14BAF">
        <w:rPr>
          <w:sz w:val="22"/>
        </w:rPr>
        <w:t>Secretary</w:t>
      </w:r>
    </w:p>
    <w:p w:rsidR="00FD27D1" w:rsidRDefault="00FD27D1" w:rsidP="005E317F">
      <w:pPr>
        <w:pStyle w:val="SignCoverPageEnd"/>
        <w:ind w:right="91"/>
        <w:rPr>
          <w:sz w:val="22"/>
        </w:rPr>
      </w:pPr>
      <w:r w:rsidRPr="00B14BAF">
        <w:rPr>
          <w:sz w:val="22"/>
        </w:rPr>
        <w:t>Health Products Regulation Group</w:t>
      </w:r>
    </w:p>
    <w:p w:rsidR="005E317F" w:rsidRPr="000D3FB9" w:rsidRDefault="00FD27D1" w:rsidP="005E317F">
      <w:pPr>
        <w:pStyle w:val="SignCoverPageEnd"/>
        <w:ind w:right="91"/>
        <w:rPr>
          <w:sz w:val="22"/>
        </w:rPr>
      </w:pPr>
      <w:r>
        <w:rPr>
          <w:sz w:val="22"/>
        </w:rPr>
        <w:t>Department of Health</w:t>
      </w:r>
    </w:p>
    <w:p w:rsidR="00B20990" w:rsidRDefault="00B20990" w:rsidP="00B20990"/>
    <w:p w:rsidR="00B20990" w:rsidRDefault="00B20990" w:rsidP="00B20990">
      <w:pPr>
        <w:sectPr w:rsidR="00B20990" w:rsidSect="00B2099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1" w:name="BKCheck15B_2"/>
    <w:bookmarkEnd w:id="1"/>
    <w:p w:rsidR="00F64F7B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r w:rsidR="00F64F7B">
        <w:rPr>
          <w:noProof/>
        </w:rPr>
        <w:t>1  Name</w:t>
      </w:r>
      <w:r w:rsidR="00F64F7B">
        <w:rPr>
          <w:noProof/>
        </w:rPr>
        <w:tab/>
      </w:r>
      <w:r w:rsidR="00F64F7B">
        <w:rPr>
          <w:noProof/>
        </w:rPr>
        <w:fldChar w:fldCharType="begin"/>
      </w:r>
      <w:r w:rsidR="00F64F7B">
        <w:rPr>
          <w:noProof/>
        </w:rPr>
        <w:instrText xml:space="preserve"> PAGEREF _Toc51228914 \h </w:instrText>
      </w:r>
      <w:r w:rsidR="00F64F7B">
        <w:rPr>
          <w:noProof/>
        </w:rPr>
      </w:r>
      <w:r w:rsidR="00F64F7B">
        <w:rPr>
          <w:noProof/>
        </w:rPr>
        <w:fldChar w:fldCharType="separate"/>
      </w:r>
      <w:r w:rsidR="008A68D8">
        <w:rPr>
          <w:noProof/>
        </w:rPr>
        <w:t>1</w:t>
      </w:r>
      <w:r w:rsidR="00F64F7B">
        <w:rPr>
          <w:noProof/>
        </w:rPr>
        <w:fldChar w:fldCharType="end"/>
      </w:r>
    </w:p>
    <w:p w:rsidR="00F64F7B" w:rsidRDefault="00F64F7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_Toc51228915 \h </w:instrText>
      </w:r>
      <w:r>
        <w:rPr>
          <w:noProof/>
        </w:rPr>
      </w:r>
      <w:r>
        <w:rPr>
          <w:noProof/>
        </w:rPr>
        <w:fldChar w:fldCharType="separate"/>
      </w:r>
      <w:r w:rsidR="008A68D8">
        <w:rPr>
          <w:noProof/>
        </w:rPr>
        <w:t>1</w:t>
      </w:r>
      <w:r>
        <w:rPr>
          <w:noProof/>
        </w:rPr>
        <w:fldChar w:fldCharType="end"/>
      </w:r>
    </w:p>
    <w:p w:rsidR="00F64F7B" w:rsidRDefault="00F64F7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_Toc51228916 \h </w:instrText>
      </w:r>
      <w:r>
        <w:rPr>
          <w:noProof/>
        </w:rPr>
      </w:r>
      <w:r>
        <w:rPr>
          <w:noProof/>
        </w:rPr>
        <w:fldChar w:fldCharType="separate"/>
      </w:r>
      <w:r w:rsidR="008A68D8">
        <w:rPr>
          <w:noProof/>
        </w:rPr>
        <w:t>1</w:t>
      </w:r>
      <w:r>
        <w:rPr>
          <w:noProof/>
        </w:rPr>
        <w:fldChar w:fldCharType="end"/>
      </w:r>
    </w:p>
    <w:p w:rsidR="00F64F7B" w:rsidRDefault="00F64F7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_Toc51228917 \h </w:instrText>
      </w:r>
      <w:r>
        <w:rPr>
          <w:noProof/>
        </w:rPr>
      </w:r>
      <w:r>
        <w:rPr>
          <w:noProof/>
        </w:rPr>
        <w:fldChar w:fldCharType="separate"/>
      </w:r>
      <w:r w:rsidR="008A68D8">
        <w:rPr>
          <w:noProof/>
        </w:rPr>
        <w:t>1</w:t>
      </w:r>
      <w:r>
        <w:rPr>
          <w:noProof/>
        </w:rPr>
        <w:fldChar w:fldCharType="end"/>
      </w:r>
    </w:p>
    <w:p w:rsidR="00F64F7B" w:rsidRDefault="00F64F7B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_Toc51228918 \h </w:instrText>
      </w:r>
      <w:r>
        <w:rPr>
          <w:noProof/>
        </w:rPr>
      </w:r>
      <w:r>
        <w:rPr>
          <w:noProof/>
        </w:rPr>
        <w:fldChar w:fldCharType="separate"/>
      </w:r>
      <w:r w:rsidR="008A68D8">
        <w:rPr>
          <w:noProof/>
        </w:rPr>
        <w:t>2</w:t>
      </w:r>
      <w:r>
        <w:rPr>
          <w:noProof/>
        </w:rPr>
        <w:fldChar w:fldCharType="end"/>
      </w:r>
    </w:p>
    <w:p w:rsidR="00F64F7B" w:rsidRDefault="00F64F7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Therapeutic Goods (Declared Goods) Order 2019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_Toc51228919 \h </w:instrText>
      </w:r>
      <w:r>
        <w:rPr>
          <w:noProof/>
        </w:rPr>
      </w:r>
      <w:r>
        <w:rPr>
          <w:noProof/>
        </w:rPr>
        <w:fldChar w:fldCharType="separate"/>
      </w:r>
      <w:r w:rsidR="008A68D8">
        <w:rPr>
          <w:noProof/>
        </w:rPr>
        <w:t>2</w:t>
      </w:r>
      <w:r>
        <w:rPr>
          <w:noProof/>
        </w:rPr>
        <w:fldChar w:fldCharType="end"/>
      </w:r>
    </w:p>
    <w:p w:rsidR="00B20990" w:rsidRDefault="00B20990" w:rsidP="005E317F">
      <w:r w:rsidRPr="005E317F">
        <w:rPr>
          <w:rFonts w:cs="Times New Roman"/>
          <w:sz w:val="20"/>
        </w:rPr>
        <w:fldChar w:fldCharType="end"/>
      </w:r>
    </w:p>
    <w:p w:rsidR="00B20990" w:rsidRDefault="00B20990" w:rsidP="00B20990"/>
    <w:p w:rsidR="00B20990" w:rsidRDefault="00B20990" w:rsidP="00B20990">
      <w:pPr>
        <w:sectPr w:rsidR="00B20990" w:rsidSect="00C160A1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5E317F" w:rsidRPr="009C2562" w:rsidRDefault="005E317F" w:rsidP="005E317F">
      <w:pPr>
        <w:pStyle w:val="ActHead5"/>
      </w:pPr>
      <w:bookmarkStart w:id="2" w:name="_Toc51228914"/>
      <w:proofErr w:type="gramStart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2"/>
      <w:proofErr w:type="gramEnd"/>
    </w:p>
    <w:p w:rsidR="005E317F" w:rsidRDefault="005E317F" w:rsidP="005E317F">
      <w:pPr>
        <w:pStyle w:val="subsection"/>
      </w:pPr>
      <w:r w:rsidRPr="009C2562">
        <w:tab/>
      </w:r>
      <w:r w:rsidRPr="009C2562">
        <w:tab/>
        <w:t xml:space="preserve">This </w:t>
      </w:r>
      <w:r w:rsidRPr="00FD27D1">
        <w:t xml:space="preserve">instrument is the </w:t>
      </w:r>
      <w:bookmarkStart w:id="3" w:name="BKCheck15B_3"/>
      <w:bookmarkEnd w:id="3"/>
      <w:r w:rsidR="00FD27D1" w:rsidRPr="00FD27D1">
        <w:rPr>
          <w:i/>
        </w:rPr>
        <w:t xml:space="preserve">Therapeutic Goods </w:t>
      </w:r>
      <w:r w:rsidR="008F275A">
        <w:rPr>
          <w:i/>
        </w:rPr>
        <w:t xml:space="preserve">(Declared Goods) </w:t>
      </w:r>
      <w:r w:rsidR="00FD27D1" w:rsidRPr="00FD27D1">
        <w:rPr>
          <w:i/>
        </w:rPr>
        <w:t>Amendment (Sports Supplements) Order 2020</w:t>
      </w:r>
      <w:r w:rsidRPr="00FD27D1">
        <w:t>.</w:t>
      </w:r>
    </w:p>
    <w:p w:rsidR="005E317F" w:rsidRDefault="005E317F" w:rsidP="005E317F">
      <w:pPr>
        <w:pStyle w:val="ActHead5"/>
      </w:pPr>
      <w:bookmarkStart w:id="4" w:name="_Toc51228915"/>
      <w:proofErr w:type="gramStart"/>
      <w:r w:rsidRPr="009C2562">
        <w:rPr>
          <w:rStyle w:val="CharSectno"/>
        </w:rPr>
        <w:t>2</w:t>
      </w:r>
      <w:r w:rsidRPr="009C2562">
        <w:t xml:space="preserve">  Commencement</w:t>
      </w:r>
      <w:bookmarkEnd w:id="4"/>
      <w:proofErr w:type="gramEnd"/>
    </w:p>
    <w:p w:rsidR="00002BCC" w:rsidRPr="003422B4" w:rsidRDefault="00002BCC" w:rsidP="00002BCC">
      <w:pPr>
        <w:pStyle w:val="subsection"/>
      </w:pPr>
      <w:r w:rsidRPr="003422B4">
        <w:tab/>
        <w:t>(1)</w:t>
      </w:r>
      <w:r w:rsidRPr="003422B4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002BCC" w:rsidRPr="003422B4" w:rsidRDefault="00002BCC" w:rsidP="00002BCC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002BCC" w:rsidRPr="003422B4" w:rsidTr="00A02135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002BCC" w:rsidRPr="003422B4" w:rsidRDefault="00002BCC" w:rsidP="00A02135">
            <w:pPr>
              <w:pStyle w:val="TableHeading"/>
            </w:pPr>
            <w:r w:rsidRPr="003422B4">
              <w:t>Commencement information</w:t>
            </w:r>
          </w:p>
        </w:tc>
      </w:tr>
      <w:tr w:rsidR="00002BCC" w:rsidRPr="003422B4" w:rsidTr="00A0213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002BCC" w:rsidRPr="003422B4" w:rsidRDefault="00002BCC" w:rsidP="00A02135">
            <w:pPr>
              <w:pStyle w:val="TableHeading"/>
            </w:pPr>
            <w:r w:rsidRPr="003422B4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002BCC" w:rsidRPr="003422B4" w:rsidRDefault="00002BCC" w:rsidP="00A02135">
            <w:pPr>
              <w:pStyle w:val="TableHeading"/>
            </w:pPr>
            <w:r w:rsidRPr="003422B4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002BCC" w:rsidRPr="003422B4" w:rsidRDefault="00002BCC" w:rsidP="00A02135">
            <w:pPr>
              <w:pStyle w:val="TableHeading"/>
            </w:pPr>
            <w:r w:rsidRPr="003422B4">
              <w:t>Column 3</w:t>
            </w:r>
          </w:p>
        </w:tc>
      </w:tr>
      <w:tr w:rsidR="00002BCC" w:rsidRPr="003422B4" w:rsidTr="00A0213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002BCC" w:rsidRPr="003422B4" w:rsidRDefault="00002BCC" w:rsidP="00A02135">
            <w:pPr>
              <w:pStyle w:val="TableHeading"/>
            </w:pPr>
            <w:r w:rsidRPr="003422B4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002BCC" w:rsidRPr="003422B4" w:rsidRDefault="00002BCC" w:rsidP="00A02135">
            <w:pPr>
              <w:pStyle w:val="TableHeading"/>
            </w:pPr>
            <w:r w:rsidRPr="003422B4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002BCC" w:rsidRPr="003422B4" w:rsidRDefault="00002BCC" w:rsidP="00A02135">
            <w:pPr>
              <w:pStyle w:val="TableHeading"/>
            </w:pPr>
            <w:r w:rsidRPr="003422B4">
              <w:t>Date/Details</w:t>
            </w:r>
          </w:p>
        </w:tc>
      </w:tr>
      <w:tr w:rsidR="00002BCC" w:rsidRPr="003422B4" w:rsidTr="00A02135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002BCC" w:rsidRPr="00FD27D1" w:rsidRDefault="00002BCC" w:rsidP="00FD27D1">
            <w:pPr>
              <w:pStyle w:val="Tabletext"/>
              <w:rPr>
                <w:i/>
              </w:rPr>
            </w:pPr>
            <w:r w:rsidRPr="00FD27D1">
              <w:t xml:space="preserve">1.  </w:t>
            </w:r>
            <w:r w:rsidR="00FD27D1" w:rsidRPr="00FD27D1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002BCC" w:rsidRPr="00FD27D1" w:rsidRDefault="003F52ED">
            <w:pPr>
              <w:pStyle w:val="Tabletext"/>
              <w:rPr>
                <w:i/>
              </w:rPr>
            </w:pPr>
            <w:r>
              <w:t>30 November 2020</w:t>
            </w:r>
            <w:r w:rsidR="00CC291C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02BCC" w:rsidRPr="000D2036" w:rsidRDefault="003F52ED" w:rsidP="00FD27D1">
            <w:pPr>
              <w:pStyle w:val="Tabletext"/>
            </w:pPr>
            <w:r>
              <w:t>30 November 2020</w:t>
            </w:r>
          </w:p>
        </w:tc>
      </w:tr>
    </w:tbl>
    <w:p w:rsidR="00002BCC" w:rsidRPr="003422B4" w:rsidRDefault="00002BCC" w:rsidP="00002BCC">
      <w:pPr>
        <w:pStyle w:val="notetext"/>
      </w:pPr>
      <w:r w:rsidRPr="003422B4">
        <w:rPr>
          <w:snapToGrid w:val="0"/>
          <w:lang w:eastAsia="en-US"/>
        </w:rPr>
        <w:t>Note:</w:t>
      </w:r>
      <w:r w:rsidRPr="003422B4">
        <w:rPr>
          <w:snapToGrid w:val="0"/>
          <w:lang w:eastAsia="en-US"/>
        </w:rPr>
        <w:tab/>
        <w:t>This table relates only to the provisions of this instrument</w:t>
      </w:r>
      <w:r w:rsidRPr="003422B4">
        <w:t xml:space="preserve"> </w:t>
      </w:r>
      <w:r w:rsidRPr="003422B4">
        <w:rPr>
          <w:snapToGrid w:val="0"/>
          <w:lang w:eastAsia="en-US"/>
        </w:rPr>
        <w:t>as originally made. It will not be amended to deal with any later amendments of this instrument.</w:t>
      </w:r>
    </w:p>
    <w:p w:rsidR="00002BCC" w:rsidRPr="003422B4" w:rsidRDefault="00002BCC" w:rsidP="00002BCC">
      <w:pPr>
        <w:pStyle w:val="subsection"/>
      </w:pPr>
      <w:r w:rsidRPr="003422B4">
        <w:tab/>
        <w:t>(2)</w:t>
      </w:r>
      <w:r w:rsidRPr="003422B4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5E317F" w:rsidRPr="009C2562" w:rsidRDefault="005E317F" w:rsidP="005E317F">
      <w:pPr>
        <w:pStyle w:val="ActHead5"/>
      </w:pPr>
      <w:bookmarkStart w:id="5" w:name="_Toc51228916"/>
      <w:proofErr w:type="gramStart"/>
      <w:r w:rsidRPr="009C2562">
        <w:rPr>
          <w:rStyle w:val="CharSectno"/>
        </w:rPr>
        <w:t>3</w:t>
      </w:r>
      <w:r w:rsidRPr="009C2562">
        <w:t xml:space="preserve">  Authority</w:t>
      </w:r>
      <w:bookmarkEnd w:id="5"/>
      <w:proofErr w:type="gramEnd"/>
    </w:p>
    <w:p w:rsidR="005E317F" w:rsidRPr="009C2562" w:rsidRDefault="005E317F" w:rsidP="005E317F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FD27D1">
        <w:t xml:space="preserve">section 7 of the </w:t>
      </w:r>
      <w:r w:rsidR="00FD27D1" w:rsidRPr="00FD27D1">
        <w:rPr>
          <w:i/>
        </w:rPr>
        <w:t>Therapeutic Goods Act 1989</w:t>
      </w:r>
      <w:r w:rsidR="00FD27D1">
        <w:t>.</w:t>
      </w:r>
    </w:p>
    <w:p w:rsidR="005E317F" w:rsidRPr="006065DA" w:rsidRDefault="005E317F" w:rsidP="005E317F">
      <w:pPr>
        <w:pStyle w:val="ActHead5"/>
      </w:pPr>
      <w:bookmarkStart w:id="6" w:name="_Toc51228917"/>
      <w:proofErr w:type="gramStart"/>
      <w:r w:rsidRPr="006065DA">
        <w:t>4  Schedules</w:t>
      </w:r>
      <w:bookmarkEnd w:id="6"/>
      <w:proofErr w:type="gramEnd"/>
    </w:p>
    <w:p w:rsidR="005E317F" w:rsidRDefault="005E317F" w:rsidP="005E317F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5E317F" w:rsidRDefault="005E317F" w:rsidP="005E317F">
      <w:pPr>
        <w:pStyle w:val="ActHead6"/>
        <w:pageBreakBefore/>
      </w:pPr>
      <w:bookmarkStart w:id="7" w:name="_Toc51228918"/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Amendments</w:t>
      </w:r>
      <w:bookmarkEnd w:id="7"/>
    </w:p>
    <w:p w:rsidR="005E317F" w:rsidRDefault="00443DF0" w:rsidP="005E317F">
      <w:pPr>
        <w:pStyle w:val="ActHead9"/>
      </w:pPr>
      <w:bookmarkStart w:id="8" w:name="_Toc51228919"/>
      <w:r w:rsidRPr="00443DF0">
        <w:t>Therapeutic Goods (Declared Goods) Order 2019</w:t>
      </w:r>
      <w:bookmarkEnd w:id="8"/>
    </w:p>
    <w:p w:rsidR="005E317F" w:rsidRPr="00443DF0" w:rsidRDefault="008F275A" w:rsidP="005E317F">
      <w:pPr>
        <w:pStyle w:val="ItemHead"/>
      </w:pPr>
      <w:proofErr w:type="gramStart"/>
      <w:r>
        <w:t>1</w:t>
      </w:r>
      <w:r w:rsidR="005E317F" w:rsidRPr="00443DF0">
        <w:t xml:space="preserve">  </w:t>
      </w:r>
      <w:r w:rsidR="00443DF0">
        <w:t>Section</w:t>
      </w:r>
      <w:proofErr w:type="gramEnd"/>
      <w:r w:rsidR="00443DF0">
        <w:t xml:space="preserve"> 4 (note)</w:t>
      </w:r>
    </w:p>
    <w:p w:rsidR="005E317F" w:rsidRDefault="00443DF0" w:rsidP="005E317F">
      <w:pPr>
        <w:pStyle w:val="Item"/>
      </w:pPr>
      <w:r>
        <w:t>Repeal the note, substitute:</w:t>
      </w:r>
    </w:p>
    <w:p w:rsidR="00EF7091" w:rsidRPr="00EF7091" w:rsidRDefault="00EF7091" w:rsidP="00EF7091">
      <w:pPr>
        <w:spacing w:before="122" w:line="240" w:lineRule="auto"/>
        <w:ind w:left="1985" w:hanging="851"/>
        <w:rPr>
          <w:rFonts w:eastAsia="Times New Roman" w:cs="Times New Roman"/>
          <w:sz w:val="18"/>
          <w:lang w:eastAsia="en-AU"/>
        </w:rPr>
      </w:pPr>
      <w:r w:rsidRPr="00EF7091">
        <w:rPr>
          <w:rFonts w:eastAsia="Times New Roman" w:cs="Times New Roman"/>
          <w:sz w:val="18"/>
          <w:lang w:eastAsia="en-AU"/>
        </w:rPr>
        <w:t>Note:</w:t>
      </w:r>
      <w:r w:rsidRPr="00EF7091">
        <w:rPr>
          <w:rFonts w:eastAsia="Times New Roman" w:cs="Times New Roman"/>
          <w:sz w:val="18"/>
          <w:lang w:eastAsia="en-AU"/>
        </w:rPr>
        <w:tab/>
        <w:t xml:space="preserve">A number of expressions used in this instrument are defined in </w:t>
      </w:r>
      <w:r w:rsidR="000C47DF">
        <w:rPr>
          <w:rFonts w:eastAsia="Times New Roman" w:cs="Times New Roman"/>
          <w:sz w:val="18"/>
          <w:lang w:eastAsia="en-AU"/>
        </w:rPr>
        <w:t>sub</w:t>
      </w:r>
      <w:r w:rsidRPr="00EF7091">
        <w:rPr>
          <w:rFonts w:eastAsia="Times New Roman" w:cs="Times New Roman"/>
          <w:sz w:val="18"/>
          <w:lang w:eastAsia="en-AU"/>
        </w:rPr>
        <w:t>section 3</w:t>
      </w:r>
      <w:r w:rsidR="000C47DF">
        <w:rPr>
          <w:rFonts w:eastAsia="Times New Roman" w:cs="Times New Roman"/>
          <w:sz w:val="18"/>
          <w:lang w:eastAsia="en-AU"/>
        </w:rPr>
        <w:t>(1)</w:t>
      </w:r>
      <w:r w:rsidRPr="00EF7091">
        <w:rPr>
          <w:rFonts w:eastAsia="Times New Roman" w:cs="Times New Roman"/>
          <w:sz w:val="18"/>
          <w:lang w:eastAsia="en-AU"/>
        </w:rPr>
        <w:t xml:space="preserve"> of the Act, including the following:</w:t>
      </w:r>
    </w:p>
    <w:p w:rsidR="00EF7091" w:rsidRDefault="00EF7091" w:rsidP="00EF7091">
      <w:pPr>
        <w:spacing w:before="40" w:line="198" w:lineRule="exact"/>
        <w:ind w:left="2354" w:hanging="369"/>
        <w:rPr>
          <w:rFonts w:eastAsia="Times New Roman" w:cs="Times New Roman"/>
          <w:sz w:val="18"/>
          <w:lang w:eastAsia="en-AU"/>
        </w:rPr>
      </w:pPr>
      <w:r w:rsidRPr="00EF7091">
        <w:rPr>
          <w:rFonts w:eastAsia="Times New Roman" w:cs="Times New Roman"/>
          <w:sz w:val="18"/>
          <w:lang w:eastAsia="en-AU"/>
        </w:rPr>
        <w:t>(a)</w:t>
      </w:r>
      <w:r w:rsidRPr="00EF7091">
        <w:rPr>
          <w:rFonts w:eastAsia="Times New Roman" w:cs="Times New Roman"/>
          <w:sz w:val="18"/>
          <w:lang w:eastAsia="en-AU"/>
        </w:rPr>
        <w:tab/>
      </w:r>
      <w:proofErr w:type="gramStart"/>
      <w:r w:rsidRPr="00EF7091">
        <w:rPr>
          <w:rFonts w:eastAsia="Times New Roman" w:cs="Times New Roman"/>
          <w:sz w:val="18"/>
          <w:lang w:eastAsia="en-AU"/>
        </w:rPr>
        <w:t>advertise</w:t>
      </w:r>
      <w:proofErr w:type="gramEnd"/>
      <w:r w:rsidRPr="00EF7091">
        <w:rPr>
          <w:rFonts w:eastAsia="Times New Roman" w:cs="Times New Roman"/>
          <w:sz w:val="18"/>
          <w:lang w:eastAsia="en-AU"/>
        </w:rPr>
        <w:t>;</w:t>
      </w:r>
    </w:p>
    <w:p w:rsidR="00EF7091" w:rsidRPr="00EF7091" w:rsidRDefault="00EF7091" w:rsidP="00EF7091">
      <w:pPr>
        <w:spacing w:before="40" w:line="198" w:lineRule="exact"/>
        <w:ind w:left="2354" w:hanging="369"/>
        <w:rPr>
          <w:rFonts w:eastAsia="Times New Roman" w:cs="Times New Roman"/>
          <w:sz w:val="18"/>
          <w:lang w:eastAsia="en-AU"/>
        </w:rPr>
      </w:pPr>
      <w:r>
        <w:rPr>
          <w:rFonts w:eastAsia="Times New Roman" w:cs="Times New Roman"/>
          <w:sz w:val="18"/>
          <w:lang w:eastAsia="en-AU"/>
        </w:rPr>
        <w:t>(b)</w:t>
      </w:r>
      <w:r>
        <w:rPr>
          <w:rFonts w:eastAsia="Times New Roman" w:cs="Times New Roman"/>
          <w:sz w:val="18"/>
          <w:lang w:eastAsia="en-AU"/>
        </w:rPr>
        <w:tab/>
      </w:r>
      <w:proofErr w:type="gramStart"/>
      <w:r>
        <w:rPr>
          <w:rFonts w:eastAsia="Times New Roman" w:cs="Times New Roman"/>
          <w:sz w:val="18"/>
          <w:lang w:eastAsia="en-AU"/>
        </w:rPr>
        <w:t>current</w:t>
      </w:r>
      <w:proofErr w:type="gramEnd"/>
      <w:r>
        <w:rPr>
          <w:rFonts w:eastAsia="Times New Roman" w:cs="Times New Roman"/>
          <w:sz w:val="18"/>
          <w:lang w:eastAsia="en-AU"/>
        </w:rPr>
        <w:t xml:space="preserve"> Poisons Standard;</w:t>
      </w:r>
    </w:p>
    <w:p w:rsidR="00EF7091" w:rsidRPr="00EF7091" w:rsidRDefault="00EF7091" w:rsidP="00EF7091">
      <w:pPr>
        <w:spacing w:before="40" w:line="198" w:lineRule="exact"/>
        <w:ind w:left="2354" w:hanging="369"/>
        <w:rPr>
          <w:rFonts w:eastAsia="Times New Roman" w:cs="Times New Roman"/>
          <w:sz w:val="18"/>
          <w:lang w:eastAsia="en-AU"/>
        </w:rPr>
      </w:pPr>
      <w:r>
        <w:rPr>
          <w:rFonts w:eastAsia="Times New Roman" w:cs="Times New Roman"/>
          <w:sz w:val="18"/>
          <w:lang w:eastAsia="en-AU"/>
        </w:rPr>
        <w:t>(c</w:t>
      </w:r>
      <w:r w:rsidRPr="00EF7091">
        <w:rPr>
          <w:rFonts w:eastAsia="Times New Roman" w:cs="Times New Roman"/>
          <w:sz w:val="18"/>
          <w:lang w:eastAsia="en-AU"/>
        </w:rPr>
        <w:t>)</w:t>
      </w:r>
      <w:r w:rsidRPr="00EF7091">
        <w:rPr>
          <w:rFonts w:eastAsia="Times New Roman" w:cs="Times New Roman"/>
          <w:sz w:val="18"/>
          <w:lang w:eastAsia="en-AU"/>
        </w:rPr>
        <w:tab/>
      </w:r>
      <w:proofErr w:type="gramStart"/>
      <w:r w:rsidRPr="00EF7091">
        <w:rPr>
          <w:rFonts w:eastAsia="Times New Roman" w:cs="Times New Roman"/>
          <w:sz w:val="18"/>
          <w:lang w:eastAsia="en-AU"/>
        </w:rPr>
        <w:t>manufacture</w:t>
      </w:r>
      <w:proofErr w:type="gramEnd"/>
      <w:r w:rsidRPr="00EF7091">
        <w:rPr>
          <w:rFonts w:eastAsia="Times New Roman" w:cs="Times New Roman"/>
          <w:sz w:val="18"/>
          <w:lang w:eastAsia="en-AU"/>
        </w:rPr>
        <w:t>;</w:t>
      </w:r>
    </w:p>
    <w:p w:rsidR="00EF7091" w:rsidRPr="00EF7091" w:rsidRDefault="00EF7091" w:rsidP="00EF7091">
      <w:pPr>
        <w:spacing w:before="40" w:line="198" w:lineRule="exact"/>
        <w:ind w:left="2354" w:hanging="369"/>
        <w:rPr>
          <w:rFonts w:eastAsia="Times New Roman" w:cs="Times New Roman"/>
          <w:sz w:val="18"/>
          <w:lang w:eastAsia="en-AU"/>
        </w:rPr>
      </w:pPr>
      <w:r>
        <w:rPr>
          <w:rFonts w:eastAsia="Times New Roman" w:cs="Times New Roman"/>
          <w:sz w:val="18"/>
          <w:lang w:eastAsia="en-AU"/>
        </w:rPr>
        <w:t>(d</w:t>
      </w:r>
      <w:r w:rsidRPr="00EF7091">
        <w:rPr>
          <w:rFonts w:eastAsia="Times New Roman" w:cs="Times New Roman"/>
          <w:sz w:val="18"/>
          <w:lang w:eastAsia="en-AU"/>
        </w:rPr>
        <w:t>)</w:t>
      </w:r>
      <w:r w:rsidRPr="00EF7091">
        <w:rPr>
          <w:rFonts w:eastAsia="Times New Roman" w:cs="Times New Roman"/>
          <w:sz w:val="18"/>
          <w:lang w:eastAsia="en-AU"/>
        </w:rPr>
        <w:tab/>
      </w:r>
      <w:proofErr w:type="gramStart"/>
      <w:r w:rsidRPr="00EF7091">
        <w:rPr>
          <w:rFonts w:eastAsia="Times New Roman" w:cs="Times New Roman"/>
          <w:sz w:val="18"/>
          <w:lang w:eastAsia="en-AU"/>
        </w:rPr>
        <w:t>presentation</w:t>
      </w:r>
      <w:proofErr w:type="gramEnd"/>
      <w:r w:rsidRPr="00EF7091">
        <w:rPr>
          <w:rFonts w:eastAsia="Times New Roman" w:cs="Times New Roman"/>
          <w:sz w:val="18"/>
          <w:lang w:eastAsia="en-AU"/>
        </w:rPr>
        <w:t>;</w:t>
      </w:r>
    </w:p>
    <w:p w:rsidR="00EF7091" w:rsidRPr="00EF7091" w:rsidRDefault="00EF7091" w:rsidP="005D2B5D">
      <w:pPr>
        <w:spacing w:before="40" w:line="198" w:lineRule="exact"/>
        <w:ind w:left="2354" w:hanging="369"/>
        <w:rPr>
          <w:rFonts w:eastAsia="Times New Roman" w:cs="Times New Roman"/>
          <w:sz w:val="18"/>
          <w:lang w:eastAsia="en-AU"/>
        </w:rPr>
      </w:pPr>
      <w:r w:rsidRPr="00EF7091">
        <w:rPr>
          <w:rFonts w:eastAsia="Times New Roman" w:cs="Times New Roman"/>
          <w:sz w:val="18"/>
          <w:lang w:eastAsia="en-AU"/>
        </w:rPr>
        <w:t>(</w:t>
      </w:r>
      <w:r>
        <w:rPr>
          <w:rFonts w:eastAsia="Times New Roman" w:cs="Times New Roman"/>
          <w:sz w:val="18"/>
          <w:lang w:eastAsia="en-AU"/>
        </w:rPr>
        <w:t>e</w:t>
      </w:r>
      <w:r w:rsidRPr="00EF7091">
        <w:rPr>
          <w:rFonts w:eastAsia="Times New Roman" w:cs="Times New Roman"/>
          <w:sz w:val="18"/>
          <w:lang w:eastAsia="en-AU"/>
        </w:rPr>
        <w:t>)</w:t>
      </w:r>
      <w:r w:rsidRPr="00EF7091">
        <w:rPr>
          <w:rFonts w:eastAsia="Times New Roman" w:cs="Times New Roman"/>
          <w:sz w:val="18"/>
          <w:lang w:eastAsia="en-AU"/>
        </w:rPr>
        <w:tab/>
      </w:r>
      <w:proofErr w:type="gramStart"/>
      <w:r w:rsidRPr="00EF7091">
        <w:rPr>
          <w:rFonts w:eastAsia="Times New Roman" w:cs="Times New Roman"/>
          <w:sz w:val="18"/>
          <w:lang w:eastAsia="en-AU"/>
        </w:rPr>
        <w:t>supply</w:t>
      </w:r>
      <w:proofErr w:type="gramEnd"/>
      <w:r w:rsidRPr="00EF7091">
        <w:rPr>
          <w:rFonts w:eastAsia="Times New Roman" w:cs="Times New Roman"/>
          <w:sz w:val="18"/>
          <w:lang w:eastAsia="en-AU"/>
        </w:rPr>
        <w:t>;</w:t>
      </w:r>
    </w:p>
    <w:p w:rsidR="00EF7091" w:rsidRPr="00EF7091" w:rsidRDefault="00EF7091" w:rsidP="00EF7091">
      <w:pPr>
        <w:spacing w:before="40" w:line="198" w:lineRule="exact"/>
        <w:ind w:left="2354" w:hanging="369"/>
        <w:rPr>
          <w:rFonts w:eastAsia="Times New Roman" w:cs="Times New Roman"/>
          <w:sz w:val="18"/>
          <w:lang w:eastAsia="en-AU"/>
        </w:rPr>
      </w:pPr>
      <w:r>
        <w:rPr>
          <w:rFonts w:eastAsia="Times New Roman" w:cs="Times New Roman"/>
          <w:sz w:val="18"/>
          <w:lang w:eastAsia="en-AU"/>
        </w:rPr>
        <w:t>(</w:t>
      </w:r>
      <w:r w:rsidR="008F275A">
        <w:rPr>
          <w:rFonts w:eastAsia="Times New Roman" w:cs="Times New Roman"/>
          <w:sz w:val="18"/>
          <w:lang w:eastAsia="en-AU"/>
        </w:rPr>
        <w:t>f</w:t>
      </w:r>
      <w:r w:rsidRPr="00EF7091">
        <w:rPr>
          <w:rFonts w:eastAsia="Times New Roman" w:cs="Times New Roman"/>
          <w:sz w:val="18"/>
          <w:lang w:eastAsia="en-AU"/>
        </w:rPr>
        <w:t>)</w:t>
      </w:r>
      <w:r w:rsidRPr="00EF7091">
        <w:rPr>
          <w:rFonts w:eastAsia="Times New Roman" w:cs="Times New Roman"/>
          <w:sz w:val="18"/>
          <w:lang w:eastAsia="en-AU"/>
        </w:rPr>
        <w:tab/>
      </w:r>
      <w:proofErr w:type="gramStart"/>
      <w:r w:rsidRPr="00EF7091">
        <w:rPr>
          <w:rFonts w:eastAsia="Times New Roman" w:cs="Times New Roman"/>
          <w:sz w:val="18"/>
          <w:lang w:eastAsia="en-AU"/>
        </w:rPr>
        <w:t>therapeutic</w:t>
      </w:r>
      <w:proofErr w:type="gramEnd"/>
      <w:r w:rsidRPr="00EF7091">
        <w:rPr>
          <w:rFonts w:eastAsia="Times New Roman" w:cs="Times New Roman"/>
          <w:sz w:val="18"/>
          <w:lang w:eastAsia="en-AU"/>
        </w:rPr>
        <w:t xml:space="preserve"> goods; and</w:t>
      </w:r>
    </w:p>
    <w:p w:rsidR="00EF7091" w:rsidRPr="00EF7091" w:rsidRDefault="00EF7091" w:rsidP="00EF7091">
      <w:pPr>
        <w:spacing w:before="40" w:line="198" w:lineRule="exact"/>
        <w:ind w:left="2354" w:hanging="369"/>
        <w:rPr>
          <w:rFonts w:eastAsia="Times New Roman" w:cs="Times New Roman"/>
          <w:sz w:val="18"/>
          <w:lang w:eastAsia="en-AU"/>
        </w:rPr>
      </w:pPr>
      <w:r w:rsidRPr="00EF7091">
        <w:rPr>
          <w:rFonts w:eastAsia="Times New Roman" w:cs="Times New Roman"/>
          <w:sz w:val="18"/>
          <w:lang w:eastAsia="en-AU"/>
        </w:rPr>
        <w:t>(</w:t>
      </w:r>
      <w:r w:rsidR="008F275A">
        <w:rPr>
          <w:rFonts w:eastAsia="Times New Roman" w:cs="Times New Roman"/>
          <w:sz w:val="18"/>
          <w:lang w:eastAsia="en-AU"/>
        </w:rPr>
        <w:t>g</w:t>
      </w:r>
      <w:r w:rsidRPr="00EF7091">
        <w:rPr>
          <w:rFonts w:eastAsia="Times New Roman" w:cs="Times New Roman"/>
          <w:sz w:val="18"/>
          <w:lang w:eastAsia="en-AU"/>
        </w:rPr>
        <w:t>)</w:t>
      </w:r>
      <w:r w:rsidRPr="00EF7091">
        <w:rPr>
          <w:rFonts w:eastAsia="Times New Roman" w:cs="Times New Roman"/>
          <w:sz w:val="18"/>
          <w:lang w:eastAsia="en-AU"/>
        </w:rPr>
        <w:tab/>
      </w:r>
      <w:proofErr w:type="gramStart"/>
      <w:r w:rsidRPr="00EF7091">
        <w:rPr>
          <w:rFonts w:eastAsia="Times New Roman" w:cs="Times New Roman"/>
          <w:sz w:val="18"/>
          <w:lang w:eastAsia="en-AU"/>
        </w:rPr>
        <w:t>therapeutic</w:t>
      </w:r>
      <w:proofErr w:type="gramEnd"/>
      <w:r w:rsidRPr="00EF7091">
        <w:rPr>
          <w:rFonts w:eastAsia="Times New Roman" w:cs="Times New Roman"/>
          <w:sz w:val="18"/>
          <w:lang w:eastAsia="en-AU"/>
        </w:rPr>
        <w:t xml:space="preserve"> use.</w:t>
      </w:r>
    </w:p>
    <w:p w:rsidR="005E317F" w:rsidRPr="00443DF0" w:rsidRDefault="008F275A" w:rsidP="005E317F">
      <w:pPr>
        <w:pStyle w:val="ItemHead"/>
      </w:pPr>
      <w:proofErr w:type="gramStart"/>
      <w:r>
        <w:t>2</w:t>
      </w:r>
      <w:r w:rsidR="005E317F" w:rsidRPr="00443DF0">
        <w:t xml:space="preserve">  </w:t>
      </w:r>
      <w:r w:rsidR="00EF7091">
        <w:t>Section</w:t>
      </w:r>
      <w:proofErr w:type="gramEnd"/>
      <w:r w:rsidR="00EF7091">
        <w:t xml:space="preserve"> 4</w:t>
      </w:r>
    </w:p>
    <w:p w:rsidR="005E317F" w:rsidRDefault="00EF7091" w:rsidP="005E317F">
      <w:pPr>
        <w:pStyle w:val="Item"/>
      </w:pPr>
      <w:r>
        <w:t>Insert:</w:t>
      </w:r>
    </w:p>
    <w:p w:rsidR="00EF7091" w:rsidRPr="008F6961" w:rsidRDefault="00EF7091" w:rsidP="00EF7091">
      <w:pPr>
        <w:pStyle w:val="Definition"/>
      </w:pPr>
      <w:proofErr w:type="gramStart"/>
      <w:r>
        <w:rPr>
          <w:b/>
          <w:i/>
        </w:rPr>
        <w:t>capsule</w:t>
      </w:r>
      <w:proofErr w:type="gramEnd"/>
      <w:r w:rsidRPr="00C00B13">
        <w:t xml:space="preserve"> </w:t>
      </w:r>
      <w:r>
        <w:t>has the same meaning as in TGO 101</w:t>
      </w:r>
      <w:r>
        <w:rPr>
          <w:i/>
        </w:rPr>
        <w:t>.</w:t>
      </w:r>
    </w:p>
    <w:p w:rsidR="00EF7091" w:rsidRDefault="00EF7091" w:rsidP="00EF7091">
      <w:pPr>
        <w:pStyle w:val="Definition"/>
        <w:rPr>
          <w:i/>
        </w:rPr>
      </w:pPr>
      <w:proofErr w:type="gramStart"/>
      <w:r>
        <w:rPr>
          <w:b/>
          <w:i/>
        </w:rPr>
        <w:t>pill</w:t>
      </w:r>
      <w:proofErr w:type="gramEnd"/>
      <w:r w:rsidRPr="002A0900">
        <w:t xml:space="preserve"> </w:t>
      </w:r>
      <w:r>
        <w:t>has the same meaning as in TGO 101</w:t>
      </w:r>
      <w:r>
        <w:rPr>
          <w:i/>
        </w:rPr>
        <w:t>.</w:t>
      </w:r>
    </w:p>
    <w:p w:rsidR="009D0868" w:rsidRDefault="009D0868" w:rsidP="009D0868">
      <w:pPr>
        <w:pStyle w:val="Definition"/>
      </w:pPr>
      <w:r>
        <w:rPr>
          <w:b/>
          <w:i/>
        </w:rPr>
        <w:t>Prohibited List</w:t>
      </w:r>
      <w:r w:rsidRPr="00C00B13">
        <w:t xml:space="preserve"> </w:t>
      </w:r>
      <w:r w:rsidRPr="006C77B0">
        <w:t xml:space="preserve">means </w:t>
      </w:r>
      <w:r w:rsidRPr="00F46729">
        <w:rPr>
          <w:bCs/>
          <w:i/>
          <w:iCs/>
        </w:rPr>
        <w:t xml:space="preserve">The World Anti-Doping Code International Standard Prohibited List </w:t>
      </w:r>
      <w:r w:rsidRPr="00F46729">
        <w:rPr>
          <w:bCs/>
          <w:iCs/>
        </w:rPr>
        <w:t xml:space="preserve">(January 2020) published by the World Anti-Doping Agency, as in force or existing </w:t>
      </w:r>
      <w:r w:rsidR="003F52ED">
        <w:rPr>
          <w:bCs/>
          <w:iCs/>
        </w:rPr>
        <w:t>at 30 November 2020</w:t>
      </w:r>
      <w:r w:rsidR="00B72A0D">
        <w:rPr>
          <w:bCs/>
          <w:iCs/>
        </w:rPr>
        <w:t>.</w:t>
      </w:r>
    </w:p>
    <w:p w:rsidR="009D0868" w:rsidRPr="00EF7091" w:rsidRDefault="009D0868" w:rsidP="009D0868">
      <w:pPr>
        <w:pStyle w:val="notetext"/>
      </w:pPr>
      <w:r w:rsidRPr="00680598">
        <w:t>Note:</w:t>
      </w:r>
      <w:r w:rsidRPr="00680598">
        <w:tab/>
      </w:r>
      <w:r>
        <w:t>The Prohibited List is published on the World Anti-Doping Agency (WADA) website at https://www.wada</w:t>
      </w:r>
      <w:r>
        <w:noBreakHyphen/>
      </w:r>
      <w:r w:rsidRPr="004D7D55">
        <w:t>ama.org/en</w:t>
      </w:r>
      <w:r>
        <w:t>.</w:t>
      </w:r>
    </w:p>
    <w:p w:rsidR="00EF7091" w:rsidRPr="001A322B" w:rsidRDefault="00EF7091" w:rsidP="00EF7091">
      <w:pPr>
        <w:pStyle w:val="Definition"/>
      </w:pPr>
      <w:proofErr w:type="gramStart"/>
      <w:r>
        <w:rPr>
          <w:b/>
          <w:i/>
        </w:rPr>
        <w:t>relevant</w:t>
      </w:r>
      <w:proofErr w:type="gramEnd"/>
      <w:r>
        <w:rPr>
          <w:b/>
          <w:i/>
        </w:rPr>
        <w:t xml:space="preserve"> </w:t>
      </w:r>
      <w:r w:rsidRPr="00183A28">
        <w:rPr>
          <w:b/>
          <w:i/>
        </w:rPr>
        <w:t>substance</w:t>
      </w:r>
      <w:r w:rsidRPr="00C00B13">
        <w:t xml:space="preserve"> </w:t>
      </w:r>
      <w:r w:rsidRPr="00183A28">
        <w:t>means any of the following</w:t>
      </w:r>
      <w:r>
        <w:t xml:space="preserve"> substances, </w:t>
      </w:r>
      <w:r w:rsidRPr="00EA6A32">
        <w:t xml:space="preserve">where the substance </w:t>
      </w:r>
      <w:r>
        <w:t>is</w:t>
      </w:r>
      <w:r w:rsidRPr="00EA6A32">
        <w:t xml:space="preserve"> not included in a </w:t>
      </w:r>
      <w:r>
        <w:t>s</w:t>
      </w:r>
      <w:r w:rsidRPr="00EA6A32">
        <w:t>chedule to the</w:t>
      </w:r>
      <w:r>
        <w:t xml:space="preserve"> current</w:t>
      </w:r>
      <w:r w:rsidRPr="00EA6A32">
        <w:t xml:space="preserve"> Poisons Standard or</w:t>
      </w:r>
      <w:r>
        <w:t xml:space="preserve"> expressly</w:t>
      </w:r>
      <w:r w:rsidRPr="00EA6A32">
        <w:t xml:space="preserve"> identified </w:t>
      </w:r>
      <w:r>
        <w:t>on</w:t>
      </w:r>
      <w:r w:rsidRPr="00EA6A32">
        <w:t xml:space="preserve"> the </w:t>
      </w:r>
      <w:r w:rsidR="005D2B5D">
        <w:t>P</w:t>
      </w:r>
      <w:r w:rsidRPr="00EA6A32">
        <w:t xml:space="preserve">rohibited </w:t>
      </w:r>
      <w:r w:rsidR="005D2B5D">
        <w:t>L</w:t>
      </w:r>
      <w:r w:rsidRPr="00EA6A32">
        <w:t>ist:</w:t>
      </w:r>
    </w:p>
    <w:p w:rsidR="00EF7091" w:rsidRPr="001A322B" w:rsidRDefault="00EF7091" w:rsidP="00EF7091">
      <w:pPr>
        <w:pStyle w:val="paragraph"/>
      </w:pPr>
      <w:r w:rsidRPr="00680598">
        <w:tab/>
        <w:t>(</w:t>
      </w:r>
      <w:r w:rsidR="007A7DBE">
        <w:t>a</w:t>
      </w:r>
      <w:r w:rsidRPr="00680598">
        <w:t>)</w:t>
      </w:r>
      <w:r w:rsidRPr="00680598">
        <w:tab/>
      </w:r>
      <w:proofErr w:type="gramStart"/>
      <w:r>
        <w:t>dendrobium</w:t>
      </w:r>
      <w:proofErr w:type="gramEnd"/>
      <w:r>
        <w:t xml:space="preserve"> (</w:t>
      </w:r>
      <w:r w:rsidRPr="009763A4">
        <w:rPr>
          <w:i/>
        </w:rPr>
        <w:t xml:space="preserve">Dendrobium </w:t>
      </w:r>
      <w:proofErr w:type="spellStart"/>
      <w:r w:rsidRPr="009763A4">
        <w:rPr>
          <w:i/>
        </w:rPr>
        <w:t>nobile</w:t>
      </w:r>
      <w:proofErr w:type="spellEnd"/>
      <w:r>
        <w:t>);</w:t>
      </w:r>
    </w:p>
    <w:p w:rsidR="00EF7091" w:rsidRDefault="00EF7091" w:rsidP="007A7DBE">
      <w:pPr>
        <w:pStyle w:val="paragraph"/>
      </w:pPr>
      <w:r>
        <w:tab/>
        <w:t>(</w:t>
      </w:r>
      <w:r w:rsidR="007A7DBE">
        <w:t>b</w:t>
      </w:r>
      <w:r w:rsidRPr="00753C26">
        <w:t>)</w:t>
      </w:r>
      <w:r w:rsidRPr="00753C26">
        <w:tab/>
      </w:r>
      <w:proofErr w:type="spellStart"/>
      <w:proofErr w:type="gramStart"/>
      <w:r>
        <w:t>methylliberine</w:t>
      </w:r>
      <w:proofErr w:type="spellEnd"/>
      <w:proofErr w:type="gramEnd"/>
      <w:r w:rsidR="007A7DBE">
        <w:t>.</w:t>
      </w:r>
    </w:p>
    <w:p w:rsidR="00EF7091" w:rsidRDefault="00EF7091" w:rsidP="00EF7091">
      <w:pPr>
        <w:pStyle w:val="Definition"/>
        <w:rPr>
          <w:b/>
          <w:i/>
        </w:rPr>
      </w:pPr>
      <w:proofErr w:type="gramStart"/>
      <w:r>
        <w:rPr>
          <w:b/>
          <w:i/>
        </w:rPr>
        <w:t>tablet</w:t>
      </w:r>
      <w:proofErr w:type="gramEnd"/>
      <w:r w:rsidRPr="00C00B13">
        <w:t xml:space="preserve"> </w:t>
      </w:r>
      <w:r>
        <w:t>has the same meaning as in TGO 101</w:t>
      </w:r>
      <w:r>
        <w:rPr>
          <w:i/>
        </w:rPr>
        <w:t>.</w:t>
      </w:r>
    </w:p>
    <w:p w:rsidR="00EF7091" w:rsidRDefault="00EF7091" w:rsidP="00EF7091">
      <w:pPr>
        <w:pStyle w:val="Definition"/>
        <w:rPr>
          <w:iCs/>
        </w:rPr>
      </w:pPr>
      <w:r>
        <w:rPr>
          <w:b/>
          <w:i/>
        </w:rPr>
        <w:t>TGO 101</w:t>
      </w:r>
      <w:r w:rsidRPr="00C00B13">
        <w:t xml:space="preserve"> </w:t>
      </w:r>
      <w:r>
        <w:t xml:space="preserve">means </w:t>
      </w:r>
      <w:r w:rsidRPr="00680598">
        <w:t xml:space="preserve">the </w:t>
      </w:r>
      <w:r w:rsidRPr="00680598">
        <w:rPr>
          <w:i/>
          <w:iCs/>
        </w:rPr>
        <w:t>Therapeutic Goods (Standard for Tablets, Capsules and Pills) (TGO 101) Order 2019</w:t>
      </w:r>
      <w:r>
        <w:rPr>
          <w:iCs/>
        </w:rPr>
        <w:t>.</w:t>
      </w:r>
    </w:p>
    <w:p w:rsidR="00EF7091" w:rsidRPr="00680598" w:rsidRDefault="00EF7091" w:rsidP="00EF7091">
      <w:pPr>
        <w:pStyle w:val="notetext"/>
      </w:pPr>
      <w:r w:rsidRPr="00680598">
        <w:t>Note:</w:t>
      </w:r>
      <w:r w:rsidRPr="00680598">
        <w:tab/>
      </w:r>
      <w:r>
        <w:t xml:space="preserve">TGO 101 </w:t>
      </w:r>
      <w:r w:rsidR="008F275A">
        <w:t xml:space="preserve">is a legislative instrument </w:t>
      </w:r>
      <w:r>
        <w:t xml:space="preserve">published on the Federal Register of Legislation at </w:t>
      </w:r>
      <w:hyperlink r:id="rId20" w:history="1">
        <w:r w:rsidRPr="00680598">
          <w:t>https://www.legislation.gov.au</w:t>
        </w:r>
      </w:hyperlink>
      <w:r>
        <w:t>.</w:t>
      </w:r>
    </w:p>
    <w:p w:rsidR="005E317F" w:rsidRPr="00443DF0" w:rsidRDefault="005D2B5D" w:rsidP="005E317F">
      <w:pPr>
        <w:pStyle w:val="ItemHead"/>
      </w:pPr>
      <w:proofErr w:type="gramStart"/>
      <w:r>
        <w:t>3</w:t>
      </w:r>
      <w:r w:rsidR="005E317F" w:rsidRPr="00443DF0">
        <w:t xml:space="preserve">  </w:t>
      </w:r>
      <w:r w:rsidR="00943DD6">
        <w:t>Part</w:t>
      </w:r>
      <w:proofErr w:type="gramEnd"/>
      <w:r w:rsidR="00943DD6">
        <w:t xml:space="preserve"> 2 of Schedule 1</w:t>
      </w:r>
      <w:r w:rsidR="00361FC9">
        <w:t xml:space="preserve"> (</w:t>
      </w:r>
      <w:r w:rsidR="00D11813">
        <w:t>before</w:t>
      </w:r>
      <w:r w:rsidR="00361FC9">
        <w:t xml:space="preserve"> table</w:t>
      </w:r>
      <w:r w:rsidR="00D11813">
        <w:t xml:space="preserve"> item 1</w:t>
      </w:r>
      <w:r w:rsidR="00361FC9">
        <w:t>)</w:t>
      </w:r>
    </w:p>
    <w:p w:rsidR="005E317F" w:rsidRDefault="00D11813" w:rsidP="005E317F">
      <w:pPr>
        <w:pStyle w:val="Item"/>
      </w:pPr>
      <w:r>
        <w:t>Insert</w:t>
      </w:r>
      <w:r w:rsidR="005E317F" w:rsidRPr="00443DF0">
        <w:t>:</w:t>
      </w:r>
    </w:p>
    <w:tbl>
      <w:tblPr>
        <w:tblpPr w:leftFromText="180" w:rightFromText="180" w:vertAnchor="text" w:tblpY="1"/>
        <w:tblOverlap w:val="never"/>
        <w:tblW w:w="5000" w:type="pct"/>
        <w:tblLayout w:type="fixed"/>
        <w:tblLook w:val="0000" w:firstRow="0" w:lastRow="0" w:firstColumn="0" w:lastColumn="0" w:noHBand="0" w:noVBand="0"/>
      </w:tblPr>
      <w:tblGrid>
        <w:gridCol w:w="1083"/>
        <w:gridCol w:w="3790"/>
        <w:gridCol w:w="3440"/>
      </w:tblGrid>
      <w:tr w:rsidR="00361FC9" w:rsidTr="00361FC9">
        <w:trPr>
          <w:trHeight w:val="283"/>
        </w:trPr>
        <w:tc>
          <w:tcPr>
            <w:tcW w:w="651" w:type="pct"/>
          </w:tcPr>
          <w:p w:rsidR="00361FC9" w:rsidRDefault="00D11813" w:rsidP="007C5DB5">
            <w:pPr>
              <w:pStyle w:val="Tabletext"/>
            </w:pPr>
            <w:r>
              <w:t>1A</w:t>
            </w:r>
          </w:p>
        </w:tc>
        <w:tc>
          <w:tcPr>
            <w:tcW w:w="2278" w:type="pct"/>
            <w:shd w:val="clear" w:color="auto" w:fill="auto"/>
          </w:tcPr>
          <w:p w:rsidR="00361FC9" w:rsidRPr="00BD135A" w:rsidRDefault="005D2B5D" w:rsidP="007C5DB5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g</w:t>
            </w:r>
            <w:r w:rsidR="00361FC9" w:rsidRPr="00BD135A">
              <w:rPr>
                <w:szCs w:val="22"/>
              </w:rPr>
              <w:t>oods</w:t>
            </w:r>
            <w:r>
              <w:rPr>
                <w:szCs w:val="22"/>
              </w:rPr>
              <w:t xml:space="preserve"> </w:t>
            </w:r>
            <w:r w:rsidR="00361FC9" w:rsidRPr="00BD135A">
              <w:rPr>
                <w:szCs w:val="22"/>
              </w:rPr>
              <w:t xml:space="preserve">for oral administration </w:t>
            </w:r>
            <w:r w:rsidR="00BD3734">
              <w:rPr>
                <w:szCs w:val="22"/>
              </w:rPr>
              <w:t xml:space="preserve">that </w:t>
            </w:r>
            <w:r w:rsidR="00361FC9">
              <w:rPr>
                <w:szCs w:val="22"/>
              </w:rPr>
              <w:t xml:space="preserve">are </w:t>
            </w:r>
            <w:r w:rsidR="00361FC9" w:rsidRPr="00BD135A">
              <w:rPr>
                <w:szCs w:val="22"/>
              </w:rPr>
              <w:t xml:space="preserve">represented </w:t>
            </w:r>
            <w:r w:rsidR="00361FC9">
              <w:rPr>
                <w:szCs w:val="22"/>
              </w:rPr>
              <w:t xml:space="preserve">(expressly or by implication) </w:t>
            </w:r>
            <w:r w:rsidR="00361FC9" w:rsidRPr="00BD135A">
              <w:rPr>
                <w:szCs w:val="22"/>
              </w:rPr>
              <w:t xml:space="preserve">as being for the improvement </w:t>
            </w:r>
            <w:r w:rsidR="00361FC9">
              <w:rPr>
                <w:szCs w:val="22"/>
              </w:rPr>
              <w:t xml:space="preserve">or maintenance </w:t>
            </w:r>
            <w:r w:rsidR="00361FC9" w:rsidRPr="00BD135A">
              <w:rPr>
                <w:szCs w:val="22"/>
              </w:rPr>
              <w:t xml:space="preserve">of physical or mental performance in sport, exercise or recreational activity, </w:t>
            </w:r>
            <w:r w:rsidR="00361FC9">
              <w:rPr>
                <w:szCs w:val="22"/>
              </w:rPr>
              <w:t xml:space="preserve">and </w:t>
            </w:r>
            <w:r>
              <w:rPr>
                <w:szCs w:val="22"/>
              </w:rPr>
              <w:t>that</w:t>
            </w:r>
            <w:r w:rsidR="00361FC9" w:rsidRPr="00BD135A">
              <w:rPr>
                <w:szCs w:val="22"/>
              </w:rPr>
              <w:t>:</w:t>
            </w:r>
          </w:p>
          <w:p w:rsidR="00361FC9" w:rsidRPr="00BD135A" w:rsidRDefault="00361FC9" w:rsidP="001E782F">
            <w:pPr>
              <w:pStyle w:val="Tabletext"/>
              <w:ind w:left="363" w:right="92" w:hanging="363"/>
              <w:rPr>
                <w:szCs w:val="22"/>
              </w:rPr>
            </w:pPr>
            <w:r w:rsidRPr="00BD135A">
              <w:rPr>
                <w:szCs w:val="22"/>
              </w:rPr>
              <w:t>(a)</w:t>
            </w:r>
            <w:r w:rsidRPr="00BD135A">
              <w:rPr>
                <w:szCs w:val="22"/>
              </w:rPr>
              <w:tab/>
              <w:t>contain, or are represented</w:t>
            </w:r>
            <w:r>
              <w:rPr>
                <w:szCs w:val="22"/>
              </w:rPr>
              <w:t xml:space="preserve"> (expressly or by implication) to </w:t>
            </w:r>
            <w:r w:rsidRPr="00BD135A">
              <w:rPr>
                <w:szCs w:val="22"/>
              </w:rPr>
              <w:t xml:space="preserve">contain, one or </w:t>
            </w:r>
            <w:r w:rsidRPr="00BD135A">
              <w:rPr>
                <w:szCs w:val="22"/>
              </w:rPr>
              <w:lastRenderedPageBreak/>
              <w:t>more of the following</w:t>
            </w:r>
            <w:r>
              <w:rPr>
                <w:szCs w:val="22"/>
              </w:rPr>
              <w:t xml:space="preserve"> </w:t>
            </w:r>
            <w:r w:rsidR="005D2B5D">
              <w:rPr>
                <w:szCs w:val="22"/>
              </w:rPr>
              <w:t>substances</w:t>
            </w:r>
            <w:r w:rsidR="00F46729">
              <w:rPr>
                <w:szCs w:val="22"/>
              </w:rPr>
              <w:t xml:space="preserve"> </w:t>
            </w:r>
            <w:r>
              <w:rPr>
                <w:szCs w:val="22"/>
              </w:rPr>
              <w:t>(however described or named)</w:t>
            </w:r>
            <w:r w:rsidRPr="00BD135A">
              <w:rPr>
                <w:szCs w:val="22"/>
              </w:rPr>
              <w:t>:</w:t>
            </w:r>
          </w:p>
          <w:p w:rsidR="00361FC9" w:rsidRPr="00BD135A" w:rsidRDefault="00361FC9" w:rsidP="007C5DB5">
            <w:pPr>
              <w:pStyle w:val="Tabletext"/>
              <w:ind w:left="795" w:hanging="433"/>
              <w:rPr>
                <w:szCs w:val="22"/>
              </w:rPr>
            </w:pPr>
            <w:r w:rsidRPr="00BD135A">
              <w:rPr>
                <w:szCs w:val="22"/>
              </w:rPr>
              <w:t>(</w:t>
            </w:r>
            <w:proofErr w:type="spellStart"/>
            <w:r w:rsidRPr="00BD135A">
              <w:rPr>
                <w:szCs w:val="22"/>
              </w:rPr>
              <w:t>i</w:t>
            </w:r>
            <w:proofErr w:type="spellEnd"/>
            <w:r w:rsidRPr="00BD135A">
              <w:rPr>
                <w:szCs w:val="22"/>
              </w:rPr>
              <w:t>)</w:t>
            </w:r>
            <w:r w:rsidRPr="00BD135A">
              <w:rPr>
                <w:szCs w:val="22"/>
              </w:rPr>
              <w:tab/>
              <w:t xml:space="preserve">a substance included in a </w:t>
            </w:r>
            <w:r>
              <w:rPr>
                <w:szCs w:val="22"/>
              </w:rPr>
              <w:t>s</w:t>
            </w:r>
            <w:r w:rsidRPr="00BD135A">
              <w:rPr>
                <w:szCs w:val="22"/>
              </w:rPr>
              <w:t>che</w:t>
            </w:r>
            <w:r>
              <w:rPr>
                <w:szCs w:val="22"/>
              </w:rPr>
              <w:t>dule to the current Poisons Standard;</w:t>
            </w:r>
            <w:r w:rsidR="009C3419">
              <w:rPr>
                <w:szCs w:val="22"/>
              </w:rPr>
              <w:t xml:space="preserve"> or</w:t>
            </w:r>
          </w:p>
          <w:p w:rsidR="00361FC9" w:rsidRPr="00BD135A" w:rsidRDefault="00361FC9" w:rsidP="007C5DB5">
            <w:pPr>
              <w:pStyle w:val="Tabletext"/>
              <w:ind w:left="795" w:hanging="433"/>
              <w:rPr>
                <w:szCs w:val="22"/>
              </w:rPr>
            </w:pPr>
            <w:r w:rsidRPr="00BD135A">
              <w:rPr>
                <w:szCs w:val="22"/>
              </w:rPr>
              <w:t>(ii)</w:t>
            </w:r>
            <w:r w:rsidRPr="00BD135A">
              <w:rPr>
                <w:szCs w:val="22"/>
              </w:rPr>
              <w:tab/>
              <w:t>a</w:t>
            </w:r>
            <w:r>
              <w:rPr>
                <w:szCs w:val="22"/>
              </w:rPr>
              <w:t xml:space="preserve"> substance</w:t>
            </w:r>
            <w:r w:rsidRPr="0053699C">
              <w:rPr>
                <w:rFonts w:eastAsiaTheme="minorHAnsi" w:cstheme="minorBidi"/>
                <w:sz w:val="22"/>
                <w:lang w:eastAsia="en-US"/>
              </w:rPr>
              <w:t xml:space="preserve"> </w:t>
            </w:r>
            <w:r w:rsidRPr="0053699C">
              <w:rPr>
                <w:szCs w:val="22"/>
              </w:rPr>
              <w:t>expre</w:t>
            </w:r>
            <w:r>
              <w:rPr>
                <w:szCs w:val="22"/>
              </w:rPr>
              <w:t xml:space="preserve">ssly identified </w:t>
            </w:r>
            <w:r w:rsidRPr="0053699C">
              <w:rPr>
                <w:szCs w:val="22"/>
              </w:rPr>
              <w:t xml:space="preserve">on the </w:t>
            </w:r>
            <w:r>
              <w:rPr>
                <w:szCs w:val="22"/>
              </w:rPr>
              <w:t>P</w:t>
            </w:r>
            <w:r w:rsidRPr="0053699C">
              <w:rPr>
                <w:szCs w:val="22"/>
              </w:rPr>
              <w:t xml:space="preserve">rohibited </w:t>
            </w:r>
            <w:r>
              <w:rPr>
                <w:szCs w:val="22"/>
              </w:rPr>
              <w:t>L</w:t>
            </w:r>
            <w:r w:rsidRPr="0053699C">
              <w:rPr>
                <w:szCs w:val="22"/>
              </w:rPr>
              <w:t>ist</w:t>
            </w:r>
            <w:r w:rsidR="00F46729" w:rsidRPr="00F46729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 </w:t>
            </w:r>
            <w:r w:rsidR="00F46729" w:rsidRPr="00F46729">
              <w:rPr>
                <w:szCs w:val="22"/>
              </w:rPr>
              <w:t>that is added as an ingredient to the goods</w:t>
            </w:r>
            <w:r>
              <w:rPr>
                <w:szCs w:val="22"/>
              </w:rPr>
              <w:t>;</w:t>
            </w:r>
            <w:r w:rsidR="009C3419">
              <w:rPr>
                <w:szCs w:val="22"/>
              </w:rPr>
              <w:t xml:space="preserve"> or</w:t>
            </w:r>
          </w:p>
          <w:p w:rsidR="00361FC9" w:rsidRPr="00BD135A" w:rsidRDefault="00361FC9" w:rsidP="007C5DB5">
            <w:pPr>
              <w:pStyle w:val="Tabletext"/>
              <w:ind w:left="795" w:hanging="433"/>
              <w:rPr>
                <w:szCs w:val="22"/>
              </w:rPr>
            </w:pPr>
            <w:r w:rsidRPr="00BD135A">
              <w:rPr>
                <w:szCs w:val="22"/>
              </w:rPr>
              <w:t>(iii)</w:t>
            </w:r>
            <w:r w:rsidRPr="00BD135A">
              <w:rPr>
                <w:szCs w:val="22"/>
              </w:rPr>
              <w:tab/>
              <w:t>a</w:t>
            </w:r>
            <w:r>
              <w:rPr>
                <w:szCs w:val="22"/>
              </w:rPr>
              <w:t xml:space="preserve"> relevant substance</w:t>
            </w:r>
            <w:r w:rsidR="00F46729" w:rsidRPr="00F46729">
              <w:rPr>
                <w:rFonts w:eastAsiaTheme="minorHAnsi" w:cstheme="minorBidi"/>
                <w:sz w:val="22"/>
                <w:szCs w:val="22"/>
                <w:lang w:eastAsia="en-US"/>
              </w:rPr>
              <w:t xml:space="preserve"> </w:t>
            </w:r>
            <w:r w:rsidR="00F46729" w:rsidRPr="00F46729">
              <w:rPr>
                <w:szCs w:val="22"/>
              </w:rPr>
              <w:t>that is added as an ingredient to the goods</w:t>
            </w:r>
            <w:r>
              <w:rPr>
                <w:szCs w:val="22"/>
              </w:rPr>
              <w:t>;</w:t>
            </w:r>
            <w:r w:rsidR="009C3419">
              <w:rPr>
                <w:szCs w:val="22"/>
              </w:rPr>
              <w:t xml:space="preserve"> or</w:t>
            </w:r>
          </w:p>
          <w:p w:rsidR="00361FC9" w:rsidRPr="00BD135A" w:rsidRDefault="00361FC9" w:rsidP="007C5DB5">
            <w:pPr>
              <w:pStyle w:val="Tabletext"/>
              <w:ind w:left="795" w:hanging="433"/>
              <w:rPr>
                <w:szCs w:val="22"/>
              </w:rPr>
            </w:pPr>
            <w:r w:rsidRPr="00BD135A">
              <w:rPr>
                <w:szCs w:val="22"/>
              </w:rPr>
              <w:t>(iv)</w:t>
            </w:r>
            <w:r w:rsidRPr="00BD135A">
              <w:rPr>
                <w:szCs w:val="22"/>
              </w:rPr>
              <w:tab/>
              <w:t xml:space="preserve">a substance with </w:t>
            </w:r>
            <w:r>
              <w:rPr>
                <w:szCs w:val="22"/>
              </w:rPr>
              <w:t>equivalent</w:t>
            </w:r>
            <w:r w:rsidRPr="00BD135A">
              <w:rPr>
                <w:szCs w:val="22"/>
              </w:rPr>
              <w:t xml:space="preserve"> pharmacological action to a substance mentioned in subparagraph (</w:t>
            </w:r>
            <w:proofErr w:type="spellStart"/>
            <w:r w:rsidRPr="00BD135A">
              <w:rPr>
                <w:szCs w:val="22"/>
              </w:rPr>
              <w:t>i</w:t>
            </w:r>
            <w:proofErr w:type="spellEnd"/>
            <w:r w:rsidRPr="00BD135A">
              <w:rPr>
                <w:szCs w:val="22"/>
              </w:rPr>
              <w:t>)</w:t>
            </w:r>
            <w:r>
              <w:rPr>
                <w:szCs w:val="22"/>
              </w:rPr>
              <w:t xml:space="preserve">, (ii) or </w:t>
            </w:r>
            <w:r w:rsidRPr="00BD135A">
              <w:rPr>
                <w:szCs w:val="22"/>
              </w:rPr>
              <w:t xml:space="preserve">(iii), including those that may be characterised as an active principle, precursor, derivative, salt, </w:t>
            </w:r>
            <w:r>
              <w:rPr>
                <w:szCs w:val="22"/>
              </w:rPr>
              <w:t>ester, ether or stereoisomer; or</w:t>
            </w:r>
          </w:p>
          <w:p w:rsidR="00361FC9" w:rsidRPr="00BD135A" w:rsidRDefault="00361FC9" w:rsidP="00A0168F">
            <w:pPr>
              <w:pStyle w:val="Tabletext"/>
              <w:ind w:left="363" w:hanging="363"/>
            </w:pPr>
            <w:r w:rsidRPr="00BD135A">
              <w:t>(b)</w:t>
            </w:r>
            <w:r w:rsidRPr="00BD135A">
              <w:tab/>
            </w:r>
            <w:r w:rsidR="005D2B5D">
              <w:t>on or after</w:t>
            </w:r>
            <w:r w:rsidR="00D11813">
              <w:t xml:space="preserve"> </w:t>
            </w:r>
            <w:r w:rsidR="00570C3C">
              <w:t>30 November 2023</w:t>
            </w:r>
            <w:r w:rsidR="00DC166C">
              <w:t>, are</w:t>
            </w:r>
            <w:r w:rsidR="00BD3734">
              <w:t xml:space="preserve"> supplied </w:t>
            </w:r>
            <w:r w:rsidRPr="00BD135A">
              <w:t>in the dosage form of a tablet, capsule or pill</w:t>
            </w:r>
            <w:r w:rsidR="00867AF0">
              <w:t>,</w:t>
            </w:r>
            <w:r w:rsidR="005D2B5D">
              <w:t xml:space="preserve"> </w:t>
            </w:r>
            <w:r w:rsidR="00BD3734">
              <w:t>other than those goods containing glucose only</w:t>
            </w:r>
          </w:p>
        </w:tc>
        <w:tc>
          <w:tcPr>
            <w:tcW w:w="2068" w:type="pct"/>
          </w:tcPr>
          <w:p w:rsidR="00361FC9" w:rsidRDefault="00361FC9" w:rsidP="007C5DB5">
            <w:pPr>
              <w:pStyle w:val="Tabletext"/>
              <w:tabs>
                <w:tab w:val="left" w:pos="0"/>
              </w:tabs>
              <w:rPr>
                <w:szCs w:val="22"/>
              </w:rPr>
            </w:pPr>
            <w:r>
              <w:lastRenderedPageBreak/>
              <w:t>when the goods are used, advertised, or presented for supply</w:t>
            </w:r>
            <w:r>
              <w:rPr>
                <w:szCs w:val="22"/>
              </w:rPr>
              <w:t>:</w:t>
            </w:r>
          </w:p>
          <w:p w:rsidR="00361FC9" w:rsidRDefault="00361FC9" w:rsidP="007C5DB5">
            <w:pPr>
              <w:pStyle w:val="Tabletext"/>
              <w:tabs>
                <w:tab w:val="left" w:pos="362"/>
              </w:tabs>
              <w:ind w:left="362" w:hanging="362"/>
              <w:rPr>
                <w:szCs w:val="22"/>
              </w:rPr>
            </w:pPr>
            <w:r>
              <w:rPr>
                <w:szCs w:val="22"/>
              </w:rPr>
              <w:t>(a)</w:t>
            </w:r>
            <w:r>
              <w:rPr>
                <w:szCs w:val="22"/>
              </w:rPr>
              <w:tab/>
              <w:t>for therapeutic use; or</w:t>
            </w:r>
          </w:p>
          <w:p w:rsidR="00361FC9" w:rsidRDefault="00361FC9" w:rsidP="007C5DB5">
            <w:pPr>
              <w:pStyle w:val="Tabletext"/>
              <w:ind w:left="362" w:hanging="362"/>
              <w:rPr>
                <w:szCs w:val="22"/>
              </w:rPr>
            </w:pPr>
            <w:r>
              <w:rPr>
                <w:szCs w:val="22"/>
              </w:rPr>
              <w:t>(b)</w:t>
            </w:r>
            <w:r>
              <w:rPr>
                <w:szCs w:val="22"/>
              </w:rPr>
              <w:tab/>
              <w:t>in a way that is likely to be taken to be for therapeutic use;</w:t>
            </w:r>
          </w:p>
          <w:p w:rsidR="00361FC9" w:rsidRDefault="00361FC9" w:rsidP="007C5DB5">
            <w:pPr>
              <w:pStyle w:val="Tabletext"/>
              <w:rPr>
                <w:szCs w:val="22"/>
              </w:rPr>
            </w:pPr>
            <w:r>
              <w:rPr>
                <w:szCs w:val="22"/>
              </w:rPr>
              <w:t>including, but not limited to, one or more of the following therapeutic uses:</w:t>
            </w:r>
          </w:p>
          <w:p w:rsidR="00361FC9" w:rsidRDefault="00361FC9" w:rsidP="007C5DB5">
            <w:pPr>
              <w:pStyle w:val="Tabletext"/>
              <w:tabs>
                <w:tab w:val="left" w:pos="362"/>
              </w:tabs>
              <w:ind w:left="362" w:hanging="362"/>
              <w:rPr>
                <w:szCs w:val="22"/>
              </w:rPr>
            </w:pPr>
            <w:r>
              <w:rPr>
                <w:szCs w:val="22"/>
              </w:rPr>
              <w:t>(c)</w:t>
            </w:r>
            <w:r>
              <w:rPr>
                <w:szCs w:val="22"/>
              </w:rPr>
              <w:tab/>
              <w:t>gaining muscle;</w:t>
            </w:r>
          </w:p>
          <w:p w:rsidR="00361FC9" w:rsidRDefault="00361FC9" w:rsidP="007C5DB5">
            <w:pPr>
              <w:pStyle w:val="Tabletext"/>
              <w:tabs>
                <w:tab w:val="left" w:pos="362"/>
              </w:tabs>
              <w:ind w:left="362" w:hanging="362"/>
              <w:rPr>
                <w:szCs w:val="22"/>
              </w:rPr>
            </w:pPr>
            <w:r>
              <w:rPr>
                <w:szCs w:val="22"/>
              </w:rPr>
              <w:lastRenderedPageBreak/>
              <w:t>(d)</w:t>
            </w:r>
            <w:r>
              <w:rPr>
                <w:szCs w:val="22"/>
              </w:rPr>
              <w:tab/>
              <w:t>increasing mental focus;</w:t>
            </w:r>
          </w:p>
          <w:p w:rsidR="00361FC9" w:rsidRDefault="00361FC9" w:rsidP="007C5DB5">
            <w:pPr>
              <w:pStyle w:val="Tabletext"/>
              <w:tabs>
                <w:tab w:val="left" w:pos="362"/>
              </w:tabs>
              <w:ind w:left="362" w:hanging="362"/>
              <w:rPr>
                <w:szCs w:val="22"/>
              </w:rPr>
            </w:pPr>
            <w:r>
              <w:rPr>
                <w:szCs w:val="22"/>
              </w:rPr>
              <w:t>(e)</w:t>
            </w:r>
            <w:r>
              <w:rPr>
                <w:szCs w:val="22"/>
              </w:rPr>
              <w:tab/>
              <w:t>increasing metabolism;</w:t>
            </w:r>
          </w:p>
          <w:p w:rsidR="00361FC9" w:rsidRDefault="00361FC9" w:rsidP="007C5DB5">
            <w:pPr>
              <w:pStyle w:val="Tabletext"/>
              <w:tabs>
                <w:tab w:val="left" w:pos="362"/>
              </w:tabs>
              <w:ind w:left="362" w:hanging="362"/>
              <w:rPr>
                <w:szCs w:val="22"/>
              </w:rPr>
            </w:pPr>
            <w:r>
              <w:rPr>
                <w:szCs w:val="22"/>
              </w:rPr>
              <w:t>(f)</w:t>
            </w:r>
            <w:r>
              <w:rPr>
                <w:szCs w:val="22"/>
              </w:rPr>
              <w:tab/>
              <w:t>increasing stamina;</w:t>
            </w:r>
          </w:p>
          <w:p w:rsidR="00361FC9" w:rsidRDefault="00361FC9" w:rsidP="007C5DB5">
            <w:pPr>
              <w:pStyle w:val="Tabletext"/>
              <w:tabs>
                <w:tab w:val="left" w:pos="362"/>
              </w:tabs>
              <w:ind w:left="362" w:hanging="362"/>
              <w:rPr>
                <w:szCs w:val="22"/>
              </w:rPr>
            </w:pPr>
            <w:r>
              <w:rPr>
                <w:szCs w:val="22"/>
              </w:rPr>
              <w:t>(g)</w:t>
            </w:r>
            <w:r>
              <w:rPr>
                <w:szCs w:val="22"/>
              </w:rPr>
              <w:tab/>
              <w:t>increasing testosterone levels, reducing oestrogen levels or otherwise modifying hormone levels;</w:t>
            </w:r>
          </w:p>
          <w:p w:rsidR="00361FC9" w:rsidRDefault="00361FC9" w:rsidP="007C5DB5">
            <w:pPr>
              <w:pStyle w:val="Tabletext"/>
              <w:tabs>
                <w:tab w:val="left" w:pos="362"/>
              </w:tabs>
              <w:ind w:left="362" w:hanging="362"/>
              <w:rPr>
                <w:szCs w:val="22"/>
              </w:rPr>
            </w:pPr>
            <w:r>
              <w:rPr>
                <w:szCs w:val="22"/>
              </w:rPr>
              <w:t>(h)</w:t>
            </w:r>
            <w:r>
              <w:rPr>
                <w:szCs w:val="22"/>
              </w:rPr>
              <w:tab/>
              <w:t>losing weight or fat;</w:t>
            </w:r>
          </w:p>
          <w:p w:rsidR="00361FC9" w:rsidRDefault="00361FC9" w:rsidP="007C5DB5">
            <w:pPr>
              <w:pStyle w:val="Tabletext"/>
              <w:tabs>
                <w:tab w:val="left" w:pos="362"/>
              </w:tabs>
              <w:ind w:left="362" w:hanging="362"/>
              <w:rPr>
                <w:szCs w:val="22"/>
              </w:rPr>
            </w:pPr>
            <w:r>
              <w:rPr>
                <w:szCs w:val="22"/>
              </w:rPr>
              <w:t>(</w:t>
            </w:r>
            <w:proofErr w:type="spellStart"/>
            <w:r>
              <w:rPr>
                <w:szCs w:val="22"/>
              </w:rPr>
              <w:t>i</w:t>
            </w:r>
            <w:proofErr w:type="spellEnd"/>
            <w:r>
              <w:rPr>
                <w:szCs w:val="22"/>
              </w:rPr>
              <w:t>)</w:t>
            </w:r>
            <w:r>
              <w:rPr>
                <w:szCs w:val="22"/>
              </w:rPr>
              <w:tab/>
              <w:t>preparing for workout;</w:t>
            </w:r>
          </w:p>
          <w:p w:rsidR="00361FC9" w:rsidRDefault="00361FC9" w:rsidP="007C5DB5">
            <w:pPr>
              <w:pStyle w:val="Tabletext"/>
              <w:tabs>
                <w:tab w:val="left" w:pos="362"/>
              </w:tabs>
              <w:ind w:left="362" w:hanging="362"/>
              <w:rPr>
                <w:szCs w:val="22"/>
              </w:rPr>
            </w:pPr>
            <w:r>
              <w:rPr>
                <w:szCs w:val="22"/>
              </w:rPr>
              <w:t>(j)</w:t>
            </w:r>
            <w:r>
              <w:rPr>
                <w:szCs w:val="22"/>
              </w:rPr>
              <w:tab/>
              <w:t>recovering from workout</w:t>
            </w:r>
          </w:p>
        </w:tc>
      </w:tr>
    </w:tbl>
    <w:p w:rsidR="003F6F52" w:rsidRPr="00DA182D" w:rsidRDefault="003F6F52" w:rsidP="00361FC9">
      <w:pPr>
        <w:pStyle w:val="BodyPara"/>
        <w:numPr>
          <w:ilvl w:val="0"/>
          <w:numId w:val="0"/>
        </w:numPr>
      </w:pPr>
    </w:p>
    <w:sectPr w:rsidR="003F6F52" w:rsidRPr="00DA182D" w:rsidSect="00B20990">
      <w:headerReference w:type="even" r:id="rId21"/>
      <w:headerReference w:type="default" r:id="rId22"/>
      <w:footerReference w:type="even" r:id="rId23"/>
      <w:footerReference w:type="default" r:id="rId24"/>
      <w:footerReference w:type="first" r:id="rId25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2BF" w:rsidRDefault="00A172BF" w:rsidP="0048364F">
      <w:pPr>
        <w:spacing w:line="240" w:lineRule="auto"/>
      </w:pPr>
      <w:r>
        <w:separator/>
      </w:r>
    </w:p>
  </w:endnote>
  <w:endnote w:type="continuationSeparator" w:id="0">
    <w:p w:rsidR="00A172BF" w:rsidRDefault="00A172BF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9278C1" w:rsidTr="0001176A">
      <w:tc>
        <w:tcPr>
          <w:tcW w:w="5000" w:type="pct"/>
        </w:tcPr>
        <w:p w:rsidR="009278C1" w:rsidRDefault="009278C1" w:rsidP="0001176A">
          <w:pPr>
            <w:rPr>
              <w:sz w:val="18"/>
            </w:rPr>
          </w:pPr>
        </w:p>
      </w:tc>
    </w:tr>
  </w:tbl>
  <w:p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B20990" w:rsidTr="00C160A1">
      <w:tc>
        <w:tcPr>
          <w:tcW w:w="5000" w:type="pct"/>
        </w:tcPr>
        <w:p w:rsidR="00B20990" w:rsidRDefault="00B20990" w:rsidP="007946FE">
          <w:pPr>
            <w:rPr>
              <w:sz w:val="18"/>
            </w:rPr>
          </w:pPr>
        </w:p>
      </w:tc>
    </w:tr>
  </w:tbl>
  <w:p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:rsidTr="00C160A1">
      <w:tc>
        <w:tcPr>
          <w:tcW w:w="5000" w:type="pct"/>
        </w:tcPr>
        <w:p w:rsidR="00B20990" w:rsidRDefault="00B20990" w:rsidP="00465764">
          <w:pPr>
            <w:rPr>
              <w:sz w:val="18"/>
            </w:rPr>
          </w:pPr>
        </w:p>
      </w:tc>
    </w:tr>
  </w:tbl>
  <w:p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B20990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8A68D8">
            <w:rPr>
              <w:i/>
              <w:noProof/>
              <w:sz w:val="18"/>
            </w:rPr>
            <w:t>Therapeutic Goods (Declared Goods) Amendment (Sports Supplements) Order 2020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:rsidR="00B20990" w:rsidRDefault="00B20990" w:rsidP="007946FE">
          <w:pPr>
            <w:jc w:val="right"/>
            <w:rPr>
              <w:sz w:val="18"/>
            </w:rPr>
          </w:pPr>
        </w:p>
      </w:tc>
    </w:tr>
  </w:tbl>
  <w:p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7FD" w:rsidRPr="00E33C1C" w:rsidRDefault="002D47FD" w:rsidP="002D47F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364" w:type="dxa"/>
      <w:tblLayout w:type="fixed"/>
      <w:tblLook w:val="04A0" w:firstRow="1" w:lastRow="0" w:firstColumn="1" w:lastColumn="0" w:noHBand="0" w:noVBand="1"/>
    </w:tblPr>
    <w:tblGrid>
      <w:gridCol w:w="1134"/>
      <w:gridCol w:w="6379"/>
      <w:gridCol w:w="851"/>
    </w:tblGrid>
    <w:tr w:rsidR="002D47FD" w:rsidTr="00F947F8">
      <w:tc>
        <w:tcPr>
          <w:tcW w:w="1134" w:type="dxa"/>
          <w:tcBorders>
            <w:top w:val="nil"/>
            <w:left w:val="nil"/>
            <w:bottom w:val="nil"/>
            <w:right w:val="nil"/>
          </w:tcBorders>
        </w:tcPr>
        <w:p w:rsidR="002D47FD" w:rsidRDefault="002D47FD" w:rsidP="002D47FD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2D47FD" w:rsidRDefault="002D47FD" w:rsidP="00A31196">
          <w:pPr>
            <w:spacing w:line="0" w:lineRule="atLeast"/>
            <w:ind w:left="17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E14DA9">
            <w:rPr>
              <w:i/>
              <w:noProof/>
              <w:sz w:val="18"/>
            </w:rPr>
            <w:t>Therapeutic Goods (Declared Goods) Amendment (Sports Supplements) Order 2020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851" w:type="dxa"/>
          <w:tcBorders>
            <w:top w:val="nil"/>
            <w:left w:val="nil"/>
            <w:bottom w:val="nil"/>
            <w:right w:val="nil"/>
          </w:tcBorders>
        </w:tcPr>
        <w:p w:rsidR="002D47FD" w:rsidRDefault="002D47FD" w:rsidP="002D47F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14DA9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2D47FD" w:rsidTr="00B1491A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364" w:type="dxa"/>
          <w:gridSpan w:val="3"/>
        </w:tcPr>
        <w:p w:rsidR="002D47FD" w:rsidRDefault="002D47FD" w:rsidP="002D47FD">
          <w:pPr>
            <w:rPr>
              <w:sz w:val="18"/>
            </w:rPr>
          </w:pPr>
        </w:p>
      </w:tc>
    </w:tr>
  </w:tbl>
  <w:p w:rsidR="00B20990" w:rsidRPr="000D2036" w:rsidRDefault="00B20990" w:rsidP="000D2036">
    <w:pPr>
      <w:jc w:val="center"/>
      <w:rPr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9039" w:type="dxa"/>
      <w:tblLayout w:type="fixed"/>
      <w:tblLook w:val="04A0" w:firstRow="1" w:lastRow="0" w:firstColumn="1" w:lastColumn="0" w:noHBand="0" w:noVBand="1"/>
    </w:tblPr>
    <w:tblGrid>
      <w:gridCol w:w="709"/>
      <w:gridCol w:w="6946"/>
      <w:gridCol w:w="817"/>
      <w:gridCol w:w="567"/>
    </w:tblGrid>
    <w:tr w:rsidR="00EE57E8" w:rsidTr="000D2036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14DA9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946" w:type="dxa"/>
          <w:tcBorders>
            <w:top w:val="nil"/>
            <w:left w:val="nil"/>
            <w:bottom w:val="nil"/>
            <w:right w:val="nil"/>
          </w:tcBorders>
        </w:tcPr>
        <w:p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E14DA9">
            <w:rPr>
              <w:i/>
              <w:noProof/>
              <w:sz w:val="18"/>
            </w:rPr>
            <w:t>Therapeutic Goods (Declared Goods) Amendment (Sports Supplements) Order 2020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4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:rsidTr="000D2036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gridAfter w:val="1"/>
        <w:wAfter w:w="567" w:type="dxa"/>
      </w:trPr>
      <w:tc>
        <w:tcPr>
          <w:tcW w:w="8472" w:type="dxa"/>
          <w:gridSpan w:val="3"/>
        </w:tcPr>
        <w:p w:rsidR="00EE57E8" w:rsidRDefault="00EE57E8" w:rsidP="00EE57E8">
          <w:pPr>
            <w:jc w:val="right"/>
            <w:rPr>
              <w:sz w:val="18"/>
            </w:rPr>
          </w:pPr>
        </w:p>
      </w:tc>
    </w:tr>
  </w:tbl>
  <w:p w:rsidR="00EE57E8" w:rsidRPr="000D2036" w:rsidRDefault="00EE57E8" w:rsidP="000D2036">
    <w:pPr>
      <w:jc w:val="center"/>
      <w:rPr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364" w:type="dxa"/>
      <w:tblLayout w:type="fixed"/>
      <w:tblLook w:val="04A0" w:firstRow="1" w:lastRow="0" w:firstColumn="1" w:lastColumn="0" w:noHBand="0" w:noVBand="1"/>
    </w:tblPr>
    <w:tblGrid>
      <w:gridCol w:w="1134"/>
      <w:gridCol w:w="6379"/>
      <w:gridCol w:w="851"/>
    </w:tblGrid>
    <w:tr w:rsidR="00EE57E8" w:rsidTr="000D2036">
      <w:tc>
        <w:tcPr>
          <w:tcW w:w="1134" w:type="dxa"/>
          <w:tcBorders>
            <w:top w:val="nil"/>
            <w:left w:val="nil"/>
            <w:bottom w:val="nil"/>
            <w:right w:val="nil"/>
          </w:tcBorders>
        </w:tcPr>
        <w:p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E14DA9">
            <w:rPr>
              <w:i/>
              <w:noProof/>
              <w:sz w:val="18"/>
            </w:rPr>
            <w:t>Therapeutic Goods (Declared Goods) Amendment (Sports Supplements) Order 2020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851" w:type="dxa"/>
          <w:tcBorders>
            <w:top w:val="nil"/>
            <w:left w:val="nil"/>
            <w:bottom w:val="nil"/>
            <w:right w:val="nil"/>
          </w:tcBorders>
        </w:tcPr>
        <w:p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14DA9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:rsidTr="000D2036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364" w:type="dxa"/>
          <w:gridSpan w:val="3"/>
        </w:tcPr>
        <w:p w:rsidR="00EE57E8" w:rsidRDefault="00EE57E8" w:rsidP="00EE57E8">
          <w:pPr>
            <w:rPr>
              <w:sz w:val="18"/>
            </w:rPr>
          </w:pPr>
        </w:p>
      </w:tc>
    </w:tr>
  </w:tbl>
  <w:p w:rsidR="00EE57E8" w:rsidRPr="000D2036" w:rsidRDefault="00EE57E8" w:rsidP="000D2036">
    <w:pPr>
      <w:jc w:val="center"/>
      <w:rPr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A68D8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8A68D8">
            <w:rPr>
              <w:i/>
              <w:noProof/>
              <w:sz w:val="18"/>
            </w:rPr>
            <w:t>U:\Documents\HPRG Homedrive\Mandy Edlington\Work\Legislation\Section 7 Declaration\Sports supplements declaration\FINAL Therapeutic Goods (Declared Goods) Amendment (Sports Supplements) Order 2020.docx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8A68D8">
            <w:rPr>
              <w:i/>
              <w:noProof/>
              <w:sz w:val="18"/>
            </w:rPr>
            <w:t>18/9/2020 2:36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2BF" w:rsidRDefault="00A172BF" w:rsidP="0048364F">
      <w:pPr>
        <w:spacing w:line="240" w:lineRule="auto"/>
      </w:pPr>
      <w:r>
        <w:separator/>
      </w:r>
    </w:p>
  </w:footnote>
  <w:footnote w:type="continuationSeparator" w:id="0">
    <w:p w:rsidR="00A172BF" w:rsidRDefault="00A172BF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7E8" w:rsidRPr="00A961C4" w:rsidRDefault="00EE57E8" w:rsidP="0048364F">
    <w:pPr>
      <w:rPr>
        <w:b/>
        <w:sz w:val="20"/>
      </w:rPr>
    </w:pPr>
  </w:p>
  <w:p w:rsidR="00EE57E8" w:rsidRPr="00A961C4" w:rsidRDefault="00EE57E8" w:rsidP="0048364F">
    <w:pPr>
      <w:rPr>
        <w:b/>
        <w:sz w:val="20"/>
      </w:rPr>
    </w:pPr>
  </w:p>
  <w:p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7E8" w:rsidRPr="00A961C4" w:rsidRDefault="00EE57E8" w:rsidP="0048364F">
    <w:pPr>
      <w:jc w:val="right"/>
      <w:rPr>
        <w:sz w:val="20"/>
      </w:rPr>
    </w:pPr>
  </w:p>
  <w:p w:rsidR="00EE57E8" w:rsidRPr="00A961C4" w:rsidRDefault="00EE57E8" w:rsidP="0048364F">
    <w:pPr>
      <w:jc w:val="right"/>
      <w:rPr>
        <w:b/>
        <w:sz w:val="20"/>
      </w:rPr>
    </w:pPr>
  </w:p>
  <w:p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7D1"/>
    <w:rsid w:val="00000263"/>
    <w:rsid w:val="00002BCC"/>
    <w:rsid w:val="00005256"/>
    <w:rsid w:val="000113BC"/>
    <w:rsid w:val="000136AF"/>
    <w:rsid w:val="0004044E"/>
    <w:rsid w:val="000461D4"/>
    <w:rsid w:val="0005120E"/>
    <w:rsid w:val="00054577"/>
    <w:rsid w:val="000569A6"/>
    <w:rsid w:val="000614BF"/>
    <w:rsid w:val="0007169C"/>
    <w:rsid w:val="00077593"/>
    <w:rsid w:val="00083F48"/>
    <w:rsid w:val="000A479A"/>
    <w:rsid w:val="000A7DF9"/>
    <w:rsid w:val="000C47DF"/>
    <w:rsid w:val="000D05EF"/>
    <w:rsid w:val="000D2036"/>
    <w:rsid w:val="000D3FB9"/>
    <w:rsid w:val="000D5485"/>
    <w:rsid w:val="000E598E"/>
    <w:rsid w:val="000E5A3D"/>
    <w:rsid w:val="000F0ADA"/>
    <w:rsid w:val="000F21C1"/>
    <w:rsid w:val="0010745C"/>
    <w:rsid w:val="001122FF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452E"/>
    <w:rsid w:val="00195382"/>
    <w:rsid w:val="001A3B9F"/>
    <w:rsid w:val="001A5520"/>
    <w:rsid w:val="001A65C0"/>
    <w:rsid w:val="001B7A5D"/>
    <w:rsid w:val="001C69C4"/>
    <w:rsid w:val="001E0A8D"/>
    <w:rsid w:val="001E3590"/>
    <w:rsid w:val="001E7407"/>
    <w:rsid w:val="001E782F"/>
    <w:rsid w:val="001F1A46"/>
    <w:rsid w:val="00201D27"/>
    <w:rsid w:val="0021153A"/>
    <w:rsid w:val="002245A6"/>
    <w:rsid w:val="002302EA"/>
    <w:rsid w:val="00237614"/>
    <w:rsid w:val="00240749"/>
    <w:rsid w:val="002468D7"/>
    <w:rsid w:val="00247E97"/>
    <w:rsid w:val="00256C81"/>
    <w:rsid w:val="00285CDD"/>
    <w:rsid w:val="00291167"/>
    <w:rsid w:val="0029489E"/>
    <w:rsid w:val="00297ECB"/>
    <w:rsid w:val="002C152A"/>
    <w:rsid w:val="002D043A"/>
    <w:rsid w:val="002D47FD"/>
    <w:rsid w:val="0031713F"/>
    <w:rsid w:val="003222D1"/>
    <w:rsid w:val="0032750F"/>
    <w:rsid w:val="003415D3"/>
    <w:rsid w:val="003442F6"/>
    <w:rsid w:val="00346335"/>
    <w:rsid w:val="00352B0F"/>
    <w:rsid w:val="003561B0"/>
    <w:rsid w:val="00361FC9"/>
    <w:rsid w:val="00370621"/>
    <w:rsid w:val="00397893"/>
    <w:rsid w:val="003A15AC"/>
    <w:rsid w:val="003B0627"/>
    <w:rsid w:val="003C3F14"/>
    <w:rsid w:val="003C5F2B"/>
    <w:rsid w:val="003C7D35"/>
    <w:rsid w:val="003D0BFE"/>
    <w:rsid w:val="003D5700"/>
    <w:rsid w:val="003F52ED"/>
    <w:rsid w:val="003F6F52"/>
    <w:rsid w:val="004022CA"/>
    <w:rsid w:val="00403A25"/>
    <w:rsid w:val="004116CD"/>
    <w:rsid w:val="00414ADE"/>
    <w:rsid w:val="004165CB"/>
    <w:rsid w:val="00423939"/>
    <w:rsid w:val="00424CA9"/>
    <w:rsid w:val="004257BB"/>
    <w:rsid w:val="004270BC"/>
    <w:rsid w:val="00435BDA"/>
    <w:rsid w:val="0044291A"/>
    <w:rsid w:val="00443DF0"/>
    <w:rsid w:val="004600B0"/>
    <w:rsid w:val="00460499"/>
    <w:rsid w:val="00460FBA"/>
    <w:rsid w:val="00474835"/>
    <w:rsid w:val="004819C7"/>
    <w:rsid w:val="0048364F"/>
    <w:rsid w:val="00484E07"/>
    <w:rsid w:val="004877FC"/>
    <w:rsid w:val="00490F2E"/>
    <w:rsid w:val="00496F97"/>
    <w:rsid w:val="004A53EA"/>
    <w:rsid w:val="004B35E7"/>
    <w:rsid w:val="004C7717"/>
    <w:rsid w:val="004D0774"/>
    <w:rsid w:val="004F1FAC"/>
    <w:rsid w:val="004F676E"/>
    <w:rsid w:val="004F71C0"/>
    <w:rsid w:val="00516B8D"/>
    <w:rsid w:val="0052756C"/>
    <w:rsid w:val="00530230"/>
    <w:rsid w:val="00530767"/>
    <w:rsid w:val="00530CC9"/>
    <w:rsid w:val="00531B46"/>
    <w:rsid w:val="00537FBC"/>
    <w:rsid w:val="00541D73"/>
    <w:rsid w:val="00543469"/>
    <w:rsid w:val="00546FA3"/>
    <w:rsid w:val="00557C7A"/>
    <w:rsid w:val="00562A58"/>
    <w:rsid w:val="0056541A"/>
    <w:rsid w:val="00570C3C"/>
    <w:rsid w:val="00581211"/>
    <w:rsid w:val="00584811"/>
    <w:rsid w:val="00593AA6"/>
    <w:rsid w:val="00594161"/>
    <w:rsid w:val="00594749"/>
    <w:rsid w:val="00594956"/>
    <w:rsid w:val="005B1555"/>
    <w:rsid w:val="005B4067"/>
    <w:rsid w:val="005C3F41"/>
    <w:rsid w:val="005C4EF0"/>
    <w:rsid w:val="005D2B5D"/>
    <w:rsid w:val="005D5EA1"/>
    <w:rsid w:val="005E098C"/>
    <w:rsid w:val="005E1F8D"/>
    <w:rsid w:val="005E317F"/>
    <w:rsid w:val="005E61D3"/>
    <w:rsid w:val="00600219"/>
    <w:rsid w:val="006065DA"/>
    <w:rsid w:val="00606AA4"/>
    <w:rsid w:val="00640402"/>
    <w:rsid w:val="00640F78"/>
    <w:rsid w:val="00655D6A"/>
    <w:rsid w:val="00656DE9"/>
    <w:rsid w:val="00672876"/>
    <w:rsid w:val="00677CC2"/>
    <w:rsid w:val="00685F42"/>
    <w:rsid w:val="0069207B"/>
    <w:rsid w:val="006A304E"/>
    <w:rsid w:val="006B7006"/>
    <w:rsid w:val="006C7F8C"/>
    <w:rsid w:val="006D7AB9"/>
    <w:rsid w:val="006F25D6"/>
    <w:rsid w:val="00700B2C"/>
    <w:rsid w:val="00713084"/>
    <w:rsid w:val="00717463"/>
    <w:rsid w:val="00720FC2"/>
    <w:rsid w:val="00722E89"/>
    <w:rsid w:val="00731E00"/>
    <w:rsid w:val="007339C7"/>
    <w:rsid w:val="007440B7"/>
    <w:rsid w:val="00747993"/>
    <w:rsid w:val="007634AD"/>
    <w:rsid w:val="007715C9"/>
    <w:rsid w:val="00774EDD"/>
    <w:rsid w:val="007757EC"/>
    <w:rsid w:val="007A6863"/>
    <w:rsid w:val="007A7DBE"/>
    <w:rsid w:val="007C78B4"/>
    <w:rsid w:val="007E32B6"/>
    <w:rsid w:val="007E486B"/>
    <w:rsid w:val="007E7D4A"/>
    <w:rsid w:val="007F48ED"/>
    <w:rsid w:val="007F5E3F"/>
    <w:rsid w:val="00812F45"/>
    <w:rsid w:val="00836FE9"/>
    <w:rsid w:val="0084172C"/>
    <w:rsid w:val="0085175E"/>
    <w:rsid w:val="00856A31"/>
    <w:rsid w:val="008659A2"/>
    <w:rsid w:val="00867AF0"/>
    <w:rsid w:val="008754D0"/>
    <w:rsid w:val="008757C1"/>
    <w:rsid w:val="00877C69"/>
    <w:rsid w:val="00877D48"/>
    <w:rsid w:val="0088345B"/>
    <w:rsid w:val="008A16A5"/>
    <w:rsid w:val="008A5C57"/>
    <w:rsid w:val="008A68D8"/>
    <w:rsid w:val="008C0629"/>
    <w:rsid w:val="008D0EE0"/>
    <w:rsid w:val="008D7A27"/>
    <w:rsid w:val="008E1144"/>
    <w:rsid w:val="008E4702"/>
    <w:rsid w:val="008E69AA"/>
    <w:rsid w:val="008F275A"/>
    <w:rsid w:val="008F4F1C"/>
    <w:rsid w:val="009068B0"/>
    <w:rsid w:val="009069AD"/>
    <w:rsid w:val="00910E64"/>
    <w:rsid w:val="00922764"/>
    <w:rsid w:val="009278C1"/>
    <w:rsid w:val="00932377"/>
    <w:rsid w:val="009346E3"/>
    <w:rsid w:val="00943DD6"/>
    <w:rsid w:val="0094523D"/>
    <w:rsid w:val="00976A63"/>
    <w:rsid w:val="00983F01"/>
    <w:rsid w:val="00991A69"/>
    <w:rsid w:val="009B2490"/>
    <w:rsid w:val="009B50E5"/>
    <w:rsid w:val="009C3419"/>
    <w:rsid w:val="009C3431"/>
    <w:rsid w:val="009C5989"/>
    <w:rsid w:val="009C6A32"/>
    <w:rsid w:val="009D0868"/>
    <w:rsid w:val="009D08DA"/>
    <w:rsid w:val="009E186A"/>
    <w:rsid w:val="00A0168F"/>
    <w:rsid w:val="00A06860"/>
    <w:rsid w:val="00A126F3"/>
    <w:rsid w:val="00A136F5"/>
    <w:rsid w:val="00A172BF"/>
    <w:rsid w:val="00A231E2"/>
    <w:rsid w:val="00A2550D"/>
    <w:rsid w:val="00A31196"/>
    <w:rsid w:val="00A379BB"/>
    <w:rsid w:val="00A4169B"/>
    <w:rsid w:val="00A50D55"/>
    <w:rsid w:val="00A52FDA"/>
    <w:rsid w:val="00A64912"/>
    <w:rsid w:val="00A70A74"/>
    <w:rsid w:val="00A9231A"/>
    <w:rsid w:val="00A95BC7"/>
    <w:rsid w:val="00AA0343"/>
    <w:rsid w:val="00AA78CE"/>
    <w:rsid w:val="00AA7B26"/>
    <w:rsid w:val="00AC767C"/>
    <w:rsid w:val="00AD3467"/>
    <w:rsid w:val="00AD5641"/>
    <w:rsid w:val="00AF33DB"/>
    <w:rsid w:val="00B032D8"/>
    <w:rsid w:val="00B05D72"/>
    <w:rsid w:val="00B14BAF"/>
    <w:rsid w:val="00B20990"/>
    <w:rsid w:val="00B23FAF"/>
    <w:rsid w:val="00B33B3C"/>
    <w:rsid w:val="00B40D74"/>
    <w:rsid w:val="00B42649"/>
    <w:rsid w:val="00B46467"/>
    <w:rsid w:val="00B52663"/>
    <w:rsid w:val="00B56DCB"/>
    <w:rsid w:val="00B61728"/>
    <w:rsid w:val="00B72A0D"/>
    <w:rsid w:val="00B770D2"/>
    <w:rsid w:val="00B93516"/>
    <w:rsid w:val="00B96776"/>
    <w:rsid w:val="00B973E5"/>
    <w:rsid w:val="00BA0080"/>
    <w:rsid w:val="00BA47A3"/>
    <w:rsid w:val="00BA5026"/>
    <w:rsid w:val="00BA7B5B"/>
    <w:rsid w:val="00BB6E79"/>
    <w:rsid w:val="00BD3734"/>
    <w:rsid w:val="00BD5232"/>
    <w:rsid w:val="00BE42C5"/>
    <w:rsid w:val="00BE719A"/>
    <w:rsid w:val="00BE720A"/>
    <w:rsid w:val="00BF0723"/>
    <w:rsid w:val="00BF6650"/>
    <w:rsid w:val="00C00B13"/>
    <w:rsid w:val="00C067E5"/>
    <w:rsid w:val="00C164CA"/>
    <w:rsid w:val="00C26051"/>
    <w:rsid w:val="00C42BF8"/>
    <w:rsid w:val="00C460AE"/>
    <w:rsid w:val="00C50043"/>
    <w:rsid w:val="00C5015F"/>
    <w:rsid w:val="00C50A0F"/>
    <w:rsid w:val="00C50F4A"/>
    <w:rsid w:val="00C72D10"/>
    <w:rsid w:val="00C7573B"/>
    <w:rsid w:val="00C76CF3"/>
    <w:rsid w:val="00C93205"/>
    <w:rsid w:val="00C945DC"/>
    <w:rsid w:val="00CA7844"/>
    <w:rsid w:val="00CB58EF"/>
    <w:rsid w:val="00CB742F"/>
    <w:rsid w:val="00CC291C"/>
    <w:rsid w:val="00CE0A93"/>
    <w:rsid w:val="00CF0BB2"/>
    <w:rsid w:val="00D11813"/>
    <w:rsid w:val="00D12B0D"/>
    <w:rsid w:val="00D13441"/>
    <w:rsid w:val="00D243A3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0841"/>
    <w:rsid w:val="00DA2439"/>
    <w:rsid w:val="00DA6F05"/>
    <w:rsid w:val="00DB64FC"/>
    <w:rsid w:val="00DC166C"/>
    <w:rsid w:val="00DE149E"/>
    <w:rsid w:val="00E034DB"/>
    <w:rsid w:val="00E05704"/>
    <w:rsid w:val="00E12F1A"/>
    <w:rsid w:val="00E13117"/>
    <w:rsid w:val="00E14DA9"/>
    <w:rsid w:val="00E22935"/>
    <w:rsid w:val="00E54292"/>
    <w:rsid w:val="00E60191"/>
    <w:rsid w:val="00E74DC7"/>
    <w:rsid w:val="00E87699"/>
    <w:rsid w:val="00E92E27"/>
    <w:rsid w:val="00E9586B"/>
    <w:rsid w:val="00E97334"/>
    <w:rsid w:val="00EB3A99"/>
    <w:rsid w:val="00EB65F8"/>
    <w:rsid w:val="00ED4928"/>
    <w:rsid w:val="00EE3FFE"/>
    <w:rsid w:val="00EE57E8"/>
    <w:rsid w:val="00EE6190"/>
    <w:rsid w:val="00EF2E3A"/>
    <w:rsid w:val="00EF6402"/>
    <w:rsid w:val="00EF7091"/>
    <w:rsid w:val="00F047E2"/>
    <w:rsid w:val="00F04D57"/>
    <w:rsid w:val="00F078DC"/>
    <w:rsid w:val="00F13E86"/>
    <w:rsid w:val="00F20B52"/>
    <w:rsid w:val="00F32FCB"/>
    <w:rsid w:val="00F33523"/>
    <w:rsid w:val="00F4312F"/>
    <w:rsid w:val="00F4406B"/>
    <w:rsid w:val="00F46729"/>
    <w:rsid w:val="00F64F7B"/>
    <w:rsid w:val="00F677A9"/>
    <w:rsid w:val="00F8121C"/>
    <w:rsid w:val="00F84CF5"/>
    <w:rsid w:val="00F8612E"/>
    <w:rsid w:val="00F94583"/>
    <w:rsid w:val="00F947F8"/>
    <w:rsid w:val="00FA35FA"/>
    <w:rsid w:val="00FA420B"/>
    <w:rsid w:val="00FB6AEE"/>
    <w:rsid w:val="00FC1EDB"/>
    <w:rsid w:val="00FC3EAC"/>
    <w:rsid w:val="00FD27D1"/>
    <w:rsid w:val="00FE7194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9ED2776"/>
  <w15:docId w15:val="{05C16367-DB8E-40BC-8DE5-DD70FCA60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character" w:customStyle="1" w:styleId="paragraphChar">
    <w:name w:val="paragraph Char"/>
    <w:aliases w:val="a Char"/>
    <w:link w:val="paragraph"/>
    <w:locked/>
    <w:rsid w:val="00EF7091"/>
    <w:rPr>
      <w:rFonts w:eastAsia="Times New Roman" w:cs="Times New Roman"/>
      <w:sz w:val="22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FE71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7194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719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71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7194"/>
    <w:rPr>
      <w:b/>
      <w:bCs/>
    </w:rPr>
  </w:style>
  <w:style w:type="paragraph" w:styleId="Revision">
    <w:name w:val="Revision"/>
    <w:hidden/>
    <w:uiPriority w:val="99"/>
    <w:semiHidden/>
    <w:rsid w:val="002D47FD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yperlink" Target="https://www.legislation.gov.a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7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6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yroa\AppData\Local\Microsoft\Windows\INetCache\IE\JY3WIYEK\template_-_amending_instrument_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731BB-D30A-4FC9-8191-4CA6CD4F3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template_-_amending_instrument_0</Template>
  <TotalTime>69</TotalTime>
  <Pages>7</Pages>
  <Words>721</Words>
  <Characters>4087</Characters>
  <Application>Microsoft Office Word</Application>
  <DocSecurity>0</DocSecurity>
  <Lines>102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PEYROVI, Pasha</dc:creator>
  <cp:lastModifiedBy>Edlington, Mandy</cp:lastModifiedBy>
  <cp:revision>4</cp:revision>
  <cp:lastPrinted>2020-09-18T04:36:00Z</cp:lastPrinted>
  <dcterms:created xsi:type="dcterms:W3CDTF">2020-09-18T03:57:00Z</dcterms:created>
  <dcterms:modified xsi:type="dcterms:W3CDTF">2020-09-18T05:29:00Z</dcterms:modified>
</cp:coreProperties>
</file>