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936014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86407EE" w:rsidR="00086BF0" w:rsidRDefault="00945C0B" w:rsidP="00086BF0">
      <w:pPr>
        <w:pStyle w:val="ShortT"/>
      </w:pPr>
      <w:r>
        <w:t xml:space="preserve">Broadcasting Services </w:t>
      </w:r>
      <w:r w:rsidR="002C5407">
        <w:t>(Parental Lock) Technical Standard 2020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7612F23E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2C5407">
        <w:rPr>
          <w:szCs w:val="22"/>
        </w:rPr>
        <w:t>technical standard</w:t>
      </w:r>
      <w:r>
        <w:rPr>
          <w:szCs w:val="22"/>
        </w:rPr>
        <w:t xml:space="preserve"> under </w:t>
      </w:r>
      <w:r w:rsidR="005300B2">
        <w:rPr>
          <w:szCs w:val="22"/>
        </w:rPr>
        <w:t>subsection</w:t>
      </w:r>
      <w:r w:rsidR="0004524D">
        <w:rPr>
          <w:szCs w:val="22"/>
        </w:rPr>
        <w:t>s</w:t>
      </w:r>
      <w:r w:rsidR="005300B2">
        <w:rPr>
          <w:szCs w:val="22"/>
        </w:rPr>
        <w:t xml:space="preserve"> 130</w:t>
      </w:r>
      <w:proofErr w:type="gramStart"/>
      <w:r w:rsidR="005300B2">
        <w:rPr>
          <w:szCs w:val="22"/>
        </w:rPr>
        <w:t>B(</w:t>
      </w:r>
      <w:proofErr w:type="gramEnd"/>
      <w:r w:rsidR="005300B2">
        <w:rPr>
          <w:szCs w:val="22"/>
        </w:rPr>
        <w:t>1)</w:t>
      </w:r>
      <w:r w:rsidR="0004524D">
        <w:rPr>
          <w:szCs w:val="22"/>
        </w:rPr>
        <w:t xml:space="preserve"> and 130B(7)</w:t>
      </w:r>
      <w:r>
        <w:t xml:space="preserve"> of the </w:t>
      </w:r>
      <w:r w:rsidR="005300B2">
        <w:rPr>
          <w:i/>
        </w:rPr>
        <w:t>Broadcasting Services Act 1992</w:t>
      </w:r>
      <w:r>
        <w:t>.</w:t>
      </w:r>
    </w:p>
    <w:p w14:paraId="11CC4671" w14:textId="1DFD048A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61016D">
        <w:rPr>
          <w:rFonts w:ascii="Times New Roman" w:hAnsi="Times New Roman" w:cs="Times New Roman"/>
        </w:rPr>
        <w:t xml:space="preserve"> 17 September 2020</w:t>
      </w:r>
    </w:p>
    <w:p w14:paraId="2D3CDAE8" w14:textId="251A1386" w:rsidR="0061016D" w:rsidRDefault="009B7513" w:rsidP="0061016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214F2C2E" w14:textId="1BC33DF0" w:rsidR="0061016D" w:rsidRDefault="009B7513" w:rsidP="0061016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196523F5" w:rsidR="00086BF0" w:rsidRDefault="00086BF0" w:rsidP="0061016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8213AE1" w14:textId="24A2E129" w:rsidR="009B7513" w:rsidRDefault="009B7513" w:rsidP="0061016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17A4B19F" w14:textId="5D8A4690" w:rsidR="009B7513" w:rsidRDefault="009B7513" w:rsidP="0061016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1D71D435" w14:textId="063D0B23" w:rsidR="009B7513" w:rsidRDefault="009B7513" w:rsidP="0061016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61016D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9B7513">
        <w:rPr>
          <w:rFonts w:ascii="Times New Roman" w:hAnsi="Times New Roman" w:cs="Times New Roman"/>
          <w:strike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 w:rsidSect="00110E37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EFDD9FA" w14:textId="77777777" w:rsidR="00086BF0" w:rsidRDefault="00086BF0" w:rsidP="00EA0BA9">
      <w:pPr>
        <w:pStyle w:val="ActHead5"/>
        <w:spacing w:before="0"/>
      </w:pPr>
      <w:bookmarkStart w:id="2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0BA01627" w14:textId="0525AD36" w:rsidR="00086BF0" w:rsidRPr="009A7377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7D281C">
        <w:rPr>
          <w:i/>
          <w:iCs/>
        </w:rPr>
        <w:t>Broadcasting Services (Parental Lock) Technical Standard 2020</w:t>
      </w:r>
      <w:r w:rsidR="009A7377"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77777777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795025ED" w14:textId="77777777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61F9A3A5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7D281C">
        <w:t>subsection</w:t>
      </w:r>
      <w:r w:rsidR="0004524D">
        <w:t>s</w:t>
      </w:r>
      <w:r w:rsidR="007D281C">
        <w:t xml:space="preserve"> 130</w:t>
      </w:r>
      <w:proofErr w:type="gramStart"/>
      <w:r w:rsidR="007D281C">
        <w:t>B(</w:t>
      </w:r>
      <w:proofErr w:type="gramEnd"/>
      <w:r w:rsidR="007D281C">
        <w:t>1)</w:t>
      </w:r>
      <w:r w:rsidR="0004524D">
        <w:t xml:space="preserve"> and 130B(7)</w:t>
      </w:r>
      <w:r>
        <w:t xml:space="preserve"> of the </w:t>
      </w:r>
      <w:r w:rsidR="007D281C">
        <w:rPr>
          <w:i/>
        </w:rPr>
        <w:t>Broadcasting Services Act 1992</w:t>
      </w:r>
      <w:r>
        <w:t>.</w:t>
      </w:r>
    </w:p>
    <w:p w14:paraId="125EEF8B" w14:textId="1F5E0C5D" w:rsidR="00086BF0" w:rsidRDefault="00086BF0" w:rsidP="00086BF0">
      <w:pPr>
        <w:pStyle w:val="ActHead5"/>
        <w:rPr>
          <w:i/>
        </w:rPr>
      </w:pPr>
      <w:bookmarkStart w:id="6" w:name="_Toc444596034"/>
      <w:proofErr w:type="gramStart"/>
      <w:r>
        <w:t>4  Repeal</w:t>
      </w:r>
      <w:proofErr w:type="gramEnd"/>
      <w:r>
        <w:t xml:space="preserve"> of the </w:t>
      </w:r>
      <w:r w:rsidR="00FF6D0D">
        <w:rPr>
          <w:i/>
        </w:rPr>
        <w:t>Broadcasting and Datacasting Services (Parental Lock) Technical Standard 2010</w:t>
      </w:r>
    </w:p>
    <w:p w14:paraId="5F185247" w14:textId="4C4509BC" w:rsidR="00086BF0" w:rsidRDefault="00086BF0" w:rsidP="00086BF0">
      <w:pPr>
        <w:pStyle w:val="subsection"/>
        <w:rPr>
          <w:rStyle w:val="CharSectno"/>
        </w:rPr>
      </w:pPr>
      <w:r>
        <w:tab/>
      </w:r>
      <w:r>
        <w:tab/>
        <w:t xml:space="preserve">The </w:t>
      </w:r>
      <w:r w:rsidR="00FF6D0D">
        <w:rPr>
          <w:i/>
        </w:rPr>
        <w:t>Broadcasting and Datacasting Services (Parental Lock) Technical Standard 2010</w:t>
      </w:r>
      <w:r>
        <w:rPr>
          <w:i/>
        </w:rPr>
        <w:t xml:space="preserve"> </w:t>
      </w:r>
      <w:r>
        <w:t>(F20</w:t>
      </w:r>
      <w:r w:rsidR="00C8658C">
        <w:t>10L02220</w:t>
      </w:r>
      <w:r>
        <w:t xml:space="preserve">) is repealed. </w:t>
      </w:r>
    </w:p>
    <w:p w14:paraId="616032F1" w14:textId="60721A3F" w:rsidR="00086BF0" w:rsidRDefault="00231291" w:rsidP="00086BF0">
      <w:pPr>
        <w:pStyle w:val="ActHead5"/>
      </w:pPr>
      <w:proofErr w:type="gramStart"/>
      <w:r>
        <w:rPr>
          <w:rStyle w:val="CharSectno"/>
        </w:rPr>
        <w:t>5</w:t>
      </w:r>
      <w:r w:rsidR="00086BF0">
        <w:t xml:space="preserve">  Definitions</w:t>
      </w:r>
      <w:bookmarkEnd w:id="6"/>
      <w:proofErr w:type="gramEnd"/>
    </w:p>
    <w:p w14:paraId="428F2C2E" w14:textId="06AECA8E" w:rsidR="00086BF0" w:rsidRDefault="00086BF0" w:rsidP="00086BF0">
      <w:pPr>
        <w:pStyle w:val="subsection"/>
      </w:pPr>
      <w:r>
        <w:tab/>
      </w:r>
      <w:r w:rsidR="00231291">
        <w:t>(1)</w:t>
      </w:r>
      <w:r>
        <w:tab/>
        <w:t>In this instrument:</w:t>
      </w:r>
    </w:p>
    <w:p w14:paraId="099EB861" w14:textId="09CA2868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A44A6E">
        <w:rPr>
          <w:i/>
        </w:rPr>
        <w:t>Broadcasting Services Act 1992</w:t>
      </w:r>
      <w:r>
        <w:t>.</w:t>
      </w:r>
    </w:p>
    <w:p w14:paraId="2B7CC27F" w14:textId="67E4DBC0" w:rsidR="00817945" w:rsidRDefault="00817945" w:rsidP="00086BF0">
      <w:pPr>
        <w:pStyle w:val="Definition"/>
        <w:rPr>
          <w:bCs/>
          <w:iCs/>
        </w:rPr>
      </w:pPr>
      <w:r>
        <w:rPr>
          <w:b/>
          <w:i/>
        </w:rPr>
        <w:t>classification code</w:t>
      </w:r>
      <w:r w:rsidR="00A50CB7">
        <w:rPr>
          <w:bCs/>
          <w:iCs/>
        </w:rPr>
        <w:t xml:space="preserve"> has the meaning given by </w:t>
      </w:r>
      <w:r w:rsidR="00231291">
        <w:rPr>
          <w:bCs/>
          <w:iCs/>
        </w:rPr>
        <w:t>sub</w:t>
      </w:r>
      <w:r w:rsidR="00A50CB7">
        <w:rPr>
          <w:bCs/>
          <w:iCs/>
        </w:rPr>
        <w:t xml:space="preserve">section </w:t>
      </w:r>
      <w:r w:rsidR="00231291">
        <w:rPr>
          <w:bCs/>
          <w:iCs/>
        </w:rPr>
        <w:t>(2)</w:t>
      </w:r>
      <w:r w:rsidR="00A50CB7">
        <w:rPr>
          <w:bCs/>
          <w:iCs/>
        </w:rPr>
        <w:t>.</w:t>
      </w:r>
    </w:p>
    <w:p w14:paraId="1EB3B10C" w14:textId="5225F40A" w:rsidR="00A50CB7" w:rsidRDefault="00A50CB7" w:rsidP="00086BF0">
      <w:pPr>
        <w:pStyle w:val="Definition"/>
        <w:rPr>
          <w:bCs/>
          <w:iCs/>
        </w:rPr>
      </w:pPr>
      <w:r>
        <w:rPr>
          <w:b/>
          <w:i/>
        </w:rPr>
        <w:t>electricity supply body</w:t>
      </w:r>
      <w:r>
        <w:rPr>
          <w:bCs/>
          <w:iCs/>
        </w:rPr>
        <w:t xml:space="preserve"> means an authority or body corporate that carries on either or both of the following </w:t>
      </w:r>
      <w:r w:rsidR="00BD7384">
        <w:rPr>
          <w:bCs/>
          <w:iCs/>
        </w:rPr>
        <w:t>businesses:</w:t>
      </w:r>
    </w:p>
    <w:p w14:paraId="58245B92" w14:textId="7CC949CE" w:rsidR="00BD7384" w:rsidRDefault="00BD7384" w:rsidP="00BD7384">
      <w:pPr>
        <w:pStyle w:val="paragraph"/>
      </w:pPr>
      <w:r>
        <w:tab/>
        <w:t>(a)</w:t>
      </w:r>
      <w:r>
        <w:tab/>
        <w:t xml:space="preserve">supplying </w:t>
      </w:r>
      <w:proofErr w:type="gramStart"/>
      <w:r>
        <w:t>electricity;</w:t>
      </w:r>
      <w:proofErr w:type="gramEnd"/>
    </w:p>
    <w:p w14:paraId="51216D2E" w14:textId="765AA00C" w:rsidR="00BD7384" w:rsidRDefault="00BD7384" w:rsidP="00BD7384">
      <w:pPr>
        <w:pStyle w:val="paragraph"/>
      </w:pPr>
      <w:r>
        <w:tab/>
        <w:t>(b)</w:t>
      </w:r>
      <w:r>
        <w:tab/>
        <w:t>managing the supply of electricity.</w:t>
      </w:r>
    </w:p>
    <w:p w14:paraId="150FF65B" w14:textId="38C780A4" w:rsidR="00BD7384" w:rsidRDefault="00C47636" w:rsidP="00086BF0">
      <w:pPr>
        <w:pStyle w:val="Definition"/>
        <w:rPr>
          <w:bCs/>
          <w:iCs/>
        </w:rPr>
      </w:pPr>
      <w:r>
        <w:rPr>
          <w:b/>
          <w:i/>
        </w:rPr>
        <w:t xml:space="preserve">parental lock capabilities </w:t>
      </w:r>
      <w:r w:rsidR="00DE4DEC">
        <w:rPr>
          <w:bCs/>
          <w:iCs/>
        </w:rPr>
        <w:t xml:space="preserve">means technical capabilities that will alone, or in conjunction with </w:t>
      </w:r>
      <w:r w:rsidR="004271E3">
        <w:rPr>
          <w:bCs/>
          <w:iCs/>
        </w:rPr>
        <w:t xml:space="preserve">any other capability on domestic reception equipment, </w:t>
      </w:r>
      <w:r w:rsidR="0068060B">
        <w:rPr>
          <w:bCs/>
          <w:iCs/>
        </w:rPr>
        <w:t>block a television program or datacasting content with a particular classification code</w:t>
      </w:r>
      <w:r w:rsidR="00B7104E">
        <w:rPr>
          <w:bCs/>
          <w:iCs/>
        </w:rPr>
        <w:t xml:space="preserve"> from being shown</w:t>
      </w:r>
      <w:r w:rsidR="006B5DA9">
        <w:rPr>
          <w:bCs/>
          <w:iCs/>
        </w:rPr>
        <w:t xml:space="preserve"> unless the correct personal identification number code </w:t>
      </w:r>
      <w:r w:rsidR="00CF1F4B">
        <w:rPr>
          <w:bCs/>
          <w:iCs/>
        </w:rPr>
        <w:t>is entered into the domestic reception equipment.</w:t>
      </w:r>
    </w:p>
    <w:p w14:paraId="589EE76C" w14:textId="34FB8F4C" w:rsidR="005F1450" w:rsidRDefault="005F1450" w:rsidP="00086BF0">
      <w:pPr>
        <w:pStyle w:val="Definition"/>
        <w:rPr>
          <w:bCs/>
          <w:iCs/>
        </w:rPr>
      </w:pPr>
      <w:r>
        <w:rPr>
          <w:b/>
          <w:i/>
        </w:rPr>
        <w:t xml:space="preserve">program classification information </w:t>
      </w:r>
      <w:r>
        <w:rPr>
          <w:bCs/>
          <w:iCs/>
        </w:rPr>
        <w:t>means information that</w:t>
      </w:r>
      <w:r w:rsidR="00EB47E2">
        <w:rPr>
          <w:bCs/>
          <w:iCs/>
        </w:rPr>
        <w:t xml:space="preserve"> is</w:t>
      </w:r>
      <w:r>
        <w:rPr>
          <w:bCs/>
          <w:iCs/>
        </w:rPr>
        <w:t>:</w:t>
      </w:r>
    </w:p>
    <w:p w14:paraId="3CE4B448" w14:textId="6EDE5DC0" w:rsidR="005F1450" w:rsidRDefault="005F1450" w:rsidP="005F1450">
      <w:pPr>
        <w:pStyle w:val="paragraph"/>
      </w:pPr>
      <w:r>
        <w:tab/>
        <w:t>(a)</w:t>
      </w:r>
      <w:r>
        <w:tab/>
      </w:r>
      <w:r w:rsidR="00EB47E2">
        <w:t xml:space="preserve">about the classification code for a television program or datacasting </w:t>
      </w:r>
      <w:proofErr w:type="gramStart"/>
      <w:r w:rsidR="00EB47E2">
        <w:t>content;</w:t>
      </w:r>
      <w:proofErr w:type="gramEnd"/>
    </w:p>
    <w:p w14:paraId="2CE515DC" w14:textId="42CDDC16" w:rsidR="005F1450" w:rsidRDefault="005F1450" w:rsidP="005F1450">
      <w:pPr>
        <w:pStyle w:val="paragraph"/>
      </w:pPr>
      <w:r>
        <w:tab/>
        <w:t>(b)</w:t>
      </w:r>
      <w:r>
        <w:tab/>
      </w:r>
      <w:r w:rsidR="00EB47E2">
        <w:t>transmitted using the broadcasting services bands</w:t>
      </w:r>
      <w:r w:rsidR="00C4544C">
        <w:t xml:space="preserve"> to a domestic digital television receiver</w:t>
      </w:r>
      <w:r w:rsidR="00EB47E2">
        <w:t xml:space="preserve"> </w:t>
      </w:r>
      <w:r w:rsidR="00911C61">
        <w:t xml:space="preserve">as part of the data that accompanies the </w:t>
      </w:r>
      <w:r w:rsidR="00D250EA">
        <w:t>television program or datacasting content</w:t>
      </w:r>
      <w:r w:rsidR="009A627C">
        <w:t xml:space="preserve"> (</w:t>
      </w:r>
      <w:proofErr w:type="gramStart"/>
      <w:r w:rsidR="009A627C">
        <w:t>whether or not</w:t>
      </w:r>
      <w:proofErr w:type="gramEnd"/>
      <w:r w:rsidR="009A627C">
        <w:t xml:space="preserve"> the information is also transmitted to the receiver</w:t>
      </w:r>
      <w:r w:rsidR="00AF5328">
        <w:t xml:space="preserve"> by a separate transmission).</w:t>
      </w:r>
    </w:p>
    <w:p w14:paraId="05681FC1" w14:textId="2309DBC6" w:rsidR="00086BF0" w:rsidRDefault="00AF5328" w:rsidP="00086BF0">
      <w:pPr>
        <w:pStyle w:val="notetext"/>
      </w:pPr>
      <w:r>
        <w:t>N</w:t>
      </w:r>
      <w:r w:rsidR="00086BF0">
        <w:t>ote:</w:t>
      </w:r>
      <w:r w:rsidR="00086BF0">
        <w:tab/>
      </w:r>
      <w:proofErr w:type="gramStart"/>
      <w:r w:rsidR="00086BF0">
        <w:t>A number of</w:t>
      </w:r>
      <w:proofErr w:type="gramEnd"/>
      <w:r w:rsidR="00086BF0">
        <w:t xml:space="preserve"> other expressions used in this instrument are defined in the Act, including the following:</w:t>
      </w:r>
    </w:p>
    <w:p w14:paraId="6220F6E8" w14:textId="77E924E2" w:rsidR="008579FB" w:rsidRDefault="00086BF0" w:rsidP="00086BF0">
      <w:pPr>
        <w:pStyle w:val="notepara"/>
      </w:pPr>
      <w:r>
        <w:t>(a)</w:t>
      </w:r>
      <w:r>
        <w:tab/>
      </w:r>
      <w:r w:rsidR="008579FB">
        <w:t xml:space="preserve">broadcasting </w:t>
      </w:r>
      <w:proofErr w:type="gramStart"/>
      <w:r w:rsidR="008579FB">
        <w:t>service;</w:t>
      </w:r>
      <w:proofErr w:type="gramEnd"/>
    </w:p>
    <w:p w14:paraId="0696F27A" w14:textId="6A3E7DDF" w:rsidR="00086BF0" w:rsidRDefault="008579FB" w:rsidP="008579FB">
      <w:pPr>
        <w:pStyle w:val="notepara"/>
      </w:pPr>
      <w:r>
        <w:t>(b)</w:t>
      </w:r>
      <w:r>
        <w:tab/>
      </w:r>
      <w:r w:rsidR="00CF28EA">
        <w:t xml:space="preserve">broadcasting services </w:t>
      </w:r>
      <w:proofErr w:type="gramStart"/>
      <w:r w:rsidR="00CF28EA">
        <w:t>bands;</w:t>
      </w:r>
      <w:proofErr w:type="gramEnd"/>
    </w:p>
    <w:p w14:paraId="7A6FD64F" w14:textId="21A8EE73" w:rsidR="0083475E" w:rsidRDefault="0083475E" w:rsidP="008579FB">
      <w:pPr>
        <w:pStyle w:val="notepara"/>
      </w:pPr>
      <w:r>
        <w:t>(c)</w:t>
      </w:r>
      <w:r>
        <w:tab/>
        <w:t xml:space="preserve">datacasting </w:t>
      </w:r>
      <w:proofErr w:type="gramStart"/>
      <w:r>
        <w:t>service;</w:t>
      </w:r>
      <w:proofErr w:type="gramEnd"/>
    </w:p>
    <w:p w14:paraId="3B8EA141" w14:textId="5B7DD1DE" w:rsidR="00086BF0" w:rsidRDefault="00086BF0" w:rsidP="0086291D">
      <w:pPr>
        <w:pStyle w:val="notepara"/>
      </w:pPr>
      <w:r>
        <w:t>(</w:t>
      </w:r>
      <w:r w:rsidR="00AF5328">
        <w:t>d</w:t>
      </w:r>
      <w:r>
        <w:t>)</w:t>
      </w:r>
      <w:r>
        <w:tab/>
      </w:r>
      <w:r w:rsidR="00CF28EA">
        <w:t>domestic digital television receiver</w:t>
      </w:r>
      <w:r w:rsidR="00AF5328">
        <w:t>.</w:t>
      </w:r>
    </w:p>
    <w:p w14:paraId="2B549331" w14:textId="039C50A3" w:rsidR="00231291" w:rsidRDefault="00231291" w:rsidP="00C337A1">
      <w:pPr>
        <w:pStyle w:val="subsection"/>
        <w:keepNext/>
      </w:pPr>
      <w:r>
        <w:tab/>
        <w:t>(2)</w:t>
      </w:r>
      <w:r>
        <w:tab/>
        <w:t>In this instrument</w:t>
      </w:r>
      <w:r w:rsidR="00464E35">
        <w:t>, e</w:t>
      </w:r>
      <w:r w:rsidR="0055123D">
        <w:t>ach of the following</w:t>
      </w:r>
      <w:r w:rsidR="00A36986">
        <w:t xml:space="preserve"> (in order from lowest to highest)</w:t>
      </w:r>
      <w:r w:rsidR="0055123D">
        <w:t xml:space="preserve"> is a </w:t>
      </w:r>
      <w:r w:rsidR="0055123D">
        <w:rPr>
          <w:b/>
          <w:bCs/>
          <w:i/>
          <w:iCs/>
        </w:rPr>
        <w:t>classification code</w:t>
      </w:r>
      <w:r w:rsidR="00F4781B">
        <w:t xml:space="preserve"> that applies to a television program or datacasting content</w:t>
      </w:r>
      <w:r w:rsidR="00A36986">
        <w:t>:</w:t>
      </w:r>
    </w:p>
    <w:p w14:paraId="7E3B746F" w14:textId="7938002A" w:rsidR="00A36986" w:rsidRDefault="00A36986" w:rsidP="00A36986">
      <w:pPr>
        <w:pStyle w:val="paragraph"/>
      </w:pPr>
      <w:r>
        <w:tab/>
        <w:t>(a)</w:t>
      </w:r>
      <w:r>
        <w:tab/>
        <w:t xml:space="preserve">not </w:t>
      </w:r>
      <w:proofErr w:type="gramStart"/>
      <w:r>
        <w:t>classified;</w:t>
      </w:r>
      <w:proofErr w:type="gramEnd"/>
    </w:p>
    <w:p w14:paraId="49EECEB2" w14:textId="26ACE78C" w:rsidR="00A36986" w:rsidRDefault="00A36986" w:rsidP="00A36986">
      <w:pPr>
        <w:pStyle w:val="paragraph"/>
      </w:pPr>
      <w:r>
        <w:lastRenderedPageBreak/>
        <w:tab/>
        <w:t>(b)</w:t>
      </w:r>
      <w:r>
        <w:tab/>
        <w:t>pre-school (P</w:t>
      </w:r>
      <w:proofErr w:type="gramStart"/>
      <w:r>
        <w:t>)</w:t>
      </w:r>
      <w:r w:rsidR="00166F26">
        <w:t>;</w:t>
      </w:r>
      <w:proofErr w:type="gramEnd"/>
    </w:p>
    <w:p w14:paraId="523BAE9D" w14:textId="1691B2D5" w:rsidR="00166F26" w:rsidRDefault="00166F26" w:rsidP="00A36986">
      <w:pPr>
        <w:pStyle w:val="paragraph"/>
      </w:pPr>
      <w:r>
        <w:tab/>
        <w:t>(c)</w:t>
      </w:r>
      <w:r>
        <w:tab/>
        <w:t>children’s (C</w:t>
      </w:r>
      <w:proofErr w:type="gramStart"/>
      <w:r>
        <w:t>);</w:t>
      </w:r>
      <w:proofErr w:type="gramEnd"/>
    </w:p>
    <w:p w14:paraId="6E866074" w14:textId="31B5F24F" w:rsidR="00166F26" w:rsidRDefault="00166F26" w:rsidP="00A36986">
      <w:pPr>
        <w:pStyle w:val="paragraph"/>
      </w:pPr>
      <w:r>
        <w:tab/>
        <w:t>(d)</w:t>
      </w:r>
      <w:r>
        <w:tab/>
        <w:t>general (G</w:t>
      </w:r>
      <w:proofErr w:type="gramStart"/>
      <w:r>
        <w:t>);</w:t>
      </w:r>
      <w:proofErr w:type="gramEnd"/>
    </w:p>
    <w:p w14:paraId="2C1D7E97" w14:textId="08C3D04F" w:rsidR="00166F26" w:rsidRDefault="00166F26" w:rsidP="00A36986">
      <w:pPr>
        <w:pStyle w:val="paragraph"/>
      </w:pPr>
      <w:r>
        <w:tab/>
        <w:t>(e)</w:t>
      </w:r>
      <w:r>
        <w:tab/>
        <w:t>parental guidance recommended (PG</w:t>
      </w:r>
      <w:proofErr w:type="gramStart"/>
      <w:r>
        <w:t>);</w:t>
      </w:r>
      <w:proofErr w:type="gramEnd"/>
    </w:p>
    <w:p w14:paraId="5B1B16BA" w14:textId="456631BE" w:rsidR="00166F26" w:rsidRDefault="00166F26" w:rsidP="00A36986">
      <w:pPr>
        <w:pStyle w:val="paragraph"/>
      </w:pPr>
      <w:r>
        <w:tab/>
        <w:t>(f)</w:t>
      </w:r>
      <w:r>
        <w:tab/>
      </w:r>
      <w:r w:rsidR="009C77A8">
        <w:t>mature audience 15+ (M</w:t>
      </w:r>
      <w:proofErr w:type="gramStart"/>
      <w:r w:rsidR="009C77A8">
        <w:t>);</w:t>
      </w:r>
      <w:proofErr w:type="gramEnd"/>
    </w:p>
    <w:p w14:paraId="7C8F2388" w14:textId="71FA8538" w:rsidR="009C77A8" w:rsidRDefault="00B70238" w:rsidP="00A36986">
      <w:pPr>
        <w:pStyle w:val="paragraph"/>
      </w:pPr>
      <w:r>
        <w:tab/>
        <w:t>(g)</w:t>
      </w:r>
      <w:r>
        <w:tab/>
        <w:t>mature adult audience 15</w:t>
      </w:r>
      <w:r w:rsidR="00D91A81">
        <w:t>+ (MA</w:t>
      </w:r>
      <w:proofErr w:type="gramStart"/>
      <w:r w:rsidR="00D91A81">
        <w:t>);</w:t>
      </w:r>
      <w:proofErr w:type="gramEnd"/>
    </w:p>
    <w:p w14:paraId="72520E26" w14:textId="4CEEE58B" w:rsidR="00231291" w:rsidRDefault="00D91A81" w:rsidP="00D91A81">
      <w:pPr>
        <w:pStyle w:val="paragraph"/>
      </w:pPr>
      <w:r>
        <w:tab/>
        <w:t>(h)</w:t>
      </w:r>
      <w:r>
        <w:tab/>
        <w:t>restricted 18+ (R).</w:t>
      </w:r>
    </w:p>
    <w:p w14:paraId="13C406F7" w14:textId="561C8B1A" w:rsidR="00086BF0" w:rsidRDefault="00F2234F" w:rsidP="00086BF0">
      <w:pPr>
        <w:pStyle w:val="ActHead5"/>
      </w:pPr>
      <w:proofErr w:type="gramStart"/>
      <w:r>
        <w:t>6</w:t>
      </w:r>
      <w:r w:rsidR="00086BF0">
        <w:t xml:space="preserve">  References</w:t>
      </w:r>
      <w:proofErr w:type="gramEnd"/>
      <w:r w:rsidR="00086BF0">
        <w:t xml:space="preserve"> to other instruments</w:t>
      </w:r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29D44CFC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a reference to any other kind of instrument</w:t>
      </w:r>
      <w:r w:rsidR="009F267A">
        <w:t xml:space="preserve"> or writing</w:t>
      </w:r>
      <w:r>
        <w:t xml:space="preserve"> is a reference to that other instrument </w:t>
      </w:r>
      <w:r w:rsidR="009F267A">
        <w:t xml:space="preserve">or writing </w:t>
      </w:r>
      <w:r>
        <w:t xml:space="preserve">as in force </w:t>
      </w:r>
      <w:r w:rsidR="009F267A">
        <w:t xml:space="preserve">or in existence </w:t>
      </w:r>
      <w:r>
        <w:t>at the commencement of this instrument</w:t>
      </w:r>
      <w:r w:rsidR="009F267A">
        <w:t>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77777777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68CB38E3" w14:textId="503915DB" w:rsidR="00086BF0" w:rsidRDefault="00415E20" w:rsidP="00086BF0">
      <w:pPr>
        <w:pStyle w:val="ActHead5"/>
      </w:pPr>
      <w:bookmarkStart w:id="7" w:name="_Toc444596036"/>
      <w:bookmarkEnd w:id="2"/>
      <w:proofErr w:type="gramStart"/>
      <w:r>
        <w:t>7</w:t>
      </w:r>
      <w:r w:rsidR="00086BF0" w:rsidRPr="009F267A">
        <w:t xml:space="preserve">  </w:t>
      </w:r>
      <w:bookmarkEnd w:id="7"/>
      <w:r>
        <w:t>Purpose</w:t>
      </w:r>
      <w:proofErr w:type="gramEnd"/>
    </w:p>
    <w:p w14:paraId="390858FC" w14:textId="00CB8652" w:rsidR="00415E20" w:rsidRDefault="00415E20" w:rsidP="00415E20">
      <w:pPr>
        <w:pStyle w:val="subsection"/>
      </w:pPr>
      <w:r>
        <w:tab/>
      </w:r>
      <w:r w:rsidR="00DD099B">
        <w:tab/>
        <w:t xml:space="preserve">The purpose of this instrument is to ensure that particular domestic reception equipment </w:t>
      </w:r>
      <w:r w:rsidR="00C42D9B">
        <w:t xml:space="preserve">has parental lock </w:t>
      </w:r>
      <w:proofErr w:type="gramStart"/>
      <w:r w:rsidR="00C42D9B">
        <w:t>capabilities, or</w:t>
      </w:r>
      <w:proofErr w:type="gramEnd"/>
      <w:r w:rsidR="00C42D9B">
        <w:t xml:space="preserve"> distributes information that enables the </w:t>
      </w:r>
      <w:r w:rsidR="001D382B">
        <w:t xml:space="preserve">parental lock capabilities in other domestic reception equipment to operate. </w:t>
      </w:r>
    </w:p>
    <w:p w14:paraId="73479EA1" w14:textId="1BDA8AB9" w:rsidR="00E44313" w:rsidRDefault="00DD5E01" w:rsidP="00E44313">
      <w:pPr>
        <w:pStyle w:val="ActHead5"/>
      </w:pPr>
      <w:proofErr w:type="gramStart"/>
      <w:r>
        <w:t>8</w:t>
      </w:r>
      <w:r w:rsidR="00E44313" w:rsidRPr="009F267A">
        <w:t xml:space="preserve">  </w:t>
      </w:r>
      <w:r w:rsidR="00E44313">
        <w:t>Standard</w:t>
      </w:r>
      <w:proofErr w:type="gramEnd"/>
      <w:r w:rsidR="00E44313">
        <w:t xml:space="preserve"> – domestic digital television receiver (general)</w:t>
      </w:r>
    </w:p>
    <w:p w14:paraId="1D9D8DE3" w14:textId="67D4C53B" w:rsidR="00E44313" w:rsidRDefault="00E44313" w:rsidP="00E44313">
      <w:pPr>
        <w:pStyle w:val="subsection"/>
      </w:pPr>
      <w:r>
        <w:tab/>
        <w:t>(1)</w:t>
      </w:r>
      <w:r>
        <w:tab/>
      </w:r>
      <w:r w:rsidR="00BB0B17" w:rsidRPr="00BA5573">
        <w:t>For subsection 130</w:t>
      </w:r>
      <w:proofErr w:type="gramStart"/>
      <w:r w:rsidR="00BB0B17" w:rsidRPr="00BA5573">
        <w:t>B(</w:t>
      </w:r>
      <w:proofErr w:type="gramEnd"/>
      <w:r w:rsidR="00BB0B17" w:rsidRPr="00BA5573">
        <w:t xml:space="preserve">1) of the Act, this section sets out a technical standard for a domestic </w:t>
      </w:r>
      <w:r w:rsidR="00AF3047" w:rsidRPr="00BA5573">
        <w:t xml:space="preserve">digital television </w:t>
      </w:r>
      <w:r w:rsidR="00AF3047" w:rsidRPr="001E6AC4">
        <w:t xml:space="preserve">receiver, </w:t>
      </w:r>
      <w:r w:rsidR="000163AF" w:rsidRPr="001E6AC4">
        <w:t xml:space="preserve">except where </w:t>
      </w:r>
      <w:r w:rsidR="00AF3047" w:rsidRPr="001E6AC4">
        <w:t xml:space="preserve">section </w:t>
      </w:r>
      <w:r w:rsidR="00CE3840" w:rsidRPr="001E6AC4">
        <w:t xml:space="preserve">9 </w:t>
      </w:r>
      <w:r w:rsidR="00AF3047" w:rsidRPr="001E6AC4">
        <w:t xml:space="preserve">or section </w:t>
      </w:r>
      <w:r w:rsidR="00CE3840" w:rsidRPr="001E6AC4">
        <w:t xml:space="preserve">10 </w:t>
      </w:r>
      <w:r w:rsidR="00AF3047" w:rsidRPr="001E6AC4">
        <w:t>applies</w:t>
      </w:r>
      <w:r w:rsidR="00BA5573">
        <w:t xml:space="preserve"> to the receiver</w:t>
      </w:r>
      <w:r w:rsidR="00AF3047" w:rsidRPr="00BA5573">
        <w:t>.</w:t>
      </w:r>
      <w:r>
        <w:t xml:space="preserve"> </w:t>
      </w:r>
    </w:p>
    <w:p w14:paraId="084CCA4A" w14:textId="411C3DD6" w:rsidR="00AF3047" w:rsidRDefault="00AF3047" w:rsidP="00AF3047">
      <w:pPr>
        <w:pStyle w:val="notetext"/>
      </w:pPr>
      <w:r w:rsidRPr="009F267A">
        <w:t>Note</w:t>
      </w:r>
      <w:r>
        <w:t xml:space="preserve"> 1</w:t>
      </w:r>
      <w:r w:rsidRPr="009F267A">
        <w:t>:</w:t>
      </w:r>
      <w:r w:rsidRPr="009F267A">
        <w:tab/>
      </w:r>
      <w:r w:rsidR="008833D5">
        <w:t>Subsection 130</w:t>
      </w:r>
      <w:proofErr w:type="gramStart"/>
      <w:r w:rsidR="008833D5">
        <w:t>B(</w:t>
      </w:r>
      <w:proofErr w:type="gramEnd"/>
      <w:r w:rsidR="008833D5">
        <w:t xml:space="preserve">1) of the Act applies in relation to domestic reception equipment. </w:t>
      </w:r>
      <w:r w:rsidR="007D493F">
        <w:t xml:space="preserve">A </w:t>
      </w:r>
      <w:r>
        <w:t xml:space="preserve">domestic digital television receiver is </w:t>
      </w:r>
      <w:r w:rsidR="008833D5">
        <w:t>domestic reception equipment.</w:t>
      </w:r>
    </w:p>
    <w:p w14:paraId="3C8F805D" w14:textId="7A68A9C3" w:rsidR="008833D5" w:rsidRPr="009F267A" w:rsidRDefault="008833D5" w:rsidP="00AF3047">
      <w:pPr>
        <w:pStyle w:val="notetext"/>
      </w:pPr>
      <w:r>
        <w:t>Note 2:</w:t>
      </w:r>
      <w:r>
        <w:tab/>
        <w:t xml:space="preserve">Section </w:t>
      </w:r>
      <w:r w:rsidR="00B51452">
        <w:t xml:space="preserve">9 </w:t>
      </w:r>
      <w:r>
        <w:t xml:space="preserve">of this instrument </w:t>
      </w:r>
      <w:r w:rsidR="009251A4">
        <w:t>applies to</w:t>
      </w:r>
      <w:r>
        <w:t xml:space="preserve"> modular reception equipment. Section </w:t>
      </w:r>
      <w:r w:rsidR="00B51452">
        <w:t xml:space="preserve">10 </w:t>
      </w:r>
      <w:r>
        <w:t xml:space="preserve">of this instrument </w:t>
      </w:r>
      <w:r w:rsidR="009251A4">
        <w:t>applies to</w:t>
      </w:r>
      <w:r>
        <w:t xml:space="preserve"> amplifiers and distribution devices.</w:t>
      </w:r>
    </w:p>
    <w:p w14:paraId="24D8D62D" w14:textId="4B079F73" w:rsidR="001D382B" w:rsidRDefault="008833D5" w:rsidP="00415E20">
      <w:pPr>
        <w:pStyle w:val="subsection"/>
      </w:pPr>
      <w:r>
        <w:tab/>
        <w:t>(2)</w:t>
      </w:r>
      <w:r>
        <w:tab/>
      </w:r>
      <w:r w:rsidR="00214EFD">
        <w:t>The</w:t>
      </w:r>
      <w:r w:rsidR="00E95773">
        <w:t xml:space="preserve"> domestic digital television receiver </w:t>
      </w:r>
      <w:r w:rsidR="00214EFD">
        <w:t>must have parental lock capabilities.</w:t>
      </w:r>
    </w:p>
    <w:p w14:paraId="7E7CDD42" w14:textId="7FD3F214" w:rsidR="00214EFD" w:rsidRDefault="00214EFD" w:rsidP="00415E20">
      <w:pPr>
        <w:pStyle w:val="subsection"/>
      </w:pPr>
      <w:r>
        <w:tab/>
        <w:t>(3)</w:t>
      </w:r>
      <w:r w:rsidR="00B733C1">
        <w:tab/>
        <w:t xml:space="preserve">The parental lock capabilities must be able to identify the classification code that applies to a television program by using the program classification information for the </w:t>
      </w:r>
      <w:r w:rsidR="00935B1F">
        <w:t>program.</w:t>
      </w:r>
    </w:p>
    <w:p w14:paraId="00FAF550" w14:textId="7D92AB99" w:rsidR="00935B1F" w:rsidRDefault="00935B1F" w:rsidP="00415E20">
      <w:pPr>
        <w:pStyle w:val="subsection"/>
      </w:pPr>
      <w:r>
        <w:tab/>
        <w:t>(4)</w:t>
      </w:r>
      <w:r>
        <w:tab/>
        <w:t>The parental lock capabilities must be able to identify the classification code that applies to datacasting content by using the program classification information for the content.</w:t>
      </w:r>
    </w:p>
    <w:p w14:paraId="7ECE195E" w14:textId="42A36910" w:rsidR="00935B1F" w:rsidRDefault="00935B1F" w:rsidP="008F71A5">
      <w:pPr>
        <w:pStyle w:val="subsection"/>
        <w:keepNext/>
      </w:pPr>
      <w:r>
        <w:tab/>
        <w:t>(5)</w:t>
      </w:r>
      <w:r>
        <w:tab/>
        <w:t>The parental lock capabilities must be able to b</w:t>
      </w:r>
      <w:r w:rsidR="005C4488">
        <w:t>e</w:t>
      </w:r>
      <w:r>
        <w:t xml:space="preserve"> set by the user of the </w:t>
      </w:r>
      <w:r w:rsidR="006B16A3">
        <w:t xml:space="preserve">domestic digital television </w:t>
      </w:r>
      <w:r>
        <w:t>receiver so that the user can choose to make the receiver block any of the following:</w:t>
      </w:r>
    </w:p>
    <w:p w14:paraId="42A8B40F" w14:textId="7A03293E" w:rsidR="00935B1F" w:rsidRDefault="00935B1F" w:rsidP="00935B1F">
      <w:pPr>
        <w:pStyle w:val="paragraph"/>
      </w:pPr>
      <w:r w:rsidRPr="009F267A">
        <w:tab/>
        <w:t>(a)</w:t>
      </w:r>
      <w:r w:rsidRPr="009F267A">
        <w:tab/>
      </w:r>
      <w:r>
        <w:t xml:space="preserve">television programs and datacasting content with a classification code of PG or </w:t>
      </w:r>
      <w:proofErr w:type="gramStart"/>
      <w:r>
        <w:t>higher;</w:t>
      </w:r>
      <w:proofErr w:type="gramEnd"/>
    </w:p>
    <w:p w14:paraId="665218F2" w14:textId="0C126F82" w:rsidR="00935B1F" w:rsidRDefault="00935B1F" w:rsidP="00935B1F">
      <w:pPr>
        <w:pStyle w:val="paragraph"/>
      </w:pPr>
      <w:r>
        <w:tab/>
        <w:t>(b)</w:t>
      </w:r>
      <w:r>
        <w:tab/>
        <w:t xml:space="preserve">television programs and datacasting content with a classification code of M or </w:t>
      </w:r>
      <w:proofErr w:type="gramStart"/>
      <w:r>
        <w:t>higher;</w:t>
      </w:r>
      <w:proofErr w:type="gramEnd"/>
    </w:p>
    <w:p w14:paraId="5D1084A1" w14:textId="6C5B443C" w:rsidR="00935B1F" w:rsidRPr="009F267A" w:rsidRDefault="00935B1F" w:rsidP="00935B1F">
      <w:pPr>
        <w:pStyle w:val="paragraph"/>
      </w:pPr>
      <w:r w:rsidRPr="009F267A">
        <w:lastRenderedPageBreak/>
        <w:tab/>
        <w:t>(</w:t>
      </w:r>
      <w:r>
        <w:t>c</w:t>
      </w:r>
      <w:r w:rsidRPr="009F267A">
        <w:t>)</w:t>
      </w:r>
      <w:r w:rsidRPr="009F267A">
        <w:tab/>
      </w:r>
      <w:r w:rsidR="005A4655">
        <w:t xml:space="preserve">television </w:t>
      </w:r>
      <w:r>
        <w:t>programs and datacasting content with a classification code of MA or higher.</w:t>
      </w:r>
    </w:p>
    <w:p w14:paraId="752C81F5" w14:textId="6B9C10C9" w:rsidR="00D44FCE" w:rsidRDefault="0027428A" w:rsidP="00D44FCE">
      <w:pPr>
        <w:pStyle w:val="ActHead5"/>
      </w:pPr>
      <w:proofErr w:type="gramStart"/>
      <w:r>
        <w:t>9</w:t>
      </w:r>
      <w:r w:rsidR="00D44FCE" w:rsidRPr="009F267A">
        <w:t xml:space="preserve">  </w:t>
      </w:r>
      <w:r w:rsidR="00D44FCE">
        <w:t>Standard</w:t>
      </w:r>
      <w:proofErr w:type="gramEnd"/>
      <w:r w:rsidR="00D44FCE">
        <w:t xml:space="preserve"> – domestic digital television receiver </w:t>
      </w:r>
      <w:r w:rsidR="005C4488">
        <w:t>(modulation reception equipment</w:t>
      </w:r>
      <w:r w:rsidR="00D44FCE">
        <w:t>)</w:t>
      </w:r>
    </w:p>
    <w:p w14:paraId="2A394DCD" w14:textId="473BDDA0" w:rsidR="00935B1F" w:rsidRPr="00415E20" w:rsidRDefault="00D44FCE" w:rsidP="00D44FCE">
      <w:pPr>
        <w:pStyle w:val="subsection"/>
      </w:pPr>
      <w:r>
        <w:tab/>
        <w:t>(1)</w:t>
      </w:r>
      <w:r>
        <w:tab/>
        <w:t>For subsection 130</w:t>
      </w:r>
      <w:proofErr w:type="gramStart"/>
      <w:r>
        <w:t>B(</w:t>
      </w:r>
      <w:proofErr w:type="gramEnd"/>
      <w:r>
        <w:t>1) of the Act, this</w:t>
      </w:r>
      <w:r w:rsidR="00CC2840">
        <w:t xml:space="preserve"> section sets out a technical standard for a domestic digital television receiver that</w:t>
      </w:r>
      <w:r w:rsidR="0093429B">
        <w:t>:</w:t>
      </w:r>
    </w:p>
    <w:p w14:paraId="398F10E7" w14:textId="5B8CB065" w:rsidR="00CC2840" w:rsidRPr="009F267A" w:rsidRDefault="00CC2840" w:rsidP="00CC2840">
      <w:pPr>
        <w:pStyle w:val="paragraph"/>
      </w:pPr>
      <w:r w:rsidRPr="009F267A">
        <w:tab/>
        <w:t>(a)</w:t>
      </w:r>
      <w:r w:rsidRPr="009F267A">
        <w:tab/>
      </w:r>
      <w:r>
        <w:t>can operate to show a television program or datacasting content only if it is used with another device; and</w:t>
      </w:r>
    </w:p>
    <w:p w14:paraId="40884CED" w14:textId="008B8E25" w:rsidR="00CC2840" w:rsidRPr="009F267A" w:rsidRDefault="00CC2840" w:rsidP="00CC2840">
      <w:pPr>
        <w:pStyle w:val="paragraph"/>
      </w:pPr>
      <w:r w:rsidRPr="009F267A">
        <w:tab/>
        <w:t>(b)</w:t>
      </w:r>
      <w:r w:rsidRPr="009F267A">
        <w:tab/>
      </w:r>
      <w:r>
        <w:t>cannot be connected to an electricity system of an electricity supply body otherwise than through the device mentioned in paragraph (a).</w:t>
      </w:r>
    </w:p>
    <w:p w14:paraId="5EA85513" w14:textId="77777777" w:rsidR="00CC2840" w:rsidRDefault="00CC2840" w:rsidP="00CC2840">
      <w:pPr>
        <w:pStyle w:val="notetext"/>
      </w:pPr>
      <w:r>
        <w:t>Note:</w:t>
      </w:r>
      <w:r>
        <w:tab/>
        <w:t>Subsection 130</w:t>
      </w:r>
      <w:proofErr w:type="gramStart"/>
      <w:r>
        <w:t>B(</w:t>
      </w:r>
      <w:proofErr w:type="gramEnd"/>
      <w:r>
        <w:t>1) of the Act applies in relation to domestic reception equipment. A domestic digital television receiver is domestic reception equipment.</w:t>
      </w:r>
    </w:p>
    <w:p w14:paraId="164C7625" w14:textId="4EC75D25" w:rsidR="00CC2840" w:rsidRPr="00415E20" w:rsidRDefault="00CC2840" w:rsidP="00CC2840">
      <w:pPr>
        <w:pStyle w:val="subsection"/>
      </w:pPr>
      <w:r>
        <w:tab/>
        <w:t>(2)</w:t>
      </w:r>
      <w:r>
        <w:tab/>
      </w:r>
      <w:r w:rsidR="0093429B">
        <w:t>If the domestic digital television receiver:</w:t>
      </w:r>
    </w:p>
    <w:p w14:paraId="0E5D387E" w14:textId="4056A316" w:rsidR="00CC2840" w:rsidRDefault="00CC2840" w:rsidP="00CC2840">
      <w:pPr>
        <w:pStyle w:val="paragraph"/>
      </w:pPr>
      <w:r w:rsidRPr="009F267A">
        <w:tab/>
        <w:t>(a)</w:t>
      </w:r>
      <w:r w:rsidRPr="009F267A">
        <w:tab/>
      </w:r>
      <w:r w:rsidR="0093429B">
        <w:t>is supplied with software; and</w:t>
      </w:r>
    </w:p>
    <w:p w14:paraId="56BB5EDA" w14:textId="76E5495A" w:rsidR="0093429B" w:rsidRPr="009F267A" w:rsidRDefault="0093429B" w:rsidP="00CC2840">
      <w:pPr>
        <w:pStyle w:val="paragraph"/>
      </w:pPr>
      <w:r>
        <w:tab/>
        <w:t>(b)</w:t>
      </w:r>
      <w:r>
        <w:tab/>
        <w:t xml:space="preserve">operates as a domestic </w:t>
      </w:r>
      <w:r w:rsidR="0040197C">
        <w:t xml:space="preserve">digital television receiver when used with the </w:t>
      </w:r>
      <w:proofErr w:type="gramStart"/>
      <w:r w:rsidR="0040197C">
        <w:t>softw</w:t>
      </w:r>
      <w:r w:rsidR="007001E4">
        <w:t>a</w:t>
      </w:r>
      <w:r w:rsidR="0040197C">
        <w:t>re;</w:t>
      </w:r>
      <w:proofErr w:type="gramEnd"/>
    </w:p>
    <w:p w14:paraId="05E71C79" w14:textId="7EA28E1B" w:rsidR="00CC2840" w:rsidRDefault="0040197C" w:rsidP="0040197C">
      <w:pPr>
        <w:pStyle w:val="subsection"/>
        <w:spacing w:before="60"/>
      </w:pPr>
      <w:r>
        <w:tab/>
      </w:r>
      <w:r>
        <w:tab/>
      </w:r>
      <w:r w:rsidR="007001E4">
        <w:t>the receiver must have parental lock capabilities when used with the software.</w:t>
      </w:r>
    </w:p>
    <w:p w14:paraId="128930EC" w14:textId="39CA2793" w:rsidR="0040197C" w:rsidRDefault="007001E4" w:rsidP="00086BF0">
      <w:pPr>
        <w:pStyle w:val="subsection"/>
      </w:pPr>
      <w:r>
        <w:tab/>
        <w:t>(3)</w:t>
      </w:r>
      <w:r>
        <w:tab/>
      </w:r>
      <w:r w:rsidR="005C4488">
        <w:t>The parental lock capabilities must be able to identify the classification code that applies to a television program by using the program classification information for the program.</w:t>
      </w:r>
    </w:p>
    <w:p w14:paraId="1B5CF458" w14:textId="216A4A5D" w:rsidR="005C4488" w:rsidRDefault="005C4488" w:rsidP="00086BF0">
      <w:pPr>
        <w:pStyle w:val="subsection"/>
      </w:pPr>
      <w:r>
        <w:tab/>
        <w:t>(4)</w:t>
      </w:r>
      <w:r>
        <w:tab/>
        <w:t>The parental lock capabilities must be able to identify the classification code that applies to datacasting content by using the program classification information for the content.</w:t>
      </w:r>
    </w:p>
    <w:p w14:paraId="132AAA40" w14:textId="0BCC0262" w:rsidR="005C4488" w:rsidRDefault="005C4488" w:rsidP="005C4488">
      <w:pPr>
        <w:pStyle w:val="subsection"/>
      </w:pPr>
      <w:r>
        <w:tab/>
        <w:t>(5)</w:t>
      </w:r>
      <w:r>
        <w:tab/>
        <w:t xml:space="preserve">The parental lock capabilities must be able to be set by the user of the </w:t>
      </w:r>
      <w:r w:rsidR="006B16A3">
        <w:t xml:space="preserve">domestic digital television </w:t>
      </w:r>
      <w:r>
        <w:t>receiver so that the user can choose to make the receiver block any of the following:</w:t>
      </w:r>
    </w:p>
    <w:p w14:paraId="66D222DD" w14:textId="77777777" w:rsidR="005C4488" w:rsidRDefault="005C4488" w:rsidP="005C4488">
      <w:pPr>
        <w:pStyle w:val="paragraph"/>
      </w:pPr>
      <w:r w:rsidRPr="009F267A">
        <w:tab/>
        <w:t>(a)</w:t>
      </w:r>
      <w:r w:rsidRPr="009F267A">
        <w:tab/>
      </w:r>
      <w:r>
        <w:t xml:space="preserve">television programs and datacasting content with a classification code of PG or </w:t>
      </w:r>
      <w:proofErr w:type="gramStart"/>
      <w:r>
        <w:t>higher;</w:t>
      </w:r>
      <w:proofErr w:type="gramEnd"/>
    </w:p>
    <w:p w14:paraId="26907707" w14:textId="77777777" w:rsidR="005C4488" w:rsidRDefault="005C4488" w:rsidP="005C4488">
      <w:pPr>
        <w:pStyle w:val="paragraph"/>
      </w:pPr>
      <w:r>
        <w:tab/>
        <w:t>(b)</w:t>
      </w:r>
      <w:r>
        <w:tab/>
        <w:t xml:space="preserve">television programs and datacasting content with a classification code of M or </w:t>
      </w:r>
      <w:proofErr w:type="gramStart"/>
      <w:r>
        <w:t>higher;</w:t>
      </w:r>
      <w:proofErr w:type="gramEnd"/>
    </w:p>
    <w:p w14:paraId="0F331792" w14:textId="06D47F93" w:rsidR="005C4488" w:rsidRPr="009F267A" w:rsidRDefault="005C4488" w:rsidP="005C4488">
      <w:pPr>
        <w:pStyle w:val="paragraph"/>
      </w:pPr>
      <w:r w:rsidRPr="009F267A">
        <w:tab/>
        <w:t>(</w:t>
      </w:r>
      <w:r>
        <w:t>c</w:t>
      </w:r>
      <w:r w:rsidRPr="009F267A">
        <w:t>)</w:t>
      </w:r>
      <w:r w:rsidRPr="009F267A">
        <w:tab/>
      </w:r>
      <w:r w:rsidR="005A4655">
        <w:t xml:space="preserve">television </w:t>
      </w:r>
      <w:r>
        <w:t>programs and datacasting content with a classification code of MA or higher.</w:t>
      </w:r>
    </w:p>
    <w:p w14:paraId="792C967C" w14:textId="07CB42C5" w:rsidR="00822426" w:rsidRDefault="00822426" w:rsidP="00822426">
      <w:pPr>
        <w:pStyle w:val="ActHead5"/>
      </w:pPr>
      <w:proofErr w:type="gramStart"/>
      <w:r>
        <w:t>1</w:t>
      </w:r>
      <w:r w:rsidR="0027428A">
        <w:t>0</w:t>
      </w:r>
      <w:r w:rsidRPr="009F267A">
        <w:t xml:space="preserve">  </w:t>
      </w:r>
      <w:r>
        <w:t>Standard</w:t>
      </w:r>
      <w:proofErr w:type="gramEnd"/>
      <w:r>
        <w:t xml:space="preserve"> – domestic digital television receiver (amplifiers and distribution devices)</w:t>
      </w:r>
    </w:p>
    <w:p w14:paraId="3E96041D" w14:textId="77777777" w:rsidR="00822426" w:rsidRPr="00415E20" w:rsidRDefault="00822426" w:rsidP="00822426">
      <w:pPr>
        <w:pStyle w:val="subsection"/>
      </w:pPr>
      <w:r>
        <w:tab/>
        <w:t>(1)</w:t>
      </w:r>
      <w:r>
        <w:tab/>
        <w:t>For subsection 130</w:t>
      </w:r>
      <w:proofErr w:type="gramStart"/>
      <w:r>
        <w:t>B(</w:t>
      </w:r>
      <w:proofErr w:type="gramEnd"/>
      <w:r>
        <w:t>1) of the Act, this section sets out a technical standard for a domestic digital television receiver that:</w:t>
      </w:r>
    </w:p>
    <w:p w14:paraId="1C28AA20" w14:textId="1749DDBE" w:rsidR="00822426" w:rsidRPr="009F267A" w:rsidRDefault="00822426" w:rsidP="00822426">
      <w:pPr>
        <w:pStyle w:val="paragraph"/>
      </w:pPr>
      <w:r w:rsidRPr="009F267A">
        <w:tab/>
        <w:t>(a)</w:t>
      </w:r>
      <w:r w:rsidRPr="009F267A">
        <w:tab/>
      </w:r>
      <w:r w:rsidR="00A63F0D">
        <w:t xml:space="preserve">is an amplifier or distribution device used in the installation of antenna </w:t>
      </w:r>
      <w:r w:rsidR="00A05C06">
        <w:t xml:space="preserve">systems that support terrestrial reception of broadcasting services, datacasting services </w:t>
      </w:r>
      <w:r w:rsidR="00955300">
        <w:t>or both</w:t>
      </w:r>
      <w:r>
        <w:t>; and</w:t>
      </w:r>
    </w:p>
    <w:p w14:paraId="5F133C14" w14:textId="2B716E99" w:rsidR="00822426" w:rsidRDefault="00822426" w:rsidP="00822426">
      <w:pPr>
        <w:pStyle w:val="paragraph"/>
      </w:pPr>
      <w:r w:rsidRPr="009F267A">
        <w:tab/>
        <w:t>(b)</w:t>
      </w:r>
      <w:r w:rsidRPr="009F267A">
        <w:tab/>
      </w:r>
      <w:proofErr w:type="gramStart"/>
      <w:r w:rsidR="0095475F">
        <w:t>is capable of receiving</w:t>
      </w:r>
      <w:proofErr w:type="gramEnd"/>
      <w:r w:rsidR="0095475F">
        <w:t xml:space="preserve"> a service that was transmitted using</w:t>
      </w:r>
      <w:r w:rsidR="007F51E8">
        <w:t xml:space="preserve"> coded orthog</w:t>
      </w:r>
      <w:r w:rsidR="000A3C9D">
        <w:t>onal frequency-division multiplexing (</w:t>
      </w:r>
      <w:r w:rsidR="000A3C9D" w:rsidRPr="00FE2772">
        <w:rPr>
          <w:b/>
          <w:bCs/>
          <w:i/>
          <w:iCs/>
        </w:rPr>
        <w:t>COFDM</w:t>
      </w:r>
      <w:r w:rsidR="000A3C9D">
        <w:t>)</w:t>
      </w:r>
      <w:r w:rsidR="00E7212B">
        <w:t>,</w:t>
      </w:r>
      <w:r w:rsidR="0095475F">
        <w:t xml:space="preserve"> </w:t>
      </w:r>
      <w:r w:rsidR="003438D8">
        <w:t>using</w:t>
      </w:r>
      <w:r w:rsidR="00784D54">
        <w:t xml:space="preserve"> </w:t>
      </w:r>
      <w:r w:rsidR="0095475F">
        <w:t>either of the following modulation techniques:</w:t>
      </w:r>
    </w:p>
    <w:p w14:paraId="2E7AF194" w14:textId="381C36CE" w:rsidR="0095475F" w:rsidRPr="0095475F" w:rsidRDefault="0095475F" w:rsidP="0095475F">
      <w:pPr>
        <w:pStyle w:val="paragraphsub"/>
      </w:pPr>
      <w:r w:rsidRPr="0095475F">
        <w:tab/>
        <w:t>(</w:t>
      </w:r>
      <w:proofErr w:type="spellStart"/>
      <w:r w:rsidRPr="0095475F">
        <w:t>i</w:t>
      </w:r>
      <w:proofErr w:type="spellEnd"/>
      <w:r w:rsidRPr="0095475F">
        <w:t>)</w:t>
      </w:r>
      <w:r w:rsidRPr="0095475F">
        <w:tab/>
      </w:r>
      <w:r w:rsidR="00784D54">
        <w:t>quadrature phase shift keying</w:t>
      </w:r>
      <w:r w:rsidR="00A304B6">
        <w:t xml:space="preserve"> (</w:t>
      </w:r>
      <w:r w:rsidR="00A304B6" w:rsidRPr="00FE2772">
        <w:rPr>
          <w:b/>
          <w:bCs/>
          <w:i/>
          <w:iCs/>
        </w:rPr>
        <w:t>QPSK</w:t>
      </w:r>
      <w:r w:rsidR="00A304B6">
        <w:t>)</w:t>
      </w:r>
      <w:r w:rsidRPr="0095475F">
        <w:t>; or</w:t>
      </w:r>
    </w:p>
    <w:p w14:paraId="3D928D0A" w14:textId="74F3B749" w:rsidR="0095475F" w:rsidRPr="0095475F" w:rsidRDefault="0095475F" w:rsidP="0095475F">
      <w:pPr>
        <w:pStyle w:val="paragraphsub"/>
      </w:pPr>
      <w:r w:rsidRPr="0095475F">
        <w:tab/>
        <w:t>(ii)</w:t>
      </w:r>
      <w:r w:rsidRPr="0095475F">
        <w:tab/>
      </w:r>
      <w:r>
        <w:t xml:space="preserve">quadrature </w:t>
      </w:r>
      <w:r w:rsidR="009635FA">
        <w:t>amplitude modulation</w:t>
      </w:r>
      <w:r>
        <w:t xml:space="preserve"> (</w:t>
      </w:r>
      <w:r w:rsidR="009635FA" w:rsidRPr="0095475F">
        <w:rPr>
          <w:b/>
          <w:bCs/>
          <w:i/>
          <w:iCs/>
        </w:rPr>
        <w:t>Q</w:t>
      </w:r>
      <w:r w:rsidR="009635FA">
        <w:rPr>
          <w:b/>
          <w:bCs/>
          <w:i/>
          <w:iCs/>
        </w:rPr>
        <w:t>AM</w:t>
      </w:r>
      <w:r>
        <w:t>)</w:t>
      </w:r>
      <w:r w:rsidRPr="0095475F">
        <w:t xml:space="preserve">; </w:t>
      </w:r>
      <w:r>
        <w:t>and</w:t>
      </w:r>
    </w:p>
    <w:p w14:paraId="39B2F8C7" w14:textId="728E96B0" w:rsidR="0095475F" w:rsidRDefault="0095475F" w:rsidP="003A75C4">
      <w:pPr>
        <w:pStyle w:val="paragraph"/>
        <w:keepNext/>
      </w:pPr>
      <w:r>
        <w:tab/>
        <w:t>(c)</w:t>
      </w:r>
      <w:r>
        <w:tab/>
        <w:t>is designed to demodulate or decode the service and then remodulate or re-encode the service; and</w:t>
      </w:r>
    </w:p>
    <w:p w14:paraId="6337C69C" w14:textId="6281576C" w:rsidR="0095475F" w:rsidRPr="0094569C" w:rsidRDefault="00312503" w:rsidP="00822426">
      <w:pPr>
        <w:pStyle w:val="paragraph"/>
      </w:pPr>
      <w:r>
        <w:tab/>
        <w:t>(d)</w:t>
      </w:r>
      <w:r>
        <w:tab/>
        <w:t xml:space="preserve">is designed to </w:t>
      </w:r>
      <w:r w:rsidR="006B3A12">
        <w:t xml:space="preserve">use COFDM to </w:t>
      </w:r>
      <w:r>
        <w:t>distribute the service</w:t>
      </w:r>
      <w:r w:rsidR="006B3A12">
        <w:t xml:space="preserve"> </w:t>
      </w:r>
      <w:r>
        <w:t xml:space="preserve">to one or more </w:t>
      </w:r>
      <w:r w:rsidR="003438D8">
        <w:t xml:space="preserve">other </w:t>
      </w:r>
      <w:r w:rsidR="00822849">
        <w:t xml:space="preserve">domestic digital television </w:t>
      </w:r>
      <w:r w:rsidR="0094569C">
        <w:t xml:space="preserve">receivers connected to the </w:t>
      </w:r>
      <w:r w:rsidR="0094569C" w:rsidRPr="0094569C">
        <w:t>amplifier or distribution device</w:t>
      </w:r>
      <w:r w:rsidR="00FA0AA8">
        <w:t>,</w:t>
      </w:r>
      <w:r w:rsidR="008836A6">
        <w:t xml:space="preserve"> which use</w:t>
      </w:r>
      <w:r w:rsidR="0094569C" w:rsidRPr="0094569C">
        <w:t xml:space="preserve"> </w:t>
      </w:r>
      <w:r w:rsidR="00A4427A">
        <w:t>either</w:t>
      </w:r>
      <w:r w:rsidR="00A4427A" w:rsidRPr="0094569C">
        <w:t xml:space="preserve"> </w:t>
      </w:r>
      <w:r w:rsidR="0094569C" w:rsidRPr="0094569C">
        <w:t>of the following modulation techniques</w:t>
      </w:r>
      <w:r w:rsidR="007176EA">
        <w:t xml:space="preserve"> when receiving the service</w:t>
      </w:r>
      <w:r w:rsidR="0094569C" w:rsidRPr="0094569C">
        <w:t>:</w:t>
      </w:r>
    </w:p>
    <w:p w14:paraId="23BB6ADA" w14:textId="089E3CFC" w:rsidR="00856E78" w:rsidRDefault="0094569C" w:rsidP="0094569C">
      <w:pPr>
        <w:pStyle w:val="paragraphsub"/>
      </w:pPr>
      <w:r w:rsidRPr="0094569C">
        <w:t xml:space="preserve"> </w:t>
      </w:r>
      <w:r w:rsidRPr="0094569C">
        <w:tab/>
        <w:t>(</w:t>
      </w:r>
      <w:proofErr w:type="spellStart"/>
      <w:r w:rsidRPr="0094569C">
        <w:t>i</w:t>
      </w:r>
      <w:proofErr w:type="spellEnd"/>
      <w:r w:rsidRPr="0094569C">
        <w:t>)</w:t>
      </w:r>
      <w:r w:rsidRPr="0094569C">
        <w:tab/>
      </w:r>
      <w:r w:rsidR="00856E78">
        <w:t>QPSK; or</w:t>
      </w:r>
    </w:p>
    <w:p w14:paraId="1DB26F7F" w14:textId="5FF06C57" w:rsidR="0094569C" w:rsidRPr="009F267A" w:rsidRDefault="00856E78" w:rsidP="00856E78">
      <w:pPr>
        <w:pStyle w:val="paragraphsub"/>
      </w:pPr>
      <w:r>
        <w:lastRenderedPageBreak/>
        <w:tab/>
        <w:t>(ii)</w:t>
      </w:r>
      <w:r>
        <w:tab/>
      </w:r>
      <w:r w:rsidR="001B58DB">
        <w:t>QAM</w:t>
      </w:r>
      <w:r>
        <w:t>.</w:t>
      </w:r>
    </w:p>
    <w:p w14:paraId="7FF4BCC7" w14:textId="77777777" w:rsidR="00822426" w:rsidRDefault="00822426" w:rsidP="00822426">
      <w:pPr>
        <w:pStyle w:val="notetext"/>
      </w:pPr>
      <w:r>
        <w:t>Note:</w:t>
      </w:r>
      <w:r>
        <w:tab/>
        <w:t>Subsection 130</w:t>
      </w:r>
      <w:proofErr w:type="gramStart"/>
      <w:r>
        <w:t>B(</w:t>
      </w:r>
      <w:proofErr w:type="gramEnd"/>
      <w:r>
        <w:t>1) of the Act applies in relation to domestic reception equipment. A domestic digital television receiver is domestic reception equipment.</w:t>
      </w:r>
    </w:p>
    <w:p w14:paraId="05B38ABC" w14:textId="7E0331CE" w:rsidR="005C4488" w:rsidRDefault="00856E78" w:rsidP="00086BF0">
      <w:pPr>
        <w:pStyle w:val="subsection"/>
      </w:pPr>
      <w:r>
        <w:tab/>
        <w:t>(2)</w:t>
      </w:r>
      <w:r>
        <w:tab/>
      </w:r>
      <w:r w:rsidR="00D80C02">
        <w:t xml:space="preserve">The </w:t>
      </w:r>
      <w:r w:rsidR="00BD7E4C">
        <w:t>amplifier or distribution device must include in the distributed service the program classification information necessary to enable parental lock capabilities to operate in the connect</w:t>
      </w:r>
      <w:r w:rsidR="009B6F5D">
        <w:t xml:space="preserve">ed receivers </w:t>
      </w:r>
      <w:r w:rsidR="001F6CB3">
        <w:t>mentioned in paragraph (1)(d).</w:t>
      </w:r>
    </w:p>
    <w:p w14:paraId="2513DAA3" w14:textId="5304876F" w:rsidR="009D459E" w:rsidRDefault="009D459E" w:rsidP="009D459E">
      <w:pPr>
        <w:pStyle w:val="ActHead5"/>
      </w:pPr>
      <w:proofErr w:type="gramStart"/>
      <w:r>
        <w:t>1</w:t>
      </w:r>
      <w:r w:rsidR="0027428A">
        <w:t>1</w:t>
      </w:r>
      <w:r w:rsidRPr="009F267A">
        <w:t xml:space="preserve">  </w:t>
      </w:r>
      <w:r>
        <w:t>Exemption</w:t>
      </w:r>
      <w:r w:rsidR="00112F17">
        <w:t>s</w:t>
      </w:r>
      <w:proofErr w:type="gramEnd"/>
    </w:p>
    <w:p w14:paraId="05B75491" w14:textId="53865C66" w:rsidR="009D459E" w:rsidRPr="00415E20" w:rsidRDefault="009D459E" w:rsidP="009D459E">
      <w:pPr>
        <w:pStyle w:val="subsection"/>
      </w:pPr>
      <w:r>
        <w:tab/>
      </w:r>
      <w:r>
        <w:tab/>
        <w:t>For subsection 130</w:t>
      </w:r>
      <w:proofErr w:type="gramStart"/>
      <w:r>
        <w:t>B(</w:t>
      </w:r>
      <w:proofErr w:type="gramEnd"/>
      <w:r w:rsidR="004F679B">
        <w:t>7</w:t>
      </w:r>
      <w:r>
        <w:t xml:space="preserve">) of the Act, </w:t>
      </w:r>
      <w:r w:rsidR="005D242D">
        <w:t>the domestic reception equipment mentioned in the following table is exempt</w:t>
      </w:r>
      <w:r w:rsidR="00CC314C">
        <w:t xml:space="preserve"> in relation to this instrument</w:t>
      </w:r>
      <w:r w:rsidR="005D242D">
        <w:t xml:space="preserve"> from subsections 130B(2) and (3)</w:t>
      </w:r>
      <w:r w:rsidR="00BD4FCB">
        <w:t xml:space="preserve"> of the Act</w:t>
      </w:r>
      <w:r>
        <w:t>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6861"/>
      </w:tblGrid>
      <w:tr w:rsidR="00112F17" w14:paraId="60232BCF" w14:textId="77777777" w:rsidTr="00112F1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D5E7DB" w14:textId="77777777" w:rsidR="00112F17" w:rsidRDefault="00112F17">
            <w:pPr>
              <w:pStyle w:val="TableColHead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2C78CD" w14:textId="77777777" w:rsidR="00112F17" w:rsidRDefault="00112F17">
            <w:pPr>
              <w:pStyle w:val="TableColHead"/>
              <w:rPr>
                <w:lang w:val="en-US"/>
              </w:rPr>
            </w:pPr>
            <w:r>
              <w:rPr>
                <w:lang w:val="en-US"/>
              </w:rPr>
              <w:t>Domestic reception equipment</w:t>
            </w:r>
          </w:p>
        </w:tc>
      </w:tr>
      <w:tr w:rsidR="00112F17" w14:paraId="6B5A1B32" w14:textId="77777777" w:rsidTr="00112F1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48E26" w14:textId="77777777" w:rsidR="00112F17" w:rsidRDefault="00112F17">
            <w:pPr>
              <w:pStyle w:val="TableText"/>
              <w:ind w:left="227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DE1B81" w14:textId="574FA13D" w:rsidR="00112F17" w:rsidRDefault="00112F1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A domestic digital television receiver of a kind that was supplied for the first time before </w:t>
            </w:r>
            <w:r w:rsidR="00C91204">
              <w:rPr>
                <w:lang w:val="en-US"/>
              </w:rPr>
              <w:t xml:space="preserve">the </w:t>
            </w:r>
            <w:r w:rsidR="00C91204">
              <w:rPr>
                <w:i/>
                <w:iCs/>
                <w:lang w:val="en-US"/>
              </w:rPr>
              <w:t>Broadcasting and Datacasting Services (Parental Lock) Technical Standard 2010</w:t>
            </w:r>
            <w:r>
              <w:rPr>
                <w:lang w:val="en-US"/>
              </w:rPr>
              <w:t xml:space="preserve"> </w:t>
            </w:r>
            <w:r w:rsidR="00AA5A4A">
              <w:rPr>
                <w:lang w:val="en-US"/>
              </w:rPr>
              <w:t>(</w:t>
            </w:r>
            <w:r w:rsidR="00AA5A4A" w:rsidRPr="00AA5A4A">
              <w:rPr>
                <w:b/>
                <w:bCs/>
                <w:i/>
                <w:iCs/>
                <w:lang w:val="en-US"/>
              </w:rPr>
              <w:t>the original standard</w:t>
            </w:r>
            <w:r w:rsidR="00AA5A4A">
              <w:rPr>
                <w:lang w:val="en-US"/>
              </w:rPr>
              <w:t xml:space="preserve">) </w:t>
            </w:r>
            <w:r>
              <w:rPr>
                <w:lang w:val="en-US"/>
              </w:rPr>
              <w:t>applied</w:t>
            </w:r>
            <w:r w:rsidR="004219EF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4219EF">
              <w:rPr>
                <w:lang w:val="en-US"/>
              </w:rPr>
              <w:t>in accordance with</w:t>
            </w:r>
            <w:r>
              <w:rPr>
                <w:lang w:val="en-US"/>
              </w:rPr>
              <w:t xml:space="preserve"> section 6</w:t>
            </w:r>
            <w:r w:rsidR="00C91204">
              <w:rPr>
                <w:lang w:val="en-US"/>
              </w:rPr>
              <w:t xml:space="preserve"> of th</w:t>
            </w:r>
            <w:r w:rsidR="00AA5A4A">
              <w:rPr>
                <w:lang w:val="en-US"/>
              </w:rPr>
              <w:t>e original standard</w:t>
            </w:r>
            <w:r>
              <w:rPr>
                <w:lang w:val="en-US"/>
              </w:rPr>
              <w:t>, including:</w:t>
            </w:r>
          </w:p>
          <w:p w14:paraId="11D1D339" w14:textId="235067DB" w:rsidR="00112F17" w:rsidRDefault="00112F17">
            <w:pPr>
              <w:pStyle w:val="TableP1a"/>
              <w:rPr>
                <w:lang w:val="en-US"/>
              </w:rPr>
            </w:pPr>
            <w:r>
              <w:rPr>
                <w:lang w:val="en-US"/>
              </w:rPr>
              <w:tab/>
              <w:t>(a)</w:t>
            </w:r>
            <w:r>
              <w:rPr>
                <w:lang w:val="en-US"/>
              </w:rPr>
              <w:tab/>
              <w:t>a particular model of domestic digital television receiver that was supplied by a wholesaler to a retailer before th</w:t>
            </w:r>
            <w:r w:rsidR="00335D67">
              <w:rPr>
                <w:lang w:val="en-US"/>
              </w:rPr>
              <w:t>e original s</w:t>
            </w:r>
            <w:r>
              <w:rPr>
                <w:lang w:val="en-US"/>
              </w:rPr>
              <w:t>tandard applied; and</w:t>
            </w:r>
          </w:p>
          <w:p w14:paraId="39A0DD64" w14:textId="6E28185D" w:rsidR="00112F17" w:rsidRDefault="00112F17">
            <w:pPr>
              <w:pStyle w:val="TableP1a"/>
              <w:rPr>
                <w:lang w:val="en-US"/>
              </w:rPr>
            </w:pPr>
            <w:r>
              <w:rPr>
                <w:lang w:val="en-US"/>
              </w:rPr>
              <w:tab/>
              <w:t>(b)</w:t>
            </w:r>
            <w:r>
              <w:rPr>
                <w:lang w:val="en-US"/>
              </w:rPr>
              <w:tab/>
              <w:t>a domestic digital television receiver that was sold by a retailer to a customer before th</w:t>
            </w:r>
            <w:r w:rsidR="00335D67">
              <w:rPr>
                <w:lang w:val="en-US"/>
              </w:rPr>
              <w:t>e original standard</w:t>
            </w:r>
            <w:r>
              <w:rPr>
                <w:lang w:val="en-US"/>
              </w:rPr>
              <w:t xml:space="preserve"> applied.</w:t>
            </w:r>
          </w:p>
        </w:tc>
      </w:tr>
      <w:tr w:rsidR="00112F17" w14:paraId="5CF0B4A3" w14:textId="77777777" w:rsidTr="00112F1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22D25" w14:textId="77777777" w:rsidR="00112F17" w:rsidRDefault="00112F17">
            <w:pPr>
              <w:pStyle w:val="TableText"/>
              <w:ind w:left="227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1AD881" w14:textId="77777777" w:rsidR="00112F17" w:rsidRDefault="00112F1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 domestic digital television receiver that is imported into Australia for the sole purpose of being exported.</w:t>
            </w:r>
          </w:p>
        </w:tc>
      </w:tr>
    </w:tbl>
    <w:p w14:paraId="01332066" w14:textId="48F3E4BE" w:rsidR="002332A2" w:rsidRPr="00086BF0" w:rsidRDefault="002332A2" w:rsidP="00ED72A0">
      <w:pPr>
        <w:tabs>
          <w:tab w:val="left" w:pos="2664"/>
        </w:tabs>
      </w:pPr>
    </w:p>
    <w:sectPr w:rsidR="002332A2" w:rsidRPr="00086BF0" w:rsidSect="0095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8CE13" w14:textId="77777777" w:rsidR="00C84D0B" w:rsidRDefault="00C84D0B" w:rsidP="0017734A">
      <w:pPr>
        <w:spacing w:after="0" w:line="240" w:lineRule="auto"/>
      </w:pPr>
      <w:r>
        <w:separator/>
      </w:r>
    </w:p>
  </w:endnote>
  <w:endnote w:type="continuationSeparator" w:id="0">
    <w:p w14:paraId="733F1E93" w14:textId="77777777" w:rsidR="00C84D0B" w:rsidRDefault="00C84D0B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09F9" w14:textId="7B9D332A" w:rsidR="00F4781B" w:rsidRPr="00047B11" w:rsidRDefault="00F4781B" w:rsidP="00F4781B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047B11">
      <w:rPr>
        <w:rFonts w:ascii="Arial" w:hAnsi="Arial" w:cs="Arial"/>
        <w:i/>
        <w:iCs/>
        <w:sz w:val="20"/>
        <w:szCs w:val="20"/>
      </w:rPr>
      <w:t>Broadcasting Services (Parental Lock) Technical Standard 2020</w:t>
    </w:r>
  </w:p>
  <w:p w14:paraId="162843F2" w14:textId="304A4E1E" w:rsidR="00F4781B" w:rsidRPr="00047B11" w:rsidRDefault="00F4781B" w:rsidP="00F4781B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047B11">
      <w:rPr>
        <w:rFonts w:ascii="Arial" w:hAnsi="Arial" w:cs="Arial"/>
        <w:sz w:val="20"/>
        <w:szCs w:val="20"/>
      </w:rPr>
      <w:fldChar w:fldCharType="begin"/>
    </w:r>
    <w:r w:rsidRPr="00047B11">
      <w:rPr>
        <w:rFonts w:ascii="Arial" w:hAnsi="Arial" w:cs="Arial"/>
        <w:sz w:val="20"/>
        <w:szCs w:val="20"/>
      </w:rPr>
      <w:instrText xml:space="preserve"> PAGE   \* MERGEFORMAT </w:instrText>
    </w:r>
    <w:r w:rsidRPr="00047B11">
      <w:rPr>
        <w:rFonts w:ascii="Arial" w:hAnsi="Arial" w:cs="Arial"/>
        <w:sz w:val="20"/>
        <w:szCs w:val="20"/>
      </w:rPr>
      <w:fldChar w:fldCharType="separate"/>
    </w:r>
    <w:r w:rsidRPr="00047B11">
      <w:rPr>
        <w:rFonts w:ascii="Arial" w:hAnsi="Arial" w:cs="Arial"/>
        <w:noProof/>
        <w:sz w:val="20"/>
        <w:szCs w:val="20"/>
      </w:rPr>
      <w:t>1</w:t>
    </w:r>
    <w:r w:rsidRPr="00047B11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74ED9" w14:textId="77777777" w:rsidR="00C84D0B" w:rsidRDefault="00C84D0B" w:rsidP="0017734A">
      <w:pPr>
        <w:spacing w:after="0" w:line="240" w:lineRule="auto"/>
      </w:pPr>
      <w:r>
        <w:separator/>
      </w:r>
    </w:p>
  </w:footnote>
  <w:footnote w:type="continuationSeparator" w:id="0">
    <w:p w14:paraId="6C164AF4" w14:textId="77777777" w:rsidR="00C84D0B" w:rsidRDefault="00C84D0B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AB5B" w14:textId="3334DB9F" w:rsidR="00A005ED" w:rsidRPr="00EA0BA9" w:rsidRDefault="007D281C" w:rsidP="00A005ED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  <w:szCs w:val="20"/>
      </w:rPr>
    </w:pPr>
    <w:r w:rsidRPr="00EA0BA9">
      <w:rPr>
        <w:rFonts w:ascii="Arial" w:hAnsi="Arial" w:cs="Arial"/>
        <w:b/>
        <w:bCs/>
        <w:sz w:val="20"/>
        <w:szCs w:val="20"/>
      </w:rPr>
      <w:t xml:space="preserve">Section </w:t>
    </w:r>
    <w:r w:rsidRPr="00EA0BA9">
      <w:rPr>
        <w:rFonts w:ascii="Arial" w:hAnsi="Arial" w:cs="Arial"/>
        <w:b/>
        <w:bCs/>
        <w:sz w:val="20"/>
        <w:szCs w:val="20"/>
      </w:rPr>
      <w:fldChar w:fldCharType="begin"/>
    </w:r>
    <w:r w:rsidRPr="00EA0BA9">
      <w:rPr>
        <w:rFonts w:ascii="Arial" w:hAnsi="Arial" w:cs="Arial"/>
        <w:b/>
        <w:bCs/>
        <w:sz w:val="20"/>
        <w:szCs w:val="20"/>
      </w:rPr>
      <w:instrText xml:space="preserve"> STYLEREF  "ActHead 5,s"  \* MERGEFORMAT </w:instrText>
    </w:r>
    <w:r w:rsidRPr="00EA0BA9">
      <w:rPr>
        <w:rFonts w:ascii="Arial" w:hAnsi="Arial" w:cs="Arial"/>
        <w:b/>
        <w:bCs/>
        <w:sz w:val="20"/>
        <w:szCs w:val="20"/>
      </w:rPr>
      <w:fldChar w:fldCharType="separate"/>
    </w:r>
    <w:r w:rsidR="009B7513">
      <w:rPr>
        <w:rFonts w:ascii="Arial" w:hAnsi="Arial" w:cs="Arial"/>
        <w:b/>
        <w:bCs/>
        <w:noProof/>
        <w:sz w:val="20"/>
        <w:szCs w:val="20"/>
      </w:rPr>
      <w:t>11  Exemptions</w:t>
    </w:r>
    <w:r w:rsidRPr="00EA0BA9">
      <w:rPr>
        <w:rFonts w:ascii="Arial" w:hAnsi="Arial" w:cs="Arial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2CB0"/>
    <w:multiLevelType w:val="hybridMultilevel"/>
    <w:tmpl w:val="1BE6CD0A"/>
    <w:lvl w:ilvl="0" w:tplc="77242A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163AF"/>
    <w:rsid w:val="000340E0"/>
    <w:rsid w:val="00044E44"/>
    <w:rsid w:val="0004524D"/>
    <w:rsid w:val="00047B11"/>
    <w:rsid w:val="00055BB0"/>
    <w:rsid w:val="00063DFD"/>
    <w:rsid w:val="00086BF0"/>
    <w:rsid w:val="00087F5A"/>
    <w:rsid w:val="00097890"/>
    <w:rsid w:val="000A3C9D"/>
    <w:rsid w:val="000C77DC"/>
    <w:rsid w:val="000D6066"/>
    <w:rsid w:val="000E35B9"/>
    <w:rsid w:val="000F1010"/>
    <w:rsid w:val="000F1CE3"/>
    <w:rsid w:val="000F2057"/>
    <w:rsid w:val="000F7099"/>
    <w:rsid w:val="00110E37"/>
    <w:rsid w:val="00112F17"/>
    <w:rsid w:val="00152CE6"/>
    <w:rsid w:val="00160F8E"/>
    <w:rsid w:val="00166F26"/>
    <w:rsid w:val="0017734A"/>
    <w:rsid w:val="00183F81"/>
    <w:rsid w:val="001844C7"/>
    <w:rsid w:val="001A2B69"/>
    <w:rsid w:val="001A4B39"/>
    <w:rsid w:val="001B2574"/>
    <w:rsid w:val="001B4B88"/>
    <w:rsid w:val="001B58DB"/>
    <w:rsid w:val="001C3477"/>
    <w:rsid w:val="001C6A6D"/>
    <w:rsid w:val="001D382B"/>
    <w:rsid w:val="001E0709"/>
    <w:rsid w:val="001E45EA"/>
    <w:rsid w:val="001E57E9"/>
    <w:rsid w:val="001E6AC4"/>
    <w:rsid w:val="001F6CB3"/>
    <w:rsid w:val="00214EFD"/>
    <w:rsid w:val="00231291"/>
    <w:rsid w:val="002332A2"/>
    <w:rsid w:val="002359DE"/>
    <w:rsid w:val="002364D5"/>
    <w:rsid w:val="002569B5"/>
    <w:rsid w:val="0027428A"/>
    <w:rsid w:val="00291C8D"/>
    <w:rsid w:val="002B73D8"/>
    <w:rsid w:val="002C5407"/>
    <w:rsid w:val="002E5B01"/>
    <w:rsid w:val="002F0E3F"/>
    <w:rsid w:val="002F7598"/>
    <w:rsid w:val="00302319"/>
    <w:rsid w:val="00312503"/>
    <w:rsid w:val="003129BB"/>
    <w:rsid w:val="003166CF"/>
    <w:rsid w:val="00335D67"/>
    <w:rsid w:val="003438D8"/>
    <w:rsid w:val="00351777"/>
    <w:rsid w:val="0036733D"/>
    <w:rsid w:val="00372D68"/>
    <w:rsid w:val="00395204"/>
    <w:rsid w:val="003973D0"/>
    <w:rsid w:val="003A05E5"/>
    <w:rsid w:val="003A75C4"/>
    <w:rsid w:val="003B2C48"/>
    <w:rsid w:val="003B64CF"/>
    <w:rsid w:val="003C0096"/>
    <w:rsid w:val="0040197C"/>
    <w:rsid w:val="0040727A"/>
    <w:rsid w:val="00415E20"/>
    <w:rsid w:val="00416E07"/>
    <w:rsid w:val="00417B8B"/>
    <w:rsid w:val="004219EF"/>
    <w:rsid w:val="00422C07"/>
    <w:rsid w:val="00424038"/>
    <w:rsid w:val="004271E3"/>
    <w:rsid w:val="00434B53"/>
    <w:rsid w:val="004361D9"/>
    <w:rsid w:val="00436F17"/>
    <w:rsid w:val="00440610"/>
    <w:rsid w:val="00464E35"/>
    <w:rsid w:val="00470C30"/>
    <w:rsid w:val="00481933"/>
    <w:rsid w:val="004923DF"/>
    <w:rsid w:val="004B4796"/>
    <w:rsid w:val="004D39F0"/>
    <w:rsid w:val="004D6B79"/>
    <w:rsid w:val="004E3164"/>
    <w:rsid w:val="004F679B"/>
    <w:rsid w:val="00502445"/>
    <w:rsid w:val="00503ECC"/>
    <w:rsid w:val="00507D03"/>
    <w:rsid w:val="005300B2"/>
    <w:rsid w:val="00547329"/>
    <w:rsid w:val="0055123D"/>
    <w:rsid w:val="00583F0E"/>
    <w:rsid w:val="005957A6"/>
    <w:rsid w:val="005A3582"/>
    <w:rsid w:val="005A4655"/>
    <w:rsid w:val="005C0555"/>
    <w:rsid w:val="005C4488"/>
    <w:rsid w:val="005D242D"/>
    <w:rsid w:val="005D43B5"/>
    <w:rsid w:val="005E1352"/>
    <w:rsid w:val="005E1A77"/>
    <w:rsid w:val="005F1450"/>
    <w:rsid w:val="005F474D"/>
    <w:rsid w:val="0061016D"/>
    <w:rsid w:val="00634EE0"/>
    <w:rsid w:val="00640849"/>
    <w:rsid w:val="006437D6"/>
    <w:rsid w:val="006453A3"/>
    <w:rsid w:val="0068060B"/>
    <w:rsid w:val="00681361"/>
    <w:rsid w:val="00693D4F"/>
    <w:rsid w:val="0069466C"/>
    <w:rsid w:val="006B16A3"/>
    <w:rsid w:val="006B3A12"/>
    <w:rsid w:val="006B5DA9"/>
    <w:rsid w:val="006C0251"/>
    <w:rsid w:val="006C3B4C"/>
    <w:rsid w:val="006D36DE"/>
    <w:rsid w:val="006D7EC0"/>
    <w:rsid w:val="006E4453"/>
    <w:rsid w:val="006E5B82"/>
    <w:rsid w:val="006F5CF2"/>
    <w:rsid w:val="006F662B"/>
    <w:rsid w:val="007001E4"/>
    <w:rsid w:val="00703828"/>
    <w:rsid w:val="0071142C"/>
    <w:rsid w:val="007176EA"/>
    <w:rsid w:val="00721966"/>
    <w:rsid w:val="00733FB0"/>
    <w:rsid w:val="00763880"/>
    <w:rsid w:val="00765E72"/>
    <w:rsid w:val="00770264"/>
    <w:rsid w:val="00782ADA"/>
    <w:rsid w:val="00784D54"/>
    <w:rsid w:val="007B05F3"/>
    <w:rsid w:val="007D093E"/>
    <w:rsid w:val="007D281C"/>
    <w:rsid w:val="007D493F"/>
    <w:rsid w:val="007F51E8"/>
    <w:rsid w:val="007F7D40"/>
    <w:rsid w:val="00800926"/>
    <w:rsid w:val="0081244E"/>
    <w:rsid w:val="00812A22"/>
    <w:rsid w:val="00814838"/>
    <w:rsid w:val="008152D2"/>
    <w:rsid w:val="00817945"/>
    <w:rsid w:val="00822426"/>
    <w:rsid w:val="00822849"/>
    <w:rsid w:val="0083475E"/>
    <w:rsid w:val="008436BB"/>
    <w:rsid w:val="00854E86"/>
    <w:rsid w:val="00856E78"/>
    <w:rsid w:val="008579FB"/>
    <w:rsid w:val="0086239F"/>
    <w:rsid w:val="0086291D"/>
    <w:rsid w:val="00874286"/>
    <w:rsid w:val="00875268"/>
    <w:rsid w:val="00882449"/>
    <w:rsid w:val="008833D5"/>
    <w:rsid w:val="008836A6"/>
    <w:rsid w:val="00892659"/>
    <w:rsid w:val="0089278F"/>
    <w:rsid w:val="00895EE2"/>
    <w:rsid w:val="00896A23"/>
    <w:rsid w:val="008A7C35"/>
    <w:rsid w:val="008D1747"/>
    <w:rsid w:val="008D642E"/>
    <w:rsid w:val="008E68BE"/>
    <w:rsid w:val="008F015D"/>
    <w:rsid w:val="008F0207"/>
    <w:rsid w:val="008F0D09"/>
    <w:rsid w:val="008F3DDC"/>
    <w:rsid w:val="008F71A5"/>
    <w:rsid w:val="00903870"/>
    <w:rsid w:val="00911C61"/>
    <w:rsid w:val="0091792E"/>
    <w:rsid w:val="00923E26"/>
    <w:rsid w:val="009251A4"/>
    <w:rsid w:val="00931BF2"/>
    <w:rsid w:val="0093429B"/>
    <w:rsid w:val="00935A51"/>
    <w:rsid w:val="00935B1F"/>
    <w:rsid w:val="00935D29"/>
    <w:rsid w:val="00936CF2"/>
    <w:rsid w:val="00936E66"/>
    <w:rsid w:val="0094569C"/>
    <w:rsid w:val="00945C0B"/>
    <w:rsid w:val="00945F1B"/>
    <w:rsid w:val="00954745"/>
    <w:rsid w:val="0095475F"/>
    <w:rsid w:val="00955300"/>
    <w:rsid w:val="00957210"/>
    <w:rsid w:val="00962658"/>
    <w:rsid w:val="009635FA"/>
    <w:rsid w:val="00966602"/>
    <w:rsid w:val="00966DA5"/>
    <w:rsid w:val="00987A5F"/>
    <w:rsid w:val="009A627C"/>
    <w:rsid w:val="009A7377"/>
    <w:rsid w:val="009B3E70"/>
    <w:rsid w:val="009B6F5D"/>
    <w:rsid w:val="009B7513"/>
    <w:rsid w:val="009C77A8"/>
    <w:rsid w:val="009D459E"/>
    <w:rsid w:val="009E2417"/>
    <w:rsid w:val="009F267A"/>
    <w:rsid w:val="00A005ED"/>
    <w:rsid w:val="00A04467"/>
    <w:rsid w:val="00A05C06"/>
    <w:rsid w:val="00A10196"/>
    <w:rsid w:val="00A304B6"/>
    <w:rsid w:val="00A36986"/>
    <w:rsid w:val="00A4427A"/>
    <w:rsid w:val="00A44A6E"/>
    <w:rsid w:val="00A50CB7"/>
    <w:rsid w:val="00A533E4"/>
    <w:rsid w:val="00A63F0D"/>
    <w:rsid w:val="00A82450"/>
    <w:rsid w:val="00A87309"/>
    <w:rsid w:val="00A965A3"/>
    <w:rsid w:val="00AA5A4A"/>
    <w:rsid w:val="00AC5FC8"/>
    <w:rsid w:val="00AD14AA"/>
    <w:rsid w:val="00AD1EEA"/>
    <w:rsid w:val="00AE1ECA"/>
    <w:rsid w:val="00AE50D5"/>
    <w:rsid w:val="00AF3047"/>
    <w:rsid w:val="00AF5328"/>
    <w:rsid w:val="00B13B65"/>
    <w:rsid w:val="00B1723B"/>
    <w:rsid w:val="00B22FA4"/>
    <w:rsid w:val="00B34A4D"/>
    <w:rsid w:val="00B51452"/>
    <w:rsid w:val="00B70238"/>
    <w:rsid w:val="00B7104E"/>
    <w:rsid w:val="00B733C1"/>
    <w:rsid w:val="00B7359B"/>
    <w:rsid w:val="00B73FDB"/>
    <w:rsid w:val="00B90F17"/>
    <w:rsid w:val="00B94518"/>
    <w:rsid w:val="00BA4326"/>
    <w:rsid w:val="00BA5573"/>
    <w:rsid w:val="00BA7DB7"/>
    <w:rsid w:val="00BB0B17"/>
    <w:rsid w:val="00BC30F7"/>
    <w:rsid w:val="00BD4FCB"/>
    <w:rsid w:val="00BD7384"/>
    <w:rsid w:val="00BD77C9"/>
    <w:rsid w:val="00BD7E4C"/>
    <w:rsid w:val="00BE095C"/>
    <w:rsid w:val="00BE4BC7"/>
    <w:rsid w:val="00C04BC4"/>
    <w:rsid w:val="00C1433A"/>
    <w:rsid w:val="00C227FB"/>
    <w:rsid w:val="00C25DB4"/>
    <w:rsid w:val="00C337A1"/>
    <w:rsid w:val="00C34CDB"/>
    <w:rsid w:val="00C42D9B"/>
    <w:rsid w:val="00C4544C"/>
    <w:rsid w:val="00C45835"/>
    <w:rsid w:val="00C47636"/>
    <w:rsid w:val="00C5287B"/>
    <w:rsid w:val="00C76D9C"/>
    <w:rsid w:val="00C84D0B"/>
    <w:rsid w:val="00C8658C"/>
    <w:rsid w:val="00C91204"/>
    <w:rsid w:val="00C9448D"/>
    <w:rsid w:val="00CB7288"/>
    <w:rsid w:val="00CC18E4"/>
    <w:rsid w:val="00CC2840"/>
    <w:rsid w:val="00CC314C"/>
    <w:rsid w:val="00CC64DD"/>
    <w:rsid w:val="00CD2FCD"/>
    <w:rsid w:val="00CD47EB"/>
    <w:rsid w:val="00CE3840"/>
    <w:rsid w:val="00CF1F4B"/>
    <w:rsid w:val="00CF28EA"/>
    <w:rsid w:val="00CF4A41"/>
    <w:rsid w:val="00D15825"/>
    <w:rsid w:val="00D250EA"/>
    <w:rsid w:val="00D31F3F"/>
    <w:rsid w:val="00D327B3"/>
    <w:rsid w:val="00D37412"/>
    <w:rsid w:val="00D44FCE"/>
    <w:rsid w:val="00D45FAD"/>
    <w:rsid w:val="00D510ED"/>
    <w:rsid w:val="00D56CCA"/>
    <w:rsid w:val="00D62DCD"/>
    <w:rsid w:val="00D65F59"/>
    <w:rsid w:val="00D67E9A"/>
    <w:rsid w:val="00D80480"/>
    <w:rsid w:val="00D80C02"/>
    <w:rsid w:val="00D81650"/>
    <w:rsid w:val="00D91326"/>
    <w:rsid w:val="00D91A81"/>
    <w:rsid w:val="00D96A86"/>
    <w:rsid w:val="00DA20A7"/>
    <w:rsid w:val="00DA3F1E"/>
    <w:rsid w:val="00DA578C"/>
    <w:rsid w:val="00DC0CDF"/>
    <w:rsid w:val="00DC0FD7"/>
    <w:rsid w:val="00DC31AF"/>
    <w:rsid w:val="00DD099B"/>
    <w:rsid w:val="00DD5E01"/>
    <w:rsid w:val="00DE4DEC"/>
    <w:rsid w:val="00DF736B"/>
    <w:rsid w:val="00E1191F"/>
    <w:rsid w:val="00E13491"/>
    <w:rsid w:val="00E23C14"/>
    <w:rsid w:val="00E318F7"/>
    <w:rsid w:val="00E42A07"/>
    <w:rsid w:val="00E43CFB"/>
    <w:rsid w:val="00E44313"/>
    <w:rsid w:val="00E458FD"/>
    <w:rsid w:val="00E469AF"/>
    <w:rsid w:val="00E618B6"/>
    <w:rsid w:val="00E7212B"/>
    <w:rsid w:val="00E7332E"/>
    <w:rsid w:val="00E9090D"/>
    <w:rsid w:val="00E90B30"/>
    <w:rsid w:val="00E934DA"/>
    <w:rsid w:val="00E95773"/>
    <w:rsid w:val="00EA0BA9"/>
    <w:rsid w:val="00EB47E2"/>
    <w:rsid w:val="00EC54C3"/>
    <w:rsid w:val="00EC5B45"/>
    <w:rsid w:val="00ED2E8B"/>
    <w:rsid w:val="00ED72A0"/>
    <w:rsid w:val="00EF07FA"/>
    <w:rsid w:val="00EF0C4B"/>
    <w:rsid w:val="00F07A2C"/>
    <w:rsid w:val="00F1448E"/>
    <w:rsid w:val="00F2234F"/>
    <w:rsid w:val="00F31EC9"/>
    <w:rsid w:val="00F4781B"/>
    <w:rsid w:val="00F62C1E"/>
    <w:rsid w:val="00F63280"/>
    <w:rsid w:val="00F74950"/>
    <w:rsid w:val="00F77DB5"/>
    <w:rsid w:val="00F856A6"/>
    <w:rsid w:val="00F85ED9"/>
    <w:rsid w:val="00F87D34"/>
    <w:rsid w:val="00F90642"/>
    <w:rsid w:val="00FA0AA8"/>
    <w:rsid w:val="00FB1145"/>
    <w:rsid w:val="00FB59C1"/>
    <w:rsid w:val="00FC69E6"/>
    <w:rsid w:val="00FD0C5A"/>
    <w:rsid w:val="00FD323F"/>
    <w:rsid w:val="00FD5A55"/>
    <w:rsid w:val="00FE2772"/>
    <w:rsid w:val="00FF65AC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hr">
    <w:name w:val="hr"/>
    <w:basedOn w:val="Normal"/>
    <w:rsid w:val="0023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31291"/>
  </w:style>
  <w:style w:type="paragraph" w:customStyle="1" w:styleId="r1">
    <w:name w:val="r1"/>
    <w:basedOn w:val="Normal"/>
    <w:rsid w:val="0023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2">
    <w:name w:val="zr2"/>
    <w:basedOn w:val="Normal"/>
    <w:rsid w:val="0023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23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112F17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TableP1a">
    <w:name w:val="TableP1(a)"/>
    <w:basedOn w:val="Normal"/>
    <w:rsid w:val="00112F17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TableText">
    <w:name w:val="TableText"/>
    <w:basedOn w:val="Normal"/>
    <w:rsid w:val="00112F17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164A4312E504CAB8EEBECBED4E720" ma:contentTypeVersion="0" ma:contentTypeDescription="Create a new document." ma:contentTypeScope="" ma:versionID="0bdbc4735c90a9a6cf88e5746348f4b6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3NE2HDV7HD6D-1926472841-1106</_dlc_DocId>
    <_dlc_DocIdUrl xmlns="1d983eb4-33f7-44b0-aea1-cbdcf0c55136">
      <Url>http://collaboration/organisation/cid/RPB/BCP/_layouts/15/DocIdRedir.aspx?ID=3NE2HDV7HD6D-1926472841-1106</Url>
      <Description>3NE2HDV7HD6D-1926472841-1106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14A502-DAE0-42C4-9833-0E9A33151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97C17-D74A-4CF6-BA1D-751CBD20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d983eb4-33f7-44b0-aea1-cbdcf0c5513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970AAEF-360A-4A13-8616-2002C7ADF1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</cp:revision>
  <cp:lastPrinted>2016-10-19T01:54:00Z</cp:lastPrinted>
  <dcterms:created xsi:type="dcterms:W3CDTF">2020-09-07T00:20:00Z</dcterms:created>
  <dcterms:modified xsi:type="dcterms:W3CDTF">2020-09-17T23:31:00Z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0x010100ED4164A4312E504CAB8EEBECBED4E720</vt:lpwstr>
  </property>
  <property fmtid="{D5CDD505-2E9C-101B-9397-08002B2CF9AE}" pid="3" name="_dlc_DocIdItemGuid">
    <vt:lpwstr>2f1a5605-e020-4ed6-81e1-1ca54df0030a</vt:lpwstr>
  </property>
</Properties>
</file>