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61FADE" w14:textId="77777777"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EXPLANATORY STATEMENT</w:t>
      </w:r>
    </w:p>
    <w:p w14:paraId="19E1CCC0" w14:textId="77777777" w:rsidR="004C58B9" w:rsidRDefault="004C58B9" w:rsidP="004C58B9">
      <w:pPr>
        <w:jc w:val="center"/>
        <w:rPr>
          <w:rFonts w:ascii="Times New Roman" w:hAnsi="Times New Roman" w:cs="Times New Roman"/>
        </w:rPr>
      </w:pPr>
      <w:r>
        <w:rPr>
          <w:rFonts w:ascii="Times New Roman" w:hAnsi="Times New Roman" w:cs="Times New Roman"/>
        </w:rPr>
        <w:t>Approved by the Australian Communications and Media Authority</w:t>
      </w:r>
    </w:p>
    <w:p w14:paraId="06789AC6" w14:textId="34E2D734" w:rsidR="004C58B9" w:rsidRDefault="00C81DFA" w:rsidP="004C58B9">
      <w:pPr>
        <w:jc w:val="center"/>
        <w:rPr>
          <w:rFonts w:ascii="Times New Roman" w:hAnsi="Times New Roman" w:cs="Times New Roman"/>
          <w:i/>
        </w:rPr>
      </w:pPr>
      <w:r>
        <w:rPr>
          <w:rFonts w:ascii="Times New Roman" w:hAnsi="Times New Roman" w:cs="Times New Roman"/>
          <w:i/>
        </w:rPr>
        <w:t>Broadcasting Services Act 1992</w:t>
      </w:r>
    </w:p>
    <w:p w14:paraId="5BD65A2C" w14:textId="7BD24ECB" w:rsidR="004C58B9" w:rsidRDefault="0098064C" w:rsidP="004C58B9">
      <w:pPr>
        <w:jc w:val="center"/>
        <w:rPr>
          <w:rFonts w:ascii="Times New Roman" w:hAnsi="Times New Roman" w:cs="Times New Roman"/>
          <w:b/>
          <w:i/>
        </w:rPr>
      </w:pPr>
      <w:r>
        <w:rPr>
          <w:rFonts w:ascii="Times New Roman" w:hAnsi="Times New Roman" w:cs="Times New Roman"/>
          <w:b/>
          <w:i/>
        </w:rPr>
        <w:t>Broadcasting Services (Parental Lock) Technical Standard 2020</w:t>
      </w:r>
    </w:p>
    <w:p w14:paraId="494E2552" w14:textId="77777777" w:rsidR="004C58B9" w:rsidRDefault="004C58B9" w:rsidP="004C58B9">
      <w:pPr>
        <w:spacing w:before="280"/>
        <w:rPr>
          <w:rFonts w:ascii="Times New Roman" w:hAnsi="Times New Roman" w:cs="Times New Roman"/>
          <w:b/>
        </w:rPr>
      </w:pPr>
      <w:r>
        <w:rPr>
          <w:rFonts w:ascii="Times New Roman" w:hAnsi="Times New Roman" w:cs="Times New Roman"/>
          <w:b/>
        </w:rPr>
        <w:t>Authority</w:t>
      </w:r>
    </w:p>
    <w:p w14:paraId="55FAA4BD" w14:textId="5A689067" w:rsidR="004C58B9" w:rsidRDefault="004C58B9" w:rsidP="004C58B9">
      <w:pPr>
        <w:rPr>
          <w:rFonts w:ascii="Times New Roman" w:hAnsi="Times New Roman" w:cs="Times New Roman"/>
        </w:rPr>
      </w:pPr>
      <w:r>
        <w:rPr>
          <w:rFonts w:ascii="Times New Roman" w:hAnsi="Times New Roman" w:cs="Times New Roman"/>
        </w:rPr>
        <w:t>The Australian Communications and Media Authority (</w:t>
      </w:r>
      <w:r>
        <w:rPr>
          <w:rFonts w:ascii="Times New Roman" w:hAnsi="Times New Roman" w:cs="Times New Roman"/>
          <w:b/>
        </w:rPr>
        <w:t>the ACMA</w:t>
      </w:r>
      <w:r>
        <w:rPr>
          <w:rFonts w:ascii="Times New Roman" w:hAnsi="Times New Roman" w:cs="Times New Roman"/>
        </w:rPr>
        <w:t xml:space="preserve">) has made the </w:t>
      </w:r>
      <w:r w:rsidR="0098064C">
        <w:rPr>
          <w:rFonts w:ascii="Times New Roman" w:hAnsi="Times New Roman" w:cs="Times New Roman"/>
          <w:i/>
        </w:rPr>
        <w:t>Broadcasting Services</w:t>
      </w:r>
      <w:r w:rsidR="00EC1B4F">
        <w:rPr>
          <w:rFonts w:ascii="Times New Roman" w:hAnsi="Times New Roman" w:cs="Times New Roman"/>
          <w:i/>
        </w:rPr>
        <w:t xml:space="preserve"> </w:t>
      </w:r>
      <w:r w:rsidR="00316E0A">
        <w:rPr>
          <w:rFonts w:ascii="Times New Roman" w:hAnsi="Times New Roman" w:cs="Times New Roman"/>
          <w:i/>
        </w:rPr>
        <w:t>(</w:t>
      </w:r>
      <w:r w:rsidR="0098064C">
        <w:rPr>
          <w:rFonts w:ascii="Times New Roman" w:hAnsi="Times New Roman" w:cs="Times New Roman"/>
          <w:i/>
        </w:rPr>
        <w:t>Parental Lock) Technical Standard 2020</w:t>
      </w:r>
      <w:r>
        <w:rPr>
          <w:rFonts w:ascii="Times New Roman" w:hAnsi="Times New Roman" w:cs="Times New Roman"/>
          <w:i/>
        </w:rPr>
        <w:t xml:space="preserve"> </w:t>
      </w:r>
      <w:r>
        <w:rPr>
          <w:rFonts w:ascii="Times New Roman" w:hAnsi="Times New Roman" w:cs="Times New Roman"/>
        </w:rPr>
        <w:t>(</w:t>
      </w:r>
      <w:r>
        <w:rPr>
          <w:rFonts w:ascii="Times New Roman" w:hAnsi="Times New Roman" w:cs="Times New Roman"/>
          <w:b/>
        </w:rPr>
        <w:t>the instrument</w:t>
      </w:r>
      <w:r>
        <w:rPr>
          <w:rFonts w:ascii="Times New Roman" w:hAnsi="Times New Roman" w:cs="Times New Roman"/>
        </w:rPr>
        <w:t xml:space="preserve">) under </w:t>
      </w:r>
      <w:r w:rsidR="00625E18">
        <w:rPr>
          <w:rFonts w:ascii="Times New Roman" w:hAnsi="Times New Roman" w:cs="Times New Roman"/>
        </w:rPr>
        <w:t>subsection</w:t>
      </w:r>
      <w:r w:rsidR="00316E0A">
        <w:rPr>
          <w:rFonts w:ascii="Times New Roman" w:hAnsi="Times New Roman" w:cs="Times New Roman"/>
        </w:rPr>
        <w:t>s</w:t>
      </w:r>
      <w:r w:rsidR="00625E18">
        <w:rPr>
          <w:rFonts w:ascii="Times New Roman" w:hAnsi="Times New Roman" w:cs="Times New Roman"/>
        </w:rPr>
        <w:t xml:space="preserve"> 130B(1)</w:t>
      </w:r>
      <w:r w:rsidR="00316E0A">
        <w:rPr>
          <w:rFonts w:ascii="Times New Roman" w:hAnsi="Times New Roman" w:cs="Times New Roman"/>
        </w:rPr>
        <w:t xml:space="preserve"> </w:t>
      </w:r>
      <w:r w:rsidR="00F62D62">
        <w:rPr>
          <w:rFonts w:ascii="Times New Roman" w:hAnsi="Times New Roman" w:cs="Times New Roman"/>
        </w:rPr>
        <w:t>a</w:t>
      </w:r>
      <w:r w:rsidR="00316E0A">
        <w:rPr>
          <w:rFonts w:ascii="Times New Roman" w:hAnsi="Times New Roman" w:cs="Times New Roman"/>
        </w:rPr>
        <w:t>nd 130B(7)</w:t>
      </w:r>
      <w:r>
        <w:rPr>
          <w:rFonts w:ascii="Times New Roman" w:hAnsi="Times New Roman" w:cs="Times New Roman"/>
        </w:rPr>
        <w:t xml:space="preserve"> of the </w:t>
      </w:r>
      <w:r w:rsidR="00625E18" w:rsidRPr="00F02C39">
        <w:rPr>
          <w:rFonts w:ascii="Times New Roman" w:hAnsi="Times New Roman" w:cs="Times New Roman"/>
          <w:i/>
          <w:iCs/>
        </w:rPr>
        <w:t>Broadcasting Services Act 1992</w:t>
      </w:r>
      <w:r>
        <w:rPr>
          <w:rFonts w:ascii="Times New Roman" w:hAnsi="Times New Roman" w:cs="Times New Roman"/>
        </w:rPr>
        <w:t xml:space="preserve"> (</w:t>
      </w:r>
      <w:r>
        <w:rPr>
          <w:rFonts w:ascii="Times New Roman" w:hAnsi="Times New Roman" w:cs="Times New Roman"/>
          <w:b/>
        </w:rPr>
        <w:t>the Act</w:t>
      </w:r>
      <w:r>
        <w:rPr>
          <w:rFonts w:ascii="Times New Roman" w:hAnsi="Times New Roman" w:cs="Times New Roman"/>
        </w:rPr>
        <w:t>)</w:t>
      </w:r>
      <w:r w:rsidR="00316E0A" w:rsidRPr="00316E0A">
        <w:rPr>
          <w:rFonts w:ascii="Times New Roman" w:hAnsi="Times New Roman" w:cs="Times New Roman"/>
        </w:rPr>
        <w:t xml:space="preserve"> </w:t>
      </w:r>
      <w:r w:rsidR="00316E0A">
        <w:rPr>
          <w:rFonts w:ascii="Times New Roman" w:hAnsi="Times New Roman" w:cs="Times New Roman"/>
        </w:rPr>
        <w:t xml:space="preserve">of the </w:t>
      </w:r>
      <w:r w:rsidR="00316E0A">
        <w:rPr>
          <w:rFonts w:ascii="Times New Roman" w:hAnsi="Times New Roman" w:cs="Times New Roman"/>
          <w:i/>
          <w:iCs/>
        </w:rPr>
        <w:t xml:space="preserve">Acts Interpretation Act 1901 </w:t>
      </w:r>
      <w:r w:rsidR="00316E0A">
        <w:rPr>
          <w:rFonts w:ascii="Times New Roman" w:hAnsi="Times New Roman" w:cs="Times New Roman"/>
        </w:rPr>
        <w:t>(</w:t>
      </w:r>
      <w:r w:rsidR="00316E0A">
        <w:rPr>
          <w:rFonts w:ascii="Times New Roman" w:hAnsi="Times New Roman" w:cs="Times New Roman"/>
          <w:b/>
          <w:bCs/>
        </w:rPr>
        <w:t>the AIA</w:t>
      </w:r>
      <w:r w:rsidR="00316E0A">
        <w:rPr>
          <w:rFonts w:ascii="Times New Roman" w:hAnsi="Times New Roman" w:cs="Times New Roman"/>
        </w:rPr>
        <w:t>)</w:t>
      </w:r>
      <w:r>
        <w:rPr>
          <w:rFonts w:ascii="Times New Roman" w:hAnsi="Times New Roman" w:cs="Times New Roman"/>
        </w:rPr>
        <w:t>.</w:t>
      </w:r>
    </w:p>
    <w:p w14:paraId="0B8EBA5C" w14:textId="2EE08745" w:rsidR="004C58B9" w:rsidRDefault="003A3389" w:rsidP="004C58B9">
      <w:pPr>
        <w:rPr>
          <w:rFonts w:ascii="Times New Roman" w:hAnsi="Times New Roman" w:cs="Times New Roman"/>
        </w:rPr>
      </w:pPr>
      <w:r>
        <w:rPr>
          <w:rFonts w:ascii="Times New Roman" w:hAnsi="Times New Roman" w:cs="Times New Roman"/>
        </w:rPr>
        <w:t>Subsection</w:t>
      </w:r>
      <w:r w:rsidR="00B67F75">
        <w:rPr>
          <w:rFonts w:ascii="Times New Roman" w:hAnsi="Times New Roman" w:cs="Times New Roman"/>
        </w:rPr>
        <w:t xml:space="preserve"> 130B(1)</w:t>
      </w:r>
      <w:r w:rsidR="00250C05">
        <w:rPr>
          <w:rFonts w:ascii="Times New Roman" w:hAnsi="Times New Roman" w:cs="Times New Roman"/>
        </w:rPr>
        <w:t xml:space="preserve"> provides that the ACMA may determine technical standards relating to domestic reception equipment</w:t>
      </w:r>
      <w:r w:rsidR="009A3BB2">
        <w:rPr>
          <w:rFonts w:ascii="Times New Roman" w:hAnsi="Times New Roman" w:cs="Times New Roman"/>
        </w:rPr>
        <w:t xml:space="preserve"> capable of receiving any or all of </w:t>
      </w:r>
      <w:r w:rsidR="00F57CFA">
        <w:rPr>
          <w:rFonts w:ascii="Times New Roman" w:hAnsi="Times New Roman" w:cs="Times New Roman"/>
        </w:rPr>
        <w:t xml:space="preserve">commercial, </w:t>
      </w:r>
      <w:r w:rsidR="00337001">
        <w:rPr>
          <w:rFonts w:ascii="Times New Roman" w:hAnsi="Times New Roman" w:cs="Times New Roman"/>
        </w:rPr>
        <w:t xml:space="preserve">national, </w:t>
      </w:r>
      <w:r w:rsidR="00F57CFA">
        <w:rPr>
          <w:rFonts w:ascii="Times New Roman" w:hAnsi="Times New Roman" w:cs="Times New Roman"/>
        </w:rPr>
        <w:t>community</w:t>
      </w:r>
      <w:r w:rsidR="00C45C4D">
        <w:rPr>
          <w:rFonts w:ascii="Times New Roman" w:hAnsi="Times New Roman" w:cs="Times New Roman"/>
        </w:rPr>
        <w:t xml:space="preserve"> </w:t>
      </w:r>
      <w:r w:rsidR="00981034">
        <w:rPr>
          <w:rFonts w:ascii="Times New Roman" w:hAnsi="Times New Roman" w:cs="Times New Roman"/>
        </w:rPr>
        <w:t>or</w:t>
      </w:r>
      <w:r w:rsidR="00337001">
        <w:rPr>
          <w:rFonts w:ascii="Times New Roman" w:hAnsi="Times New Roman" w:cs="Times New Roman"/>
        </w:rPr>
        <w:t xml:space="preserve"> </w:t>
      </w:r>
      <w:r w:rsidR="000B4DFF">
        <w:rPr>
          <w:rFonts w:ascii="Times New Roman" w:hAnsi="Times New Roman" w:cs="Times New Roman"/>
        </w:rPr>
        <w:t>subscription</w:t>
      </w:r>
      <w:r w:rsidR="00C45C4D">
        <w:rPr>
          <w:rFonts w:ascii="Times New Roman" w:hAnsi="Times New Roman" w:cs="Times New Roman"/>
        </w:rPr>
        <w:t xml:space="preserve"> television broadcasting services</w:t>
      </w:r>
      <w:r w:rsidR="000B4DFF">
        <w:rPr>
          <w:rFonts w:ascii="Times New Roman" w:hAnsi="Times New Roman" w:cs="Times New Roman"/>
        </w:rPr>
        <w:t xml:space="preserve">, </w:t>
      </w:r>
      <w:r w:rsidR="00C45C4D">
        <w:rPr>
          <w:rFonts w:ascii="Times New Roman" w:hAnsi="Times New Roman" w:cs="Times New Roman"/>
        </w:rPr>
        <w:t xml:space="preserve">television broadcasting services provided under a </w:t>
      </w:r>
      <w:r w:rsidR="000B4DFF">
        <w:rPr>
          <w:rFonts w:ascii="Times New Roman" w:hAnsi="Times New Roman" w:cs="Times New Roman"/>
        </w:rPr>
        <w:t>class</w:t>
      </w:r>
      <w:r w:rsidR="00C45C4D">
        <w:rPr>
          <w:rFonts w:ascii="Times New Roman" w:hAnsi="Times New Roman" w:cs="Times New Roman"/>
        </w:rPr>
        <w:t xml:space="preserve"> </w:t>
      </w:r>
      <w:r w:rsidR="000B4DFF">
        <w:rPr>
          <w:rFonts w:ascii="Times New Roman" w:hAnsi="Times New Roman" w:cs="Times New Roman"/>
        </w:rPr>
        <w:t>licen</w:t>
      </w:r>
      <w:r w:rsidR="00C45C4D">
        <w:rPr>
          <w:rFonts w:ascii="Times New Roman" w:hAnsi="Times New Roman" w:cs="Times New Roman"/>
        </w:rPr>
        <w:t xml:space="preserve">ce </w:t>
      </w:r>
      <w:r w:rsidR="000B4DFF">
        <w:rPr>
          <w:rFonts w:ascii="Times New Roman" w:hAnsi="Times New Roman" w:cs="Times New Roman"/>
        </w:rPr>
        <w:t>or</w:t>
      </w:r>
      <w:r w:rsidR="00EF29F4">
        <w:rPr>
          <w:rFonts w:ascii="Times New Roman" w:hAnsi="Times New Roman" w:cs="Times New Roman"/>
        </w:rPr>
        <w:t xml:space="preserve"> </w:t>
      </w:r>
      <w:r w:rsidR="000B4DFF">
        <w:rPr>
          <w:rFonts w:ascii="Times New Roman" w:hAnsi="Times New Roman" w:cs="Times New Roman"/>
        </w:rPr>
        <w:t>datacasting</w:t>
      </w:r>
      <w:r w:rsidR="00981034">
        <w:rPr>
          <w:rFonts w:ascii="Times New Roman" w:hAnsi="Times New Roman" w:cs="Times New Roman"/>
        </w:rPr>
        <w:t xml:space="preserve"> services provided under a datacasting licence,</w:t>
      </w:r>
      <w:r w:rsidR="000B4DFF">
        <w:rPr>
          <w:rFonts w:ascii="Times New Roman" w:hAnsi="Times New Roman" w:cs="Times New Roman"/>
        </w:rPr>
        <w:t xml:space="preserve"> </w:t>
      </w:r>
      <w:r w:rsidR="00F57CFA">
        <w:rPr>
          <w:rFonts w:ascii="Times New Roman" w:hAnsi="Times New Roman" w:cs="Times New Roman"/>
        </w:rPr>
        <w:t>transmitted in digital mode using the broadcasting services bands</w:t>
      </w:r>
      <w:r w:rsidR="000B4DFF">
        <w:rPr>
          <w:rFonts w:ascii="Times New Roman" w:hAnsi="Times New Roman" w:cs="Times New Roman"/>
        </w:rPr>
        <w:t>.</w:t>
      </w:r>
    </w:p>
    <w:p w14:paraId="4E2F37AE" w14:textId="43133E66" w:rsidR="00316E0A" w:rsidRDefault="00316E0A" w:rsidP="00316E0A">
      <w:pPr>
        <w:rPr>
          <w:rFonts w:ascii="Times New Roman" w:hAnsi="Times New Roman" w:cs="Times New Roman"/>
        </w:rPr>
      </w:pPr>
      <w:r>
        <w:rPr>
          <w:rFonts w:ascii="Times New Roman" w:hAnsi="Times New Roman" w:cs="Times New Roman"/>
        </w:rPr>
        <w:t>Under subsections 130B(2) and (3), it is an offence and subject to a civil penalty to supply domestic reception equipment that does not comply with a technical standard determined under subsection (1). Subsection 130B(7) provides that the ACMA may, by legislative instrument, exempt specified domestic reception equipment from subsections (2) and (3).</w:t>
      </w:r>
    </w:p>
    <w:p w14:paraId="25386BB2" w14:textId="12B894C0" w:rsidR="00316E0A" w:rsidRDefault="00316E0A" w:rsidP="00316E0A">
      <w:pPr>
        <w:rPr>
          <w:rFonts w:ascii="Times New Roman" w:hAnsi="Times New Roman" w:cs="Times New Roman"/>
        </w:rPr>
      </w:pPr>
      <w:r>
        <w:rPr>
          <w:rFonts w:ascii="Times New Roman" w:hAnsi="Times New Roman" w:cs="Times New Roman"/>
        </w:rPr>
        <w:t>Subsection 33(3) of the AIA</w:t>
      </w:r>
      <w:r>
        <w:rPr>
          <w:rFonts w:ascii="Times New Roman" w:hAnsi="Times New Roman" w:cs="Times New Roman"/>
          <w:b/>
          <w:bCs/>
        </w:rPr>
        <w:t xml:space="preserve"> </w:t>
      </w:r>
      <w:r>
        <w:rPr>
          <w:rFonts w:ascii="Times New Roman" w:hAnsi="Times New Roman" w:cs="Times New Roman"/>
        </w:rPr>
        <w:t>provides that when an Act confers a power to make any instrument of a legislative character, that power shall, unless the contrary intention appears, be construed as including a power exercisable in a like manner and subject to like conditions (if any), to repeal any such instrument.</w:t>
      </w:r>
    </w:p>
    <w:p w14:paraId="7D900AC6" w14:textId="77777777" w:rsidR="004C58B9" w:rsidRDefault="004C58B9" w:rsidP="004C58B9">
      <w:pPr>
        <w:rPr>
          <w:rFonts w:ascii="Times New Roman" w:hAnsi="Times New Roman" w:cs="Times New Roman"/>
          <w:b/>
        </w:rPr>
      </w:pPr>
      <w:r>
        <w:rPr>
          <w:rFonts w:ascii="Times New Roman" w:hAnsi="Times New Roman" w:cs="Times New Roman"/>
          <w:b/>
        </w:rPr>
        <w:t>Purpose and operation of the instrument</w:t>
      </w:r>
    </w:p>
    <w:p w14:paraId="03A133C6" w14:textId="1CD340DA" w:rsidR="002A5E2E" w:rsidRPr="00955A18" w:rsidRDefault="002A5E2E" w:rsidP="002A5E2E">
      <w:pPr>
        <w:rPr>
          <w:rFonts w:ascii="Times New Roman" w:hAnsi="Times New Roman" w:cs="Times New Roman"/>
        </w:rPr>
      </w:pPr>
      <w:r>
        <w:rPr>
          <w:rFonts w:ascii="Times New Roman" w:hAnsi="Times New Roman" w:cs="Times New Roman"/>
        </w:rPr>
        <w:t>In 2010</w:t>
      </w:r>
      <w:r w:rsidR="003D1A54">
        <w:rPr>
          <w:rFonts w:ascii="Times New Roman" w:hAnsi="Times New Roman" w:cs="Times New Roman"/>
        </w:rPr>
        <w:t>,</w:t>
      </w:r>
      <w:r>
        <w:rPr>
          <w:rFonts w:ascii="Times New Roman" w:hAnsi="Times New Roman" w:cs="Times New Roman"/>
        </w:rPr>
        <w:t xml:space="preserve"> the then Minister </w:t>
      </w:r>
      <w:r w:rsidR="003D1A54">
        <w:rPr>
          <w:rFonts w:ascii="Times New Roman" w:hAnsi="Times New Roman" w:cs="Times New Roman"/>
        </w:rPr>
        <w:t>gave the ACMA the</w:t>
      </w:r>
      <w:r>
        <w:rPr>
          <w:rFonts w:ascii="Times New Roman" w:hAnsi="Times New Roman" w:cs="Times New Roman"/>
        </w:rPr>
        <w:t xml:space="preserve"> </w:t>
      </w:r>
      <w:hyperlink r:id="rId12" w:history="1">
        <w:r w:rsidRPr="00486BC0">
          <w:rPr>
            <w:rFonts w:ascii="Times New Roman" w:hAnsi="Times New Roman" w:cs="Times New Roman"/>
            <w:i/>
            <w:iCs/>
          </w:rPr>
          <w:t>Australian Communications and Media Authority (Development of Technical Standards for Domestic Digital Television Reception Equipment) Direction No. 1 of 2009</w:t>
        </w:r>
      </w:hyperlink>
      <w:r>
        <w:t xml:space="preserve"> </w:t>
      </w:r>
      <w:r w:rsidR="003D1A54" w:rsidRPr="00B43EB2">
        <w:rPr>
          <w:rFonts w:ascii="Times New Roman" w:hAnsi="Times New Roman" w:cs="Times New Roman"/>
        </w:rPr>
        <w:t>(</w:t>
      </w:r>
      <w:r w:rsidR="00026D04" w:rsidRPr="00B43EB2">
        <w:rPr>
          <w:rFonts w:ascii="Times New Roman" w:hAnsi="Times New Roman" w:cs="Times New Roman"/>
          <w:b/>
          <w:bCs/>
        </w:rPr>
        <w:t xml:space="preserve">the </w:t>
      </w:r>
      <w:r w:rsidR="003D1A54" w:rsidRPr="00B43EB2">
        <w:rPr>
          <w:rFonts w:ascii="Times New Roman" w:hAnsi="Times New Roman" w:cs="Times New Roman"/>
          <w:b/>
          <w:bCs/>
        </w:rPr>
        <w:t>Direction</w:t>
      </w:r>
      <w:r w:rsidR="003D1A54" w:rsidRPr="00B43EB2">
        <w:rPr>
          <w:rFonts w:ascii="Times New Roman" w:hAnsi="Times New Roman" w:cs="Times New Roman"/>
        </w:rPr>
        <w:t>)</w:t>
      </w:r>
      <w:r w:rsidR="00026D04">
        <w:rPr>
          <w:rFonts w:ascii="Times New Roman" w:hAnsi="Times New Roman" w:cs="Times New Roman"/>
        </w:rPr>
        <w:t xml:space="preserve">, </w:t>
      </w:r>
      <w:r w:rsidRPr="00741D05">
        <w:rPr>
          <w:rFonts w:ascii="Times New Roman" w:hAnsi="Times New Roman" w:cs="Times New Roman"/>
        </w:rPr>
        <w:t xml:space="preserve">which required the ACMA to exercise its power </w:t>
      </w:r>
      <w:r w:rsidR="00C62D84">
        <w:rPr>
          <w:rFonts w:ascii="Times New Roman" w:hAnsi="Times New Roman" w:cs="Times New Roman"/>
        </w:rPr>
        <w:t>under</w:t>
      </w:r>
      <w:r w:rsidR="00C62D84" w:rsidRPr="00741D05">
        <w:rPr>
          <w:rFonts w:ascii="Times New Roman" w:hAnsi="Times New Roman" w:cs="Times New Roman"/>
        </w:rPr>
        <w:t xml:space="preserve"> </w:t>
      </w:r>
      <w:r w:rsidRPr="00741D05">
        <w:rPr>
          <w:rFonts w:ascii="Times New Roman" w:hAnsi="Times New Roman" w:cs="Times New Roman"/>
        </w:rPr>
        <w:t>subsection 130B(1) under the Act.</w:t>
      </w:r>
      <w:r w:rsidR="00026D04">
        <w:rPr>
          <w:rFonts w:ascii="Times New Roman" w:hAnsi="Times New Roman" w:cs="Times New Roman"/>
        </w:rPr>
        <w:t xml:space="preserve"> The ACMA subsequently made the </w:t>
      </w:r>
      <w:r w:rsidR="009C69C7">
        <w:rPr>
          <w:rFonts w:ascii="Times New Roman" w:hAnsi="Times New Roman" w:cs="Times New Roman"/>
          <w:i/>
          <w:iCs/>
        </w:rPr>
        <w:t>Broadcasting and Datacasting Services (Parental Lock) Technical Standard 2010</w:t>
      </w:r>
      <w:r w:rsidR="009C69C7">
        <w:rPr>
          <w:rFonts w:ascii="Times New Roman" w:hAnsi="Times New Roman" w:cs="Times New Roman"/>
        </w:rPr>
        <w:t xml:space="preserve"> (</w:t>
      </w:r>
      <w:r w:rsidR="009C69C7" w:rsidRPr="00B43EB2">
        <w:rPr>
          <w:rFonts w:ascii="Times New Roman" w:hAnsi="Times New Roman" w:cs="Times New Roman"/>
          <w:b/>
          <w:bCs/>
        </w:rPr>
        <w:t>the 2010 Standard</w:t>
      </w:r>
      <w:r w:rsidR="009C69C7">
        <w:rPr>
          <w:rFonts w:ascii="Times New Roman" w:hAnsi="Times New Roman" w:cs="Times New Roman"/>
        </w:rPr>
        <w:t>).</w:t>
      </w:r>
      <w:r w:rsidR="003D6419">
        <w:rPr>
          <w:rFonts w:ascii="Times New Roman" w:hAnsi="Times New Roman" w:cs="Times New Roman"/>
        </w:rPr>
        <w:t xml:space="preserve"> The 2010 Standard was due to sunset under </w:t>
      </w:r>
      <w:r w:rsidR="00955A18">
        <w:rPr>
          <w:rFonts w:ascii="Times New Roman" w:hAnsi="Times New Roman" w:cs="Times New Roman"/>
        </w:rPr>
        <w:t xml:space="preserve">Part 4 of Chapter 3 of the </w:t>
      </w:r>
      <w:r w:rsidR="00955A18">
        <w:rPr>
          <w:rFonts w:ascii="Times New Roman" w:hAnsi="Times New Roman" w:cs="Times New Roman"/>
          <w:i/>
          <w:iCs/>
        </w:rPr>
        <w:t xml:space="preserve">Legislation Act 2003 </w:t>
      </w:r>
      <w:r w:rsidR="00955A18">
        <w:rPr>
          <w:rFonts w:ascii="Times New Roman" w:hAnsi="Times New Roman" w:cs="Times New Roman"/>
        </w:rPr>
        <w:t>(</w:t>
      </w:r>
      <w:r w:rsidR="00955A18" w:rsidRPr="00B43EB2">
        <w:rPr>
          <w:rFonts w:ascii="Times New Roman" w:hAnsi="Times New Roman" w:cs="Times New Roman"/>
          <w:b/>
          <w:bCs/>
        </w:rPr>
        <w:t>LA</w:t>
      </w:r>
      <w:r w:rsidR="00955A18">
        <w:rPr>
          <w:rFonts w:ascii="Times New Roman" w:hAnsi="Times New Roman" w:cs="Times New Roman"/>
        </w:rPr>
        <w:t>). The instrument repeals and replaces the 2010 Standard.</w:t>
      </w:r>
    </w:p>
    <w:p w14:paraId="45C0FC17" w14:textId="6E360F44" w:rsidR="00282574" w:rsidRDefault="00282574" w:rsidP="009F5819">
      <w:pPr>
        <w:spacing w:after="80"/>
        <w:rPr>
          <w:rFonts w:ascii="Times New Roman" w:hAnsi="Times New Roman" w:cs="Times New Roman"/>
        </w:rPr>
      </w:pPr>
      <w:r>
        <w:rPr>
          <w:rFonts w:ascii="Times New Roman" w:hAnsi="Times New Roman" w:cs="Times New Roman"/>
        </w:rPr>
        <w:t xml:space="preserve">The </w:t>
      </w:r>
      <w:r w:rsidR="00955A18">
        <w:rPr>
          <w:rFonts w:ascii="Times New Roman" w:hAnsi="Times New Roman" w:cs="Times New Roman"/>
        </w:rPr>
        <w:t>instrument</w:t>
      </w:r>
      <w:r>
        <w:rPr>
          <w:rFonts w:ascii="Times New Roman" w:hAnsi="Times New Roman" w:cs="Times New Roman"/>
        </w:rPr>
        <w:t xml:space="preserve"> </w:t>
      </w:r>
      <w:r w:rsidRPr="00407F28">
        <w:rPr>
          <w:rFonts w:ascii="Times New Roman" w:hAnsi="Times New Roman" w:cs="Times New Roman"/>
          <w:color w:val="000000"/>
          <w:shd w:val="clear" w:color="auto" w:fill="FFFFFF"/>
        </w:rPr>
        <w:t>ensures that particular domestic reception equipment has parental lock capabilities or distributes information that enables the parental lock capabilities in other domestic reception equipment to operate</w:t>
      </w:r>
      <w:r>
        <w:rPr>
          <w:rFonts w:ascii="Times New Roman" w:hAnsi="Times New Roman" w:cs="Times New Roman"/>
          <w:color w:val="000000"/>
          <w:shd w:val="clear" w:color="auto" w:fill="FFFFFF"/>
        </w:rPr>
        <w:t>.</w:t>
      </w:r>
    </w:p>
    <w:p w14:paraId="1F5D58BD" w14:textId="2D595254" w:rsidR="009F5819" w:rsidRPr="008B5961" w:rsidRDefault="00282574" w:rsidP="009F5819">
      <w:pPr>
        <w:spacing w:after="80"/>
        <w:rPr>
          <w:rFonts w:ascii="Times New Roman" w:hAnsi="Times New Roman" w:cs="Times New Roman"/>
        </w:rPr>
      </w:pPr>
      <w:r>
        <w:rPr>
          <w:rFonts w:ascii="Times New Roman" w:hAnsi="Times New Roman" w:cs="Times New Roman"/>
        </w:rPr>
        <w:t>It</w:t>
      </w:r>
      <w:r w:rsidR="009F5819" w:rsidRPr="008B5961">
        <w:rPr>
          <w:rFonts w:ascii="Times New Roman" w:hAnsi="Times New Roman" w:cs="Times New Roman"/>
        </w:rPr>
        <w:t xml:space="preserve"> sets out the requirement for equipment to have parental lock capability by:</w:t>
      </w:r>
    </w:p>
    <w:p w14:paraId="5B22191C" w14:textId="77777777" w:rsidR="009F5819" w:rsidRPr="008B5961" w:rsidRDefault="009F5819" w:rsidP="00332716">
      <w:pPr>
        <w:pStyle w:val="ListBullet"/>
        <w:numPr>
          <w:ilvl w:val="0"/>
          <w:numId w:val="22"/>
        </w:numPr>
        <w:ind w:left="714" w:right="357" w:hanging="357"/>
        <w:rPr>
          <w:rFonts w:ascii="Times New Roman" w:hAnsi="Times New Roman"/>
          <w:sz w:val="22"/>
          <w:szCs w:val="22"/>
        </w:rPr>
      </w:pPr>
      <w:r w:rsidRPr="008B5961">
        <w:rPr>
          <w:rFonts w:ascii="Times New Roman" w:hAnsi="Times New Roman"/>
          <w:sz w:val="22"/>
          <w:szCs w:val="22"/>
        </w:rPr>
        <w:t>describing the function to be performed by the parental lock capabilities;</w:t>
      </w:r>
    </w:p>
    <w:p w14:paraId="462A27D4" w14:textId="77777777" w:rsidR="009F5819" w:rsidRPr="008B5961" w:rsidRDefault="009F5819" w:rsidP="00332716">
      <w:pPr>
        <w:pStyle w:val="ListBullet"/>
        <w:numPr>
          <w:ilvl w:val="0"/>
          <w:numId w:val="22"/>
        </w:numPr>
        <w:ind w:left="714" w:right="357" w:hanging="357"/>
        <w:rPr>
          <w:rFonts w:ascii="Times New Roman" w:hAnsi="Times New Roman"/>
          <w:sz w:val="22"/>
          <w:szCs w:val="22"/>
        </w:rPr>
      </w:pPr>
      <w:r w:rsidRPr="008B5961">
        <w:rPr>
          <w:rFonts w:ascii="Times New Roman" w:hAnsi="Times New Roman"/>
          <w:sz w:val="22"/>
          <w:szCs w:val="22"/>
        </w:rPr>
        <w:t>requiring that the parental lock capabilities must function on the basis of program classification codes:</w:t>
      </w:r>
    </w:p>
    <w:p w14:paraId="5A46D5FE" w14:textId="77777777" w:rsidR="009F5819" w:rsidRPr="008B5961" w:rsidRDefault="009F5819" w:rsidP="009E3AF2">
      <w:pPr>
        <w:pStyle w:val="ListBullet"/>
        <w:numPr>
          <w:ilvl w:val="1"/>
          <w:numId w:val="21"/>
        </w:numPr>
        <w:rPr>
          <w:rFonts w:ascii="Times New Roman" w:hAnsi="Times New Roman"/>
          <w:sz w:val="22"/>
          <w:szCs w:val="22"/>
        </w:rPr>
      </w:pPr>
      <w:r w:rsidRPr="008B5961">
        <w:rPr>
          <w:rFonts w:ascii="Times New Roman" w:hAnsi="Times New Roman"/>
          <w:sz w:val="22"/>
          <w:szCs w:val="22"/>
        </w:rPr>
        <w:t>employed by national, commercial and community free-to-air television broadcasters under their respective codes of practice (no such code of practice currently exists in relation to datacasting licensees);</w:t>
      </w:r>
    </w:p>
    <w:p w14:paraId="6A8C5347" w14:textId="4AF97170" w:rsidR="009F5819" w:rsidRPr="008B5961" w:rsidRDefault="009F5819" w:rsidP="009E3AF2">
      <w:pPr>
        <w:pStyle w:val="ListBullet"/>
        <w:numPr>
          <w:ilvl w:val="1"/>
          <w:numId w:val="21"/>
        </w:numPr>
        <w:rPr>
          <w:rFonts w:ascii="Times New Roman" w:hAnsi="Times New Roman"/>
          <w:sz w:val="22"/>
          <w:szCs w:val="22"/>
        </w:rPr>
      </w:pPr>
      <w:r w:rsidRPr="008B5961">
        <w:rPr>
          <w:rFonts w:ascii="Times New Roman" w:hAnsi="Times New Roman"/>
          <w:sz w:val="22"/>
          <w:szCs w:val="22"/>
        </w:rPr>
        <w:t>transmitted to equipment as part of the service information data provided as part of a digital video broadcasting-terrestrial broadcast, or the same classification code information transmitted to equipment by a separate mode of transmission; and</w:t>
      </w:r>
    </w:p>
    <w:p w14:paraId="2463BB1D" w14:textId="77777777" w:rsidR="009F5819" w:rsidRPr="008B5961" w:rsidRDefault="009F5819" w:rsidP="009E3AF2">
      <w:pPr>
        <w:pStyle w:val="ListBullet"/>
        <w:numPr>
          <w:ilvl w:val="1"/>
          <w:numId w:val="21"/>
        </w:numPr>
        <w:rPr>
          <w:rFonts w:ascii="Times New Roman" w:hAnsi="Times New Roman"/>
          <w:sz w:val="22"/>
          <w:szCs w:val="22"/>
        </w:rPr>
      </w:pPr>
      <w:r w:rsidRPr="008B5961">
        <w:rPr>
          <w:rFonts w:ascii="Times New Roman" w:hAnsi="Times New Roman"/>
          <w:sz w:val="22"/>
          <w:szCs w:val="22"/>
        </w:rPr>
        <w:lastRenderedPageBreak/>
        <w:t>specifying program classification levels at which users must be able to set the parental lock capabilities so that programs classified at or above those levels will be blocked from being shown.</w:t>
      </w:r>
    </w:p>
    <w:p w14:paraId="62529848" w14:textId="77777777" w:rsidR="004C58B9" w:rsidRDefault="004C58B9" w:rsidP="004C58B9">
      <w:pPr>
        <w:rPr>
          <w:rFonts w:ascii="Times New Roman" w:hAnsi="Times New Roman" w:cs="Times New Roman"/>
        </w:rPr>
      </w:pPr>
      <w:r>
        <w:rPr>
          <w:rFonts w:ascii="Times New Roman" w:hAnsi="Times New Roman" w:cs="Times New Roman"/>
        </w:rPr>
        <w:t xml:space="preserve">A provision-by-provision description of the instrument is set out in the notes at </w:t>
      </w:r>
      <w:r>
        <w:rPr>
          <w:rFonts w:ascii="Times New Roman" w:hAnsi="Times New Roman" w:cs="Times New Roman"/>
          <w:b/>
        </w:rPr>
        <w:t>Attachment A</w:t>
      </w:r>
      <w:r>
        <w:rPr>
          <w:rFonts w:ascii="Times New Roman" w:hAnsi="Times New Roman" w:cs="Times New Roman"/>
        </w:rPr>
        <w:t>.</w:t>
      </w:r>
    </w:p>
    <w:p w14:paraId="15A8EB95" w14:textId="1BB77C82" w:rsidR="004C58B9" w:rsidRDefault="004C58B9" w:rsidP="004C58B9">
      <w:pPr>
        <w:rPr>
          <w:rFonts w:ascii="Times New Roman" w:hAnsi="Times New Roman" w:cs="Times New Roman"/>
        </w:rPr>
      </w:pPr>
      <w:r>
        <w:rPr>
          <w:rFonts w:ascii="Times New Roman" w:hAnsi="Times New Roman" w:cs="Times New Roman"/>
        </w:rPr>
        <w:t>The instrument is a legislative instrument for the purposes of the</w:t>
      </w:r>
      <w:r w:rsidR="00A3479E">
        <w:rPr>
          <w:rFonts w:ascii="Times New Roman" w:hAnsi="Times New Roman" w:cs="Times New Roman"/>
        </w:rPr>
        <w:t xml:space="preserve"> LA</w:t>
      </w:r>
      <w:r>
        <w:rPr>
          <w:rFonts w:ascii="Times New Roman" w:hAnsi="Times New Roman" w:cs="Times New Roman"/>
        </w:rPr>
        <w:t xml:space="preserve">. </w:t>
      </w:r>
    </w:p>
    <w:p w14:paraId="0C627C6A" w14:textId="77777777" w:rsidR="004C58B9" w:rsidRDefault="004C58B9" w:rsidP="004C58B9">
      <w:pPr>
        <w:rPr>
          <w:rFonts w:ascii="Times New Roman" w:hAnsi="Times New Roman" w:cs="Times New Roman"/>
          <w:b/>
        </w:rPr>
      </w:pPr>
      <w:r>
        <w:rPr>
          <w:rFonts w:ascii="Times New Roman" w:hAnsi="Times New Roman" w:cs="Times New Roman"/>
          <w:b/>
        </w:rPr>
        <w:t>Documents incorporated by reference</w:t>
      </w:r>
    </w:p>
    <w:p w14:paraId="0FEA6A55" w14:textId="53CF3C9F" w:rsidR="004C58B9" w:rsidRDefault="00DF226B" w:rsidP="000036EA">
      <w:pPr>
        <w:spacing w:line="257" w:lineRule="auto"/>
        <w:rPr>
          <w:rFonts w:ascii="Times New Roman" w:hAnsi="Times New Roman" w:cs="Times New Roman"/>
        </w:rPr>
      </w:pPr>
      <w:r>
        <w:rPr>
          <w:rFonts w:ascii="Times New Roman" w:hAnsi="Times New Roman" w:cs="Times New Roman"/>
        </w:rPr>
        <w:t>The instrument does not incorporate any documents by reference.</w:t>
      </w:r>
    </w:p>
    <w:p w14:paraId="2EFDFDBF" w14:textId="77777777" w:rsidR="004C58B9" w:rsidRDefault="004C58B9" w:rsidP="004C58B9">
      <w:pPr>
        <w:rPr>
          <w:rFonts w:ascii="Times New Roman" w:hAnsi="Times New Roman" w:cs="Times New Roman"/>
          <w:b/>
        </w:rPr>
      </w:pPr>
      <w:r>
        <w:rPr>
          <w:rFonts w:ascii="Times New Roman" w:hAnsi="Times New Roman" w:cs="Times New Roman"/>
          <w:b/>
        </w:rPr>
        <w:t>Consultation</w:t>
      </w:r>
    </w:p>
    <w:p w14:paraId="427D1F81" w14:textId="77777777" w:rsidR="00921946" w:rsidRDefault="00921946" w:rsidP="00921946">
      <w:pPr>
        <w:rPr>
          <w:rFonts w:ascii="Times New Roman" w:hAnsi="Times New Roman" w:cs="Times New Roman"/>
        </w:rPr>
      </w:pPr>
      <w:r>
        <w:rPr>
          <w:rFonts w:ascii="Times New Roman" w:hAnsi="Times New Roman" w:cs="Times New Roman"/>
        </w:rPr>
        <w:t xml:space="preserve">Before the instrument was made, the ACMA was satisfied that consultation was undertaken to the extent appropriate and reasonably practicable, in accordance with section 17 of the LA.  </w:t>
      </w:r>
    </w:p>
    <w:p w14:paraId="552E69E9" w14:textId="2FE904CC" w:rsidR="00921946" w:rsidRDefault="00921946" w:rsidP="00921946">
      <w:pPr>
        <w:rPr>
          <w:rFonts w:ascii="Times New Roman" w:hAnsi="Times New Roman" w:cs="Times New Roman"/>
        </w:rPr>
      </w:pPr>
      <w:r>
        <w:rPr>
          <w:rFonts w:ascii="Times New Roman" w:hAnsi="Times New Roman" w:cs="Times New Roman"/>
        </w:rPr>
        <w:t>On 23 June 2020, the ACMA published a consultation paper and draft instrument on its website which provided background to and reasons for its proposal. The consultation also canvassed views on broader aspects of parental lock regulation more generally. The ACMA also announced the release of the consultation by releasing an e</w:t>
      </w:r>
      <w:r w:rsidR="00C62D84">
        <w:rPr>
          <w:rFonts w:ascii="Times New Roman" w:hAnsi="Times New Roman" w:cs="Times New Roman"/>
        </w:rPr>
        <w:t>-</w:t>
      </w:r>
      <w:r>
        <w:rPr>
          <w:rFonts w:ascii="Times New Roman" w:hAnsi="Times New Roman" w:cs="Times New Roman"/>
        </w:rPr>
        <w:t>bulletin to an extensive list of industry stakeholders.</w:t>
      </w:r>
    </w:p>
    <w:p w14:paraId="70A1E582" w14:textId="12E6194B" w:rsidR="00921946" w:rsidRDefault="00921946" w:rsidP="00921946">
      <w:pPr>
        <w:rPr>
          <w:rFonts w:ascii="Times New Roman" w:hAnsi="Times New Roman" w:cs="Times New Roman"/>
        </w:rPr>
      </w:pPr>
      <w:r>
        <w:rPr>
          <w:rFonts w:ascii="Times New Roman" w:hAnsi="Times New Roman" w:cs="Times New Roman"/>
        </w:rPr>
        <w:t xml:space="preserve">Due to the impact of COVID-19, the ACMA </w:t>
      </w:r>
      <w:r w:rsidR="00C62D84">
        <w:rPr>
          <w:rFonts w:ascii="Times New Roman" w:hAnsi="Times New Roman" w:cs="Times New Roman"/>
        </w:rPr>
        <w:t>allowed for</w:t>
      </w:r>
      <w:r>
        <w:rPr>
          <w:rFonts w:ascii="Times New Roman" w:hAnsi="Times New Roman" w:cs="Times New Roman"/>
        </w:rPr>
        <w:t xml:space="preserve"> a longer than usual consultation period, which ended on 31 July 2020. The ACMA received three submissions. One of these submissions discussed views on parental lock systems more generally and did not put forward a view on the </w:t>
      </w:r>
      <w:r w:rsidR="00E04733">
        <w:rPr>
          <w:rFonts w:ascii="Times New Roman" w:hAnsi="Times New Roman" w:cs="Times New Roman"/>
        </w:rPr>
        <w:t>instrument</w:t>
      </w:r>
      <w:r>
        <w:rPr>
          <w:rFonts w:ascii="Times New Roman" w:hAnsi="Times New Roman" w:cs="Times New Roman"/>
        </w:rPr>
        <w:t xml:space="preserve">. The second supported the need for the </w:t>
      </w:r>
      <w:r w:rsidR="00B12DFC">
        <w:rPr>
          <w:rFonts w:ascii="Times New Roman" w:hAnsi="Times New Roman" w:cs="Times New Roman"/>
        </w:rPr>
        <w:t>instrument</w:t>
      </w:r>
      <w:r>
        <w:rPr>
          <w:rFonts w:ascii="Times New Roman" w:hAnsi="Times New Roman" w:cs="Times New Roman"/>
        </w:rPr>
        <w:t xml:space="preserve"> and considered it relevant regulation. The third stated that it did not oppose the </w:t>
      </w:r>
      <w:r w:rsidR="00B12DFC">
        <w:rPr>
          <w:rFonts w:ascii="Times New Roman" w:hAnsi="Times New Roman" w:cs="Times New Roman"/>
        </w:rPr>
        <w:t>proposal</w:t>
      </w:r>
      <w:r>
        <w:rPr>
          <w:rFonts w:ascii="Times New Roman" w:hAnsi="Times New Roman" w:cs="Times New Roman"/>
        </w:rPr>
        <w:t xml:space="preserve"> and did not know of anything in the current environment that would necessitate substantial changes to </w:t>
      </w:r>
      <w:r w:rsidR="00B12DFC">
        <w:rPr>
          <w:rFonts w:ascii="Times New Roman" w:hAnsi="Times New Roman" w:cs="Times New Roman"/>
        </w:rPr>
        <w:t>the instrument</w:t>
      </w:r>
      <w:r>
        <w:rPr>
          <w:rFonts w:ascii="Times New Roman" w:hAnsi="Times New Roman" w:cs="Times New Roman"/>
        </w:rPr>
        <w:t xml:space="preserve">. All of these submissions </w:t>
      </w:r>
      <w:r w:rsidR="00E04733">
        <w:rPr>
          <w:rFonts w:ascii="Times New Roman" w:hAnsi="Times New Roman" w:cs="Times New Roman"/>
        </w:rPr>
        <w:t>were</w:t>
      </w:r>
      <w:r>
        <w:rPr>
          <w:rFonts w:ascii="Times New Roman" w:hAnsi="Times New Roman" w:cs="Times New Roman"/>
        </w:rPr>
        <w:t xml:space="preserve"> considered </w:t>
      </w:r>
      <w:r w:rsidR="00E04733">
        <w:rPr>
          <w:rFonts w:ascii="Times New Roman" w:hAnsi="Times New Roman" w:cs="Times New Roman"/>
        </w:rPr>
        <w:t>by the ACMA</w:t>
      </w:r>
      <w:r>
        <w:rPr>
          <w:rFonts w:ascii="Times New Roman" w:hAnsi="Times New Roman" w:cs="Times New Roman"/>
        </w:rPr>
        <w:t>.</w:t>
      </w:r>
    </w:p>
    <w:p w14:paraId="0DEEB294" w14:textId="7121EF8F" w:rsidR="00921946" w:rsidRDefault="00921946" w:rsidP="00921946">
      <w:pPr>
        <w:rPr>
          <w:rFonts w:ascii="Times New Roman" w:hAnsi="Times New Roman" w:cs="Times New Roman"/>
        </w:rPr>
      </w:pPr>
      <w:r>
        <w:rPr>
          <w:rFonts w:ascii="Times New Roman" w:hAnsi="Times New Roman" w:cs="Times New Roman"/>
        </w:rPr>
        <w:t xml:space="preserve">No submission raised significant issues with the proposal to remake the instrument and the ACMA decided to proceed with </w:t>
      </w:r>
      <w:r w:rsidR="000C7D9F">
        <w:rPr>
          <w:rFonts w:ascii="Times New Roman" w:hAnsi="Times New Roman" w:cs="Times New Roman"/>
        </w:rPr>
        <w:t>the proposal</w:t>
      </w:r>
      <w:r>
        <w:rPr>
          <w:rFonts w:ascii="Times New Roman" w:hAnsi="Times New Roman" w:cs="Times New Roman"/>
        </w:rPr>
        <w:t>.</w:t>
      </w:r>
    </w:p>
    <w:p w14:paraId="2E01E108" w14:textId="77777777" w:rsidR="004C58B9" w:rsidRDefault="004C58B9" w:rsidP="004C58B9">
      <w:pPr>
        <w:rPr>
          <w:rFonts w:ascii="Times New Roman" w:hAnsi="Times New Roman" w:cs="Times New Roman"/>
          <w:b/>
        </w:rPr>
      </w:pPr>
      <w:r>
        <w:rPr>
          <w:rFonts w:ascii="Times New Roman" w:hAnsi="Times New Roman" w:cs="Times New Roman"/>
          <w:b/>
        </w:rPr>
        <w:t>Regulatory impact assessment</w:t>
      </w:r>
    </w:p>
    <w:p w14:paraId="4C22328D" w14:textId="11E9347E" w:rsidR="00E013DE" w:rsidRDefault="00DB24B9" w:rsidP="004C58B9">
      <w:pPr>
        <w:rPr>
          <w:rFonts w:ascii="Times New Roman" w:hAnsi="Times New Roman" w:cs="Times New Roman"/>
        </w:rPr>
      </w:pPr>
      <w:r>
        <w:rPr>
          <w:rFonts w:ascii="Times New Roman" w:hAnsi="Times New Roman" w:cs="Times New Roman"/>
        </w:rPr>
        <w:t xml:space="preserve">A preliminary assessment of the proposal to make the instrument was conducted by the Office </w:t>
      </w:r>
      <w:r w:rsidR="00805389">
        <w:rPr>
          <w:rFonts w:ascii="Times New Roman" w:hAnsi="Times New Roman" w:cs="Times New Roman"/>
        </w:rPr>
        <w:t>of Best Practi</w:t>
      </w:r>
      <w:r w:rsidR="006E2DBE">
        <w:rPr>
          <w:rFonts w:ascii="Times New Roman" w:hAnsi="Times New Roman" w:cs="Times New Roman"/>
        </w:rPr>
        <w:t>c</w:t>
      </w:r>
      <w:r w:rsidR="00805389">
        <w:rPr>
          <w:rFonts w:ascii="Times New Roman" w:hAnsi="Times New Roman" w:cs="Times New Roman"/>
        </w:rPr>
        <w:t>e Regulation (</w:t>
      </w:r>
      <w:r w:rsidR="00805389" w:rsidRPr="00F24910">
        <w:rPr>
          <w:rFonts w:ascii="Times New Roman" w:hAnsi="Times New Roman" w:cs="Times New Roman"/>
          <w:b/>
          <w:bCs/>
        </w:rPr>
        <w:t>OBPR</w:t>
      </w:r>
      <w:r w:rsidR="00805389">
        <w:rPr>
          <w:rFonts w:ascii="Times New Roman" w:hAnsi="Times New Roman" w:cs="Times New Roman"/>
        </w:rPr>
        <w:t xml:space="preserve">), based on information provided by the ACMA, for the purposes of determining whether a </w:t>
      </w:r>
      <w:r w:rsidR="006E2DBE">
        <w:rPr>
          <w:rFonts w:ascii="Times New Roman" w:hAnsi="Times New Roman" w:cs="Times New Roman"/>
        </w:rPr>
        <w:t>Regulation Impact Statement (</w:t>
      </w:r>
      <w:r w:rsidR="006E2DBE" w:rsidRPr="00F24910">
        <w:rPr>
          <w:rFonts w:ascii="Times New Roman" w:hAnsi="Times New Roman" w:cs="Times New Roman"/>
          <w:b/>
          <w:bCs/>
        </w:rPr>
        <w:t>RIS</w:t>
      </w:r>
      <w:r w:rsidR="006E2DBE">
        <w:rPr>
          <w:rFonts w:ascii="Times New Roman" w:hAnsi="Times New Roman" w:cs="Times New Roman"/>
        </w:rPr>
        <w:t>) would be required. OBPR advised that a RIS w</w:t>
      </w:r>
      <w:r w:rsidR="007158AA">
        <w:rPr>
          <w:rFonts w:ascii="Times New Roman" w:hAnsi="Times New Roman" w:cs="Times New Roman"/>
        </w:rPr>
        <w:t xml:space="preserve">ould not be required because the proposed instrument </w:t>
      </w:r>
      <w:r w:rsidR="00C62D84">
        <w:rPr>
          <w:rFonts w:ascii="Times New Roman" w:hAnsi="Times New Roman" w:cs="Times New Roman"/>
        </w:rPr>
        <w:t>was</w:t>
      </w:r>
      <w:r w:rsidR="003D2A1F">
        <w:rPr>
          <w:rFonts w:ascii="Times New Roman" w:hAnsi="Times New Roman" w:cs="Times New Roman"/>
        </w:rPr>
        <w:t xml:space="preserve"> minor or machinery in nature</w:t>
      </w:r>
      <w:r w:rsidR="007158AA">
        <w:rPr>
          <w:rFonts w:ascii="Times New Roman" w:hAnsi="Times New Roman" w:cs="Times New Roman"/>
        </w:rPr>
        <w:t xml:space="preserve"> (OBPR reference number </w:t>
      </w:r>
      <w:r w:rsidR="003D2A1F">
        <w:rPr>
          <w:rFonts w:ascii="Times New Roman" w:hAnsi="Times New Roman" w:cs="Times New Roman"/>
        </w:rPr>
        <w:t>26099</w:t>
      </w:r>
      <w:r w:rsidR="007158AA">
        <w:rPr>
          <w:rFonts w:ascii="Times New Roman" w:hAnsi="Times New Roman" w:cs="Times New Roman"/>
        </w:rPr>
        <w:t>).</w:t>
      </w:r>
    </w:p>
    <w:p w14:paraId="645DD02E" w14:textId="77777777" w:rsidR="004C58B9" w:rsidRDefault="004C58B9" w:rsidP="004C58B9">
      <w:pPr>
        <w:rPr>
          <w:rFonts w:ascii="Times New Roman" w:hAnsi="Times New Roman" w:cs="Times New Roman"/>
          <w:b/>
        </w:rPr>
      </w:pPr>
      <w:r>
        <w:rPr>
          <w:rFonts w:ascii="Times New Roman" w:hAnsi="Times New Roman" w:cs="Times New Roman"/>
          <w:b/>
        </w:rPr>
        <w:t>Statement of compatibility with human rights</w:t>
      </w:r>
    </w:p>
    <w:p w14:paraId="7E0868EC" w14:textId="2C92A8FE" w:rsidR="004C58B9" w:rsidRDefault="004C58B9" w:rsidP="004C58B9">
      <w:pPr>
        <w:rPr>
          <w:rFonts w:ascii="Times New Roman" w:hAnsi="Times New Roman" w:cs="Times New Roman"/>
        </w:rPr>
      </w:pPr>
      <w:r>
        <w:rPr>
          <w:rFonts w:ascii="Times New Roman" w:hAnsi="Times New Roman" w:cs="Times New Roman"/>
        </w:rPr>
        <w:t xml:space="preserve">Subsection 9(1) of the </w:t>
      </w:r>
      <w:r>
        <w:rPr>
          <w:rFonts w:ascii="Times New Roman" w:hAnsi="Times New Roman" w:cs="Times New Roman"/>
          <w:i/>
        </w:rPr>
        <w:t>Human Rights (Parliamentary Scrutiny) Act 2011</w:t>
      </w:r>
      <w:r>
        <w:rPr>
          <w:rFonts w:ascii="Times New Roman" w:hAnsi="Times New Roman" w:cs="Times New Roman"/>
        </w:rPr>
        <w:t xml:space="preserve"> requires the rule-maker in relation to a legislative instrument to which section 42 (disallowance) of the LA applies to cause a statement of compatibility </w:t>
      </w:r>
      <w:r w:rsidR="00C62D84">
        <w:rPr>
          <w:rFonts w:ascii="Times New Roman" w:hAnsi="Times New Roman" w:cs="Times New Roman"/>
        </w:rPr>
        <w:t xml:space="preserve">with human rights </w:t>
      </w:r>
      <w:r>
        <w:rPr>
          <w:rFonts w:ascii="Times New Roman" w:hAnsi="Times New Roman" w:cs="Times New Roman"/>
        </w:rPr>
        <w:t xml:space="preserve">to be prepared in respect of that legislative instrument.  </w:t>
      </w:r>
    </w:p>
    <w:p w14:paraId="23AE1B60" w14:textId="77777777" w:rsidR="004C58B9" w:rsidRDefault="004C58B9" w:rsidP="004C58B9">
      <w:pPr>
        <w:rPr>
          <w:rFonts w:ascii="Times New Roman" w:hAnsi="Times New Roman" w:cs="Times New Roman"/>
        </w:rPr>
      </w:pPr>
      <w:r>
        <w:rPr>
          <w:rFonts w:ascii="Times New Roman" w:hAnsi="Times New Roman" w:cs="Times New Roman"/>
        </w:rPr>
        <w:t>The statement of compatibility set out below has been prepared to meet that requirement.</w:t>
      </w:r>
    </w:p>
    <w:p w14:paraId="695CEC3E" w14:textId="77777777" w:rsidR="004C58B9" w:rsidRDefault="004C58B9" w:rsidP="00773E1F">
      <w:pPr>
        <w:keepNext/>
        <w:spacing w:line="257" w:lineRule="auto"/>
        <w:rPr>
          <w:rFonts w:ascii="Times New Roman" w:hAnsi="Times New Roman" w:cs="Times New Roman"/>
          <w:b/>
          <w:i/>
        </w:rPr>
      </w:pPr>
      <w:r>
        <w:rPr>
          <w:rFonts w:ascii="Times New Roman" w:hAnsi="Times New Roman" w:cs="Times New Roman"/>
          <w:b/>
          <w:i/>
        </w:rPr>
        <w:t>Overview of the instrument</w:t>
      </w:r>
    </w:p>
    <w:p w14:paraId="63640BD4" w14:textId="3996A3A3" w:rsidR="00C37006" w:rsidRDefault="00EE2B27" w:rsidP="00997A29">
      <w:pPr>
        <w:pStyle w:val="Default"/>
        <w:spacing w:after="160" w:line="257" w:lineRule="auto"/>
        <w:rPr>
          <w:sz w:val="22"/>
          <w:szCs w:val="22"/>
        </w:rPr>
      </w:pPr>
      <w:r>
        <w:rPr>
          <w:sz w:val="22"/>
          <w:szCs w:val="22"/>
        </w:rPr>
        <w:t xml:space="preserve">The instrument </w:t>
      </w:r>
      <w:r w:rsidR="00DF3A48">
        <w:rPr>
          <w:sz w:val="22"/>
          <w:szCs w:val="22"/>
          <w:shd w:val="clear" w:color="auto" w:fill="FFFFFF"/>
        </w:rPr>
        <w:t>requires</w:t>
      </w:r>
      <w:r w:rsidR="00E83E69" w:rsidRPr="00407F28">
        <w:rPr>
          <w:sz w:val="22"/>
          <w:szCs w:val="22"/>
          <w:shd w:val="clear" w:color="auto" w:fill="FFFFFF"/>
        </w:rPr>
        <w:t xml:space="preserve"> particular domestic reception equipment </w:t>
      </w:r>
      <w:r w:rsidR="00DF3A48">
        <w:rPr>
          <w:sz w:val="22"/>
          <w:szCs w:val="22"/>
          <w:shd w:val="clear" w:color="auto" w:fill="FFFFFF"/>
        </w:rPr>
        <w:t>to have</w:t>
      </w:r>
      <w:r w:rsidR="00DF3A48" w:rsidRPr="00407F28">
        <w:rPr>
          <w:sz w:val="22"/>
          <w:szCs w:val="22"/>
          <w:shd w:val="clear" w:color="auto" w:fill="FFFFFF"/>
        </w:rPr>
        <w:t xml:space="preserve"> </w:t>
      </w:r>
      <w:r w:rsidR="00E83E69" w:rsidRPr="00407F28">
        <w:rPr>
          <w:sz w:val="22"/>
          <w:szCs w:val="22"/>
          <w:shd w:val="clear" w:color="auto" w:fill="FFFFFF"/>
        </w:rPr>
        <w:t>parental lock capabilities</w:t>
      </w:r>
      <w:r w:rsidR="007B0536">
        <w:rPr>
          <w:sz w:val="22"/>
          <w:szCs w:val="22"/>
          <w:shd w:val="clear" w:color="auto" w:fill="FFFFFF"/>
        </w:rPr>
        <w:t xml:space="preserve">, or </w:t>
      </w:r>
      <w:r w:rsidR="00C62D84">
        <w:rPr>
          <w:sz w:val="22"/>
          <w:szCs w:val="22"/>
          <w:shd w:val="clear" w:color="auto" w:fill="FFFFFF"/>
        </w:rPr>
        <w:t xml:space="preserve">to </w:t>
      </w:r>
      <w:r w:rsidR="007B0536">
        <w:rPr>
          <w:sz w:val="22"/>
          <w:szCs w:val="22"/>
          <w:shd w:val="clear" w:color="auto" w:fill="FFFFFF"/>
        </w:rPr>
        <w:t xml:space="preserve">distribute information enabling the operation of parental lock capabilities in other domestic </w:t>
      </w:r>
      <w:r w:rsidR="00841BA4">
        <w:rPr>
          <w:sz w:val="22"/>
          <w:szCs w:val="22"/>
          <w:shd w:val="clear" w:color="auto" w:fill="FFFFFF"/>
        </w:rPr>
        <w:t>reception equipment.</w:t>
      </w:r>
      <w:r w:rsidR="000B3A30">
        <w:rPr>
          <w:sz w:val="22"/>
          <w:szCs w:val="22"/>
          <w:shd w:val="clear" w:color="auto" w:fill="FFFFFF"/>
        </w:rPr>
        <w:t xml:space="preserve"> Th</w:t>
      </w:r>
      <w:r w:rsidR="000F4CB8">
        <w:rPr>
          <w:sz w:val="22"/>
          <w:szCs w:val="22"/>
          <w:shd w:val="clear" w:color="auto" w:fill="FFFFFF"/>
        </w:rPr>
        <w:t xml:space="preserve">e instrument </w:t>
      </w:r>
      <w:r w:rsidR="008F2B52">
        <w:rPr>
          <w:sz w:val="22"/>
          <w:szCs w:val="22"/>
          <w:shd w:val="clear" w:color="auto" w:fill="FFFFFF"/>
        </w:rPr>
        <w:t>regulates equipment</w:t>
      </w:r>
      <w:r w:rsidR="00E31987">
        <w:rPr>
          <w:sz w:val="22"/>
          <w:szCs w:val="22"/>
          <w:shd w:val="clear" w:color="auto" w:fill="FFFFFF"/>
        </w:rPr>
        <w:t xml:space="preserve">, providing </w:t>
      </w:r>
      <w:r w:rsidR="00846C81">
        <w:rPr>
          <w:sz w:val="22"/>
          <w:szCs w:val="22"/>
          <w:shd w:val="clear" w:color="auto" w:fill="FFFFFF"/>
        </w:rPr>
        <w:t>consumer safeguards which can</w:t>
      </w:r>
      <w:r w:rsidR="00EC70EF">
        <w:rPr>
          <w:sz w:val="22"/>
          <w:szCs w:val="22"/>
          <w:shd w:val="clear" w:color="auto" w:fill="FFFFFF"/>
        </w:rPr>
        <w:t xml:space="preserve"> be used to</w:t>
      </w:r>
      <w:r w:rsidR="00846C81">
        <w:rPr>
          <w:sz w:val="22"/>
          <w:szCs w:val="22"/>
          <w:shd w:val="clear" w:color="auto" w:fill="FFFFFF"/>
        </w:rPr>
        <w:t xml:space="preserve"> </w:t>
      </w:r>
      <w:r w:rsidR="007976CF">
        <w:rPr>
          <w:sz w:val="22"/>
          <w:szCs w:val="22"/>
          <w:shd w:val="clear" w:color="auto" w:fill="FFFFFF"/>
        </w:rPr>
        <w:t xml:space="preserve">protect children from unsuitable </w:t>
      </w:r>
      <w:r w:rsidR="008630F6">
        <w:rPr>
          <w:sz w:val="22"/>
          <w:szCs w:val="22"/>
          <w:shd w:val="clear" w:color="auto" w:fill="FFFFFF"/>
        </w:rPr>
        <w:t xml:space="preserve">television </w:t>
      </w:r>
      <w:r w:rsidR="007976CF">
        <w:rPr>
          <w:sz w:val="22"/>
          <w:szCs w:val="22"/>
          <w:shd w:val="clear" w:color="auto" w:fill="FFFFFF"/>
        </w:rPr>
        <w:t>content.</w:t>
      </w:r>
      <w:r w:rsidR="000C4E29">
        <w:rPr>
          <w:sz w:val="22"/>
          <w:szCs w:val="22"/>
          <w:shd w:val="clear" w:color="auto" w:fill="FFFFFF"/>
        </w:rPr>
        <w:t xml:space="preserve"> </w:t>
      </w:r>
      <w:r w:rsidR="00841D32">
        <w:rPr>
          <w:sz w:val="22"/>
          <w:szCs w:val="22"/>
          <w:shd w:val="clear" w:color="auto" w:fill="FFFFFF"/>
        </w:rPr>
        <w:t>Television equipment</w:t>
      </w:r>
      <w:r w:rsidR="00CC0898">
        <w:rPr>
          <w:sz w:val="22"/>
          <w:szCs w:val="22"/>
          <w:shd w:val="clear" w:color="auto" w:fill="FFFFFF"/>
        </w:rPr>
        <w:t xml:space="preserve"> manufacturers and suppliers in Australia will be</w:t>
      </w:r>
      <w:r w:rsidR="00606785">
        <w:rPr>
          <w:sz w:val="22"/>
          <w:szCs w:val="22"/>
          <w:shd w:val="clear" w:color="auto" w:fill="FFFFFF"/>
        </w:rPr>
        <w:t xml:space="preserve"> mainly</w:t>
      </w:r>
      <w:r w:rsidR="00CC0898">
        <w:rPr>
          <w:sz w:val="22"/>
          <w:szCs w:val="22"/>
          <w:shd w:val="clear" w:color="auto" w:fill="FFFFFF"/>
        </w:rPr>
        <w:t xml:space="preserve"> affected by th</w:t>
      </w:r>
      <w:r w:rsidR="00EC70EF">
        <w:rPr>
          <w:sz w:val="22"/>
          <w:szCs w:val="22"/>
          <w:shd w:val="clear" w:color="auto" w:fill="FFFFFF"/>
        </w:rPr>
        <w:t>e instrument</w:t>
      </w:r>
      <w:r w:rsidR="00CC0898">
        <w:rPr>
          <w:sz w:val="22"/>
          <w:szCs w:val="22"/>
          <w:shd w:val="clear" w:color="auto" w:fill="FFFFFF"/>
        </w:rPr>
        <w:t xml:space="preserve"> as it sets out a standard </w:t>
      </w:r>
      <w:r w:rsidR="00D56926">
        <w:rPr>
          <w:sz w:val="22"/>
          <w:szCs w:val="22"/>
          <w:shd w:val="clear" w:color="auto" w:fill="FFFFFF"/>
        </w:rPr>
        <w:t xml:space="preserve">to be met before </w:t>
      </w:r>
      <w:r w:rsidR="00606785">
        <w:rPr>
          <w:sz w:val="22"/>
          <w:szCs w:val="22"/>
          <w:shd w:val="clear" w:color="auto" w:fill="FFFFFF"/>
        </w:rPr>
        <w:t>domestic television receivers</w:t>
      </w:r>
      <w:r w:rsidR="00D56926">
        <w:rPr>
          <w:sz w:val="22"/>
          <w:szCs w:val="22"/>
          <w:shd w:val="clear" w:color="auto" w:fill="FFFFFF"/>
        </w:rPr>
        <w:t xml:space="preserve"> can be supplied</w:t>
      </w:r>
      <w:r w:rsidR="00606785">
        <w:rPr>
          <w:sz w:val="22"/>
          <w:szCs w:val="22"/>
          <w:shd w:val="clear" w:color="auto" w:fill="FFFFFF"/>
        </w:rPr>
        <w:t xml:space="preserve">. </w:t>
      </w:r>
    </w:p>
    <w:p w14:paraId="62B66CB7" w14:textId="77777777" w:rsidR="004C58B9" w:rsidRDefault="004C58B9" w:rsidP="004C58B9">
      <w:pPr>
        <w:rPr>
          <w:rFonts w:ascii="Times New Roman" w:hAnsi="Times New Roman" w:cs="Times New Roman"/>
          <w:b/>
          <w:i/>
        </w:rPr>
      </w:pPr>
      <w:r>
        <w:rPr>
          <w:rFonts w:ascii="Times New Roman" w:hAnsi="Times New Roman" w:cs="Times New Roman"/>
          <w:b/>
          <w:i/>
        </w:rPr>
        <w:lastRenderedPageBreak/>
        <w:t>Human rights implications</w:t>
      </w:r>
    </w:p>
    <w:p w14:paraId="0B759C40" w14:textId="77777777" w:rsidR="004C58B9" w:rsidRDefault="004C58B9" w:rsidP="004C58B9">
      <w:pPr>
        <w:rPr>
          <w:rFonts w:ascii="Times New Roman" w:hAnsi="Times New Roman" w:cs="Times New Roman"/>
        </w:rPr>
      </w:pPr>
      <w:r>
        <w:rPr>
          <w:rFonts w:ascii="Times New Roman" w:hAnsi="Times New Roman" w:cs="Times New Roman"/>
        </w:rPr>
        <w:t>The ACMA has assessed whether the instrument is compatible with human rights, being the rights and freedoms recognised or declared by the international instruments listed in subsection 3(1) of the</w:t>
      </w:r>
      <w:r>
        <w:rPr>
          <w:rFonts w:ascii="Times New Roman" w:hAnsi="Times New Roman" w:cs="Times New Roman"/>
          <w:i/>
        </w:rPr>
        <w:t xml:space="preserve"> Human Rights (Parliamentary Scrutiny) Act 2011 </w:t>
      </w:r>
      <w:r>
        <w:rPr>
          <w:rFonts w:ascii="Times New Roman" w:hAnsi="Times New Roman" w:cs="Times New Roman"/>
        </w:rPr>
        <w:t xml:space="preserve">as they apply to Australia. </w:t>
      </w:r>
    </w:p>
    <w:p w14:paraId="39F7E8B7" w14:textId="77777777" w:rsidR="004C58B9" w:rsidRDefault="004C58B9" w:rsidP="004C58B9">
      <w:pPr>
        <w:rPr>
          <w:rFonts w:ascii="Times New Roman" w:hAnsi="Times New Roman" w:cs="Times New Roman"/>
        </w:rPr>
      </w:pPr>
      <w:r>
        <w:rPr>
          <w:rFonts w:ascii="Times New Roman" w:hAnsi="Times New Roman" w:cs="Times New Roman"/>
        </w:rPr>
        <w:t xml:space="preserve">Having considered the likely impact of the instrument and the nature of the applicable rights and freedoms, the ACMA has formed the view that the instrument does not engage any of those rights or freedoms.  </w:t>
      </w:r>
    </w:p>
    <w:p w14:paraId="69883E86" w14:textId="77777777" w:rsidR="00567271" w:rsidRDefault="00567271" w:rsidP="004C58B9">
      <w:pPr>
        <w:rPr>
          <w:rFonts w:ascii="Times New Roman" w:hAnsi="Times New Roman" w:cs="Times New Roman"/>
          <w:b/>
          <w:i/>
        </w:rPr>
      </w:pPr>
    </w:p>
    <w:p w14:paraId="76A7876C" w14:textId="1763C4F9" w:rsidR="004C58B9" w:rsidRDefault="004C58B9" w:rsidP="004C58B9">
      <w:pPr>
        <w:rPr>
          <w:rFonts w:ascii="Times New Roman" w:hAnsi="Times New Roman" w:cs="Times New Roman"/>
          <w:b/>
          <w:i/>
        </w:rPr>
      </w:pPr>
      <w:r>
        <w:rPr>
          <w:rFonts w:ascii="Times New Roman" w:hAnsi="Times New Roman" w:cs="Times New Roman"/>
          <w:b/>
          <w:i/>
        </w:rPr>
        <w:t>Conclusion</w:t>
      </w:r>
    </w:p>
    <w:p w14:paraId="14033D5D" w14:textId="77777777" w:rsidR="004C58B9" w:rsidRDefault="004C58B9" w:rsidP="004C58B9">
      <w:pPr>
        <w:rPr>
          <w:rFonts w:ascii="Times New Roman" w:hAnsi="Times New Roman" w:cs="Times New Roman"/>
        </w:rPr>
      </w:pPr>
      <w:r>
        <w:rPr>
          <w:rFonts w:ascii="Times New Roman" w:hAnsi="Times New Roman" w:cs="Times New Roman"/>
        </w:rPr>
        <w:t>The instrument is compatible with human rights as it does not raise any human rights issues.</w:t>
      </w:r>
    </w:p>
    <w:p w14:paraId="5B55C777" w14:textId="77777777" w:rsidR="004C58B9" w:rsidRDefault="004C58B9" w:rsidP="004C58B9">
      <w:pPr>
        <w:rPr>
          <w:rFonts w:ascii="Times New Roman" w:hAnsi="Times New Roman" w:cs="Times New Roman"/>
        </w:rPr>
      </w:pPr>
    </w:p>
    <w:p w14:paraId="04D2004B" w14:textId="77777777" w:rsidR="004C58B9" w:rsidRDefault="004C58B9" w:rsidP="004C58B9">
      <w:pPr>
        <w:rPr>
          <w:rFonts w:ascii="Times New Roman" w:hAnsi="Times New Roman" w:cs="Times New Roman"/>
        </w:rPr>
      </w:pPr>
    </w:p>
    <w:p w14:paraId="0761EB7B" w14:textId="77777777" w:rsidR="004C58B9" w:rsidRDefault="004C58B9" w:rsidP="004C58B9">
      <w:pPr>
        <w:rPr>
          <w:rFonts w:ascii="Times New Roman" w:hAnsi="Times New Roman" w:cs="Times New Roman"/>
        </w:rPr>
      </w:pPr>
    </w:p>
    <w:p w14:paraId="529383EE" w14:textId="77777777" w:rsidR="004C58B9" w:rsidRDefault="004C58B9" w:rsidP="004C58B9">
      <w:pPr>
        <w:rPr>
          <w:rFonts w:ascii="Times New Roman" w:hAnsi="Times New Roman" w:cs="Times New Roman"/>
          <w:b/>
        </w:rPr>
      </w:pPr>
      <w:r>
        <w:rPr>
          <w:rFonts w:ascii="Times New Roman" w:hAnsi="Times New Roman" w:cs="Times New Roman"/>
          <w:b/>
        </w:rPr>
        <w:br w:type="page"/>
      </w:r>
    </w:p>
    <w:p w14:paraId="00392EC9" w14:textId="77777777" w:rsidR="004C58B9" w:rsidRDefault="004C58B9" w:rsidP="004C58B9">
      <w:pPr>
        <w:jc w:val="right"/>
        <w:rPr>
          <w:rFonts w:ascii="Times New Roman" w:hAnsi="Times New Roman" w:cs="Times New Roman"/>
          <w:b/>
          <w:sz w:val="28"/>
          <w:szCs w:val="28"/>
        </w:rPr>
      </w:pPr>
      <w:r>
        <w:rPr>
          <w:rFonts w:ascii="Times New Roman" w:hAnsi="Times New Roman" w:cs="Times New Roman"/>
          <w:b/>
          <w:sz w:val="28"/>
          <w:szCs w:val="28"/>
        </w:rPr>
        <w:lastRenderedPageBreak/>
        <w:t>Attachment A</w:t>
      </w:r>
    </w:p>
    <w:p w14:paraId="2CC48905" w14:textId="6C4ABE3D" w:rsidR="004C58B9" w:rsidRDefault="004C58B9" w:rsidP="004C58B9">
      <w:pPr>
        <w:jc w:val="center"/>
        <w:rPr>
          <w:rFonts w:ascii="Times New Roman" w:hAnsi="Times New Roman" w:cs="Times New Roman"/>
          <w:b/>
          <w:sz w:val="28"/>
          <w:szCs w:val="28"/>
        </w:rPr>
      </w:pPr>
      <w:r>
        <w:rPr>
          <w:rFonts w:ascii="Times New Roman" w:hAnsi="Times New Roman" w:cs="Times New Roman"/>
          <w:b/>
          <w:sz w:val="28"/>
          <w:szCs w:val="28"/>
        </w:rPr>
        <w:t xml:space="preserve">Notes to the </w:t>
      </w:r>
      <w:r w:rsidR="00B46677">
        <w:rPr>
          <w:rFonts w:ascii="Times New Roman" w:hAnsi="Times New Roman" w:cs="Times New Roman"/>
          <w:b/>
          <w:i/>
          <w:sz w:val="28"/>
          <w:szCs w:val="28"/>
        </w:rPr>
        <w:t>Broadcasting Services (Parental Lock) Technical Standard 2020</w:t>
      </w:r>
    </w:p>
    <w:p w14:paraId="6A976F35" w14:textId="77777777" w:rsidR="004C58B9" w:rsidRDefault="004C58B9" w:rsidP="004C58B9">
      <w:pPr>
        <w:rPr>
          <w:rFonts w:ascii="Times New Roman" w:hAnsi="Times New Roman" w:cs="Times New Roman"/>
          <w:b/>
        </w:rPr>
      </w:pPr>
      <w:r>
        <w:rPr>
          <w:rFonts w:ascii="Times New Roman" w:hAnsi="Times New Roman" w:cs="Times New Roman"/>
          <w:b/>
        </w:rPr>
        <w:t>Section 1</w:t>
      </w:r>
      <w:r>
        <w:rPr>
          <w:rFonts w:ascii="Times New Roman" w:hAnsi="Times New Roman" w:cs="Times New Roman"/>
          <w:b/>
        </w:rPr>
        <w:tab/>
        <w:t>Name</w:t>
      </w:r>
    </w:p>
    <w:p w14:paraId="4E9236AB" w14:textId="41FC9609"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be cited as the </w:t>
      </w:r>
      <w:r w:rsidR="00037E7D" w:rsidRPr="00037E7D">
        <w:rPr>
          <w:rFonts w:ascii="Times New Roman" w:hAnsi="Times New Roman" w:cs="Times New Roman"/>
          <w:i/>
          <w:iCs/>
        </w:rPr>
        <w:t>Broadcasting Services (Parental Lock) Technical Standard 2020</w:t>
      </w:r>
      <w:r w:rsidRPr="00037E7D">
        <w:rPr>
          <w:rFonts w:ascii="Times New Roman" w:hAnsi="Times New Roman" w:cs="Times New Roman"/>
        </w:rPr>
        <w:t>.</w:t>
      </w:r>
    </w:p>
    <w:p w14:paraId="5A4825F8" w14:textId="77777777" w:rsidR="004C58B9" w:rsidRDefault="004C58B9" w:rsidP="004C58B9">
      <w:pPr>
        <w:rPr>
          <w:rFonts w:ascii="Times New Roman" w:hAnsi="Times New Roman" w:cs="Times New Roman"/>
          <w:b/>
        </w:rPr>
      </w:pPr>
      <w:r>
        <w:rPr>
          <w:rFonts w:ascii="Times New Roman" w:hAnsi="Times New Roman" w:cs="Times New Roman"/>
          <w:b/>
        </w:rPr>
        <w:t>Section 2</w:t>
      </w:r>
      <w:r>
        <w:rPr>
          <w:rFonts w:ascii="Times New Roman" w:hAnsi="Times New Roman" w:cs="Times New Roman"/>
          <w:b/>
        </w:rPr>
        <w:tab/>
        <w:t>Commencement</w:t>
      </w:r>
    </w:p>
    <w:p w14:paraId="1CE591DC" w14:textId="77777777" w:rsidR="004C58B9" w:rsidRDefault="004C58B9" w:rsidP="004C58B9">
      <w:pPr>
        <w:rPr>
          <w:rFonts w:ascii="Times New Roman" w:hAnsi="Times New Roman" w:cs="Times New Roman"/>
        </w:rPr>
      </w:pPr>
      <w:r>
        <w:rPr>
          <w:rFonts w:ascii="Times New Roman" w:hAnsi="Times New Roman" w:cs="Times New Roman"/>
        </w:rPr>
        <w:t xml:space="preserve">This section provides for the instrument to commence at the start of the day after the day it is registered on the Federal Register of Legislation.  </w:t>
      </w:r>
    </w:p>
    <w:p w14:paraId="2E195494" w14:textId="77777777" w:rsidR="004C58B9" w:rsidRDefault="004C58B9" w:rsidP="004C58B9">
      <w:pPr>
        <w:rPr>
          <w:rFonts w:ascii="Times New Roman" w:hAnsi="Times New Roman" w:cs="Times New Roman"/>
        </w:rPr>
      </w:pPr>
      <w:r>
        <w:rPr>
          <w:rFonts w:ascii="Times New Roman" w:hAnsi="Times New Roman" w:cs="Times New Roman"/>
        </w:rPr>
        <w:t xml:space="preserve">The Federal Register of Legislation may be accessed free of charge at </w:t>
      </w:r>
      <w:hyperlink r:id="rId13" w:history="1">
        <w:r>
          <w:rPr>
            <w:rStyle w:val="Hyperlink"/>
            <w:rFonts w:ascii="Times New Roman" w:hAnsi="Times New Roman" w:cs="Times New Roman"/>
          </w:rPr>
          <w:t>www.legislation.gov.au</w:t>
        </w:r>
      </w:hyperlink>
      <w:r>
        <w:rPr>
          <w:rFonts w:ascii="Times New Roman" w:hAnsi="Times New Roman" w:cs="Times New Roman"/>
        </w:rPr>
        <w:t>.</w:t>
      </w:r>
    </w:p>
    <w:p w14:paraId="1CCE7953" w14:textId="77777777" w:rsidR="004C58B9" w:rsidRDefault="004C58B9" w:rsidP="004C58B9">
      <w:pPr>
        <w:rPr>
          <w:rFonts w:ascii="Times New Roman" w:hAnsi="Times New Roman" w:cs="Times New Roman"/>
          <w:b/>
        </w:rPr>
      </w:pPr>
      <w:r>
        <w:rPr>
          <w:rFonts w:ascii="Times New Roman" w:hAnsi="Times New Roman" w:cs="Times New Roman"/>
          <w:b/>
        </w:rPr>
        <w:t>Section 3</w:t>
      </w:r>
      <w:r>
        <w:rPr>
          <w:rFonts w:ascii="Times New Roman" w:hAnsi="Times New Roman" w:cs="Times New Roman"/>
          <w:b/>
        </w:rPr>
        <w:tab/>
        <w:t>Authority</w:t>
      </w:r>
    </w:p>
    <w:p w14:paraId="38112A89" w14:textId="30244109" w:rsidR="004C58B9" w:rsidRDefault="004C58B9" w:rsidP="004C58B9">
      <w:pPr>
        <w:rPr>
          <w:rFonts w:ascii="Times New Roman" w:hAnsi="Times New Roman" w:cs="Times New Roman"/>
        </w:rPr>
      </w:pPr>
      <w:r>
        <w:rPr>
          <w:rFonts w:ascii="Times New Roman" w:hAnsi="Times New Roman" w:cs="Times New Roman"/>
        </w:rPr>
        <w:t>This section identifies the provision</w:t>
      </w:r>
      <w:r w:rsidR="002A5783">
        <w:rPr>
          <w:rFonts w:ascii="Times New Roman" w:hAnsi="Times New Roman" w:cs="Times New Roman"/>
        </w:rPr>
        <w:t>s</w:t>
      </w:r>
      <w:r>
        <w:rPr>
          <w:rFonts w:ascii="Times New Roman" w:hAnsi="Times New Roman" w:cs="Times New Roman"/>
        </w:rPr>
        <w:t xml:space="preserve"> of the Act that authorises the making of the instrument, namely </w:t>
      </w:r>
      <w:r w:rsidR="009668C6">
        <w:rPr>
          <w:rFonts w:ascii="Times New Roman" w:hAnsi="Times New Roman" w:cs="Times New Roman"/>
        </w:rPr>
        <w:t>subsections 130B(</w:t>
      </w:r>
      <w:r w:rsidR="00E02C33">
        <w:rPr>
          <w:rFonts w:ascii="Times New Roman" w:hAnsi="Times New Roman" w:cs="Times New Roman"/>
        </w:rPr>
        <w:t>1) and 130B(7)</w:t>
      </w:r>
      <w:r>
        <w:rPr>
          <w:rFonts w:ascii="Times New Roman" w:hAnsi="Times New Roman" w:cs="Times New Roman"/>
        </w:rPr>
        <w:t xml:space="preserve"> of the</w:t>
      </w:r>
      <w:r w:rsidR="00546FBD">
        <w:rPr>
          <w:rFonts w:ascii="Times New Roman" w:hAnsi="Times New Roman" w:cs="Times New Roman"/>
        </w:rPr>
        <w:t xml:space="preserve"> Act</w:t>
      </w:r>
      <w:r>
        <w:rPr>
          <w:rFonts w:ascii="Times New Roman" w:hAnsi="Times New Roman" w:cs="Times New Roman"/>
        </w:rPr>
        <w:t>.</w:t>
      </w:r>
    </w:p>
    <w:p w14:paraId="0599AB41" w14:textId="306F2E96" w:rsidR="004C58B9" w:rsidRDefault="004C58B9" w:rsidP="004C58B9">
      <w:pPr>
        <w:rPr>
          <w:rFonts w:ascii="Times New Roman" w:hAnsi="Times New Roman" w:cs="Times New Roman"/>
          <w:b/>
        </w:rPr>
      </w:pPr>
      <w:r>
        <w:rPr>
          <w:rFonts w:ascii="Times New Roman" w:hAnsi="Times New Roman" w:cs="Times New Roman"/>
          <w:b/>
        </w:rPr>
        <w:t>Section 4</w:t>
      </w:r>
      <w:r>
        <w:rPr>
          <w:rFonts w:ascii="Times New Roman" w:hAnsi="Times New Roman" w:cs="Times New Roman"/>
          <w:b/>
        </w:rPr>
        <w:tab/>
        <w:t xml:space="preserve">Repeal of the </w:t>
      </w:r>
      <w:r w:rsidR="00C2217B" w:rsidRPr="00C2217B">
        <w:rPr>
          <w:rFonts w:ascii="Times New Roman" w:hAnsi="Times New Roman" w:cs="Times New Roman"/>
          <w:b/>
          <w:bCs/>
          <w:i/>
        </w:rPr>
        <w:t>Broadcasting and Datacasting Services (Parental Lock) Technical Standard 2010</w:t>
      </w:r>
    </w:p>
    <w:p w14:paraId="734B9C26" w14:textId="1742F63F" w:rsidR="004C58B9" w:rsidRDefault="004C58B9" w:rsidP="004C58B9">
      <w:pPr>
        <w:rPr>
          <w:rFonts w:ascii="Times New Roman" w:hAnsi="Times New Roman" w:cs="Times New Roman"/>
        </w:rPr>
      </w:pPr>
      <w:r>
        <w:rPr>
          <w:rFonts w:ascii="Times New Roman" w:hAnsi="Times New Roman" w:cs="Times New Roman"/>
        </w:rPr>
        <w:t xml:space="preserve">This section provides that the </w:t>
      </w:r>
      <w:r w:rsidR="00C2217B" w:rsidRPr="00C2217B">
        <w:rPr>
          <w:rFonts w:ascii="Times New Roman" w:hAnsi="Times New Roman" w:cs="Times New Roman"/>
          <w:i/>
        </w:rPr>
        <w:t>Broadcasting and Datacasting Services (Parental Lock) Technical Standard 2010</w:t>
      </w:r>
      <w:r>
        <w:rPr>
          <w:rFonts w:ascii="Times New Roman" w:hAnsi="Times New Roman" w:cs="Times New Roman"/>
          <w:i/>
        </w:rPr>
        <w:t xml:space="preserve"> </w:t>
      </w:r>
      <w:r>
        <w:rPr>
          <w:rFonts w:ascii="Times New Roman" w:hAnsi="Times New Roman" w:cs="Times New Roman"/>
        </w:rPr>
        <w:t>(</w:t>
      </w:r>
      <w:r w:rsidR="00530688" w:rsidRPr="00133C54">
        <w:rPr>
          <w:rFonts w:ascii="Times New Roman" w:hAnsi="Times New Roman" w:cs="Times New Roman"/>
        </w:rPr>
        <w:t>F2010L02220</w:t>
      </w:r>
      <w:r>
        <w:rPr>
          <w:rFonts w:ascii="Times New Roman" w:hAnsi="Times New Roman" w:cs="Times New Roman"/>
        </w:rPr>
        <w:t>) is repealed.</w:t>
      </w:r>
    </w:p>
    <w:p w14:paraId="092F5492" w14:textId="77CABB4F" w:rsidR="004C58B9" w:rsidRDefault="004C58B9" w:rsidP="004C58B9">
      <w:pPr>
        <w:rPr>
          <w:rFonts w:ascii="Times New Roman" w:hAnsi="Times New Roman" w:cs="Times New Roman"/>
          <w:b/>
        </w:rPr>
      </w:pPr>
      <w:r>
        <w:rPr>
          <w:rFonts w:ascii="Times New Roman" w:hAnsi="Times New Roman" w:cs="Times New Roman"/>
          <w:b/>
        </w:rPr>
        <w:t xml:space="preserve">Section </w:t>
      </w:r>
      <w:r w:rsidR="007A2FA7">
        <w:rPr>
          <w:rFonts w:ascii="Times New Roman" w:hAnsi="Times New Roman" w:cs="Times New Roman"/>
          <w:b/>
        </w:rPr>
        <w:t>5</w:t>
      </w:r>
      <w:r>
        <w:rPr>
          <w:rFonts w:ascii="Times New Roman" w:hAnsi="Times New Roman" w:cs="Times New Roman"/>
          <w:b/>
        </w:rPr>
        <w:tab/>
        <w:t>Definitions</w:t>
      </w:r>
    </w:p>
    <w:p w14:paraId="77CC0EEC" w14:textId="3A8F8AA2" w:rsidR="004C58B9" w:rsidRDefault="004C58B9" w:rsidP="004C58B9">
      <w:pPr>
        <w:rPr>
          <w:rFonts w:ascii="Times New Roman" w:hAnsi="Times New Roman" w:cs="Times New Roman"/>
        </w:rPr>
      </w:pPr>
      <w:r>
        <w:rPr>
          <w:rFonts w:ascii="Times New Roman" w:hAnsi="Times New Roman" w:cs="Times New Roman"/>
        </w:rPr>
        <w:t>This section defines a number of key terms used</w:t>
      </w:r>
      <w:r w:rsidR="00C62D84">
        <w:rPr>
          <w:rFonts w:ascii="Times New Roman" w:hAnsi="Times New Roman" w:cs="Times New Roman"/>
        </w:rPr>
        <w:t xml:space="preserve"> in</w:t>
      </w:r>
      <w:r>
        <w:rPr>
          <w:rFonts w:ascii="Times New Roman" w:hAnsi="Times New Roman" w:cs="Times New Roman"/>
        </w:rPr>
        <w:t xml:space="preserve"> the instrument.  </w:t>
      </w:r>
    </w:p>
    <w:p w14:paraId="6A65622D" w14:textId="77777777" w:rsidR="004C58B9" w:rsidRDefault="004C58B9" w:rsidP="004C58B9">
      <w:pPr>
        <w:rPr>
          <w:rFonts w:ascii="Times New Roman" w:hAnsi="Times New Roman" w:cs="Times New Roman"/>
        </w:rPr>
      </w:pPr>
      <w:r>
        <w:rPr>
          <w:rFonts w:ascii="Times New Roman" w:hAnsi="Times New Roman" w:cs="Times New Roman"/>
        </w:rPr>
        <w:t>A number of other expressions used in the instrument are defined in the Act.</w:t>
      </w:r>
    </w:p>
    <w:p w14:paraId="4E744EA9" w14:textId="3066529A" w:rsidR="004C58B9" w:rsidRDefault="004C58B9" w:rsidP="004C58B9">
      <w:pPr>
        <w:rPr>
          <w:rFonts w:ascii="Times New Roman" w:hAnsi="Times New Roman" w:cs="Times New Roman"/>
          <w:b/>
        </w:rPr>
      </w:pPr>
      <w:r>
        <w:rPr>
          <w:rFonts w:ascii="Times New Roman" w:hAnsi="Times New Roman" w:cs="Times New Roman"/>
          <w:b/>
        </w:rPr>
        <w:t xml:space="preserve">Section </w:t>
      </w:r>
      <w:r w:rsidR="000370BD">
        <w:rPr>
          <w:rFonts w:ascii="Times New Roman" w:hAnsi="Times New Roman" w:cs="Times New Roman"/>
          <w:b/>
        </w:rPr>
        <w:t>6</w:t>
      </w:r>
      <w:r>
        <w:rPr>
          <w:rFonts w:ascii="Times New Roman" w:hAnsi="Times New Roman" w:cs="Times New Roman"/>
          <w:b/>
        </w:rPr>
        <w:tab/>
        <w:t>References to other instruments</w:t>
      </w:r>
    </w:p>
    <w:p w14:paraId="5EFA7BF7" w14:textId="77777777" w:rsidR="004C58B9" w:rsidRDefault="004C58B9" w:rsidP="004C58B9">
      <w:pPr>
        <w:spacing w:after="40"/>
        <w:rPr>
          <w:rFonts w:ascii="Times New Roman" w:hAnsi="Times New Roman" w:cs="Times New Roman"/>
        </w:rPr>
      </w:pPr>
      <w:r>
        <w:rPr>
          <w:rFonts w:ascii="Times New Roman" w:hAnsi="Times New Roman" w:cs="Times New Roman"/>
        </w:rPr>
        <w:t>This section provides that in the instrument, unless the contrary intention appears:</w:t>
      </w:r>
    </w:p>
    <w:p w14:paraId="4A729303" w14:textId="77777777"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a reference to any other legislative instrument is a reference to that other legislative instrument as in force from time to time; and</w:t>
      </w:r>
    </w:p>
    <w:p w14:paraId="287EC397" w14:textId="7BEAD635" w:rsidR="004C58B9" w:rsidRDefault="004C58B9" w:rsidP="004C58B9">
      <w:pPr>
        <w:pStyle w:val="ListParagraph"/>
        <w:numPr>
          <w:ilvl w:val="0"/>
          <w:numId w:val="15"/>
        </w:numPr>
        <w:rPr>
          <w:rFonts w:ascii="Times New Roman" w:hAnsi="Times New Roman" w:cs="Times New Roman"/>
        </w:rPr>
      </w:pPr>
      <w:r>
        <w:rPr>
          <w:rFonts w:ascii="Times New Roman" w:hAnsi="Times New Roman" w:cs="Times New Roman"/>
        </w:rPr>
        <w:t xml:space="preserve">a reference to any other kind of instrument </w:t>
      </w:r>
      <w:r w:rsidR="001D394D">
        <w:rPr>
          <w:rFonts w:ascii="Times New Roman" w:hAnsi="Times New Roman" w:cs="Times New Roman"/>
        </w:rPr>
        <w:t xml:space="preserve">or writing </w:t>
      </w:r>
      <w:r>
        <w:rPr>
          <w:rFonts w:ascii="Times New Roman" w:hAnsi="Times New Roman" w:cs="Times New Roman"/>
        </w:rPr>
        <w:t xml:space="preserve">is a reference to that other instrument </w:t>
      </w:r>
      <w:r w:rsidR="001D394D">
        <w:rPr>
          <w:rFonts w:ascii="Times New Roman" w:hAnsi="Times New Roman" w:cs="Times New Roman"/>
        </w:rPr>
        <w:t xml:space="preserve">or writing </w:t>
      </w:r>
      <w:r>
        <w:rPr>
          <w:rFonts w:ascii="Times New Roman" w:hAnsi="Times New Roman" w:cs="Times New Roman"/>
        </w:rPr>
        <w:t>as in force at the commencement of the instrument.</w:t>
      </w:r>
    </w:p>
    <w:p w14:paraId="123B2441" w14:textId="57C870CE" w:rsidR="00D259D7" w:rsidRDefault="00D259D7" w:rsidP="00D259D7">
      <w:pPr>
        <w:rPr>
          <w:rFonts w:ascii="Times New Roman" w:hAnsi="Times New Roman" w:cs="Times New Roman"/>
          <w:b/>
        </w:rPr>
      </w:pPr>
      <w:r w:rsidRPr="00D259D7">
        <w:rPr>
          <w:rFonts w:ascii="Times New Roman" w:hAnsi="Times New Roman" w:cs="Times New Roman"/>
          <w:b/>
        </w:rPr>
        <w:t xml:space="preserve">Section </w:t>
      </w:r>
      <w:r>
        <w:rPr>
          <w:rFonts w:ascii="Times New Roman" w:hAnsi="Times New Roman" w:cs="Times New Roman"/>
          <w:b/>
        </w:rPr>
        <w:t>7</w:t>
      </w:r>
      <w:r w:rsidRPr="00D259D7">
        <w:rPr>
          <w:rFonts w:ascii="Times New Roman" w:hAnsi="Times New Roman" w:cs="Times New Roman"/>
          <w:b/>
        </w:rPr>
        <w:tab/>
      </w:r>
      <w:r>
        <w:rPr>
          <w:rFonts w:ascii="Times New Roman" w:hAnsi="Times New Roman" w:cs="Times New Roman"/>
          <w:b/>
        </w:rPr>
        <w:t>Purpose</w:t>
      </w:r>
    </w:p>
    <w:p w14:paraId="3F9C6527" w14:textId="5351259F" w:rsidR="00C44D90" w:rsidRDefault="00C44D90" w:rsidP="00D259D7">
      <w:pPr>
        <w:rPr>
          <w:rFonts w:ascii="Times New Roman" w:hAnsi="Times New Roman" w:cs="Times New Roman"/>
        </w:rPr>
      </w:pPr>
      <w:r w:rsidRPr="00C44D90">
        <w:rPr>
          <w:rFonts w:ascii="Times New Roman" w:hAnsi="Times New Roman" w:cs="Times New Roman"/>
          <w:bCs/>
        </w:rPr>
        <w:t>This section states the purpose of the instrument</w:t>
      </w:r>
      <w:r w:rsidR="00F73CBE">
        <w:rPr>
          <w:rFonts w:ascii="Times New Roman" w:hAnsi="Times New Roman" w:cs="Times New Roman"/>
          <w:bCs/>
        </w:rPr>
        <w:t xml:space="preserve">, being to </w:t>
      </w:r>
      <w:r w:rsidR="0003173E" w:rsidRPr="0003173E">
        <w:rPr>
          <w:rFonts w:ascii="Times New Roman" w:hAnsi="Times New Roman" w:cs="Times New Roman"/>
        </w:rPr>
        <w:t>ensure that particular domestic reception equipment has parental lock capabilities, or distributes information that enables the parental lock capabilities in other domestic reception equipment to operate.</w:t>
      </w:r>
      <w:r w:rsidR="0003173E">
        <w:rPr>
          <w:rFonts w:ascii="Times New Roman" w:hAnsi="Times New Roman" w:cs="Times New Roman"/>
        </w:rPr>
        <w:t xml:space="preserve"> </w:t>
      </w:r>
    </w:p>
    <w:p w14:paraId="67089FC4" w14:textId="28852648" w:rsidR="002C6355" w:rsidRDefault="00324365" w:rsidP="00D259D7">
      <w:pPr>
        <w:rPr>
          <w:rFonts w:ascii="Times New Roman" w:hAnsi="Times New Roman" w:cs="Times New Roman"/>
          <w:b/>
        </w:rPr>
      </w:pPr>
      <w:r w:rsidRPr="00D259D7">
        <w:rPr>
          <w:rFonts w:ascii="Times New Roman" w:hAnsi="Times New Roman" w:cs="Times New Roman"/>
          <w:b/>
        </w:rPr>
        <w:t xml:space="preserve">Section </w:t>
      </w:r>
      <w:r>
        <w:rPr>
          <w:rFonts w:ascii="Times New Roman" w:hAnsi="Times New Roman" w:cs="Times New Roman"/>
          <w:b/>
        </w:rPr>
        <w:t>8</w:t>
      </w:r>
      <w:r w:rsidRPr="00D259D7">
        <w:rPr>
          <w:rFonts w:ascii="Times New Roman" w:hAnsi="Times New Roman" w:cs="Times New Roman"/>
          <w:b/>
        </w:rPr>
        <w:tab/>
      </w:r>
      <w:r>
        <w:rPr>
          <w:rFonts w:ascii="Times New Roman" w:hAnsi="Times New Roman" w:cs="Times New Roman"/>
          <w:b/>
        </w:rPr>
        <w:t xml:space="preserve">Standard – domestic digital </w:t>
      </w:r>
      <w:r w:rsidR="00FC58E7">
        <w:rPr>
          <w:rFonts w:ascii="Times New Roman" w:hAnsi="Times New Roman" w:cs="Times New Roman"/>
          <w:b/>
        </w:rPr>
        <w:t>television receiver (general)</w:t>
      </w:r>
    </w:p>
    <w:p w14:paraId="171A6A21" w14:textId="66F34F37" w:rsidR="001330BD" w:rsidRDefault="000D6DC7" w:rsidP="00D259D7">
      <w:pPr>
        <w:rPr>
          <w:rFonts w:ascii="Times New Roman" w:hAnsi="Times New Roman" w:cs="Times New Roman"/>
          <w:bCs/>
        </w:rPr>
      </w:pPr>
      <w:r w:rsidRPr="005E45BD">
        <w:rPr>
          <w:rFonts w:ascii="Times New Roman" w:hAnsi="Times New Roman" w:cs="Times New Roman"/>
          <w:bCs/>
        </w:rPr>
        <w:t xml:space="preserve">This section sets out the technical standard for a domestic digital </w:t>
      </w:r>
      <w:r w:rsidR="009C6A78" w:rsidRPr="005E45BD">
        <w:rPr>
          <w:rFonts w:ascii="Times New Roman" w:hAnsi="Times New Roman" w:cs="Times New Roman"/>
          <w:bCs/>
        </w:rPr>
        <w:t xml:space="preserve">television receiver, except where section 9 or 10 applies to the receiver. </w:t>
      </w:r>
      <w:r w:rsidR="00AF57E5" w:rsidRPr="005E45BD">
        <w:rPr>
          <w:rFonts w:ascii="Times New Roman" w:hAnsi="Times New Roman" w:cs="Times New Roman"/>
          <w:bCs/>
        </w:rPr>
        <w:t>It states that</w:t>
      </w:r>
      <w:r w:rsidR="00BC0699" w:rsidRPr="005E45BD">
        <w:rPr>
          <w:rFonts w:ascii="Times New Roman" w:hAnsi="Times New Roman" w:cs="Times New Roman"/>
          <w:bCs/>
        </w:rPr>
        <w:t xml:space="preserve"> the receiver must</w:t>
      </w:r>
      <w:r w:rsidR="00840695">
        <w:rPr>
          <w:rFonts w:ascii="Times New Roman" w:hAnsi="Times New Roman" w:cs="Times New Roman"/>
          <w:bCs/>
        </w:rPr>
        <w:t xml:space="preserve"> </w:t>
      </w:r>
      <w:r w:rsidR="00BC0699" w:rsidRPr="005E45BD">
        <w:rPr>
          <w:rFonts w:ascii="Times New Roman" w:hAnsi="Times New Roman" w:cs="Times New Roman"/>
          <w:bCs/>
        </w:rPr>
        <w:t xml:space="preserve">have parental lock capabilities </w:t>
      </w:r>
      <w:r w:rsidR="00DC3DC2" w:rsidRPr="005E45BD">
        <w:rPr>
          <w:rFonts w:ascii="Times New Roman" w:hAnsi="Times New Roman" w:cs="Times New Roman"/>
          <w:bCs/>
        </w:rPr>
        <w:t xml:space="preserve">and that </w:t>
      </w:r>
      <w:r w:rsidR="00BC0699" w:rsidRPr="005E45BD">
        <w:rPr>
          <w:rFonts w:ascii="Times New Roman" w:hAnsi="Times New Roman" w:cs="Times New Roman"/>
          <w:bCs/>
        </w:rPr>
        <w:t>those capabilities must be a</w:t>
      </w:r>
      <w:r w:rsidR="00D32C6E" w:rsidRPr="005E45BD">
        <w:rPr>
          <w:rFonts w:ascii="Times New Roman" w:hAnsi="Times New Roman" w:cs="Times New Roman"/>
          <w:bCs/>
        </w:rPr>
        <w:t xml:space="preserve">ble to identify the classification code applying to a </w:t>
      </w:r>
      <w:r w:rsidR="00DC3DC2" w:rsidRPr="005E45BD">
        <w:rPr>
          <w:rFonts w:ascii="Times New Roman" w:hAnsi="Times New Roman" w:cs="Times New Roman"/>
          <w:bCs/>
        </w:rPr>
        <w:t>television program or datacasting content</w:t>
      </w:r>
      <w:r w:rsidR="005E45BD" w:rsidRPr="005E45BD">
        <w:rPr>
          <w:rFonts w:ascii="Times New Roman" w:hAnsi="Times New Roman" w:cs="Times New Roman"/>
          <w:bCs/>
        </w:rPr>
        <w:t xml:space="preserve"> using the program classification information.</w:t>
      </w:r>
    </w:p>
    <w:p w14:paraId="74076B48" w14:textId="7F6AE346" w:rsidR="000E7C07" w:rsidRPr="005E45BD" w:rsidRDefault="00943D2E" w:rsidP="00D259D7">
      <w:pPr>
        <w:rPr>
          <w:rFonts w:ascii="Times New Roman" w:hAnsi="Times New Roman" w:cs="Times New Roman"/>
          <w:bCs/>
        </w:rPr>
      </w:pPr>
      <w:r>
        <w:rPr>
          <w:rFonts w:ascii="Times New Roman" w:hAnsi="Times New Roman" w:cs="Times New Roman"/>
          <w:bCs/>
        </w:rPr>
        <w:t xml:space="preserve">It also states that the parental lock capabilities </w:t>
      </w:r>
      <w:r w:rsidR="00427883">
        <w:rPr>
          <w:rFonts w:ascii="Times New Roman" w:hAnsi="Times New Roman" w:cs="Times New Roman"/>
          <w:bCs/>
        </w:rPr>
        <w:t>m</w:t>
      </w:r>
      <w:r>
        <w:rPr>
          <w:rFonts w:ascii="Times New Roman" w:hAnsi="Times New Roman" w:cs="Times New Roman"/>
          <w:bCs/>
        </w:rPr>
        <w:t xml:space="preserve">ust allow the user to </w:t>
      </w:r>
      <w:r w:rsidR="00427883">
        <w:rPr>
          <w:rFonts w:ascii="Times New Roman" w:hAnsi="Times New Roman" w:cs="Times New Roman"/>
          <w:bCs/>
        </w:rPr>
        <w:t>b</w:t>
      </w:r>
      <w:r>
        <w:rPr>
          <w:rFonts w:ascii="Times New Roman" w:hAnsi="Times New Roman" w:cs="Times New Roman"/>
          <w:bCs/>
        </w:rPr>
        <w:t xml:space="preserve">lock </w:t>
      </w:r>
      <w:r w:rsidR="00427883">
        <w:rPr>
          <w:rFonts w:ascii="Times New Roman" w:hAnsi="Times New Roman" w:cs="Times New Roman"/>
          <w:bCs/>
        </w:rPr>
        <w:t>television program</w:t>
      </w:r>
      <w:r w:rsidR="00C62D84">
        <w:rPr>
          <w:rFonts w:ascii="Times New Roman" w:hAnsi="Times New Roman" w:cs="Times New Roman"/>
          <w:bCs/>
        </w:rPr>
        <w:t>s</w:t>
      </w:r>
      <w:r w:rsidR="00427883">
        <w:rPr>
          <w:rFonts w:ascii="Times New Roman" w:hAnsi="Times New Roman" w:cs="Times New Roman"/>
          <w:bCs/>
        </w:rPr>
        <w:t xml:space="preserve"> or datacasting </w:t>
      </w:r>
      <w:r>
        <w:rPr>
          <w:rFonts w:ascii="Times New Roman" w:hAnsi="Times New Roman" w:cs="Times New Roman"/>
          <w:bCs/>
        </w:rPr>
        <w:t>content</w:t>
      </w:r>
      <w:r w:rsidR="004B5BCF">
        <w:rPr>
          <w:rFonts w:ascii="Times New Roman" w:hAnsi="Times New Roman" w:cs="Times New Roman"/>
          <w:bCs/>
        </w:rPr>
        <w:t xml:space="preserve"> by reference to </w:t>
      </w:r>
      <w:r w:rsidR="00C62D84">
        <w:rPr>
          <w:rFonts w:ascii="Times New Roman" w:hAnsi="Times New Roman" w:cs="Times New Roman"/>
          <w:bCs/>
        </w:rPr>
        <w:t xml:space="preserve">certain </w:t>
      </w:r>
      <w:r w:rsidR="004B5BCF">
        <w:rPr>
          <w:rFonts w:ascii="Times New Roman" w:hAnsi="Times New Roman" w:cs="Times New Roman"/>
          <w:bCs/>
        </w:rPr>
        <w:t>classification codes</w:t>
      </w:r>
      <w:r w:rsidR="00427883">
        <w:rPr>
          <w:rFonts w:ascii="Times New Roman" w:hAnsi="Times New Roman" w:cs="Times New Roman"/>
          <w:bCs/>
        </w:rPr>
        <w:t>.</w:t>
      </w:r>
      <w:r w:rsidR="004B5BCF">
        <w:rPr>
          <w:rFonts w:ascii="Times New Roman" w:hAnsi="Times New Roman" w:cs="Times New Roman"/>
          <w:bCs/>
        </w:rPr>
        <w:t xml:space="preserve"> At the time the instrument was made, the classification codes were those set out in relevant codes of practice </w:t>
      </w:r>
      <w:r w:rsidR="00605019">
        <w:rPr>
          <w:rFonts w:ascii="Times New Roman" w:hAnsi="Times New Roman" w:cs="Times New Roman"/>
          <w:bCs/>
        </w:rPr>
        <w:t>registered under Part 9 of the Act</w:t>
      </w:r>
      <w:r w:rsidR="00F02D64">
        <w:rPr>
          <w:rFonts w:ascii="Times New Roman" w:hAnsi="Times New Roman" w:cs="Times New Roman"/>
          <w:bCs/>
        </w:rPr>
        <w:t>, or under legislation relating to national broadcasters</w:t>
      </w:r>
      <w:r w:rsidR="00605019">
        <w:rPr>
          <w:rFonts w:ascii="Times New Roman" w:hAnsi="Times New Roman" w:cs="Times New Roman"/>
          <w:bCs/>
        </w:rPr>
        <w:t>.</w:t>
      </w:r>
    </w:p>
    <w:p w14:paraId="4805863B" w14:textId="3A8EC593" w:rsidR="00427883" w:rsidRDefault="00427883" w:rsidP="00427883">
      <w:pPr>
        <w:rPr>
          <w:rFonts w:ascii="Times New Roman" w:hAnsi="Times New Roman" w:cs="Times New Roman"/>
          <w:b/>
        </w:rPr>
      </w:pPr>
      <w:r w:rsidRPr="00D259D7">
        <w:rPr>
          <w:rFonts w:ascii="Times New Roman" w:hAnsi="Times New Roman" w:cs="Times New Roman"/>
          <w:b/>
        </w:rPr>
        <w:lastRenderedPageBreak/>
        <w:t xml:space="preserve">Section </w:t>
      </w:r>
      <w:r>
        <w:rPr>
          <w:rFonts w:ascii="Times New Roman" w:hAnsi="Times New Roman" w:cs="Times New Roman"/>
          <w:b/>
        </w:rPr>
        <w:t>9</w:t>
      </w:r>
      <w:r w:rsidRPr="00D259D7">
        <w:rPr>
          <w:rFonts w:ascii="Times New Roman" w:hAnsi="Times New Roman" w:cs="Times New Roman"/>
          <w:b/>
        </w:rPr>
        <w:tab/>
      </w:r>
      <w:r>
        <w:rPr>
          <w:rFonts w:ascii="Times New Roman" w:hAnsi="Times New Roman" w:cs="Times New Roman"/>
          <w:b/>
        </w:rPr>
        <w:t>Standard – domestic digital television receiver (modulation reception equipment)</w:t>
      </w:r>
    </w:p>
    <w:p w14:paraId="7505A3BA" w14:textId="68FA94DB" w:rsidR="00D259D7" w:rsidRDefault="0063395F" w:rsidP="00D259D7">
      <w:pPr>
        <w:rPr>
          <w:rFonts w:ascii="Times New Roman" w:hAnsi="Times New Roman" w:cs="Times New Roman"/>
          <w:bCs/>
        </w:rPr>
      </w:pPr>
      <w:r w:rsidRPr="005E45BD">
        <w:rPr>
          <w:rFonts w:ascii="Times New Roman" w:hAnsi="Times New Roman" w:cs="Times New Roman"/>
          <w:bCs/>
        </w:rPr>
        <w:t>This section sets out the technical standard for a domestic digital television receiver</w:t>
      </w:r>
      <w:r w:rsidR="00F92C4D">
        <w:rPr>
          <w:rFonts w:ascii="Times New Roman" w:hAnsi="Times New Roman" w:cs="Times New Roman"/>
          <w:bCs/>
        </w:rPr>
        <w:t xml:space="preserve"> that can operate to show a television program or datacasting content only if used with another device and cannot </w:t>
      </w:r>
      <w:r w:rsidR="00F23978">
        <w:rPr>
          <w:rFonts w:ascii="Times New Roman" w:hAnsi="Times New Roman" w:cs="Times New Roman"/>
          <w:bCs/>
        </w:rPr>
        <w:t>be connected to an electricity system other than</w:t>
      </w:r>
      <w:r w:rsidR="00357F92">
        <w:rPr>
          <w:rFonts w:ascii="Times New Roman" w:hAnsi="Times New Roman" w:cs="Times New Roman"/>
          <w:bCs/>
        </w:rPr>
        <w:t xml:space="preserve"> when used with another device. It </w:t>
      </w:r>
      <w:r w:rsidR="000A4C9A">
        <w:rPr>
          <w:rFonts w:ascii="Times New Roman" w:hAnsi="Times New Roman" w:cs="Times New Roman"/>
          <w:bCs/>
        </w:rPr>
        <w:t>stat</w:t>
      </w:r>
      <w:r w:rsidR="00357F92">
        <w:rPr>
          <w:rFonts w:ascii="Times New Roman" w:hAnsi="Times New Roman" w:cs="Times New Roman"/>
          <w:bCs/>
        </w:rPr>
        <w:t>es that when such a receiver is supplied with software and operates a</w:t>
      </w:r>
      <w:r w:rsidR="002C2DB7">
        <w:rPr>
          <w:rFonts w:ascii="Times New Roman" w:hAnsi="Times New Roman" w:cs="Times New Roman"/>
          <w:bCs/>
        </w:rPr>
        <w:t xml:space="preserve">s a domestic digital television receiver using that software, it </w:t>
      </w:r>
      <w:r w:rsidR="002C2DB7" w:rsidRPr="005E45BD">
        <w:rPr>
          <w:rFonts w:ascii="Times New Roman" w:hAnsi="Times New Roman" w:cs="Times New Roman"/>
          <w:bCs/>
        </w:rPr>
        <w:t>must have parental lock capabilities, and that those capabilities must be able to identify the classification code applying to a television program or datacasting content using the program classification information.</w:t>
      </w:r>
    </w:p>
    <w:p w14:paraId="6BA48AAE" w14:textId="01B05D93" w:rsidR="00B4340C" w:rsidRPr="005E45BD" w:rsidRDefault="00B4340C" w:rsidP="00B4340C">
      <w:pPr>
        <w:rPr>
          <w:rFonts w:ascii="Times New Roman" w:hAnsi="Times New Roman" w:cs="Times New Roman"/>
          <w:bCs/>
        </w:rPr>
      </w:pPr>
      <w:r>
        <w:rPr>
          <w:rFonts w:ascii="Times New Roman" w:hAnsi="Times New Roman" w:cs="Times New Roman"/>
          <w:bCs/>
        </w:rPr>
        <w:t>It also states that the parental lock capabilities must allow the user to block television program</w:t>
      </w:r>
      <w:r w:rsidR="00C62D84">
        <w:rPr>
          <w:rFonts w:ascii="Times New Roman" w:hAnsi="Times New Roman" w:cs="Times New Roman"/>
          <w:bCs/>
        </w:rPr>
        <w:t>s</w:t>
      </w:r>
      <w:r>
        <w:rPr>
          <w:rFonts w:ascii="Times New Roman" w:hAnsi="Times New Roman" w:cs="Times New Roman"/>
          <w:bCs/>
        </w:rPr>
        <w:t xml:space="preserve"> or datacasting content </w:t>
      </w:r>
      <w:r w:rsidR="009D4E7B">
        <w:rPr>
          <w:rFonts w:ascii="Times New Roman" w:hAnsi="Times New Roman" w:cs="Times New Roman"/>
          <w:bCs/>
        </w:rPr>
        <w:t xml:space="preserve">by reference to </w:t>
      </w:r>
      <w:r w:rsidR="00C62D84">
        <w:rPr>
          <w:rFonts w:ascii="Times New Roman" w:hAnsi="Times New Roman" w:cs="Times New Roman"/>
          <w:bCs/>
        </w:rPr>
        <w:t xml:space="preserve">certain </w:t>
      </w:r>
      <w:r w:rsidR="009D4E7B">
        <w:rPr>
          <w:rFonts w:ascii="Times New Roman" w:hAnsi="Times New Roman" w:cs="Times New Roman"/>
          <w:bCs/>
        </w:rPr>
        <w:t>classification codes. At the time the instrument was made, the classification codes were those set out in relevant codes of practice registered under Part 9 of the Act, or under legislation relating to national broadcasters.</w:t>
      </w:r>
    </w:p>
    <w:p w14:paraId="73629E30" w14:textId="337A4C02" w:rsidR="00696D9D" w:rsidRDefault="00696D9D" w:rsidP="00696D9D">
      <w:pPr>
        <w:rPr>
          <w:rFonts w:ascii="Times New Roman" w:hAnsi="Times New Roman" w:cs="Times New Roman"/>
          <w:b/>
        </w:rPr>
      </w:pPr>
      <w:r w:rsidRPr="00D259D7">
        <w:rPr>
          <w:rFonts w:ascii="Times New Roman" w:hAnsi="Times New Roman" w:cs="Times New Roman"/>
          <w:b/>
        </w:rPr>
        <w:t xml:space="preserve">Section </w:t>
      </w:r>
      <w:r>
        <w:rPr>
          <w:rFonts w:ascii="Times New Roman" w:hAnsi="Times New Roman" w:cs="Times New Roman"/>
          <w:b/>
        </w:rPr>
        <w:t>10</w:t>
      </w:r>
      <w:r w:rsidRPr="00D259D7">
        <w:rPr>
          <w:rFonts w:ascii="Times New Roman" w:hAnsi="Times New Roman" w:cs="Times New Roman"/>
          <w:b/>
        </w:rPr>
        <w:tab/>
      </w:r>
      <w:r>
        <w:rPr>
          <w:rFonts w:ascii="Times New Roman" w:hAnsi="Times New Roman" w:cs="Times New Roman"/>
          <w:b/>
        </w:rPr>
        <w:t>Standard – domestic digital television receiver (amplifiers and distribution devices)</w:t>
      </w:r>
    </w:p>
    <w:p w14:paraId="0FBF1F0E" w14:textId="77777777" w:rsidR="00B538ED" w:rsidRDefault="00012BEC" w:rsidP="004C58B9">
      <w:pPr>
        <w:rPr>
          <w:rFonts w:ascii="Times New Roman" w:hAnsi="Times New Roman" w:cs="Times New Roman"/>
          <w:bCs/>
        </w:rPr>
      </w:pPr>
      <w:r w:rsidRPr="005E45BD">
        <w:rPr>
          <w:rFonts w:ascii="Times New Roman" w:hAnsi="Times New Roman" w:cs="Times New Roman"/>
          <w:bCs/>
        </w:rPr>
        <w:t>This section sets out the technical standard for a domestic digital television receiver</w:t>
      </w:r>
      <w:r>
        <w:rPr>
          <w:rFonts w:ascii="Times New Roman" w:hAnsi="Times New Roman" w:cs="Times New Roman"/>
          <w:bCs/>
        </w:rPr>
        <w:t xml:space="preserve"> that</w:t>
      </w:r>
      <w:r w:rsidR="00B538ED">
        <w:rPr>
          <w:rFonts w:ascii="Times New Roman" w:hAnsi="Times New Roman" w:cs="Times New Roman"/>
          <w:bCs/>
        </w:rPr>
        <w:t>:</w:t>
      </w:r>
    </w:p>
    <w:p w14:paraId="57E6F0EF" w14:textId="198226F1" w:rsidR="00427883" w:rsidRPr="00BE2335" w:rsidRDefault="00012BEC" w:rsidP="00BE2335">
      <w:pPr>
        <w:pStyle w:val="ListParagraph"/>
        <w:numPr>
          <w:ilvl w:val="0"/>
          <w:numId w:val="23"/>
        </w:numPr>
        <w:rPr>
          <w:rFonts w:ascii="Times New Roman" w:hAnsi="Times New Roman" w:cs="Times New Roman"/>
          <w:bCs/>
        </w:rPr>
      </w:pPr>
      <w:r w:rsidRPr="00BE2335">
        <w:rPr>
          <w:rFonts w:ascii="Times New Roman" w:hAnsi="Times New Roman" w:cs="Times New Roman"/>
          <w:bCs/>
        </w:rPr>
        <w:t>is an amplifier or distribution device</w:t>
      </w:r>
      <w:r w:rsidR="00C725F9" w:rsidRPr="00BE2335">
        <w:rPr>
          <w:rFonts w:ascii="Times New Roman" w:hAnsi="Times New Roman" w:cs="Times New Roman"/>
          <w:bCs/>
        </w:rPr>
        <w:t xml:space="preserve"> used in the installation of antenna systems</w:t>
      </w:r>
      <w:r w:rsidR="00A52341" w:rsidRPr="00BE2335">
        <w:rPr>
          <w:rFonts w:ascii="Times New Roman" w:hAnsi="Times New Roman" w:cs="Times New Roman"/>
          <w:bCs/>
        </w:rPr>
        <w:t xml:space="preserve"> supporting reception of broadcasting services, datacasting services or both</w:t>
      </w:r>
      <w:r w:rsidR="00172470" w:rsidRPr="00BE2335">
        <w:rPr>
          <w:rFonts w:ascii="Times New Roman" w:hAnsi="Times New Roman" w:cs="Times New Roman"/>
          <w:bCs/>
        </w:rPr>
        <w:t>;</w:t>
      </w:r>
    </w:p>
    <w:p w14:paraId="311CA133" w14:textId="29751901" w:rsidR="00172470" w:rsidRPr="00BE2335" w:rsidRDefault="00172470" w:rsidP="00BE2335">
      <w:pPr>
        <w:pStyle w:val="ListParagraph"/>
        <w:numPr>
          <w:ilvl w:val="0"/>
          <w:numId w:val="23"/>
        </w:numPr>
        <w:rPr>
          <w:rFonts w:ascii="Times New Roman" w:hAnsi="Times New Roman" w:cs="Times New Roman"/>
          <w:bCs/>
        </w:rPr>
      </w:pPr>
      <w:r w:rsidRPr="00BE2335">
        <w:rPr>
          <w:rFonts w:ascii="Times New Roman" w:hAnsi="Times New Roman" w:cs="Times New Roman"/>
          <w:bCs/>
        </w:rPr>
        <w:t>can receive a service using coded orthog</w:t>
      </w:r>
      <w:r w:rsidR="00946665" w:rsidRPr="00BE2335">
        <w:rPr>
          <w:rFonts w:ascii="Times New Roman" w:hAnsi="Times New Roman" w:cs="Times New Roman"/>
          <w:bCs/>
        </w:rPr>
        <w:t>ona</w:t>
      </w:r>
      <w:r w:rsidRPr="00BE2335">
        <w:rPr>
          <w:rFonts w:ascii="Times New Roman" w:hAnsi="Times New Roman" w:cs="Times New Roman"/>
          <w:bCs/>
        </w:rPr>
        <w:t>l frequency-division multiplex</w:t>
      </w:r>
      <w:r w:rsidR="00946665" w:rsidRPr="00BE2335">
        <w:rPr>
          <w:rFonts w:ascii="Times New Roman" w:hAnsi="Times New Roman" w:cs="Times New Roman"/>
          <w:bCs/>
        </w:rPr>
        <w:t>ing, using one of the specified techniques</w:t>
      </w:r>
      <w:r w:rsidR="00463162" w:rsidRPr="00BE2335">
        <w:rPr>
          <w:rFonts w:ascii="Times New Roman" w:hAnsi="Times New Roman" w:cs="Times New Roman"/>
          <w:bCs/>
        </w:rPr>
        <w:t>;</w:t>
      </w:r>
    </w:p>
    <w:p w14:paraId="3386CEF0" w14:textId="6F8E1EAA" w:rsidR="003F569C" w:rsidRPr="00BE2335" w:rsidRDefault="00EF2EB4" w:rsidP="00BE2335">
      <w:pPr>
        <w:pStyle w:val="ListParagraph"/>
        <w:numPr>
          <w:ilvl w:val="0"/>
          <w:numId w:val="23"/>
        </w:numPr>
        <w:rPr>
          <w:rFonts w:ascii="Times New Roman" w:hAnsi="Times New Roman" w:cs="Times New Roman"/>
          <w:bCs/>
        </w:rPr>
      </w:pPr>
      <w:r>
        <w:rPr>
          <w:rFonts w:ascii="Times New Roman" w:hAnsi="Times New Roman" w:cs="Times New Roman"/>
          <w:bCs/>
        </w:rPr>
        <w:t>i</w:t>
      </w:r>
      <w:r w:rsidR="003F569C" w:rsidRPr="00BE2335">
        <w:rPr>
          <w:rFonts w:ascii="Times New Roman" w:hAnsi="Times New Roman" w:cs="Times New Roman"/>
          <w:bCs/>
        </w:rPr>
        <w:t>s designed to demodulate or decode a service and then re</w:t>
      </w:r>
      <w:r w:rsidR="00463162" w:rsidRPr="00BE2335">
        <w:rPr>
          <w:rFonts w:ascii="Times New Roman" w:hAnsi="Times New Roman" w:cs="Times New Roman"/>
          <w:bCs/>
        </w:rPr>
        <w:t>modulate or re-encode the service;</w:t>
      </w:r>
    </w:p>
    <w:p w14:paraId="67A3183F" w14:textId="133EEDB8" w:rsidR="008B3095" w:rsidRPr="00BE2335" w:rsidRDefault="00EF2EB4" w:rsidP="00BE2335">
      <w:pPr>
        <w:pStyle w:val="ListParagraph"/>
        <w:numPr>
          <w:ilvl w:val="0"/>
          <w:numId w:val="23"/>
        </w:numPr>
        <w:rPr>
          <w:rFonts w:ascii="Times New Roman" w:hAnsi="Times New Roman" w:cs="Times New Roman"/>
          <w:b/>
        </w:rPr>
      </w:pPr>
      <w:r>
        <w:rPr>
          <w:rFonts w:ascii="Times New Roman" w:hAnsi="Times New Roman" w:cs="Times New Roman"/>
          <w:bCs/>
        </w:rPr>
        <w:t>i</w:t>
      </w:r>
      <w:r w:rsidR="008B3095" w:rsidRPr="00BE2335">
        <w:rPr>
          <w:rFonts w:ascii="Times New Roman" w:hAnsi="Times New Roman" w:cs="Times New Roman"/>
          <w:bCs/>
        </w:rPr>
        <w:t>s designed to use coded orthogonal frequency-division multiplexing</w:t>
      </w:r>
      <w:r w:rsidR="00851244" w:rsidRPr="00BE2335">
        <w:rPr>
          <w:rFonts w:ascii="Times New Roman" w:hAnsi="Times New Roman" w:cs="Times New Roman"/>
          <w:bCs/>
        </w:rPr>
        <w:t xml:space="preserve"> to distribute the service to one or more other domestic digital television receivers connected to the amplifier or distribution device</w:t>
      </w:r>
      <w:r w:rsidR="00473040" w:rsidRPr="00BE2335">
        <w:rPr>
          <w:rFonts w:ascii="Times New Roman" w:hAnsi="Times New Roman" w:cs="Times New Roman"/>
          <w:bCs/>
        </w:rPr>
        <w:t>, which uses either of the specified modulation techniques to receive the service.</w:t>
      </w:r>
    </w:p>
    <w:p w14:paraId="30976DE1" w14:textId="5DDB10C9" w:rsidR="00BE2335" w:rsidRDefault="006C7ABD" w:rsidP="00BE2335">
      <w:pPr>
        <w:rPr>
          <w:rFonts w:ascii="Times New Roman" w:hAnsi="Times New Roman" w:cs="Times New Roman"/>
          <w:bCs/>
        </w:rPr>
      </w:pPr>
      <w:r>
        <w:rPr>
          <w:rFonts w:ascii="Times New Roman" w:hAnsi="Times New Roman" w:cs="Times New Roman"/>
          <w:bCs/>
        </w:rPr>
        <w:t>It states that the</w:t>
      </w:r>
      <w:r w:rsidR="00CA41B8" w:rsidRPr="009B28EB">
        <w:rPr>
          <w:rFonts w:ascii="Times New Roman" w:hAnsi="Times New Roman" w:cs="Times New Roman"/>
          <w:bCs/>
        </w:rPr>
        <w:t xml:space="preserve"> amplifier or distribution service must include in the distributed service the program classification information necessary to enable </w:t>
      </w:r>
      <w:r w:rsidR="009B28EB" w:rsidRPr="009B28EB">
        <w:rPr>
          <w:rFonts w:ascii="Times New Roman" w:hAnsi="Times New Roman" w:cs="Times New Roman"/>
          <w:bCs/>
        </w:rPr>
        <w:t xml:space="preserve">parental lock capabilities to operate </w:t>
      </w:r>
      <w:r>
        <w:rPr>
          <w:rFonts w:ascii="Times New Roman" w:hAnsi="Times New Roman" w:cs="Times New Roman"/>
          <w:bCs/>
        </w:rPr>
        <w:t>in</w:t>
      </w:r>
      <w:r w:rsidR="009B28EB" w:rsidRPr="009B28EB">
        <w:rPr>
          <w:rFonts w:ascii="Times New Roman" w:hAnsi="Times New Roman" w:cs="Times New Roman"/>
          <w:bCs/>
        </w:rPr>
        <w:t xml:space="preserve"> the connected receivers.</w:t>
      </w:r>
    </w:p>
    <w:p w14:paraId="37E200A7" w14:textId="1122BF74" w:rsidR="00152E15" w:rsidRDefault="00152E15" w:rsidP="00152E15">
      <w:pPr>
        <w:rPr>
          <w:rFonts w:ascii="Times New Roman" w:hAnsi="Times New Roman" w:cs="Times New Roman"/>
          <w:b/>
        </w:rPr>
      </w:pPr>
      <w:r w:rsidRPr="00D259D7">
        <w:rPr>
          <w:rFonts w:ascii="Times New Roman" w:hAnsi="Times New Roman" w:cs="Times New Roman"/>
          <w:b/>
        </w:rPr>
        <w:t xml:space="preserve">Section </w:t>
      </w:r>
      <w:r>
        <w:rPr>
          <w:rFonts w:ascii="Times New Roman" w:hAnsi="Times New Roman" w:cs="Times New Roman"/>
          <w:b/>
        </w:rPr>
        <w:t>11</w:t>
      </w:r>
      <w:r w:rsidRPr="00D259D7">
        <w:rPr>
          <w:rFonts w:ascii="Times New Roman" w:hAnsi="Times New Roman" w:cs="Times New Roman"/>
          <w:b/>
        </w:rPr>
        <w:tab/>
      </w:r>
      <w:r>
        <w:rPr>
          <w:rFonts w:ascii="Times New Roman" w:hAnsi="Times New Roman" w:cs="Times New Roman"/>
          <w:b/>
        </w:rPr>
        <w:t>Exemptions</w:t>
      </w:r>
    </w:p>
    <w:p w14:paraId="112957B9" w14:textId="051E4B4A" w:rsidR="009F2D95" w:rsidRDefault="00E65E72" w:rsidP="004C58B9">
      <w:pPr>
        <w:rPr>
          <w:rFonts w:ascii="Times New Roman" w:hAnsi="Times New Roman" w:cs="Times New Roman"/>
          <w:b/>
        </w:rPr>
      </w:pPr>
      <w:r w:rsidRPr="00F04C5B">
        <w:rPr>
          <w:rFonts w:ascii="Times New Roman" w:hAnsi="Times New Roman" w:cs="Times New Roman"/>
          <w:bCs/>
        </w:rPr>
        <w:t>This section</w:t>
      </w:r>
      <w:r w:rsidR="00EE7CD9" w:rsidRPr="00F04C5B">
        <w:rPr>
          <w:rFonts w:ascii="Times New Roman" w:hAnsi="Times New Roman" w:cs="Times New Roman"/>
          <w:bCs/>
        </w:rPr>
        <w:t xml:space="preserve"> </w:t>
      </w:r>
      <w:r w:rsidR="00AF591A">
        <w:rPr>
          <w:rFonts w:ascii="Times New Roman" w:hAnsi="Times New Roman" w:cs="Times New Roman"/>
          <w:bCs/>
        </w:rPr>
        <w:t>sets out in a table</w:t>
      </w:r>
      <w:r w:rsidR="00EE7CD9" w:rsidRPr="00F04C5B">
        <w:rPr>
          <w:rFonts w:ascii="Times New Roman" w:hAnsi="Times New Roman" w:cs="Times New Roman"/>
          <w:bCs/>
        </w:rPr>
        <w:t xml:space="preserve"> </w:t>
      </w:r>
      <w:r w:rsidR="00A7568D" w:rsidRPr="00F04C5B">
        <w:rPr>
          <w:rFonts w:ascii="Times New Roman" w:hAnsi="Times New Roman" w:cs="Times New Roman"/>
          <w:bCs/>
        </w:rPr>
        <w:t xml:space="preserve">domestic reception equipment </w:t>
      </w:r>
      <w:r w:rsidR="00E10FE0" w:rsidRPr="00F04C5B">
        <w:rPr>
          <w:rFonts w:ascii="Times New Roman" w:hAnsi="Times New Roman" w:cs="Times New Roman"/>
          <w:bCs/>
        </w:rPr>
        <w:t xml:space="preserve">that is exempt </w:t>
      </w:r>
      <w:r w:rsidR="00F04C5B" w:rsidRPr="00F04C5B">
        <w:rPr>
          <w:rFonts w:ascii="Times New Roman" w:hAnsi="Times New Roman" w:cs="Times New Roman"/>
          <w:bCs/>
        </w:rPr>
        <w:t>in relation to this</w:t>
      </w:r>
      <w:r w:rsidR="00E10FE0" w:rsidRPr="00F04C5B">
        <w:rPr>
          <w:rFonts w:ascii="Times New Roman" w:hAnsi="Times New Roman" w:cs="Times New Roman"/>
          <w:bCs/>
        </w:rPr>
        <w:t xml:space="preserve"> instrument </w:t>
      </w:r>
      <w:r w:rsidR="00F04C5B" w:rsidRPr="00F04C5B">
        <w:rPr>
          <w:rFonts w:ascii="Times New Roman" w:hAnsi="Times New Roman" w:cs="Times New Roman"/>
          <w:bCs/>
        </w:rPr>
        <w:t>from subsections 130B(2) and 130B(3) of the Act</w:t>
      </w:r>
      <w:r w:rsidR="00534986">
        <w:rPr>
          <w:rFonts w:ascii="Times New Roman" w:hAnsi="Times New Roman" w:cs="Times New Roman"/>
          <w:bCs/>
        </w:rPr>
        <w:t>, as allowed under</w:t>
      </w:r>
      <w:r w:rsidR="000245F6">
        <w:rPr>
          <w:rFonts w:ascii="Times New Roman" w:hAnsi="Times New Roman" w:cs="Times New Roman"/>
          <w:bCs/>
        </w:rPr>
        <w:t xml:space="preserve"> subsection 130B(7) of the Act.</w:t>
      </w:r>
      <w:r w:rsidR="00B7799E">
        <w:rPr>
          <w:rFonts w:ascii="Times New Roman" w:hAnsi="Times New Roman" w:cs="Times New Roman"/>
          <w:bCs/>
        </w:rPr>
        <w:t xml:space="preserve"> A domestic digital television receiver that was first supplied before the 2010 Standard applied (and was</w:t>
      </w:r>
      <w:r w:rsidR="00C52345">
        <w:rPr>
          <w:rFonts w:ascii="Times New Roman" w:hAnsi="Times New Roman" w:cs="Times New Roman"/>
          <w:bCs/>
        </w:rPr>
        <w:t>,</w:t>
      </w:r>
      <w:r w:rsidR="00B7799E">
        <w:rPr>
          <w:rFonts w:ascii="Times New Roman" w:hAnsi="Times New Roman" w:cs="Times New Roman"/>
          <w:bCs/>
        </w:rPr>
        <w:t xml:space="preserve"> therefore</w:t>
      </w:r>
      <w:r w:rsidR="00C52345">
        <w:rPr>
          <w:rFonts w:ascii="Times New Roman" w:hAnsi="Times New Roman" w:cs="Times New Roman"/>
          <w:bCs/>
        </w:rPr>
        <w:t>,</w:t>
      </w:r>
      <w:r w:rsidR="00B7799E">
        <w:rPr>
          <w:rFonts w:ascii="Times New Roman" w:hAnsi="Times New Roman" w:cs="Times New Roman"/>
          <w:bCs/>
        </w:rPr>
        <w:t xml:space="preserve"> never subject to the 2010 Standard) is exempt, as is a domestic digital television receiver that is imported into Australia for the sole purpose of being exported (and will</w:t>
      </w:r>
      <w:r w:rsidR="009A6824">
        <w:rPr>
          <w:rFonts w:ascii="Times New Roman" w:hAnsi="Times New Roman" w:cs="Times New Roman"/>
          <w:bCs/>
        </w:rPr>
        <w:t>,</w:t>
      </w:r>
      <w:r w:rsidR="00B7799E">
        <w:rPr>
          <w:rFonts w:ascii="Times New Roman" w:hAnsi="Times New Roman" w:cs="Times New Roman"/>
          <w:bCs/>
        </w:rPr>
        <w:t xml:space="preserve"> therefore</w:t>
      </w:r>
      <w:r w:rsidR="009A6824">
        <w:rPr>
          <w:rFonts w:ascii="Times New Roman" w:hAnsi="Times New Roman" w:cs="Times New Roman"/>
          <w:bCs/>
        </w:rPr>
        <w:t>,</w:t>
      </w:r>
      <w:r w:rsidR="00B7799E">
        <w:rPr>
          <w:rFonts w:ascii="Times New Roman" w:hAnsi="Times New Roman" w:cs="Times New Roman"/>
          <w:bCs/>
        </w:rPr>
        <w:t xml:space="preserve"> not be supplied to the public for use in Australia).</w:t>
      </w:r>
    </w:p>
    <w:sectPr w:rsidR="009F2D95" w:rsidSect="00082354">
      <w:headerReference w:type="default" r:id="rId14"/>
      <w:footerReference w:type="defaul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55D143" w14:textId="77777777" w:rsidR="00157580" w:rsidRDefault="00157580" w:rsidP="00025ACE">
      <w:pPr>
        <w:spacing w:after="0" w:line="240" w:lineRule="auto"/>
      </w:pPr>
      <w:r>
        <w:separator/>
      </w:r>
    </w:p>
  </w:endnote>
  <w:endnote w:type="continuationSeparator" w:id="0">
    <w:p w14:paraId="5948A5A4" w14:textId="77777777" w:rsidR="00157580" w:rsidRDefault="00157580" w:rsidP="00025A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NeueLT Std Lt">
    <w:altName w:val="Times New Roman"/>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4710804"/>
      <w:docPartObj>
        <w:docPartGallery w:val="Page Numbers (Bottom of Page)"/>
        <w:docPartUnique/>
      </w:docPartObj>
    </w:sdtPr>
    <w:sdtEndPr>
      <w:rPr>
        <w:i/>
        <w:noProof/>
      </w:rPr>
    </w:sdtEndPr>
    <w:sdtContent>
      <w:p w14:paraId="7A9CDA51" w14:textId="62ACD902" w:rsidR="00AD3414" w:rsidRPr="00AD3414" w:rsidRDefault="00AD3414" w:rsidP="00997A29">
        <w:pPr>
          <w:pStyle w:val="Footer"/>
          <w:pBdr>
            <w:top w:val="single" w:sz="4" w:space="1" w:color="auto"/>
          </w:pBdr>
          <w:jc w:val="center"/>
          <w:rPr>
            <w:rFonts w:ascii="Times New Roman" w:hAnsi="Times New Roman" w:cs="Times New Roman"/>
          </w:rPr>
        </w:pPr>
        <w:r w:rsidRPr="00AD3414">
          <w:rPr>
            <w:rFonts w:ascii="Times New Roman" w:hAnsi="Times New Roman" w:cs="Times New Roman"/>
            <w:i/>
          </w:rPr>
          <w:t>Explanatory Statement to the</w:t>
        </w:r>
        <w:r w:rsidRPr="00AD3414">
          <w:rPr>
            <w:rFonts w:ascii="Times New Roman" w:hAnsi="Times New Roman" w:cs="Times New Roman"/>
          </w:rPr>
          <w:t xml:space="preserve"> </w:t>
        </w:r>
        <w:r w:rsidR="00EF2EB4">
          <w:rPr>
            <w:rFonts w:ascii="Times New Roman" w:hAnsi="Times New Roman" w:cs="Times New Roman"/>
            <w:i/>
          </w:rPr>
          <w:t>Broadcasting Services (Parental Lock) Technical Standard 2020</w:t>
        </w:r>
      </w:p>
      <w:p w14:paraId="556B0C98" w14:textId="77777777" w:rsidR="00AD3414" w:rsidRDefault="00AD3414">
        <w:pPr>
          <w:pStyle w:val="Footer"/>
          <w:jc w:val="right"/>
        </w:pPr>
      </w:p>
      <w:p w14:paraId="4E36910F" w14:textId="06CF02C2" w:rsidR="00025ACE" w:rsidRPr="00AD3414" w:rsidRDefault="00025ACE">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D23BD5">
          <w:rPr>
            <w:rFonts w:ascii="Times New Roman" w:hAnsi="Times New Roman" w:cs="Times New Roman"/>
            <w:i/>
            <w:noProof/>
          </w:rPr>
          <w:t>6</w:t>
        </w:r>
        <w:r w:rsidRPr="00A07A2F">
          <w:rPr>
            <w:rFonts w:ascii="Times New Roman" w:hAnsi="Times New Roman" w:cs="Times New Roman"/>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195934" w14:textId="77777777" w:rsidR="00157580" w:rsidRDefault="00157580" w:rsidP="00025ACE">
      <w:pPr>
        <w:spacing w:after="0" w:line="240" w:lineRule="auto"/>
      </w:pPr>
      <w:r>
        <w:separator/>
      </w:r>
    </w:p>
  </w:footnote>
  <w:footnote w:type="continuationSeparator" w:id="0">
    <w:p w14:paraId="055B6027" w14:textId="77777777" w:rsidR="00157580" w:rsidRDefault="00157580" w:rsidP="00025A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534CED" w14:textId="77777777" w:rsidR="00025ACE" w:rsidRDefault="00025ACE">
    <w:pPr>
      <w:pStyle w:val="Header"/>
    </w:pPr>
  </w:p>
  <w:p w14:paraId="1FE48E17" w14:textId="77777777" w:rsidR="00025ACE" w:rsidRPr="00AD3414" w:rsidRDefault="00025ACE">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598811E"/>
    <w:lvl w:ilvl="0">
      <w:start w:val="1"/>
      <w:numFmt w:val="bullet"/>
      <w:pStyle w:val="ListBullet"/>
      <w:lvlText w:val="&gt;"/>
      <w:lvlJc w:val="left"/>
      <w:pPr>
        <w:tabs>
          <w:tab w:val="num" w:pos="295"/>
        </w:tabs>
        <w:ind w:left="295" w:hanging="295"/>
      </w:pPr>
      <w:rPr>
        <w:rFonts w:ascii="HelveticaNeueLT Std Lt" w:hAnsi="HelveticaNeueLT Std Lt" w:hint="default"/>
        <w:sz w:val="20"/>
      </w:rPr>
    </w:lvl>
  </w:abstractNum>
  <w:abstractNum w:abstractNumId="1" w15:restartNumberingAfterBreak="0">
    <w:nsid w:val="05860412"/>
    <w:multiLevelType w:val="hybridMultilevel"/>
    <w:tmpl w:val="9B3AB098"/>
    <w:lvl w:ilvl="0" w:tplc="ABB0ED9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2"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F46B9"/>
    <w:multiLevelType w:val="hybridMultilevel"/>
    <w:tmpl w:val="97AE9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55A759D"/>
    <w:multiLevelType w:val="hybridMultilevel"/>
    <w:tmpl w:val="91760058"/>
    <w:lvl w:ilvl="0" w:tplc="ABB0ED9C">
      <w:start w:val="1"/>
      <w:numFmt w:val="bullet"/>
      <w:lvlText w:val="&gt;"/>
      <w:lvlJc w:val="left"/>
      <w:pPr>
        <w:ind w:left="360" w:hanging="360"/>
      </w:pPr>
      <w:rPr>
        <w:rFonts w:ascii="Arial" w:hAnsi="Aria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AA0797C"/>
    <w:multiLevelType w:val="hybridMultilevel"/>
    <w:tmpl w:val="CF1AC3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5B80783C"/>
    <w:multiLevelType w:val="hybridMultilevel"/>
    <w:tmpl w:val="D638C72E"/>
    <w:lvl w:ilvl="0" w:tplc="ABB0ED9C">
      <w:start w:val="1"/>
      <w:numFmt w:val="bullet"/>
      <w:lvlText w:val="&gt;"/>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cs="Wingdings" w:hint="default"/>
      </w:rPr>
    </w:lvl>
    <w:lvl w:ilvl="3" w:tplc="0C090001" w:tentative="1">
      <w:start w:val="1"/>
      <w:numFmt w:val="bullet"/>
      <w:lvlText w:val=""/>
      <w:lvlJc w:val="left"/>
      <w:pPr>
        <w:ind w:left="2880" w:hanging="360"/>
      </w:pPr>
      <w:rPr>
        <w:rFonts w:ascii="Symbol" w:hAnsi="Symbol" w:cs="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cs="Wingdings" w:hint="default"/>
      </w:rPr>
    </w:lvl>
    <w:lvl w:ilvl="6" w:tplc="0C090001" w:tentative="1">
      <w:start w:val="1"/>
      <w:numFmt w:val="bullet"/>
      <w:lvlText w:val=""/>
      <w:lvlJc w:val="left"/>
      <w:pPr>
        <w:ind w:left="5040" w:hanging="360"/>
      </w:pPr>
      <w:rPr>
        <w:rFonts w:ascii="Symbol" w:hAnsi="Symbol" w:cs="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ECF7B94"/>
    <w:multiLevelType w:val="hybridMultilevel"/>
    <w:tmpl w:val="6BC2938C"/>
    <w:lvl w:ilvl="0" w:tplc="ABB0ED9C">
      <w:start w:val="1"/>
      <w:numFmt w:val="bullet"/>
      <w:lvlText w:val="&gt;"/>
      <w:lvlJc w:val="left"/>
      <w:pPr>
        <w:ind w:left="360" w:hanging="360"/>
      </w:pPr>
      <w:rPr>
        <w:rFonts w:ascii="Arial" w:hAnsi="Arial" w:hint="default"/>
      </w:rPr>
    </w:lvl>
    <w:lvl w:ilvl="1" w:tplc="ABB0ED9C">
      <w:start w:val="1"/>
      <w:numFmt w:val="bullet"/>
      <w:lvlText w:val="&gt;"/>
      <w:lvlJc w:val="left"/>
      <w:pPr>
        <w:ind w:left="1080" w:hanging="360"/>
      </w:pPr>
      <w:rPr>
        <w:rFonts w:ascii="Arial" w:hAnsi="Arial" w:hint="default"/>
      </w:rPr>
    </w:lvl>
    <w:lvl w:ilvl="2" w:tplc="0C090005" w:tentative="1">
      <w:start w:val="1"/>
      <w:numFmt w:val="bullet"/>
      <w:lvlText w:val=""/>
      <w:lvlJc w:val="left"/>
      <w:pPr>
        <w:ind w:left="1800" w:hanging="360"/>
      </w:pPr>
      <w:rPr>
        <w:rFonts w:ascii="Wingdings" w:hAnsi="Wingdings" w:cs="Wingdings" w:hint="default"/>
      </w:rPr>
    </w:lvl>
    <w:lvl w:ilvl="3" w:tplc="0C090001" w:tentative="1">
      <w:start w:val="1"/>
      <w:numFmt w:val="bullet"/>
      <w:lvlText w:val=""/>
      <w:lvlJc w:val="left"/>
      <w:pPr>
        <w:ind w:left="2520" w:hanging="360"/>
      </w:pPr>
      <w:rPr>
        <w:rFonts w:ascii="Symbol" w:hAnsi="Symbol" w:cs="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cs="Wingdings" w:hint="default"/>
      </w:rPr>
    </w:lvl>
    <w:lvl w:ilvl="6" w:tplc="0C090001" w:tentative="1">
      <w:start w:val="1"/>
      <w:numFmt w:val="bullet"/>
      <w:lvlText w:val=""/>
      <w:lvlJc w:val="left"/>
      <w:pPr>
        <w:ind w:left="4680" w:hanging="360"/>
      </w:pPr>
      <w:rPr>
        <w:rFonts w:ascii="Symbol" w:hAnsi="Symbol" w:cs="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cs="Wingdings" w:hint="default"/>
      </w:rPr>
    </w:lvl>
  </w:abstractNum>
  <w:num w:numId="1">
    <w:abstractNumId w:val="11"/>
  </w:num>
  <w:num w:numId="2">
    <w:abstractNumId w:val="8"/>
  </w:num>
  <w:num w:numId="3">
    <w:abstractNumId w:val="3"/>
  </w:num>
  <w:num w:numId="4">
    <w:abstractNumId w:val="6"/>
  </w:num>
  <w:num w:numId="5">
    <w:abstractNumId w:val="5"/>
  </w:num>
  <w:num w:numId="6">
    <w:abstractNumId w:val="2"/>
  </w:num>
  <w:num w:numId="7">
    <w:abstractNumId w:val="4"/>
  </w:num>
  <w:num w:numId="8">
    <w:abstractNumId w:val="11"/>
  </w:num>
  <w:num w:numId="9">
    <w:abstractNumId w:val="3"/>
  </w:num>
  <w:num w:numId="10">
    <w:abstractNumId w:val="4"/>
  </w:num>
  <w:num w:numId="11">
    <w:abstractNumId w:val="6"/>
  </w:num>
  <w:num w:numId="12">
    <w:abstractNumId w:val="5"/>
  </w:num>
  <w:num w:numId="13">
    <w:abstractNumId w:val="11"/>
  </w:num>
  <w:num w:numId="14">
    <w:abstractNumId w:val="3"/>
  </w:num>
  <w:num w:numId="15">
    <w:abstractNumId w:val="4"/>
  </w:num>
  <w:num w:numId="16">
    <w:abstractNumId w:val="6"/>
  </w:num>
  <w:num w:numId="17">
    <w:abstractNumId w:val="5"/>
  </w:num>
  <w:num w:numId="18">
    <w:abstractNumId w:val="0"/>
  </w:num>
  <w:num w:numId="19">
    <w:abstractNumId w:val="7"/>
  </w:num>
  <w:num w:numId="20">
    <w:abstractNumId w:val="12"/>
  </w:num>
  <w:num w:numId="21">
    <w:abstractNumId w:val="1"/>
  </w:num>
  <w:num w:numId="22">
    <w:abstractNumId w:val="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079"/>
    <w:rsid w:val="00002640"/>
    <w:rsid w:val="000036EA"/>
    <w:rsid w:val="00003720"/>
    <w:rsid w:val="000124F9"/>
    <w:rsid w:val="00012BEC"/>
    <w:rsid w:val="00013079"/>
    <w:rsid w:val="000245F6"/>
    <w:rsid w:val="00025ACE"/>
    <w:rsid w:val="00026D04"/>
    <w:rsid w:val="0003173E"/>
    <w:rsid w:val="000346B0"/>
    <w:rsid w:val="000370BD"/>
    <w:rsid w:val="00037E7D"/>
    <w:rsid w:val="00037F0E"/>
    <w:rsid w:val="00042A91"/>
    <w:rsid w:val="0006521E"/>
    <w:rsid w:val="00070D91"/>
    <w:rsid w:val="000726C7"/>
    <w:rsid w:val="00074A8D"/>
    <w:rsid w:val="00082354"/>
    <w:rsid w:val="00095588"/>
    <w:rsid w:val="00095AB3"/>
    <w:rsid w:val="000A3A94"/>
    <w:rsid w:val="000A4C9A"/>
    <w:rsid w:val="000B0BA7"/>
    <w:rsid w:val="000B3183"/>
    <w:rsid w:val="000B33B6"/>
    <w:rsid w:val="000B3A30"/>
    <w:rsid w:val="000B4B6C"/>
    <w:rsid w:val="000B4DFF"/>
    <w:rsid w:val="000C4E29"/>
    <w:rsid w:val="000C5017"/>
    <w:rsid w:val="000C6436"/>
    <w:rsid w:val="000C7D9F"/>
    <w:rsid w:val="000D4ECE"/>
    <w:rsid w:val="000D6DC7"/>
    <w:rsid w:val="000E38C9"/>
    <w:rsid w:val="000E6F58"/>
    <w:rsid w:val="000E7C07"/>
    <w:rsid w:val="000F4CB8"/>
    <w:rsid w:val="000F6255"/>
    <w:rsid w:val="00104130"/>
    <w:rsid w:val="00112987"/>
    <w:rsid w:val="00117351"/>
    <w:rsid w:val="00121B9E"/>
    <w:rsid w:val="00122072"/>
    <w:rsid w:val="001330BD"/>
    <w:rsid w:val="00133C54"/>
    <w:rsid w:val="00134705"/>
    <w:rsid w:val="00146A0C"/>
    <w:rsid w:val="00151529"/>
    <w:rsid w:val="00152E15"/>
    <w:rsid w:val="00157580"/>
    <w:rsid w:val="00161C73"/>
    <w:rsid w:val="00172470"/>
    <w:rsid w:val="00185BDC"/>
    <w:rsid w:val="001C4BF8"/>
    <w:rsid w:val="001C5421"/>
    <w:rsid w:val="001C6DC4"/>
    <w:rsid w:val="001D394D"/>
    <w:rsid w:val="001D5C25"/>
    <w:rsid w:val="001E343E"/>
    <w:rsid w:val="001E37B5"/>
    <w:rsid w:val="001F008B"/>
    <w:rsid w:val="00202876"/>
    <w:rsid w:val="00212847"/>
    <w:rsid w:val="002311CB"/>
    <w:rsid w:val="00231259"/>
    <w:rsid w:val="00244D92"/>
    <w:rsid w:val="002508F7"/>
    <w:rsid w:val="00250C05"/>
    <w:rsid w:val="0026384F"/>
    <w:rsid w:val="002674E7"/>
    <w:rsid w:val="00273C04"/>
    <w:rsid w:val="00282574"/>
    <w:rsid w:val="0028669B"/>
    <w:rsid w:val="002A5783"/>
    <w:rsid w:val="002A5E2E"/>
    <w:rsid w:val="002B25B1"/>
    <w:rsid w:val="002B6699"/>
    <w:rsid w:val="002B6A6C"/>
    <w:rsid w:val="002C2256"/>
    <w:rsid w:val="002C2DB7"/>
    <w:rsid w:val="002C6355"/>
    <w:rsid w:val="002C77B5"/>
    <w:rsid w:val="002E3B2A"/>
    <w:rsid w:val="002F36E0"/>
    <w:rsid w:val="00316E0A"/>
    <w:rsid w:val="00324365"/>
    <w:rsid w:val="00332716"/>
    <w:rsid w:val="00337001"/>
    <w:rsid w:val="003434D4"/>
    <w:rsid w:val="0035126C"/>
    <w:rsid w:val="00355C58"/>
    <w:rsid w:val="00357F92"/>
    <w:rsid w:val="0036752E"/>
    <w:rsid w:val="00370620"/>
    <w:rsid w:val="003748B8"/>
    <w:rsid w:val="00375FA7"/>
    <w:rsid w:val="00385EF1"/>
    <w:rsid w:val="003A3389"/>
    <w:rsid w:val="003A3635"/>
    <w:rsid w:val="003A5785"/>
    <w:rsid w:val="003A7407"/>
    <w:rsid w:val="003B3D92"/>
    <w:rsid w:val="003C2F82"/>
    <w:rsid w:val="003C44B4"/>
    <w:rsid w:val="003D1A54"/>
    <w:rsid w:val="003D2A1F"/>
    <w:rsid w:val="003D6419"/>
    <w:rsid w:val="003D74BE"/>
    <w:rsid w:val="003F1455"/>
    <w:rsid w:val="003F569C"/>
    <w:rsid w:val="00407F28"/>
    <w:rsid w:val="0041003E"/>
    <w:rsid w:val="00427883"/>
    <w:rsid w:val="004362E3"/>
    <w:rsid w:val="00446CB7"/>
    <w:rsid w:val="00450F48"/>
    <w:rsid w:val="0045489F"/>
    <w:rsid w:val="00463162"/>
    <w:rsid w:val="00464754"/>
    <w:rsid w:val="00473040"/>
    <w:rsid w:val="00474889"/>
    <w:rsid w:val="004826DD"/>
    <w:rsid w:val="00486BC0"/>
    <w:rsid w:val="00492394"/>
    <w:rsid w:val="004971D6"/>
    <w:rsid w:val="004A1064"/>
    <w:rsid w:val="004B03C8"/>
    <w:rsid w:val="004B5BCF"/>
    <w:rsid w:val="004C4AAC"/>
    <w:rsid w:val="004C58B9"/>
    <w:rsid w:val="004D2843"/>
    <w:rsid w:val="004E790E"/>
    <w:rsid w:val="004F60DF"/>
    <w:rsid w:val="0050389F"/>
    <w:rsid w:val="0052687A"/>
    <w:rsid w:val="00530688"/>
    <w:rsid w:val="00533579"/>
    <w:rsid w:val="00534986"/>
    <w:rsid w:val="00546FBD"/>
    <w:rsid w:val="00567271"/>
    <w:rsid w:val="00570974"/>
    <w:rsid w:val="005958D6"/>
    <w:rsid w:val="005964CF"/>
    <w:rsid w:val="005C65EB"/>
    <w:rsid w:val="005E45BD"/>
    <w:rsid w:val="005F427F"/>
    <w:rsid w:val="005F5BE6"/>
    <w:rsid w:val="00601341"/>
    <w:rsid w:val="00603B3F"/>
    <w:rsid w:val="00605019"/>
    <w:rsid w:val="00606785"/>
    <w:rsid w:val="00625E18"/>
    <w:rsid w:val="0063395F"/>
    <w:rsid w:val="00641906"/>
    <w:rsid w:val="00645AE6"/>
    <w:rsid w:val="00663AF2"/>
    <w:rsid w:val="00663D04"/>
    <w:rsid w:val="00670716"/>
    <w:rsid w:val="00671216"/>
    <w:rsid w:val="00681986"/>
    <w:rsid w:val="00686F06"/>
    <w:rsid w:val="00687290"/>
    <w:rsid w:val="006940DB"/>
    <w:rsid w:val="00696659"/>
    <w:rsid w:val="00696D9D"/>
    <w:rsid w:val="006A0BDF"/>
    <w:rsid w:val="006A53BB"/>
    <w:rsid w:val="006C59D5"/>
    <w:rsid w:val="006C7ABD"/>
    <w:rsid w:val="006E2DBE"/>
    <w:rsid w:val="006F248F"/>
    <w:rsid w:val="006F32BF"/>
    <w:rsid w:val="00706F43"/>
    <w:rsid w:val="007158AA"/>
    <w:rsid w:val="0073742E"/>
    <w:rsid w:val="00741D05"/>
    <w:rsid w:val="0074661C"/>
    <w:rsid w:val="00750397"/>
    <w:rsid w:val="00757CCA"/>
    <w:rsid w:val="0076187C"/>
    <w:rsid w:val="00766475"/>
    <w:rsid w:val="0077364D"/>
    <w:rsid w:val="00773E1F"/>
    <w:rsid w:val="00783185"/>
    <w:rsid w:val="00794C5F"/>
    <w:rsid w:val="007976CF"/>
    <w:rsid w:val="007A0103"/>
    <w:rsid w:val="007A2277"/>
    <w:rsid w:val="007A2FA7"/>
    <w:rsid w:val="007B0536"/>
    <w:rsid w:val="007E4B90"/>
    <w:rsid w:val="007E6801"/>
    <w:rsid w:val="00805358"/>
    <w:rsid w:val="00805389"/>
    <w:rsid w:val="008070A8"/>
    <w:rsid w:val="00810499"/>
    <w:rsid w:val="0081166D"/>
    <w:rsid w:val="0081203C"/>
    <w:rsid w:val="008162DB"/>
    <w:rsid w:val="00821F3F"/>
    <w:rsid w:val="00840695"/>
    <w:rsid w:val="00841BA4"/>
    <w:rsid w:val="00841D32"/>
    <w:rsid w:val="008441CF"/>
    <w:rsid w:val="0084470A"/>
    <w:rsid w:val="00846C81"/>
    <w:rsid w:val="00851244"/>
    <w:rsid w:val="008630F6"/>
    <w:rsid w:val="0087707C"/>
    <w:rsid w:val="00883138"/>
    <w:rsid w:val="008A1FDF"/>
    <w:rsid w:val="008B3095"/>
    <w:rsid w:val="008B5961"/>
    <w:rsid w:val="008C584E"/>
    <w:rsid w:val="008E3483"/>
    <w:rsid w:val="008F2B52"/>
    <w:rsid w:val="008F4C58"/>
    <w:rsid w:val="0090572C"/>
    <w:rsid w:val="0091080B"/>
    <w:rsid w:val="00921946"/>
    <w:rsid w:val="00926833"/>
    <w:rsid w:val="00943D2E"/>
    <w:rsid w:val="00946665"/>
    <w:rsid w:val="00955A18"/>
    <w:rsid w:val="009668C6"/>
    <w:rsid w:val="009670B7"/>
    <w:rsid w:val="009723D1"/>
    <w:rsid w:val="009732C1"/>
    <w:rsid w:val="00977705"/>
    <w:rsid w:val="0098064C"/>
    <w:rsid w:val="00981034"/>
    <w:rsid w:val="00997A29"/>
    <w:rsid w:val="009A3BB2"/>
    <w:rsid w:val="009A6824"/>
    <w:rsid w:val="009B28EB"/>
    <w:rsid w:val="009C69C7"/>
    <w:rsid w:val="009C6A78"/>
    <w:rsid w:val="009D164F"/>
    <w:rsid w:val="009D4E7B"/>
    <w:rsid w:val="009D510F"/>
    <w:rsid w:val="009D5783"/>
    <w:rsid w:val="009D67A8"/>
    <w:rsid w:val="009E3AF2"/>
    <w:rsid w:val="009E3C5F"/>
    <w:rsid w:val="009F2D95"/>
    <w:rsid w:val="009F5819"/>
    <w:rsid w:val="009F7219"/>
    <w:rsid w:val="00A07A2F"/>
    <w:rsid w:val="00A213A8"/>
    <w:rsid w:val="00A21F3E"/>
    <w:rsid w:val="00A3479E"/>
    <w:rsid w:val="00A40249"/>
    <w:rsid w:val="00A52341"/>
    <w:rsid w:val="00A64EC4"/>
    <w:rsid w:val="00A7023B"/>
    <w:rsid w:val="00A754F1"/>
    <w:rsid w:val="00A7568D"/>
    <w:rsid w:val="00AA08CC"/>
    <w:rsid w:val="00AA6088"/>
    <w:rsid w:val="00AB65E7"/>
    <w:rsid w:val="00AC0751"/>
    <w:rsid w:val="00AC2BCD"/>
    <w:rsid w:val="00AD3414"/>
    <w:rsid w:val="00AD500F"/>
    <w:rsid w:val="00AE2CB4"/>
    <w:rsid w:val="00AE6898"/>
    <w:rsid w:val="00AF080D"/>
    <w:rsid w:val="00AF57E5"/>
    <w:rsid w:val="00AF591A"/>
    <w:rsid w:val="00AF6545"/>
    <w:rsid w:val="00B00FC3"/>
    <w:rsid w:val="00B12DFC"/>
    <w:rsid w:val="00B355EE"/>
    <w:rsid w:val="00B4340C"/>
    <w:rsid w:val="00B43EB2"/>
    <w:rsid w:val="00B46677"/>
    <w:rsid w:val="00B52584"/>
    <w:rsid w:val="00B52F5E"/>
    <w:rsid w:val="00B538ED"/>
    <w:rsid w:val="00B56873"/>
    <w:rsid w:val="00B57BC6"/>
    <w:rsid w:val="00B665E6"/>
    <w:rsid w:val="00B67F75"/>
    <w:rsid w:val="00B727F3"/>
    <w:rsid w:val="00B7799E"/>
    <w:rsid w:val="00B90F17"/>
    <w:rsid w:val="00B94B30"/>
    <w:rsid w:val="00BA7D17"/>
    <w:rsid w:val="00BB076E"/>
    <w:rsid w:val="00BB1CF2"/>
    <w:rsid w:val="00BB7A25"/>
    <w:rsid w:val="00BC0699"/>
    <w:rsid w:val="00BC0A3C"/>
    <w:rsid w:val="00BC5916"/>
    <w:rsid w:val="00BC621F"/>
    <w:rsid w:val="00BE2335"/>
    <w:rsid w:val="00C032F0"/>
    <w:rsid w:val="00C03503"/>
    <w:rsid w:val="00C10E3A"/>
    <w:rsid w:val="00C14388"/>
    <w:rsid w:val="00C20621"/>
    <w:rsid w:val="00C21933"/>
    <w:rsid w:val="00C2217B"/>
    <w:rsid w:val="00C363D4"/>
    <w:rsid w:val="00C37006"/>
    <w:rsid w:val="00C42F6F"/>
    <w:rsid w:val="00C44D90"/>
    <w:rsid w:val="00C45C4D"/>
    <w:rsid w:val="00C52345"/>
    <w:rsid w:val="00C52681"/>
    <w:rsid w:val="00C57E29"/>
    <w:rsid w:val="00C62D84"/>
    <w:rsid w:val="00C63E8C"/>
    <w:rsid w:val="00C659A7"/>
    <w:rsid w:val="00C71D7C"/>
    <w:rsid w:val="00C725F9"/>
    <w:rsid w:val="00C76FFC"/>
    <w:rsid w:val="00C81DFA"/>
    <w:rsid w:val="00C9259F"/>
    <w:rsid w:val="00C96E4D"/>
    <w:rsid w:val="00CA3398"/>
    <w:rsid w:val="00CA40FA"/>
    <w:rsid w:val="00CA41B8"/>
    <w:rsid w:val="00CA6926"/>
    <w:rsid w:val="00CA735C"/>
    <w:rsid w:val="00CB3AD5"/>
    <w:rsid w:val="00CC0898"/>
    <w:rsid w:val="00CD0D86"/>
    <w:rsid w:val="00CD71EB"/>
    <w:rsid w:val="00CE3CC8"/>
    <w:rsid w:val="00CE5861"/>
    <w:rsid w:val="00D13D39"/>
    <w:rsid w:val="00D23BD5"/>
    <w:rsid w:val="00D2518B"/>
    <w:rsid w:val="00D259D7"/>
    <w:rsid w:val="00D32C6E"/>
    <w:rsid w:val="00D32E4E"/>
    <w:rsid w:val="00D35653"/>
    <w:rsid w:val="00D35790"/>
    <w:rsid w:val="00D37EE4"/>
    <w:rsid w:val="00D42CF2"/>
    <w:rsid w:val="00D527B7"/>
    <w:rsid w:val="00D5385A"/>
    <w:rsid w:val="00D56926"/>
    <w:rsid w:val="00D57387"/>
    <w:rsid w:val="00DA0D39"/>
    <w:rsid w:val="00DB24B9"/>
    <w:rsid w:val="00DB4A50"/>
    <w:rsid w:val="00DC3DC2"/>
    <w:rsid w:val="00DF226B"/>
    <w:rsid w:val="00DF2758"/>
    <w:rsid w:val="00DF3A48"/>
    <w:rsid w:val="00E013DE"/>
    <w:rsid w:val="00E02C33"/>
    <w:rsid w:val="00E04733"/>
    <w:rsid w:val="00E10FE0"/>
    <w:rsid w:val="00E31987"/>
    <w:rsid w:val="00E42889"/>
    <w:rsid w:val="00E569DE"/>
    <w:rsid w:val="00E641F2"/>
    <w:rsid w:val="00E65E72"/>
    <w:rsid w:val="00E66951"/>
    <w:rsid w:val="00E833DA"/>
    <w:rsid w:val="00E8386F"/>
    <w:rsid w:val="00E83E69"/>
    <w:rsid w:val="00EA0EC5"/>
    <w:rsid w:val="00EB0C79"/>
    <w:rsid w:val="00EC1B4F"/>
    <w:rsid w:val="00EC54C3"/>
    <w:rsid w:val="00EC70EF"/>
    <w:rsid w:val="00EC76A0"/>
    <w:rsid w:val="00EE2B27"/>
    <w:rsid w:val="00EE5E7F"/>
    <w:rsid w:val="00EE7CD9"/>
    <w:rsid w:val="00EF1879"/>
    <w:rsid w:val="00EF29F4"/>
    <w:rsid w:val="00EF2EB4"/>
    <w:rsid w:val="00EF3046"/>
    <w:rsid w:val="00F02C39"/>
    <w:rsid w:val="00F02D64"/>
    <w:rsid w:val="00F04C5B"/>
    <w:rsid w:val="00F237E5"/>
    <w:rsid w:val="00F23978"/>
    <w:rsid w:val="00F24910"/>
    <w:rsid w:val="00F33BD8"/>
    <w:rsid w:val="00F406BB"/>
    <w:rsid w:val="00F4414D"/>
    <w:rsid w:val="00F55534"/>
    <w:rsid w:val="00F57CFA"/>
    <w:rsid w:val="00F62D62"/>
    <w:rsid w:val="00F675AA"/>
    <w:rsid w:val="00F73CBE"/>
    <w:rsid w:val="00F76815"/>
    <w:rsid w:val="00F81308"/>
    <w:rsid w:val="00F91D45"/>
    <w:rsid w:val="00F92C4D"/>
    <w:rsid w:val="00FB271E"/>
    <w:rsid w:val="00FB4437"/>
    <w:rsid w:val="00FC0BF3"/>
    <w:rsid w:val="00FC58E7"/>
    <w:rsid w:val="00FC67DA"/>
    <w:rsid w:val="00FD6A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2793DF"/>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CB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B4B6C"/>
    <w:rPr>
      <w:sz w:val="16"/>
      <w:szCs w:val="16"/>
    </w:rPr>
  </w:style>
  <w:style w:type="paragraph" w:styleId="CommentText">
    <w:name w:val="annotation text"/>
    <w:basedOn w:val="Normal"/>
    <w:link w:val="CommentTextChar"/>
    <w:uiPriority w:val="99"/>
    <w:semiHidden/>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semiHidden/>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ListBullet">
    <w:name w:val="List Bullet"/>
    <w:basedOn w:val="Normal"/>
    <w:qFormat/>
    <w:rsid w:val="009F5819"/>
    <w:pPr>
      <w:numPr>
        <w:numId w:val="18"/>
      </w:numPr>
      <w:spacing w:after="80" w:line="240" w:lineRule="atLeast"/>
    </w:pPr>
    <w:rPr>
      <w:rFonts w:ascii="Arial" w:eastAsia="Times New Roman" w:hAnsi="Arial" w:cs="Times New Roman"/>
      <w:sz w:val="20"/>
      <w:szCs w:val="24"/>
      <w:lang w:eastAsia="en-AU"/>
    </w:rPr>
  </w:style>
  <w:style w:type="paragraph" w:customStyle="1" w:styleId="Paragraph">
    <w:name w:val="Paragraph"/>
    <w:basedOn w:val="Normal"/>
    <w:qFormat/>
    <w:rsid w:val="00407F28"/>
    <w:pPr>
      <w:spacing w:after="240" w:line="240" w:lineRule="atLeast"/>
    </w:pPr>
    <w:rPr>
      <w:rFonts w:ascii="Arial" w:eastAsia="Times New Roman" w:hAnsi="Arial" w:cs="Arial"/>
      <w:sz w:val="20"/>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8957168">
      <w:bodyDiv w:val="1"/>
      <w:marLeft w:val="0"/>
      <w:marRight w:val="0"/>
      <w:marTop w:val="0"/>
      <w:marBottom w:val="0"/>
      <w:divBdr>
        <w:top w:val="none" w:sz="0" w:space="0" w:color="auto"/>
        <w:left w:val="none" w:sz="0" w:space="0" w:color="auto"/>
        <w:bottom w:val="none" w:sz="0" w:space="0" w:color="auto"/>
        <w:right w:val="none" w:sz="0" w:space="0" w:color="auto"/>
      </w:divBdr>
    </w:div>
    <w:div w:id="1016804908">
      <w:bodyDiv w:val="1"/>
      <w:marLeft w:val="0"/>
      <w:marRight w:val="0"/>
      <w:marTop w:val="0"/>
      <w:marBottom w:val="0"/>
      <w:divBdr>
        <w:top w:val="none" w:sz="0" w:space="0" w:color="auto"/>
        <w:left w:val="none" w:sz="0" w:space="0" w:color="auto"/>
        <w:bottom w:val="none" w:sz="0" w:space="0" w:color="auto"/>
        <w:right w:val="none" w:sz="0" w:space="0" w:color="auto"/>
      </w:divBdr>
    </w:div>
    <w:div w:id="1367409635">
      <w:bodyDiv w:val="1"/>
      <w:marLeft w:val="0"/>
      <w:marRight w:val="0"/>
      <w:marTop w:val="0"/>
      <w:marBottom w:val="0"/>
      <w:divBdr>
        <w:top w:val="none" w:sz="0" w:space="0" w:color="auto"/>
        <w:left w:val="none" w:sz="0" w:space="0" w:color="auto"/>
        <w:bottom w:val="none" w:sz="0" w:space="0" w:color="auto"/>
        <w:right w:val="none" w:sz="0" w:space="0" w:color="auto"/>
      </w:divBdr>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legislation.gov.au/Details/F2009L041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1d983eb4-33f7-44b0-aea1-cbdcf0c55136">3NE2HDV7HD6D-1926472841-1099</_dlc_DocId>
    <_dlc_DocIdUrl xmlns="1d983eb4-33f7-44b0-aea1-cbdcf0c55136">
      <Url>http://collaboration/organisation/cid/RPB/BCP/_layouts/15/DocIdRedir.aspx?ID=3NE2HDV7HD6D-1926472841-1099</Url>
      <Description>3NE2HDV7HD6D-1926472841-1099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D4164A4312E504CAB8EEBECBED4E720" ma:contentTypeVersion="0" ma:contentTypeDescription="Create a new document." ma:contentTypeScope="" ma:versionID="0bdbc4735c90a9a6cf88e5746348f4b6">
  <xsd:schema xmlns:xsd="http://www.w3.org/2001/XMLSchema" xmlns:xs="http://www.w3.org/2001/XMLSchema" xmlns:p="http://schemas.microsoft.com/office/2006/metadata/properties" xmlns:ns2="1d983eb4-33f7-44b0-aea1-cbdcf0c55136" targetNamespace="http://schemas.microsoft.com/office/2006/metadata/properties" ma:root="true" ma:fieldsID="85ca1f7d1e1b38634bae0caaff15e10b" ns2:_="">
    <xsd:import namespace="1d983eb4-33f7-44b0-aea1-cbdcf0c55136"/>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3eb4-33f7-44b0-aea1-cbdcf0c551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142CF5-65D0-4A9F-808B-6F60014FA1FF}">
  <ds:schemaRefs>
    <ds:schemaRef ds:uri="http://schemas.openxmlformats.org/officeDocument/2006/bibliography"/>
  </ds:schemaRefs>
</ds:datastoreItem>
</file>

<file path=customXml/itemProps2.xml><?xml version="1.0" encoding="utf-8"?>
<ds:datastoreItem xmlns:ds="http://schemas.openxmlformats.org/officeDocument/2006/customXml" ds:itemID="{7F14E9DA-3DB9-4927-BD16-E61F41E445F6}">
  <ds:schemaRefs>
    <ds:schemaRef ds:uri="http://schemas.microsoft.com/sharepoint/events"/>
  </ds:schemaRefs>
</ds:datastoreItem>
</file>

<file path=customXml/itemProps3.xml><?xml version="1.0" encoding="utf-8"?>
<ds:datastoreItem xmlns:ds="http://schemas.openxmlformats.org/officeDocument/2006/customXml" ds:itemID="{C088E647-FB6C-49D4-8E75-03B5196F5AC8}">
  <ds:schemaRefs>
    <ds:schemaRef ds:uri="http://schemas.microsoft.com/sharepoint/v3/contenttype/forms"/>
  </ds:schemaRefs>
</ds:datastoreItem>
</file>

<file path=customXml/itemProps4.xml><?xml version="1.0" encoding="utf-8"?>
<ds:datastoreItem xmlns:ds="http://schemas.openxmlformats.org/officeDocument/2006/customXml" ds:itemID="{D84A20D3-5249-4064-B676-33B74048141D}">
  <ds:schemaRefs>
    <ds:schemaRef ds:uri="http://schemas.microsoft.com/office/2006/metadata/properties"/>
    <ds:schemaRef ds:uri="http://schemas.microsoft.com/office/infopath/2007/PartnerControls"/>
    <ds:schemaRef ds:uri="1d983eb4-33f7-44b0-aea1-cbdcf0c55136"/>
  </ds:schemaRefs>
</ds:datastoreItem>
</file>

<file path=customXml/itemProps5.xml><?xml version="1.0" encoding="utf-8"?>
<ds:datastoreItem xmlns:ds="http://schemas.openxmlformats.org/officeDocument/2006/customXml" ds:itemID="{EA788FAE-0670-4C63-AE06-B7B86DEEE3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3eb4-33f7-44b0-aea1-cbdcf0c551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12411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Template</dc:title>
  <dc:subject/>
  <dc:creator>Annette Vella</dc:creator>
  <cp:keywords/>
  <dc:description/>
  <cp:lastModifiedBy>Rebecca Fung</cp:lastModifiedBy>
  <cp:revision>4</cp:revision>
  <cp:lastPrinted>2016-07-25T00:08:00Z</cp:lastPrinted>
  <dcterms:created xsi:type="dcterms:W3CDTF">2020-09-11T00:25:00Z</dcterms:created>
  <dcterms:modified xsi:type="dcterms:W3CDTF">2020-09-17T05:09:00Z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0x010100ED4164A4312E504CAB8EEBECBED4E720</vt:lpwstr>
  </property>
  <property fmtid="{D5CDD505-2E9C-101B-9397-08002B2CF9AE}" pid="3" name="_dlc_DocIdItemGuid">
    <vt:lpwstr>9504b893-5a95-4e35-8378-9f867236524f</vt:lpwstr>
  </property>
</Properties>
</file>