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1B4F" w14:textId="77777777" w:rsidR="001F2A16"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7E0A01">
        <w:rPr>
          <w:rFonts w:ascii="Arial" w:hAnsi="Arial" w:cs="Arial"/>
          <w:sz w:val="34"/>
          <w:szCs w:val="34"/>
        </w:rPr>
        <w:t>Explanatory Statement</w:t>
      </w:r>
    </w:p>
    <w:p w14:paraId="15AC1B50" w14:textId="77777777" w:rsidR="001F2A16" w:rsidRPr="007E0A01"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p>
    <w:p w14:paraId="6B8F7B13" w14:textId="78397B9F" w:rsidR="009371D0" w:rsidRDefault="003C714C"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Coronavirus Economic Response Package (Payments and Benefits) Alternative Reference Period Determination 2020</w:t>
      </w:r>
    </w:p>
    <w:p w14:paraId="15AC1B52" w14:textId="5B65CDA8" w:rsidR="0099555F" w:rsidRPr="007E0A01" w:rsidRDefault="0099555F" w:rsidP="0021496E">
      <w:pPr>
        <w:pStyle w:val="Header"/>
        <w:tabs>
          <w:tab w:val="clear" w:pos="4153"/>
          <w:tab w:val="clear" w:pos="8306"/>
        </w:tabs>
        <w:jc w:val="center"/>
        <w:rPr>
          <w:rFonts w:ascii="Arial" w:hAnsi="Arial" w:cs="Arial"/>
          <w:szCs w:val="24"/>
        </w:rPr>
      </w:pPr>
    </w:p>
    <w:p w14:paraId="15AC1B53" w14:textId="77777777" w:rsidR="001F2A16" w:rsidRPr="007E0A01" w:rsidRDefault="001F2A16" w:rsidP="0021496E">
      <w:pPr>
        <w:pStyle w:val="Header"/>
        <w:tabs>
          <w:tab w:val="clear" w:pos="4153"/>
          <w:tab w:val="clear" w:pos="8306"/>
        </w:tabs>
        <w:jc w:val="center"/>
        <w:rPr>
          <w:rFonts w:ascii="Arial" w:hAnsi="Arial" w:cs="Arial"/>
          <w:szCs w:val="24"/>
        </w:rPr>
      </w:pPr>
    </w:p>
    <w:p w14:paraId="3864779B" w14:textId="0C191BBC" w:rsidR="00640CC2" w:rsidRPr="0091425D" w:rsidRDefault="00486653" w:rsidP="001432D1">
      <w:pPr>
        <w:pStyle w:val="Heading2"/>
        <w:rPr>
          <w:sz w:val="28"/>
        </w:rPr>
      </w:pPr>
      <w:r w:rsidRPr="0091425D">
        <w:rPr>
          <w:sz w:val="28"/>
        </w:rPr>
        <w:t>General Outline of Instrument</w:t>
      </w:r>
    </w:p>
    <w:p w14:paraId="3547B78A" w14:textId="325A95D1" w:rsidR="00310E76" w:rsidRPr="00256FCD" w:rsidRDefault="00486653" w:rsidP="001E4A90">
      <w:pPr>
        <w:numPr>
          <w:ilvl w:val="0"/>
          <w:numId w:val="1"/>
        </w:numPr>
        <w:spacing w:after="120"/>
        <w:ind w:left="0" w:firstLine="0"/>
        <w:rPr>
          <w:rFonts w:ascii="Arial" w:hAnsi="Arial" w:cs="Arial"/>
          <w:i/>
          <w:color w:val="000000"/>
          <w:sz w:val="22"/>
          <w:szCs w:val="22"/>
        </w:rPr>
      </w:pPr>
      <w:bookmarkStart w:id="0" w:name="_Hlk48132064"/>
      <w:r w:rsidRPr="00227667">
        <w:rPr>
          <w:rFonts w:ascii="Arial" w:hAnsi="Arial" w:cs="Arial"/>
          <w:sz w:val="22"/>
          <w:szCs w:val="22"/>
        </w:rPr>
        <w:t>This instrument is made under</w:t>
      </w:r>
      <w:r w:rsidR="003C714C" w:rsidRPr="00227667">
        <w:rPr>
          <w:rFonts w:ascii="Arial" w:hAnsi="Arial" w:cs="Arial"/>
          <w:sz w:val="22"/>
          <w:szCs w:val="22"/>
        </w:rPr>
        <w:t xml:space="preserve"> subsection </w:t>
      </w:r>
      <w:r w:rsidR="008127A6" w:rsidRPr="00227667">
        <w:rPr>
          <w:rFonts w:ascii="Arial" w:hAnsi="Arial" w:cs="Arial"/>
          <w:sz w:val="22"/>
          <w:szCs w:val="22"/>
        </w:rPr>
        <w:t>20</w:t>
      </w:r>
      <w:r w:rsidR="003C714C" w:rsidRPr="00227667">
        <w:rPr>
          <w:rFonts w:ascii="Arial" w:hAnsi="Arial" w:cs="Arial"/>
          <w:sz w:val="22"/>
          <w:szCs w:val="22"/>
        </w:rPr>
        <w:t>(</w:t>
      </w:r>
      <w:r w:rsidR="008127A6" w:rsidRPr="00227667">
        <w:rPr>
          <w:rFonts w:ascii="Arial" w:hAnsi="Arial" w:cs="Arial"/>
          <w:sz w:val="22"/>
          <w:szCs w:val="22"/>
        </w:rPr>
        <w:t>4</w:t>
      </w:r>
      <w:r w:rsidR="003C714C" w:rsidRPr="00227667">
        <w:rPr>
          <w:rFonts w:ascii="Arial" w:hAnsi="Arial" w:cs="Arial"/>
          <w:sz w:val="22"/>
          <w:szCs w:val="22"/>
        </w:rPr>
        <w:t xml:space="preserve">) of the </w:t>
      </w:r>
      <w:r w:rsidR="003C714C" w:rsidRPr="00227667">
        <w:rPr>
          <w:rFonts w:ascii="Arial" w:hAnsi="Arial" w:cs="Arial"/>
          <w:i/>
          <w:iCs/>
          <w:sz w:val="22"/>
          <w:szCs w:val="22"/>
        </w:rPr>
        <w:t xml:space="preserve">Coronavirus Economic Response Package (Payments and Benefits) </w:t>
      </w:r>
      <w:r w:rsidR="008127A6" w:rsidRPr="00227667">
        <w:rPr>
          <w:rFonts w:ascii="Arial" w:hAnsi="Arial" w:cs="Arial"/>
          <w:i/>
          <w:iCs/>
          <w:sz w:val="22"/>
          <w:szCs w:val="22"/>
        </w:rPr>
        <w:t>Act</w:t>
      </w:r>
      <w:r w:rsidR="003C714C" w:rsidRPr="00227667">
        <w:rPr>
          <w:rFonts w:ascii="Arial" w:hAnsi="Arial" w:cs="Arial"/>
          <w:i/>
          <w:iCs/>
          <w:sz w:val="22"/>
          <w:szCs w:val="22"/>
        </w:rPr>
        <w:t xml:space="preserve"> 2020</w:t>
      </w:r>
      <w:r w:rsidR="000F4CAA">
        <w:rPr>
          <w:rFonts w:ascii="Arial" w:hAnsi="Arial" w:cs="Arial"/>
          <w:i/>
          <w:iCs/>
          <w:sz w:val="22"/>
          <w:szCs w:val="22"/>
        </w:rPr>
        <w:t xml:space="preserve"> </w:t>
      </w:r>
      <w:bookmarkStart w:id="1" w:name="_Hlk49772798"/>
      <w:r w:rsidR="000F4CAA" w:rsidRPr="0091425D">
        <w:rPr>
          <w:rFonts w:ascii="Arial" w:hAnsi="Arial" w:cs="Arial"/>
          <w:sz w:val="22"/>
          <w:szCs w:val="22"/>
        </w:rPr>
        <w:t>and</w:t>
      </w:r>
      <w:r w:rsidR="000F4CAA">
        <w:rPr>
          <w:rFonts w:ascii="Arial" w:hAnsi="Arial" w:cs="Arial"/>
          <w:i/>
          <w:iCs/>
          <w:sz w:val="22"/>
          <w:szCs w:val="22"/>
        </w:rPr>
        <w:t xml:space="preserve"> </w:t>
      </w:r>
      <w:r w:rsidR="000F4CAA" w:rsidRPr="00310E76">
        <w:rPr>
          <w:rFonts w:ascii="Arial" w:hAnsi="Arial" w:cs="Arial"/>
          <w:sz w:val="22"/>
          <w:szCs w:val="22"/>
        </w:rPr>
        <w:t>subsection 4</w:t>
      </w:r>
      <w:proofErr w:type="gramStart"/>
      <w:r w:rsidR="000F4CAA" w:rsidRPr="00310E76">
        <w:rPr>
          <w:rFonts w:ascii="Arial" w:hAnsi="Arial" w:cs="Arial"/>
          <w:sz w:val="22"/>
          <w:szCs w:val="22"/>
        </w:rPr>
        <w:t>A(</w:t>
      </w:r>
      <w:proofErr w:type="gramEnd"/>
      <w:r w:rsidR="000F4CAA">
        <w:rPr>
          <w:rFonts w:ascii="Arial" w:hAnsi="Arial" w:cs="Arial"/>
          <w:sz w:val="22"/>
          <w:szCs w:val="22"/>
        </w:rPr>
        <w:t>2</w:t>
      </w:r>
      <w:r w:rsidR="000F4CAA" w:rsidRPr="00310E76">
        <w:rPr>
          <w:rFonts w:ascii="Arial" w:hAnsi="Arial" w:cs="Arial"/>
          <w:sz w:val="22"/>
          <w:szCs w:val="22"/>
        </w:rPr>
        <w:t xml:space="preserve">) of the </w:t>
      </w:r>
      <w:r w:rsidR="000F4CAA">
        <w:rPr>
          <w:rFonts w:ascii="Arial" w:hAnsi="Arial" w:cs="Arial"/>
          <w:i/>
          <w:iCs/>
          <w:sz w:val="22"/>
          <w:szCs w:val="22"/>
        </w:rPr>
        <w:t xml:space="preserve">Coronavirus Economic Response Package (Payments and Benefits) Rules 2020 </w:t>
      </w:r>
      <w:r w:rsidR="000F4CAA">
        <w:rPr>
          <w:rFonts w:ascii="Arial" w:hAnsi="Arial" w:cs="Arial"/>
          <w:sz w:val="22"/>
          <w:szCs w:val="22"/>
        </w:rPr>
        <w:t>(</w:t>
      </w:r>
      <w:r w:rsidR="000F4CAA" w:rsidRPr="007C0BE2">
        <w:rPr>
          <w:rFonts w:ascii="Arial" w:hAnsi="Arial" w:cs="Arial"/>
          <w:bCs/>
          <w:sz w:val="22"/>
          <w:szCs w:val="22"/>
        </w:rPr>
        <w:t>the</w:t>
      </w:r>
      <w:r w:rsidR="000F4CAA" w:rsidRPr="007C0BE2">
        <w:rPr>
          <w:rFonts w:ascii="Arial" w:hAnsi="Arial" w:cs="Arial"/>
          <w:sz w:val="22"/>
          <w:szCs w:val="22"/>
        </w:rPr>
        <w:t xml:space="preserve"> </w:t>
      </w:r>
      <w:r w:rsidR="000F4CAA" w:rsidRPr="007C0BE2">
        <w:rPr>
          <w:rFonts w:ascii="Arial" w:hAnsi="Arial" w:cs="Arial"/>
          <w:bCs/>
          <w:sz w:val="22"/>
          <w:szCs w:val="22"/>
        </w:rPr>
        <w:t>Rules</w:t>
      </w:r>
      <w:r w:rsidR="000F4CAA">
        <w:rPr>
          <w:rFonts w:ascii="Arial" w:hAnsi="Arial" w:cs="Arial"/>
          <w:sz w:val="22"/>
          <w:szCs w:val="22"/>
        </w:rPr>
        <w:t>)</w:t>
      </w:r>
      <w:bookmarkEnd w:id="1"/>
      <w:r w:rsidR="00CB744A" w:rsidRPr="00227667">
        <w:rPr>
          <w:rFonts w:ascii="Arial" w:hAnsi="Arial" w:cs="Arial"/>
          <w:sz w:val="22"/>
          <w:szCs w:val="22"/>
        </w:rPr>
        <w:t xml:space="preserve">. </w:t>
      </w:r>
    </w:p>
    <w:bookmarkEnd w:id="0"/>
    <w:p w14:paraId="314BEF25" w14:textId="0415A8A8" w:rsidR="00310E76" w:rsidRPr="00310E76" w:rsidRDefault="00310E76" w:rsidP="00256FCD">
      <w:pPr>
        <w:numPr>
          <w:ilvl w:val="0"/>
          <w:numId w:val="1"/>
        </w:numPr>
        <w:spacing w:after="120"/>
        <w:ind w:left="0" w:firstLine="0"/>
        <w:rPr>
          <w:rFonts w:ascii="Arial" w:hAnsi="Arial" w:cs="Arial"/>
        </w:rPr>
      </w:pPr>
      <w:r w:rsidRPr="00310E76">
        <w:rPr>
          <w:rFonts w:ascii="Arial" w:hAnsi="Arial" w:cs="Arial"/>
          <w:sz w:val="22"/>
          <w:szCs w:val="22"/>
        </w:rPr>
        <w:t xml:space="preserve">This </w:t>
      </w:r>
      <w:r w:rsidR="00F25AB2">
        <w:rPr>
          <w:rFonts w:ascii="Arial" w:hAnsi="Arial" w:cs="Arial"/>
          <w:sz w:val="22"/>
          <w:szCs w:val="22"/>
        </w:rPr>
        <w:t xml:space="preserve">legislative </w:t>
      </w:r>
      <w:r w:rsidRPr="00310E76">
        <w:rPr>
          <w:rFonts w:ascii="Arial" w:hAnsi="Arial" w:cs="Arial"/>
          <w:sz w:val="22"/>
          <w:szCs w:val="22"/>
        </w:rPr>
        <w:t xml:space="preserve">instrument </w:t>
      </w:r>
      <w:r w:rsidR="00F25AB2">
        <w:rPr>
          <w:rFonts w:ascii="Arial" w:hAnsi="Arial" w:cs="Arial"/>
          <w:sz w:val="22"/>
          <w:szCs w:val="22"/>
        </w:rPr>
        <w:t>sets out</w:t>
      </w:r>
      <w:r w:rsidRPr="00310E76">
        <w:rPr>
          <w:rFonts w:ascii="Arial" w:hAnsi="Arial" w:cs="Arial"/>
          <w:sz w:val="22"/>
          <w:szCs w:val="22"/>
        </w:rPr>
        <w:t xml:space="preserve"> </w:t>
      </w:r>
      <w:r w:rsidR="006E6D25">
        <w:rPr>
          <w:rFonts w:ascii="Arial" w:hAnsi="Arial" w:cs="Arial"/>
          <w:sz w:val="22"/>
          <w:szCs w:val="22"/>
        </w:rPr>
        <w:t>a</w:t>
      </w:r>
      <w:r w:rsidR="006A34AB">
        <w:rPr>
          <w:rFonts w:ascii="Arial" w:hAnsi="Arial" w:cs="Arial"/>
          <w:sz w:val="22"/>
          <w:szCs w:val="22"/>
        </w:rPr>
        <w:t>n</w:t>
      </w:r>
      <w:r w:rsidR="006E6D25">
        <w:rPr>
          <w:rFonts w:ascii="Arial" w:hAnsi="Arial" w:cs="Arial"/>
          <w:sz w:val="22"/>
          <w:szCs w:val="22"/>
        </w:rPr>
        <w:t xml:space="preserve"> </w:t>
      </w:r>
      <w:r w:rsidRPr="00310E76">
        <w:rPr>
          <w:rFonts w:ascii="Arial" w:hAnsi="Arial" w:cs="Arial"/>
          <w:sz w:val="22"/>
          <w:szCs w:val="22"/>
        </w:rPr>
        <w:t>alternative reference period for specified classes of individuals in determining whether the higher or lower rate of a JobKeeper payment amount applies to an individual who is an eligible employee</w:t>
      </w:r>
      <w:r w:rsidR="006E6D25">
        <w:rPr>
          <w:rFonts w:ascii="Arial" w:hAnsi="Arial" w:cs="Arial"/>
          <w:sz w:val="22"/>
          <w:szCs w:val="22"/>
        </w:rPr>
        <w:t xml:space="preserve"> of an entity</w:t>
      </w:r>
      <w:r w:rsidRPr="00310E76">
        <w:rPr>
          <w:rFonts w:ascii="Arial" w:hAnsi="Arial" w:cs="Arial"/>
          <w:sz w:val="22"/>
          <w:szCs w:val="22"/>
        </w:rPr>
        <w:t>, an eligible business participant</w:t>
      </w:r>
      <w:r w:rsidR="00F25AB2">
        <w:rPr>
          <w:rFonts w:ascii="Arial" w:hAnsi="Arial" w:cs="Arial"/>
          <w:sz w:val="22"/>
          <w:szCs w:val="22"/>
        </w:rPr>
        <w:t xml:space="preserve"> for an entity</w:t>
      </w:r>
      <w:r w:rsidRPr="00310E76">
        <w:rPr>
          <w:rFonts w:ascii="Arial" w:hAnsi="Arial" w:cs="Arial"/>
          <w:sz w:val="22"/>
          <w:szCs w:val="22"/>
        </w:rPr>
        <w:t xml:space="preserve"> or an eligible religious practitioner</w:t>
      </w:r>
      <w:r w:rsidR="00F25AB2">
        <w:rPr>
          <w:rFonts w:ascii="Arial" w:hAnsi="Arial" w:cs="Arial"/>
          <w:sz w:val="22"/>
          <w:szCs w:val="22"/>
        </w:rPr>
        <w:t xml:space="preserve"> for an entity</w:t>
      </w:r>
      <w:r w:rsidR="00256FCD">
        <w:rPr>
          <w:rFonts w:ascii="Arial" w:hAnsi="Arial" w:cs="Arial"/>
          <w:sz w:val="22"/>
          <w:szCs w:val="22"/>
        </w:rPr>
        <w:t>. Th</w:t>
      </w:r>
      <w:r w:rsidR="006E6D25">
        <w:rPr>
          <w:rFonts w:ascii="Arial" w:hAnsi="Arial" w:cs="Arial"/>
          <w:sz w:val="22"/>
          <w:szCs w:val="22"/>
        </w:rPr>
        <w:t>is</w:t>
      </w:r>
      <w:r w:rsidR="00256FCD">
        <w:rPr>
          <w:rFonts w:ascii="Arial" w:hAnsi="Arial" w:cs="Arial"/>
          <w:sz w:val="22"/>
          <w:szCs w:val="22"/>
        </w:rPr>
        <w:t xml:space="preserve"> </w:t>
      </w:r>
      <w:r w:rsidR="00256FCD" w:rsidRPr="00310E76">
        <w:rPr>
          <w:rFonts w:ascii="Arial" w:hAnsi="Arial" w:cs="Arial"/>
          <w:sz w:val="22"/>
          <w:szCs w:val="22"/>
        </w:rPr>
        <w:t>alternative reference period</w:t>
      </w:r>
      <w:r w:rsidR="00256FCD">
        <w:rPr>
          <w:rFonts w:ascii="Arial" w:hAnsi="Arial" w:cs="Arial"/>
          <w:sz w:val="22"/>
          <w:szCs w:val="22"/>
        </w:rPr>
        <w:t xml:space="preserve"> appl</w:t>
      </w:r>
      <w:r w:rsidR="006E6D25">
        <w:rPr>
          <w:rFonts w:ascii="Arial" w:hAnsi="Arial" w:cs="Arial"/>
          <w:sz w:val="22"/>
          <w:szCs w:val="22"/>
        </w:rPr>
        <w:t>ies</w:t>
      </w:r>
      <w:r w:rsidRPr="00310E76">
        <w:rPr>
          <w:rFonts w:ascii="Arial" w:hAnsi="Arial" w:cs="Arial"/>
          <w:sz w:val="22"/>
          <w:szCs w:val="22"/>
        </w:rPr>
        <w:t xml:space="preserve"> </w:t>
      </w:r>
      <w:r w:rsidR="006E6D25">
        <w:rPr>
          <w:rFonts w:ascii="Arial" w:hAnsi="Arial" w:cs="Arial"/>
          <w:sz w:val="22"/>
          <w:szCs w:val="22"/>
        </w:rPr>
        <w:t>if</w:t>
      </w:r>
      <w:r w:rsidRPr="00310E76">
        <w:rPr>
          <w:rFonts w:ascii="Arial" w:hAnsi="Arial" w:cs="Arial"/>
          <w:sz w:val="22"/>
          <w:szCs w:val="22"/>
        </w:rPr>
        <w:t xml:space="preserve"> the Commissioner considers that </w:t>
      </w:r>
      <w:r w:rsidR="00F25AB2">
        <w:rPr>
          <w:rFonts w:ascii="Arial" w:hAnsi="Arial" w:cs="Arial"/>
          <w:sz w:val="22"/>
          <w:szCs w:val="22"/>
        </w:rPr>
        <w:t>a</w:t>
      </w:r>
      <w:r w:rsidRPr="00310E76">
        <w:rPr>
          <w:rFonts w:ascii="Arial" w:hAnsi="Arial" w:cs="Arial"/>
          <w:sz w:val="22"/>
          <w:szCs w:val="22"/>
        </w:rPr>
        <w:t xml:space="preserve"> period set out in </w:t>
      </w:r>
      <w:r w:rsidR="00D126BA">
        <w:rPr>
          <w:rFonts w:ascii="Arial" w:hAnsi="Arial" w:cs="Arial"/>
          <w:sz w:val="22"/>
          <w:szCs w:val="22"/>
        </w:rPr>
        <w:t xml:space="preserve">the table in </w:t>
      </w:r>
      <w:r w:rsidRPr="00310E76">
        <w:rPr>
          <w:rFonts w:ascii="Arial" w:hAnsi="Arial" w:cs="Arial"/>
          <w:sz w:val="22"/>
          <w:szCs w:val="22"/>
        </w:rPr>
        <w:t>subsection 4A(</w:t>
      </w:r>
      <w:r w:rsidR="00D126BA">
        <w:rPr>
          <w:rFonts w:ascii="Arial" w:hAnsi="Arial" w:cs="Arial"/>
          <w:sz w:val="22"/>
          <w:szCs w:val="22"/>
        </w:rPr>
        <w:t>1</w:t>
      </w:r>
      <w:r w:rsidRPr="00310E76">
        <w:rPr>
          <w:rFonts w:ascii="Arial" w:hAnsi="Arial" w:cs="Arial"/>
          <w:sz w:val="22"/>
          <w:szCs w:val="22"/>
        </w:rPr>
        <w:t xml:space="preserve">) </w:t>
      </w:r>
      <w:r w:rsidR="00F25AB2" w:rsidRPr="0091425D">
        <w:rPr>
          <w:rFonts w:ascii="Arial" w:hAnsi="Arial" w:cs="Arial"/>
          <w:bCs/>
          <w:sz w:val="22"/>
          <w:szCs w:val="22"/>
        </w:rPr>
        <w:t>the</w:t>
      </w:r>
      <w:r w:rsidR="00F25AB2" w:rsidRPr="000F4CAA">
        <w:rPr>
          <w:rFonts w:ascii="Arial" w:hAnsi="Arial" w:cs="Arial"/>
          <w:sz w:val="22"/>
          <w:szCs w:val="22"/>
        </w:rPr>
        <w:t xml:space="preserve"> </w:t>
      </w:r>
      <w:r w:rsidR="00F25AB2" w:rsidRPr="0091425D">
        <w:rPr>
          <w:rFonts w:ascii="Arial" w:hAnsi="Arial" w:cs="Arial"/>
          <w:bCs/>
          <w:sz w:val="22"/>
          <w:szCs w:val="22"/>
        </w:rPr>
        <w:t>Rules</w:t>
      </w:r>
      <w:r w:rsidR="00F25AB2">
        <w:rPr>
          <w:rFonts w:ascii="Arial" w:hAnsi="Arial" w:cs="Arial"/>
          <w:sz w:val="22"/>
          <w:szCs w:val="22"/>
        </w:rPr>
        <w:t xml:space="preserve"> </w:t>
      </w:r>
      <w:r w:rsidRPr="00310E76">
        <w:rPr>
          <w:rFonts w:ascii="Arial" w:hAnsi="Arial" w:cs="Arial"/>
          <w:sz w:val="22"/>
          <w:szCs w:val="22"/>
        </w:rPr>
        <w:t xml:space="preserve">may not be a suitable reference period for the purpose of applying subsection 9A(1), </w:t>
      </w:r>
      <w:r w:rsidR="00256FCD">
        <w:rPr>
          <w:rFonts w:ascii="Arial" w:hAnsi="Arial" w:cs="Arial"/>
          <w:sz w:val="22"/>
          <w:szCs w:val="22"/>
        </w:rPr>
        <w:t xml:space="preserve">subsection </w:t>
      </w:r>
      <w:r w:rsidRPr="00310E76">
        <w:rPr>
          <w:rFonts w:ascii="Arial" w:hAnsi="Arial" w:cs="Arial"/>
          <w:sz w:val="22"/>
          <w:szCs w:val="22"/>
        </w:rPr>
        <w:t xml:space="preserve">12AA(1) or </w:t>
      </w:r>
      <w:r w:rsidR="00256FCD">
        <w:rPr>
          <w:rFonts w:ascii="Arial" w:hAnsi="Arial" w:cs="Arial"/>
          <w:sz w:val="22"/>
          <w:szCs w:val="22"/>
        </w:rPr>
        <w:t xml:space="preserve">section </w:t>
      </w:r>
      <w:r w:rsidRPr="00310E76">
        <w:rPr>
          <w:rFonts w:ascii="Arial" w:hAnsi="Arial" w:cs="Arial"/>
          <w:sz w:val="22"/>
          <w:szCs w:val="22"/>
        </w:rPr>
        <w:t>12BA of the Rules to individuals in the specified class.</w:t>
      </w:r>
    </w:p>
    <w:p w14:paraId="71B3348B" w14:textId="35CD27BA" w:rsidR="00BE172E" w:rsidRPr="00240CFB" w:rsidRDefault="00486653" w:rsidP="00256FCD">
      <w:pPr>
        <w:numPr>
          <w:ilvl w:val="0"/>
          <w:numId w:val="1"/>
        </w:numPr>
        <w:spacing w:after="120"/>
        <w:ind w:left="0" w:firstLine="0"/>
        <w:rPr>
          <w:rFonts w:ascii="Arial" w:hAnsi="Arial" w:cs="Arial"/>
          <w:sz w:val="22"/>
          <w:szCs w:val="22"/>
        </w:rPr>
      </w:pPr>
      <w:r w:rsidRPr="00240CFB">
        <w:rPr>
          <w:rFonts w:ascii="Arial" w:hAnsi="Arial" w:cs="Arial"/>
          <w:sz w:val="22"/>
          <w:szCs w:val="22"/>
        </w:rPr>
        <w:t xml:space="preserve">The instrument is a legislative instrument for the purposes of the </w:t>
      </w:r>
      <w:r w:rsidR="00C4143E" w:rsidRPr="00240CFB">
        <w:rPr>
          <w:rFonts w:ascii="Arial" w:hAnsi="Arial" w:cs="Arial"/>
          <w:i/>
          <w:sz w:val="22"/>
          <w:szCs w:val="22"/>
        </w:rPr>
        <w:t xml:space="preserve">Legislation </w:t>
      </w:r>
      <w:r w:rsidRPr="00240CFB">
        <w:rPr>
          <w:rFonts w:ascii="Arial" w:hAnsi="Arial" w:cs="Arial"/>
          <w:i/>
          <w:sz w:val="22"/>
          <w:szCs w:val="22"/>
        </w:rPr>
        <w:t>Act 2003</w:t>
      </w:r>
      <w:r w:rsidRPr="00240CFB">
        <w:rPr>
          <w:rFonts w:ascii="Arial" w:hAnsi="Arial" w:cs="Arial"/>
          <w:sz w:val="22"/>
          <w:szCs w:val="22"/>
        </w:rPr>
        <w:t>.</w:t>
      </w:r>
    </w:p>
    <w:p w14:paraId="15AC1B61" w14:textId="6978B04C" w:rsidR="00B31550" w:rsidRPr="00240CFB" w:rsidRDefault="00B31550" w:rsidP="00551821">
      <w:pPr>
        <w:numPr>
          <w:ilvl w:val="0"/>
          <w:numId w:val="1"/>
        </w:numPr>
        <w:spacing w:after="120"/>
        <w:ind w:left="0" w:firstLine="0"/>
        <w:rPr>
          <w:rFonts w:ascii="Arial" w:hAnsi="Arial" w:cs="Arial"/>
          <w:sz w:val="22"/>
          <w:szCs w:val="22"/>
        </w:rPr>
      </w:pPr>
      <w:r w:rsidRPr="00240CFB">
        <w:rPr>
          <w:rFonts w:ascii="Arial" w:hAnsi="Arial" w:cs="Arial"/>
          <w:sz w:val="22"/>
          <w:szCs w:val="22"/>
        </w:rPr>
        <w:t xml:space="preserve">Under subsection 33(3) of the </w:t>
      </w:r>
      <w:r w:rsidRPr="00240CFB">
        <w:rPr>
          <w:rFonts w:ascii="Arial" w:hAnsi="Arial" w:cs="Arial"/>
          <w:i/>
          <w:sz w:val="22"/>
          <w:szCs w:val="22"/>
        </w:rPr>
        <w:t>Acts Interpretation Act 1901</w:t>
      </w:r>
      <w:r w:rsidRPr="00240CFB">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5AC1B62" w14:textId="77777777" w:rsidR="006302F7" w:rsidRPr="00240CFB" w:rsidRDefault="006302F7" w:rsidP="00910595">
      <w:pPr>
        <w:spacing w:after="120"/>
        <w:rPr>
          <w:rFonts w:ascii="Arial" w:hAnsi="Arial" w:cs="Arial"/>
          <w:sz w:val="22"/>
          <w:szCs w:val="22"/>
        </w:rPr>
      </w:pPr>
    </w:p>
    <w:p w14:paraId="15AC1B63" w14:textId="77777777" w:rsidR="001D02E6" w:rsidRPr="0091425D" w:rsidRDefault="001D02E6" w:rsidP="00910595">
      <w:pPr>
        <w:pStyle w:val="Heading2"/>
        <w:rPr>
          <w:sz w:val="28"/>
        </w:rPr>
      </w:pPr>
      <w:r w:rsidRPr="0091425D">
        <w:rPr>
          <w:sz w:val="28"/>
        </w:rPr>
        <w:t>Date of effect</w:t>
      </w:r>
    </w:p>
    <w:p w14:paraId="15AC1B65" w14:textId="5A6363D0" w:rsidR="00222AFB" w:rsidRPr="00240CFB" w:rsidRDefault="00222AFB" w:rsidP="00551821">
      <w:pPr>
        <w:numPr>
          <w:ilvl w:val="0"/>
          <w:numId w:val="1"/>
        </w:numPr>
        <w:spacing w:after="120"/>
        <w:ind w:left="0" w:firstLine="0"/>
        <w:rPr>
          <w:rFonts w:ascii="Arial" w:hAnsi="Arial" w:cs="Arial"/>
          <w:sz w:val="22"/>
          <w:szCs w:val="22"/>
        </w:rPr>
      </w:pPr>
      <w:r w:rsidRPr="00240CFB">
        <w:rPr>
          <w:rFonts w:ascii="Arial" w:hAnsi="Arial" w:cs="Arial"/>
          <w:sz w:val="22"/>
          <w:szCs w:val="22"/>
        </w:rPr>
        <w:t>This instrument commences on the day after it is registered on the Federal Register of Legislation.</w:t>
      </w:r>
    </w:p>
    <w:p w14:paraId="15AC1B6B" w14:textId="77777777" w:rsidR="00486653" w:rsidRPr="00240CFB" w:rsidRDefault="00486653" w:rsidP="00910595">
      <w:pPr>
        <w:spacing w:after="120"/>
        <w:rPr>
          <w:rFonts w:ascii="Arial" w:hAnsi="Arial" w:cs="Arial"/>
          <w:sz w:val="22"/>
          <w:szCs w:val="22"/>
        </w:rPr>
      </w:pPr>
    </w:p>
    <w:p w14:paraId="15AC1B6C" w14:textId="77777777" w:rsidR="00486653" w:rsidRPr="0091425D" w:rsidRDefault="00486653" w:rsidP="00910595">
      <w:pPr>
        <w:pStyle w:val="Heading2"/>
        <w:rPr>
          <w:sz w:val="28"/>
        </w:rPr>
      </w:pPr>
      <w:r w:rsidRPr="0091425D">
        <w:rPr>
          <w:sz w:val="28"/>
        </w:rPr>
        <w:t xml:space="preserve">What is the effect of this </w:t>
      </w:r>
      <w:proofErr w:type="gramStart"/>
      <w:r w:rsidRPr="0091425D">
        <w:rPr>
          <w:sz w:val="28"/>
        </w:rPr>
        <w:t>instrument</w:t>
      </w:r>
      <w:proofErr w:type="gramEnd"/>
    </w:p>
    <w:p w14:paraId="43B71A84" w14:textId="1E9E4021" w:rsidR="005077C4" w:rsidRDefault="00893CF1" w:rsidP="00526B92">
      <w:pPr>
        <w:numPr>
          <w:ilvl w:val="0"/>
          <w:numId w:val="1"/>
        </w:numPr>
        <w:spacing w:after="120"/>
        <w:ind w:left="0" w:firstLine="0"/>
        <w:rPr>
          <w:rFonts w:ascii="Arial" w:hAnsi="Arial" w:cs="Arial"/>
          <w:sz w:val="22"/>
          <w:szCs w:val="22"/>
        </w:rPr>
      </w:pPr>
      <w:r>
        <w:rPr>
          <w:rFonts w:ascii="Arial" w:hAnsi="Arial" w:cs="Arial"/>
          <w:sz w:val="22"/>
          <w:szCs w:val="22"/>
        </w:rPr>
        <w:t xml:space="preserve">The effect of this instrument is to </w:t>
      </w:r>
      <w:r w:rsidR="00F25AB2">
        <w:rPr>
          <w:rFonts w:ascii="Arial" w:hAnsi="Arial" w:cs="Arial"/>
          <w:sz w:val="22"/>
          <w:szCs w:val="22"/>
        </w:rPr>
        <w:t>determine</w:t>
      </w:r>
      <w:r w:rsidR="00526B92">
        <w:rPr>
          <w:rFonts w:ascii="Arial" w:hAnsi="Arial" w:cs="Arial"/>
          <w:sz w:val="22"/>
          <w:szCs w:val="22"/>
        </w:rPr>
        <w:t xml:space="preserve"> </w:t>
      </w:r>
      <w:r w:rsidR="00F25AB2">
        <w:rPr>
          <w:rFonts w:ascii="Arial" w:hAnsi="Arial" w:cs="Arial"/>
          <w:sz w:val="22"/>
          <w:szCs w:val="22"/>
        </w:rPr>
        <w:t xml:space="preserve">an </w:t>
      </w:r>
      <w:r w:rsidR="00C0659E">
        <w:rPr>
          <w:rFonts w:ascii="Arial" w:hAnsi="Arial" w:cs="Arial"/>
          <w:sz w:val="22"/>
          <w:szCs w:val="22"/>
        </w:rPr>
        <w:t>alternative reference period that appl</w:t>
      </w:r>
      <w:r w:rsidR="00F25AB2">
        <w:rPr>
          <w:rFonts w:ascii="Arial" w:hAnsi="Arial" w:cs="Arial"/>
          <w:sz w:val="22"/>
          <w:szCs w:val="22"/>
        </w:rPr>
        <w:t xml:space="preserve">ies </w:t>
      </w:r>
      <w:r w:rsidR="00C0659E">
        <w:rPr>
          <w:rFonts w:ascii="Arial" w:hAnsi="Arial" w:cs="Arial"/>
          <w:sz w:val="22"/>
          <w:szCs w:val="22"/>
        </w:rPr>
        <w:t xml:space="preserve">to </w:t>
      </w:r>
      <w:r w:rsidR="00F25AB2">
        <w:rPr>
          <w:rFonts w:ascii="Arial" w:hAnsi="Arial" w:cs="Arial"/>
          <w:sz w:val="22"/>
          <w:szCs w:val="22"/>
        </w:rPr>
        <w:t xml:space="preserve">a specified class of </w:t>
      </w:r>
      <w:r w:rsidR="00526B92">
        <w:rPr>
          <w:rFonts w:ascii="Arial" w:hAnsi="Arial" w:cs="Arial"/>
          <w:sz w:val="22"/>
          <w:szCs w:val="22"/>
        </w:rPr>
        <w:t xml:space="preserve">individuals </w:t>
      </w:r>
      <w:r w:rsidR="006E6D25">
        <w:rPr>
          <w:rFonts w:ascii="Arial" w:hAnsi="Arial" w:cs="Arial"/>
          <w:sz w:val="22"/>
          <w:szCs w:val="22"/>
        </w:rPr>
        <w:t>if</w:t>
      </w:r>
      <w:r w:rsidR="006E6D25" w:rsidRPr="00310E76">
        <w:rPr>
          <w:rFonts w:ascii="Arial" w:hAnsi="Arial" w:cs="Arial"/>
          <w:sz w:val="22"/>
          <w:szCs w:val="22"/>
        </w:rPr>
        <w:t xml:space="preserve"> the Commissioner considers that </w:t>
      </w:r>
      <w:r w:rsidR="006E6D25">
        <w:rPr>
          <w:rFonts w:ascii="Arial" w:hAnsi="Arial" w:cs="Arial"/>
          <w:sz w:val="22"/>
          <w:szCs w:val="22"/>
        </w:rPr>
        <w:t>a</w:t>
      </w:r>
      <w:r w:rsidR="006E6D25" w:rsidRPr="00310E76">
        <w:rPr>
          <w:rFonts w:ascii="Arial" w:hAnsi="Arial" w:cs="Arial"/>
          <w:sz w:val="22"/>
          <w:szCs w:val="22"/>
        </w:rPr>
        <w:t xml:space="preserve"> period set out in </w:t>
      </w:r>
      <w:r w:rsidR="006E6D25">
        <w:rPr>
          <w:rFonts w:ascii="Arial" w:hAnsi="Arial" w:cs="Arial"/>
          <w:sz w:val="22"/>
          <w:szCs w:val="22"/>
        </w:rPr>
        <w:t xml:space="preserve">the table in </w:t>
      </w:r>
      <w:r w:rsidR="006E6D25" w:rsidRPr="00310E76">
        <w:rPr>
          <w:rFonts w:ascii="Arial" w:hAnsi="Arial" w:cs="Arial"/>
          <w:sz w:val="22"/>
          <w:szCs w:val="22"/>
        </w:rPr>
        <w:t>subsection 4A(</w:t>
      </w:r>
      <w:r w:rsidR="006E6D25">
        <w:rPr>
          <w:rFonts w:ascii="Arial" w:hAnsi="Arial" w:cs="Arial"/>
          <w:sz w:val="22"/>
          <w:szCs w:val="22"/>
        </w:rPr>
        <w:t>1</w:t>
      </w:r>
      <w:r w:rsidR="006E6D25" w:rsidRPr="00310E76">
        <w:rPr>
          <w:rFonts w:ascii="Arial" w:hAnsi="Arial" w:cs="Arial"/>
          <w:sz w:val="22"/>
          <w:szCs w:val="22"/>
        </w:rPr>
        <w:t xml:space="preserve">) </w:t>
      </w:r>
      <w:r w:rsidR="006E6D25">
        <w:rPr>
          <w:rFonts w:ascii="Arial" w:hAnsi="Arial" w:cs="Arial"/>
          <w:sz w:val="22"/>
          <w:szCs w:val="22"/>
        </w:rPr>
        <w:t xml:space="preserve">of the </w:t>
      </w:r>
      <w:r w:rsidR="006E6D25" w:rsidRPr="00CE41C3">
        <w:rPr>
          <w:rFonts w:ascii="Arial" w:hAnsi="Arial" w:cs="Arial"/>
          <w:sz w:val="22"/>
          <w:szCs w:val="22"/>
        </w:rPr>
        <w:t>Rules</w:t>
      </w:r>
      <w:r w:rsidR="006E6D25">
        <w:rPr>
          <w:rFonts w:ascii="Arial" w:hAnsi="Arial" w:cs="Arial"/>
          <w:sz w:val="22"/>
          <w:szCs w:val="22"/>
        </w:rPr>
        <w:t xml:space="preserve"> </w:t>
      </w:r>
      <w:r w:rsidR="006E6D25" w:rsidRPr="00310E76">
        <w:rPr>
          <w:rFonts w:ascii="Arial" w:hAnsi="Arial" w:cs="Arial"/>
          <w:sz w:val="22"/>
          <w:szCs w:val="22"/>
        </w:rPr>
        <w:t xml:space="preserve">may not be a suitable reference period for the purpose of applying subsection 9A(1), </w:t>
      </w:r>
      <w:r w:rsidR="006E6D25">
        <w:rPr>
          <w:rFonts w:ascii="Arial" w:hAnsi="Arial" w:cs="Arial"/>
          <w:sz w:val="22"/>
          <w:szCs w:val="22"/>
        </w:rPr>
        <w:t xml:space="preserve">subsection </w:t>
      </w:r>
      <w:r w:rsidR="006E6D25" w:rsidRPr="00310E76">
        <w:rPr>
          <w:rFonts w:ascii="Arial" w:hAnsi="Arial" w:cs="Arial"/>
          <w:sz w:val="22"/>
          <w:szCs w:val="22"/>
        </w:rPr>
        <w:t xml:space="preserve">12AA(1) or </w:t>
      </w:r>
      <w:r w:rsidR="006E6D25">
        <w:rPr>
          <w:rFonts w:ascii="Arial" w:hAnsi="Arial" w:cs="Arial"/>
          <w:sz w:val="22"/>
          <w:szCs w:val="22"/>
        </w:rPr>
        <w:t xml:space="preserve">section </w:t>
      </w:r>
      <w:r w:rsidR="006E6D25" w:rsidRPr="00310E76">
        <w:rPr>
          <w:rFonts w:ascii="Arial" w:hAnsi="Arial" w:cs="Arial"/>
          <w:sz w:val="22"/>
          <w:szCs w:val="22"/>
        </w:rPr>
        <w:t>12BA of the Rules to individuals in the specified class</w:t>
      </w:r>
      <w:r w:rsidR="006E6D25">
        <w:rPr>
          <w:rFonts w:ascii="Arial" w:hAnsi="Arial" w:cs="Arial"/>
          <w:sz w:val="22"/>
          <w:szCs w:val="22"/>
        </w:rPr>
        <w:t xml:space="preserve">. </w:t>
      </w:r>
      <w:r w:rsidR="00C0659E">
        <w:rPr>
          <w:rFonts w:ascii="Arial" w:hAnsi="Arial" w:cs="Arial"/>
          <w:sz w:val="22"/>
          <w:szCs w:val="22"/>
        </w:rPr>
        <w:t xml:space="preserve">This will ensure that </w:t>
      </w:r>
      <w:r w:rsidR="007954C7">
        <w:rPr>
          <w:rFonts w:ascii="Arial" w:hAnsi="Arial" w:cs="Arial"/>
          <w:sz w:val="22"/>
          <w:szCs w:val="22"/>
        </w:rPr>
        <w:t xml:space="preserve">a </w:t>
      </w:r>
      <w:r w:rsidR="006E6D25">
        <w:rPr>
          <w:rFonts w:ascii="Arial" w:hAnsi="Arial" w:cs="Arial"/>
          <w:sz w:val="22"/>
          <w:szCs w:val="22"/>
        </w:rPr>
        <w:t>suitable</w:t>
      </w:r>
      <w:r w:rsidR="007954C7">
        <w:rPr>
          <w:rFonts w:ascii="Arial" w:hAnsi="Arial" w:cs="Arial"/>
          <w:sz w:val="22"/>
          <w:szCs w:val="22"/>
        </w:rPr>
        <w:t xml:space="preserve"> reference period applies to </w:t>
      </w:r>
      <w:r w:rsidR="00C0659E">
        <w:rPr>
          <w:rFonts w:ascii="Arial" w:hAnsi="Arial" w:cs="Arial"/>
          <w:sz w:val="22"/>
          <w:szCs w:val="22"/>
        </w:rPr>
        <w:t xml:space="preserve">individuals in these </w:t>
      </w:r>
      <w:r w:rsidR="006E6D25">
        <w:rPr>
          <w:rFonts w:ascii="Arial" w:hAnsi="Arial" w:cs="Arial"/>
          <w:sz w:val="22"/>
          <w:szCs w:val="22"/>
        </w:rPr>
        <w:t xml:space="preserve">specified </w:t>
      </w:r>
      <w:r w:rsidR="00C0659E">
        <w:rPr>
          <w:rFonts w:ascii="Arial" w:hAnsi="Arial" w:cs="Arial"/>
          <w:sz w:val="22"/>
          <w:szCs w:val="22"/>
        </w:rPr>
        <w:t xml:space="preserve">classes </w:t>
      </w:r>
      <w:r w:rsidR="006E6D25">
        <w:rPr>
          <w:rFonts w:ascii="Arial" w:hAnsi="Arial" w:cs="Arial"/>
          <w:sz w:val="22"/>
          <w:szCs w:val="22"/>
        </w:rPr>
        <w:t>for the purpose of determining whether the higher rate or the lower rate of the JobKeeper payment applies.</w:t>
      </w:r>
    </w:p>
    <w:p w14:paraId="15AC1B6F" w14:textId="525795EA" w:rsidR="00486653" w:rsidRPr="00C0659E" w:rsidRDefault="00486653" w:rsidP="00910595">
      <w:pPr>
        <w:spacing w:after="120"/>
        <w:rPr>
          <w:rFonts w:ascii="Arial" w:hAnsi="Arial" w:cs="Arial"/>
          <w:color w:val="0000FF"/>
          <w:sz w:val="22"/>
          <w:szCs w:val="22"/>
        </w:rPr>
      </w:pPr>
    </w:p>
    <w:p w14:paraId="6C5E1701" w14:textId="1596A1F5" w:rsidR="00640CC2" w:rsidRPr="0091425D" w:rsidRDefault="00640CC2" w:rsidP="00640CC2">
      <w:pPr>
        <w:pStyle w:val="Heading2"/>
        <w:rPr>
          <w:sz w:val="28"/>
        </w:rPr>
      </w:pPr>
      <w:r w:rsidRPr="0091425D">
        <w:rPr>
          <w:sz w:val="28"/>
        </w:rPr>
        <w:t xml:space="preserve">Compliance cost assessment </w:t>
      </w:r>
    </w:p>
    <w:p w14:paraId="319DC592" w14:textId="77777777" w:rsidR="008F29EF" w:rsidRPr="008751C6" w:rsidRDefault="008F29EF" w:rsidP="008751C6">
      <w:pPr>
        <w:numPr>
          <w:ilvl w:val="0"/>
          <w:numId w:val="1"/>
        </w:numPr>
        <w:spacing w:after="120"/>
        <w:ind w:left="0" w:firstLine="0"/>
        <w:rPr>
          <w:rFonts w:ascii="Arial" w:hAnsi="Arial" w:cs="Arial"/>
          <w:sz w:val="22"/>
          <w:szCs w:val="22"/>
        </w:rPr>
      </w:pPr>
      <w:r w:rsidRPr="008751C6">
        <w:rPr>
          <w:rFonts w:ascii="Arial" w:hAnsi="Arial" w:cs="Arial"/>
          <w:sz w:val="22"/>
          <w:szCs w:val="22"/>
        </w:rPr>
        <w:t xml:space="preserve">Compliance Cost Impact: Minor – There will be no or minimal impacts for both implementation and ongoing compliance costs. The legislative instrument is minor or machinery in nature. </w:t>
      </w:r>
    </w:p>
    <w:p w14:paraId="0A6162F6" w14:textId="34476295" w:rsidR="00085120" w:rsidRPr="008751C6" w:rsidRDefault="008F29EF" w:rsidP="008751C6">
      <w:pPr>
        <w:numPr>
          <w:ilvl w:val="0"/>
          <w:numId w:val="1"/>
        </w:numPr>
        <w:spacing w:after="120"/>
        <w:ind w:left="0" w:firstLine="0"/>
        <w:rPr>
          <w:rFonts w:ascii="Arial" w:hAnsi="Arial" w:cs="Arial"/>
          <w:sz w:val="22"/>
          <w:szCs w:val="22"/>
        </w:rPr>
      </w:pPr>
      <w:r w:rsidRPr="008751C6">
        <w:rPr>
          <w:rFonts w:ascii="Arial" w:hAnsi="Arial" w:cs="Arial"/>
          <w:sz w:val="22"/>
          <w:szCs w:val="22"/>
        </w:rPr>
        <w:t xml:space="preserve">No Regulation Impact Statement required. </w:t>
      </w:r>
      <w:r w:rsidR="00085120" w:rsidRPr="008751C6">
        <w:rPr>
          <w:rFonts w:ascii="Arial" w:hAnsi="Arial" w:cs="Arial"/>
          <w:sz w:val="22"/>
          <w:szCs w:val="22"/>
        </w:rPr>
        <w:t>Prime Minister's Exemption applies – COVID-19 related measures (OBPR ref ID 42600).</w:t>
      </w:r>
    </w:p>
    <w:p w14:paraId="5212290D" w14:textId="77777777" w:rsidR="00085120" w:rsidRPr="008B720D" w:rsidRDefault="00085120" w:rsidP="008B720D">
      <w:pPr>
        <w:spacing w:after="120"/>
        <w:rPr>
          <w:rFonts w:ascii="Arial" w:hAnsi="Arial" w:cs="Arial"/>
        </w:rPr>
      </w:pPr>
    </w:p>
    <w:p w14:paraId="15AC1B73" w14:textId="77777777" w:rsidR="00486653" w:rsidRPr="0091425D" w:rsidRDefault="00486653" w:rsidP="00910595">
      <w:pPr>
        <w:pStyle w:val="Heading2"/>
        <w:rPr>
          <w:sz w:val="28"/>
        </w:rPr>
      </w:pPr>
      <w:r w:rsidRPr="0091425D">
        <w:rPr>
          <w:sz w:val="28"/>
        </w:rPr>
        <w:t>Background</w:t>
      </w:r>
    </w:p>
    <w:p w14:paraId="17B50CC7" w14:textId="23C15DC5" w:rsidR="00884522" w:rsidRDefault="00C90403" w:rsidP="00CE41C3">
      <w:pPr>
        <w:numPr>
          <w:ilvl w:val="0"/>
          <w:numId w:val="1"/>
        </w:numPr>
        <w:spacing w:after="120"/>
        <w:ind w:left="0" w:firstLine="0"/>
        <w:rPr>
          <w:rFonts w:ascii="Arial" w:hAnsi="Arial" w:cs="Arial"/>
          <w:sz w:val="22"/>
          <w:szCs w:val="22"/>
        </w:rPr>
      </w:pPr>
      <w:r>
        <w:rPr>
          <w:rFonts w:ascii="Arial" w:hAnsi="Arial" w:cs="Arial"/>
          <w:sz w:val="22"/>
          <w:szCs w:val="22"/>
        </w:rPr>
        <w:t xml:space="preserve">For fortnights beginning on or after 28 September 2020, </w:t>
      </w:r>
      <w:r w:rsidR="007C0D17">
        <w:rPr>
          <w:rFonts w:ascii="Arial" w:hAnsi="Arial" w:cs="Arial"/>
          <w:sz w:val="22"/>
          <w:szCs w:val="22"/>
        </w:rPr>
        <w:t xml:space="preserve">there are two rates for </w:t>
      </w:r>
      <w:r w:rsidRPr="00370C94">
        <w:rPr>
          <w:rFonts w:ascii="Arial" w:hAnsi="Arial" w:cs="Arial"/>
          <w:sz w:val="22"/>
          <w:szCs w:val="22"/>
        </w:rPr>
        <w:t>Job</w:t>
      </w:r>
      <w:r>
        <w:rPr>
          <w:rFonts w:ascii="Arial" w:hAnsi="Arial" w:cs="Arial"/>
          <w:sz w:val="22"/>
          <w:szCs w:val="22"/>
        </w:rPr>
        <w:t>K</w:t>
      </w:r>
      <w:r w:rsidRPr="00370C94">
        <w:rPr>
          <w:rFonts w:ascii="Arial" w:hAnsi="Arial" w:cs="Arial"/>
          <w:sz w:val="22"/>
          <w:szCs w:val="22"/>
        </w:rPr>
        <w:t>eeper payment</w:t>
      </w:r>
      <w:r w:rsidR="007C0D17">
        <w:rPr>
          <w:rFonts w:ascii="Arial" w:hAnsi="Arial" w:cs="Arial"/>
          <w:sz w:val="22"/>
          <w:szCs w:val="22"/>
        </w:rPr>
        <w:t>s that entities can claim.</w:t>
      </w:r>
    </w:p>
    <w:p w14:paraId="293D60E9" w14:textId="71363040" w:rsidR="007C0D17" w:rsidRDefault="007C0D17" w:rsidP="006E6399">
      <w:pPr>
        <w:numPr>
          <w:ilvl w:val="0"/>
          <w:numId w:val="1"/>
        </w:numPr>
        <w:spacing w:after="120"/>
        <w:ind w:left="0" w:firstLine="0"/>
        <w:rPr>
          <w:rFonts w:ascii="Arial" w:hAnsi="Arial" w:cs="Arial"/>
          <w:sz w:val="22"/>
          <w:szCs w:val="22"/>
        </w:rPr>
      </w:pPr>
      <w:r>
        <w:rPr>
          <w:rFonts w:ascii="Arial" w:hAnsi="Arial" w:cs="Arial"/>
          <w:sz w:val="22"/>
          <w:szCs w:val="22"/>
        </w:rPr>
        <w:t>T</w:t>
      </w:r>
      <w:r w:rsidR="00C90403" w:rsidRPr="00C90403">
        <w:rPr>
          <w:rFonts w:ascii="Arial" w:hAnsi="Arial" w:cs="Arial"/>
          <w:sz w:val="22"/>
          <w:szCs w:val="22"/>
        </w:rPr>
        <w:t xml:space="preserve">he higher rate applies </w:t>
      </w:r>
      <w:r>
        <w:rPr>
          <w:rFonts w:ascii="Arial" w:hAnsi="Arial" w:cs="Arial"/>
          <w:sz w:val="22"/>
          <w:szCs w:val="22"/>
        </w:rPr>
        <w:t>to an individual</w:t>
      </w:r>
      <w:r w:rsidR="00E71A52">
        <w:rPr>
          <w:rFonts w:ascii="Arial" w:hAnsi="Arial" w:cs="Arial"/>
          <w:sz w:val="22"/>
          <w:szCs w:val="22"/>
        </w:rPr>
        <w:t xml:space="preserve"> who is an</w:t>
      </w:r>
      <w:r>
        <w:rPr>
          <w:rFonts w:ascii="Arial" w:hAnsi="Arial" w:cs="Arial"/>
          <w:sz w:val="22"/>
          <w:szCs w:val="22"/>
        </w:rPr>
        <w:t>:</w:t>
      </w:r>
    </w:p>
    <w:p w14:paraId="75A837CF" w14:textId="265A8B7D" w:rsidR="007C0D17" w:rsidRDefault="00C90403" w:rsidP="0091425D">
      <w:pPr>
        <w:numPr>
          <w:ilvl w:val="1"/>
          <w:numId w:val="1"/>
        </w:numPr>
        <w:spacing w:after="120"/>
        <w:rPr>
          <w:rFonts w:ascii="Arial" w:hAnsi="Arial" w:cs="Arial"/>
          <w:sz w:val="22"/>
          <w:szCs w:val="22"/>
        </w:rPr>
      </w:pPr>
      <w:r w:rsidRPr="00C90403">
        <w:rPr>
          <w:rFonts w:ascii="Arial" w:hAnsi="Arial" w:cs="Arial"/>
          <w:sz w:val="22"/>
          <w:szCs w:val="22"/>
        </w:rPr>
        <w:t>eligible employee</w:t>
      </w:r>
      <w:r w:rsidR="007C0D17">
        <w:rPr>
          <w:rFonts w:ascii="Arial" w:hAnsi="Arial" w:cs="Arial"/>
          <w:sz w:val="22"/>
          <w:szCs w:val="22"/>
        </w:rPr>
        <w:t xml:space="preserve">, </w:t>
      </w:r>
      <w:r w:rsidRPr="00C90403">
        <w:rPr>
          <w:rFonts w:ascii="Arial" w:hAnsi="Arial" w:cs="Arial"/>
          <w:sz w:val="22"/>
          <w:szCs w:val="22"/>
        </w:rPr>
        <w:t xml:space="preserve">if the employee’s total hours of work, paid leave and paid absence on public holidays </w:t>
      </w:r>
      <w:r w:rsidR="0028559F">
        <w:rPr>
          <w:rFonts w:ascii="Arial" w:hAnsi="Arial" w:cs="Arial"/>
          <w:sz w:val="22"/>
          <w:szCs w:val="22"/>
        </w:rPr>
        <w:t>in the individual’s employment with that entity in the reference period</w:t>
      </w:r>
      <w:r w:rsidR="0028559F" w:rsidRPr="00C90403">
        <w:rPr>
          <w:rFonts w:ascii="Arial" w:hAnsi="Arial" w:cs="Arial"/>
          <w:sz w:val="22"/>
          <w:szCs w:val="22"/>
        </w:rPr>
        <w:t xml:space="preserve"> </w:t>
      </w:r>
      <w:r w:rsidRPr="00C90403">
        <w:rPr>
          <w:rFonts w:ascii="Arial" w:hAnsi="Arial" w:cs="Arial"/>
          <w:sz w:val="22"/>
          <w:szCs w:val="22"/>
        </w:rPr>
        <w:t>was 80 hours or more</w:t>
      </w:r>
      <w:r w:rsidR="0028559F">
        <w:rPr>
          <w:rFonts w:ascii="Arial" w:hAnsi="Arial" w:cs="Arial"/>
          <w:sz w:val="22"/>
          <w:szCs w:val="22"/>
        </w:rPr>
        <w:t>;</w:t>
      </w:r>
    </w:p>
    <w:p w14:paraId="30BCFFB3" w14:textId="572DA130" w:rsidR="007C0D17" w:rsidRPr="00095530" w:rsidRDefault="00C90403" w:rsidP="0091425D">
      <w:pPr>
        <w:numPr>
          <w:ilvl w:val="1"/>
          <w:numId w:val="1"/>
        </w:numPr>
        <w:spacing w:after="120"/>
        <w:rPr>
          <w:rFonts w:ascii="Arial" w:hAnsi="Arial" w:cs="Arial"/>
          <w:sz w:val="22"/>
          <w:szCs w:val="22"/>
        </w:rPr>
      </w:pPr>
      <w:r w:rsidRPr="00095530">
        <w:rPr>
          <w:rFonts w:ascii="Arial" w:hAnsi="Arial" w:cs="Arial"/>
          <w:sz w:val="22"/>
          <w:szCs w:val="22"/>
        </w:rPr>
        <w:t>eligible business participant for an entity</w:t>
      </w:r>
      <w:r w:rsidR="00AA681B" w:rsidRPr="00095530">
        <w:rPr>
          <w:rFonts w:ascii="Arial" w:hAnsi="Arial" w:cs="Arial"/>
          <w:sz w:val="22"/>
          <w:szCs w:val="22"/>
        </w:rPr>
        <w:t xml:space="preserve">, </w:t>
      </w:r>
      <w:r w:rsidRPr="00095530">
        <w:rPr>
          <w:rFonts w:ascii="Arial" w:hAnsi="Arial" w:cs="Arial"/>
          <w:sz w:val="22"/>
          <w:szCs w:val="22"/>
        </w:rPr>
        <w:t>if the total number of hours</w:t>
      </w:r>
      <w:r w:rsidR="00AA681B" w:rsidRPr="00095530">
        <w:rPr>
          <w:rFonts w:ascii="Arial" w:hAnsi="Arial" w:cs="Arial"/>
          <w:sz w:val="22"/>
          <w:szCs w:val="22"/>
        </w:rPr>
        <w:t xml:space="preserve"> </w:t>
      </w:r>
      <w:r w:rsidR="0028559F">
        <w:rPr>
          <w:rFonts w:ascii="Arial" w:hAnsi="Arial" w:cs="Arial"/>
          <w:sz w:val="22"/>
          <w:szCs w:val="22"/>
        </w:rPr>
        <w:t xml:space="preserve">the eligible business participant was </w:t>
      </w:r>
      <w:r w:rsidR="0028559F" w:rsidRPr="00284F61">
        <w:rPr>
          <w:rFonts w:ascii="Arial" w:hAnsi="Arial" w:cs="Arial"/>
          <w:sz w:val="22"/>
          <w:szCs w:val="22"/>
        </w:rPr>
        <w:t>actively engaged in the business carried on by the entity</w:t>
      </w:r>
      <w:r w:rsidR="0028559F" w:rsidRPr="00095530">
        <w:rPr>
          <w:rFonts w:ascii="Arial" w:hAnsi="Arial" w:cs="Arial"/>
          <w:sz w:val="22"/>
          <w:szCs w:val="22"/>
        </w:rPr>
        <w:t xml:space="preserve"> </w:t>
      </w:r>
      <w:r w:rsidR="00AA681B" w:rsidRPr="00095530">
        <w:rPr>
          <w:rFonts w:ascii="Arial" w:hAnsi="Arial" w:cs="Arial"/>
          <w:sz w:val="22"/>
          <w:szCs w:val="22"/>
        </w:rPr>
        <w:t>was 80 hours or more</w:t>
      </w:r>
      <w:r w:rsidR="006C20BB" w:rsidRPr="00095530">
        <w:rPr>
          <w:rFonts w:ascii="Arial" w:hAnsi="Arial" w:cs="Arial"/>
          <w:sz w:val="22"/>
          <w:szCs w:val="22"/>
        </w:rPr>
        <w:t xml:space="preserve"> and certain notice requirements are met</w:t>
      </w:r>
      <w:r w:rsidR="0028559F">
        <w:rPr>
          <w:rFonts w:ascii="Arial" w:hAnsi="Arial" w:cs="Arial"/>
          <w:sz w:val="22"/>
          <w:szCs w:val="22"/>
        </w:rPr>
        <w:t>;</w:t>
      </w:r>
    </w:p>
    <w:p w14:paraId="7038905E" w14:textId="4116FB0D" w:rsidR="006C20BB" w:rsidRDefault="006C20BB" w:rsidP="0091425D">
      <w:pPr>
        <w:numPr>
          <w:ilvl w:val="1"/>
          <w:numId w:val="1"/>
        </w:numPr>
        <w:spacing w:after="120"/>
        <w:rPr>
          <w:rFonts w:ascii="Arial" w:hAnsi="Arial" w:cs="Arial"/>
          <w:sz w:val="22"/>
          <w:szCs w:val="22"/>
        </w:rPr>
      </w:pPr>
      <w:r w:rsidRPr="00095530">
        <w:rPr>
          <w:rFonts w:ascii="Arial" w:hAnsi="Arial" w:cs="Arial"/>
          <w:sz w:val="22"/>
          <w:szCs w:val="22"/>
        </w:rPr>
        <w:t xml:space="preserve">eligible religious practitioner for an entity, if the total number of hours </w:t>
      </w:r>
      <w:r w:rsidR="00216B74">
        <w:rPr>
          <w:rFonts w:ascii="Arial" w:hAnsi="Arial" w:cs="Arial"/>
          <w:sz w:val="22"/>
          <w:szCs w:val="22"/>
        </w:rPr>
        <w:t xml:space="preserve">the </w:t>
      </w:r>
      <w:r w:rsidR="00216B74" w:rsidRPr="00F24683">
        <w:rPr>
          <w:rFonts w:ascii="Arial" w:hAnsi="Arial" w:cs="Arial"/>
          <w:sz w:val="22"/>
          <w:szCs w:val="22"/>
        </w:rPr>
        <w:t xml:space="preserve">eligible religious practitioner </w:t>
      </w:r>
      <w:r w:rsidR="007C0D17">
        <w:rPr>
          <w:rFonts w:ascii="Arial" w:hAnsi="Arial" w:cs="Arial"/>
          <w:sz w:val="22"/>
          <w:szCs w:val="22"/>
        </w:rPr>
        <w:t xml:space="preserve">spent </w:t>
      </w:r>
      <w:r w:rsidRPr="00095530">
        <w:rPr>
          <w:rFonts w:ascii="Arial" w:hAnsi="Arial" w:cs="Arial"/>
          <w:sz w:val="22"/>
          <w:szCs w:val="22"/>
        </w:rPr>
        <w:t xml:space="preserve">doing an activity, or series of activities, in pursuit of their vocation </w:t>
      </w:r>
      <w:r w:rsidR="0010330F">
        <w:rPr>
          <w:rFonts w:ascii="Arial" w:hAnsi="Arial" w:cs="Arial"/>
          <w:sz w:val="22"/>
          <w:szCs w:val="22"/>
        </w:rPr>
        <w:t xml:space="preserve">and as a member of the entity </w:t>
      </w:r>
      <w:r w:rsidRPr="00095530">
        <w:rPr>
          <w:rFonts w:ascii="Arial" w:hAnsi="Arial" w:cs="Arial"/>
          <w:sz w:val="22"/>
          <w:szCs w:val="22"/>
        </w:rPr>
        <w:t xml:space="preserve">in a reference period was 80 hours or more and certain notice requirements are met. </w:t>
      </w:r>
    </w:p>
    <w:p w14:paraId="2A0128A2" w14:textId="037930E4" w:rsidR="007C0D17" w:rsidRPr="00095530" w:rsidRDefault="007C0D17">
      <w:pPr>
        <w:numPr>
          <w:ilvl w:val="0"/>
          <w:numId w:val="1"/>
        </w:numPr>
        <w:spacing w:after="120"/>
        <w:rPr>
          <w:rFonts w:ascii="Arial" w:hAnsi="Arial" w:cs="Arial"/>
          <w:sz w:val="22"/>
          <w:szCs w:val="22"/>
        </w:rPr>
      </w:pPr>
      <w:r w:rsidRPr="00C90403">
        <w:rPr>
          <w:rFonts w:ascii="Arial" w:hAnsi="Arial" w:cs="Arial"/>
          <w:sz w:val="22"/>
          <w:szCs w:val="22"/>
        </w:rPr>
        <w:t>Otherwise, the lower rate applies.</w:t>
      </w:r>
    </w:p>
    <w:p w14:paraId="1CFCD7EB" w14:textId="3B74379F" w:rsidR="00A215FE" w:rsidRPr="0091425D" w:rsidRDefault="00C45AED" w:rsidP="00A215FE">
      <w:pPr>
        <w:spacing w:after="120"/>
        <w:rPr>
          <w:rFonts w:ascii="Arial" w:hAnsi="Arial" w:cs="Arial"/>
          <w:szCs w:val="24"/>
        </w:rPr>
      </w:pPr>
      <w:r w:rsidRPr="0091425D">
        <w:rPr>
          <w:rFonts w:ascii="Arial" w:hAnsi="Arial" w:cs="Arial"/>
          <w:b/>
          <w:bCs/>
          <w:iCs/>
          <w:szCs w:val="24"/>
        </w:rPr>
        <w:t xml:space="preserve">The </w:t>
      </w:r>
      <w:r w:rsidR="00031823" w:rsidRPr="0091425D">
        <w:rPr>
          <w:rFonts w:ascii="Arial" w:hAnsi="Arial" w:cs="Arial"/>
          <w:b/>
          <w:bCs/>
          <w:iCs/>
          <w:szCs w:val="24"/>
        </w:rPr>
        <w:t>Commissioner</w:t>
      </w:r>
      <w:r w:rsidRPr="0091425D">
        <w:rPr>
          <w:rFonts w:ascii="Arial" w:hAnsi="Arial" w:cs="Arial"/>
          <w:b/>
          <w:bCs/>
          <w:iCs/>
          <w:szCs w:val="24"/>
        </w:rPr>
        <w:t xml:space="preserve"> has the power to</w:t>
      </w:r>
      <w:r w:rsidR="00031823" w:rsidRPr="0091425D">
        <w:rPr>
          <w:rFonts w:ascii="Arial" w:hAnsi="Arial" w:cs="Arial"/>
          <w:b/>
          <w:bCs/>
          <w:iCs/>
          <w:szCs w:val="24"/>
        </w:rPr>
        <w:t xml:space="preserve"> determi</w:t>
      </w:r>
      <w:r w:rsidRPr="0091425D">
        <w:rPr>
          <w:rFonts w:ascii="Arial" w:hAnsi="Arial" w:cs="Arial"/>
          <w:b/>
          <w:bCs/>
          <w:iCs/>
          <w:szCs w:val="24"/>
        </w:rPr>
        <w:t>ne an</w:t>
      </w:r>
      <w:r w:rsidR="00031823" w:rsidRPr="0091425D">
        <w:rPr>
          <w:rFonts w:ascii="Arial" w:hAnsi="Arial" w:cs="Arial"/>
          <w:b/>
          <w:bCs/>
          <w:iCs/>
          <w:szCs w:val="24"/>
        </w:rPr>
        <w:t xml:space="preserve"> alternative reference period</w:t>
      </w:r>
    </w:p>
    <w:p w14:paraId="54242E90" w14:textId="52C90B6F" w:rsidR="003D54F4" w:rsidRDefault="005A760B" w:rsidP="003D54F4">
      <w:pPr>
        <w:numPr>
          <w:ilvl w:val="0"/>
          <w:numId w:val="1"/>
        </w:numPr>
        <w:spacing w:after="120"/>
        <w:ind w:left="0" w:firstLine="0"/>
        <w:rPr>
          <w:rFonts w:ascii="Arial" w:hAnsi="Arial" w:cs="Arial"/>
          <w:sz w:val="22"/>
          <w:szCs w:val="22"/>
        </w:rPr>
      </w:pPr>
      <w:r w:rsidRPr="00B32A2F">
        <w:rPr>
          <w:rFonts w:ascii="Arial" w:hAnsi="Arial" w:cs="Arial"/>
          <w:sz w:val="22"/>
          <w:szCs w:val="22"/>
        </w:rPr>
        <w:t>Under s</w:t>
      </w:r>
      <w:r w:rsidR="00C63350" w:rsidRPr="00B32A2F">
        <w:rPr>
          <w:rFonts w:ascii="Arial" w:hAnsi="Arial" w:cs="Arial"/>
          <w:sz w:val="22"/>
          <w:szCs w:val="22"/>
        </w:rPr>
        <w:t>ubsection 4</w:t>
      </w:r>
      <w:proofErr w:type="gramStart"/>
      <w:r w:rsidR="00C63350" w:rsidRPr="00B32A2F">
        <w:rPr>
          <w:rFonts w:ascii="Arial" w:hAnsi="Arial" w:cs="Arial"/>
          <w:sz w:val="22"/>
          <w:szCs w:val="22"/>
        </w:rPr>
        <w:t>A(</w:t>
      </w:r>
      <w:proofErr w:type="gramEnd"/>
      <w:r w:rsidR="00D126BA">
        <w:rPr>
          <w:rFonts w:ascii="Arial" w:hAnsi="Arial" w:cs="Arial"/>
          <w:sz w:val="22"/>
          <w:szCs w:val="22"/>
        </w:rPr>
        <w:t>2</w:t>
      </w:r>
      <w:r w:rsidR="00C63350" w:rsidRPr="00B32A2F">
        <w:rPr>
          <w:rFonts w:ascii="Arial" w:hAnsi="Arial" w:cs="Arial"/>
          <w:sz w:val="22"/>
          <w:szCs w:val="22"/>
        </w:rPr>
        <w:t>) of the</w:t>
      </w:r>
      <w:r w:rsidR="00FD0AD4" w:rsidRPr="00B32A2F">
        <w:rPr>
          <w:rFonts w:ascii="Arial" w:hAnsi="Arial" w:cs="Arial"/>
          <w:sz w:val="22"/>
          <w:szCs w:val="22"/>
        </w:rPr>
        <w:t xml:space="preserve"> Rules</w:t>
      </w:r>
      <w:r w:rsidRPr="00B32A2F">
        <w:rPr>
          <w:rFonts w:ascii="Arial" w:hAnsi="Arial" w:cs="Arial"/>
          <w:sz w:val="22"/>
          <w:szCs w:val="22"/>
        </w:rPr>
        <w:t>,</w:t>
      </w:r>
      <w:r w:rsidR="00FD0AD4" w:rsidRPr="00B32A2F">
        <w:rPr>
          <w:rFonts w:ascii="Arial" w:hAnsi="Arial" w:cs="Arial"/>
          <w:sz w:val="22"/>
          <w:szCs w:val="22"/>
        </w:rPr>
        <w:t xml:space="preserve"> </w:t>
      </w:r>
      <w:r w:rsidR="00B32A2F" w:rsidRPr="00B32A2F">
        <w:rPr>
          <w:rFonts w:ascii="Arial" w:hAnsi="Arial" w:cs="Arial"/>
          <w:sz w:val="22"/>
          <w:szCs w:val="22"/>
        </w:rPr>
        <w:t xml:space="preserve">the Commissioner has a power to determine, by legislative instrument, an alternative reference period </w:t>
      </w:r>
      <w:r w:rsidR="00226760">
        <w:rPr>
          <w:rFonts w:ascii="Arial" w:hAnsi="Arial" w:cs="Arial"/>
          <w:sz w:val="22"/>
          <w:szCs w:val="22"/>
        </w:rPr>
        <w:t>to establish</w:t>
      </w:r>
      <w:r w:rsidR="00226760" w:rsidRPr="00B32A2F">
        <w:rPr>
          <w:rFonts w:ascii="Arial" w:hAnsi="Arial" w:cs="Arial"/>
          <w:sz w:val="22"/>
          <w:szCs w:val="22"/>
        </w:rPr>
        <w:t xml:space="preserve"> if</w:t>
      </w:r>
      <w:r w:rsidR="00B32A2F" w:rsidRPr="00B32A2F">
        <w:rPr>
          <w:rFonts w:ascii="Arial" w:hAnsi="Arial" w:cs="Arial"/>
          <w:sz w:val="22"/>
          <w:szCs w:val="22"/>
        </w:rPr>
        <w:t xml:space="preserve"> the higher or lower JobKeeper rate applies in respect of </w:t>
      </w:r>
      <w:r w:rsidR="00342496">
        <w:rPr>
          <w:rFonts w:ascii="Arial" w:hAnsi="Arial" w:cs="Arial"/>
          <w:sz w:val="22"/>
          <w:szCs w:val="22"/>
        </w:rPr>
        <w:t xml:space="preserve">eligible </w:t>
      </w:r>
      <w:r w:rsidR="00B32A2F" w:rsidRPr="00B32A2F">
        <w:rPr>
          <w:rFonts w:ascii="Arial" w:hAnsi="Arial" w:cs="Arial"/>
          <w:sz w:val="22"/>
          <w:szCs w:val="22"/>
        </w:rPr>
        <w:t xml:space="preserve">employees, </w:t>
      </w:r>
      <w:r w:rsidR="00342496">
        <w:rPr>
          <w:rFonts w:ascii="Arial" w:hAnsi="Arial" w:cs="Arial"/>
          <w:sz w:val="22"/>
          <w:szCs w:val="22"/>
        </w:rPr>
        <w:t xml:space="preserve">eligible </w:t>
      </w:r>
      <w:r w:rsidR="00B32A2F" w:rsidRPr="00B32A2F">
        <w:rPr>
          <w:rFonts w:ascii="Arial" w:hAnsi="Arial" w:cs="Arial"/>
          <w:sz w:val="22"/>
          <w:szCs w:val="22"/>
        </w:rPr>
        <w:t xml:space="preserve">business participants and </w:t>
      </w:r>
      <w:r w:rsidR="00342496">
        <w:rPr>
          <w:rFonts w:ascii="Arial" w:hAnsi="Arial" w:cs="Arial"/>
          <w:sz w:val="22"/>
          <w:szCs w:val="22"/>
        </w:rPr>
        <w:t xml:space="preserve">eligible </w:t>
      </w:r>
      <w:r w:rsidR="00B32A2F" w:rsidRPr="00B32A2F">
        <w:rPr>
          <w:rFonts w:ascii="Arial" w:hAnsi="Arial" w:cs="Arial"/>
          <w:sz w:val="22"/>
          <w:szCs w:val="22"/>
        </w:rPr>
        <w:t>religious practitioners.</w:t>
      </w:r>
    </w:p>
    <w:p w14:paraId="6617662A" w14:textId="7AC1A28B" w:rsidR="003D54F4" w:rsidRDefault="00696776" w:rsidP="003D54F4">
      <w:pPr>
        <w:numPr>
          <w:ilvl w:val="0"/>
          <w:numId w:val="1"/>
        </w:numPr>
        <w:spacing w:after="120"/>
        <w:ind w:left="0" w:firstLine="0"/>
        <w:rPr>
          <w:rFonts w:ascii="Arial" w:hAnsi="Arial" w:cs="Arial"/>
          <w:sz w:val="22"/>
          <w:szCs w:val="22"/>
        </w:rPr>
      </w:pPr>
      <w:r>
        <w:rPr>
          <w:rFonts w:ascii="Arial" w:hAnsi="Arial" w:cs="Arial"/>
          <w:sz w:val="22"/>
          <w:szCs w:val="22"/>
        </w:rPr>
        <w:t>S</w:t>
      </w:r>
      <w:r w:rsidR="003D54F4" w:rsidRPr="003D54F4">
        <w:rPr>
          <w:rFonts w:ascii="Arial" w:hAnsi="Arial" w:cs="Arial"/>
          <w:sz w:val="22"/>
          <w:szCs w:val="22"/>
        </w:rPr>
        <w:t>ubsection </w:t>
      </w:r>
      <w:r w:rsidR="003D54F4" w:rsidRPr="00B32A2F">
        <w:rPr>
          <w:rFonts w:ascii="Arial" w:hAnsi="Arial" w:cs="Arial"/>
          <w:sz w:val="22"/>
          <w:szCs w:val="22"/>
        </w:rPr>
        <w:t>4</w:t>
      </w:r>
      <w:proofErr w:type="gramStart"/>
      <w:r w:rsidR="003D54F4" w:rsidRPr="00B32A2F">
        <w:rPr>
          <w:rFonts w:ascii="Arial" w:hAnsi="Arial" w:cs="Arial"/>
          <w:sz w:val="22"/>
          <w:szCs w:val="22"/>
        </w:rPr>
        <w:t>A(</w:t>
      </w:r>
      <w:proofErr w:type="gramEnd"/>
      <w:r w:rsidR="00D126BA">
        <w:rPr>
          <w:rFonts w:ascii="Arial" w:hAnsi="Arial" w:cs="Arial"/>
          <w:sz w:val="22"/>
          <w:szCs w:val="22"/>
        </w:rPr>
        <w:t>2</w:t>
      </w:r>
      <w:r w:rsidR="003D54F4" w:rsidRPr="00B32A2F">
        <w:rPr>
          <w:rFonts w:ascii="Arial" w:hAnsi="Arial" w:cs="Arial"/>
          <w:sz w:val="22"/>
          <w:szCs w:val="22"/>
        </w:rPr>
        <w:t>)</w:t>
      </w:r>
      <w:r w:rsidR="003D54F4">
        <w:rPr>
          <w:rFonts w:ascii="Arial" w:hAnsi="Arial" w:cs="Arial"/>
          <w:sz w:val="22"/>
          <w:szCs w:val="22"/>
        </w:rPr>
        <w:t xml:space="preserve"> </w:t>
      </w:r>
      <w:r w:rsidR="003D54F4" w:rsidRPr="003D54F4">
        <w:rPr>
          <w:rFonts w:ascii="Arial" w:hAnsi="Arial" w:cs="Arial"/>
          <w:sz w:val="22"/>
          <w:szCs w:val="22"/>
        </w:rPr>
        <w:t>provides that:</w:t>
      </w:r>
    </w:p>
    <w:p w14:paraId="43B81DF6" w14:textId="6A9E3A04" w:rsidR="00D126BA" w:rsidRPr="00D126BA" w:rsidRDefault="00D126BA" w:rsidP="003D54F4">
      <w:pPr>
        <w:spacing w:after="120"/>
        <w:ind w:left="709"/>
        <w:rPr>
          <w:rFonts w:ascii="Arial" w:hAnsi="Arial" w:cs="Arial"/>
          <w:sz w:val="20"/>
        </w:rPr>
      </w:pPr>
      <w:r w:rsidRPr="00CE41C3">
        <w:rPr>
          <w:rFonts w:ascii="Arial" w:hAnsi="Arial" w:cs="Arial"/>
          <w:sz w:val="20"/>
        </w:rPr>
        <w:t xml:space="preserve">The Commissioner may, by legislative instrument, determine that an alternative reference period applies to a specified class of individuals if the Commissioner considers that a period set out in the table in subsection (1) may not be a suitable reference period for the purpose of applying subsection 9A(1), 12AA(1) or </w:t>
      </w:r>
      <w:r w:rsidR="006C0FA2">
        <w:rPr>
          <w:rFonts w:ascii="Arial" w:hAnsi="Arial" w:cs="Arial"/>
          <w:sz w:val="20"/>
        </w:rPr>
        <w:t xml:space="preserve">section </w:t>
      </w:r>
      <w:r w:rsidRPr="00CE41C3">
        <w:rPr>
          <w:rFonts w:ascii="Arial" w:hAnsi="Arial" w:cs="Arial"/>
          <w:sz w:val="20"/>
        </w:rPr>
        <w:t>12BA to individuals in the specified class.</w:t>
      </w:r>
    </w:p>
    <w:p w14:paraId="48A9E813" w14:textId="63CC036B" w:rsidR="00342496" w:rsidRDefault="00F37A28" w:rsidP="003D54F4">
      <w:pPr>
        <w:numPr>
          <w:ilvl w:val="0"/>
          <w:numId w:val="1"/>
        </w:numPr>
        <w:spacing w:after="120"/>
        <w:ind w:left="0" w:firstLine="0"/>
        <w:rPr>
          <w:rFonts w:ascii="Arial" w:hAnsi="Arial" w:cs="Arial"/>
          <w:sz w:val="22"/>
          <w:szCs w:val="22"/>
        </w:rPr>
      </w:pPr>
      <w:r w:rsidRPr="008B720D">
        <w:rPr>
          <w:rFonts w:ascii="Arial" w:hAnsi="Arial" w:cs="Arial"/>
          <w:sz w:val="22"/>
          <w:szCs w:val="22"/>
        </w:rPr>
        <w:t>Hence, there are</w:t>
      </w:r>
      <w:r w:rsidR="00342496">
        <w:rPr>
          <w:rFonts w:ascii="Arial" w:hAnsi="Arial" w:cs="Arial"/>
          <w:sz w:val="22"/>
          <w:szCs w:val="22"/>
        </w:rPr>
        <w:t xml:space="preserve"> two conditions:</w:t>
      </w:r>
    </w:p>
    <w:p w14:paraId="74AF68FE" w14:textId="61891B73" w:rsidR="00342496" w:rsidRDefault="00F37A28" w:rsidP="0091425D">
      <w:pPr>
        <w:numPr>
          <w:ilvl w:val="1"/>
          <w:numId w:val="1"/>
        </w:numPr>
        <w:spacing w:after="120"/>
        <w:rPr>
          <w:rFonts w:ascii="Arial" w:hAnsi="Arial" w:cs="Arial"/>
          <w:sz w:val="22"/>
          <w:szCs w:val="22"/>
        </w:rPr>
      </w:pPr>
      <w:r>
        <w:rPr>
          <w:rFonts w:ascii="Arial" w:hAnsi="Arial" w:cs="Arial"/>
          <w:sz w:val="22"/>
          <w:szCs w:val="22"/>
        </w:rPr>
        <w:t xml:space="preserve">the Commissioner must </w:t>
      </w:r>
      <w:r w:rsidR="00342496">
        <w:rPr>
          <w:rFonts w:ascii="Arial" w:hAnsi="Arial" w:cs="Arial"/>
          <w:sz w:val="22"/>
          <w:szCs w:val="22"/>
        </w:rPr>
        <w:t xml:space="preserve">identify </w:t>
      </w:r>
      <w:r w:rsidR="003D54F4" w:rsidRPr="003D54F4">
        <w:rPr>
          <w:rFonts w:ascii="Arial" w:hAnsi="Arial" w:cs="Arial"/>
          <w:sz w:val="22"/>
          <w:szCs w:val="22"/>
        </w:rPr>
        <w:t xml:space="preserve">a </w:t>
      </w:r>
      <w:r w:rsidR="003D54F4">
        <w:rPr>
          <w:rFonts w:ascii="Arial" w:hAnsi="Arial" w:cs="Arial"/>
          <w:sz w:val="22"/>
          <w:szCs w:val="22"/>
        </w:rPr>
        <w:t xml:space="preserve">specified </w:t>
      </w:r>
      <w:r w:rsidR="003D54F4" w:rsidRPr="003D54F4">
        <w:rPr>
          <w:rFonts w:ascii="Arial" w:hAnsi="Arial" w:cs="Arial"/>
          <w:sz w:val="22"/>
          <w:szCs w:val="22"/>
        </w:rPr>
        <w:t xml:space="preserve">class of </w:t>
      </w:r>
      <w:r w:rsidR="003D54F4">
        <w:rPr>
          <w:rFonts w:ascii="Arial" w:hAnsi="Arial" w:cs="Arial"/>
          <w:sz w:val="22"/>
          <w:szCs w:val="22"/>
        </w:rPr>
        <w:t>individuals</w:t>
      </w:r>
      <w:r w:rsidR="00342496">
        <w:rPr>
          <w:rFonts w:ascii="Arial" w:hAnsi="Arial" w:cs="Arial"/>
          <w:sz w:val="22"/>
          <w:szCs w:val="22"/>
        </w:rPr>
        <w:t>;</w:t>
      </w:r>
      <w:r w:rsidR="00216B74">
        <w:rPr>
          <w:rFonts w:ascii="Arial" w:hAnsi="Arial" w:cs="Arial"/>
          <w:sz w:val="22"/>
          <w:szCs w:val="22"/>
        </w:rPr>
        <w:t xml:space="preserve"> and</w:t>
      </w:r>
    </w:p>
    <w:p w14:paraId="44E26ACF" w14:textId="109257FF" w:rsidR="00806085" w:rsidRDefault="00F37A28" w:rsidP="0091425D">
      <w:pPr>
        <w:numPr>
          <w:ilvl w:val="1"/>
          <w:numId w:val="1"/>
        </w:numPr>
        <w:spacing w:after="120"/>
        <w:rPr>
          <w:rFonts w:ascii="Arial" w:hAnsi="Arial" w:cs="Arial"/>
          <w:sz w:val="22"/>
          <w:szCs w:val="22"/>
        </w:rPr>
      </w:pPr>
      <w:r>
        <w:rPr>
          <w:rFonts w:ascii="Arial" w:hAnsi="Arial" w:cs="Arial"/>
          <w:sz w:val="22"/>
          <w:szCs w:val="22"/>
        </w:rPr>
        <w:t xml:space="preserve">the Commissioner must </w:t>
      </w:r>
      <w:r w:rsidR="003D54F4" w:rsidRPr="00B32A2F">
        <w:rPr>
          <w:rFonts w:ascii="Arial" w:hAnsi="Arial" w:cs="Arial"/>
          <w:sz w:val="22"/>
          <w:szCs w:val="22"/>
        </w:rPr>
        <w:t>consider</w:t>
      </w:r>
      <w:r w:rsidR="00E71A52">
        <w:rPr>
          <w:rFonts w:ascii="Arial" w:hAnsi="Arial" w:cs="Arial"/>
          <w:sz w:val="22"/>
          <w:szCs w:val="22"/>
        </w:rPr>
        <w:t>,</w:t>
      </w:r>
      <w:r w:rsidR="003D54F4" w:rsidRPr="00B32A2F">
        <w:rPr>
          <w:rFonts w:ascii="Arial" w:hAnsi="Arial" w:cs="Arial"/>
          <w:sz w:val="22"/>
          <w:szCs w:val="22"/>
        </w:rPr>
        <w:t xml:space="preserve"> </w:t>
      </w:r>
      <w:r w:rsidR="00342496">
        <w:rPr>
          <w:rFonts w:ascii="Arial" w:hAnsi="Arial" w:cs="Arial"/>
          <w:sz w:val="22"/>
          <w:szCs w:val="22"/>
        </w:rPr>
        <w:t>and in doing so, conclude</w:t>
      </w:r>
      <w:r w:rsidR="00E71A52">
        <w:rPr>
          <w:rFonts w:ascii="Arial" w:hAnsi="Arial" w:cs="Arial"/>
          <w:sz w:val="22"/>
          <w:szCs w:val="22"/>
        </w:rPr>
        <w:t>,</w:t>
      </w:r>
      <w:r w:rsidR="00342496">
        <w:rPr>
          <w:rFonts w:ascii="Arial" w:hAnsi="Arial" w:cs="Arial"/>
          <w:sz w:val="22"/>
          <w:szCs w:val="22"/>
        </w:rPr>
        <w:t xml:space="preserve"> </w:t>
      </w:r>
      <w:r w:rsidR="003D54F4" w:rsidRPr="00B32A2F">
        <w:rPr>
          <w:rFonts w:ascii="Arial" w:hAnsi="Arial" w:cs="Arial"/>
          <w:sz w:val="22"/>
          <w:szCs w:val="22"/>
        </w:rPr>
        <w:t xml:space="preserve">that the </w:t>
      </w:r>
      <w:r w:rsidR="002B1265">
        <w:rPr>
          <w:rFonts w:ascii="Arial" w:hAnsi="Arial" w:cs="Arial"/>
          <w:sz w:val="22"/>
          <w:szCs w:val="22"/>
        </w:rPr>
        <w:t>standard</w:t>
      </w:r>
      <w:r w:rsidR="006C0FA2">
        <w:rPr>
          <w:rFonts w:ascii="Arial" w:hAnsi="Arial" w:cs="Arial"/>
          <w:sz w:val="22"/>
          <w:szCs w:val="22"/>
        </w:rPr>
        <w:t xml:space="preserve"> </w:t>
      </w:r>
      <w:r w:rsidR="003D54F4" w:rsidRPr="00B32A2F">
        <w:rPr>
          <w:rFonts w:ascii="Arial" w:hAnsi="Arial" w:cs="Arial"/>
          <w:sz w:val="22"/>
          <w:szCs w:val="22"/>
        </w:rPr>
        <w:t xml:space="preserve">reference period </w:t>
      </w:r>
      <w:r w:rsidR="003D54F4">
        <w:rPr>
          <w:rFonts w:ascii="Arial" w:hAnsi="Arial" w:cs="Arial"/>
          <w:sz w:val="22"/>
          <w:szCs w:val="22"/>
        </w:rPr>
        <w:t>may</w:t>
      </w:r>
      <w:r w:rsidR="003D54F4" w:rsidRPr="00B32A2F">
        <w:rPr>
          <w:rFonts w:ascii="Arial" w:hAnsi="Arial" w:cs="Arial"/>
          <w:sz w:val="22"/>
          <w:szCs w:val="22"/>
        </w:rPr>
        <w:t xml:space="preserve"> not </w:t>
      </w:r>
      <w:r w:rsidR="003D54F4">
        <w:rPr>
          <w:rFonts w:ascii="Arial" w:hAnsi="Arial" w:cs="Arial"/>
          <w:sz w:val="22"/>
          <w:szCs w:val="22"/>
        </w:rPr>
        <w:t xml:space="preserve">be </w:t>
      </w:r>
      <w:r w:rsidR="003D54F4" w:rsidRPr="00B32A2F">
        <w:rPr>
          <w:rFonts w:ascii="Arial" w:hAnsi="Arial" w:cs="Arial"/>
          <w:sz w:val="22"/>
          <w:szCs w:val="22"/>
        </w:rPr>
        <w:t xml:space="preserve">a suitable reference period for the purposes of determining the hours </w:t>
      </w:r>
      <w:r w:rsidR="00342496">
        <w:rPr>
          <w:rFonts w:ascii="Arial" w:hAnsi="Arial" w:cs="Arial"/>
          <w:sz w:val="22"/>
          <w:szCs w:val="22"/>
        </w:rPr>
        <w:t xml:space="preserve">of the </w:t>
      </w:r>
      <w:r w:rsidR="00CF1A25">
        <w:rPr>
          <w:rFonts w:ascii="Arial" w:hAnsi="Arial" w:cs="Arial"/>
          <w:sz w:val="22"/>
          <w:szCs w:val="22"/>
        </w:rPr>
        <w:t>specified class</w:t>
      </w:r>
      <w:r w:rsidR="00342496">
        <w:rPr>
          <w:rFonts w:ascii="Arial" w:hAnsi="Arial" w:cs="Arial"/>
          <w:sz w:val="22"/>
          <w:szCs w:val="22"/>
        </w:rPr>
        <w:t>.</w:t>
      </w:r>
    </w:p>
    <w:p w14:paraId="3C77451B" w14:textId="54173407" w:rsidR="00C34657" w:rsidRDefault="0060271A" w:rsidP="008B720D">
      <w:pPr>
        <w:numPr>
          <w:ilvl w:val="0"/>
          <w:numId w:val="1"/>
        </w:numPr>
        <w:spacing w:after="120"/>
        <w:ind w:left="0" w:firstLine="0"/>
        <w:rPr>
          <w:rFonts w:ascii="Arial" w:hAnsi="Arial" w:cs="Arial"/>
          <w:sz w:val="22"/>
          <w:szCs w:val="22"/>
        </w:rPr>
      </w:pPr>
      <w:r>
        <w:rPr>
          <w:rFonts w:ascii="Arial" w:hAnsi="Arial" w:cs="Arial"/>
          <w:sz w:val="22"/>
          <w:szCs w:val="22"/>
        </w:rPr>
        <w:t>For these purposes, t</w:t>
      </w:r>
      <w:r w:rsidR="00C34657">
        <w:rPr>
          <w:rFonts w:ascii="Arial" w:hAnsi="Arial" w:cs="Arial"/>
          <w:sz w:val="22"/>
          <w:szCs w:val="22"/>
        </w:rPr>
        <w:t>he standard reference period is:</w:t>
      </w:r>
    </w:p>
    <w:p w14:paraId="135218D3" w14:textId="524BAAB8" w:rsidR="00C34657" w:rsidRPr="00C34657" w:rsidRDefault="00C34657" w:rsidP="008B720D">
      <w:pPr>
        <w:numPr>
          <w:ilvl w:val="1"/>
          <w:numId w:val="1"/>
        </w:numPr>
        <w:spacing w:after="120"/>
        <w:rPr>
          <w:rFonts w:ascii="Arial" w:hAnsi="Arial" w:cs="Arial"/>
          <w:sz w:val="22"/>
          <w:szCs w:val="22"/>
        </w:rPr>
      </w:pPr>
      <w:r w:rsidRPr="00C34657">
        <w:rPr>
          <w:rFonts w:ascii="Arial" w:hAnsi="Arial" w:cs="Arial"/>
          <w:sz w:val="22"/>
          <w:szCs w:val="22"/>
        </w:rPr>
        <w:t xml:space="preserve">for an eligible employee of </w:t>
      </w:r>
      <w:r>
        <w:rPr>
          <w:rFonts w:ascii="Arial" w:hAnsi="Arial" w:cs="Arial"/>
          <w:sz w:val="22"/>
          <w:szCs w:val="22"/>
        </w:rPr>
        <w:t>an</w:t>
      </w:r>
      <w:r w:rsidRPr="00C34657">
        <w:rPr>
          <w:rFonts w:ascii="Arial" w:hAnsi="Arial" w:cs="Arial"/>
          <w:sz w:val="22"/>
          <w:szCs w:val="22"/>
        </w:rPr>
        <w:t xml:space="preserve"> entity </w:t>
      </w:r>
      <w:r w:rsidR="006D510D">
        <w:rPr>
          <w:rFonts w:ascii="Arial" w:hAnsi="Arial" w:cs="Arial"/>
          <w:sz w:val="22"/>
          <w:szCs w:val="22"/>
        </w:rPr>
        <w:t xml:space="preserve">– </w:t>
      </w:r>
      <w:r w:rsidRPr="0060271A">
        <w:rPr>
          <w:rFonts w:ascii="Arial" w:hAnsi="Arial" w:cs="Arial"/>
          <w:sz w:val="22"/>
          <w:szCs w:val="22"/>
        </w:rPr>
        <w:t xml:space="preserve">the </w:t>
      </w:r>
      <w:r w:rsidR="008B720D">
        <w:rPr>
          <w:rFonts w:ascii="Arial" w:hAnsi="Arial" w:cs="Arial"/>
          <w:sz w:val="22"/>
          <w:szCs w:val="22"/>
        </w:rPr>
        <w:t>28-day</w:t>
      </w:r>
      <w:r w:rsidRPr="0060271A">
        <w:rPr>
          <w:rFonts w:ascii="Arial" w:hAnsi="Arial" w:cs="Arial"/>
          <w:sz w:val="22"/>
          <w:szCs w:val="22"/>
        </w:rPr>
        <w:t xml:space="preserve"> period ending at the end of the most recent pay cycle for the employee for the entity to end before 1 March 2020, or the </w:t>
      </w:r>
      <w:r w:rsidR="008B720D">
        <w:rPr>
          <w:rFonts w:ascii="Arial" w:hAnsi="Arial" w:cs="Arial"/>
          <w:sz w:val="22"/>
          <w:szCs w:val="22"/>
        </w:rPr>
        <w:t>28-day</w:t>
      </w:r>
      <w:r w:rsidRPr="0060271A">
        <w:rPr>
          <w:rFonts w:ascii="Arial" w:hAnsi="Arial" w:cs="Arial"/>
          <w:sz w:val="22"/>
          <w:szCs w:val="22"/>
        </w:rPr>
        <w:t xml:space="preserve"> period ending at the end of the most recent pay cycle for the employee for the entity to end before 1 July 2020</w:t>
      </w:r>
      <w:r>
        <w:rPr>
          <w:rFonts w:ascii="Arial" w:hAnsi="Arial" w:cs="Arial"/>
          <w:sz w:val="22"/>
          <w:szCs w:val="22"/>
        </w:rPr>
        <w:t>;</w:t>
      </w:r>
    </w:p>
    <w:p w14:paraId="4F8F1D4F" w14:textId="689D3E30" w:rsidR="00C34657" w:rsidRPr="00C34657" w:rsidRDefault="00C34657" w:rsidP="008B720D">
      <w:pPr>
        <w:numPr>
          <w:ilvl w:val="1"/>
          <w:numId w:val="1"/>
        </w:numPr>
        <w:spacing w:after="120"/>
        <w:rPr>
          <w:rFonts w:ascii="Arial" w:hAnsi="Arial" w:cs="Arial"/>
          <w:sz w:val="22"/>
          <w:szCs w:val="22"/>
        </w:rPr>
      </w:pPr>
      <w:r>
        <w:rPr>
          <w:rFonts w:ascii="Arial" w:hAnsi="Arial" w:cs="Arial"/>
          <w:sz w:val="22"/>
          <w:szCs w:val="22"/>
        </w:rPr>
        <w:t>for an e</w:t>
      </w:r>
      <w:r w:rsidRPr="00C34657">
        <w:rPr>
          <w:rFonts w:ascii="Arial" w:hAnsi="Arial" w:cs="Arial"/>
          <w:sz w:val="22"/>
          <w:szCs w:val="22"/>
        </w:rPr>
        <w:t>ligible business participant</w:t>
      </w:r>
      <w:r w:rsidR="00063E5C">
        <w:rPr>
          <w:rFonts w:ascii="Arial" w:hAnsi="Arial" w:cs="Arial"/>
          <w:sz w:val="22"/>
          <w:szCs w:val="22"/>
        </w:rPr>
        <w:t>,</w:t>
      </w:r>
      <w:r>
        <w:rPr>
          <w:rFonts w:ascii="Arial" w:hAnsi="Arial" w:cs="Arial"/>
          <w:sz w:val="22"/>
          <w:szCs w:val="22"/>
        </w:rPr>
        <w:t xml:space="preserve"> or </w:t>
      </w:r>
      <w:r w:rsidRPr="00C34657">
        <w:rPr>
          <w:rFonts w:ascii="Arial" w:hAnsi="Arial" w:cs="Arial"/>
          <w:sz w:val="22"/>
          <w:szCs w:val="22"/>
        </w:rPr>
        <w:t>an eligible religious practitioner</w:t>
      </w:r>
      <w:r w:rsidR="00063E5C">
        <w:rPr>
          <w:rFonts w:ascii="Arial" w:hAnsi="Arial" w:cs="Arial"/>
          <w:sz w:val="22"/>
          <w:szCs w:val="22"/>
        </w:rPr>
        <w:t>,</w:t>
      </w:r>
      <w:r w:rsidRPr="00C34657">
        <w:rPr>
          <w:rFonts w:ascii="Arial" w:hAnsi="Arial" w:cs="Arial"/>
          <w:sz w:val="22"/>
          <w:szCs w:val="22"/>
        </w:rPr>
        <w:t xml:space="preserve"> </w:t>
      </w:r>
      <w:r>
        <w:rPr>
          <w:rFonts w:ascii="Arial" w:hAnsi="Arial" w:cs="Arial"/>
          <w:sz w:val="22"/>
          <w:szCs w:val="22"/>
        </w:rPr>
        <w:t>for</w:t>
      </w:r>
      <w:r w:rsidRPr="00C34657">
        <w:rPr>
          <w:rFonts w:ascii="Arial" w:hAnsi="Arial" w:cs="Arial"/>
          <w:sz w:val="22"/>
          <w:szCs w:val="22"/>
        </w:rPr>
        <w:t xml:space="preserve"> </w:t>
      </w:r>
      <w:r>
        <w:rPr>
          <w:rFonts w:ascii="Arial" w:hAnsi="Arial" w:cs="Arial"/>
          <w:sz w:val="22"/>
          <w:szCs w:val="22"/>
        </w:rPr>
        <w:t>an</w:t>
      </w:r>
      <w:r w:rsidRPr="00C34657">
        <w:rPr>
          <w:rFonts w:ascii="Arial" w:hAnsi="Arial" w:cs="Arial"/>
          <w:sz w:val="22"/>
          <w:szCs w:val="22"/>
        </w:rPr>
        <w:t xml:space="preserve"> entity</w:t>
      </w:r>
      <w:r>
        <w:rPr>
          <w:rFonts w:ascii="Arial" w:hAnsi="Arial" w:cs="Arial"/>
          <w:sz w:val="22"/>
          <w:szCs w:val="22"/>
        </w:rPr>
        <w:t xml:space="preserve"> - </w:t>
      </w:r>
      <w:r w:rsidRPr="00C34657">
        <w:rPr>
          <w:rFonts w:ascii="Arial" w:hAnsi="Arial" w:cs="Arial"/>
          <w:sz w:val="22"/>
          <w:szCs w:val="22"/>
        </w:rPr>
        <w:t>the month of February 2020</w:t>
      </w:r>
      <w:r>
        <w:rPr>
          <w:rFonts w:ascii="Arial" w:hAnsi="Arial" w:cs="Arial"/>
          <w:sz w:val="22"/>
          <w:szCs w:val="22"/>
        </w:rPr>
        <w:t>.</w:t>
      </w:r>
    </w:p>
    <w:p w14:paraId="0DAB415C" w14:textId="6DB9E6B8" w:rsidR="003D54F4" w:rsidRPr="00806085" w:rsidRDefault="00342496" w:rsidP="00806085">
      <w:pPr>
        <w:numPr>
          <w:ilvl w:val="0"/>
          <w:numId w:val="1"/>
        </w:numPr>
        <w:spacing w:after="120"/>
        <w:ind w:left="0" w:firstLine="0"/>
        <w:rPr>
          <w:rFonts w:ascii="Arial" w:hAnsi="Arial" w:cs="Arial"/>
          <w:sz w:val="22"/>
          <w:szCs w:val="22"/>
        </w:rPr>
      </w:pPr>
      <w:r>
        <w:rPr>
          <w:rFonts w:ascii="Arial" w:hAnsi="Arial" w:cs="Arial"/>
          <w:sz w:val="22"/>
          <w:szCs w:val="22"/>
        </w:rPr>
        <w:t>T</w:t>
      </w:r>
      <w:r w:rsidR="003D54F4" w:rsidRPr="00806085">
        <w:rPr>
          <w:rFonts w:ascii="Arial" w:hAnsi="Arial" w:cs="Arial"/>
          <w:sz w:val="22"/>
          <w:szCs w:val="22"/>
        </w:rPr>
        <w:t xml:space="preserve">he Commissioner cannot determine </w:t>
      </w:r>
      <w:r w:rsidR="00806085">
        <w:rPr>
          <w:rFonts w:ascii="Arial" w:hAnsi="Arial" w:cs="Arial"/>
          <w:sz w:val="22"/>
          <w:szCs w:val="22"/>
        </w:rPr>
        <w:t xml:space="preserve">that </w:t>
      </w:r>
      <w:r w:rsidR="003D54F4" w:rsidRPr="00806085">
        <w:rPr>
          <w:rFonts w:ascii="Arial" w:hAnsi="Arial" w:cs="Arial"/>
          <w:sz w:val="22"/>
          <w:szCs w:val="22"/>
        </w:rPr>
        <w:t xml:space="preserve">an alternative </w:t>
      </w:r>
      <w:r w:rsidR="00806085">
        <w:rPr>
          <w:rFonts w:ascii="Arial" w:hAnsi="Arial" w:cs="Arial"/>
          <w:sz w:val="22"/>
          <w:szCs w:val="22"/>
        </w:rPr>
        <w:t xml:space="preserve">reference period applies </w:t>
      </w:r>
      <w:r w:rsidR="003D54F4" w:rsidRPr="00806085">
        <w:rPr>
          <w:rFonts w:ascii="Arial" w:hAnsi="Arial" w:cs="Arial"/>
          <w:sz w:val="22"/>
          <w:szCs w:val="22"/>
        </w:rPr>
        <w:t>in all circumstances</w:t>
      </w:r>
      <w:r>
        <w:rPr>
          <w:rFonts w:ascii="Arial" w:hAnsi="Arial" w:cs="Arial"/>
          <w:sz w:val="22"/>
          <w:szCs w:val="22"/>
        </w:rPr>
        <w:t>,</w:t>
      </w:r>
      <w:r w:rsidR="003D54F4" w:rsidRPr="00806085">
        <w:rPr>
          <w:rFonts w:ascii="Arial" w:hAnsi="Arial" w:cs="Arial"/>
          <w:sz w:val="22"/>
          <w:szCs w:val="22"/>
        </w:rPr>
        <w:t xml:space="preserve"> only in circumstances where</w:t>
      </w:r>
      <w:r w:rsidR="00806085">
        <w:rPr>
          <w:rFonts w:ascii="Arial" w:hAnsi="Arial" w:cs="Arial"/>
          <w:sz w:val="22"/>
          <w:szCs w:val="22"/>
        </w:rPr>
        <w:t xml:space="preserve"> the </w:t>
      </w:r>
      <w:r w:rsidR="002B1265">
        <w:rPr>
          <w:rFonts w:ascii="Arial" w:hAnsi="Arial" w:cs="Arial"/>
          <w:sz w:val="22"/>
          <w:szCs w:val="22"/>
        </w:rPr>
        <w:t>standard</w:t>
      </w:r>
      <w:r w:rsidR="00806085">
        <w:rPr>
          <w:rFonts w:ascii="Arial" w:hAnsi="Arial" w:cs="Arial"/>
          <w:sz w:val="22"/>
          <w:szCs w:val="22"/>
        </w:rPr>
        <w:t xml:space="preserve"> reference period may not be suitable</w:t>
      </w:r>
      <w:r w:rsidR="003D54F4" w:rsidRPr="00806085">
        <w:rPr>
          <w:rFonts w:ascii="Arial" w:hAnsi="Arial" w:cs="Arial"/>
          <w:sz w:val="22"/>
          <w:szCs w:val="22"/>
        </w:rPr>
        <w:t>.</w:t>
      </w:r>
    </w:p>
    <w:p w14:paraId="3283AFD7" w14:textId="4F0E5CF5" w:rsidR="00B32A2F" w:rsidRDefault="00D56BC8" w:rsidP="00551821">
      <w:pPr>
        <w:numPr>
          <w:ilvl w:val="0"/>
          <w:numId w:val="1"/>
        </w:numPr>
        <w:spacing w:after="120"/>
        <w:ind w:left="0" w:firstLine="0"/>
        <w:rPr>
          <w:rFonts w:ascii="Arial" w:hAnsi="Arial" w:cs="Arial"/>
          <w:sz w:val="22"/>
          <w:szCs w:val="22"/>
        </w:rPr>
      </w:pPr>
      <w:r>
        <w:rPr>
          <w:rFonts w:ascii="Arial" w:hAnsi="Arial" w:cs="Arial"/>
          <w:sz w:val="22"/>
          <w:szCs w:val="22"/>
        </w:rPr>
        <w:t xml:space="preserve">This legislative instrument sets out circumstances in which </w:t>
      </w:r>
      <w:r w:rsidR="00D66D8A">
        <w:rPr>
          <w:rFonts w:ascii="Arial" w:hAnsi="Arial" w:cs="Arial"/>
          <w:sz w:val="22"/>
          <w:szCs w:val="22"/>
        </w:rPr>
        <w:t xml:space="preserve">the </w:t>
      </w:r>
      <w:r w:rsidR="00B32A2F">
        <w:rPr>
          <w:rFonts w:ascii="Arial" w:hAnsi="Arial" w:cs="Arial"/>
          <w:sz w:val="22"/>
          <w:szCs w:val="22"/>
        </w:rPr>
        <w:t xml:space="preserve">Commissioner considers </w:t>
      </w:r>
      <w:r w:rsidR="002C0430">
        <w:rPr>
          <w:rFonts w:ascii="Arial" w:hAnsi="Arial" w:cs="Arial"/>
          <w:sz w:val="22"/>
          <w:szCs w:val="22"/>
        </w:rPr>
        <w:t xml:space="preserve">the </w:t>
      </w:r>
      <w:r w:rsidR="002B1265">
        <w:rPr>
          <w:rFonts w:ascii="Arial" w:hAnsi="Arial" w:cs="Arial"/>
          <w:sz w:val="22"/>
          <w:szCs w:val="22"/>
        </w:rPr>
        <w:t>standard</w:t>
      </w:r>
      <w:r w:rsidR="00D66D8A">
        <w:rPr>
          <w:rFonts w:ascii="Arial" w:hAnsi="Arial" w:cs="Arial"/>
          <w:sz w:val="22"/>
          <w:szCs w:val="22"/>
        </w:rPr>
        <w:t xml:space="preserve"> reference period </w:t>
      </w:r>
      <w:r w:rsidR="00B32A2F">
        <w:rPr>
          <w:rFonts w:ascii="Arial" w:hAnsi="Arial" w:cs="Arial"/>
          <w:sz w:val="22"/>
          <w:szCs w:val="22"/>
        </w:rPr>
        <w:t xml:space="preserve">in </w:t>
      </w:r>
      <w:r w:rsidR="00364002">
        <w:rPr>
          <w:rFonts w:ascii="Arial" w:hAnsi="Arial" w:cs="Arial"/>
          <w:sz w:val="22"/>
          <w:szCs w:val="22"/>
        </w:rPr>
        <w:t xml:space="preserve">subsection </w:t>
      </w:r>
      <w:r w:rsidR="00B32A2F">
        <w:rPr>
          <w:rFonts w:ascii="Arial" w:hAnsi="Arial" w:cs="Arial"/>
          <w:sz w:val="22"/>
          <w:szCs w:val="22"/>
        </w:rPr>
        <w:t>4A(</w:t>
      </w:r>
      <w:r w:rsidR="00247324">
        <w:rPr>
          <w:rFonts w:ascii="Arial" w:hAnsi="Arial" w:cs="Arial"/>
          <w:sz w:val="22"/>
          <w:szCs w:val="22"/>
        </w:rPr>
        <w:t>1</w:t>
      </w:r>
      <w:r w:rsidR="00B32A2F">
        <w:rPr>
          <w:rFonts w:ascii="Arial" w:hAnsi="Arial" w:cs="Arial"/>
          <w:sz w:val="22"/>
          <w:szCs w:val="22"/>
        </w:rPr>
        <w:t xml:space="preserve">) of the </w:t>
      </w:r>
      <w:r w:rsidR="00AF3B76">
        <w:rPr>
          <w:rFonts w:ascii="Arial" w:hAnsi="Arial" w:cs="Arial"/>
          <w:sz w:val="22"/>
          <w:szCs w:val="22"/>
        </w:rPr>
        <w:t>Rules</w:t>
      </w:r>
      <w:r w:rsidR="00B32A2F">
        <w:rPr>
          <w:rFonts w:ascii="Arial" w:hAnsi="Arial" w:cs="Arial"/>
          <w:sz w:val="22"/>
          <w:szCs w:val="22"/>
        </w:rPr>
        <w:t xml:space="preserve"> </w:t>
      </w:r>
      <w:r w:rsidR="00E71A52">
        <w:rPr>
          <w:rFonts w:ascii="Arial" w:hAnsi="Arial" w:cs="Arial"/>
          <w:sz w:val="22"/>
          <w:szCs w:val="22"/>
        </w:rPr>
        <w:t xml:space="preserve">may </w:t>
      </w:r>
      <w:r w:rsidR="002C0430">
        <w:rPr>
          <w:rFonts w:ascii="Arial" w:hAnsi="Arial" w:cs="Arial"/>
          <w:sz w:val="22"/>
          <w:szCs w:val="22"/>
        </w:rPr>
        <w:t xml:space="preserve">not </w:t>
      </w:r>
      <w:r w:rsidR="00E71A52">
        <w:rPr>
          <w:rFonts w:ascii="Arial" w:hAnsi="Arial" w:cs="Arial"/>
          <w:sz w:val="22"/>
          <w:szCs w:val="22"/>
        </w:rPr>
        <w:t>be</w:t>
      </w:r>
      <w:r w:rsidR="002C0430">
        <w:rPr>
          <w:rFonts w:ascii="Arial" w:hAnsi="Arial" w:cs="Arial"/>
          <w:sz w:val="22"/>
          <w:szCs w:val="22"/>
        </w:rPr>
        <w:t xml:space="preserve"> </w:t>
      </w:r>
      <w:r w:rsidR="002C0430" w:rsidRPr="00B32A2F">
        <w:rPr>
          <w:rFonts w:ascii="Arial" w:hAnsi="Arial" w:cs="Arial"/>
          <w:sz w:val="22"/>
          <w:szCs w:val="22"/>
        </w:rPr>
        <w:t>a suitable</w:t>
      </w:r>
      <w:r w:rsidR="00B32A2F" w:rsidRPr="00B32A2F">
        <w:rPr>
          <w:rFonts w:ascii="Arial" w:hAnsi="Arial" w:cs="Arial"/>
          <w:sz w:val="22"/>
          <w:szCs w:val="22"/>
        </w:rPr>
        <w:t xml:space="preserve"> reference period for the purpose of applying subsection 9A(1), </w:t>
      </w:r>
      <w:r w:rsidR="00364002">
        <w:rPr>
          <w:rFonts w:ascii="Arial" w:hAnsi="Arial" w:cs="Arial"/>
          <w:sz w:val="22"/>
          <w:szCs w:val="22"/>
        </w:rPr>
        <w:t xml:space="preserve">subsection </w:t>
      </w:r>
      <w:r w:rsidR="00B32A2F" w:rsidRPr="00B32A2F">
        <w:rPr>
          <w:rFonts w:ascii="Arial" w:hAnsi="Arial" w:cs="Arial"/>
          <w:sz w:val="22"/>
          <w:szCs w:val="22"/>
        </w:rPr>
        <w:t xml:space="preserve">12AA(1) </w:t>
      </w:r>
      <w:r w:rsidR="00364002">
        <w:rPr>
          <w:rFonts w:ascii="Arial" w:hAnsi="Arial" w:cs="Arial"/>
          <w:sz w:val="22"/>
          <w:szCs w:val="22"/>
        </w:rPr>
        <w:t>or section</w:t>
      </w:r>
      <w:r w:rsidR="00B32A2F" w:rsidRPr="00B32A2F">
        <w:rPr>
          <w:rFonts w:ascii="Arial" w:hAnsi="Arial" w:cs="Arial"/>
          <w:sz w:val="22"/>
          <w:szCs w:val="22"/>
        </w:rPr>
        <w:t xml:space="preserve"> 12BA </w:t>
      </w:r>
      <w:r w:rsidR="00490BA8">
        <w:rPr>
          <w:rFonts w:ascii="Arial" w:hAnsi="Arial" w:cs="Arial"/>
          <w:sz w:val="22"/>
          <w:szCs w:val="22"/>
        </w:rPr>
        <w:t xml:space="preserve">of the </w:t>
      </w:r>
      <w:r w:rsidR="00AF3B76">
        <w:rPr>
          <w:rFonts w:ascii="Arial" w:hAnsi="Arial" w:cs="Arial"/>
          <w:sz w:val="22"/>
          <w:szCs w:val="22"/>
        </w:rPr>
        <w:t>Rules</w:t>
      </w:r>
      <w:r w:rsidR="00490BA8">
        <w:rPr>
          <w:rFonts w:ascii="Arial" w:hAnsi="Arial" w:cs="Arial"/>
          <w:sz w:val="22"/>
          <w:szCs w:val="22"/>
        </w:rPr>
        <w:t xml:space="preserve"> </w:t>
      </w:r>
      <w:r w:rsidR="00B32A2F" w:rsidRPr="00B32A2F">
        <w:rPr>
          <w:rFonts w:ascii="Arial" w:hAnsi="Arial" w:cs="Arial"/>
          <w:sz w:val="22"/>
          <w:szCs w:val="22"/>
        </w:rPr>
        <w:t xml:space="preserve">to individuals in </w:t>
      </w:r>
      <w:r w:rsidR="00806085">
        <w:rPr>
          <w:rFonts w:ascii="Arial" w:hAnsi="Arial" w:cs="Arial"/>
          <w:sz w:val="22"/>
          <w:szCs w:val="22"/>
        </w:rPr>
        <w:t>certain</w:t>
      </w:r>
      <w:r w:rsidR="00B32A2F" w:rsidRPr="00B32A2F">
        <w:rPr>
          <w:rFonts w:ascii="Arial" w:hAnsi="Arial" w:cs="Arial"/>
          <w:sz w:val="22"/>
          <w:szCs w:val="22"/>
        </w:rPr>
        <w:t xml:space="preserve"> class</w:t>
      </w:r>
      <w:r w:rsidR="00B32A2F">
        <w:rPr>
          <w:rFonts w:ascii="Arial" w:hAnsi="Arial" w:cs="Arial"/>
          <w:sz w:val="22"/>
          <w:szCs w:val="22"/>
        </w:rPr>
        <w:t>es.</w:t>
      </w:r>
    </w:p>
    <w:p w14:paraId="76A499BF" w14:textId="4D81A267" w:rsidR="00490BA8" w:rsidRDefault="00D56BC8" w:rsidP="00551821">
      <w:pPr>
        <w:numPr>
          <w:ilvl w:val="0"/>
          <w:numId w:val="1"/>
        </w:numPr>
        <w:spacing w:after="120"/>
        <w:ind w:left="0" w:firstLine="0"/>
        <w:rPr>
          <w:rFonts w:ascii="Arial" w:hAnsi="Arial" w:cs="Arial"/>
          <w:sz w:val="22"/>
          <w:szCs w:val="22"/>
        </w:rPr>
      </w:pPr>
      <w:r>
        <w:rPr>
          <w:rFonts w:ascii="Arial" w:hAnsi="Arial" w:cs="Arial"/>
          <w:sz w:val="22"/>
          <w:szCs w:val="22"/>
        </w:rPr>
        <w:t>It also sets out alternative reference period</w:t>
      </w:r>
      <w:r w:rsidR="00490BA8">
        <w:rPr>
          <w:rFonts w:ascii="Arial" w:hAnsi="Arial" w:cs="Arial"/>
          <w:sz w:val="22"/>
          <w:szCs w:val="22"/>
        </w:rPr>
        <w:t>s</w:t>
      </w:r>
      <w:r>
        <w:rPr>
          <w:rFonts w:ascii="Arial" w:hAnsi="Arial" w:cs="Arial"/>
          <w:sz w:val="22"/>
          <w:szCs w:val="22"/>
        </w:rPr>
        <w:t xml:space="preserve"> </w:t>
      </w:r>
      <w:r w:rsidR="00490BA8">
        <w:rPr>
          <w:rFonts w:ascii="Arial" w:hAnsi="Arial" w:cs="Arial"/>
          <w:sz w:val="22"/>
          <w:szCs w:val="22"/>
        </w:rPr>
        <w:t xml:space="preserve">that apply </w:t>
      </w:r>
      <w:r>
        <w:rPr>
          <w:rFonts w:ascii="Arial" w:hAnsi="Arial" w:cs="Arial"/>
          <w:sz w:val="22"/>
          <w:szCs w:val="22"/>
        </w:rPr>
        <w:t xml:space="preserve">in </w:t>
      </w:r>
      <w:r w:rsidR="00490BA8">
        <w:rPr>
          <w:rFonts w:ascii="Arial" w:hAnsi="Arial" w:cs="Arial"/>
          <w:sz w:val="22"/>
          <w:szCs w:val="22"/>
        </w:rPr>
        <w:t xml:space="preserve">those </w:t>
      </w:r>
      <w:r>
        <w:rPr>
          <w:rFonts w:ascii="Arial" w:hAnsi="Arial" w:cs="Arial"/>
          <w:sz w:val="22"/>
          <w:szCs w:val="22"/>
        </w:rPr>
        <w:t xml:space="preserve">circumstances. </w:t>
      </w:r>
    </w:p>
    <w:p w14:paraId="1A28AC87" w14:textId="1F012E62" w:rsidR="00342496" w:rsidRPr="0091425D" w:rsidRDefault="00342496" w:rsidP="0091425D">
      <w:pPr>
        <w:numPr>
          <w:ilvl w:val="0"/>
          <w:numId w:val="1"/>
        </w:numPr>
        <w:spacing w:after="120"/>
        <w:ind w:left="0" w:firstLine="0"/>
        <w:rPr>
          <w:rFonts w:ascii="Arial" w:hAnsi="Arial" w:cs="Arial"/>
          <w:sz w:val="22"/>
          <w:szCs w:val="22"/>
        </w:rPr>
      </w:pPr>
      <w:r w:rsidRPr="0091425D">
        <w:rPr>
          <w:rFonts w:ascii="Arial" w:hAnsi="Arial" w:cs="Arial"/>
          <w:sz w:val="22"/>
          <w:szCs w:val="22"/>
        </w:rPr>
        <w:lastRenderedPageBreak/>
        <w:t xml:space="preserve">Importantly, where </w:t>
      </w:r>
      <w:r w:rsidR="00490BA8" w:rsidRPr="00CE41C3">
        <w:rPr>
          <w:rFonts w:ascii="Arial" w:hAnsi="Arial" w:cs="Arial"/>
          <w:sz w:val="22"/>
          <w:szCs w:val="22"/>
        </w:rPr>
        <w:t>the higher rate applies to an individual</w:t>
      </w:r>
      <w:r w:rsidRPr="0091425D">
        <w:rPr>
          <w:rFonts w:ascii="Arial" w:hAnsi="Arial" w:cs="Arial"/>
          <w:sz w:val="22"/>
          <w:szCs w:val="22"/>
        </w:rPr>
        <w:t xml:space="preserve"> under </w:t>
      </w:r>
      <w:r w:rsidR="00226C10" w:rsidRPr="0091425D">
        <w:rPr>
          <w:rFonts w:ascii="Arial" w:hAnsi="Arial" w:cs="Arial"/>
          <w:sz w:val="22"/>
          <w:szCs w:val="22"/>
        </w:rPr>
        <w:t xml:space="preserve">any </w:t>
      </w:r>
      <w:r w:rsidRPr="0091425D">
        <w:rPr>
          <w:rFonts w:ascii="Arial" w:hAnsi="Arial" w:cs="Arial"/>
          <w:sz w:val="22"/>
          <w:szCs w:val="22"/>
        </w:rPr>
        <w:t xml:space="preserve">reference period in the Rules, </w:t>
      </w:r>
      <w:r w:rsidR="00226C10" w:rsidRPr="0091425D">
        <w:rPr>
          <w:rFonts w:ascii="Arial" w:hAnsi="Arial" w:cs="Arial"/>
          <w:sz w:val="22"/>
          <w:szCs w:val="22"/>
        </w:rPr>
        <w:t xml:space="preserve">an </w:t>
      </w:r>
      <w:r w:rsidRPr="0091425D">
        <w:rPr>
          <w:rFonts w:ascii="Arial" w:hAnsi="Arial" w:cs="Arial"/>
          <w:sz w:val="22"/>
          <w:szCs w:val="22"/>
        </w:rPr>
        <w:t>alternative reference period has no effect</w:t>
      </w:r>
      <w:r w:rsidR="00226C10" w:rsidRPr="0091425D">
        <w:rPr>
          <w:rFonts w:ascii="Arial" w:hAnsi="Arial" w:cs="Arial"/>
          <w:sz w:val="22"/>
          <w:szCs w:val="22"/>
        </w:rPr>
        <w:t xml:space="preserve"> even where it could apply to the individual</w:t>
      </w:r>
      <w:r w:rsidR="00954B08" w:rsidRPr="00CE41C3">
        <w:rPr>
          <w:rFonts w:ascii="Arial" w:hAnsi="Arial" w:cs="Arial"/>
          <w:sz w:val="22"/>
          <w:szCs w:val="22"/>
        </w:rPr>
        <w:t>.</w:t>
      </w:r>
      <w:r w:rsidRPr="0091425D">
        <w:rPr>
          <w:rFonts w:ascii="Arial" w:hAnsi="Arial" w:cs="Arial"/>
          <w:sz w:val="22"/>
          <w:szCs w:val="22"/>
        </w:rPr>
        <w:t xml:space="preserve"> It cannot be relied on to apply the lower rate</w:t>
      </w:r>
      <w:r w:rsidR="00226C10" w:rsidRPr="0091425D">
        <w:rPr>
          <w:rFonts w:ascii="Arial" w:hAnsi="Arial" w:cs="Arial"/>
          <w:sz w:val="22"/>
          <w:szCs w:val="22"/>
        </w:rPr>
        <w:t>.</w:t>
      </w:r>
    </w:p>
    <w:p w14:paraId="26414450" w14:textId="52AECFF0" w:rsidR="00806085" w:rsidRPr="0091425D" w:rsidRDefault="00936D40" w:rsidP="0091425D">
      <w:pPr>
        <w:numPr>
          <w:ilvl w:val="0"/>
          <w:numId w:val="1"/>
        </w:numPr>
        <w:spacing w:after="120"/>
        <w:ind w:left="0" w:firstLine="0"/>
        <w:rPr>
          <w:rFonts w:ascii="Arial" w:eastAsia="Calibri" w:hAnsi="Arial" w:cs="Arial"/>
          <w:sz w:val="22"/>
          <w:szCs w:val="22"/>
          <w:lang w:eastAsia="en-US"/>
        </w:rPr>
      </w:pPr>
      <w:r w:rsidRPr="0091425D">
        <w:rPr>
          <w:rFonts w:ascii="Arial" w:eastAsia="Calibri" w:hAnsi="Arial" w:cs="Arial"/>
          <w:sz w:val="22"/>
          <w:szCs w:val="22"/>
          <w:lang w:eastAsia="en-US"/>
        </w:rPr>
        <w:t xml:space="preserve">The </w:t>
      </w:r>
      <w:r w:rsidRPr="0091425D">
        <w:rPr>
          <w:rFonts w:ascii="Arial" w:hAnsi="Arial" w:cs="Arial"/>
          <w:sz w:val="22"/>
          <w:szCs w:val="22"/>
        </w:rPr>
        <w:t>Commissioner</w:t>
      </w:r>
      <w:r w:rsidRPr="0091425D">
        <w:rPr>
          <w:rFonts w:ascii="Arial" w:eastAsia="Calibri" w:hAnsi="Arial" w:cs="Arial"/>
          <w:sz w:val="22"/>
          <w:szCs w:val="22"/>
          <w:lang w:eastAsia="en-US"/>
        </w:rPr>
        <w:t xml:space="preserve"> </w:t>
      </w:r>
      <w:r w:rsidR="00954B08" w:rsidRPr="0091425D">
        <w:rPr>
          <w:rFonts w:ascii="Arial" w:eastAsia="Calibri" w:hAnsi="Arial" w:cs="Arial"/>
          <w:sz w:val="22"/>
          <w:szCs w:val="22"/>
          <w:lang w:eastAsia="en-US"/>
        </w:rPr>
        <w:t xml:space="preserve">has determined that an alternative reference period applies to the </w:t>
      </w:r>
      <w:r w:rsidR="006E1E9E">
        <w:rPr>
          <w:rFonts w:ascii="Arial" w:eastAsia="Calibri" w:hAnsi="Arial" w:cs="Arial"/>
          <w:sz w:val="22"/>
          <w:szCs w:val="22"/>
          <w:lang w:eastAsia="en-US"/>
        </w:rPr>
        <w:t xml:space="preserve">following </w:t>
      </w:r>
      <w:r w:rsidR="00954B08" w:rsidRPr="0091425D">
        <w:rPr>
          <w:rFonts w:ascii="Arial" w:eastAsia="Calibri" w:hAnsi="Arial" w:cs="Arial"/>
          <w:sz w:val="22"/>
          <w:szCs w:val="22"/>
          <w:lang w:eastAsia="en-US"/>
        </w:rPr>
        <w:t>specified class</w:t>
      </w:r>
      <w:r w:rsidR="00F37A28">
        <w:rPr>
          <w:rFonts w:ascii="Arial" w:eastAsia="Calibri" w:hAnsi="Arial" w:cs="Arial"/>
          <w:sz w:val="22"/>
          <w:szCs w:val="22"/>
          <w:lang w:eastAsia="en-US"/>
        </w:rPr>
        <w:t>es</w:t>
      </w:r>
      <w:r w:rsidR="00954B08" w:rsidRPr="0091425D">
        <w:rPr>
          <w:rFonts w:ascii="Arial" w:eastAsia="Calibri" w:hAnsi="Arial" w:cs="Arial"/>
          <w:sz w:val="22"/>
          <w:szCs w:val="22"/>
          <w:lang w:eastAsia="en-US"/>
        </w:rPr>
        <w:t xml:space="preserve"> of individuals</w:t>
      </w:r>
      <w:r w:rsidR="003D4B14">
        <w:rPr>
          <w:rFonts w:ascii="Arial" w:eastAsia="Calibri" w:hAnsi="Arial" w:cs="Arial"/>
          <w:sz w:val="22"/>
          <w:szCs w:val="22"/>
          <w:lang w:eastAsia="en-US"/>
        </w:rPr>
        <w:t xml:space="preserve"> (each discussed in further detail in the following sections)</w:t>
      </w:r>
      <w:r w:rsidR="00226C10">
        <w:rPr>
          <w:rFonts w:ascii="Arial" w:hAnsi="Arial" w:cs="Arial"/>
        </w:rPr>
        <w:t>:</w:t>
      </w:r>
    </w:p>
    <w:p w14:paraId="1B37CCD8" w14:textId="77777777" w:rsidR="00226C10" w:rsidRDefault="0015579B" w:rsidP="00936D40">
      <w:pPr>
        <w:numPr>
          <w:ilvl w:val="1"/>
          <w:numId w:val="1"/>
        </w:numPr>
        <w:spacing w:after="120"/>
        <w:rPr>
          <w:rFonts w:ascii="Arial" w:hAnsi="Arial" w:cs="Arial"/>
          <w:sz w:val="22"/>
          <w:szCs w:val="22"/>
        </w:rPr>
      </w:pPr>
      <w:r>
        <w:rPr>
          <w:rFonts w:ascii="Arial" w:hAnsi="Arial" w:cs="Arial"/>
          <w:sz w:val="22"/>
          <w:szCs w:val="22"/>
        </w:rPr>
        <w:t xml:space="preserve">eligible </w:t>
      </w:r>
      <w:r w:rsidR="00936D40" w:rsidRPr="00936D40">
        <w:rPr>
          <w:rFonts w:ascii="Arial" w:hAnsi="Arial" w:cs="Arial"/>
          <w:sz w:val="22"/>
          <w:szCs w:val="22"/>
        </w:rPr>
        <w:t>employees</w:t>
      </w:r>
      <w:r w:rsidR="00226C10">
        <w:rPr>
          <w:rFonts w:ascii="Arial" w:hAnsi="Arial" w:cs="Arial"/>
          <w:sz w:val="22"/>
          <w:szCs w:val="22"/>
        </w:rPr>
        <w:t>:</w:t>
      </w:r>
      <w:r w:rsidR="00936D40" w:rsidRPr="00936D40">
        <w:rPr>
          <w:rFonts w:ascii="Arial" w:hAnsi="Arial" w:cs="Arial"/>
          <w:sz w:val="22"/>
          <w:szCs w:val="22"/>
        </w:rPr>
        <w:t xml:space="preserve"> </w:t>
      </w:r>
    </w:p>
    <w:p w14:paraId="6EA6A9AC" w14:textId="5AF5B8A2" w:rsidR="00341DE0" w:rsidRDefault="00936D40" w:rsidP="0091425D">
      <w:pPr>
        <w:numPr>
          <w:ilvl w:val="2"/>
          <w:numId w:val="1"/>
        </w:numPr>
        <w:spacing w:after="120"/>
        <w:rPr>
          <w:rFonts w:ascii="Arial" w:hAnsi="Arial" w:cs="Arial"/>
          <w:sz w:val="22"/>
          <w:szCs w:val="22"/>
        </w:rPr>
      </w:pPr>
      <w:r>
        <w:rPr>
          <w:rFonts w:ascii="Arial" w:hAnsi="Arial" w:cs="Arial"/>
          <w:sz w:val="22"/>
          <w:szCs w:val="22"/>
        </w:rPr>
        <w:t xml:space="preserve">whose </w:t>
      </w:r>
      <w:r w:rsidRPr="00936D40">
        <w:rPr>
          <w:rFonts w:ascii="Arial" w:hAnsi="Arial" w:cs="Arial"/>
          <w:sz w:val="22"/>
          <w:szCs w:val="22"/>
        </w:rPr>
        <w:t xml:space="preserve">total number of hours of work, of paid leave and of paid absence on public holidays in the </w:t>
      </w:r>
      <w:r>
        <w:rPr>
          <w:rFonts w:ascii="Arial" w:hAnsi="Arial" w:cs="Arial"/>
          <w:sz w:val="22"/>
          <w:szCs w:val="22"/>
        </w:rPr>
        <w:t xml:space="preserve">standard </w:t>
      </w:r>
      <w:r w:rsidRPr="00936D40">
        <w:rPr>
          <w:rFonts w:ascii="Arial" w:hAnsi="Arial" w:cs="Arial"/>
          <w:sz w:val="22"/>
          <w:szCs w:val="22"/>
        </w:rPr>
        <w:t>reference period</w:t>
      </w:r>
      <w:r w:rsidR="00341DE0">
        <w:rPr>
          <w:rFonts w:ascii="Arial" w:hAnsi="Arial" w:cs="Arial"/>
          <w:sz w:val="22"/>
          <w:szCs w:val="22"/>
        </w:rPr>
        <w:t>:</w:t>
      </w:r>
    </w:p>
    <w:p w14:paraId="1EEC381D" w14:textId="072C6116" w:rsidR="00341DE0" w:rsidRDefault="00341DE0" w:rsidP="00341DE0">
      <w:pPr>
        <w:pStyle w:val="ListParagraph"/>
        <w:numPr>
          <w:ilvl w:val="0"/>
          <w:numId w:val="16"/>
        </w:numPr>
        <w:spacing w:after="120"/>
        <w:rPr>
          <w:rFonts w:ascii="Arial" w:hAnsi="Arial" w:cs="Arial"/>
        </w:rPr>
      </w:pPr>
      <w:r w:rsidRPr="00936D40">
        <w:rPr>
          <w:rFonts w:ascii="Arial" w:hAnsi="Arial" w:cs="Arial"/>
        </w:rPr>
        <w:t>w</w:t>
      </w:r>
      <w:r>
        <w:rPr>
          <w:rFonts w:ascii="Arial" w:hAnsi="Arial" w:cs="Arial"/>
        </w:rPr>
        <w:t>as</w:t>
      </w:r>
      <w:r w:rsidRPr="00936D40">
        <w:rPr>
          <w:rFonts w:ascii="Arial" w:hAnsi="Arial" w:cs="Arial"/>
        </w:rPr>
        <w:t xml:space="preserve"> less than 80 hours</w:t>
      </w:r>
      <w:r>
        <w:rPr>
          <w:rFonts w:ascii="Arial" w:hAnsi="Arial" w:cs="Arial"/>
        </w:rPr>
        <w:t>; and</w:t>
      </w:r>
    </w:p>
    <w:p w14:paraId="2EE392AD" w14:textId="2A8BA1FD" w:rsidR="00936D40" w:rsidRPr="008B720D" w:rsidRDefault="00341DE0" w:rsidP="008B720D">
      <w:pPr>
        <w:pStyle w:val="ListParagraph"/>
        <w:numPr>
          <w:ilvl w:val="0"/>
          <w:numId w:val="16"/>
        </w:numPr>
        <w:spacing w:after="120"/>
        <w:rPr>
          <w:rFonts w:ascii="Arial" w:hAnsi="Arial" w:cs="Arial"/>
        </w:rPr>
      </w:pPr>
      <w:r>
        <w:rPr>
          <w:rFonts w:ascii="Arial" w:hAnsi="Arial" w:cs="Arial"/>
        </w:rPr>
        <w:t xml:space="preserve">when compared </w:t>
      </w:r>
      <w:r w:rsidR="00936D40" w:rsidRPr="008B720D">
        <w:rPr>
          <w:rFonts w:ascii="Arial" w:hAnsi="Arial" w:cs="Arial"/>
        </w:rPr>
        <w:t>to earlier 28-day periods</w:t>
      </w:r>
      <w:r w:rsidR="00B10C58" w:rsidRPr="008B720D">
        <w:rPr>
          <w:rFonts w:ascii="Arial" w:hAnsi="Arial" w:cs="Arial"/>
        </w:rPr>
        <w:t xml:space="preserve"> ending </w:t>
      </w:r>
      <w:r>
        <w:rPr>
          <w:rFonts w:ascii="Arial" w:hAnsi="Arial" w:cs="Arial"/>
        </w:rPr>
        <w:t xml:space="preserve">at </w:t>
      </w:r>
      <w:r w:rsidR="00B10C58" w:rsidRPr="008B720D">
        <w:rPr>
          <w:rFonts w:ascii="Arial" w:hAnsi="Arial" w:cs="Arial"/>
        </w:rPr>
        <w:t>the end of a pay cycle</w:t>
      </w:r>
      <w:r>
        <w:rPr>
          <w:rFonts w:ascii="Arial" w:hAnsi="Arial" w:cs="Arial"/>
        </w:rPr>
        <w:t xml:space="preserve"> for the employee</w:t>
      </w:r>
      <w:r w:rsidR="00936D40" w:rsidRPr="008B720D">
        <w:rPr>
          <w:rFonts w:ascii="Arial" w:hAnsi="Arial" w:cs="Arial"/>
        </w:rPr>
        <w:t xml:space="preserve">, was not representative of the employee’s total number of those hours in a typical </w:t>
      </w:r>
      <w:r w:rsidR="00B10C58" w:rsidRPr="008B720D">
        <w:rPr>
          <w:rFonts w:ascii="Arial" w:hAnsi="Arial" w:cs="Arial"/>
        </w:rPr>
        <w:t xml:space="preserve">such </w:t>
      </w:r>
      <w:r w:rsidR="00936D40" w:rsidRPr="008B720D">
        <w:rPr>
          <w:rFonts w:ascii="Arial" w:hAnsi="Arial" w:cs="Arial"/>
        </w:rPr>
        <w:t xml:space="preserve">28-day period; </w:t>
      </w:r>
    </w:p>
    <w:p w14:paraId="6B7EC1B3" w14:textId="0548F857" w:rsidR="00936D40" w:rsidRPr="00095530" w:rsidRDefault="00936D40" w:rsidP="0091425D">
      <w:pPr>
        <w:numPr>
          <w:ilvl w:val="2"/>
          <w:numId w:val="1"/>
        </w:numPr>
        <w:spacing w:after="120"/>
        <w:rPr>
          <w:rFonts w:ascii="Arial" w:hAnsi="Arial" w:cs="Arial"/>
          <w:sz w:val="22"/>
          <w:szCs w:val="22"/>
        </w:rPr>
      </w:pPr>
      <w:r w:rsidRPr="00095530">
        <w:rPr>
          <w:rFonts w:ascii="Arial" w:hAnsi="Arial" w:cs="Arial"/>
          <w:sz w:val="22"/>
          <w:szCs w:val="22"/>
        </w:rPr>
        <w:t xml:space="preserve">who were not employed during </w:t>
      </w:r>
      <w:r w:rsidR="00EC65BA" w:rsidRPr="00095530">
        <w:rPr>
          <w:rFonts w:ascii="Arial" w:hAnsi="Arial" w:cs="Arial"/>
          <w:sz w:val="22"/>
          <w:szCs w:val="22"/>
        </w:rPr>
        <w:t>all</w:t>
      </w:r>
      <w:r w:rsidR="00325797" w:rsidRPr="00095530">
        <w:rPr>
          <w:rFonts w:ascii="Arial" w:hAnsi="Arial" w:cs="Arial"/>
          <w:sz w:val="22"/>
          <w:szCs w:val="22"/>
        </w:rPr>
        <w:t xml:space="preserve"> </w:t>
      </w:r>
      <w:r w:rsidR="00627804">
        <w:rPr>
          <w:rFonts w:ascii="Arial" w:hAnsi="Arial" w:cs="Arial"/>
          <w:sz w:val="22"/>
          <w:szCs w:val="22"/>
        </w:rPr>
        <w:t xml:space="preserve">or part </w:t>
      </w:r>
      <w:r w:rsidR="00EC65BA" w:rsidRPr="00095530">
        <w:rPr>
          <w:rFonts w:ascii="Arial" w:hAnsi="Arial" w:cs="Arial"/>
          <w:sz w:val="22"/>
          <w:szCs w:val="22"/>
        </w:rPr>
        <w:t>of</w:t>
      </w:r>
      <w:r w:rsidRPr="00095530">
        <w:rPr>
          <w:rFonts w:ascii="Arial" w:hAnsi="Arial" w:cs="Arial"/>
          <w:sz w:val="22"/>
          <w:szCs w:val="22"/>
        </w:rPr>
        <w:t xml:space="preserve"> the reference period; </w:t>
      </w:r>
    </w:p>
    <w:p w14:paraId="78D9DB79" w14:textId="279D187F" w:rsidR="00936D40" w:rsidRDefault="00936D40" w:rsidP="0091425D">
      <w:pPr>
        <w:numPr>
          <w:ilvl w:val="2"/>
          <w:numId w:val="1"/>
        </w:numPr>
        <w:spacing w:after="120"/>
        <w:rPr>
          <w:rFonts w:ascii="Arial" w:hAnsi="Arial" w:cs="Arial"/>
          <w:sz w:val="22"/>
          <w:szCs w:val="22"/>
        </w:rPr>
      </w:pPr>
      <w:r>
        <w:rPr>
          <w:rFonts w:ascii="Arial" w:hAnsi="Arial" w:cs="Arial"/>
          <w:sz w:val="22"/>
          <w:szCs w:val="22"/>
        </w:rPr>
        <w:t xml:space="preserve">whose employment </w:t>
      </w:r>
      <w:r w:rsidRPr="00936D40">
        <w:rPr>
          <w:rFonts w:ascii="Arial" w:hAnsi="Arial" w:cs="Arial"/>
          <w:sz w:val="22"/>
          <w:szCs w:val="22"/>
        </w:rPr>
        <w:t>start</w:t>
      </w:r>
      <w:r>
        <w:rPr>
          <w:rFonts w:ascii="Arial" w:hAnsi="Arial" w:cs="Arial"/>
          <w:sz w:val="22"/>
          <w:szCs w:val="22"/>
        </w:rPr>
        <w:t>ed</w:t>
      </w:r>
      <w:r w:rsidRPr="00936D40">
        <w:rPr>
          <w:rFonts w:ascii="Arial" w:hAnsi="Arial" w:cs="Arial"/>
          <w:sz w:val="22"/>
          <w:szCs w:val="22"/>
        </w:rPr>
        <w:t xml:space="preserve"> </w:t>
      </w:r>
      <w:r w:rsidR="006015C9" w:rsidRPr="00363009">
        <w:rPr>
          <w:rFonts w:ascii="Arial" w:hAnsi="Arial" w:cs="Arial"/>
          <w:sz w:val="22"/>
          <w:szCs w:val="22"/>
        </w:rPr>
        <w:t xml:space="preserve">on or </w:t>
      </w:r>
      <w:r w:rsidRPr="00936D40">
        <w:rPr>
          <w:rFonts w:ascii="Arial" w:hAnsi="Arial" w:cs="Arial"/>
          <w:sz w:val="22"/>
          <w:szCs w:val="22"/>
        </w:rPr>
        <w:t>before 1 March 2020</w:t>
      </w:r>
      <w:r w:rsidR="007C5030">
        <w:rPr>
          <w:rFonts w:ascii="Arial" w:hAnsi="Arial" w:cs="Arial"/>
          <w:sz w:val="22"/>
          <w:szCs w:val="22"/>
        </w:rPr>
        <w:t xml:space="preserve"> or 1 July 2020</w:t>
      </w:r>
      <w:r w:rsidR="006A34AB">
        <w:rPr>
          <w:rFonts w:ascii="Arial" w:hAnsi="Arial" w:cs="Arial"/>
          <w:sz w:val="22"/>
          <w:szCs w:val="22"/>
        </w:rPr>
        <w:t>,</w:t>
      </w:r>
      <w:r w:rsidRPr="00936D40">
        <w:rPr>
          <w:rFonts w:ascii="Arial" w:hAnsi="Arial" w:cs="Arial"/>
          <w:sz w:val="22"/>
          <w:szCs w:val="22"/>
        </w:rPr>
        <w:t xml:space="preserve"> but their first pay cycle ended on or after 1 March 2020</w:t>
      </w:r>
      <w:r w:rsidR="007C5030">
        <w:rPr>
          <w:rFonts w:ascii="Arial" w:hAnsi="Arial" w:cs="Arial"/>
          <w:sz w:val="22"/>
          <w:szCs w:val="22"/>
        </w:rPr>
        <w:t xml:space="preserve"> or 1 July 2020, respectively</w:t>
      </w:r>
      <w:r w:rsidR="00DF2E3D">
        <w:rPr>
          <w:rFonts w:ascii="Arial" w:hAnsi="Arial" w:cs="Arial"/>
          <w:sz w:val="22"/>
          <w:szCs w:val="22"/>
        </w:rPr>
        <w:t>;</w:t>
      </w:r>
    </w:p>
    <w:p w14:paraId="4DCD8F98" w14:textId="07105D53" w:rsidR="00B76772" w:rsidRPr="00936D40" w:rsidRDefault="00B76772" w:rsidP="0091425D">
      <w:pPr>
        <w:numPr>
          <w:ilvl w:val="2"/>
          <w:numId w:val="1"/>
        </w:numPr>
        <w:spacing w:after="120"/>
        <w:rPr>
          <w:rFonts w:ascii="Arial" w:hAnsi="Arial" w:cs="Arial"/>
          <w:sz w:val="22"/>
          <w:szCs w:val="22"/>
        </w:rPr>
      </w:pPr>
      <w:r>
        <w:rPr>
          <w:rFonts w:ascii="Arial" w:hAnsi="Arial" w:cs="Arial"/>
          <w:sz w:val="22"/>
          <w:szCs w:val="22"/>
        </w:rPr>
        <w:t>who</w:t>
      </w:r>
      <w:r w:rsidR="003D4B14">
        <w:rPr>
          <w:rFonts w:ascii="Arial" w:hAnsi="Arial" w:cs="Arial"/>
          <w:sz w:val="22"/>
          <w:szCs w:val="22"/>
        </w:rPr>
        <w:t>,</w:t>
      </w:r>
      <w:r>
        <w:rPr>
          <w:rFonts w:ascii="Arial" w:hAnsi="Arial" w:cs="Arial"/>
          <w:sz w:val="22"/>
          <w:szCs w:val="22"/>
        </w:rPr>
        <w:t xml:space="preserve"> </w:t>
      </w:r>
      <w:r w:rsidR="003D4B14">
        <w:rPr>
          <w:rFonts w:ascii="Arial" w:hAnsi="Arial" w:cs="Arial"/>
          <w:sz w:val="22"/>
          <w:szCs w:val="22"/>
        </w:rPr>
        <w:t xml:space="preserve">by operation of subsection 9(6) of the Rules, </w:t>
      </w:r>
      <w:r w:rsidR="003D4B14" w:rsidRPr="00B12C3D">
        <w:rPr>
          <w:rFonts w:ascii="Arial" w:hAnsi="Arial" w:cs="Arial"/>
          <w:sz w:val="22"/>
          <w:szCs w:val="22"/>
        </w:rPr>
        <w:t xml:space="preserve">is treated as having </w:t>
      </w:r>
      <w:r w:rsidR="003D4B14">
        <w:rPr>
          <w:rFonts w:ascii="Arial" w:hAnsi="Arial" w:cs="Arial"/>
          <w:sz w:val="22"/>
          <w:szCs w:val="22"/>
        </w:rPr>
        <w:t xml:space="preserve">also been </w:t>
      </w:r>
      <w:r w:rsidR="003D4B14" w:rsidRPr="00B12C3D">
        <w:rPr>
          <w:rFonts w:ascii="Arial" w:hAnsi="Arial" w:cs="Arial"/>
          <w:sz w:val="22"/>
          <w:szCs w:val="22"/>
        </w:rPr>
        <w:t xml:space="preserve">employed </w:t>
      </w:r>
      <w:r w:rsidR="003D4B14">
        <w:rPr>
          <w:rFonts w:ascii="Arial" w:hAnsi="Arial" w:cs="Arial"/>
          <w:sz w:val="22"/>
          <w:szCs w:val="22"/>
        </w:rPr>
        <w:t xml:space="preserve">by that entity </w:t>
      </w:r>
      <w:r w:rsidR="003D4B14" w:rsidRPr="00B12C3D">
        <w:rPr>
          <w:rFonts w:ascii="Arial" w:hAnsi="Arial" w:cs="Arial"/>
          <w:sz w:val="22"/>
          <w:szCs w:val="22"/>
        </w:rPr>
        <w:t>at an earlier time</w:t>
      </w:r>
      <w:r w:rsidR="003D4B14">
        <w:rPr>
          <w:rFonts w:ascii="Arial" w:hAnsi="Arial" w:cs="Arial"/>
          <w:sz w:val="22"/>
          <w:szCs w:val="22"/>
        </w:rPr>
        <w:t xml:space="preserve"> but (disregarding subsection 9(6)) the employee was not employed by the entity for all or part of the reference period</w:t>
      </w:r>
      <w:r>
        <w:rPr>
          <w:rFonts w:ascii="Arial" w:hAnsi="Arial" w:cs="Arial"/>
          <w:sz w:val="22"/>
          <w:szCs w:val="22"/>
        </w:rPr>
        <w:t>;</w:t>
      </w:r>
    </w:p>
    <w:p w14:paraId="00593B49" w14:textId="77777777" w:rsidR="00226C10" w:rsidRDefault="00D23767" w:rsidP="00D23767">
      <w:pPr>
        <w:numPr>
          <w:ilvl w:val="1"/>
          <w:numId w:val="1"/>
        </w:numPr>
        <w:spacing w:after="120"/>
        <w:rPr>
          <w:rFonts w:ascii="Arial" w:hAnsi="Arial" w:cs="Arial"/>
          <w:sz w:val="22"/>
          <w:szCs w:val="22"/>
        </w:rPr>
      </w:pPr>
      <w:r w:rsidRPr="00D23767">
        <w:rPr>
          <w:rFonts w:ascii="Arial" w:hAnsi="Arial" w:cs="Arial"/>
          <w:sz w:val="22"/>
          <w:szCs w:val="22"/>
        </w:rPr>
        <w:t>eligible business participant</w:t>
      </w:r>
      <w:r>
        <w:rPr>
          <w:rFonts w:ascii="Arial" w:hAnsi="Arial" w:cs="Arial"/>
          <w:sz w:val="22"/>
          <w:szCs w:val="22"/>
        </w:rPr>
        <w:t>s</w:t>
      </w:r>
      <w:r w:rsidR="00226C10">
        <w:rPr>
          <w:rFonts w:ascii="Arial" w:hAnsi="Arial" w:cs="Arial"/>
          <w:sz w:val="22"/>
          <w:szCs w:val="22"/>
        </w:rPr>
        <w:t>:</w:t>
      </w:r>
      <w:r>
        <w:rPr>
          <w:rFonts w:ascii="Arial" w:hAnsi="Arial" w:cs="Arial"/>
          <w:sz w:val="22"/>
          <w:szCs w:val="22"/>
        </w:rPr>
        <w:t xml:space="preserve"> </w:t>
      </w:r>
    </w:p>
    <w:p w14:paraId="4036AEC2" w14:textId="6820A031" w:rsidR="00341DE0" w:rsidRDefault="00D23767" w:rsidP="0091425D">
      <w:pPr>
        <w:numPr>
          <w:ilvl w:val="2"/>
          <w:numId w:val="1"/>
        </w:numPr>
        <w:spacing w:after="120"/>
        <w:rPr>
          <w:rFonts w:ascii="Arial" w:hAnsi="Arial" w:cs="Arial"/>
          <w:sz w:val="22"/>
          <w:szCs w:val="22"/>
        </w:rPr>
      </w:pPr>
      <w:r>
        <w:rPr>
          <w:rFonts w:ascii="Arial" w:hAnsi="Arial" w:cs="Arial"/>
          <w:sz w:val="22"/>
          <w:szCs w:val="22"/>
        </w:rPr>
        <w:t>whose</w:t>
      </w:r>
      <w:r w:rsidRPr="00D23767">
        <w:rPr>
          <w:rFonts w:ascii="Arial" w:hAnsi="Arial" w:cs="Arial"/>
          <w:sz w:val="22"/>
          <w:szCs w:val="22"/>
        </w:rPr>
        <w:t xml:space="preserve"> total number of hours </w:t>
      </w:r>
      <w:r w:rsidR="00216B74">
        <w:rPr>
          <w:rFonts w:ascii="Arial" w:hAnsi="Arial" w:cs="Arial"/>
          <w:sz w:val="22"/>
          <w:szCs w:val="22"/>
        </w:rPr>
        <w:t xml:space="preserve">they were </w:t>
      </w:r>
      <w:r w:rsidRPr="00D23767">
        <w:rPr>
          <w:rFonts w:ascii="Arial" w:hAnsi="Arial" w:cs="Arial"/>
          <w:sz w:val="22"/>
          <w:szCs w:val="22"/>
        </w:rPr>
        <w:t>active</w:t>
      </w:r>
      <w:r w:rsidR="00216B74">
        <w:rPr>
          <w:rFonts w:ascii="Arial" w:hAnsi="Arial" w:cs="Arial"/>
          <w:sz w:val="22"/>
          <w:szCs w:val="22"/>
        </w:rPr>
        <w:t>ly</w:t>
      </w:r>
      <w:r w:rsidRPr="00D23767">
        <w:rPr>
          <w:rFonts w:ascii="Arial" w:hAnsi="Arial" w:cs="Arial"/>
          <w:sz w:val="22"/>
          <w:szCs w:val="22"/>
        </w:rPr>
        <w:t xml:space="preserve"> engage</w:t>
      </w:r>
      <w:r w:rsidR="00216B74">
        <w:rPr>
          <w:rFonts w:ascii="Arial" w:hAnsi="Arial" w:cs="Arial"/>
          <w:sz w:val="22"/>
          <w:szCs w:val="22"/>
        </w:rPr>
        <w:t>d</w:t>
      </w:r>
      <w:r w:rsidRPr="00D23767">
        <w:rPr>
          <w:rFonts w:ascii="Arial" w:hAnsi="Arial" w:cs="Arial"/>
          <w:sz w:val="22"/>
          <w:szCs w:val="22"/>
        </w:rPr>
        <w:t xml:space="preserve"> in the business carried on by the entity in February 2020</w:t>
      </w:r>
      <w:r w:rsidR="00341DE0">
        <w:rPr>
          <w:rFonts w:ascii="Arial" w:hAnsi="Arial" w:cs="Arial"/>
          <w:sz w:val="22"/>
          <w:szCs w:val="22"/>
        </w:rPr>
        <w:t>:</w:t>
      </w:r>
      <w:r w:rsidR="00216B74">
        <w:rPr>
          <w:rFonts w:ascii="Arial" w:hAnsi="Arial" w:cs="Arial"/>
          <w:sz w:val="22"/>
          <w:szCs w:val="22"/>
        </w:rPr>
        <w:t xml:space="preserve"> </w:t>
      </w:r>
    </w:p>
    <w:p w14:paraId="518E3C28" w14:textId="46AE5E14" w:rsidR="00341DE0" w:rsidRDefault="00D23767" w:rsidP="00341DE0">
      <w:pPr>
        <w:pStyle w:val="ListParagraph"/>
        <w:numPr>
          <w:ilvl w:val="0"/>
          <w:numId w:val="16"/>
        </w:numPr>
        <w:spacing w:after="120"/>
        <w:rPr>
          <w:rFonts w:ascii="Arial" w:hAnsi="Arial" w:cs="Arial"/>
        </w:rPr>
      </w:pPr>
      <w:r>
        <w:rPr>
          <w:rFonts w:ascii="Arial" w:hAnsi="Arial" w:cs="Arial"/>
        </w:rPr>
        <w:t>wa</w:t>
      </w:r>
      <w:r w:rsidRPr="00D23767">
        <w:rPr>
          <w:rFonts w:ascii="Arial" w:hAnsi="Arial" w:cs="Arial"/>
        </w:rPr>
        <w:t>s less than 80 hours</w:t>
      </w:r>
      <w:r w:rsidR="00341DE0">
        <w:rPr>
          <w:rFonts w:ascii="Arial" w:hAnsi="Arial" w:cs="Arial"/>
        </w:rPr>
        <w:t>;</w:t>
      </w:r>
      <w:r w:rsidRPr="00D23767">
        <w:rPr>
          <w:rFonts w:ascii="Arial" w:hAnsi="Arial" w:cs="Arial"/>
        </w:rPr>
        <w:t xml:space="preserve"> and</w:t>
      </w:r>
    </w:p>
    <w:p w14:paraId="0EEA688E" w14:textId="25FD647E" w:rsidR="00D23767" w:rsidRPr="00D23767" w:rsidRDefault="00341DE0" w:rsidP="008B720D">
      <w:pPr>
        <w:pStyle w:val="ListParagraph"/>
        <w:numPr>
          <w:ilvl w:val="0"/>
          <w:numId w:val="16"/>
        </w:numPr>
        <w:spacing w:after="120"/>
        <w:rPr>
          <w:rFonts w:ascii="Arial" w:hAnsi="Arial" w:cs="Arial"/>
        </w:rPr>
      </w:pPr>
      <w:r>
        <w:rPr>
          <w:rFonts w:ascii="Arial" w:hAnsi="Arial" w:cs="Arial"/>
        </w:rPr>
        <w:t xml:space="preserve">when compared </w:t>
      </w:r>
      <w:r w:rsidR="00D23767" w:rsidRPr="00D23767">
        <w:rPr>
          <w:rFonts w:ascii="Arial" w:hAnsi="Arial" w:cs="Arial"/>
        </w:rPr>
        <w:t>to earlier 29-day periods</w:t>
      </w:r>
      <w:r w:rsidR="00B10C58">
        <w:rPr>
          <w:rFonts w:ascii="Arial" w:hAnsi="Arial" w:cs="Arial"/>
        </w:rPr>
        <w:t xml:space="preserve"> </w:t>
      </w:r>
      <w:r>
        <w:rPr>
          <w:rFonts w:ascii="Arial" w:hAnsi="Arial" w:cs="Arial"/>
        </w:rPr>
        <w:t>(</w:t>
      </w:r>
      <w:r w:rsidR="00B10C58">
        <w:rPr>
          <w:rFonts w:ascii="Arial" w:hAnsi="Arial" w:cs="Arial"/>
        </w:rPr>
        <w:t>each wholly within a calendar month</w:t>
      </w:r>
      <w:r>
        <w:rPr>
          <w:rFonts w:ascii="Arial" w:hAnsi="Arial" w:cs="Arial"/>
        </w:rPr>
        <w:t>)</w:t>
      </w:r>
      <w:r w:rsidR="002850C9">
        <w:rPr>
          <w:rFonts w:ascii="Arial" w:hAnsi="Arial" w:cs="Arial"/>
        </w:rPr>
        <w:t>,</w:t>
      </w:r>
      <w:r w:rsidR="00D23767" w:rsidRPr="00D23767">
        <w:rPr>
          <w:rFonts w:ascii="Arial" w:hAnsi="Arial" w:cs="Arial"/>
        </w:rPr>
        <w:t xml:space="preserve"> was not representative of the eligible business participant’s total number of those hours in a typical </w:t>
      </w:r>
      <w:r w:rsidR="00B10C58">
        <w:rPr>
          <w:rFonts w:ascii="Arial" w:hAnsi="Arial" w:cs="Arial"/>
        </w:rPr>
        <w:t xml:space="preserve">such </w:t>
      </w:r>
      <w:r w:rsidR="00D23767" w:rsidRPr="00D23767">
        <w:rPr>
          <w:rFonts w:ascii="Arial" w:hAnsi="Arial" w:cs="Arial"/>
        </w:rPr>
        <w:t xml:space="preserve">29-day period; </w:t>
      </w:r>
    </w:p>
    <w:p w14:paraId="51B9DAAA" w14:textId="215C882B" w:rsidR="00D23767" w:rsidRPr="00D23767" w:rsidRDefault="00D23767" w:rsidP="0091425D">
      <w:pPr>
        <w:numPr>
          <w:ilvl w:val="2"/>
          <w:numId w:val="1"/>
        </w:numPr>
        <w:spacing w:after="120"/>
        <w:rPr>
          <w:rFonts w:ascii="Arial" w:hAnsi="Arial" w:cs="Arial"/>
          <w:sz w:val="22"/>
          <w:szCs w:val="22"/>
        </w:rPr>
      </w:pPr>
      <w:r w:rsidRPr="00D23767">
        <w:rPr>
          <w:rFonts w:ascii="Arial" w:hAnsi="Arial" w:cs="Arial"/>
          <w:sz w:val="22"/>
          <w:szCs w:val="22"/>
        </w:rPr>
        <w:t xml:space="preserve">an individual </w:t>
      </w:r>
      <w:r w:rsidR="0061209D">
        <w:rPr>
          <w:rFonts w:ascii="Arial" w:hAnsi="Arial" w:cs="Arial"/>
          <w:sz w:val="22"/>
          <w:szCs w:val="22"/>
        </w:rPr>
        <w:t xml:space="preserve">who first </w:t>
      </w:r>
      <w:r w:rsidR="00F86DF0">
        <w:rPr>
          <w:rFonts w:ascii="Arial" w:hAnsi="Arial" w:cs="Arial"/>
          <w:sz w:val="22"/>
          <w:szCs w:val="22"/>
        </w:rPr>
        <w:t xml:space="preserve">satisfied the business participation requirement in subsection 12(2) of the Rules </w:t>
      </w:r>
      <w:r w:rsidR="00BE2F1E">
        <w:rPr>
          <w:rFonts w:ascii="Arial" w:hAnsi="Arial" w:cs="Arial"/>
          <w:sz w:val="22"/>
          <w:szCs w:val="22"/>
        </w:rPr>
        <w:t>(such as a director</w:t>
      </w:r>
      <w:r w:rsidR="0061209D">
        <w:rPr>
          <w:rFonts w:ascii="Arial" w:hAnsi="Arial" w:cs="Arial"/>
          <w:sz w:val="22"/>
          <w:szCs w:val="22"/>
        </w:rPr>
        <w:t xml:space="preserve"> of a company</w:t>
      </w:r>
      <w:r w:rsidR="00BE2F1E">
        <w:rPr>
          <w:rFonts w:ascii="Arial" w:hAnsi="Arial" w:cs="Arial"/>
          <w:sz w:val="22"/>
          <w:szCs w:val="22"/>
        </w:rPr>
        <w:t xml:space="preserve">, </w:t>
      </w:r>
      <w:r w:rsidR="0061209D">
        <w:rPr>
          <w:rFonts w:ascii="Arial" w:hAnsi="Arial" w:cs="Arial"/>
          <w:sz w:val="22"/>
          <w:szCs w:val="22"/>
        </w:rPr>
        <w:t xml:space="preserve">beneficiary of a trust </w:t>
      </w:r>
      <w:r w:rsidR="00BE2F1E">
        <w:rPr>
          <w:rFonts w:ascii="Arial" w:hAnsi="Arial" w:cs="Arial"/>
          <w:sz w:val="22"/>
          <w:szCs w:val="22"/>
        </w:rPr>
        <w:t>etc.</w:t>
      </w:r>
      <w:r w:rsidR="00F86DF0">
        <w:rPr>
          <w:rFonts w:ascii="Arial" w:hAnsi="Arial" w:cs="Arial"/>
          <w:sz w:val="22"/>
          <w:szCs w:val="22"/>
        </w:rPr>
        <w:t xml:space="preserve"> actively engaged in the business</w:t>
      </w:r>
      <w:r w:rsidR="00BE2F1E">
        <w:rPr>
          <w:rFonts w:ascii="Arial" w:hAnsi="Arial" w:cs="Arial"/>
          <w:sz w:val="22"/>
          <w:szCs w:val="22"/>
        </w:rPr>
        <w:t xml:space="preserve">) </w:t>
      </w:r>
      <w:r w:rsidRPr="00D23767">
        <w:rPr>
          <w:rFonts w:ascii="Arial" w:hAnsi="Arial" w:cs="Arial"/>
          <w:sz w:val="22"/>
          <w:szCs w:val="22"/>
        </w:rPr>
        <w:t>for the entity on or before 1</w:t>
      </w:r>
      <w:r w:rsidR="00F37A28">
        <w:rPr>
          <w:rFonts w:ascii="Arial" w:hAnsi="Arial" w:cs="Arial"/>
          <w:sz w:val="22"/>
          <w:szCs w:val="22"/>
        </w:rPr>
        <w:t> </w:t>
      </w:r>
      <w:r w:rsidRPr="00D23767">
        <w:rPr>
          <w:rFonts w:ascii="Arial" w:hAnsi="Arial" w:cs="Arial"/>
          <w:sz w:val="22"/>
          <w:szCs w:val="22"/>
        </w:rPr>
        <w:t xml:space="preserve">March 2020 but after 1 February 2020; </w:t>
      </w:r>
    </w:p>
    <w:p w14:paraId="620685BF" w14:textId="09B19B2A" w:rsidR="00D23767" w:rsidRPr="00D23767" w:rsidRDefault="00D23767" w:rsidP="0091425D">
      <w:pPr>
        <w:numPr>
          <w:ilvl w:val="2"/>
          <w:numId w:val="1"/>
        </w:numPr>
        <w:spacing w:after="120"/>
        <w:rPr>
          <w:rFonts w:ascii="Arial" w:hAnsi="Arial" w:cs="Arial"/>
          <w:sz w:val="22"/>
          <w:szCs w:val="22"/>
        </w:rPr>
      </w:pPr>
      <w:r>
        <w:rPr>
          <w:rFonts w:ascii="Arial" w:hAnsi="Arial" w:cs="Arial"/>
          <w:sz w:val="22"/>
          <w:szCs w:val="22"/>
        </w:rPr>
        <w:t xml:space="preserve">where the </w:t>
      </w:r>
      <w:r w:rsidRPr="00D23767">
        <w:rPr>
          <w:rFonts w:ascii="Arial" w:hAnsi="Arial" w:cs="Arial"/>
          <w:sz w:val="22"/>
          <w:szCs w:val="22"/>
        </w:rPr>
        <w:t>entit</w:t>
      </w:r>
      <w:r>
        <w:rPr>
          <w:rFonts w:ascii="Arial" w:hAnsi="Arial" w:cs="Arial"/>
          <w:sz w:val="22"/>
          <w:szCs w:val="22"/>
        </w:rPr>
        <w:t xml:space="preserve">y </w:t>
      </w:r>
      <w:r w:rsidRPr="00D23767">
        <w:rPr>
          <w:rFonts w:ascii="Arial" w:hAnsi="Arial" w:cs="Arial"/>
          <w:sz w:val="22"/>
          <w:szCs w:val="22"/>
        </w:rPr>
        <w:t>conducted business or some of its business in a declared drought zone, or declared natural disaster zone, during February 2020</w:t>
      </w:r>
      <w:r w:rsidR="00DF2E3D">
        <w:rPr>
          <w:rFonts w:ascii="Arial" w:hAnsi="Arial" w:cs="Arial"/>
          <w:sz w:val="22"/>
          <w:szCs w:val="22"/>
        </w:rPr>
        <w:t>;</w:t>
      </w:r>
    </w:p>
    <w:p w14:paraId="79E50A01" w14:textId="46C595A3" w:rsidR="00226C10" w:rsidRDefault="00D23767" w:rsidP="00D23767">
      <w:pPr>
        <w:numPr>
          <w:ilvl w:val="1"/>
          <w:numId w:val="1"/>
        </w:numPr>
        <w:spacing w:after="120"/>
        <w:rPr>
          <w:rFonts w:ascii="Arial" w:hAnsi="Arial" w:cs="Arial"/>
          <w:sz w:val="22"/>
          <w:szCs w:val="22"/>
        </w:rPr>
      </w:pPr>
      <w:r w:rsidRPr="00D23767">
        <w:rPr>
          <w:rFonts w:ascii="Arial" w:hAnsi="Arial" w:cs="Arial"/>
          <w:sz w:val="22"/>
          <w:szCs w:val="22"/>
        </w:rPr>
        <w:t>eligible religious practitioners</w:t>
      </w:r>
      <w:r w:rsidR="00B10C58">
        <w:rPr>
          <w:rFonts w:ascii="Arial" w:hAnsi="Arial" w:cs="Arial"/>
          <w:sz w:val="22"/>
          <w:szCs w:val="22"/>
        </w:rPr>
        <w:t>:</w:t>
      </w:r>
      <w:r>
        <w:rPr>
          <w:rFonts w:ascii="Arial" w:hAnsi="Arial" w:cs="Arial"/>
          <w:sz w:val="22"/>
          <w:szCs w:val="22"/>
        </w:rPr>
        <w:t xml:space="preserve"> </w:t>
      </w:r>
    </w:p>
    <w:p w14:paraId="0F772863" w14:textId="64795C4D" w:rsidR="002850C9" w:rsidRDefault="00D23767" w:rsidP="0091425D">
      <w:pPr>
        <w:numPr>
          <w:ilvl w:val="2"/>
          <w:numId w:val="1"/>
        </w:numPr>
        <w:spacing w:after="120"/>
        <w:rPr>
          <w:rFonts w:ascii="Arial" w:hAnsi="Arial" w:cs="Arial"/>
          <w:sz w:val="22"/>
          <w:szCs w:val="22"/>
        </w:rPr>
      </w:pPr>
      <w:r>
        <w:rPr>
          <w:rFonts w:ascii="Arial" w:hAnsi="Arial" w:cs="Arial"/>
          <w:sz w:val="22"/>
          <w:szCs w:val="22"/>
        </w:rPr>
        <w:t xml:space="preserve">whose </w:t>
      </w:r>
      <w:r w:rsidRPr="00D23767">
        <w:rPr>
          <w:rFonts w:ascii="Arial" w:hAnsi="Arial" w:cs="Arial"/>
          <w:sz w:val="22"/>
          <w:szCs w:val="22"/>
        </w:rPr>
        <w:t xml:space="preserve">total number of hours </w:t>
      </w:r>
      <w:r w:rsidR="009B3A3C">
        <w:rPr>
          <w:rFonts w:ascii="Arial" w:hAnsi="Arial" w:cs="Arial"/>
          <w:sz w:val="22"/>
          <w:szCs w:val="22"/>
        </w:rPr>
        <w:t xml:space="preserve">the eligible religious practitioner </w:t>
      </w:r>
      <w:r w:rsidR="002D0C09">
        <w:rPr>
          <w:rFonts w:ascii="Arial" w:hAnsi="Arial" w:cs="Arial"/>
          <w:sz w:val="22"/>
          <w:szCs w:val="22"/>
        </w:rPr>
        <w:t>spent</w:t>
      </w:r>
      <w:r w:rsidRPr="00D23767">
        <w:rPr>
          <w:rFonts w:ascii="Arial" w:hAnsi="Arial" w:cs="Arial"/>
          <w:sz w:val="22"/>
          <w:szCs w:val="22"/>
        </w:rPr>
        <w:t xml:space="preserve"> doing </w:t>
      </w:r>
      <w:r w:rsidR="009B3A3C" w:rsidRPr="00095530">
        <w:rPr>
          <w:rFonts w:ascii="Arial" w:hAnsi="Arial" w:cs="Arial"/>
          <w:sz w:val="22"/>
          <w:szCs w:val="22"/>
        </w:rPr>
        <w:t xml:space="preserve">an activity, or series of activities, in pursuit of their vocation </w:t>
      </w:r>
      <w:r w:rsidR="009B3A3C">
        <w:rPr>
          <w:rFonts w:ascii="Arial" w:hAnsi="Arial" w:cs="Arial"/>
          <w:sz w:val="22"/>
          <w:szCs w:val="22"/>
        </w:rPr>
        <w:t xml:space="preserve">and as a member of the entity </w:t>
      </w:r>
      <w:r w:rsidR="009B3A3C" w:rsidRPr="00095530">
        <w:rPr>
          <w:rFonts w:ascii="Arial" w:hAnsi="Arial" w:cs="Arial"/>
          <w:sz w:val="22"/>
          <w:szCs w:val="22"/>
        </w:rPr>
        <w:t xml:space="preserve">in </w:t>
      </w:r>
      <w:r w:rsidR="009B3A3C">
        <w:rPr>
          <w:rFonts w:ascii="Arial" w:hAnsi="Arial" w:cs="Arial"/>
          <w:sz w:val="22"/>
          <w:szCs w:val="22"/>
        </w:rPr>
        <w:t>February 2020:</w:t>
      </w:r>
    </w:p>
    <w:p w14:paraId="1CF5BDB1" w14:textId="77777777" w:rsidR="002850C9" w:rsidRDefault="00D23767" w:rsidP="002850C9">
      <w:pPr>
        <w:pStyle w:val="ListParagraph"/>
        <w:numPr>
          <w:ilvl w:val="0"/>
          <w:numId w:val="16"/>
        </w:numPr>
        <w:spacing w:after="120"/>
        <w:rPr>
          <w:rFonts w:ascii="Arial" w:hAnsi="Arial" w:cs="Arial"/>
        </w:rPr>
      </w:pPr>
      <w:r>
        <w:rPr>
          <w:rFonts w:ascii="Arial" w:hAnsi="Arial" w:cs="Arial"/>
        </w:rPr>
        <w:t>wa</w:t>
      </w:r>
      <w:r w:rsidRPr="00D23767">
        <w:rPr>
          <w:rFonts w:ascii="Arial" w:hAnsi="Arial" w:cs="Arial"/>
        </w:rPr>
        <w:t>s less than 80 hours</w:t>
      </w:r>
      <w:r w:rsidR="002850C9">
        <w:rPr>
          <w:rFonts w:ascii="Arial" w:hAnsi="Arial" w:cs="Arial"/>
        </w:rPr>
        <w:t>;</w:t>
      </w:r>
      <w:r w:rsidRPr="00D23767">
        <w:rPr>
          <w:rFonts w:ascii="Arial" w:hAnsi="Arial" w:cs="Arial"/>
        </w:rPr>
        <w:t xml:space="preserve"> and</w:t>
      </w:r>
    </w:p>
    <w:p w14:paraId="27895ABE" w14:textId="1ED6DAE7" w:rsidR="00D23767" w:rsidRPr="00D23767" w:rsidRDefault="002850C9" w:rsidP="008B720D">
      <w:pPr>
        <w:pStyle w:val="ListParagraph"/>
        <w:numPr>
          <w:ilvl w:val="0"/>
          <w:numId w:val="16"/>
        </w:numPr>
        <w:spacing w:after="120"/>
        <w:rPr>
          <w:rFonts w:ascii="Arial" w:hAnsi="Arial" w:cs="Arial"/>
        </w:rPr>
      </w:pPr>
      <w:r>
        <w:rPr>
          <w:rFonts w:ascii="Arial" w:hAnsi="Arial" w:cs="Arial"/>
        </w:rPr>
        <w:t>when compared</w:t>
      </w:r>
      <w:r w:rsidR="00D23767" w:rsidRPr="00D23767">
        <w:rPr>
          <w:rFonts w:ascii="Arial" w:hAnsi="Arial" w:cs="Arial"/>
        </w:rPr>
        <w:t xml:space="preserve"> to earlier 29-day periods</w:t>
      </w:r>
      <w:r w:rsidR="00B10C58" w:rsidRPr="00B10C58">
        <w:rPr>
          <w:rFonts w:ascii="Arial" w:hAnsi="Arial" w:cs="Arial"/>
        </w:rPr>
        <w:t xml:space="preserve"> </w:t>
      </w:r>
      <w:r>
        <w:rPr>
          <w:rFonts w:ascii="Arial" w:hAnsi="Arial" w:cs="Arial"/>
        </w:rPr>
        <w:t>(</w:t>
      </w:r>
      <w:r w:rsidR="00B10C58">
        <w:rPr>
          <w:rFonts w:ascii="Arial" w:hAnsi="Arial" w:cs="Arial"/>
        </w:rPr>
        <w:t>each wholly within a calendar month</w:t>
      </w:r>
      <w:r>
        <w:rPr>
          <w:rFonts w:ascii="Arial" w:hAnsi="Arial" w:cs="Arial"/>
        </w:rPr>
        <w:t>)</w:t>
      </w:r>
      <w:r w:rsidR="00D23767" w:rsidRPr="00D23767">
        <w:rPr>
          <w:rFonts w:ascii="Arial" w:hAnsi="Arial" w:cs="Arial"/>
        </w:rPr>
        <w:t xml:space="preserve">, was not representative of the eligible religious practitioner’s total number of those hours in a typical </w:t>
      </w:r>
      <w:r w:rsidR="00B10C58">
        <w:rPr>
          <w:rFonts w:ascii="Arial" w:hAnsi="Arial" w:cs="Arial"/>
        </w:rPr>
        <w:t xml:space="preserve">such </w:t>
      </w:r>
      <w:r w:rsidR="00B10C58" w:rsidRPr="00D23767">
        <w:rPr>
          <w:rFonts w:ascii="Arial" w:hAnsi="Arial" w:cs="Arial"/>
        </w:rPr>
        <w:t>29</w:t>
      </w:r>
      <w:r w:rsidR="00B10C58">
        <w:rPr>
          <w:rFonts w:ascii="Arial" w:hAnsi="Arial" w:cs="Arial"/>
        </w:rPr>
        <w:noBreakHyphen/>
      </w:r>
      <w:r w:rsidR="00D23767" w:rsidRPr="00D23767">
        <w:rPr>
          <w:rFonts w:ascii="Arial" w:hAnsi="Arial" w:cs="Arial"/>
        </w:rPr>
        <w:t>day period;</w:t>
      </w:r>
      <w:r w:rsidR="00DF2E3D">
        <w:rPr>
          <w:rFonts w:ascii="Arial" w:hAnsi="Arial" w:cs="Arial"/>
        </w:rPr>
        <w:t xml:space="preserve"> </w:t>
      </w:r>
    </w:p>
    <w:p w14:paraId="5B6AEF48" w14:textId="6B7A71D1" w:rsidR="00D23767" w:rsidRPr="00D23767" w:rsidRDefault="00D23767" w:rsidP="0091425D">
      <w:pPr>
        <w:numPr>
          <w:ilvl w:val="2"/>
          <w:numId w:val="1"/>
        </w:numPr>
        <w:spacing w:after="120"/>
        <w:rPr>
          <w:rFonts w:ascii="Arial" w:hAnsi="Arial" w:cs="Arial"/>
          <w:sz w:val="22"/>
          <w:szCs w:val="22"/>
        </w:rPr>
      </w:pPr>
      <w:r>
        <w:rPr>
          <w:rFonts w:ascii="Arial" w:hAnsi="Arial" w:cs="Arial"/>
          <w:sz w:val="22"/>
          <w:szCs w:val="22"/>
        </w:rPr>
        <w:t>who</w:t>
      </w:r>
      <w:r w:rsidRPr="00D23767">
        <w:rPr>
          <w:rFonts w:ascii="Arial" w:hAnsi="Arial" w:cs="Arial"/>
          <w:sz w:val="22"/>
          <w:szCs w:val="22"/>
        </w:rPr>
        <w:t xml:space="preserve"> first commenced doing activities covered by paragraph 12B(2)(b) of the Rules as a religious practitioner on or before 1 March 2020 but after 1 February 2020. </w:t>
      </w:r>
    </w:p>
    <w:p w14:paraId="5DCE0D06" w14:textId="2C5A0903" w:rsidR="007D2B92" w:rsidRPr="0091425D" w:rsidRDefault="00226C10" w:rsidP="009C4698">
      <w:pPr>
        <w:spacing w:after="120"/>
        <w:rPr>
          <w:rFonts w:ascii="Arial" w:hAnsi="Arial" w:cs="Arial"/>
          <w:b/>
          <w:bCs/>
          <w:sz w:val="28"/>
          <w:szCs w:val="22"/>
        </w:rPr>
      </w:pPr>
      <w:r w:rsidRPr="0091425D">
        <w:rPr>
          <w:rFonts w:ascii="Arial" w:hAnsi="Arial" w:cs="Arial"/>
          <w:b/>
          <w:bCs/>
          <w:sz w:val="28"/>
          <w:szCs w:val="22"/>
        </w:rPr>
        <w:lastRenderedPageBreak/>
        <w:t>Eligible Employees</w:t>
      </w:r>
    </w:p>
    <w:p w14:paraId="4DA80203" w14:textId="7B3A81C3" w:rsidR="00C313FA" w:rsidRPr="0091425D" w:rsidRDefault="00226C10" w:rsidP="009C4698">
      <w:pPr>
        <w:spacing w:after="120"/>
        <w:rPr>
          <w:rFonts w:ascii="Arial" w:hAnsi="Arial" w:cs="Arial"/>
          <w:b/>
          <w:bCs/>
          <w:szCs w:val="22"/>
        </w:rPr>
      </w:pPr>
      <w:r w:rsidRPr="0091425D">
        <w:rPr>
          <w:rFonts w:ascii="Arial" w:hAnsi="Arial" w:cs="Arial"/>
          <w:b/>
          <w:bCs/>
          <w:iCs/>
          <w:szCs w:val="22"/>
        </w:rPr>
        <w:t>T</w:t>
      </w:r>
      <w:r w:rsidR="005A08C6" w:rsidRPr="0091425D">
        <w:rPr>
          <w:rFonts w:ascii="Arial" w:hAnsi="Arial" w:cs="Arial"/>
          <w:b/>
          <w:bCs/>
          <w:iCs/>
          <w:szCs w:val="22"/>
        </w:rPr>
        <w:t>otal number of hours not representative of a typical 28-day period</w:t>
      </w:r>
    </w:p>
    <w:p w14:paraId="4A4F61B2" w14:textId="475C29F6" w:rsidR="00226C10" w:rsidRPr="0091425D" w:rsidRDefault="00616419" w:rsidP="00256FCD">
      <w:pPr>
        <w:numPr>
          <w:ilvl w:val="0"/>
          <w:numId w:val="1"/>
        </w:numPr>
        <w:spacing w:after="120"/>
        <w:ind w:left="0" w:firstLine="0"/>
        <w:rPr>
          <w:rFonts w:ascii="Arial" w:hAnsi="Arial" w:cs="Arial"/>
        </w:rPr>
      </w:pPr>
      <w:bookmarkStart w:id="2" w:name="_Hlk48116727"/>
      <w:r>
        <w:rPr>
          <w:rFonts w:ascii="Arial" w:hAnsi="Arial" w:cs="Arial"/>
          <w:sz w:val="22"/>
          <w:szCs w:val="22"/>
        </w:rPr>
        <w:t>P</w:t>
      </w:r>
      <w:r w:rsidR="005833FE" w:rsidRPr="00EC01F3">
        <w:rPr>
          <w:rFonts w:ascii="Arial" w:hAnsi="Arial" w:cs="Arial"/>
          <w:sz w:val="22"/>
          <w:szCs w:val="22"/>
        </w:rPr>
        <w:t>aragraph</w:t>
      </w:r>
      <w:r w:rsidR="005833FE" w:rsidRPr="00FF3C2C">
        <w:rPr>
          <w:rFonts w:ascii="Arial" w:hAnsi="Arial" w:cs="Arial"/>
          <w:sz w:val="22"/>
          <w:szCs w:val="22"/>
        </w:rPr>
        <w:t xml:space="preserve"> 6(1)(a)</w:t>
      </w:r>
      <w:r w:rsidR="00226C10">
        <w:rPr>
          <w:rFonts w:ascii="Arial" w:hAnsi="Arial" w:cs="Arial"/>
          <w:sz w:val="22"/>
          <w:szCs w:val="22"/>
        </w:rPr>
        <w:t xml:space="preserve"> of this Instrument</w:t>
      </w:r>
      <w:r>
        <w:rPr>
          <w:rFonts w:ascii="Arial" w:hAnsi="Arial" w:cs="Arial"/>
          <w:sz w:val="22"/>
          <w:szCs w:val="22"/>
        </w:rPr>
        <w:t xml:space="preserve"> identifies</w:t>
      </w:r>
      <w:r w:rsidR="00536F2D" w:rsidRPr="00256FCD">
        <w:rPr>
          <w:rFonts w:ascii="Arial" w:hAnsi="Arial" w:cs="Arial"/>
          <w:sz w:val="22"/>
          <w:szCs w:val="22"/>
        </w:rPr>
        <w:t xml:space="preserve"> </w:t>
      </w:r>
      <w:r>
        <w:rPr>
          <w:rFonts w:ascii="Arial" w:hAnsi="Arial" w:cs="Arial"/>
          <w:sz w:val="22"/>
          <w:szCs w:val="22"/>
        </w:rPr>
        <w:t xml:space="preserve">as </w:t>
      </w:r>
      <w:r w:rsidR="00226C10">
        <w:rPr>
          <w:rFonts w:ascii="Arial" w:hAnsi="Arial" w:cs="Arial"/>
          <w:sz w:val="22"/>
          <w:szCs w:val="22"/>
        </w:rPr>
        <w:t xml:space="preserve">a class </w:t>
      </w:r>
      <w:r w:rsidR="00536F2D" w:rsidRPr="002A651B">
        <w:rPr>
          <w:rFonts w:ascii="Arial" w:hAnsi="Arial" w:cs="Arial"/>
          <w:sz w:val="22"/>
          <w:szCs w:val="22"/>
        </w:rPr>
        <w:t>eligible</w:t>
      </w:r>
      <w:r w:rsidR="00226C10">
        <w:rPr>
          <w:rFonts w:ascii="Arial" w:hAnsi="Arial" w:cs="Arial"/>
          <w:sz w:val="22"/>
          <w:szCs w:val="22"/>
        </w:rPr>
        <w:t xml:space="preserve"> employee</w:t>
      </w:r>
      <w:r w:rsidR="006E1E9E">
        <w:rPr>
          <w:rFonts w:ascii="Arial" w:hAnsi="Arial" w:cs="Arial"/>
          <w:sz w:val="22"/>
          <w:szCs w:val="22"/>
        </w:rPr>
        <w:t>s</w:t>
      </w:r>
      <w:r w:rsidR="00226C10">
        <w:rPr>
          <w:rFonts w:ascii="Arial" w:hAnsi="Arial" w:cs="Arial"/>
          <w:sz w:val="22"/>
          <w:szCs w:val="22"/>
        </w:rPr>
        <w:t xml:space="preserve"> </w:t>
      </w:r>
      <w:r>
        <w:rPr>
          <w:rFonts w:ascii="Arial" w:hAnsi="Arial" w:cs="Arial"/>
          <w:sz w:val="22"/>
          <w:szCs w:val="22"/>
        </w:rPr>
        <w:t xml:space="preserve">for </w:t>
      </w:r>
      <w:r w:rsidR="00226C10">
        <w:rPr>
          <w:rFonts w:ascii="Arial" w:hAnsi="Arial" w:cs="Arial"/>
          <w:sz w:val="22"/>
          <w:szCs w:val="22"/>
        </w:rPr>
        <w:t>wh</w:t>
      </w:r>
      <w:r>
        <w:rPr>
          <w:rFonts w:ascii="Arial" w:hAnsi="Arial" w:cs="Arial"/>
          <w:sz w:val="22"/>
          <w:szCs w:val="22"/>
        </w:rPr>
        <w:t>om</w:t>
      </w:r>
      <w:r w:rsidR="00226C10">
        <w:rPr>
          <w:rFonts w:ascii="Arial" w:hAnsi="Arial" w:cs="Arial"/>
          <w:sz w:val="22"/>
          <w:szCs w:val="22"/>
        </w:rPr>
        <w:t>:</w:t>
      </w:r>
    </w:p>
    <w:p w14:paraId="70689425" w14:textId="35C29B9C" w:rsidR="00226C10" w:rsidRPr="0091425D" w:rsidRDefault="00226C10" w:rsidP="0091425D">
      <w:pPr>
        <w:numPr>
          <w:ilvl w:val="1"/>
          <w:numId w:val="1"/>
        </w:numPr>
        <w:spacing w:after="120"/>
        <w:rPr>
          <w:rFonts w:ascii="Arial" w:hAnsi="Arial" w:cs="Arial"/>
        </w:rPr>
      </w:pPr>
      <w:r>
        <w:rPr>
          <w:rFonts w:ascii="Arial" w:hAnsi="Arial" w:cs="Arial"/>
          <w:sz w:val="22"/>
          <w:szCs w:val="22"/>
        </w:rPr>
        <w:t xml:space="preserve">the </w:t>
      </w:r>
      <w:r w:rsidR="00536F2D" w:rsidRPr="002A651B">
        <w:rPr>
          <w:rFonts w:ascii="Arial" w:hAnsi="Arial" w:cs="Arial"/>
          <w:sz w:val="22"/>
          <w:szCs w:val="22"/>
        </w:rPr>
        <w:t>total number of hours of work, of paid leave and of paid absence on public holidays, w</w:t>
      </w:r>
      <w:r w:rsidR="009E30C2">
        <w:rPr>
          <w:rFonts w:ascii="Arial" w:hAnsi="Arial" w:cs="Arial"/>
          <w:sz w:val="22"/>
          <w:szCs w:val="22"/>
        </w:rPr>
        <w:t>as</w:t>
      </w:r>
      <w:r w:rsidR="00536F2D" w:rsidRPr="002A651B">
        <w:rPr>
          <w:rFonts w:ascii="Arial" w:hAnsi="Arial" w:cs="Arial"/>
          <w:sz w:val="22"/>
          <w:szCs w:val="22"/>
        </w:rPr>
        <w:t xml:space="preserve"> less than 80 hours in the standard reference period</w:t>
      </w:r>
      <w:r>
        <w:rPr>
          <w:rFonts w:ascii="Arial" w:hAnsi="Arial" w:cs="Arial"/>
          <w:sz w:val="22"/>
          <w:szCs w:val="22"/>
        </w:rPr>
        <w:t>;</w:t>
      </w:r>
      <w:r w:rsidRPr="002A651B">
        <w:rPr>
          <w:rFonts w:ascii="Arial" w:hAnsi="Arial" w:cs="Arial"/>
          <w:sz w:val="22"/>
          <w:szCs w:val="22"/>
        </w:rPr>
        <w:t xml:space="preserve"> </w:t>
      </w:r>
      <w:r w:rsidR="00536F2D" w:rsidRPr="002A651B">
        <w:rPr>
          <w:rFonts w:ascii="Arial" w:hAnsi="Arial" w:cs="Arial"/>
          <w:sz w:val="22"/>
          <w:szCs w:val="22"/>
        </w:rPr>
        <w:t xml:space="preserve">and </w:t>
      </w:r>
    </w:p>
    <w:p w14:paraId="6BC60A04" w14:textId="00CF7F02" w:rsidR="00536F2D" w:rsidRPr="002A651B" w:rsidRDefault="00536F2D" w:rsidP="0091425D">
      <w:pPr>
        <w:numPr>
          <w:ilvl w:val="1"/>
          <w:numId w:val="1"/>
        </w:numPr>
        <w:spacing w:after="120"/>
        <w:rPr>
          <w:rFonts w:ascii="Arial" w:hAnsi="Arial" w:cs="Arial"/>
        </w:rPr>
      </w:pPr>
      <w:r w:rsidRPr="002A651B">
        <w:rPr>
          <w:rFonts w:ascii="Arial" w:hAnsi="Arial" w:cs="Arial"/>
          <w:sz w:val="22"/>
          <w:szCs w:val="22"/>
        </w:rPr>
        <w:t xml:space="preserve">that total number of hours, </w:t>
      </w:r>
      <w:r w:rsidR="001A63CF">
        <w:rPr>
          <w:rFonts w:ascii="Arial" w:hAnsi="Arial" w:cs="Arial"/>
          <w:sz w:val="22"/>
          <w:szCs w:val="22"/>
        </w:rPr>
        <w:t>when</w:t>
      </w:r>
      <w:r w:rsidRPr="002A651B">
        <w:rPr>
          <w:rFonts w:ascii="Arial" w:hAnsi="Arial" w:cs="Arial"/>
          <w:sz w:val="22"/>
          <w:szCs w:val="22"/>
        </w:rPr>
        <w:t xml:space="preserve"> compar</w:t>
      </w:r>
      <w:r w:rsidR="001A63CF">
        <w:rPr>
          <w:rFonts w:ascii="Arial" w:hAnsi="Arial" w:cs="Arial"/>
          <w:sz w:val="22"/>
          <w:szCs w:val="22"/>
        </w:rPr>
        <w:t>ed</w:t>
      </w:r>
      <w:r w:rsidRPr="002A651B">
        <w:rPr>
          <w:rFonts w:ascii="Arial" w:hAnsi="Arial" w:cs="Arial"/>
          <w:sz w:val="22"/>
          <w:szCs w:val="22"/>
        </w:rPr>
        <w:t xml:space="preserve"> to earlier 28-day periods</w:t>
      </w:r>
      <w:r w:rsidR="00F600FB">
        <w:rPr>
          <w:rFonts w:ascii="Arial" w:hAnsi="Arial" w:cs="Arial"/>
          <w:sz w:val="22"/>
          <w:szCs w:val="22"/>
        </w:rPr>
        <w:t xml:space="preserve"> ending at the end of a pay cycle for th</w:t>
      </w:r>
      <w:r w:rsidR="002850C9">
        <w:rPr>
          <w:rFonts w:ascii="Arial" w:hAnsi="Arial" w:cs="Arial"/>
          <w:sz w:val="22"/>
          <w:szCs w:val="22"/>
        </w:rPr>
        <w:t>e</w:t>
      </w:r>
      <w:r w:rsidR="00F600FB">
        <w:rPr>
          <w:rFonts w:ascii="Arial" w:hAnsi="Arial" w:cs="Arial"/>
          <w:sz w:val="22"/>
          <w:szCs w:val="22"/>
        </w:rPr>
        <w:t xml:space="preserve"> employee</w:t>
      </w:r>
      <w:r w:rsidRPr="002A651B">
        <w:rPr>
          <w:rFonts w:ascii="Arial" w:hAnsi="Arial" w:cs="Arial"/>
          <w:sz w:val="22"/>
          <w:szCs w:val="22"/>
        </w:rPr>
        <w:t xml:space="preserve">, was not representative of the employee’s total number of hours in a typical </w:t>
      </w:r>
      <w:r w:rsidR="00F600FB">
        <w:rPr>
          <w:rFonts w:ascii="Arial" w:hAnsi="Arial" w:cs="Arial"/>
          <w:sz w:val="22"/>
          <w:szCs w:val="22"/>
        </w:rPr>
        <w:t xml:space="preserve">such </w:t>
      </w:r>
      <w:r w:rsidRPr="002A651B">
        <w:rPr>
          <w:rFonts w:ascii="Arial" w:hAnsi="Arial" w:cs="Arial"/>
          <w:sz w:val="22"/>
          <w:szCs w:val="22"/>
        </w:rPr>
        <w:t>28-day period.</w:t>
      </w:r>
    </w:p>
    <w:p w14:paraId="47E25392" w14:textId="567ED1D6" w:rsidR="00FC02F6" w:rsidRDefault="00FC02F6" w:rsidP="00FC02F6">
      <w:pPr>
        <w:numPr>
          <w:ilvl w:val="0"/>
          <w:numId w:val="1"/>
        </w:numPr>
        <w:spacing w:after="120"/>
        <w:ind w:left="0" w:firstLine="0"/>
        <w:rPr>
          <w:rFonts w:ascii="Arial" w:hAnsi="Arial" w:cs="Arial"/>
          <w:sz w:val="22"/>
          <w:szCs w:val="22"/>
        </w:rPr>
      </w:pPr>
      <w:r w:rsidRPr="00CF1A25">
        <w:rPr>
          <w:rFonts w:ascii="Arial" w:hAnsi="Arial" w:cs="Arial"/>
          <w:sz w:val="22"/>
          <w:szCs w:val="22"/>
        </w:rPr>
        <w:t>Paragraph</w:t>
      </w:r>
      <w:r w:rsidRPr="003B4964">
        <w:rPr>
          <w:rFonts w:ascii="Arial" w:hAnsi="Arial" w:cs="Arial"/>
          <w:sz w:val="22"/>
          <w:szCs w:val="22"/>
        </w:rPr>
        <w:t xml:space="preserve"> 6(1)(a)</w:t>
      </w:r>
      <w:r w:rsidRPr="0045030B">
        <w:rPr>
          <w:rFonts w:ascii="Arial" w:hAnsi="Arial" w:cs="Arial"/>
          <w:sz w:val="22"/>
          <w:szCs w:val="22"/>
        </w:rPr>
        <w:t xml:space="preserve"> requires that a comparison be made </w:t>
      </w:r>
      <w:r>
        <w:rPr>
          <w:rFonts w:ascii="Arial" w:hAnsi="Arial" w:cs="Arial"/>
          <w:sz w:val="22"/>
          <w:szCs w:val="22"/>
        </w:rPr>
        <w:t xml:space="preserve">to </w:t>
      </w:r>
      <w:r w:rsidRPr="0045030B">
        <w:rPr>
          <w:rFonts w:ascii="Arial" w:hAnsi="Arial" w:cs="Arial"/>
          <w:sz w:val="22"/>
          <w:szCs w:val="22"/>
        </w:rPr>
        <w:t xml:space="preserve">earlier </w:t>
      </w:r>
      <w:r w:rsidRPr="00256FCD">
        <w:rPr>
          <w:rFonts w:ascii="Arial" w:hAnsi="Arial" w:cs="Arial"/>
          <w:sz w:val="22"/>
          <w:szCs w:val="22"/>
        </w:rPr>
        <w:t>28-day periods</w:t>
      </w:r>
      <w:r w:rsidR="00F600FB">
        <w:rPr>
          <w:rFonts w:ascii="Arial" w:hAnsi="Arial" w:cs="Arial"/>
          <w:sz w:val="22"/>
          <w:szCs w:val="22"/>
        </w:rPr>
        <w:t>, being:</w:t>
      </w:r>
      <w:r w:rsidRPr="0045030B">
        <w:rPr>
          <w:rFonts w:ascii="Arial" w:hAnsi="Arial" w:cs="Arial"/>
          <w:sz w:val="22"/>
          <w:szCs w:val="22"/>
        </w:rPr>
        <w:t xml:space="preserve"> </w:t>
      </w:r>
    </w:p>
    <w:p w14:paraId="50ACEA6B" w14:textId="2329879E" w:rsidR="00FC02F6" w:rsidRDefault="00FC02F6" w:rsidP="00FC02F6">
      <w:pPr>
        <w:numPr>
          <w:ilvl w:val="1"/>
          <w:numId w:val="1"/>
        </w:numPr>
        <w:spacing w:after="120"/>
        <w:rPr>
          <w:rFonts w:ascii="Arial" w:hAnsi="Arial" w:cs="Arial"/>
          <w:sz w:val="22"/>
          <w:szCs w:val="22"/>
        </w:rPr>
      </w:pPr>
      <w:r w:rsidRPr="0045030B">
        <w:rPr>
          <w:rFonts w:ascii="Arial" w:hAnsi="Arial" w:cs="Arial"/>
          <w:sz w:val="22"/>
          <w:szCs w:val="22"/>
        </w:rPr>
        <w:t xml:space="preserve">earlier 28-day periods ending at the end </w:t>
      </w:r>
      <w:r>
        <w:rPr>
          <w:rFonts w:ascii="Arial" w:hAnsi="Arial" w:cs="Arial"/>
          <w:sz w:val="22"/>
          <w:szCs w:val="22"/>
        </w:rPr>
        <w:t xml:space="preserve">of </w:t>
      </w:r>
      <w:r w:rsidRPr="0045030B">
        <w:rPr>
          <w:rFonts w:ascii="Arial" w:hAnsi="Arial" w:cs="Arial"/>
          <w:sz w:val="22"/>
          <w:szCs w:val="22"/>
        </w:rPr>
        <w:t>a pay cycle for the employee</w:t>
      </w:r>
      <w:r w:rsidR="006E1E9E">
        <w:rPr>
          <w:rFonts w:ascii="Arial" w:hAnsi="Arial" w:cs="Arial"/>
          <w:sz w:val="22"/>
          <w:szCs w:val="22"/>
        </w:rPr>
        <w:t>; and</w:t>
      </w:r>
    </w:p>
    <w:p w14:paraId="14A9F7AC" w14:textId="0E502F04" w:rsidR="00FC02F6" w:rsidRPr="00CF1A25" w:rsidRDefault="00FC02F6" w:rsidP="00FC02F6">
      <w:pPr>
        <w:numPr>
          <w:ilvl w:val="1"/>
          <w:numId w:val="1"/>
        </w:numPr>
        <w:spacing w:after="120"/>
        <w:rPr>
          <w:rFonts w:ascii="Arial" w:hAnsi="Arial" w:cs="Arial"/>
          <w:sz w:val="22"/>
          <w:szCs w:val="22"/>
        </w:rPr>
      </w:pPr>
      <w:r w:rsidRPr="00256FCD">
        <w:rPr>
          <w:rFonts w:ascii="Arial" w:hAnsi="Arial" w:cs="Arial"/>
          <w:sz w:val="22"/>
          <w:szCs w:val="22"/>
        </w:rPr>
        <w:t>depend</w:t>
      </w:r>
      <w:r>
        <w:rPr>
          <w:rFonts w:ascii="Arial" w:hAnsi="Arial" w:cs="Arial"/>
          <w:sz w:val="22"/>
          <w:szCs w:val="22"/>
        </w:rPr>
        <w:t>ent</w:t>
      </w:r>
      <w:r w:rsidRPr="00256FCD">
        <w:rPr>
          <w:rFonts w:ascii="Arial" w:hAnsi="Arial" w:cs="Arial"/>
          <w:sz w:val="22"/>
          <w:szCs w:val="22"/>
        </w:rPr>
        <w:t xml:space="preserve"> on </w:t>
      </w:r>
      <w:r>
        <w:rPr>
          <w:rFonts w:ascii="Arial" w:hAnsi="Arial" w:cs="Arial"/>
          <w:sz w:val="22"/>
          <w:szCs w:val="22"/>
        </w:rPr>
        <w:t xml:space="preserve">the entity </w:t>
      </w:r>
      <w:r w:rsidRPr="00CF1A25">
        <w:rPr>
          <w:rFonts w:ascii="Arial" w:hAnsi="Arial" w:cs="Arial"/>
          <w:sz w:val="22"/>
          <w:szCs w:val="22"/>
        </w:rPr>
        <w:t>reasonabl</w:t>
      </w:r>
      <w:r>
        <w:rPr>
          <w:rFonts w:ascii="Arial" w:hAnsi="Arial" w:cs="Arial"/>
          <w:sz w:val="22"/>
          <w:szCs w:val="22"/>
        </w:rPr>
        <w:t>y</w:t>
      </w:r>
      <w:r w:rsidRPr="00256FCD">
        <w:rPr>
          <w:rFonts w:ascii="Arial" w:hAnsi="Arial" w:cs="Arial"/>
          <w:sz w:val="22"/>
          <w:szCs w:val="22"/>
        </w:rPr>
        <w:t xml:space="preserve"> establish</w:t>
      </w:r>
      <w:r>
        <w:rPr>
          <w:rFonts w:ascii="Arial" w:hAnsi="Arial" w:cs="Arial"/>
          <w:sz w:val="22"/>
          <w:szCs w:val="22"/>
        </w:rPr>
        <w:t>ing</w:t>
      </w:r>
      <w:r w:rsidRPr="00256FCD">
        <w:rPr>
          <w:rFonts w:ascii="Arial" w:hAnsi="Arial" w:cs="Arial"/>
          <w:sz w:val="22"/>
          <w:szCs w:val="22"/>
        </w:rPr>
        <w:t xml:space="preserve"> </w:t>
      </w:r>
      <w:r w:rsidR="00A247FD">
        <w:rPr>
          <w:rFonts w:ascii="Arial" w:hAnsi="Arial" w:cs="Arial"/>
          <w:sz w:val="22"/>
          <w:szCs w:val="22"/>
        </w:rPr>
        <w:t xml:space="preserve">the </w:t>
      </w:r>
      <w:r w:rsidRPr="00CF1A25">
        <w:rPr>
          <w:rFonts w:ascii="Arial" w:hAnsi="Arial" w:cs="Arial"/>
          <w:sz w:val="22"/>
          <w:szCs w:val="22"/>
        </w:rPr>
        <w:t>employee’</w:t>
      </w:r>
      <w:r w:rsidRPr="003B4964">
        <w:rPr>
          <w:rFonts w:ascii="Arial" w:hAnsi="Arial" w:cs="Arial"/>
          <w:sz w:val="22"/>
          <w:szCs w:val="22"/>
        </w:rPr>
        <w:t xml:space="preserve">s usual </w:t>
      </w:r>
      <w:r w:rsidRPr="0045030B">
        <w:rPr>
          <w:rFonts w:ascii="Arial" w:hAnsi="Arial" w:cs="Arial"/>
          <w:sz w:val="22"/>
          <w:szCs w:val="22"/>
        </w:rPr>
        <w:t>hours</w:t>
      </w:r>
      <w:r>
        <w:rPr>
          <w:rFonts w:ascii="Arial" w:hAnsi="Arial" w:cs="Arial"/>
          <w:sz w:val="22"/>
          <w:szCs w:val="22"/>
        </w:rPr>
        <w:t xml:space="preserve"> over an established work pattern (</w:t>
      </w:r>
      <w:r w:rsidR="006E1E9E">
        <w:rPr>
          <w:rFonts w:ascii="Arial" w:hAnsi="Arial" w:cs="Arial"/>
          <w:sz w:val="22"/>
          <w:szCs w:val="22"/>
        </w:rPr>
        <w:t>that is</w:t>
      </w:r>
      <w:r>
        <w:rPr>
          <w:rFonts w:ascii="Arial" w:hAnsi="Arial" w:cs="Arial"/>
          <w:sz w:val="22"/>
          <w:szCs w:val="22"/>
        </w:rPr>
        <w:t xml:space="preserve">, a typical </w:t>
      </w:r>
      <w:r w:rsidR="00A247FD">
        <w:rPr>
          <w:rFonts w:ascii="Arial" w:hAnsi="Arial" w:cs="Arial"/>
          <w:sz w:val="22"/>
          <w:szCs w:val="22"/>
        </w:rPr>
        <w:t xml:space="preserve">such </w:t>
      </w:r>
      <w:r w:rsidRPr="00CF1A25">
        <w:rPr>
          <w:rFonts w:ascii="Arial" w:hAnsi="Arial" w:cs="Arial"/>
          <w:sz w:val="22"/>
          <w:szCs w:val="22"/>
        </w:rPr>
        <w:t>28-day period</w:t>
      </w:r>
      <w:r>
        <w:rPr>
          <w:rFonts w:ascii="Arial" w:hAnsi="Arial" w:cs="Arial"/>
          <w:sz w:val="22"/>
          <w:szCs w:val="22"/>
        </w:rPr>
        <w:t>)</w:t>
      </w:r>
      <w:r w:rsidRPr="00256FCD">
        <w:rPr>
          <w:rFonts w:ascii="Arial" w:hAnsi="Arial" w:cs="Arial"/>
          <w:sz w:val="22"/>
          <w:szCs w:val="22"/>
        </w:rPr>
        <w:t>.</w:t>
      </w:r>
      <w:r w:rsidRPr="00CF1A25">
        <w:rPr>
          <w:rFonts w:ascii="Arial" w:hAnsi="Arial" w:cs="Arial"/>
          <w:sz w:val="22"/>
          <w:szCs w:val="22"/>
        </w:rPr>
        <w:t xml:space="preserve"> </w:t>
      </w:r>
      <w:r>
        <w:rPr>
          <w:rFonts w:ascii="Arial" w:hAnsi="Arial" w:cs="Arial"/>
          <w:sz w:val="22"/>
          <w:szCs w:val="22"/>
        </w:rPr>
        <w:t xml:space="preserve"> </w:t>
      </w:r>
    </w:p>
    <w:p w14:paraId="25524721" w14:textId="4EF27908" w:rsidR="002D708D" w:rsidRDefault="00FC02F6" w:rsidP="00095530">
      <w:pPr>
        <w:numPr>
          <w:ilvl w:val="0"/>
          <w:numId w:val="1"/>
        </w:numPr>
        <w:spacing w:after="120"/>
        <w:ind w:left="0" w:firstLine="0"/>
        <w:rPr>
          <w:rFonts w:ascii="Arial" w:hAnsi="Arial" w:cs="Arial"/>
          <w:sz w:val="22"/>
          <w:szCs w:val="22"/>
        </w:rPr>
      </w:pPr>
      <w:r w:rsidRPr="00095530">
        <w:rPr>
          <w:rFonts w:ascii="Arial" w:hAnsi="Arial" w:cs="Arial"/>
          <w:sz w:val="22"/>
          <w:szCs w:val="22"/>
        </w:rPr>
        <w:t xml:space="preserve">Employers can look back to earlier 28-day periods in </w:t>
      </w:r>
      <w:r w:rsidR="00962689" w:rsidRPr="00095530">
        <w:rPr>
          <w:rFonts w:ascii="Arial" w:hAnsi="Arial" w:cs="Arial"/>
          <w:sz w:val="22"/>
          <w:szCs w:val="22"/>
        </w:rPr>
        <w:t xml:space="preserve">which </w:t>
      </w:r>
      <w:r w:rsidRPr="00095530">
        <w:rPr>
          <w:rFonts w:ascii="Arial" w:hAnsi="Arial" w:cs="Arial"/>
          <w:sz w:val="22"/>
          <w:szCs w:val="22"/>
        </w:rPr>
        <w:t xml:space="preserve">any circumstances that affected the number of hours </w:t>
      </w:r>
      <w:r w:rsidR="00DE7238">
        <w:rPr>
          <w:rFonts w:ascii="Arial" w:hAnsi="Arial" w:cs="Arial"/>
          <w:sz w:val="22"/>
          <w:szCs w:val="22"/>
        </w:rPr>
        <w:t xml:space="preserve">in </w:t>
      </w:r>
      <w:r w:rsidRPr="00095530">
        <w:rPr>
          <w:rFonts w:ascii="Arial" w:hAnsi="Arial" w:cs="Arial"/>
          <w:sz w:val="22"/>
          <w:szCs w:val="22"/>
        </w:rPr>
        <w:t>th</w:t>
      </w:r>
      <w:r w:rsidR="006E1E9E">
        <w:rPr>
          <w:rFonts w:ascii="Arial" w:hAnsi="Arial" w:cs="Arial"/>
          <w:sz w:val="22"/>
          <w:szCs w:val="22"/>
        </w:rPr>
        <w:t>e</w:t>
      </w:r>
      <w:r w:rsidRPr="00095530">
        <w:rPr>
          <w:rFonts w:ascii="Arial" w:hAnsi="Arial" w:cs="Arial"/>
          <w:sz w:val="22"/>
          <w:szCs w:val="22"/>
        </w:rPr>
        <w:t xml:space="preserve"> </w:t>
      </w:r>
      <w:r w:rsidR="002B1265">
        <w:rPr>
          <w:rFonts w:ascii="Arial" w:hAnsi="Arial" w:cs="Arial"/>
          <w:sz w:val="22"/>
          <w:szCs w:val="22"/>
        </w:rPr>
        <w:t>standard</w:t>
      </w:r>
      <w:r w:rsidRPr="00095530">
        <w:rPr>
          <w:rFonts w:ascii="Arial" w:hAnsi="Arial" w:cs="Arial"/>
          <w:sz w:val="22"/>
          <w:szCs w:val="22"/>
        </w:rPr>
        <w:t xml:space="preserve"> reference period did not exist</w:t>
      </w:r>
      <w:r w:rsidR="00D913B9">
        <w:rPr>
          <w:rFonts w:ascii="Arial" w:hAnsi="Arial" w:cs="Arial"/>
          <w:sz w:val="22"/>
          <w:szCs w:val="22"/>
        </w:rPr>
        <w:t xml:space="preserve"> </w:t>
      </w:r>
      <w:r w:rsidR="00D274B0">
        <w:rPr>
          <w:rFonts w:ascii="Arial" w:hAnsi="Arial" w:cs="Arial"/>
          <w:sz w:val="22"/>
          <w:szCs w:val="22"/>
        </w:rPr>
        <w:t>to identify</w:t>
      </w:r>
      <w:r w:rsidR="00D913B9">
        <w:rPr>
          <w:rFonts w:ascii="Arial" w:hAnsi="Arial" w:cs="Arial"/>
          <w:sz w:val="22"/>
          <w:szCs w:val="22"/>
        </w:rPr>
        <w:t xml:space="preserve"> a typical </w:t>
      </w:r>
      <w:r w:rsidR="008B720D">
        <w:rPr>
          <w:rFonts w:ascii="Arial" w:hAnsi="Arial" w:cs="Arial"/>
          <w:sz w:val="22"/>
          <w:szCs w:val="22"/>
        </w:rPr>
        <w:t>28-day</w:t>
      </w:r>
      <w:r w:rsidR="00D913B9">
        <w:rPr>
          <w:rFonts w:ascii="Arial" w:hAnsi="Arial" w:cs="Arial"/>
          <w:sz w:val="22"/>
          <w:szCs w:val="22"/>
        </w:rPr>
        <w:t xml:space="preserve"> period</w:t>
      </w:r>
      <w:r w:rsidRPr="00095530">
        <w:rPr>
          <w:rFonts w:ascii="Arial" w:hAnsi="Arial" w:cs="Arial"/>
          <w:sz w:val="22"/>
          <w:szCs w:val="22"/>
        </w:rPr>
        <w:t xml:space="preserve">. </w:t>
      </w:r>
      <w:r w:rsidR="002D708D">
        <w:rPr>
          <w:rFonts w:ascii="Arial" w:hAnsi="Arial" w:cs="Arial"/>
          <w:sz w:val="22"/>
          <w:szCs w:val="22"/>
        </w:rPr>
        <w:t>For consistency with the standard reference period</w:t>
      </w:r>
      <w:r w:rsidR="00FF557B">
        <w:rPr>
          <w:rFonts w:ascii="Arial" w:hAnsi="Arial" w:cs="Arial"/>
          <w:sz w:val="22"/>
          <w:szCs w:val="22"/>
        </w:rPr>
        <w:t xml:space="preserve"> (and alternative reference period set out below)</w:t>
      </w:r>
      <w:r w:rsidR="002D708D">
        <w:rPr>
          <w:rFonts w:ascii="Arial" w:hAnsi="Arial" w:cs="Arial"/>
          <w:sz w:val="22"/>
          <w:szCs w:val="22"/>
        </w:rPr>
        <w:t xml:space="preserve">, </w:t>
      </w:r>
      <w:r w:rsidR="009B3A3C">
        <w:rPr>
          <w:rFonts w:ascii="Arial" w:hAnsi="Arial" w:cs="Arial"/>
          <w:sz w:val="22"/>
          <w:szCs w:val="22"/>
        </w:rPr>
        <w:t>the earlier</w:t>
      </w:r>
      <w:r w:rsidR="002D708D">
        <w:rPr>
          <w:rFonts w:ascii="Arial" w:hAnsi="Arial" w:cs="Arial"/>
          <w:sz w:val="22"/>
          <w:szCs w:val="22"/>
        </w:rPr>
        <w:t xml:space="preserve"> 28-day periods must end at the end of a pay cycle.</w:t>
      </w:r>
    </w:p>
    <w:p w14:paraId="1D7D8C60" w14:textId="25AAF2C3" w:rsidR="00AE168E" w:rsidRPr="00095530" w:rsidRDefault="00226C10" w:rsidP="00095530">
      <w:pPr>
        <w:numPr>
          <w:ilvl w:val="0"/>
          <w:numId w:val="1"/>
        </w:numPr>
        <w:spacing w:after="120"/>
        <w:ind w:left="0" w:firstLine="0"/>
        <w:rPr>
          <w:rFonts w:ascii="Arial" w:hAnsi="Arial" w:cs="Arial"/>
          <w:sz w:val="22"/>
          <w:szCs w:val="22"/>
        </w:rPr>
      </w:pPr>
      <w:r w:rsidRPr="00095530">
        <w:rPr>
          <w:rFonts w:ascii="Arial" w:hAnsi="Arial" w:cs="Arial"/>
          <w:sz w:val="22"/>
          <w:szCs w:val="22"/>
        </w:rPr>
        <w:t>Common reasons t</w:t>
      </w:r>
      <w:r w:rsidR="002A651B" w:rsidRPr="00095530">
        <w:rPr>
          <w:rFonts w:ascii="Arial" w:hAnsi="Arial" w:cs="Arial"/>
          <w:sz w:val="22"/>
          <w:szCs w:val="22"/>
        </w:rPr>
        <w:t>he total number of hours</w:t>
      </w:r>
      <w:r w:rsidR="00D650ED" w:rsidRPr="00095530">
        <w:rPr>
          <w:rFonts w:ascii="Arial" w:hAnsi="Arial" w:cs="Arial"/>
          <w:sz w:val="22"/>
          <w:szCs w:val="22"/>
        </w:rPr>
        <w:t xml:space="preserve"> </w:t>
      </w:r>
      <w:r w:rsidR="004652AE" w:rsidRPr="00095530">
        <w:rPr>
          <w:rFonts w:ascii="Arial" w:hAnsi="Arial" w:cs="Arial"/>
          <w:sz w:val="22"/>
          <w:szCs w:val="22"/>
        </w:rPr>
        <w:t xml:space="preserve">in the </w:t>
      </w:r>
      <w:r w:rsidR="002B1265">
        <w:rPr>
          <w:rFonts w:ascii="Arial" w:hAnsi="Arial" w:cs="Arial"/>
          <w:sz w:val="22"/>
          <w:szCs w:val="22"/>
        </w:rPr>
        <w:t>standard</w:t>
      </w:r>
      <w:r w:rsidR="004652AE" w:rsidRPr="00095530">
        <w:rPr>
          <w:rFonts w:ascii="Arial" w:hAnsi="Arial" w:cs="Arial"/>
          <w:sz w:val="22"/>
          <w:szCs w:val="22"/>
        </w:rPr>
        <w:t xml:space="preserve"> </w:t>
      </w:r>
      <w:r w:rsidR="00D913B9">
        <w:rPr>
          <w:rFonts w:ascii="Arial" w:hAnsi="Arial" w:cs="Arial"/>
          <w:sz w:val="22"/>
          <w:szCs w:val="22"/>
        </w:rPr>
        <w:t xml:space="preserve">reference </w:t>
      </w:r>
      <w:r w:rsidR="004652AE" w:rsidRPr="00095530">
        <w:rPr>
          <w:rFonts w:ascii="Arial" w:hAnsi="Arial" w:cs="Arial"/>
          <w:sz w:val="22"/>
          <w:szCs w:val="22"/>
        </w:rPr>
        <w:t>period</w:t>
      </w:r>
      <w:r w:rsidRPr="00095530">
        <w:rPr>
          <w:rFonts w:ascii="Arial" w:hAnsi="Arial" w:cs="Arial"/>
          <w:sz w:val="22"/>
          <w:szCs w:val="22"/>
        </w:rPr>
        <w:t xml:space="preserve"> are not representative of typical hours include</w:t>
      </w:r>
      <w:r w:rsidR="00AE168E" w:rsidRPr="00095530">
        <w:rPr>
          <w:rFonts w:ascii="Arial" w:hAnsi="Arial" w:cs="Arial"/>
          <w:sz w:val="22"/>
          <w:szCs w:val="22"/>
        </w:rPr>
        <w:t>:</w:t>
      </w:r>
    </w:p>
    <w:p w14:paraId="6EEC6244" w14:textId="67FA503D" w:rsidR="00AE168E" w:rsidRDefault="00AE168E" w:rsidP="00AE168E">
      <w:pPr>
        <w:numPr>
          <w:ilvl w:val="1"/>
          <w:numId w:val="1"/>
        </w:numPr>
        <w:spacing w:after="120"/>
        <w:rPr>
          <w:rFonts w:ascii="Arial" w:hAnsi="Arial" w:cs="Arial"/>
          <w:sz w:val="22"/>
          <w:szCs w:val="22"/>
        </w:rPr>
      </w:pPr>
      <w:r>
        <w:rPr>
          <w:rFonts w:ascii="Arial" w:hAnsi="Arial" w:cs="Arial"/>
          <w:sz w:val="22"/>
          <w:szCs w:val="22"/>
        </w:rPr>
        <w:t>t</w:t>
      </w:r>
      <w:r w:rsidRPr="00AE168E">
        <w:rPr>
          <w:rFonts w:ascii="Arial" w:hAnsi="Arial" w:cs="Arial"/>
          <w:sz w:val="22"/>
          <w:szCs w:val="22"/>
        </w:rPr>
        <w:t xml:space="preserve">he employee </w:t>
      </w:r>
      <w:r>
        <w:rPr>
          <w:rFonts w:ascii="Arial" w:hAnsi="Arial" w:cs="Arial"/>
          <w:sz w:val="22"/>
          <w:szCs w:val="22"/>
        </w:rPr>
        <w:t>took various types of</w:t>
      </w:r>
      <w:r w:rsidRPr="00AE168E">
        <w:rPr>
          <w:rFonts w:ascii="Arial" w:hAnsi="Arial" w:cs="Arial"/>
          <w:sz w:val="22"/>
          <w:szCs w:val="22"/>
        </w:rPr>
        <w:t xml:space="preserve"> unpaid leave during the </w:t>
      </w:r>
      <w:r w:rsidR="002B1265">
        <w:rPr>
          <w:rFonts w:ascii="Arial" w:hAnsi="Arial" w:cs="Arial"/>
          <w:sz w:val="22"/>
          <w:szCs w:val="22"/>
        </w:rPr>
        <w:t>standard</w:t>
      </w:r>
      <w:r w:rsidR="0063002C">
        <w:rPr>
          <w:rFonts w:ascii="Arial" w:hAnsi="Arial" w:cs="Arial"/>
          <w:sz w:val="22"/>
          <w:szCs w:val="22"/>
        </w:rPr>
        <w:t xml:space="preserve"> </w:t>
      </w:r>
      <w:r w:rsidRPr="00AE168E">
        <w:rPr>
          <w:rFonts w:ascii="Arial" w:hAnsi="Arial" w:cs="Arial"/>
          <w:sz w:val="22"/>
          <w:szCs w:val="22"/>
        </w:rPr>
        <w:t xml:space="preserve">reference period for </w:t>
      </w:r>
      <w:r>
        <w:rPr>
          <w:rFonts w:ascii="Arial" w:hAnsi="Arial" w:cs="Arial"/>
          <w:sz w:val="22"/>
          <w:szCs w:val="22"/>
        </w:rPr>
        <w:t>any reason, f</w:t>
      </w:r>
      <w:r w:rsidRPr="00AE168E">
        <w:rPr>
          <w:rFonts w:ascii="Arial" w:hAnsi="Arial" w:cs="Arial"/>
          <w:sz w:val="22"/>
          <w:szCs w:val="22"/>
        </w:rPr>
        <w:t>or example, sick leave, parental leave and emergency services leave during bushfires</w:t>
      </w:r>
      <w:r>
        <w:rPr>
          <w:rFonts w:ascii="Arial" w:hAnsi="Arial" w:cs="Arial"/>
          <w:sz w:val="22"/>
          <w:szCs w:val="22"/>
        </w:rPr>
        <w:t xml:space="preserve">; </w:t>
      </w:r>
    </w:p>
    <w:p w14:paraId="48EB1B98" w14:textId="4BC28840" w:rsidR="00AE168E" w:rsidRDefault="00AE168E" w:rsidP="00AE168E">
      <w:pPr>
        <w:numPr>
          <w:ilvl w:val="1"/>
          <w:numId w:val="1"/>
        </w:numPr>
        <w:spacing w:after="120"/>
        <w:rPr>
          <w:rFonts w:ascii="Arial" w:hAnsi="Arial" w:cs="Arial"/>
          <w:sz w:val="22"/>
          <w:szCs w:val="22"/>
        </w:rPr>
      </w:pPr>
      <w:r>
        <w:rPr>
          <w:rFonts w:ascii="Arial" w:hAnsi="Arial" w:cs="Arial"/>
          <w:sz w:val="22"/>
          <w:szCs w:val="22"/>
        </w:rPr>
        <w:t xml:space="preserve">the </w:t>
      </w:r>
      <w:r w:rsidR="00D913B9">
        <w:rPr>
          <w:rFonts w:ascii="Arial" w:hAnsi="Arial" w:cs="Arial"/>
          <w:sz w:val="22"/>
          <w:szCs w:val="22"/>
        </w:rPr>
        <w:t xml:space="preserve">employee’s </w:t>
      </w:r>
      <w:r>
        <w:rPr>
          <w:rFonts w:ascii="Arial" w:hAnsi="Arial" w:cs="Arial"/>
          <w:sz w:val="22"/>
          <w:szCs w:val="22"/>
        </w:rPr>
        <w:t xml:space="preserve">total number of hours </w:t>
      </w:r>
      <w:r w:rsidR="0063002C">
        <w:rPr>
          <w:rFonts w:ascii="Arial" w:hAnsi="Arial" w:cs="Arial"/>
          <w:sz w:val="22"/>
          <w:szCs w:val="22"/>
        </w:rPr>
        <w:t xml:space="preserve">during the </w:t>
      </w:r>
      <w:r w:rsidR="002B1265">
        <w:rPr>
          <w:rFonts w:ascii="Arial" w:hAnsi="Arial" w:cs="Arial"/>
          <w:sz w:val="22"/>
          <w:szCs w:val="22"/>
        </w:rPr>
        <w:t>standard</w:t>
      </w:r>
      <w:r w:rsidR="0063002C">
        <w:rPr>
          <w:rFonts w:ascii="Arial" w:hAnsi="Arial" w:cs="Arial"/>
          <w:sz w:val="22"/>
          <w:szCs w:val="22"/>
        </w:rPr>
        <w:t xml:space="preserve"> ref</w:t>
      </w:r>
      <w:r w:rsidR="00D243DD">
        <w:rPr>
          <w:rFonts w:ascii="Arial" w:hAnsi="Arial" w:cs="Arial"/>
          <w:sz w:val="22"/>
          <w:szCs w:val="22"/>
        </w:rPr>
        <w:t xml:space="preserve">erence period </w:t>
      </w:r>
      <w:r>
        <w:rPr>
          <w:rFonts w:ascii="Arial" w:hAnsi="Arial" w:cs="Arial"/>
          <w:sz w:val="22"/>
          <w:szCs w:val="22"/>
        </w:rPr>
        <w:t>were affected</w:t>
      </w:r>
      <w:r w:rsidRPr="00752F24">
        <w:rPr>
          <w:rFonts w:ascii="Arial" w:hAnsi="Arial" w:cs="Arial"/>
          <w:sz w:val="22"/>
          <w:szCs w:val="22"/>
        </w:rPr>
        <w:t xml:space="preserve"> </w:t>
      </w:r>
      <w:r w:rsidRPr="00AE168E">
        <w:rPr>
          <w:rFonts w:ascii="Arial" w:hAnsi="Arial" w:cs="Arial"/>
          <w:sz w:val="22"/>
          <w:szCs w:val="22"/>
        </w:rPr>
        <w:t>due to the employer conducting business or some business in a declared drought zone or declared natural disaster zone</w:t>
      </w:r>
      <w:r w:rsidR="00130657">
        <w:rPr>
          <w:rFonts w:ascii="Arial" w:hAnsi="Arial" w:cs="Arial"/>
          <w:sz w:val="22"/>
          <w:szCs w:val="22"/>
        </w:rPr>
        <w:t xml:space="preserve">; </w:t>
      </w:r>
    </w:p>
    <w:p w14:paraId="228A75FA" w14:textId="00F1E60E" w:rsidR="001C523E" w:rsidRDefault="009D06FE" w:rsidP="00AE168E">
      <w:pPr>
        <w:numPr>
          <w:ilvl w:val="1"/>
          <w:numId w:val="1"/>
        </w:numPr>
        <w:spacing w:after="120"/>
        <w:rPr>
          <w:rFonts w:ascii="Arial" w:hAnsi="Arial" w:cs="Arial"/>
          <w:sz w:val="22"/>
          <w:szCs w:val="22"/>
        </w:rPr>
      </w:pPr>
      <w:r w:rsidRPr="00CF1A25">
        <w:rPr>
          <w:rFonts w:ascii="Arial" w:hAnsi="Arial" w:cs="Arial"/>
          <w:sz w:val="22"/>
          <w:szCs w:val="22"/>
        </w:rPr>
        <w:t xml:space="preserve">the </w:t>
      </w:r>
      <w:r>
        <w:rPr>
          <w:rFonts w:ascii="Arial" w:hAnsi="Arial" w:cs="Arial"/>
          <w:sz w:val="22"/>
          <w:szCs w:val="22"/>
        </w:rPr>
        <w:t xml:space="preserve">total </w:t>
      </w:r>
      <w:r w:rsidRPr="00CF1A25">
        <w:rPr>
          <w:rFonts w:ascii="Arial" w:hAnsi="Arial" w:cs="Arial"/>
          <w:sz w:val="22"/>
          <w:szCs w:val="22"/>
        </w:rPr>
        <w:t>number of hours worked by an</w:t>
      </w:r>
      <w:r w:rsidRPr="003B4964">
        <w:rPr>
          <w:rFonts w:ascii="Arial" w:hAnsi="Arial" w:cs="Arial"/>
          <w:sz w:val="22"/>
          <w:szCs w:val="22"/>
        </w:rPr>
        <w:t xml:space="preserve"> employee </w:t>
      </w:r>
      <w:r w:rsidR="00D243DD">
        <w:rPr>
          <w:rFonts w:ascii="Arial" w:hAnsi="Arial" w:cs="Arial"/>
          <w:sz w:val="22"/>
          <w:szCs w:val="22"/>
        </w:rPr>
        <w:t xml:space="preserve">during the </w:t>
      </w:r>
      <w:r w:rsidR="002B1265">
        <w:rPr>
          <w:rFonts w:ascii="Arial" w:hAnsi="Arial" w:cs="Arial"/>
          <w:sz w:val="22"/>
          <w:szCs w:val="22"/>
        </w:rPr>
        <w:t>standard</w:t>
      </w:r>
      <w:r w:rsidR="00D243DD">
        <w:rPr>
          <w:rFonts w:ascii="Arial" w:hAnsi="Arial" w:cs="Arial"/>
          <w:sz w:val="22"/>
          <w:szCs w:val="22"/>
        </w:rPr>
        <w:t xml:space="preserve"> reference period </w:t>
      </w:r>
      <w:r w:rsidRPr="003B4964">
        <w:rPr>
          <w:rFonts w:ascii="Arial" w:hAnsi="Arial" w:cs="Arial"/>
          <w:sz w:val="22"/>
          <w:szCs w:val="22"/>
        </w:rPr>
        <w:t>v</w:t>
      </w:r>
      <w:r w:rsidRPr="0045030B">
        <w:rPr>
          <w:rFonts w:ascii="Arial" w:hAnsi="Arial" w:cs="Arial"/>
          <w:sz w:val="22"/>
          <w:szCs w:val="22"/>
        </w:rPr>
        <w:t>aries due to rostering schedules</w:t>
      </w:r>
      <w:r>
        <w:rPr>
          <w:rFonts w:ascii="Arial" w:hAnsi="Arial" w:cs="Arial"/>
          <w:sz w:val="22"/>
          <w:szCs w:val="22"/>
        </w:rPr>
        <w:t>, such as fly-in-fly-out employees</w:t>
      </w:r>
      <w:r w:rsidR="001C523E">
        <w:rPr>
          <w:rFonts w:ascii="Arial" w:hAnsi="Arial" w:cs="Arial"/>
          <w:sz w:val="22"/>
          <w:szCs w:val="22"/>
        </w:rPr>
        <w:t xml:space="preserve">; </w:t>
      </w:r>
      <w:r w:rsidR="006570AA">
        <w:rPr>
          <w:rFonts w:ascii="Arial" w:hAnsi="Arial" w:cs="Arial"/>
          <w:sz w:val="22"/>
          <w:szCs w:val="22"/>
        </w:rPr>
        <w:t>or</w:t>
      </w:r>
    </w:p>
    <w:p w14:paraId="7EF0260A" w14:textId="5B1362A7" w:rsidR="00130657" w:rsidRDefault="001C523E" w:rsidP="00AE168E">
      <w:pPr>
        <w:numPr>
          <w:ilvl w:val="1"/>
          <w:numId w:val="1"/>
        </w:numPr>
        <w:spacing w:after="120"/>
        <w:rPr>
          <w:rFonts w:ascii="Arial" w:hAnsi="Arial" w:cs="Arial"/>
          <w:sz w:val="22"/>
          <w:szCs w:val="22"/>
        </w:rPr>
      </w:pPr>
      <w:r>
        <w:rPr>
          <w:rFonts w:ascii="Arial" w:hAnsi="Arial" w:cs="Arial"/>
          <w:sz w:val="22"/>
          <w:szCs w:val="22"/>
        </w:rPr>
        <w:t xml:space="preserve">the employee </w:t>
      </w:r>
      <w:r w:rsidRPr="001C523E">
        <w:rPr>
          <w:rFonts w:ascii="Arial" w:hAnsi="Arial" w:cs="Arial"/>
          <w:sz w:val="22"/>
          <w:szCs w:val="22"/>
        </w:rPr>
        <w:t xml:space="preserve">worked less hours in the </w:t>
      </w:r>
      <w:r w:rsidR="002B1265">
        <w:rPr>
          <w:rFonts w:ascii="Arial" w:hAnsi="Arial" w:cs="Arial"/>
          <w:sz w:val="22"/>
          <w:szCs w:val="22"/>
        </w:rPr>
        <w:t>standard</w:t>
      </w:r>
      <w:r w:rsidR="00D243DD">
        <w:rPr>
          <w:rFonts w:ascii="Arial" w:hAnsi="Arial" w:cs="Arial"/>
          <w:sz w:val="22"/>
          <w:szCs w:val="22"/>
        </w:rPr>
        <w:t xml:space="preserve"> </w:t>
      </w:r>
      <w:r w:rsidRPr="001C523E">
        <w:rPr>
          <w:rFonts w:ascii="Arial" w:hAnsi="Arial" w:cs="Arial"/>
          <w:sz w:val="22"/>
          <w:szCs w:val="22"/>
        </w:rPr>
        <w:t>reference period despite generally working on average 80 hours or more hours over earlier periods</w:t>
      </w:r>
      <w:r w:rsidR="009D06FE">
        <w:rPr>
          <w:rFonts w:ascii="Arial" w:hAnsi="Arial" w:cs="Arial"/>
          <w:sz w:val="22"/>
          <w:szCs w:val="22"/>
        </w:rPr>
        <w:t>.</w:t>
      </w:r>
      <w:r w:rsidR="009D06FE" w:rsidRPr="00256FCD">
        <w:rPr>
          <w:rFonts w:ascii="Arial" w:hAnsi="Arial" w:cs="Arial"/>
          <w:sz w:val="22"/>
          <w:szCs w:val="22"/>
        </w:rPr>
        <w:t xml:space="preserve"> </w:t>
      </w:r>
    </w:p>
    <w:p w14:paraId="3C36F924" w14:textId="5FB87AA9" w:rsidR="00260CE9" w:rsidRDefault="00FC02F6" w:rsidP="00260CE9">
      <w:pPr>
        <w:numPr>
          <w:ilvl w:val="0"/>
          <w:numId w:val="1"/>
        </w:numPr>
        <w:spacing w:after="120"/>
        <w:ind w:left="0" w:firstLine="0"/>
        <w:rPr>
          <w:rFonts w:ascii="Arial" w:hAnsi="Arial" w:cs="Arial"/>
          <w:sz w:val="22"/>
          <w:szCs w:val="22"/>
        </w:rPr>
      </w:pPr>
      <w:r>
        <w:rPr>
          <w:rFonts w:ascii="Arial" w:hAnsi="Arial" w:cs="Arial"/>
          <w:sz w:val="22"/>
          <w:szCs w:val="22"/>
        </w:rPr>
        <w:t>A</w:t>
      </w:r>
      <w:r w:rsidR="00260CE9">
        <w:rPr>
          <w:rFonts w:ascii="Arial" w:hAnsi="Arial" w:cs="Arial"/>
          <w:sz w:val="22"/>
          <w:szCs w:val="22"/>
        </w:rPr>
        <w:t xml:space="preserve">n assessment </w:t>
      </w:r>
      <w:r>
        <w:rPr>
          <w:rFonts w:ascii="Arial" w:hAnsi="Arial" w:cs="Arial"/>
          <w:sz w:val="22"/>
          <w:szCs w:val="22"/>
        </w:rPr>
        <w:t xml:space="preserve">must </w:t>
      </w:r>
      <w:r w:rsidR="00260CE9">
        <w:rPr>
          <w:rFonts w:ascii="Arial" w:hAnsi="Arial" w:cs="Arial"/>
          <w:sz w:val="22"/>
          <w:szCs w:val="22"/>
        </w:rPr>
        <w:t>be made</w:t>
      </w:r>
      <w:r w:rsidR="005D6556">
        <w:rPr>
          <w:rFonts w:ascii="Arial" w:hAnsi="Arial" w:cs="Arial"/>
          <w:sz w:val="22"/>
          <w:szCs w:val="22"/>
        </w:rPr>
        <w:t xml:space="preserve"> </w:t>
      </w:r>
      <w:r>
        <w:rPr>
          <w:rFonts w:ascii="Arial" w:hAnsi="Arial" w:cs="Arial"/>
          <w:sz w:val="22"/>
          <w:szCs w:val="22"/>
        </w:rPr>
        <w:t xml:space="preserve">that </w:t>
      </w:r>
      <w:r w:rsidR="00260CE9">
        <w:rPr>
          <w:rFonts w:ascii="Arial" w:hAnsi="Arial" w:cs="Arial"/>
          <w:sz w:val="22"/>
          <w:szCs w:val="22"/>
        </w:rPr>
        <w:t xml:space="preserve">the total number of hours in the </w:t>
      </w:r>
      <w:r w:rsidR="002B1265">
        <w:rPr>
          <w:rFonts w:ascii="Arial" w:hAnsi="Arial" w:cs="Arial"/>
          <w:sz w:val="22"/>
          <w:szCs w:val="22"/>
        </w:rPr>
        <w:t>standard</w:t>
      </w:r>
      <w:r w:rsidR="00260CE9">
        <w:rPr>
          <w:rFonts w:ascii="Arial" w:hAnsi="Arial" w:cs="Arial"/>
          <w:sz w:val="22"/>
          <w:szCs w:val="22"/>
        </w:rPr>
        <w:t xml:space="preserve"> reference period w</w:t>
      </w:r>
      <w:r w:rsidR="006A34AB">
        <w:rPr>
          <w:rFonts w:ascii="Arial" w:hAnsi="Arial" w:cs="Arial"/>
          <w:sz w:val="22"/>
          <w:szCs w:val="22"/>
        </w:rPr>
        <w:t>as</w:t>
      </w:r>
      <w:r w:rsidR="002962AC">
        <w:rPr>
          <w:rFonts w:ascii="Arial" w:hAnsi="Arial" w:cs="Arial"/>
          <w:sz w:val="22"/>
          <w:szCs w:val="22"/>
        </w:rPr>
        <w:t xml:space="preserve"> not</w:t>
      </w:r>
      <w:r w:rsidR="00260CE9">
        <w:rPr>
          <w:rFonts w:ascii="Arial" w:hAnsi="Arial" w:cs="Arial"/>
          <w:sz w:val="22"/>
          <w:szCs w:val="22"/>
        </w:rPr>
        <w:t xml:space="preserve"> representative of a typical 28-day period. </w:t>
      </w:r>
      <w:r>
        <w:rPr>
          <w:rFonts w:ascii="Arial" w:hAnsi="Arial" w:cs="Arial"/>
          <w:sz w:val="22"/>
          <w:szCs w:val="22"/>
        </w:rPr>
        <w:t>If so</w:t>
      </w:r>
      <w:r w:rsidR="00260CE9">
        <w:rPr>
          <w:rFonts w:ascii="Arial" w:hAnsi="Arial" w:cs="Arial"/>
          <w:sz w:val="22"/>
          <w:szCs w:val="22"/>
        </w:rPr>
        <w:t xml:space="preserve">, the employee is covered by the </w:t>
      </w:r>
      <w:r w:rsidR="00D243DD">
        <w:rPr>
          <w:rFonts w:ascii="Arial" w:hAnsi="Arial" w:cs="Arial"/>
          <w:sz w:val="22"/>
          <w:szCs w:val="22"/>
        </w:rPr>
        <w:t xml:space="preserve">first specified </w:t>
      </w:r>
      <w:r w:rsidR="00260CE9">
        <w:rPr>
          <w:rFonts w:ascii="Arial" w:hAnsi="Arial" w:cs="Arial"/>
          <w:sz w:val="22"/>
          <w:szCs w:val="22"/>
        </w:rPr>
        <w:t>class specified in p</w:t>
      </w:r>
      <w:r w:rsidR="00260CE9" w:rsidRPr="00FF3C2C">
        <w:rPr>
          <w:rFonts w:ascii="Arial" w:hAnsi="Arial" w:cs="Arial"/>
          <w:sz w:val="22"/>
          <w:szCs w:val="22"/>
        </w:rPr>
        <w:t xml:space="preserve">aragraph </w:t>
      </w:r>
      <w:r w:rsidR="00260CE9">
        <w:rPr>
          <w:rFonts w:ascii="Arial" w:hAnsi="Arial" w:cs="Arial"/>
          <w:sz w:val="22"/>
          <w:szCs w:val="22"/>
        </w:rPr>
        <w:t>6(1)(a).</w:t>
      </w:r>
    </w:p>
    <w:p w14:paraId="6656B375" w14:textId="587ECED7" w:rsidR="00824774" w:rsidRPr="00685E0B" w:rsidRDefault="00255A1E" w:rsidP="00685E0B">
      <w:pPr>
        <w:numPr>
          <w:ilvl w:val="0"/>
          <w:numId w:val="1"/>
        </w:numPr>
        <w:spacing w:after="120"/>
        <w:ind w:left="0" w:firstLine="0"/>
        <w:rPr>
          <w:rFonts w:ascii="Arial" w:hAnsi="Arial" w:cs="Arial"/>
          <w:sz w:val="22"/>
          <w:szCs w:val="22"/>
        </w:rPr>
      </w:pPr>
      <w:r>
        <w:rPr>
          <w:rFonts w:ascii="Arial" w:hAnsi="Arial" w:cs="Arial"/>
          <w:sz w:val="22"/>
          <w:szCs w:val="22"/>
        </w:rPr>
        <w:t>This</w:t>
      </w:r>
      <w:r w:rsidR="00AB16B2" w:rsidRPr="00CF1A25">
        <w:rPr>
          <w:rFonts w:ascii="Arial" w:hAnsi="Arial" w:cs="Arial"/>
          <w:sz w:val="22"/>
          <w:szCs w:val="22"/>
        </w:rPr>
        <w:t xml:space="preserve"> assessment </w:t>
      </w:r>
      <w:r>
        <w:rPr>
          <w:rFonts w:ascii="Arial" w:hAnsi="Arial" w:cs="Arial"/>
          <w:sz w:val="22"/>
          <w:szCs w:val="22"/>
        </w:rPr>
        <w:t xml:space="preserve">can be </w:t>
      </w:r>
      <w:r w:rsidR="00FC02F6">
        <w:rPr>
          <w:rFonts w:ascii="Arial" w:hAnsi="Arial" w:cs="Arial"/>
          <w:sz w:val="22"/>
          <w:szCs w:val="22"/>
        </w:rPr>
        <w:t xml:space="preserve">with regard to a single </w:t>
      </w:r>
      <w:r w:rsidR="002962AC">
        <w:rPr>
          <w:rFonts w:ascii="Arial" w:hAnsi="Arial" w:cs="Arial"/>
          <w:sz w:val="22"/>
          <w:szCs w:val="22"/>
        </w:rPr>
        <w:t xml:space="preserve">earlier </w:t>
      </w:r>
      <w:r w:rsidR="00FC02F6">
        <w:rPr>
          <w:rFonts w:ascii="Arial" w:hAnsi="Arial" w:cs="Arial"/>
          <w:sz w:val="22"/>
          <w:szCs w:val="22"/>
        </w:rPr>
        <w:t xml:space="preserve">28-day period or </w:t>
      </w:r>
      <w:r w:rsidR="00AB16B2" w:rsidRPr="003B4964">
        <w:rPr>
          <w:rFonts w:ascii="Arial" w:hAnsi="Arial" w:cs="Arial"/>
          <w:sz w:val="22"/>
          <w:szCs w:val="22"/>
        </w:rPr>
        <w:t>multi</w:t>
      </w:r>
      <w:r w:rsidR="00AB16B2" w:rsidRPr="0045030B">
        <w:rPr>
          <w:rFonts w:ascii="Arial" w:hAnsi="Arial" w:cs="Arial"/>
          <w:sz w:val="22"/>
          <w:szCs w:val="22"/>
        </w:rPr>
        <w:t>ple comparable 28</w:t>
      </w:r>
      <w:r w:rsidR="002962AC">
        <w:rPr>
          <w:rFonts w:ascii="Arial" w:hAnsi="Arial" w:cs="Arial"/>
          <w:sz w:val="22"/>
          <w:szCs w:val="22"/>
        </w:rPr>
        <w:noBreakHyphen/>
      </w:r>
      <w:r w:rsidR="00AB16B2" w:rsidRPr="00CF1A25">
        <w:rPr>
          <w:rFonts w:ascii="Arial" w:hAnsi="Arial" w:cs="Arial"/>
          <w:sz w:val="22"/>
          <w:szCs w:val="22"/>
        </w:rPr>
        <w:t>day periods</w:t>
      </w:r>
      <w:r w:rsidR="002962AC">
        <w:rPr>
          <w:rFonts w:ascii="Arial" w:hAnsi="Arial" w:cs="Arial"/>
          <w:sz w:val="22"/>
          <w:szCs w:val="22"/>
        </w:rPr>
        <w:t xml:space="preserve"> (all of which end at the end of a pay cycle)</w:t>
      </w:r>
      <w:r w:rsidR="00AB16B2" w:rsidRPr="00CF1A25">
        <w:rPr>
          <w:rFonts w:ascii="Arial" w:hAnsi="Arial" w:cs="Arial"/>
          <w:sz w:val="22"/>
          <w:szCs w:val="22"/>
        </w:rPr>
        <w:t xml:space="preserve">. </w:t>
      </w:r>
      <w:r w:rsidR="00AB16B2" w:rsidRPr="00685E0B">
        <w:rPr>
          <w:rFonts w:ascii="Arial" w:hAnsi="Arial" w:cs="Arial"/>
          <w:sz w:val="22"/>
          <w:szCs w:val="22"/>
        </w:rPr>
        <w:t xml:space="preserve">For example, where the total number of hours worked by an employee varies due to rostering schedules </w:t>
      </w:r>
      <w:r w:rsidR="00824774" w:rsidRPr="00685E0B">
        <w:rPr>
          <w:rFonts w:ascii="Arial" w:hAnsi="Arial" w:cs="Arial"/>
          <w:sz w:val="22"/>
          <w:szCs w:val="22"/>
        </w:rPr>
        <w:t>t</w:t>
      </w:r>
      <w:r w:rsidR="00AB16B2" w:rsidRPr="00685E0B">
        <w:rPr>
          <w:rFonts w:ascii="Arial" w:hAnsi="Arial" w:cs="Arial"/>
          <w:sz w:val="22"/>
          <w:szCs w:val="22"/>
        </w:rPr>
        <w:t xml:space="preserve">here </w:t>
      </w:r>
      <w:r w:rsidR="00AE5C77">
        <w:rPr>
          <w:rFonts w:ascii="Arial" w:hAnsi="Arial" w:cs="Arial"/>
          <w:sz w:val="22"/>
          <w:szCs w:val="22"/>
        </w:rPr>
        <w:t>may be</w:t>
      </w:r>
      <w:r w:rsidR="00AB16B2" w:rsidRPr="00685E0B">
        <w:rPr>
          <w:rFonts w:ascii="Arial" w:hAnsi="Arial" w:cs="Arial"/>
          <w:sz w:val="22"/>
          <w:szCs w:val="22"/>
        </w:rPr>
        <w:t xml:space="preserve"> </w:t>
      </w:r>
      <w:r w:rsidR="00FC02F6">
        <w:rPr>
          <w:rFonts w:ascii="Arial" w:hAnsi="Arial" w:cs="Arial"/>
          <w:sz w:val="22"/>
          <w:szCs w:val="22"/>
        </w:rPr>
        <w:t xml:space="preserve">no </w:t>
      </w:r>
      <w:r w:rsidR="00824774" w:rsidRPr="00685E0B">
        <w:rPr>
          <w:rFonts w:ascii="Arial" w:hAnsi="Arial" w:cs="Arial"/>
          <w:sz w:val="22"/>
          <w:szCs w:val="22"/>
        </w:rPr>
        <w:t>single</w:t>
      </w:r>
      <w:r w:rsidR="00AB16B2" w:rsidRPr="00685E0B">
        <w:rPr>
          <w:rFonts w:ascii="Arial" w:hAnsi="Arial" w:cs="Arial"/>
          <w:sz w:val="22"/>
          <w:szCs w:val="22"/>
        </w:rPr>
        <w:t xml:space="preserve"> </w:t>
      </w:r>
      <w:r w:rsidR="00824774" w:rsidRPr="00685E0B">
        <w:rPr>
          <w:rFonts w:ascii="Arial" w:hAnsi="Arial" w:cs="Arial"/>
          <w:sz w:val="22"/>
          <w:szCs w:val="22"/>
        </w:rPr>
        <w:t xml:space="preserve">earlier </w:t>
      </w:r>
      <w:r w:rsidR="00AB16B2" w:rsidRPr="00685E0B">
        <w:rPr>
          <w:rFonts w:ascii="Arial" w:hAnsi="Arial" w:cs="Arial"/>
          <w:sz w:val="22"/>
          <w:szCs w:val="22"/>
        </w:rPr>
        <w:t>28</w:t>
      </w:r>
      <w:r w:rsidR="002962AC">
        <w:rPr>
          <w:rFonts w:ascii="Arial" w:hAnsi="Arial" w:cs="Arial"/>
          <w:sz w:val="22"/>
          <w:szCs w:val="22"/>
        </w:rPr>
        <w:noBreakHyphen/>
      </w:r>
      <w:r w:rsidR="00AB16B2" w:rsidRPr="00685E0B">
        <w:rPr>
          <w:rFonts w:ascii="Arial" w:hAnsi="Arial" w:cs="Arial"/>
          <w:sz w:val="22"/>
          <w:szCs w:val="22"/>
        </w:rPr>
        <w:t xml:space="preserve">day period </w:t>
      </w:r>
      <w:r w:rsidR="00824774" w:rsidRPr="00685E0B">
        <w:rPr>
          <w:rFonts w:ascii="Arial" w:hAnsi="Arial" w:cs="Arial"/>
          <w:sz w:val="22"/>
          <w:szCs w:val="22"/>
        </w:rPr>
        <w:t xml:space="preserve">that is representative of the employee’s usual hours. </w:t>
      </w:r>
      <w:r w:rsidR="00D05A84">
        <w:rPr>
          <w:rFonts w:ascii="Arial" w:hAnsi="Arial" w:cs="Arial"/>
          <w:sz w:val="22"/>
          <w:szCs w:val="22"/>
        </w:rPr>
        <w:t>As such</w:t>
      </w:r>
      <w:r w:rsidR="00824774" w:rsidRPr="00685E0B">
        <w:rPr>
          <w:rFonts w:ascii="Arial" w:hAnsi="Arial" w:cs="Arial"/>
          <w:sz w:val="22"/>
          <w:szCs w:val="22"/>
        </w:rPr>
        <w:t>, an average of the hours worked over the employee’s rostering schedule and proportionally adjust</w:t>
      </w:r>
      <w:r w:rsidR="00FC02F6">
        <w:rPr>
          <w:rFonts w:ascii="Arial" w:hAnsi="Arial" w:cs="Arial"/>
          <w:sz w:val="22"/>
          <w:szCs w:val="22"/>
        </w:rPr>
        <w:t>ed</w:t>
      </w:r>
      <w:r w:rsidR="00824774" w:rsidRPr="00685E0B">
        <w:rPr>
          <w:rFonts w:ascii="Arial" w:hAnsi="Arial" w:cs="Arial"/>
          <w:sz w:val="22"/>
          <w:szCs w:val="22"/>
        </w:rPr>
        <w:t xml:space="preserve"> over 28 days</w:t>
      </w:r>
      <w:r w:rsidR="00E73E6F" w:rsidRPr="00685E0B">
        <w:rPr>
          <w:rFonts w:ascii="Arial" w:hAnsi="Arial" w:cs="Arial"/>
          <w:sz w:val="22"/>
          <w:szCs w:val="22"/>
        </w:rPr>
        <w:t xml:space="preserve"> </w:t>
      </w:r>
      <w:r w:rsidR="00FC02F6">
        <w:rPr>
          <w:rFonts w:ascii="Arial" w:hAnsi="Arial" w:cs="Arial"/>
          <w:sz w:val="22"/>
          <w:szCs w:val="22"/>
        </w:rPr>
        <w:t xml:space="preserve">can be used to work out a </w:t>
      </w:r>
      <w:r w:rsidR="004732E2" w:rsidRPr="00685E0B">
        <w:rPr>
          <w:rFonts w:ascii="Arial" w:hAnsi="Arial" w:cs="Arial"/>
          <w:sz w:val="22"/>
          <w:szCs w:val="22"/>
        </w:rPr>
        <w:t>typical 28-day period</w:t>
      </w:r>
      <w:r w:rsidR="00824774" w:rsidRPr="00685E0B">
        <w:rPr>
          <w:rFonts w:ascii="Arial" w:hAnsi="Arial" w:cs="Arial"/>
          <w:sz w:val="22"/>
          <w:szCs w:val="22"/>
        </w:rPr>
        <w:t>.</w:t>
      </w:r>
    </w:p>
    <w:p w14:paraId="08AA3085" w14:textId="453C9113" w:rsidR="00D243DD" w:rsidRPr="00CE41C3" w:rsidRDefault="00FC02F6" w:rsidP="00CE41C3">
      <w:pPr>
        <w:spacing w:after="120"/>
        <w:rPr>
          <w:rFonts w:ascii="Arial" w:hAnsi="Arial" w:cs="Arial"/>
          <w:sz w:val="22"/>
          <w:szCs w:val="22"/>
        </w:rPr>
      </w:pPr>
      <w:r>
        <w:rPr>
          <w:rFonts w:ascii="Arial" w:hAnsi="Arial" w:cs="Arial"/>
          <w:b/>
          <w:bCs/>
          <w:i/>
          <w:iCs/>
          <w:sz w:val="22"/>
          <w:szCs w:val="22"/>
        </w:rPr>
        <w:t>Hour</w:t>
      </w:r>
      <w:r w:rsidR="00A215FE">
        <w:rPr>
          <w:rFonts w:ascii="Arial" w:hAnsi="Arial" w:cs="Arial"/>
          <w:b/>
          <w:bCs/>
          <w:i/>
          <w:iCs/>
          <w:sz w:val="22"/>
          <w:szCs w:val="22"/>
        </w:rPr>
        <w:t>s</w:t>
      </w:r>
      <w:r>
        <w:rPr>
          <w:rFonts w:ascii="Arial" w:hAnsi="Arial" w:cs="Arial"/>
          <w:b/>
          <w:bCs/>
          <w:i/>
          <w:iCs/>
          <w:sz w:val="22"/>
          <w:szCs w:val="22"/>
        </w:rPr>
        <w:t xml:space="preserve"> not representative: a</w:t>
      </w:r>
      <w:r w:rsidR="006B1B51" w:rsidRPr="00CE41C3">
        <w:rPr>
          <w:rFonts w:ascii="Arial" w:hAnsi="Arial" w:cs="Arial"/>
          <w:b/>
          <w:bCs/>
          <w:i/>
          <w:iCs/>
          <w:sz w:val="22"/>
          <w:szCs w:val="22"/>
        </w:rPr>
        <w:t>lternative</w:t>
      </w:r>
      <w:r w:rsidR="00D243DD" w:rsidRPr="00CE41C3">
        <w:rPr>
          <w:rFonts w:ascii="Arial" w:hAnsi="Arial" w:cs="Arial"/>
          <w:b/>
          <w:bCs/>
          <w:i/>
          <w:iCs/>
          <w:sz w:val="22"/>
          <w:szCs w:val="22"/>
        </w:rPr>
        <w:t xml:space="preserve"> reference period</w:t>
      </w:r>
    </w:p>
    <w:p w14:paraId="7982D81E" w14:textId="0E8145B9" w:rsidR="00D913B9" w:rsidRDefault="00D913B9" w:rsidP="003B6E4E">
      <w:pPr>
        <w:numPr>
          <w:ilvl w:val="0"/>
          <w:numId w:val="1"/>
        </w:numPr>
        <w:spacing w:after="120"/>
        <w:ind w:left="0" w:firstLine="0"/>
        <w:rPr>
          <w:rFonts w:ascii="Arial" w:hAnsi="Arial" w:cs="Arial"/>
          <w:sz w:val="22"/>
          <w:szCs w:val="22"/>
        </w:rPr>
      </w:pPr>
      <w:r>
        <w:rPr>
          <w:rFonts w:ascii="Arial" w:hAnsi="Arial" w:cs="Arial"/>
          <w:sz w:val="22"/>
          <w:szCs w:val="22"/>
        </w:rPr>
        <w:t xml:space="preserve">Once it is determined that the total number of hours in the </w:t>
      </w:r>
      <w:r w:rsidR="002B1265">
        <w:rPr>
          <w:rFonts w:ascii="Arial" w:hAnsi="Arial" w:cs="Arial"/>
          <w:sz w:val="22"/>
          <w:szCs w:val="22"/>
        </w:rPr>
        <w:t>standard</w:t>
      </w:r>
      <w:r>
        <w:rPr>
          <w:rFonts w:ascii="Arial" w:hAnsi="Arial" w:cs="Arial"/>
          <w:sz w:val="22"/>
          <w:szCs w:val="22"/>
        </w:rPr>
        <w:t xml:space="preserve"> reference period is not representative of a typical </w:t>
      </w:r>
      <w:r w:rsidR="008B720D">
        <w:rPr>
          <w:rFonts w:ascii="Arial" w:hAnsi="Arial" w:cs="Arial"/>
          <w:sz w:val="22"/>
          <w:szCs w:val="22"/>
        </w:rPr>
        <w:t>28-day</w:t>
      </w:r>
      <w:r>
        <w:rPr>
          <w:rFonts w:ascii="Arial" w:hAnsi="Arial" w:cs="Arial"/>
          <w:sz w:val="22"/>
          <w:szCs w:val="22"/>
        </w:rPr>
        <w:t xml:space="preserve"> period, an alternative reference period applies. </w:t>
      </w:r>
    </w:p>
    <w:p w14:paraId="291FBA98" w14:textId="3F1064F5" w:rsidR="005A08C6" w:rsidRDefault="005A08C6" w:rsidP="003B6E4E">
      <w:pPr>
        <w:numPr>
          <w:ilvl w:val="0"/>
          <w:numId w:val="1"/>
        </w:numPr>
        <w:spacing w:after="120"/>
        <w:ind w:left="0" w:firstLine="0"/>
        <w:rPr>
          <w:rFonts w:ascii="Arial" w:hAnsi="Arial" w:cs="Arial"/>
          <w:sz w:val="22"/>
          <w:szCs w:val="22"/>
        </w:rPr>
      </w:pPr>
      <w:r w:rsidRPr="00CF1A25">
        <w:rPr>
          <w:rFonts w:ascii="Arial" w:hAnsi="Arial" w:cs="Arial"/>
          <w:sz w:val="22"/>
          <w:szCs w:val="22"/>
        </w:rPr>
        <w:t xml:space="preserve">The </w:t>
      </w:r>
      <w:r w:rsidRPr="003B4964">
        <w:rPr>
          <w:rFonts w:ascii="Arial" w:hAnsi="Arial" w:cs="Arial"/>
          <w:sz w:val="22"/>
          <w:szCs w:val="22"/>
        </w:rPr>
        <w:t xml:space="preserve">alternative reference period that applies to </w:t>
      </w:r>
      <w:r>
        <w:rPr>
          <w:rFonts w:ascii="Arial" w:hAnsi="Arial" w:cs="Arial"/>
          <w:sz w:val="22"/>
          <w:szCs w:val="22"/>
        </w:rPr>
        <w:t xml:space="preserve">an </w:t>
      </w:r>
      <w:r w:rsidRPr="00CF1A25">
        <w:rPr>
          <w:rFonts w:ascii="Arial" w:hAnsi="Arial" w:cs="Arial"/>
          <w:sz w:val="22"/>
          <w:szCs w:val="22"/>
        </w:rPr>
        <w:t>eligible employee</w:t>
      </w:r>
      <w:r>
        <w:rPr>
          <w:rFonts w:ascii="Arial" w:hAnsi="Arial" w:cs="Arial"/>
          <w:sz w:val="22"/>
          <w:szCs w:val="22"/>
        </w:rPr>
        <w:t xml:space="preserve"> </w:t>
      </w:r>
      <w:r w:rsidR="007D2828">
        <w:rPr>
          <w:rFonts w:ascii="Arial" w:hAnsi="Arial" w:cs="Arial"/>
          <w:sz w:val="22"/>
          <w:szCs w:val="22"/>
        </w:rPr>
        <w:t>in</w:t>
      </w:r>
      <w:r w:rsidRPr="00CF1A25">
        <w:rPr>
          <w:rFonts w:ascii="Arial" w:hAnsi="Arial" w:cs="Arial"/>
          <w:sz w:val="22"/>
          <w:szCs w:val="22"/>
        </w:rPr>
        <w:t xml:space="preserve"> </w:t>
      </w:r>
      <w:r>
        <w:rPr>
          <w:rFonts w:ascii="Arial" w:hAnsi="Arial" w:cs="Arial"/>
          <w:sz w:val="22"/>
          <w:szCs w:val="22"/>
        </w:rPr>
        <w:t>p</w:t>
      </w:r>
      <w:r w:rsidR="002A33C6" w:rsidRPr="00CF1A25">
        <w:rPr>
          <w:rFonts w:ascii="Arial" w:hAnsi="Arial" w:cs="Arial"/>
          <w:sz w:val="22"/>
          <w:szCs w:val="22"/>
        </w:rPr>
        <w:t>aragraph</w:t>
      </w:r>
      <w:r w:rsidR="00D67B32" w:rsidRPr="00CF1A25">
        <w:rPr>
          <w:rFonts w:ascii="Arial" w:hAnsi="Arial" w:cs="Arial"/>
          <w:sz w:val="22"/>
          <w:szCs w:val="22"/>
        </w:rPr>
        <w:t xml:space="preserve"> 6(1)(a) </w:t>
      </w:r>
      <w:r>
        <w:rPr>
          <w:rFonts w:ascii="Arial" w:hAnsi="Arial" w:cs="Arial"/>
          <w:sz w:val="22"/>
          <w:szCs w:val="22"/>
        </w:rPr>
        <w:t xml:space="preserve">is </w:t>
      </w:r>
      <w:r w:rsidRPr="005A08C6">
        <w:rPr>
          <w:rFonts w:ascii="Arial" w:hAnsi="Arial" w:cs="Arial"/>
          <w:sz w:val="22"/>
          <w:szCs w:val="22"/>
        </w:rPr>
        <w:t xml:space="preserve">the 28-day period ending at the end of the most recent pay cycle for the employee before 1 March 2020 </w:t>
      </w:r>
      <w:r w:rsidR="009E106F">
        <w:rPr>
          <w:rFonts w:ascii="Arial" w:hAnsi="Arial" w:cs="Arial"/>
          <w:sz w:val="22"/>
          <w:szCs w:val="22"/>
        </w:rPr>
        <w:t xml:space="preserve">or 1 July 2020 </w:t>
      </w:r>
      <w:r w:rsidRPr="005A08C6">
        <w:rPr>
          <w:rFonts w:ascii="Arial" w:hAnsi="Arial" w:cs="Arial"/>
          <w:sz w:val="22"/>
          <w:szCs w:val="22"/>
        </w:rPr>
        <w:t>in which the employee’s total number of hours of work, of paid leave and of paid absence on public holidays was representative of a typical 28-day period</w:t>
      </w:r>
      <w:r w:rsidR="00193B8F">
        <w:rPr>
          <w:rFonts w:ascii="Arial" w:hAnsi="Arial" w:cs="Arial"/>
          <w:sz w:val="22"/>
          <w:szCs w:val="22"/>
        </w:rPr>
        <w:t>.</w:t>
      </w:r>
    </w:p>
    <w:p w14:paraId="41E93943" w14:textId="05CE473F" w:rsidR="005A08C6" w:rsidRPr="004D2F14" w:rsidRDefault="00296B86" w:rsidP="004D2F14">
      <w:pPr>
        <w:numPr>
          <w:ilvl w:val="0"/>
          <w:numId w:val="1"/>
        </w:numPr>
        <w:spacing w:after="120"/>
        <w:ind w:left="0" w:firstLine="0"/>
        <w:rPr>
          <w:rFonts w:ascii="Arial" w:hAnsi="Arial" w:cs="Arial"/>
          <w:sz w:val="22"/>
          <w:szCs w:val="22"/>
        </w:rPr>
      </w:pPr>
      <w:r>
        <w:rPr>
          <w:rFonts w:ascii="Arial" w:hAnsi="Arial" w:cs="Arial"/>
          <w:sz w:val="22"/>
          <w:szCs w:val="22"/>
        </w:rPr>
        <w:lastRenderedPageBreak/>
        <w:t xml:space="preserve"> Once </w:t>
      </w:r>
      <w:r w:rsidR="00016F9A">
        <w:rPr>
          <w:rFonts w:ascii="Arial" w:hAnsi="Arial" w:cs="Arial"/>
          <w:sz w:val="22"/>
          <w:szCs w:val="22"/>
        </w:rPr>
        <w:t xml:space="preserve">the </w:t>
      </w:r>
      <w:r w:rsidR="00EC2E7C">
        <w:rPr>
          <w:rFonts w:ascii="Arial" w:hAnsi="Arial" w:cs="Arial"/>
          <w:sz w:val="22"/>
          <w:szCs w:val="22"/>
        </w:rPr>
        <w:t xml:space="preserve">total </w:t>
      </w:r>
      <w:r w:rsidR="00936766">
        <w:rPr>
          <w:rFonts w:ascii="Arial" w:hAnsi="Arial" w:cs="Arial"/>
          <w:sz w:val="22"/>
          <w:szCs w:val="22"/>
        </w:rPr>
        <w:t xml:space="preserve">number of hours in a typical 28-day period is </w:t>
      </w:r>
      <w:r w:rsidR="00016F9A">
        <w:rPr>
          <w:rFonts w:ascii="Arial" w:hAnsi="Arial" w:cs="Arial"/>
          <w:sz w:val="22"/>
          <w:szCs w:val="22"/>
        </w:rPr>
        <w:t>determined</w:t>
      </w:r>
      <w:r w:rsidR="00EC2E7C">
        <w:rPr>
          <w:rFonts w:ascii="Arial" w:hAnsi="Arial" w:cs="Arial"/>
          <w:sz w:val="22"/>
          <w:szCs w:val="22"/>
        </w:rPr>
        <w:t xml:space="preserve">, </w:t>
      </w:r>
      <w:r w:rsidR="00CF1A25">
        <w:rPr>
          <w:rFonts w:ascii="Arial" w:hAnsi="Arial" w:cs="Arial"/>
          <w:sz w:val="22"/>
          <w:szCs w:val="22"/>
        </w:rPr>
        <w:t xml:space="preserve">the alternative reference period will be </w:t>
      </w:r>
      <w:r w:rsidR="00CF1A25" w:rsidRPr="004D2F14">
        <w:rPr>
          <w:rFonts w:ascii="Arial" w:hAnsi="Arial" w:cs="Arial"/>
          <w:sz w:val="22"/>
          <w:szCs w:val="22"/>
        </w:rPr>
        <w:t xml:space="preserve">the most recent 28-day period before 1 March 2020 </w:t>
      </w:r>
      <w:r w:rsidR="009E106F" w:rsidRPr="004D2F14">
        <w:rPr>
          <w:rFonts w:ascii="Arial" w:hAnsi="Arial" w:cs="Arial"/>
          <w:sz w:val="22"/>
          <w:szCs w:val="22"/>
        </w:rPr>
        <w:t xml:space="preserve">or 1 July 2020 </w:t>
      </w:r>
      <w:r w:rsidR="00CF1A25" w:rsidRPr="004D2F14">
        <w:rPr>
          <w:rFonts w:ascii="Arial" w:hAnsi="Arial" w:cs="Arial"/>
          <w:sz w:val="22"/>
          <w:szCs w:val="22"/>
        </w:rPr>
        <w:t>th</w:t>
      </w:r>
      <w:r w:rsidR="00E35FB1" w:rsidRPr="004D2F14">
        <w:rPr>
          <w:rFonts w:ascii="Arial" w:hAnsi="Arial" w:cs="Arial"/>
          <w:sz w:val="22"/>
          <w:szCs w:val="22"/>
        </w:rPr>
        <w:t>at is reflective of those hours</w:t>
      </w:r>
      <w:r w:rsidR="004D2F14">
        <w:rPr>
          <w:rFonts w:ascii="Arial" w:hAnsi="Arial" w:cs="Arial"/>
          <w:sz w:val="22"/>
          <w:szCs w:val="22"/>
        </w:rPr>
        <w:t xml:space="preserve">. As the alternative reference period must be of the same duration as the standard reference period (subsection 4A(3)), where </w:t>
      </w:r>
      <w:r w:rsidR="00E35FB1" w:rsidRPr="004D2F14">
        <w:rPr>
          <w:rFonts w:ascii="Arial" w:hAnsi="Arial" w:cs="Arial"/>
          <w:sz w:val="22"/>
          <w:szCs w:val="22"/>
        </w:rPr>
        <w:t xml:space="preserve">the employee’s </w:t>
      </w:r>
      <w:r w:rsidR="00427D4E">
        <w:rPr>
          <w:rFonts w:ascii="Arial" w:hAnsi="Arial" w:cs="Arial"/>
          <w:sz w:val="22"/>
          <w:szCs w:val="22"/>
        </w:rPr>
        <w:t>typical</w:t>
      </w:r>
      <w:r w:rsidR="00427D4E" w:rsidRPr="004D2F14">
        <w:rPr>
          <w:rFonts w:ascii="Arial" w:hAnsi="Arial" w:cs="Arial"/>
          <w:sz w:val="22"/>
          <w:szCs w:val="22"/>
        </w:rPr>
        <w:t xml:space="preserve"> </w:t>
      </w:r>
      <w:r w:rsidR="00E35FB1" w:rsidRPr="004D2F14">
        <w:rPr>
          <w:rFonts w:ascii="Arial" w:hAnsi="Arial" w:cs="Arial"/>
          <w:sz w:val="22"/>
          <w:szCs w:val="22"/>
        </w:rPr>
        <w:t>hours</w:t>
      </w:r>
      <w:r w:rsidR="00936766">
        <w:rPr>
          <w:rFonts w:ascii="Arial" w:hAnsi="Arial" w:cs="Arial"/>
          <w:sz w:val="22"/>
          <w:szCs w:val="22"/>
        </w:rPr>
        <w:t xml:space="preserve"> are worked out as an average due to varying rostering schedules</w:t>
      </w:r>
      <w:r w:rsidR="00E35FB1" w:rsidRPr="004D2F14">
        <w:rPr>
          <w:rFonts w:ascii="Arial" w:hAnsi="Arial" w:cs="Arial"/>
          <w:sz w:val="22"/>
          <w:szCs w:val="22"/>
        </w:rPr>
        <w:t xml:space="preserve">, </w:t>
      </w:r>
      <w:r w:rsidR="004C386B">
        <w:rPr>
          <w:rFonts w:ascii="Arial" w:hAnsi="Arial" w:cs="Arial"/>
          <w:sz w:val="22"/>
          <w:szCs w:val="22"/>
        </w:rPr>
        <w:t xml:space="preserve">the alternative reference period is </w:t>
      </w:r>
      <w:r w:rsidR="004D2F14">
        <w:rPr>
          <w:rFonts w:ascii="Arial" w:hAnsi="Arial" w:cs="Arial"/>
          <w:sz w:val="22"/>
          <w:szCs w:val="22"/>
        </w:rPr>
        <w:t xml:space="preserve">the most recent 28-day period that reflects the employee’s </w:t>
      </w:r>
      <w:r w:rsidR="00E35FB1" w:rsidRPr="004D2F14">
        <w:rPr>
          <w:rFonts w:ascii="Arial" w:hAnsi="Arial" w:cs="Arial"/>
          <w:sz w:val="22"/>
          <w:szCs w:val="22"/>
        </w:rPr>
        <w:t>average hours.</w:t>
      </w:r>
      <w:r w:rsidR="00CF1A25" w:rsidRPr="004D2F14">
        <w:rPr>
          <w:rFonts w:ascii="Arial" w:hAnsi="Arial" w:cs="Arial"/>
          <w:sz w:val="22"/>
          <w:szCs w:val="22"/>
        </w:rPr>
        <w:t xml:space="preserve"> </w:t>
      </w:r>
    </w:p>
    <w:bookmarkEnd w:id="2"/>
    <w:p w14:paraId="7C817219" w14:textId="09997399" w:rsidR="000062A8" w:rsidRPr="0091425D" w:rsidRDefault="00016F9A" w:rsidP="000062A8">
      <w:pPr>
        <w:spacing w:after="120"/>
        <w:rPr>
          <w:rFonts w:ascii="Arial" w:hAnsi="Arial" w:cs="Arial"/>
          <w:szCs w:val="22"/>
        </w:rPr>
      </w:pPr>
      <w:r w:rsidRPr="0091425D">
        <w:rPr>
          <w:rFonts w:ascii="Arial" w:hAnsi="Arial" w:cs="Arial"/>
          <w:b/>
          <w:bCs/>
          <w:iCs/>
          <w:szCs w:val="22"/>
        </w:rPr>
        <w:t>E</w:t>
      </w:r>
      <w:r w:rsidR="001D52DE" w:rsidRPr="0091425D">
        <w:rPr>
          <w:rFonts w:ascii="Arial" w:hAnsi="Arial" w:cs="Arial"/>
          <w:b/>
          <w:bCs/>
          <w:iCs/>
          <w:szCs w:val="22"/>
        </w:rPr>
        <w:t xml:space="preserve">ligible employees </w:t>
      </w:r>
      <w:r w:rsidR="008C0246" w:rsidRPr="0091425D">
        <w:rPr>
          <w:rFonts w:ascii="Arial" w:hAnsi="Arial" w:cs="Arial"/>
          <w:b/>
          <w:bCs/>
          <w:iCs/>
          <w:szCs w:val="22"/>
        </w:rPr>
        <w:t xml:space="preserve">not employed during all of the </w:t>
      </w:r>
      <w:r w:rsidR="002B1265">
        <w:rPr>
          <w:rFonts w:ascii="Arial" w:hAnsi="Arial" w:cs="Arial"/>
          <w:b/>
          <w:bCs/>
          <w:iCs/>
          <w:szCs w:val="22"/>
        </w:rPr>
        <w:t>standard</w:t>
      </w:r>
      <w:r w:rsidR="008C0246" w:rsidRPr="0091425D">
        <w:rPr>
          <w:rFonts w:ascii="Arial" w:hAnsi="Arial" w:cs="Arial"/>
          <w:b/>
          <w:bCs/>
          <w:iCs/>
          <w:szCs w:val="22"/>
        </w:rPr>
        <w:t xml:space="preserve"> reference period</w:t>
      </w:r>
      <w:r w:rsidR="007460FF" w:rsidRPr="0091425D">
        <w:rPr>
          <w:rFonts w:ascii="Arial" w:hAnsi="Arial" w:cs="Arial"/>
          <w:b/>
          <w:bCs/>
          <w:iCs/>
          <w:szCs w:val="22"/>
        </w:rPr>
        <w:t xml:space="preserve"> </w:t>
      </w:r>
    </w:p>
    <w:p w14:paraId="77D7F98E" w14:textId="550A762E" w:rsidR="00016F9A" w:rsidRPr="00095530" w:rsidRDefault="007460FF" w:rsidP="001C4EEC">
      <w:pPr>
        <w:numPr>
          <w:ilvl w:val="0"/>
          <w:numId w:val="1"/>
        </w:numPr>
        <w:spacing w:after="120"/>
        <w:ind w:left="0" w:firstLine="0"/>
        <w:rPr>
          <w:rFonts w:ascii="Arial" w:hAnsi="Arial" w:cs="Arial"/>
          <w:sz w:val="22"/>
          <w:szCs w:val="22"/>
        </w:rPr>
      </w:pPr>
      <w:bookmarkStart w:id="3" w:name="_Hlk48134616"/>
      <w:r>
        <w:rPr>
          <w:rFonts w:ascii="Arial" w:hAnsi="Arial" w:cs="Arial"/>
          <w:sz w:val="22"/>
          <w:szCs w:val="22"/>
        </w:rPr>
        <w:t>The second specified class of eligible employees</w:t>
      </w:r>
      <w:r w:rsidR="00193B8F">
        <w:rPr>
          <w:rFonts w:ascii="Arial" w:hAnsi="Arial" w:cs="Arial"/>
          <w:sz w:val="22"/>
          <w:szCs w:val="22"/>
        </w:rPr>
        <w:t xml:space="preserve"> in paragraph 6(1)(b)</w:t>
      </w:r>
      <w:r>
        <w:rPr>
          <w:rFonts w:ascii="Arial" w:hAnsi="Arial" w:cs="Arial"/>
          <w:sz w:val="22"/>
          <w:szCs w:val="22"/>
        </w:rPr>
        <w:t xml:space="preserve"> </w:t>
      </w:r>
      <w:r w:rsidR="00685E0B">
        <w:rPr>
          <w:rFonts w:ascii="Arial" w:hAnsi="Arial" w:cs="Arial"/>
          <w:sz w:val="22"/>
          <w:szCs w:val="22"/>
        </w:rPr>
        <w:t>are</w:t>
      </w:r>
      <w:r>
        <w:rPr>
          <w:rFonts w:ascii="Arial" w:hAnsi="Arial" w:cs="Arial"/>
          <w:sz w:val="22"/>
          <w:szCs w:val="22"/>
        </w:rPr>
        <w:t xml:space="preserve"> those who were</w:t>
      </w:r>
      <w:r w:rsidR="00A104A7">
        <w:rPr>
          <w:rFonts w:ascii="Arial" w:hAnsi="Arial" w:cs="Arial"/>
          <w:sz w:val="22"/>
          <w:szCs w:val="22"/>
        </w:rPr>
        <w:t xml:space="preserve"> not employed </w:t>
      </w:r>
      <w:r>
        <w:rPr>
          <w:rFonts w:ascii="Arial" w:hAnsi="Arial" w:cs="Arial"/>
          <w:sz w:val="22"/>
          <w:szCs w:val="22"/>
        </w:rPr>
        <w:t xml:space="preserve">by the employer </w:t>
      </w:r>
      <w:r w:rsidR="00A104A7">
        <w:rPr>
          <w:rFonts w:ascii="Arial" w:hAnsi="Arial" w:cs="Arial"/>
          <w:sz w:val="22"/>
          <w:szCs w:val="22"/>
        </w:rPr>
        <w:t xml:space="preserve">during </w:t>
      </w:r>
      <w:r w:rsidR="00E9379D">
        <w:rPr>
          <w:rFonts w:ascii="Arial" w:hAnsi="Arial" w:cs="Arial"/>
          <w:sz w:val="22"/>
          <w:szCs w:val="22"/>
        </w:rPr>
        <w:t>all</w:t>
      </w:r>
      <w:r>
        <w:rPr>
          <w:rFonts w:ascii="Arial" w:hAnsi="Arial" w:cs="Arial"/>
          <w:sz w:val="22"/>
          <w:szCs w:val="22"/>
        </w:rPr>
        <w:t xml:space="preserve"> </w:t>
      </w:r>
      <w:r w:rsidR="00627804">
        <w:rPr>
          <w:rFonts w:ascii="Arial" w:hAnsi="Arial" w:cs="Arial"/>
          <w:sz w:val="22"/>
          <w:szCs w:val="22"/>
        </w:rPr>
        <w:t xml:space="preserve">or part </w:t>
      </w:r>
      <w:r w:rsidR="004C2F50">
        <w:rPr>
          <w:rFonts w:ascii="Arial" w:hAnsi="Arial" w:cs="Arial"/>
          <w:sz w:val="22"/>
          <w:szCs w:val="22"/>
        </w:rPr>
        <w:t xml:space="preserve">of </w:t>
      </w:r>
      <w:r w:rsidR="00A104A7">
        <w:rPr>
          <w:rFonts w:ascii="Arial" w:hAnsi="Arial" w:cs="Arial"/>
          <w:sz w:val="22"/>
          <w:szCs w:val="22"/>
        </w:rPr>
        <w:t xml:space="preserve">the </w:t>
      </w:r>
      <w:r w:rsidR="002B1265">
        <w:rPr>
          <w:rFonts w:ascii="Arial" w:hAnsi="Arial" w:cs="Arial"/>
          <w:sz w:val="22"/>
          <w:szCs w:val="22"/>
        </w:rPr>
        <w:t>standard</w:t>
      </w:r>
      <w:r w:rsidR="00A104A7">
        <w:rPr>
          <w:rFonts w:ascii="Arial" w:hAnsi="Arial" w:cs="Arial"/>
          <w:sz w:val="22"/>
          <w:szCs w:val="22"/>
        </w:rPr>
        <w:t xml:space="preserve"> reference</w:t>
      </w:r>
      <w:r w:rsidR="0013385F">
        <w:rPr>
          <w:rFonts w:ascii="Arial" w:hAnsi="Arial" w:cs="Arial"/>
          <w:sz w:val="22"/>
          <w:szCs w:val="22"/>
        </w:rPr>
        <w:t xml:space="preserve"> </w:t>
      </w:r>
      <w:r w:rsidR="00A104A7">
        <w:rPr>
          <w:rFonts w:ascii="Arial" w:hAnsi="Arial" w:cs="Arial"/>
          <w:sz w:val="22"/>
          <w:szCs w:val="22"/>
        </w:rPr>
        <w:t>period</w:t>
      </w:r>
      <w:r w:rsidR="001C4EEC">
        <w:rPr>
          <w:rFonts w:ascii="Arial" w:hAnsi="Arial" w:cs="Arial"/>
          <w:sz w:val="22"/>
          <w:szCs w:val="22"/>
        </w:rPr>
        <w:t xml:space="preserve">, such as an employee who started with that employer </w:t>
      </w:r>
      <w:r w:rsidR="005D09D3">
        <w:rPr>
          <w:rFonts w:ascii="Arial" w:hAnsi="Arial" w:cs="Arial"/>
          <w:sz w:val="22"/>
          <w:szCs w:val="22"/>
        </w:rPr>
        <w:t xml:space="preserve">in </w:t>
      </w:r>
      <w:r w:rsidR="00016F9A">
        <w:rPr>
          <w:rFonts w:ascii="Arial" w:hAnsi="Arial" w:cs="Arial"/>
          <w:sz w:val="22"/>
          <w:szCs w:val="22"/>
        </w:rPr>
        <w:t>mid-February</w:t>
      </w:r>
      <w:r w:rsidR="00016F9A" w:rsidRPr="00FF3C2C">
        <w:rPr>
          <w:rFonts w:ascii="Arial" w:hAnsi="Arial" w:cs="Arial"/>
          <w:sz w:val="22"/>
          <w:szCs w:val="22"/>
        </w:rPr>
        <w:t xml:space="preserve"> 2020 </w:t>
      </w:r>
      <w:r w:rsidR="00016F9A">
        <w:rPr>
          <w:rFonts w:ascii="Arial" w:hAnsi="Arial" w:cs="Arial"/>
          <w:sz w:val="22"/>
          <w:szCs w:val="22"/>
        </w:rPr>
        <w:t xml:space="preserve">and their first pay cycle ended before </w:t>
      </w:r>
      <w:r w:rsidR="00016F9A" w:rsidRPr="00FF3C2C">
        <w:rPr>
          <w:rFonts w:ascii="Arial" w:hAnsi="Arial" w:cs="Arial"/>
          <w:sz w:val="22"/>
          <w:szCs w:val="22"/>
        </w:rPr>
        <w:t>1 March 2020</w:t>
      </w:r>
      <w:r w:rsidR="00016F9A">
        <w:rPr>
          <w:rFonts w:ascii="Arial" w:hAnsi="Arial" w:cs="Arial"/>
          <w:sz w:val="22"/>
          <w:szCs w:val="22"/>
        </w:rPr>
        <w:t>.</w:t>
      </w:r>
    </w:p>
    <w:p w14:paraId="24B9C0BB" w14:textId="08032F26" w:rsidR="00E85BF8" w:rsidRPr="00CE41C3" w:rsidRDefault="00016F9A" w:rsidP="00CE41C3">
      <w:pPr>
        <w:spacing w:after="120"/>
        <w:rPr>
          <w:rFonts w:ascii="Arial" w:hAnsi="Arial" w:cs="Arial"/>
          <w:sz w:val="22"/>
          <w:szCs w:val="22"/>
        </w:rPr>
      </w:pPr>
      <w:r>
        <w:rPr>
          <w:rFonts w:ascii="Arial" w:hAnsi="Arial" w:cs="Arial"/>
          <w:b/>
          <w:bCs/>
          <w:i/>
          <w:iCs/>
          <w:sz w:val="22"/>
          <w:szCs w:val="22"/>
        </w:rPr>
        <w:t>Not employed: a</w:t>
      </w:r>
      <w:r w:rsidR="00E85BF8" w:rsidRPr="00CE41C3">
        <w:rPr>
          <w:rFonts w:ascii="Arial" w:hAnsi="Arial" w:cs="Arial"/>
          <w:b/>
          <w:bCs/>
          <w:i/>
          <w:iCs/>
          <w:sz w:val="22"/>
          <w:szCs w:val="22"/>
        </w:rPr>
        <w:t xml:space="preserve">lternative reference period </w:t>
      </w:r>
    </w:p>
    <w:p w14:paraId="01CD12A8" w14:textId="71EE7C58" w:rsidR="00016F9A" w:rsidRPr="00193B8F" w:rsidRDefault="001C4EEC" w:rsidP="0091425D">
      <w:pPr>
        <w:numPr>
          <w:ilvl w:val="0"/>
          <w:numId w:val="1"/>
        </w:numPr>
        <w:spacing w:after="120"/>
        <w:ind w:left="0" w:firstLine="0"/>
        <w:rPr>
          <w:rFonts w:ascii="Arial" w:hAnsi="Arial" w:cs="Arial"/>
          <w:sz w:val="22"/>
          <w:szCs w:val="22"/>
        </w:rPr>
      </w:pPr>
      <w:r>
        <w:rPr>
          <w:rFonts w:ascii="Arial" w:hAnsi="Arial" w:cs="Arial"/>
          <w:sz w:val="22"/>
          <w:szCs w:val="22"/>
        </w:rPr>
        <w:t>In these circumstances</w:t>
      </w:r>
      <w:r w:rsidR="00DE7238">
        <w:rPr>
          <w:rFonts w:ascii="Arial" w:hAnsi="Arial" w:cs="Arial"/>
          <w:sz w:val="22"/>
          <w:szCs w:val="22"/>
        </w:rPr>
        <w:t>,</w:t>
      </w:r>
      <w:r>
        <w:rPr>
          <w:rFonts w:ascii="Arial" w:hAnsi="Arial" w:cs="Arial"/>
          <w:sz w:val="22"/>
          <w:szCs w:val="22"/>
        </w:rPr>
        <w:t xml:space="preserve"> t</w:t>
      </w:r>
      <w:r w:rsidR="00E85BF8">
        <w:rPr>
          <w:rFonts w:ascii="Arial" w:hAnsi="Arial" w:cs="Arial"/>
          <w:sz w:val="22"/>
          <w:szCs w:val="22"/>
        </w:rPr>
        <w:t xml:space="preserve">he legislative instrument provides a forward looking </w:t>
      </w:r>
      <w:r w:rsidR="00E85BF8" w:rsidRPr="00FF3C2C">
        <w:rPr>
          <w:rFonts w:ascii="Arial" w:hAnsi="Arial" w:cs="Arial"/>
          <w:sz w:val="22"/>
          <w:szCs w:val="22"/>
        </w:rPr>
        <w:t>alternative reference period</w:t>
      </w:r>
      <w:r w:rsidR="00E85BF8">
        <w:rPr>
          <w:rFonts w:ascii="Arial" w:hAnsi="Arial" w:cs="Arial"/>
          <w:sz w:val="22"/>
          <w:szCs w:val="22"/>
        </w:rPr>
        <w:t>.</w:t>
      </w:r>
    </w:p>
    <w:p w14:paraId="7C639781" w14:textId="14F73B69" w:rsidR="00E85BF8" w:rsidRPr="00A01D18" w:rsidRDefault="00016F9A" w:rsidP="00E85BF8">
      <w:pPr>
        <w:numPr>
          <w:ilvl w:val="0"/>
          <w:numId w:val="1"/>
        </w:numPr>
        <w:spacing w:after="120"/>
        <w:ind w:left="0" w:firstLine="0"/>
        <w:rPr>
          <w:rFonts w:ascii="Arial" w:hAnsi="Arial" w:cs="Arial"/>
        </w:rPr>
      </w:pPr>
      <w:r>
        <w:rPr>
          <w:rFonts w:ascii="Arial" w:hAnsi="Arial" w:cs="Arial"/>
          <w:sz w:val="22"/>
          <w:szCs w:val="22"/>
        </w:rPr>
        <w:t xml:space="preserve">For </w:t>
      </w:r>
      <w:r w:rsidR="00E85BF8" w:rsidRPr="0045030B">
        <w:rPr>
          <w:rFonts w:ascii="Arial" w:hAnsi="Arial" w:cs="Arial"/>
          <w:sz w:val="22"/>
          <w:szCs w:val="22"/>
        </w:rPr>
        <w:t>pay cycle</w:t>
      </w:r>
      <w:r>
        <w:rPr>
          <w:rFonts w:ascii="Arial" w:hAnsi="Arial" w:cs="Arial"/>
          <w:sz w:val="22"/>
          <w:szCs w:val="22"/>
        </w:rPr>
        <w:t>s</w:t>
      </w:r>
      <w:r w:rsidR="00E85BF8" w:rsidRPr="0045030B">
        <w:rPr>
          <w:rFonts w:ascii="Arial" w:hAnsi="Arial" w:cs="Arial"/>
          <w:sz w:val="22"/>
          <w:szCs w:val="22"/>
        </w:rPr>
        <w:t xml:space="preserve"> less than 28 days (e</w:t>
      </w:r>
      <w:r w:rsidR="00E85BF8">
        <w:rPr>
          <w:rFonts w:ascii="Arial" w:hAnsi="Arial" w:cs="Arial"/>
          <w:sz w:val="22"/>
          <w:szCs w:val="22"/>
        </w:rPr>
        <w:t>.</w:t>
      </w:r>
      <w:r w:rsidR="00E85BF8" w:rsidRPr="0045030B">
        <w:rPr>
          <w:rFonts w:ascii="Arial" w:hAnsi="Arial" w:cs="Arial"/>
          <w:sz w:val="22"/>
          <w:szCs w:val="22"/>
        </w:rPr>
        <w:t>g</w:t>
      </w:r>
      <w:r w:rsidR="00E85BF8">
        <w:rPr>
          <w:rFonts w:ascii="Arial" w:hAnsi="Arial" w:cs="Arial"/>
          <w:sz w:val="22"/>
          <w:szCs w:val="22"/>
        </w:rPr>
        <w:t>.</w:t>
      </w:r>
      <w:r w:rsidR="00E85BF8" w:rsidRPr="0045030B">
        <w:rPr>
          <w:rFonts w:ascii="Arial" w:hAnsi="Arial" w:cs="Arial"/>
          <w:sz w:val="22"/>
          <w:szCs w:val="22"/>
        </w:rPr>
        <w:t xml:space="preserve"> fortnightly, or weekly), the alternative reference period is the </w:t>
      </w:r>
      <w:r w:rsidR="00E85BF8" w:rsidRPr="00256FCD">
        <w:rPr>
          <w:rFonts w:ascii="Arial" w:hAnsi="Arial" w:cs="Arial"/>
          <w:sz w:val="22"/>
          <w:szCs w:val="22"/>
        </w:rPr>
        <w:t>first 28-day period, ending on or after 1 March 2020</w:t>
      </w:r>
      <w:r w:rsidR="00E85BF8">
        <w:rPr>
          <w:rFonts w:ascii="Arial" w:hAnsi="Arial" w:cs="Arial"/>
          <w:sz w:val="22"/>
          <w:szCs w:val="22"/>
        </w:rPr>
        <w:t xml:space="preserve"> or 1 July 2020</w:t>
      </w:r>
      <w:r w:rsidR="00E85BF8" w:rsidRPr="00256FCD">
        <w:rPr>
          <w:rFonts w:ascii="Arial" w:hAnsi="Arial" w:cs="Arial"/>
          <w:sz w:val="22"/>
          <w:szCs w:val="22"/>
        </w:rPr>
        <w:t>, that wholly occurs during consecutive pay cycles.</w:t>
      </w:r>
    </w:p>
    <w:p w14:paraId="13B819D1" w14:textId="2C1C698E" w:rsidR="00E85BF8" w:rsidRPr="00256FCD" w:rsidRDefault="00016F9A" w:rsidP="00E85BF8">
      <w:pPr>
        <w:numPr>
          <w:ilvl w:val="0"/>
          <w:numId w:val="1"/>
        </w:numPr>
        <w:spacing w:after="120"/>
        <w:ind w:left="0" w:firstLine="0"/>
        <w:rPr>
          <w:rFonts w:ascii="Arial" w:hAnsi="Arial" w:cs="Arial"/>
        </w:rPr>
      </w:pPr>
      <w:r>
        <w:rPr>
          <w:rFonts w:ascii="Arial" w:hAnsi="Arial" w:cs="Arial"/>
          <w:sz w:val="22"/>
          <w:szCs w:val="22"/>
        </w:rPr>
        <w:t xml:space="preserve">For </w:t>
      </w:r>
      <w:r w:rsidR="00E85BF8" w:rsidRPr="00256FCD">
        <w:rPr>
          <w:rFonts w:ascii="Arial" w:hAnsi="Arial" w:cs="Arial"/>
          <w:sz w:val="22"/>
          <w:szCs w:val="22"/>
        </w:rPr>
        <w:t>pay cycle</w:t>
      </w:r>
      <w:r>
        <w:rPr>
          <w:rFonts w:ascii="Arial" w:hAnsi="Arial" w:cs="Arial"/>
          <w:sz w:val="22"/>
          <w:szCs w:val="22"/>
        </w:rPr>
        <w:t>s</w:t>
      </w:r>
      <w:r w:rsidR="001955AB">
        <w:rPr>
          <w:rFonts w:ascii="Arial" w:hAnsi="Arial" w:cs="Arial"/>
          <w:sz w:val="22"/>
          <w:szCs w:val="22"/>
        </w:rPr>
        <w:t xml:space="preserve"> of</w:t>
      </w:r>
      <w:r w:rsidR="00E85BF8" w:rsidRPr="00256FCD">
        <w:rPr>
          <w:rFonts w:ascii="Arial" w:hAnsi="Arial" w:cs="Arial"/>
          <w:sz w:val="22"/>
          <w:szCs w:val="22"/>
        </w:rPr>
        <w:t xml:space="preserve"> 28 days or more (e</w:t>
      </w:r>
      <w:r w:rsidR="00E85BF8">
        <w:rPr>
          <w:rFonts w:ascii="Arial" w:hAnsi="Arial" w:cs="Arial"/>
          <w:sz w:val="22"/>
          <w:szCs w:val="22"/>
        </w:rPr>
        <w:t>.</w:t>
      </w:r>
      <w:r w:rsidR="00E85BF8" w:rsidRPr="00256FCD">
        <w:rPr>
          <w:rFonts w:ascii="Arial" w:hAnsi="Arial" w:cs="Arial"/>
          <w:sz w:val="22"/>
          <w:szCs w:val="22"/>
        </w:rPr>
        <w:t>g</w:t>
      </w:r>
      <w:r w:rsidR="00E85BF8">
        <w:rPr>
          <w:rFonts w:ascii="Arial" w:hAnsi="Arial" w:cs="Arial"/>
          <w:sz w:val="22"/>
          <w:szCs w:val="22"/>
        </w:rPr>
        <w:t>.</w:t>
      </w:r>
      <w:r w:rsidR="00E85BF8" w:rsidRPr="00256FCD">
        <w:rPr>
          <w:rFonts w:ascii="Arial" w:hAnsi="Arial" w:cs="Arial"/>
          <w:sz w:val="22"/>
          <w:szCs w:val="22"/>
        </w:rPr>
        <w:t xml:space="preserve"> monthly), the alternative reference period is the first 28-day period, ending on or after 1 March 2020</w:t>
      </w:r>
      <w:r w:rsidR="00E85BF8">
        <w:rPr>
          <w:rFonts w:ascii="Arial" w:hAnsi="Arial" w:cs="Arial"/>
          <w:sz w:val="22"/>
          <w:szCs w:val="22"/>
        </w:rPr>
        <w:t xml:space="preserve"> or 1 July 2020</w:t>
      </w:r>
      <w:r w:rsidR="00E85BF8" w:rsidRPr="00256FCD">
        <w:rPr>
          <w:rFonts w:ascii="Arial" w:hAnsi="Arial" w:cs="Arial"/>
          <w:sz w:val="22"/>
          <w:szCs w:val="22"/>
        </w:rPr>
        <w:t>, that wholly occurs during a pay cycle.</w:t>
      </w:r>
    </w:p>
    <w:p w14:paraId="18C31469" w14:textId="0BC05D54" w:rsidR="00E85BF8" w:rsidRDefault="001C4EEC" w:rsidP="00E85BF8">
      <w:pPr>
        <w:numPr>
          <w:ilvl w:val="0"/>
          <w:numId w:val="1"/>
        </w:numPr>
        <w:spacing w:after="120"/>
        <w:ind w:left="0" w:firstLine="0"/>
        <w:rPr>
          <w:rFonts w:ascii="Arial" w:hAnsi="Arial" w:cs="Arial"/>
          <w:sz w:val="22"/>
          <w:szCs w:val="22"/>
        </w:rPr>
      </w:pPr>
      <w:r>
        <w:rPr>
          <w:rFonts w:ascii="Arial" w:hAnsi="Arial" w:cs="Arial"/>
          <w:sz w:val="22"/>
          <w:szCs w:val="22"/>
        </w:rPr>
        <w:t>F</w:t>
      </w:r>
      <w:r w:rsidR="00016F9A">
        <w:rPr>
          <w:rFonts w:ascii="Arial" w:hAnsi="Arial" w:cs="Arial"/>
          <w:sz w:val="22"/>
          <w:szCs w:val="22"/>
        </w:rPr>
        <w:t xml:space="preserve">or </w:t>
      </w:r>
      <w:r w:rsidR="00E85BF8">
        <w:rPr>
          <w:rFonts w:ascii="Arial" w:hAnsi="Arial" w:cs="Arial"/>
          <w:sz w:val="22"/>
          <w:szCs w:val="22"/>
        </w:rPr>
        <w:t>employee</w:t>
      </w:r>
      <w:r w:rsidR="00016F9A">
        <w:rPr>
          <w:rFonts w:ascii="Arial" w:hAnsi="Arial" w:cs="Arial"/>
          <w:sz w:val="22"/>
          <w:szCs w:val="22"/>
        </w:rPr>
        <w:t>s</w:t>
      </w:r>
      <w:r w:rsidR="00E85BF8">
        <w:rPr>
          <w:rFonts w:ascii="Arial" w:hAnsi="Arial" w:cs="Arial"/>
          <w:sz w:val="22"/>
          <w:szCs w:val="22"/>
        </w:rPr>
        <w:t xml:space="preserve"> </w:t>
      </w:r>
      <w:r w:rsidR="00E85BF8" w:rsidRPr="0045030B">
        <w:rPr>
          <w:rFonts w:ascii="Arial" w:hAnsi="Arial" w:cs="Arial"/>
          <w:sz w:val="22"/>
          <w:szCs w:val="22"/>
        </w:rPr>
        <w:t xml:space="preserve">stood down </w:t>
      </w:r>
      <w:r w:rsidR="00E85BF8">
        <w:rPr>
          <w:rFonts w:ascii="Arial" w:hAnsi="Arial" w:cs="Arial"/>
          <w:sz w:val="22"/>
          <w:szCs w:val="22"/>
        </w:rPr>
        <w:t xml:space="preserve">part way through </w:t>
      </w:r>
      <w:r w:rsidR="00016F9A">
        <w:rPr>
          <w:rFonts w:ascii="Arial" w:hAnsi="Arial" w:cs="Arial"/>
          <w:sz w:val="22"/>
          <w:szCs w:val="22"/>
        </w:rPr>
        <w:t xml:space="preserve">the </w:t>
      </w:r>
      <w:r w:rsidR="00E85BF8" w:rsidRPr="00470CB5">
        <w:rPr>
          <w:rFonts w:ascii="Arial" w:hAnsi="Arial" w:cs="Arial"/>
          <w:sz w:val="22"/>
          <w:szCs w:val="22"/>
        </w:rPr>
        <w:t>first 28-day period</w:t>
      </w:r>
      <w:r w:rsidR="00DE7238">
        <w:rPr>
          <w:rFonts w:ascii="Arial" w:hAnsi="Arial" w:cs="Arial"/>
          <w:sz w:val="22"/>
          <w:szCs w:val="22"/>
        </w:rPr>
        <w:t>,</w:t>
      </w:r>
      <w:r>
        <w:rPr>
          <w:rFonts w:ascii="Arial" w:hAnsi="Arial" w:cs="Arial"/>
          <w:sz w:val="22"/>
          <w:szCs w:val="22"/>
        </w:rPr>
        <w:t xml:space="preserve"> p</w:t>
      </w:r>
      <w:r w:rsidR="00E85BF8">
        <w:rPr>
          <w:rFonts w:ascii="Arial" w:hAnsi="Arial" w:cs="Arial"/>
          <w:sz w:val="22"/>
          <w:szCs w:val="22"/>
        </w:rPr>
        <w:t xml:space="preserve">aragraph 6(2)(b) provides that the alternative reference period is </w:t>
      </w:r>
      <w:r w:rsidR="00E85BF8" w:rsidRPr="00470CB5">
        <w:rPr>
          <w:rFonts w:ascii="Arial" w:hAnsi="Arial" w:cs="Arial"/>
          <w:sz w:val="22"/>
          <w:szCs w:val="22"/>
        </w:rPr>
        <w:t>the first 28-day period starting on the first day of a pay cycle</w:t>
      </w:r>
      <w:r w:rsidR="00E85BF8">
        <w:rPr>
          <w:rFonts w:ascii="Arial" w:hAnsi="Arial" w:cs="Arial"/>
          <w:sz w:val="22"/>
          <w:szCs w:val="22"/>
        </w:rPr>
        <w:t xml:space="preserve"> on or</w:t>
      </w:r>
      <w:r w:rsidR="00E85BF8" w:rsidRPr="00470CB5">
        <w:rPr>
          <w:rFonts w:ascii="Arial" w:hAnsi="Arial" w:cs="Arial"/>
          <w:sz w:val="22"/>
          <w:szCs w:val="22"/>
        </w:rPr>
        <w:t xml:space="preserve"> after 1 March 2020</w:t>
      </w:r>
      <w:r w:rsidR="00E85BF8">
        <w:rPr>
          <w:rFonts w:ascii="Arial" w:hAnsi="Arial" w:cs="Arial"/>
          <w:sz w:val="22"/>
          <w:szCs w:val="22"/>
        </w:rPr>
        <w:t xml:space="preserve"> or </w:t>
      </w:r>
      <w:r w:rsidR="00021180">
        <w:rPr>
          <w:rFonts w:ascii="Arial" w:hAnsi="Arial" w:cs="Arial"/>
          <w:sz w:val="22"/>
          <w:szCs w:val="22"/>
        </w:rPr>
        <w:t xml:space="preserve">on or after </w:t>
      </w:r>
      <w:r w:rsidR="00E85BF8">
        <w:rPr>
          <w:rFonts w:ascii="Arial" w:hAnsi="Arial" w:cs="Arial"/>
          <w:sz w:val="22"/>
          <w:szCs w:val="22"/>
        </w:rPr>
        <w:t>1 July 2020</w:t>
      </w:r>
      <w:r w:rsidR="00E85BF8" w:rsidRPr="00470CB5">
        <w:rPr>
          <w:rFonts w:ascii="Arial" w:hAnsi="Arial" w:cs="Arial"/>
          <w:sz w:val="22"/>
          <w:szCs w:val="22"/>
        </w:rPr>
        <w:t xml:space="preserve"> in which they were not stood down</w:t>
      </w:r>
      <w:r w:rsidR="00E85BF8">
        <w:rPr>
          <w:rFonts w:ascii="Arial" w:hAnsi="Arial" w:cs="Arial"/>
          <w:sz w:val="22"/>
          <w:szCs w:val="22"/>
        </w:rPr>
        <w:t xml:space="preserve">. </w:t>
      </w:r>
      <w:r w:rsidR="00FF7AD7">
        <w:rPr>
          <w:rFonts w:ascii="Arial" w:hAnsi="Arial" w:cs="Arial"/>
          <w:sz w:val="22"/>
          <w:szCs w:val="22"/>
        </w:rPr>
        <w:t>This primarily reflects the use of stand down directions since March 2020.</w:t>
      </w:r>
    </w:p>
    <w:p w14:paraId="0A59DEBA" w14:textId="45817EA9" w:rsidR="00B128E5" w:rsidRPr="005B0778" w:rsidRDefault="00B128E5" w:rsidP="00B128E5">
      <w:pPr>
        <w:spacing w:after="120"/>
        <w:rPr>
          <w:rFonts w:ascii="Arial" w:hAnsi="Arial" w:cs="Arial"/>
          <w:szCs w:val="22"/>
        </w:rPr>
      </w:pPr>
      <w:r w:rsidRPr="005B0778">
        <w:rPr>
          <w:rFonts w:ascii="Arial" w:hAnsi="Arial" w:cs="Arial"/>
          <w:b/>
          <w:bCs/>
          <w:iCs/>
          <w:szCs w:val="22"/>
        </w:rPr>
        <w:t xml:space="preserve">First pay cycle ended on or after 1 March 2020 </w:t>
      </w:r>
      <w:r w:rsidR="00DE7238">
        <w:rPr>
          <w:rFonts w:ascii="Arial" w:hAnsi="Arial" w:cs="Arial"/>
          <w:b/>
          <w:bCs/>
          <w:iCs/>
          <w:szCs w:val="22"/>
        </w:rPr>
        <w:t xml:space="preserve">or </w:t>
      </w:r>
      <w:r w:rsidR="00021180">
        <w:rPr>
          <w:rFonts w:ascii="Arial" w:hAnsi="Arial" w:cs="Arial"/>
          <w:b/>
          <w:bCs/>
          <w:iCs/>
          <w:szCs w:val="22"/>
        </w:rPr>
        <w:t xml:space="preserve">on or </w:t>
      </w:r>
      <w:r w:rsidR="00DE7238">
        <w:rPr>
          <w:rFonts w:ascii="Arial" w:hAnsi="Arial" w:cs="Arial"/>
          <w:b/>
          <w:bCs/>
          <w:iCs/>
          <w:szCs w:val="22"/>
        </w:rPr>
        <w:t>after 1 July 2020</w:t>
      </w:r>
      <w:r w:rsidRPr="005B0778">
        <w:rPr>
          <w:rFonts w:ascii="Arial" w:hAnsi="Arial" w:cs="Arial"/>
          <w:b/>
          <w:bCs/>
          <w:iCs/>
          <w:szCs w:val="22"/>
        </w:rPr>
        <w:t xml:space="preserve"> </w:t>
      </w:r>
    </w:p>
    <w:p w14:paraId="34C24449" w14:textId="2E0597CB" w:rsidR="00B128E5" w:rsidRPr="005B0778" w:rsidRDefault="00B128E5" w:rsidP="00B128E5">
      <w:pPr>
        <w:numPr>
          <w:ilvl w:val="0"/>
          <w:numId w:val="1"/>
        </w:numPr>
        <w:spacing w:after="120"/>
        <w:ind w:left="0" w:firstLine="0"/>
        <w:rPr>
          <w:rFonts w:ascii="Arial" w:hAnsi="Arial" w:cs="Arial"/>
          <w:sz w:val="22"/>
          <w:szCs w:val="22"/>
        </w:rPr>
      </w:pPr>
      <w:r w:rsidRPr="005476A4">
        <w:rPr>
          <w:rFonts w:ascii="Arial" w:hAnsi="Arial" w:cs="Arial"/>
          <w:sz w:val="22"/>
          <w:szCs w:val="22"/>
        </w:rPr>
        <w:t>The third</w:t>
      </w:r>
      <w:r w:rsidRPr="00363009">
        <w:rPr>
          <w:rFonts w:ascii="Arial" w:hAnsi="Arial" w:cs="Arial"/>
          <w:sz w:val="22"/>
          <w:szCs w:val="22"/>
        </w:rPr>
        <w:t xml:space="preserve"> specified class </w:t>
      </w:r>
      <w:r>
        <w:rPr>
          <w:rFonts w:ascii="Arial" w:hAnsi="Arial" w:cs="Arial"/>
          <w:sz w:val="22"/>
          <w:szCs w:val="22"/>
        </w:rPr>
        <w:t>in</w:t>
      </w:r>
      <w:r w:rsidRPr="00363009">
        <w:rPr>
          <w:rFonts w:ascii="Arial" w:hAnsi="Arial" w:cs="Arial"/>
          <w:sz w:val="22"/>
          <w:szCs w:val="22"/>
        </w:rPr>
        <w:t xml:space="preserve"> paragraph 6(1)(c)</w:t>
      </w:r>
      <w:r>
        <w:rPr>
          <w:rFonts w:ascii="Arial" w:hAnsi="Arial" w:cs="Arial"/>
          <w:sz w:val="22"/>
          <w:szCs w:val="22"/>
        </w:rPr>
        <w:t xml:space="preserve"> is </w:t>
      </w:r>
      <w:r w:rsidRPr="00363009">
        <w:rPr>
          <w:rFonts w:ascii="Arial" w:hAnsi="Arial" w:cs="Arial"/>
          <w:sz w:val="22"/>
          <w:szCs w:val="22"/>
        </w:rPr>
        <w:t>employee</w:t>
      </w:r>
      <w:r>
        <w:rPr>
          <w:rFonts w:ascii="Arial" w:hAnsi="Arial" w:cs="Arial"/>
          <w:sz w:val="22"/>
          <w:szCs w:val="22"/>
        </w:rPr>
        <w:t>s</w:t>
      </w:r>
      <w:r w:rsidRPr="00363009">
        <w:rPr>
          <w:rFonts w:ascii="Arial" w:hAnsi="Arial" w:cs="Arial"/>
          <w:sz w:val="22"/>
          <w:szCs w:val="22"/>
        </w:rPr>
        <w:t xml:space="preserve"> who commenced employment </w:t>
      </w:r>
      <w:r w:rsidR="006015C9" w:rsidRPr="00363009">
        <w:rPr>
          <w:rFonts w:ascii="Arial" w:hAnsi="Arial" w:cs="Arial"/>
          <w:sz w:val="22"/>
          <w:szCs w:val="22"/>
        </w:rPr>
        <w:t xml:space="preserve">on or </w:t>
      </w:r>
      <w:r w:rsidRPr="00363009">
        <w:rPr>
          <w:rFonts w:ascii="Arial" w:hAnsi="Arial" w:cs="Arial"/>
          <w:sz w:val="22"/>
          <w:szCs w:val="22"/>
        </w:rPr>
        <w:t xml:space="preserve">on or before 1 March 2020 </w:t>
      </w:r>
      <w:r w:rsidR="00DE7238">
        <w:rPr>
          <w:rFonts w:ascii="Arial" w:hAnsi="Arial" w:cs="Arial"/>
          <w:sz w:val="22"/>
          <w:szCs w:val="22"/>
        </w:rPr>
        <w:t xml:space="preserve">or </w:t>
      </w:r>
      <w:r w:rsidR="00021180">
        <w:rPr>
          <w:rFonts w:ascii="Arial" w:hAnsi="Arial" w:cs="Arial"/>
          <w:sz w:val="22"/>
          <w:szCs w:val="22"/>
        </w:rPr>
        <w:t xml:space="preserve">before </w:t>
      </w:r>
      <w:r w:rsidR="00DE7238">
        <w:rPr>
          <w:rFonts w:ascii="Arial" w:hAnsi="Arial" w:cs="Arial"/>
          <w:sz w:val="22"/>
          <w:szCs w:val="22"/>
        </w:rPr>
        <w:t xml:space="preserve">1 July </w:t>
      </w:r>
      <w:r w:rsidR="0038318D">
        <w:rPr>
          <w:rFonts w:ascii="Arial" w:hAnsi="Arial" w:cs="Arial"/>
          <w:sz w:val="22"/>
          <w:szCs w:val="22"/>
        </w:rPr>
        <w:t xml:space="preserve">2020 </w:t>
      </w:r>
      <w:r w:rsidRPr="00363009">
        <w:rPr>
          <w:rFonts w:ascii="Arial" w:hAnsi="Arial" w:cs="Arial"/>
          <w:sz w:val="22"/>
          <w:szCs w:val="22"/>
        </w:rPr>
        <w:t>but their first pay cycle ended on or after th</w:t>
      </w:r>
      <w:r w:rsidR="0038318D">
        <w:rPr>
          <w:rFonts w:ascii="Arial" w:hAnsi="Arial" w:cs="Arial"/>
          <w:sz w:val="22"/>
          <w:szCs w:val="22"/>
        </w:rPr>
        <w:t>ose</w:t>
      </w:r>
      <w:r w:rsidRPr="00363009">
        <w:rPr>
          <w:rFonts w:ascii="Arial" w:hAnsi="Arial" w:cs="Arial"/>
          <w:sz w:val="22"/>
          <w:szCs w:val="22"/>
        </w:rPr>
        <w:t xml:space="preserve"> </w:t>
      </w:r>
      <w:r w:rsidR="00DE7238">
        <w:rPr>
          <w:rFonts w:ascii="Arial" w:hAnsi="Arial" w:cs="Arial"/>
          <w:sz w:val="22"/>
          <w:szCs w:val="22"/>
        </w:rPr>
        <w:t>date</w:t>
      </w:r>
      <w:r w:rsidR="0038318D">
        <w:rPr>
          <w:rFonts w:ascii="Arial" w:hAnsi="Arial" w:cs="Arial"/>
          <w:sz w:val="22"/>
          <w:szCs w:val="22"/>
        </w:rPr>
        <w:t>s</w:t>
      </w:r>
      <w:r w:rsidRPr="00363009">
        <w:rPr>
          <w:rFonts w:ascii="Arial" w:hAnsi="Arial" w:cs="Arial"/>
          <w:sz w:val="22"/>
          <w:szCs w:val="22"/>
        </w:rPr>
        <w:t>. As the</w:t>
      </w:r>
      <w:r>
        <w:rPr>
          <w:rFonts w:ascii="Arial" w:hAnsi="Arial" w:cs="Arial"/>
          <w:sz w:val="22"/>
          <w:szCs w:val="22"/>
        </w:rPr>
        <w:t>ir</w:t>
      </w:r>
      <w:r w:rsidRPr="00363009">
        <w:rPr>
          <w:rFonts w:ascii="Arial" w:hAnsi="Arial" w:cs="Arial"/>
          <w:sz w:val="22"/>
          <w:szCs w:val="22"/>
        </w:rPr>
        <w:t xml:space="preserve"> first pay cycle did not end before 1 March 2020</w:t>
      </w:r>
      <w:r>
        <w:rPr>
          <w:rFonts w:ascii="Arial" w:hAnsi="Arial" w:cs="Arial"/>
          <w:sz w:val="22"/>
          <w:szCs w:val="22"/>
        </w:rPr>
        <w:t xml:space="preserve"> </w:t>
      </w:r>
      <w:r w:rsidR="007A6BCA">
        <w:rPr>
          <w:rFonts w:ascii="Arial" w:hAnsi="Arial" w:cs="Arial"/>
          <w:sz w:val="22"/>
          <w:szCs w:val="22"/>
        </w:rPr>
        <w:t xml:space="preserve">or before 1 July 2020, as the case may be, </w:t>
      </w:r>
      <w:r w:rsidRPr="00363009">
        <w:rPr>
          <w:rFonts w:ascii="Arial" w:hAnsi="Arial" w:cs="Arial"/>
          <w:sz w:val="22"/>
          <w:szCs w:val="22"/>
        </w:rPr>
        <w:t xml:space="preserve">there is no 28-day period that would satisfy the definition of the standard reference period. </w:t>
      </w:r>
      <w:r>
        <w:rPr>
          <w:rFonts w:ascii="Arial" w:hAnsi="Arial" w:cs="Arial"/>
          <w:sz w:val="22"/>
          <w:szCs w:val="22"/>
        </w:rPr>
        <w:t xml:space="preserve"> </w:t>
      </w:r>
    </w:p>
    <w:p w14:paraId="1BC27FA3" w14:textId="77777777" w:rsidR="00B128E5" w:rsidRPr="00095530" w:rsidRDefault="00B128E5" w:rsidP="00B128E5">
      <w:pPr>
        <w:spacing w:after="120"/>
        <w:rPr>
          <w:rFonts w:ascii="Arial" w:hAnsi="Arial" w:cs="Arial"/>
          <w:sz w:val="22"/>
          <w:szCs w:val="22"/>
        </w:rPr>
      </w:pPr>
      <w:r>
        <w:rPr>
          <w:rFonts w:ascii="Arial" w:hAnsi="Arial" w:cs="Arial"/>
          <w:b/>
          <w:bCs/>
          <w:i/>
          <w:iCs/>
          <w:sz w:val="22"/>
          <w:szCs w:val="22"/>
        </w:rPr>
        <w:t>No relevant pay cycle: a</w:t>
      </w:r>
      <w:r w:rsidRPr="00095530">
        <w:rPr>
          <w:rFonts w:ascii="Arial" w:hAnsi="Arial" w:cs="Arial"/>
          <w:b/>
          <w:bCs/>
          <w:i/>
          <w:iCs/>
          <w:sz w:val="22"/>
          <w:szCs w:val="22"/>
        </w:rPr>
        <w:t xml:space="preserve">lternative reference period </w:t>
      </w:r>
    </w:p>
    <w:p w14:paraId="0FA73EE6" w14:textId="4F2D0715" w:rsidR="00B128E5" w:rsidRPr="0045030B" w:rsidRDefault="00B128E5" w:rsidP="00B128E5">
      <w:pPr>
        <w:numPr>
          <w:ilvl w:val="0"/>
          <w:numId w:val="1"/>
        </w:numPr>
        <w:spacing w:after="120"/>
        <w:ind w:left="0" w:firstLine="0"/>
        <w:rPr>
          <w:rFonts w:ascii="Arial" w:hAnsi="Arial" w:cs="Arial"/>
          <w:sz w:val="22"/>
          <w:szCs w:val="22"/>
        </w:rPr>
      </w:pPr>
      <w:r>
        <w:rPr>
          <w:rFonts w:ascii="Arial" w:hAnsi="Arial" w:cs="Arial"/>
          <w:sz w:val="22"/>
          <w:szCs w:val="22"/>
        </w:rPr>
        <w:t xml:space="preserve">The legislative instrument provides the same forward looking </w:t>
      </w:r>
      <w:r w:rsidRPr="00FF3C2C">
        <w:rPr>
          <w:rFonts w:ascii="Arial" w:hAnsi="Arial" w:cs="Arial"/>
          <w:sz w:val="22"/>
          <w:szCs w:val="22"/>
        </w:rPr>
        <w:t>alternative reference period</w:t>
      </w:r>
      <w:r>
        <w:rPr>
          <w:rFonts w:ascii="Arial" w:hAnsi="Arial" w:cs="Arial"/>
          <w:sz w:val="22"/>
          <w:szCs w:val="22"/>
        </w:rPr>
        <w:t xml:space="preserve"> for paragraph 6(1)(c) as described above for employees not employed for the whole standard reference period.</w:t>
      </w:r>
    </w:p>
    <w:p w14:paraId="27F75DD6" w14:textId="2AC80A58" w:rsidR="00E85BF8" w:rsidRPr="0091425D" w:rsidRDefault="00B128E5" w:rsidP="00CE41C3">
      <w:pPr>
        <w:spacing w:after="120"/>
        <w:rPr>
          <w:rFonts w:ascii="Arial" w:hAnsi="Arial" w:cs="Arial"/>
          <w:szCs w:val="22"/>
        </w:rPr>
      </w:pPr>
      <w:r>
        <w:rPr>
          <w:rFonts w:ascii="Arial" w:hAnsi="Arial" w:cs="Arial"/>
          <w:b/>
          <w:bCs/>
          <w:iCs/>
          <w:szCs w:val="22"/>
        </w:rPr>
        <w:t>Employee of a business changing hands or transferred in a wholly-owned group</w:t>
      </w:r>
      <w:r w:rsidR="007057C0" w:rsidRPr="0091425D">
        <w:rPr>
          <w:rFonts w:ascii="Arial" w:hAnsi="Arial" w:cs="Arial"/>
          <w:b/>
          <w:bCs/>
          <w:iCs/>
          <w:szCs w:val="22"/>
        </w:rPr>
        <w:t xml:space="preserve"> </w:t>
      </w:r>
    </w:p>
    <w:p w14:paraId="0709A030" w14:textId="0F4B2B50" w:rsidR="00B128E5" w:rsidRDefault="005476A4" w:rsidP="0091425D">
      <w:pPr>
        <w:numPr>
          <w:ilvl w:val="0"/>
          <w:numId w:val="1"/>
        </w:numPr>
        <w:spacing w:after="120"/>
        <w:ind w:left="0" w:firstLine="0"/>
        <w:rPr>
          <w:rFonts w:ascii="Arial" w:hAnsi="Arial" w:cs="Arial"/>
          <w:sz w:val="22"/>
          <w:szCs w:val="22"/>
        </w:rPr>
      </w:pPr>
      <w:r w:rsidRPr="005476A4">
        <w:rPr>
          <w:rFonts w:ascii="Arial" w:hAnsi="Arial" w:cs="Arial"/>
          <w:sz w:val="22"/>
          <w:szCs w:val="22"/>
        </w:rPr>
        <w:t xml:space="preserve">The </w:t>
      </w:r>
      <w:r w:rsidR="00B128E5">
        <w:rPr>
          <w:rFonts w:ascii="Arial" w:hAnsi="Arial" w:cs="Arial"/>
          <w:sz w:val="22"/>
          <w:szCs w:val="22"/>
        </w:rPr>
        <w:t xml:space="preserve">fourth </w:t>
      </w:r>
      <w:r w:rsidRPr="00363009">
        <w:rPr>
          <w:rFonts w:ascii="Arial" w:hAnsi="Arial" w:cs="Arial"/>
          <w:sz w:val="22"/>
          <w:szCs w:val="22"/>
        </w:rPr>
        <w:t xml:space="preserve">specified class </w:t>
      </w:r>
      <w:r w:rsidR="00363009">
        <w:rPr>
          <w:rFonts w:ascii="Arial" w:hAnsi="Arial" w:cs="Arial"/>
          <w:sz w:val="22"/>
          <w:szCs w:val="22"/>
        </w:rPr>
        <w:t>in</w:t>
      </w:r>
      <w:r w:rsidRPr="00363009">
        <w:rPr>
          <w:rFonts w:ascii="Arial" w:hAnsi="Arial" w:cs="Arial"/>
          <w:sz w:val="22"/>
          <w:szCs w:val="22"/>
        </w:rPr>
        <w:t xml:space="preserve"> paragraph 6(1)(</w:t>
      </w:r>
      <w:r w:rsidR="00B128E5">
        <w:rPr>
          <w:rFonts w:ascii="Arial" w:hAnsi="Arial" w:cs="Arial"/>
          <w:sz w:val="22"/>
          <w:szCs w:val="22"/>
        </w:rPr>
        <w:t>d</w:t>
      </w:r>
      <w:r w:rsidRPr="00363009">
        <w:rPr>
          <w:rFonts w:ascii="Arial" w:hAnsi="Arial" w:cs="Arial"/>
          <w:sz w:val="22"/>
          <w:szCs w:val="22"/>
        </w:rPr>
        <w:t>)</w:t>
      </w:r>
      <w:r w:rsidR="00FF7AD7">
        <w:rPr>
          <w:rFonts w:ascii="Arial" w:hAnsi="Arial" w:cs="Arial"/>
          <w:sz w:val="22"/>
          <w:szCs w:val="22"/>
        </w:rPr>
        <w:t xml:space="preserve"> </w:t>
      </w:r>
      <w:r w:rsidR="00B128E5">
        <w:rPr>
          <w:rFonts w:ascii="Arial" w:hAnsi="Arial" w:cs="Arial"/>
          <w:sz w:val="22"/>
          <w:szCs w:val="22"/>
        </w:rPr>
        <w:t xml:space="preserve">applies to employees for which subsection 9(6) of the Rules has application. </w:t>
      </w:r>
    </w:p>
    <w:p w14:paraId="63B6A032" w14:textId="212A8854" w:rsidR="00B128E5" w:rsidRPr="00B128E5" w:rsidRDefault="00B128E5" w:rsidP="0091425D">
      <w:pPr>
        <w:numPr>
          <w:ilvl w:val="0"/>
          <w:numId w:val="1"/>
        </w:numPr>
        <w:spacing w:after="120"/>
        <w:ind w:left="0" w:firstLine="0"/>
        <w:rPr>
          <w:rFonts w:ascii="Arial" w:hAnsi="Arial" w:cs="Arial"/>
          <w:sz w:val="22"/>
          <w:szCs w:val="22"/>
        </w:rPr>
      </w:pPr>
      <w:r w:rsidRPr="00B128E5">
        <w:rPr>
          <w:rFonts w:ascii="Arial" w:hAnsi="Arial" w:cs="Arial"/>
          <w:sz w:val="22"/>
          <w:szCs w:val="22"/>
        </w:rPr>
        <w:t xml:space="preserve">In these cases, an individual is an eligible employee of an employer despite not having been employed by them on 1 March 2020 or 1 July 2020. Such individuals </w:t>
      </w:r>
      <w:r>
        <w:rPr>
          <w:rFonts w:ascii="Arial" w:hAnsi="Arial" w:cs="Arial"/>
          <w:sz w:val="22"/>
          <w:szCs w:val="22"/>
        </w:rPr>
        <w:t xml:space="preserve">are </w:t>
      </w:r>
      <w:r w:rsidRPr="00B128E5">
        <w:rPr>
          <w:rFonts w:ascii="Arial" w:hAnsi="Arial" w:cs="Arial"/>
          <w:sz w:val="22"/>
          <w:szCs w:val="22"/>
        </w:rPr>
        <w:t xml:space="preserve">eligible employees of the employer </w:t>
      </w:r>
      <w:r w:rsidR="006C39E4">
        <w:rPr>
          <w:rFonts w:ascii="Arial" w:hAnsi="Arial" w:cs="Arial"/>
          <w:sz w:val="22"/>
          <w:szCs w:val="22"/>
        </w:rPr>
        <w:t xml:space="preserve">by operation of </w:t>
      </w:r>
      <w:r>
        <w:rPr>
          <w:rFonts w:ascii="Arial" w:hAnsi="Arial" w:cs="Arial"/>
          <w:sz w:val="22"/>
          <w:szCs w:val="22"/>
        </w:rPr>
        <w:t xml:space="preserve">subsection 9(6) of </w:t>
      </w:r>
      <w:r w:rsidRPr="00B128E5">
        <w:rPr>
          <w:rFonts w:ascii="Arial" w:hAnsi="Arial" w:cs="Arial"/>
          <w:sz w:val="22"/>
          <w:szCs w:val="22"/>
        </w:rPr>
        <w:t xml:space="preserve">the </w:t>
      </w:r>
      <w:r w:rsidR="003665FA">
        <w:rPr>
          <w:rFonts w:ascii="Arial" w:hAnsi="Arial" w:cs="Arial"/>
          <w:sz w:val="22"/>
          <w:szCs w:val="22"/>
        </w:rPr>
        <w:t>R</w:t>
      </w:r>
      <w:r w:rsidRPr="00B128E5">
        <w:rPr>
          <w:rFonts w:ascii="Arial" w:hAnsi="Arial" w:cs="Arial"/>
          <w:sz w:val="22"/>
          <w:szCs w:val="22"/>
        </w:rPr>
        <w:t>ules</w:t>
      </w:r>
      <w:r>
        <w:rPr>
          <w:rFonts w:ascii="Arial" w:hAnsi="Arial" w:cs="Arial"/>
          <w:sz w:val="22"/>
          <w:szCs w:val="22"/>
        </w:rPr>
        <w:t>,</w:t>
      </w:r>
      <w:r w:rsidRPr="00B128E5">
        <w:rPr>
          <w:rFonts w:ascii="Arial" w:hAnsi="Arial" w:cs="Arial"/>
          <w:sz w:val="22"/>
          <w:szCs w:val="22"/>
        </w:rPr>
        <w:t xml:space="preserve"> </w:t>
      </w:r>
      <w:r>
        <w:rPr>
          <w:rFonts w:ascii="Arial" w:hAnsi="Arial" w:cs="Arial"/>
          <w:sz w:val="22"/>
          <w:szCs w:val="22"/>
        </w:rPr>
        <w:t xml:space="preserve">which </w:t>
      </w:r>
      <w:r w:rsidRPr="00B128E5">
        <w:rPr>
          <w:rFonts w:ascii="Arial" w:hAnsi="Arial" w:cs="Arial"/>
          <w:sz w:val="22"/>
          <w:szCs w:val="22"/>
        </w:rPr>
        <w:t>allows an employee of an entity to be treated as having been employed by that entity at an earlier time in certain circumstances. This is limited to circumstances in which the individual was employed by another entity in the same wholly</w:t>
      </w:r>
      <w:r w:rsidR="006C39E4">
        <w:rPr>
          <w:rFonts w:ascii="Arial" w:hAnsi="Arial" w:cs="Arial"/>
          <w:sz w:val="22"/>
          <w:szCs w:val="22"/>
        </w:rPr>
        <w:noBreakHyphen/>
      </w:r>
      <w:r w:rsidRPr="00B128E5">
        <w:rPr>
          <w:rFonts w:ascii="Arial" w:hAnsi="Arial" w:cs="Arial"/>
          <w:sz w:val="22"/>
          <w:szCs w:val="22"/>
        </w:rPr>
        <w:t xml:space="preserve">owned group as their current employer, or where they were employed by a business that has changed hands. </w:t>
      </w:r>
    </w:p>
    <w:p w14:paraId="2CF68920" w14:textId="6F30543F" w:rsidR="006C39E4" w:rsidRDefault="006C39E4" w:rsidP="0091425D">
      <w:pPr>
        <w:numPr>
          <w:ilvl w:val="0"/>
          <w:numId w:val="1"/>
        </w:numPr>
        <w:spacing w:after="120"/>
        <w:ind w:left="0" w:firstLine="0"/>
        <w:rPr>
          <w:rFonts w:ascii="Arial" w:hAnsi="Arial" w:cs="Arial"/>
          <w:sz w:val="22"/>
          <w:szCs w:val="22"/>
        </w:rPr>
      </w:pPr>
      <w:r>
        <w:rPr>
          <w:rFonts w:ascii="Arial" w:hAnsi="Arial" w:cs="Arial"/>
          <w:sz w:val="22"/>
          <w:szCs w:val="22"/>
        </w:rPr>
        <w:t xml:space="preserve">While </w:t>
      </w:r>
      <w:r w:rsidR="003665FA">
        <w:rPr>
          <w:rFonts w:ascii="Arial" w:hAnsi="Arial" w:cs="Arial"/>
          <w:sz w:val="22"/>
          <w:szCs w:val="22"/>
        </w:rPr>
        <w:t>subsection 9(6) treat</w:t>
      </w:r>
      <w:r>
        <w:rPr>
          <w:rFonts w:ascii="Arial" w:hAnsi="Arial" w:cs="Arial"/>
          <w:sz w:val="22"/>
          <w:szCs w:val="22"/>
        </w:rPr>
        <w:t>s</w:t>
      </w:r>
      <w:r w:rsidR="003665FA">
        <w:rPr>
          <w:rFonts w:ascii="Arial" w:hAnsi="Arial" w:cs="Arial"/>
          <w:sz w:val="22"/>
          <w:szCs w:val="22"/>
        </w:rPr>
        <w:t xml:space="preserve"> an </w:t>
      </w:r>
      <w:r>
        <w:rPr>
          <w:rFonts w:ascii="Arial" w:hAnsi="Arial" w:cs="Arial"/>
          <w:sz w:val="22"/>
          <w:szCs w:val="22"/>
        </w:rPr>
        <w:t xml:space="preserve">individual as an </w:t>
      </w:r>
      <w:r w:rsidR="003665FA">
        <w:rPr>
          <w:rFonts w:ascii="Arial" w:hAnsi="Arial" w:cs="Arial"/>
          <w:sz w:val="22"/>
          <w:szCs w:val="22"/>
        </w:rPr>
        <w:t xml:space="preserve">employee </w:t>
      </w:r>
      <w:r>
        <w:rPr>
          <w:rFonts w:ascii="Arial" w:hAnsi="Arial" w:cs="Arial"/>
          <w:sz w:val="22"/>
          <w:szCs w:val="22"/>
        </w:rPr>
        <w:t xml:space="preserve">of </w:t>
      </w:r>
      <w:r w:rsidR="003665FA">
        <w:rPr>
          <w:rFonts w:ascii="Arial" w:hAnsi="Arial" w:cs="Arial"/>
          <w:sz w:val="22"/>
          <w:szCs w:val="22"/>
        </w:rPr>
        <w:t xml:space="preserve">their employer at an earlier time for the purposes of section 9 of the Rules, that does not extend </w:t>
      </w:r>
      <w:r>
        <w:rPr>
          <w:rFonts w:ascii="Arial" w:hAnsi="Arial" w:cs="Arial"/>
          <w:sz w:val="22"/>
          <w:szCs w:val="22"/>
        </w:rPr>
        <w:t xml:space="preserve">to </w:t>
      </w:r>
      <w:r w:rsidR="00170CFF">
        <w:rPr>
          <w:rFonts w:ascii="Arial" w:hAnsi="Arial" w:cs="Arial"/>
          <w:sz w:val="22"/>
          <w:szCs w:val="22"/>
        </w:rPr>
        <w:t>applying</w:t>
      </w:r>
      <w:r w:rsidR="003665FA">
        <w:rPr>
          <w:rFonts w:ascii="Arial" w:hAnsi="Arial" w:cs="Arial"/>
          <w:sz w:val="22"/>
          <w:szCs w:val="22"/>
        </w:rPr>
        <w:t xml:space="preserve"> other provisions in the Rules</w:t>
      </w:r>
      <w:r>
        <w:rPr>
          <w:rFonts w:ascii="Arial" w:hAnsi="Arial" w:cs="Arial"/>
          <w:sz w:val="22"/>
          <w:szCs w:val="22"/>
        </w:rPr>
        <w:t xml:space="preserve"> (such as sections 4A and 9A)</w:t>
      </w:r>
      <w:r w:rsidR="003665FA">
        <w:rPr>
          <w:rFonts w:ascii="Arial" w:hAnsi="Arial" w:cs="Arial"/>
          <w:sz w:val="22"/>
          <w:szCs w:val="22"/>
        </w:rPr>
        <w:t xml:space="preserve">. </w:t>
      </w:r>
      <w:r w:rsidR="00395DA5">
        <w:rPr>
          <w:rFonts w:ascii="Arial" w:hAnsi="Arial" w:cs="Arial"/>
          <w:sz w:val="22"/>
          <w:szCs w:val="22"/>
        </w:rPr>
        <w:t>Where an</w:t>
      </w:r>
      <w:r w:rsidR="00B128E5" w:rsidRPr="005B0778">
        <w:rPr>
          <w:rFonts w:ascii="Arial" w:hAnsi="Arial" w:cs="Arial"/>
          <w:sz w:val="22"/>
          <w:szCs w:val="22"/>
        </w:rPr>
        <w:t xml:space="preserve"> </w:t>
      </w:r>
      <w:r w:rsidR="00395DA5">
        <w:rPr>
          <w:rFonts w:ascii="Arial" w:hAnsi="Arial" w:cs="Arial"/>
          <w:sz w:val="22"/>
          <w:szCs w:val="22"/>
        </w:rPr>
        <w:t xml:space="preserve">individual is deemed to be </w:t>
      </w:r>
      <w:r>
        <w:rPr>
          <w:rFonts w:ascii="Arial" w:hAnsi="Arial" w:cs="Arial"/>
          <w:sz w:val="22"/>
          <w:szCs w:val="22"/>
        </w:rPr>
        <w:t xml:space="preserve">an </w:t>
      </w:r>
      <w:r w:rsidR="00B128E5" w:rsidRPr="005B0778">
        <w:rPr>
          <w:rFonts w:ascii="Arial" w:hAnsi="Arial" w:cs="Arial"/>
          <w:sz w:val="22"/>
          <w:szCs w:val="22"/>
        </w:rPr>
        <w:t xml:space="preserve">employee </w:t>
      </w:r>
      <w:r w:rsidR="00395DA5">
        <w:rPr>
          <w:rFonts w:ascii="Arial" w:hAnsi="Arial" w:cs="Arial"/>
          <w:sz w:val="22"/>
          <w:szCs w:val="22"/>
        </w:rPr>
        <w:t xml:space="preserve">of an entity as at 1 March 2020 or 1 July 2020, that individual </w:t>
      </w:r>
      <w:r>
        <w:rPr>
          <w:rFonts w:ascii="Arial" w:hAnsi="Arial" w:cs="Arial"/>
          <w:sz w:val="22"/>
          <w:szCs w:val="22"/>
        </w:rPr>
        <w:t xml:space="preserve">was not actually </w:t>
      </w:r>
      <w:r w:rsidR="00B128E5">
        <w:rPr>
          <w:rFonts w:ascii="Arial" w:hAnsi="Arial" w:cs="Arial"/>
          <w:sz w:val="22"/>
          <w:szCs w:val="22"/>
        </w:rPr>
        <w:t xml:space="preserve">employed </w:t>
      </w:r>
      <w:r w:rsidR="00DD6F50">
        <w:rPr>
          <w:rFonts w:ascii="Arial" w:hAnsi="Arial" w:cs="Arial"/>
          <w:sz w:val="22"/>
          <w:szCs w:val="22"/>
        </w:rPr>
        <w:t xml:space="preserve">for all or part of </w:t>
      </w:r>
      <w:r>
        <w:rPr>
          <w:rFonts w:ascii="Arial" w:hAnsi="Arial" w:cs="Arial"/>
          <w:sz w:val="22"/>
          <w:szCs w:val="22"/>
        </w:rPr>
        <w:t>the standard reference period</w:t>
      </w:r>
      <w:r w:rsidR="00DD6F50">
        <w:rPr>
          <w:rFonts w:ascii="Arial" w:hAnsi="Arial" w:cs="Arial"/>
          <w:sz w:val="22"/>
          <w:szCs w:val="22"/>
        </w:rPr>
        <w:t>s</w:t>
      </w:r>
      <w:r>
        <w:rPr>
          <w:rFonts w:ascii="Arial" w:hAnsi="Arial" w:cs="Arial"/>
          <w:sz w:val="22"/>
          <w:szCs w:val="22"/>
        </w:rPr>
        <w:t xml:space="preserve"> (ie, the 28-days of a pay period ending before the reference date</w:t>
      </w:r>
      <w:r w:rsidR="00DD6F50">
        <w:rPr>
          <w:rFonts w:ascii="Arial" w:hAnsi="Arial" w:cs="Arial"/>
          <w:sz w:val="22"/>
          <w:szCs w:val="22"/>
        </w:rPr>
        <w:t>s</w:t>
      </w:r>
      <w:r>
        <w:rPr>
          <w:rFonts w:ascii="Arial" w:hAnsi="Arial" w:cs="Arial"/>
          <w:sz w:val="22"/>
          <w:szCs w:val="22"/>
        </w:rPr>
        <w:t>) and as such has neither pay period</w:t>
      </w:r>
      <w:r w:rsidR="00E21720">
        <w:rPr>
          <w:rFonts w:ascii="Arial" w:hAnsi="Arial" w:cs="Arial"/>
          <w:sz w:val="22"/>
          <w:szCs w:val="22"/>
        </w:rPr>
        <w:t>s</w:t>
      </w:r>
      <w:r>
        <w:rPr>
          <w:rFonts w:ascii="Arial" w:hAnsi="Arial" w:cs="Arial"/>
          <w:sz w:val="22"/>
          <w:szCs w:val="22"/>
        </w:rPr>
        <w:t xml:space="preserve"> </w:t>
      </w:r>
      <w:r w:rsidR="00E21720">
        <w:rPr>
          <w:rFonts w:ascii="Arial" w:hAnsi="Arial" w:cs="Arial"/>
          <w:sz w:val="22"/>
          <w:szCs w:val="22"/>
        </w:rPr>
        <w:t>n</w:t>
      </w:r>
      <w:r>
        <w:rPr>
          <w:rFonts w:ascii="Arial" w:hAnsi="Arial" w:cs="Arial"/>
          <w:sz w:val="22"/>
          <w:szCs w:val="22"/>
        </w:rPr>
        <w:t>or relevant hours to undertake the necessary calculation</w:t>
      </w:r>
      <w:r w:rsidR="00E21720">
        <w:rPr>
          <w:rFonts w:ascii="Arial" w:hAnsi="Arial" w:cs="Arial"/>
          <w:sz w:val="22"/>
          <w:szCs w:val="22"/>
        </w:rPr>
        <w:t>s</w:t>
      </w:r>
      <w:r>
        <w:rPr>
          <w:rFonts w:ascii="Arial" w:hAnsi="Arial" w:cs="Arial"/>
          <w:sz w:val="22"/>
          <w:szCs w:val="22"/>
        </w:rPr>
        <w:t>.</w:t>
      </w:r>
      <w:r w:rsidR="00DD6F50">
        <w:rPr>
          <w:rFonts w:ascii="Arial" w:hAnsi="Arial" w:cs="Arial"/>
          <w:sz w:val="22"/>
          <w:szCs w:val="22"/>
        </w:rPr>
        <w:t xml:space="preserve"> </w:t>
      </w:r>
    </w:p>
    <w:p w14:paraId="702C7F58" w14:textId="7F495BC5" w:rsidR="00B128E5" w:rsidRPr="00B128E5" w:rsidRDefault="00B128E5" w:rsidP="0091425D">
      <w:pPr>
        <w:numPr>
          <w:ilvl w:val="0"/>
          <w:numId w:val="1"/>
        </w:numPr>
        <w:spacing w:after="120"/>
        <w:ind w:left="0" w:firstLine="0"/>
        <w:rPr>
          <w:rFonts w:ascii="Arial" w:hAnsi="Arial" w:cs="Arial"/>
          <w:sz w:val="22"/>
          <w:szCs w:val="22"/>
        </w:rPr>
      </w:pPr>
      <w:r w:rsidRPr="00B128E5">
        <w:rPr>
          <w:rFonts w:ascii="Arial" w:hAnsi="Arial" w:cs="Arial"/>
          <w:sz w:val="22"/>
          <w:szCs w:val="22"/>
        </w:rPr>
        <w:lastRenderedPageBreak/>
        <w:t xml:space="preserve">The hours worked for the previous employer by employees who are covered by this rule </w:t>
      </w:r>
      <w:r>
        <w:rPr>
          <w:rFonts w:ascii="Arial" w:hAnsi="Arial" w:cs="Arial"/>
          <w:sz w:val="22"/>
          <w:szCs w:val="22"/>
        </w:rPr>
        <w:t>can</w:t>
      </w:r>
      <w:r w:rsidRPr="00B128E5">
        <w:rPr>
          <w:rFonts w:ascii="Arial" w:hAnsi="Arial" w:cs="Arial"/>
          <w:sz w:val="22"/>
          <w:szCs w:val="22"/>
        </w:rPr>
        <w:t>not count towards the 80 hour threshold</w:t>
      </w:r>
      <w:r>
        <w:rPr>
          <w:rFonts w:ascii="Arial" w:hAnsi="Arial" w:cs="Arial"/>
          <w:sz w:val="22"/>
          <w:szCs w:val="22"/>
        </w:rPr>
        <w:t>, as</w:t>
      </w:r>
      <w:r w:rsidRPr="00B128E5">
        <w:rPr>
          <w:rFonts w:ascii="Arial" w:hAnsi="Arial" w:cs="Arial"/>
          <w:sz w:val="22"/>
          <w:szCs w:val="22"/>
        </w:rPr>
        <w:t xml:space="preserve"> subsection 9(6) does not extend to </w:t>
      </w:r>
      <w:r w:rsidR="00224F5A">
        <w:rPr>
          <w:rFonts w:ascii="Arial" w:hAnsi="Arial" w:cs="Arial"/>
          <w:sz w:val="22"/>
          <w:szCs w:val="22"/>
        </w:rPr>
        <w:t>hours worked in pay cycles</w:t>
      </w:r>
      <w:bookmarkStart w:id="4" w:name="_GoBack"/>
      <w:bookmarkEnd w:id="4"/>
      <w:r w:rsidRPr="00B128E5">
        <w:rPr>
          <w:rFonts w:ascii="Arial" w:hAnsi="Arial" w:cs="Arial"/>
          <w:sz w:val="22"/>
          <w:szCs w:val="22"/>
        </w:rPr>
        <w:t xml:space="preserve"> </w:t>
      </w:r>
      <w:r>
        <w:rPr>
          <w:rFonts w:ascii="Arial" w:hAnsi="Arial" w:cs="Arial"/>
          <w:sz w:val="22"/>
          <w:szCs w:val="22"/>
        </w:rPr>
        <w:t>for their former employer</w:t>
      </w:r>
      <w:r w:rsidRPr="00B128E5">
        <w:rPr>
          <w:rFonts w:ascii="Arial" w:hAnsi="Arial" w:cs="Arial"/>
          <w:sz w:val="22"/>
          <w:szCs w:val="22"/>
        </w:rPr>
        <w:t xml:space="preserve">. </w:t>
      </w:r>
    </w:p>
    <w:p w14:paraId="111F5516" w14:textId="433C9F00" w:rsidR="00FF7AD7" w:rsidRPr="0091425D" w:rsidRDefault="00B128E5" w:rsidP="0091425D">
      <w:pPr>
        <w:numPr>
          <w:ilvl w:val="0"/>
          <w:numId w:val="1"/>
        </w:numPr>
        <w:spacing w:after="120"/>
        <w:ind w:left="0" w:firstLine="0"/>
        <w:rPr>
          <w:rFonts w:ascii="Arial" w:hAnsi="Arial" w:cs="Arial"/>
          <w:sz w:val="22"/>
          <w:szCs w:val="22"/>
        </w:rPr>
      </w:pPr>
      <w:r>
        <w:rPr>
          <w:rFonts w:ascii="Arial" w:hAnsi="Arial" w:cs="Arial"/>
          <w:sz w:val="22"/>
          <w:szCs w:val="22"/>
        </w:rPr>
        <w:t>Accordingly, as there is no 28-day period that would satisfy the standard reference period, an alternative reference period applies.</w:t>
      </w:r>
    </w:p>
    <w:p w14:paraId="08EDA478" w14:textId="399F3808" w:rsidR="00E85BF8" w:rsidRPr="00095530" w:rsidRDefault="00B128E5" w:rsidP="00095530">
      <w:pPr>
        <w:spacing w:after="120"/>
        <w:rPr>
          <w:rFonts w:ascii="Arial" w:hAnsi="Arial" w:cs="Arial"/>
          <w:sz w:val="22"/>
          <w:szCs w:val="22"/>
        </w:rPr>
      </w:pPr>
      <w:r>
        <w:rPr>
          <w:rFonts w:ascii="Arial" w:hAnsi="Arial" w:cs="Arial"/>
          <w:b/>
          <w:bCs/>
          <w:i/>
          <w:iCs/>
          <w:sz w:val="22"/>
          <w:szCs w:val="22"/>
        </w:rPr>
        <w:t>Change of employer</w:t>
      </w:r>
      <w:r w:rsidR="00FF7AD7">
        <w:rPr>
          <w:rFonts w:ascii="Arial" w:hAnsi="Arial" w:cs="Arial"/>
          <w:b/>
          <w:bCs/>
          <w:i/>
          <w:iCs/>
          <w:sz w:val="22"/>
          <w:szCs w:val="22"/>
        </w:rPr>
        <w:t>: a</w:t>
      </w:r>
      <w:r w:rsidR="00E85BF8" w:rsidRPr="00095530">
        <w:rPr>
          <w:rFonts w:ascii="Arial" w:hAnsi="Arial" w:cs="Arial"/>
          <w:b/>
          <w:bCs/>
          <w:i/>
          <w:iCs/>
          <w:sz w:val="22"/>
          <w:szCs w:val="22"/>
        </w:rPr>
        <w:t xml:space="preserve">lternative reference period </w:t>
      </w:r>
    </w:p>
    <w:p w14:paraId="79378721" w14:textId="4797B7CA" w:rsidR="00E85BF8" w:rsidRPr="0045030B" w:rsidRDefault="00E85BF8" w:rsidP="00CE41C3">
      <w:pPr>
        <w:numPr>
          <w:ilvl w:val="0"/>
          <w:numId w:val="1"/>
        </w:numPr>
        <w:spacing w:after="120"/>
        <w:ind w:left="0" w:firstLine="0"/>
        <w:rPr>
          <w:rFonts w:ascii="Arial" w:hAnsi="Arial" w:cs="Arial"/>
          <w:sz w:val="22"/>
          <w:szCs w:val="22"/>
        </w:rPr>
      </w:pPr>
      <w:r>
        <w:rPr>
          <w:rFonts w:ascii="Arial" w:hAnsi="Arial" w:cs="Arial"/>
          <w:sz w:val="22"/>
          <w:szCs w:val="22"/>
        </w:rPr>
        <w:t xml:space="preserve">The legislative instrument provides the same forward looking </w:t>
      </w:r>
      <w:r w:rsidRPr="00FF3C2C">
        <w:rPr>
          <w:rFonts w:ascii="Arial" w:hAnsi="Arial" w:cs="Arial"/>
          <w:sz w:val="22"/>
          <w:szCs w:val="22"/>
        </w:rPr>
        <w:t>alternative reference period</w:t>
      </w:r>
      <w:r>
        <w:rPr>
          <w:rFonts w:ascii="Arial" w:hAnsi="Arial" w:cs="Arial"/>
          <w:sz w:val="22"/>
          <w:szCs w:val="22"/>
        </w:rPr>
        <w:t xml:space="preserve"> for paragraph 6(1)(</w:t>
      </w:r>
      <w:r w:rsidR="00B128E5">
        <w:rPr>
          <w:rFonts w:ascii="Arial" w:hAnsi="Arial" w:cs="Arial"/>
          <w:sz w:val="22"/>
          <w:szCs w:val="22"/>
        </w:rPr>
        <w:t>d</w:t>
      </w:r>
      <w:r>
        <w:rPr>
          <w:rFonts w:ascii="Arial" w:hAnsi="Arial" w:cs="Arial"/>
          <w:sz w:val="22"/>
          <w:szCs w:val="22"/>
        </w:rPr>
        <w:t xml:space="preserve">) as </w:t>
      </w:r>
      <w:r w:rsidR="00A86BA8">
        <w:rPr>
          <w:rFonts w:ascii="Arial" w:hAnsi="Arial" w:cs="Arial"/>
          <w:sz w:val="22"/>
          <w:szCs w:val="22"/>
        </w:rPr>
        <w:t>described above for employees not employed for the whole standard reference period</w:t>
      </w:r>
      <w:r>
        <w:rPr>
          <w:rFonts w:ascii="Arial" w:hAnsi="Arial" w:cs="Arial"/>
          <w:sz w:val="22"/>
          <w:szCs w:val="22"/>
        </w:rPr>
        <w:t>.</w:t>
      </w:r>
    </w:p>
    <w:p w14:paraId="2DE4260C" w14:textId="39616D82" w:rsidR="004D1D3E" w:rsidRPr="0091425D" w:rsidRDefault="004D1D3E" w:rsidP="004D1D3E">
      <w:pPr>
        <w:spacing w:after="120"/>
        <w:rPr>
          <w:rFonts w:ascii="Arial" w:hAnsi="Arial" w:cs="Arial"/>
          <w:b/>
          <w:bCs/>
          <w:iCs/>
          <w:szCs w:val="22"/>
        </w:rPr>
      </w:pPr>
      <w:r w:rsidRPr="0091425D">
        <w:rPr>
          <w:rFonts w:ascii="Arial" w:hAnsi="Arial" w:cs="Arial"/>
          <w:b/>
          <w:bCs/>
          <w:iCs/>
          <w:szCs w:val="22"/>
        </w:rPr>
        <w:t xml:space="preserve">If more than one alternative reference period applies to an eligible </w:t>
      </w:r>
      <w:r>
        <w:rPr>
          <w:rFonts w:ascii="Arial" w:hAnsi="Arial" w:cs="Arial"/>
          <w:b/>
          <w:bCs/>
          <w:iCs/>
          <w:szCs w:val="22"/>
        </w:rPr>
        <w:t>employee</w:t>
      </w:r>
    </w:p>
    <w:p w14:paraId="6F447D3E" w14:textId="424CB82F" w:rsidR="00EE55F0" w:rsidRPr="00B41968" w:rsidRDefault="004D1D3E" w:rsidP="00B41968">
      <w:pPr>
        <w:numPr>
          <w:ilvl w:val="0"/>
          <w:numId w:val="1"/>
        </w:numPr>
        <w:spacing w:after="120"/>
        <w:ind w:left="0" w:firstLine="0"/>
        <w:rPr>
          <w:rFonts w:ascii="Arial" w:hAnsi="Arial" w:cs="Arial"/>
          <w:sz w:val="22"/>
          <w:szCs w:val="22"/>
        </w:rPr>
      </w:pPr>
      <w:r w:rsidRPr="002C75CA">
        <w:rPr>
          <w:rFonts w:ascii="Arial" w:hAnsi="Arial" w:cs="Arial"/>
          <w:sz w:val="22"/>
          <w:szCs w:val="22"/>
        </w:rPr>
        <w:t xml:space="preserve">Where more than one alternative reference period under the legislative instrument can apply to an eligible employee, each of those alternative reference periods can apply </w:t>
      </w:r>
      <w:r w:rsidR="002C75CA">
        <w:rPr>
          <w:rFonts w:ascii="Arial" w:hAnsi="Arial" w:cs="Arial"/>
          <w:sz w:val="22"/>
          <w:szCs w:val="22"/>
        </w:rPr>
        <w:t xml:space="preserve">to determine whether </w:t>
      </w:r>
      <w:r w:rsidR="00EE55F0" w:rsidRPr="00B41968">
        <w:rPr>
          <w:rFonts w:ascii="Arial" w:hAnsi="Arial" w:cs="Arial"/>
          <w:sz w:val="22"/>
          <w:szCs w:val="22"/>
        </w:rPr>
        <w:t xml:space="preserve">the total number of hours is 80 or more in that period. </w:t>
      </w:r>
    </w:p>
    <w:p w14:paraId="7C64D9B6" w14:textId="5A32281B" w:rsidR="00FF7AD7" w:rsidRPr="0091425D" w:rsidRDefault="00FF7AD7" w:rsidP="00FF7AD7">
      <w:pPr>
        <w:spacing w:after="120"/>
        <w:rPr>
          <w:rFonts w:ascii="Arial" w:hAnsi="Arial" w:cs="Arial"/>
          <w:b/>
          <w:bCs/>
          <w:sz w:val="28"/>
          <w:szCs w:val="22"/>
        </w:rPr>
      </w:pPr>
      <w:r w:rsidRPr="0091425D">
        <w:rPr>
          <w:rFonts w:ascii="Arial" w:hAnsi="Arial" w:cs="Arial"/>
          <w:b/>
          <w:bCs/>
          <w:sz w:val="28"/>
          <w:szCs w:val="22"/>
        </w:rPr>
        <w:t>Eligible Business Participants</w:t>
      </w:r>
    </w:p>
    <w:bookmarkEnd w:id="3"/>
    <w:p w14:paraId="0409B80E" w14:textId="05158BA0" w:rsidR="000062A8" w:rsidRPr="0091425D" w:rsidRDefault="00EB461A" w:rsidP="00FF7AD7">
      <w:pPr>
        <w:spacing w:after="120"/>
        <w:rPr>
          <w:rFonts w:ascii="Arial" w:hAnsi="Arial" w:cs="Arial"/>
          <w:b/>
          <w:bCs/>
          <w:szCs w:val="22"/>
        </w:rPr>
      </w:pPr>
      <w:r>
        <w:rPr>
          <w:rFonts w:ascii="Arial" w:hAnsi="Arial" w:cs="Arial"/>
          <w:b/>
          <w:bCs/>
          <w:iCs/>
          <w:szCs w:val="22"/>
        </w:rPr>
        <w:t>T</w:t>
      </w:r>
      <w:r w:rsidR="00D13C98" w:rsidRPr="0091425D">
        <w:rPr>
          <w:rFonts w:ascii="Arial" w:hAnsi="Arial" w:cs="Arial"/>
          <w:b/>
          <w:bCs/>
          <w:iCs/>
          <w:szCs w:val="22"/>
        </w:rPr>
        <w:t>otal number of hours not representative of a typical 2</w:t>
      </w:r>
      <w:r w:rsidR="00F74384" w:rsidRPr="0091425D">
        <w:rPr>
          <w:rFonts w:ascii="Arial" w:hAnsi="Arial" w:cs="Arial"/>
          <w:b/>
          <w:bCs/>
          <w:iCs/>
          <w:szCs w:val="22"/>
        </w:rPr>
        <w:t>9</w:t>
      </w:r>
      <w:r w:rsidR="00D13C98" w:rsidRPr="0091425D">
        <w:rPr>
          <w:rFonts w:ascii="Arial" w:hAnsi="Arial" w:cs="Arial"/>
          <w:b/>
          <w:bCs/>
          <w:iCs/>
          <w:szCs w:val="22"/>
        </w:rPr>
        <w:t>-day period</w:t>
      </w:r>
    </w:p>
    <w:p w14:paraId="4CF0C3A8" w14:textId="2CBEE849" w:rsidR="000E279D" w:rsidRDefault="00FF7AD7" w:rsidP="00341267">
      <w:pPr>
        <w:numPr>
          <w:ilvl w:val="0"/>
          <w:numId w:val="1"/>
        </w:numPr>
        <w:spacing w:after="120"/>
        <w:ind w:left="0" w:firstLine="0"/>
        <w:rPr>
          <w:rFonts w:ascii="Arial" w:hAnsi="Arial" w:cs="Arial"/>
          <w:sz w:val="22"/>
          <w:szCs w:val="22"/>
        </w:rPr>
      </w:pPr>
      <w:r>
        <w:rPr>
          <w:rFonts w:ascii="Arial" w:hAnsi="Arial" w:cs="Arial"/>
          <w:sz w:val="22"/>
          <w:szCs w:val="22"/>
        </w:rPr>
        <w:t>P</w:t>
      </w:r>
      <w:r w:rsidR="00B436AB">
        <w:rPr>
          <w:rFonts w:ascii="Arial" w:hAnsi="Arial" w:cs="Arial"/>
          <w:sz w:val="22"/>
          <w:szCs w:val="22"/>
        </w:rPr>
        <w:t>aragraph</w:t>
      </w:r>
      <w:r w:rsidR="00E9379D">
        <w:rPr>
          <w:rFonts w:ascii="Arial" w:hAnsi="Arial" w:cs="Arial"/>
          <w:sz w:val="22"/>
          <w:szCs w:val="22"/>
        </w:rPr>
        <w:t xml:space="preserve"> </w:t>
      </w:r>
      <w:r w:rsidR="0074358B" w:rsidRPr="00341267">
        <w:rPr>
          <w:rFonts w:ascii="Arial" w:hAnsi="Arial" w:cs="Arial"/>
          <w:sz w:val="22"/>
          <w:szCs w:val="22"/>
        </w:rPr>
        <w:t>7(1)(a)</w:t>
      </w:r>
      <w:r>
        <w:rPr>
          <w:rFonts w:ascii="Arial" w:hAnsi="Arial" w:cs="Arial"/>
          <w:sz w:val="22"/>
          <w:szCs w:val="22"/>
        </w:rPr>
        <w:t xml:space="preserve"> </w:t>
      </w:r>
      <w:r w:rsidR="00F163C9" w:rsidRPr="00341267">
        <w:rPr>
          <w:rFonts w:ascii="Arial" w:hAnsi="Arial" w:cs="Arial"/>
          <w:sz w:val="22"/>
          <w:szCs w:val="22"/>
        </w:rPr>
        <w:t>applies</w:t>
      </w:r>
      <w:r w:rsidR="0074358B" w:rsidRPr="00341267">
        <w:rPr>
          <w:rFonts w:ascii="Arial" w:hAnsi="Arial" w:cs="Arial"/>
          <w:sz w:val="22"/>
          <w:szCs w:val="22"/>
        </w:rPr>
        <w:t xml:space="preserve"> to an eligible business participant if the total number of hours the eligible business participant was actively engaged in the business carried on by the entity in February 2020</w:t>
      </w:r>
      <w:r w:rsidR="000E279D">
        <w:rPr>
          <w:rFonts w:ascii="Arial" w:hAnsi="Arial" w:cs="Arial"/>
          <w:sz w:val="22"/>
          <w:szCs w:val="22"/>
        </w:rPr>
        <w:t>:</w:t>
      </w:r>
    </w:p>
    <w:p w14:paraId="7D422366" w14:textId="32E2168E" w:rsidR="000E279D" w:rsidRDefault="0074358B" w:rsidP="000E279D">
      <w:pPr>
        <w:pStyle w:val="ListParagraph"/>
        <w:numPr>
          <w:ilvl w:val="1"/>
          <w:numId w:val="1"/>
        </w:numPr>
        <w:spacing w:after="120"/>
        <w:rPr>
          <w:rFonts w:ascii="Arial" w:hAnsi="Arial" w:cs="Arial"/>
        </w:rPr>
      </w:pPr>
      <w:r w:rsidRPr="008B720D">
        <w:rPr>
          <w:rFonts w:ascii="Arial" w:hAnsi="Arial" w:cs="Arial"/>
        </w:rPr>
        <w:t>was less than 80 hours</w:t>
      </w:r>
      <w:r w:rsidR="000E279D">
        <w:rPr>
          <w:rFonts w:ascii="Arial" w:hAnsi="Arial" w:cs="Arial"/>
        </w:rPr>
        <w:t>;</w:t>
      </w:r>
      <w:r w:rsidRPr="008B720D">
        <w:rPr>
          <w:rFonts w:ascii="Arial" w:hAnsi="Arial" w:cs="Arial"/>
        </w:rPr>
        <w:t xml:space="preserve"> and</w:t>
      </w:r>
    </w:p>
    <w:p w14:paraId="39B5AE92" w14:textId="4EEE0CFC" w:rsidR="0074358B" w:rsidRPr="008B720D" w:rsidRDefault="000E279D" w:rsidP="008B720D">
      <w:pPr>
        <w:pStyle w:val="ListParagraph"/>
        <w:numPr>
          <w:ilvl w:val="1"/>
          <w:numId w:val="1"/>
        </w:numPr>
        <w:spacing w:after="120"/>
        <w:rPr>
          <w:rFonts w:ascii="Arial" w:hAnsi="Arial" w:cs="Arial"/>
        </w:rPr>
      </w:pPr>
      <w:r>
        <w:rPr>
          <w:rFonts w:ascii="Arial" w:hAnsi="Arial" w:cs="Arial"/>
        </w:rPr>
        <w:t xml:space="preserve">when </w:t>
      </w:r>
      <w:r w:rsidR="0074358B" w:rsidRPr="008B720D">
        <w:rPr>
          <w:rFonts w:ascii="Arial" w:hAnsi="Arial" w:cs="Arial"/>
        </w:rPr>
        <w:t>compar</w:t>
      </w:r>
      <w:r>
        <w:rPr>
          <w:rFonts w:ascii="Arial" w:hAnsi="Arial" w:cs="Arial"/>
        </w:rPr>
        <w:t>ed</w:t>
      </w:r>
      <w:r w:rsidR="0074358B" w:rsidRPr="008B720D">
        <w:rPr>
          <w:rFonts w:ascii="Arial" w:hAnsi="Arial" w:cs="Arial"/>
        </w:rPr>
        <w:t xml:space="preserve"> to earlier 29-day periods</w:t>
      </w:r>
      <w:r w:rsidR="0028084D" w:rsidRPr="008B720D">
        <w:rPr>
          <w:rFonts w:ascii="Arial" w:hAnsi="Arial" w:cs="Arial"/>
        </w:rPr>
        <w:t xml:space="preserve"> </w:t>
      </w:r>
      <w:r>
        <w:rPr>
          <w:rFonts w:ascii="Arial" w:hAnsi="Arial" w:cs="Arial"/>
        </w:rPr>
        <w:t xml:space="preserve">(each </w:t>
      </w:r>
      <w:r w:rsidR="0028084D" w:rsidRPr="008B720D">
        <w:rPr>
          <w:rFonts w:ascii="Arial" w:hAnsi="Arial" w:cs="Arial"/>
        </w:rPr>
        <w:t>wholly within a calendar month</w:t>
      </w:r>
      <w:r>
        <w:rPr>
          <w:rFonts w:ascii="Arial" w:hAnsi="Arial" w:cs="Arial"/>
        </w:rPr>
        <w:t>)</w:t>
      </w:r>
      <w:r w:rsidR="0074358B" w:rsidRPr="008B720D">
        <w:rPr>
          <w:rFonts w:ascii="Arial" w:hAnsi="Arial" w:cs="Arial"/>
        </w:rPr>
        <w:t xml:space="preserve">, was not representative of the eligible business participant’s total number of those hours in a typical </w:t>
      </w:r>
      <w:r w:rsidR="0028084D" w:rsidRPr="008B720D">
        <w:rPr>
          <w:rFonts w:ascii="Arial" w:hAnsi="Arial" w:cs="Arial"/>
        </w:rPr>
        <w:t xml:space="preserve">such </w:t>
      </w:r>
      <w:r w:rsidR="0074358B" w:rsidRPr="008B720D">
        <w:rPr>
          <w:rFonts w:ascii="Arial" w:hAnsi="Arial" w:cs="Arial"/>
        </w:rPr>
        <w:t>29-day period.</w:t>
      </w:r>
    </w:p>
    <w:p w14:paraId="277624AC" w14:textId="77777777" w:rsidR="0074358B" w:rsidRDefault="0074358B" w:rsidP="00AF3B76">
      <w:pPr>
        <w:numPr>
          <w:ilvl w:val="0"/>
          <w:numId w:val="1"/>
        </w:numPr>
        <w:spacing w:after="120"/>
        <w:ind w:left="0" w:firstLine="0"/>
        <w:rPr>
          <w:rFonts w:ascii="Arial" w:hAnsi="Arial" w:cs="Arial"/>
          <w:sz w:val="22"/>
          <w:szCs w:val="22"/>
        </w:rPr>
      </w:pPr>
      <w:r>
        <w:rPr>
          <w:rFonts w:ascii="Arial" w:hAnsi="Arial" w:cs="Arial"/>
          <w:sz w:val="22"/>
          <w:szCs w:val="22"/>
        </w:rPr>
        <w:t>P</w:t>
      </w:r>
      <w:r w:rsidRPr="00EC01F3">
        <w:rPr>
          <w:rFonts w:ascii="Arial" w:hAnsi="Arial" w:cs="Arial"/>
          <w:sz w:val="22"/>
          <w:szCs w:val="22"/>
        </w:rPr>
        <w:t>aragraph</w:t>
      </w:r>
      <w:r w:rsidRPr="00FF3C2C">
        <w:rPr>
          <w:rFonts w:ascii="Arial" w:hAnsi="Arial" w:cs="Arial"/>
          <w:sz w:val="22"/>
          <w:szCs w:val="22"/>
        </w:rPr>
        <w:t xml:space="preserve"> </w:t>
      </w:r>
      <w:r>
        <w:rPr>
          <w:rFonts w:ascii="Arial" w:hAnsi="Arial" w:cs="Arial"/>
          <w:sz w:val="22"/>
          <w:szCs w:val="22"/>
        </w:rPr>
        <w:t>7</w:t>
      </w:r>
      <w:r w:rsidRPr="00FF3C2C">
        <w:rPr>
          <w:rFonts w:ascii="Arial" w:hAnsi="Arial" w:cs="Arial"/>
          <w:sz w:val="22"/>
          <w:szCs w:val="22"/>
        </w:rPr>
        <w:t>(1)(a)</w:t>
      </w:r>
      <w:r>
        <w:rPr>
          <w:rFonts w:ascii="Arial" w:hAnsi="Arial" w:cs="Arial"/>
          <w:sz w:val="22"/>
          <w:szCs w:val="22"/>
        </w:rPr>
        <w:t xml:space="preserve"> operates similarly to p</w:t>
      </w:r>
      <w:r w:rsidRPr="00EC01F3">
        <w:rPr>
          <w:rFonts w:ascii="Arial" w:hAnsi="Arial" w:cs="Arial"/>
          <w:sz w:val="22"/>
          <w:szCs w:val="22"/>
        </w:rPr>
        <w:t>aragraph</w:t>
      </w:r>
      <w:r w:rsidRPr="00FF3C2C">
        <w:rPr>
          <w:rFonts w:ascii="Arial" w:hAnsi="Arial" w:cs="Arial"/>
          <w:sz w:val="22"/>
          <w:szCs w:val="22"/>
        </w:rPr>
        <w:t xml:space="preserve"> 6(1)(a)</w:t>
      </w:r>
      <w:r>
        <w:rPr>
          <w:rFonts w:ascii="Arial" w:hAnsi="Arial" w:cs="Arial"/>
          <w:sz w:val="22"/>
          <w:szCs w:val="22"/>
        </w:rPr>
        <w:t>, with some exceptions:</w:t>
      </w:r>
    </w:p>
    <w:p w14:paraId="488D913B" w14:textId="27016317" w:rsidR="0074358B" w:rsidRDefault="0074358B" w:rsidP="0074358B">
      <w:pPr>
        <w:numPr>
          <w:ilvl w:val="1"/>
          <w:numId w:val="1"/>
        </w:numPr>
        <w:spacing w:after="120"/>
        <w:rPr>
          <w:rFonts w:ascii="Arial" w:hAnsi="Arial" w:cs="Arial"/>
          <w:sz w:val="22"/>
          <w:szCs w:val="22"/>
        </w:rPr>
      </w:pPr>
      <w:r>
        <w:rPr>
          <w:rFonts w:ascii="Arial" w:hAnsi="Arial" w:cs="Arial"/>
          <w:sz w:val="22"/>
          <w:szCs w:val="22"/>
        </w:rPr>
        <w:t>consistent with the test in subsection 12</w:t>
      </w:r>
      <w:proofErr w:type="gramStart"/>
      <w:r>
        <w:rPr>
          <w:rFonts w:ascii="Arial" w:hAnsi="Arial" w:cs="Arial"/>
          <w:sz w:val="22"/>
          <w:szCs w:val="22"/>
        </w:rPr>
        <w:t>AA(</w:t>
      </w:r>
      <w:proofErr w:type="gramEnd"/>
      <w:r>
        <w:rPr>
          <w:rFonts w:ascii="Arial" w:hAnsi="Arial" w:cs="Arial"/>
          <w:sz w:val="22"/>
          <w:szCs w:val="22"/>
        </w:rPr>
        <w:t>1) of the Rules, it considers hours of active engagement</w:t>
      </w:r>
      <w:r w:rsidR="00BB2E6C">
        <w:rPr>
          <w:rFonts w:ascii="Arial" w:hAnsi="Arial" w:cs="Arial"/>
          <w:sz w:val="22"/>
          <w:szCs w:val="22"/>
        </w:rPr>
        <w:t xml:space="preserve"> in the business</w:t>
      </w:r>
      <w:r>
        <w:rPr>
          <w:rFonts w:ascii="Arial" w:hAnsi="Arial" w:cs="Arial"/>
          <w:sz w:val="22"/>
          <w:szCs w:val="22"/>
        </w:rPr>
        <w:t>;</w:t>
      </w:r>
      <w:r w:rsidR="006570AA">
        <w:rPr>
          <w:rFonts w:ascii="Arial" w:hAnsi="Arial" w:cs="Arial"/>
          <w:sz w:val="22"/>
          <w:szCs w:val="22"/>
        </w:rPr>
        <w:t xml:space="preserve"> </w:t>
      </w:r>
    </w:p>
    <w:p w14:paraId="6C02F0E4" w14:textId="3D3CBDD6" w:rsidR="0028084D" w:rsidRDefault="006570AA" w:rsidP="0074358B">
      <w:pPr>
        <w:numPr>
          <w:ilvl w:val="1"/>
          <w:numId w:val="1"/>
        </w:numPr>
        <w:spacing w:after="120"/>
        <w:rPr>
          <w:rFonts w:ascii="Arial" w:hAnsi="Arial" w:cs="Arial"/>
          <w:sz w:val="22"/>
          <w:szCs w:val="22"/>
        </w:rPr>
      </w:pPr>
      <w:r>
        <w:rPr>
          <w:rFonts w:ascii="Arial" w:hAnsi="Arial" w:cs="Arial"/>
          <w:sz w:val="22"/>
          <w:szCs w:val="22"/>
        </w:rPr>
        <w:t>it requires consideration of earlier 29-day periods (not 28-day periods)</w:t>
      </w:r>
      <w:r w:rsidR="00FF7AD7">
        <w:rPr>
          <w:rFonts w:ascii="Arial" w:hAnsi="Arial" w:cs="Arial"/>
          <w:sz w:val="22"/>
          <w:szCs w:val="22"/>
        </w:rPr>
        <w:t xml:space="preserve"> as </w:t>
      </w:r>
      <w:r>
        <w:rPr>
          <w:rFonts w:ascii="Arial" w:hAnsi="Arial" w:cs="Arial"/>
          <w:sz w:val="22"/>
          <w:szCs w:val="22"/>
        </w:rPr>
        <w:t>subsection 4</w:t>
      </w:r>
      <w:proofErr w:type="gramStart"/>
      <w:r>
        <w:rPr>
          <w:rFonts w:ascii="Arial" w:hAnsi="Arial" w:cs="Arial"/>
          <w:sz w:val="22"/>
          <w:szCs w:val="22"/>
        </w:rPr>
        <w:t>A(</w:t>
      </w:r>
      <w:proofErr w:type="gramEnd"/>
      <w:r w:rsidR="00247324">
        <w:rPr>
          <w:rFonts w:ascii="Arial" w:hAnsi="Arial" w:cs="Arial"/>
          <w:sz w:val="22"/>
          <w:szCs w:val="22"/>
        </w:rPr>
        <w:t>3</w:t>
      </w:r>
      <w:r>
        <w:rPr>
          <w:rFonts w:ascii="Arial" w:hAnsi="Arial" w:cs="Arial"/>
          <w:sz w:val="22"/>
          <w:szCs w:val="22"/>
        </w:rPr>
        <w:t xml:space="preserve">) of the Rules </w:t>
      </w:r>
      <w:r w:rsidR="00FF7AD7">
        <w:rPr>
          <w:rFonts w:ascii="Arial" w:hAnsi="Arial" w:cs="Arial"/>
          <w:sz w:val="22"/>
          <w:szCs w:val="22"/>
        </w:rPr>
        <w:t xml:space="preserve">requires </w:t>
      </w:r>
      <w:r>
        <w:rPr>
          <w:rFonts w:ascii="Arial" w:hAnsi="Arial" w:cs="Arial"/>
          <w:sz w:val="22"/>
          <w:szCs w:val="22"/>
        </w:rPr>
        <w:t>alternative reference period</w:t>
      </w:r>
      <w:r w:rsidR="00FF7AD7">
        <w:rPr>
          <w:rFonts w:ascii="Arial" w:hAnsi="Arial" w:cs="Arial"/>
          <w:sz w:val="22"/>
          <w:szCs w:val="22"/>
        </w:rPr>
        <w:t>s</w:t>
      </w:r>
      <w:r>
        <w:rPr>
          <w:rFonts w:ascii="Arial" w:hAnsi="Arial" w:cs="Arial"/>
          <w:sz w:val="22"/>
          <w:szCs w:val="22"/>
        </w:rPr>
        <w:t xml:space="preserve"> </w:t>
      </w:r>
      <w:r w:rsidR="00FF7AD7">
        <w:rPr>
          <w:rFonts w:ascii="Arial" w:hAnsi="Arial" w:cs="Arial"/>
          <w:sz w:val="22"/>
          <w:szCs w:val="22"/>
        </w:rPr>
        <w:t xml:space="preserve">to be </w:t>
      </w:r>
      <w:r w:rsidRPr="006570AA">
        <w:rPr>
          <w:rFonts w:ascii="Arial" w:hAnsi="Arial" w:cs="Arial"/>
          <w:sz w:val="22"/>
          <w:szCs w:val="22"/>
        </w:rPr>
        <w:t xml:space="preserve">the same duration as the </w:t>
      </w:r>
      <w:r>
        <w:rPr>
          <w:rFonts w:ascii="Arial" w:hAnsi="Arial" w:cs="Arial"/>
          <w:sz w:val="22"/>
          <w:szCs w:val="22"/>
        </w:rPr>
        <w:t xml:space="preserve">standard reference </w:t>
      </w:r>
      <w:r w:rsidRPr="006570AA">
        <w:rPr>
          <w:rFonts w:ascii="Arial" w:hAnsi="Arial" w:cs="Arial"/>
          <w:sz w:val="22"/>
          <w:szCs w:val="22"/>
        </w:rPr>
        <w:t>perio</w:t>
      </w:r>
      <w:r w:rsidR="0028084D">
        <w:rPr>
          <w:rFonts w:ascii="Arial" w:hAnsi="Arial" w:cs="Arial"/>
          <w:sz w:val="22"/>
          <w:szCs w:val="22"/>
        </w:rPr>
        <w:t>d; and</w:t>
      </w:r>
    </w:p>
    <w:p w14:paraId="4C35E309" w14:textId="1578BF54" w:rsidR="0074358B" w:rsidRDefault="0028084D" w:rsidP="0074358B">
      <w:pPr>
        <w:numPr>
          <w:ilvl w:val="1"/>
          <w:numId w:val="1"/>
        </w:numPr>
        <w:spacing w:after="120"/>
        <w:rPr>
          <w:rFonts w:ascii="Arial" w:hAnsi="Arial" w:cs="Arial"/>
          <w:sz w:val="22"/>
          <w:szCs w:val="22"/>
        </w:rPr>
      </w:pPr>
      <w:r>
        <w:rPr>
          <w:rFonts w:ascii="Arial" w:hAnsi="Arial" w:cs="Arial"/>
          <w:sz w:val="22"/>
          <w:szCs w:val="22"/>
        </w:rPr>
        <w:t>the 29-day period must be wholly within a calendar month, for consistency with the standard reference period</w:t>
      </w:r>
      <w:r w:rsidR="00FF557B">
        <w:rPr>
          <w:rFonts w:ascii="Arial" w:hAnsi="Arial" w:cs="Arial"/>
          <w:sz w:val="22"/>
          <w:szCs w:val="22"/>
        </w:rPr>
        <w:t xml:space="preserve"> (and alternative reference period, below)</w:t>
      </w:r>
      <w:r>
        <w:rPr>
          <w:rFonts w:ascii="Arial" w:hAnsi="Arial" w:cs="Arial"/>
          <w:sz w:val="22"/>
          <w:szCs w:val="22"/>
        </w:rPr>
        <w:t>.</w:t>
      </w:r>
    </w:p>
    <w:p w14:paraId="292C4920" w14:textId="139754D4" w:rsidR="006570AA" w:rsidRDefault="00FF7AD7" w:rsidP="0091425D">
      <w:pPr>
        <w:numPr>
          <w:ilvl w:val="0"/>
          <w:numId w:val="1"/>
        </w:numPr>
        <w:spacing w:after="120"/>
        <w:ind w:left="0" w:firstLine="0"/>
        <w:rPr>
          <w:rFonts w:ascii="Arial" w:hAnsi="Arial" w:cs="Arial"/>
          <w:sz w:val="22"/>
          <w:szCs w:val="22"/>
        </w:rPr>
      </w:pPr>
      <w:r>
        <w:rPr>
          <w:rFonts w:ascii="Arial" w:hAnsi="Arial" w:cs="Arial"/>
          <w:sz w:val="22"/>
          <w:szCs w:val="22"/>
        </w:rPr>
        <w:t>Much of the above commentary relating to paragraph 6(1)(a) applies equally to eligible business participants, keeping in mind the above exceptions.</w:t>
      </w:r>
      <w:bookmarkStart w:id="5" w:name="_Hlk48162338"/>
    </w:p>
    <w:p w14:paraId="14F891A3" w14:textId="0D1CAD8E" w:rsidR="003F034A" w:rsidRPr="0091425D" w:rsidRDefault="00FF7AD7" w:rsidP="00CE41C3">
      <w:pPr>
        <w:spacing w:after="120"/>
        <w:rPr>
          <w:rFonts w:ascii="Arial" w:hAnsi="Arial" w:cs="Arial"/>
          <w:b/>
          <w:i/>
          <w:sz w:val="22"/>
          <w:szCs w:val="22"/>
        </w:rPr>
      </w:pPr>
      <w:r w:rsidRPr="0091425D">
        <w:rPr>
          <w:rFonts w:ascii="Arial" w:hAnsi="Arial" w:cs="Arial"/>
          <w:b/>
          <w:i/>
          <w:sz w:val="22"/>
          <w:szCs w:val="22"/>
        </w:rPr>
        <w:t xml:space="preserve">Hours not representative: </w:t>
      </w:r>
      <w:r w:rsidRPr="00095530">
        <w:rPr>
          <w:rFonts w:ascii="Arial" w:hAnsi="Arial" w:cs="Arial"/>
          <w:b/>
          <w:bCs/>
          <w:i/>
          <w:iCs/>
          <w:sz w:val="22"/>
          <w:szCs w:val="22"/>
        </w:rPr>
        <w:t>a</w:t>
      </w:r>
      <w:r w:rsidR="003F034A" w:rsidRPr="00095530">
        <w:rPr>
          <w:rFonts w:ascii="Arial" w:hAnsi="Arial" w:cs="Arial"/>
          <w:b/>
          <w:bCs/>
          <w:i/>
          <w:iCs/>
          <w:sz w:val="22"/>
          <w:szCs w:val="22"/>
        </w:rPr>
        <w:t xml:space="preserve">lternative reference period </w:t>
      </w:r>
    </w:p>
    <w:p w14:paraId="2FDFFEDA" w14:textId="458568CF" w:rsidR="00C44644" w:rsidRDefault="00C44644" w:rsidP="00C44644">
      <w:pPr>
        <w:numPr>
          <w:ilvl w:val="0"/>
          <w:numId w:val="1"/>
        </w:numPr>
        <w:spacing w:after="120"/>
        <w:ind w:left="0" w:firstLine="0"/>
        <w:rPr>
          <w:rFonts w:ascii="Arial" w:hAnsi="Arial" w:cs="Arial"/>
          <w:sz w:val="22"/>
          <w:szCs w:val="22"/>
        </w:rPr>
      </w:pPr>
      <w:r w:rsidRPr="00CF1A25">
        <w:rPr>
          <w:rFonts w:ascii="Arial" w:hAnsi="Arial" w:cs="Arial"/>
          <w:sz w:val="22"/>
          <w:szCs w:val="22"/>
        </w:rPr>
        <w:t xml:space="preserve">The </w:t>
      </w:r>
      <w:r w:rsidRPr="003B4964">
        <w:rPr>
          <w:rFonts w:ascii="Arial" w:hAnsi="Arial" w:cs="Arial"/>
          <w:sz w:val="22"/>
          <w:szCs w:val="22"/>
        </w:rPr>
        <w:t xml:space="preserve">alternative reference period that applies to </w:t>
      </w:r>
      <w:r>
        <w:rPr>
          <w:rFonts w:ascii="Arial" w:hAnsi="Arial" w:cs="Arial"/>
          <w:sz w:val="22"/>
          <w:szCs w:val="22"/>
        </w:rPr>
        <w:t xml:space="preserve">an </w:t>
      </w:r>
      <w:r w:rsidRPr="00CF1A25">
        <w:rPr>
          <w:rFonts w:ascii="Arial" w:hAnsi="Arial" w:cs="Arial"/>
          <w:sz w:val="22"/>
          <w:szCs w:val="22"/>
        </w:rPr>
        <w:t xml:space="preserve">eligible </w:t>
      </w:r>
      <w:r>
        <w:rPr>
          <w:rFonts w:ascii="Arial" w:hAnsi="Arial" w:cs="Arial"/>
          <w:sz w:val="22"/>
          <w:szCs w:val="22"/>
        </w:rPr>
        <w:t xml:space="preserve">business participant </w:t>
      </w:r>
      <w:r w:rsidRPr="00CF1A25">
        <w:rPr>
          <w:rFonts w:ascii="Arial" w:hAnsi="Arial" w:cs="Arial"/>
          <w:sz w:val="22"/>
          <w:szCs w:val="22"/>
        </w:rPr>
        <w:t xml:space="preserve">covered by </w:t>
      </w:r>
      <w:r>
        <w:rPr>
          <w:rFonts w:ascii="Arial" w:hAnsi="Arial" w:cs="Arial"/>
          <w:sz w:val="22"/>
          <w:szCs w:val="22"/>
        </w:rPr>
        <w:t>p</w:t>
      </w:r>
      <w:r w:rsidRPr="00CF1A25">
        <w:rPr>
          <w:rFonts w:ascii="Arial" w:hAnsi="Arial" w:cs="Arial"/>
          <w:sz w:val="22"/>
          <w:szCs w:val="22"/>
        </w:rPr>
        <w:t xml:space="preserve">aragraph </w:t>
      </w:r>
      <w:r>
        <w:rPr>
          <w:rFonts w:ascii="Arial" w:hAnsi="Arial" w:cs="Arial"/>
          <w:sz w:val="22"/>
          <w:szCs w:val="22"/>
        </w:rPr>
        <w:t>7</w:t>
      </w:r>
      <w:r w:rsidRPr="00CF1A25">
        <w:rPr>
          <w:rFonts w:ascii="Arial" w:hAnsi="Arial" w:cs="Arial"/>
          <w:sz w:val="22"/>
          <w:szCs w:val="22"/>
        </w:rPr>
        <w:t xml:space="preserve">(1)(a) </w:t>
      </w:r>
      <w:r>
        <w:rPr>
          <w:rFonts w:ascii="Arial" w:hAnsi="Arial" w:cs="Arial"/>
          <w:sz w:val="22"/>
          <w:szCs w:val="22"/>
        </w:rPr>
        <w:t xml:space="preserve">is </w:t>
      </w:r>
      <w:r w:rsidRPr="005A08C6">
        <w:rPr>
          <w:rFonts w:ascii="Arial" w:hAnsi="Arial" w:cs="Arial"/>
          <w:sz w:val="22"/>
          <w:szCs w:val="22"/>
        </w:rPr>
        <w:t xml:space="preserve">the </w:t>
      </w:r>
      <w:r w:rsidRPr="00C44644">
        <w:rPr>
          <w:rFonts w:ascii="Arial" w:hAnsi="Arial" w:cs="Arial"/>
          <w:sz w:val="22"/>
          <w:szCs w:val="22"/>
        </w:rPr>
        <w:t>most recent 29-day period</w:t>
      </w:r>
      <w:r w:rsidR="0028084D">
        <w:rPr>
          <w:rFonts w:ascii="Arial" w:hAnsi="Arial" w:cs="Arial"/>
          <w:sz w:val="22"/>
          <w:szCs w:val="22"/>
        </w:rPr>
        <w:t xml:space="preserve">, wholly within a calendar month, </w:t>
      </w:r>
      <w:r w:rsidRPr="00C44644">
        <w:rPr>
          <w:rFonts w:ascii="Arial" w:hAnsi="Arial" w:cs="Arial"/>
          <w:sz w:val="22"/>
          <w:szCs w:val="22"/>
        </w:rPr>
        <w:t xml:space="preserve">ending before 1 March 2020 in which any circumstances that caused the eligible business participant’s total number of hours of active engagement not to be representative of the eligible business participant’s total number of those hours in a typical </w:t>
      </w:r>
      <w:r w:rsidR="008B720D">
        <w:rPr>
          <w:rFonts w:ascii="Arial" w:hAnsi="Arial" w:cs="Arial"/>
          <w:sz w:val="22"/>
          <w:szCs w:val="22"/>
        </w:rPr>
        <w:t>29-day</w:t>
      </w:r>
      <w:r w:rsidRPr="00C44644">
        <w:rPr>
          <w:rFonts w:ascii="Arial" w:hAnsi="Arial" w:cs="Arial"/>
          <w:sz w:val="22"/>
          <w:szCs w:val="22"/>
        </w:rPr>
        <w:t xml:space="preserve"> period did not exist</w:t>
      </w:r>
      <w:r>
        <w:rPr>
          <w:rFonts w:ascii="Arial" w:hAnsi="Arial" w:cs="Arial"/>
          <w:sz w:val="22"/>
          <w:szCs w:val="22"/>
        </w:rPr>
        <w:t xml:space="preserve"> (paragraph 7(2)(a)). </w:t>
      </w:r>
    </w:p>
    <w:p w14:paraId="7983D954" w14:textId="77777777" w:rsidR="00AF3F3F" w:rsidRDefault="00AF3F3F" w:rsidP="006655B0">
      <w:pPr>
        <w:numPr>
          <w:ilvl w:val="0"/>
          <w:numId w:val="1"/>
        </w:numPr>
        <w:spacing w:after="120"/>
        <w:ind w:left="0" w:firstLine="0"/>
        <w:rPr>
          <w:rFonts w:ascii="Arial" w:hAnsi="Arial" w:cs="Arial"/>
          <w:sz w:val="22"/>
          <w:szCs w:val="22"/>
        </w:rPr>
      </w:pPr>
      <w:r>
        <w:rPr>
          <w:rFonts w:ascii="Arial" w:hAnsi="Arial" w:cs="Arial"/>
          <w:sz w:val="22"/>
          <w:szCs w:val="22"/>
        </w:rPr>
        <w:t>To determine the alternative reference period, the following must be identified:</w:t>
      </w:r>
    </w:p>
    <w:p w14:paraId="518F3956" w14:textId="290397C8" w:rsidR="00AF3F3F" w:rsidRDefault="00AF3F3F" w:rsidP="0091425D">
      <w:pPr>
        <w:numPr>
          <w:ilvl w:val="1"/>
          <w:numId w:val="1"/>
        </w:numPr>
        <w:spacing w:after="120"/>
        <w:rPr>
          <w:rFonts w:ascii="Arial" w:hAnsi="Arial" w:cs="Arial"/>
          <w:sz w:val="22"/>
          <w:szCs w:val="22"/>
        </w:rPr>
      </w:pPr>
      <w:r>
        <w:rPr>
          <w:rFonts w:ascii="Arial" w:hAnsi="Arial" w:cs="Arial"/>
          <w:sz w:val="22"/>
          <w:szCs w:val="22"/>
        </w:rPr>
        <w:t>a</w:t>
      </w:r>
      <w:r w:rsidR="00341267">
        <w:rPr>
          <w:rFonts w:ascii="Arial" w:hAnsi="Arial" w:cs="Arial"/>
          <w:sz w:val="22"/>
          <w:szCs w:val="22"/>
        </w:rPr>
        <w:t xml:space="preserve">ny </w:t>
      </w:r>
      <w:r w:rsidR="00341267" w:rsidRPr="00C44644">
        <w:rPr>
          <w:rFonts w:ascii="Arial" w:hAnsi="Arial" w:cs="Arial"/>
          <w:sz w:val="22"/>
          <w:szCs w:val="22"/>
        </w:rPr>
        <w:t>circumstances that</w:t>
      </w:r>
      <w:r w:rsidR="004854A1">
        <w:rPr>
          <w:rFonts w:ascii="Arial" w:hAnsi="Arial" w:cs="Arial"/>
          <w:sz w:val="22"/>
          <w:szCs w:val="22"/>
        </w:rPr>
        <w:t xml:space="preserve"> </w:t>
      </w:r>
      <w:r w:rsidR="00F151EB">
        <w:rPr>
          <w:rFonts w:ascii="Arial" w:hAnsi="Arial" w:cs="Arial"/>
          <w:sz w:val="22"/>
          <w:szCs w:val="22"/>
        </w:rPr>
        <w:t xml:space="preserve">caused </w:t>
      </w:r>
      <w:r w:rsidR="00341267" w:rsidRPr="00C44644">
        <w:rPr>
          <w:rFonts w:ascii="Arial" w:hAnsi="Arial" w:cs="Arial"/>
          <w:sz w:val="22"/>
          <w:szCs w:val="22"/>
        </w:rPr>
        <w:t>the</w:t>
      </w:r>
      <w:r w:rsidR="00341267">
        <w:rPr>
          <w:rFonts w:ascii="Arial" w:hAnsi="Arial" w:cs="Arial"/>
          <w:sz w:val="22"/>
          <w:szCs w:val="22"/>
        </w:rPr>
        <w:t>ir</w:t>
      </w:r>
      <w:r w:rsidR="00341267" w:rsidRPr="00C44644">
        <w:rPr>
          <w:rFonts w:ascii="Arial" w:hAnsi="Arial" w:cs="Arial"/>
          <w:sz w:val="22"/>
          <w:szCs w:val="22"/>
        </w:rPr>
        <w:t xml:space="preserve"> total number of hours of active engagement</w:t>
      </w:r>
      <w:r w:rsidR="006655B0">
        <w:rPr>
          <w:rFonts w:ascii="Arial" w:hAnsi="Arial" w:cs="Arial"/>
          <w:sz w:val="22"/>
          <w:szCs w:val="22"/>
        </w:rPr>
        <w:t xml:space="preserve"> in the </w:t>
      </w:r>
      <w:r w:rsidR="002B1265">
        <w:rPr>
          <w:rFonts w:ascii="Arial" w:hAnsi="Arial" w:cs="Arial"/>
          <w:sz w:val="22"/>
          <w:szCs w:val="22"/>
        </w:rPr>
        <w:t>standard</w:t>
      </w:r>
      <w:r w:rsidR="006655B0">
        <w:rPr>
          <w:rFonts w:ascii="Arial" w:hAnsi="Arial" w:cs="Arial"/>
          <w:sz w:val="22"/>
          <w:szCs w:val="22"/>
        </w:rPr>
        <w:t xml:space="preserve"> reference period</w:t>
      </w:r>
      <w:r w:rsidR="00F151EB">
        <w:rPr>
          <w:rFonts w:ascii="Arial" w:hAnsi="Arial" w:cs="Arial"/>
          <w:sz w:val="22"/>
          <w:szCs w:val="22"/>
        </w:rPr>
        <w:t xml:space="preserve"> </w:t>
      </w:r>
      <w:r w:rsidR="00F151EB" w:rsidRPr="008B720D">
        <w:rPr>
          <w:rFonts w:ascii="Arial" w:hAnsi="Arial" w:cs="Arial"/>
          <w:sz w:val="22"/>
          <w:szCs w:val="22"/>
        </w:rPr>
        <w:t xml:space="preserve">not to be representative of their total number of those hours in a typical </w:t>
      </w:r>
      <w:r w:rsidR="008B720D">
        <w:rPr>
          <w:rFonts w:ascii="Arial" w:hAnsi="Arial" w:cs="Arial"/>
          <w:sz w:val="22"/>
          <w:szCs w:val="22"/>
        </w:rPr>
        <w:t>29-day</w:t>
      </w:r>
      <w:r w:rsidR="00F151EB" w:rsidRPr="008B720D">
        <w:rPr>
          <w:rFonts w:ascii="Arial" w:hAnsi="Arial" w:cs="Arial"/>
          <w:sz w:val="22"/>
          <w:szCs w:val="22"/>
        </w:rPr>
        <w:t xml:space="preserve"> period</w:t>
      </w:r>
      <w:r>
        <w:rPr>
          <w:rFonts w:ascii="Arial" w:hAnsi="Arial" w:cs="Arial"/>
          <w:sz w:val="22"/>
          <w:szCs w:val="22"/>
        </w:rPr>
        <w:t>;</w:t>
      </w:r>
      <w:r w:rsidR="006655B0">
        <w:rPr>
          <w:rFonts w:ascii="Arial" w:hAnsi="Arial" w:cs="Arial"/>
          <w:sz w:val="22"/>
          <w:szCs w:val="22"/>
        </w:rPr>
        <w:t xml:space="preserve"> </w:t>
      </w:r>
    </w:p>
    <w:p w14:paraId="6D46D0C2" w14:textId="63CE8941" w:rsidR="000275FB" w:rsidRDefault="00290FD7" w:rsidP="0091425D">
      <w:pPr>
        <w:numPr>
          <w:ilvl w:val="1"/>
          <w:numId w:val="1"/>
        </w:numPr>
        <w:spacing w:after="120"/>
        <w:rPr>
          <w:rFonts w:ascii="Arial" w:hAnsi="Arial" w:cs="Arial"/>
          <w:sz w:val="22"/>
          <w:szCs w:val="22"/>
        </w:rPr>
      </w:pPr>
      <w:r w:rsidRPr="00F26C14">
        <w:rPr>
          <w:rFonts w:ascii="Arial" w:hAnsi="Arial" w:cs="Arial"/>
          <w:sz w:val="22"/>
          <w:szCs w:val="22"/>
        </w:rPr>
        <w:t xml:space="preserve">the most recent 29-day period </w:t>
      </w:r>
      <w:r w:rsidR="00FF557B">
        <w:rPr>
          <w:rFonts w:ascii="Arial" w:hAnsi="Arial" w:cs="Arial"/>
          <w:sz w:val="22"/>
          <w:szCs w:val="22"/>
        </w:rPr>
        <w:t xml:space="preserve">wholly within a calendar month </w:t>
      </w:r>
      <w:r w:rsidRPr="00F26C14">
        <w:rPr>
          <w:rFonts w:ascii="Arial" w:hAnsi="Arial" w:cs="Arial"/>
          <w:sz w:val="22"/>
          <w:szCs w:val="22"/>
        </w:rPr>
        <w:t>before 1 March 2020 in which any of those circumstances did not exist</w:t>
      </w:r>
      <w:r w:rsidR="00EB461A">
        <w:rPr>
          <w:rFonts w:ascii="Arial" w:hAnsi="Arial" w:cs="Arial"/>
          <w:sz w:val="22"/>
          <w:szCs w:val="22"/>
        </w:rPr>
        <w:t>.</w:t>
      </w:r>
    </w:p>
    <w:p w14:paraId="6B961984" w14:textId="496515DD" w:rsidR="000275FB" w:rsidRDefault="000275FB">
      <w:pPr>
        <w:numPr>
          <w:ilvl w:val="0"/>
          <w:numId w:val="1"/>
        </w:numPr>
        <w:spacing w:after="120"/>
        <w:rPr>
          <w:rFonts w:ascii="Arial" w:hAnsi="Arial" w:cs="Arial"/>
          <w:sz w:val="22"/>
          <w:szCs w:val="22"/>
        </w:rPr>
      </w:pPr>
      <w:r>
        <w:rPr>
          <w:rFonts w:ascii="Arial" w:hAnsi="Arial" w:cs="Arial"/>
          <w:sz w:val="22"/>
          <w:szCs w:val="22"/>
        </w:rPr>
        <w:lastRenderedPageBreak/>
        <w:t xml:space="preserve">That most recent period </w:t>
      </w:r>
      <w:r w:rsidR="009D4DD8" w:rsidRPr="00F26C14">
        <w:rPr>
          <w:rFonts w:ascii="Arial" w:hAnsi="Arial" w:cs="Arial"/>
          <w:sz w:val="22"/>
          <w:szCs w:val="22"/>
        </w:rPr>
        <w:t>will be the alternative reference period</w:t>
      </w:r>
      <w:r w:rsidR="00290FD7" w:rsidRPr="00F26C14">
        <w:rPr>
          <w:rFonts w:ascii="Arial" w:hAnsi="Arial" w:cs="Arial"/>
          <w:sz w:val="22"/>
          <w:szCs w:val="22"/>
        </w:rPr>
        <w:t xml:space="preserve">. </w:t>
      </w:r>
    </w:p>
    <w:p w14:paraId="390FC53E" w14:textId="7456E593" w:rsidR="00C44644" w:rsidRPr="00F26C14" w:rsidRDefault="00290FD7">
      <w:pPr>
        <w:numPr>
          <w:ilvl w:val="0"/>
          <w:numId w:val="1"/>
        </w:numPr>
        <w:spacing w:after="120"/>
        <w:rPr>
          <w:rFonts w:ascii="Arial" w:hAnsi="Arial" w:cs="Arial"/>
          <w:sz w:val="22"/>
          <w:szCs w:val="22"/>
        </w:rPr>
      </w:pPr>
      <w:r w:rsidRPr="00F26C14">
        <w:rPr>
          <w:rFonts w:ascii="Arial" w:hAnsi="Arial" w:cs="Arial"/>
          <w:sz w:val="22"/>
          <w:szCs w:val="22"/>
        </w:rPr>
        <w:t xml:space="preserve">For example, if </w:t>
      </w:r>
      <w:r w:rsidR="009D4DD8" w:rsidRPr="00F26C14">
        <w:rPr>
          <w:rFonts w:ascii="Arial" w:hAnsi="Arial" w:cs="Arial"/>
          <w:sz w:val="22"/>
          <w:szCs w:val="22"/>
        </w:rPr>
        <w:t xml:space="preserve">the </w:t>
      </w:r>
      <w:r w:rsidRPr="00F26C14">
        <w:rPr>
          <w:rFonts w:ascii="Arial" w:hAnsi="Arial" w:cs="Arial"/>
          <w:sz w:val="22"/>
          <w:szCs w:val="22"/>
        </w:rPr>
        <w:t xml:space="preserve">eligible business participant </w:t>
      </w:r>
      <w:r w:rsidR="009D4DD8" w:rsidRPr="00F26C14">
        <w:rPr>
          <w:rFonts w:ascii="Arial" w:hAnsi="Arial" w:cs="Arial"/>
          <w:sz w:val="22"/>
          <w:szCs w:val="22"/>
        </w:rPr>
        <w:t xml:space="preserve">was absent </w:t>
      </w:r>
      <w:r w:rsidR="00F51235" w:rsidRPr="00F26C14">
        <w:rPr>
          <w:rFonts w:ascii="Arial" w:hAnsi="Arial" w:cs="Arial"/>
          <w:sz w:val="22"/>
          <w:szCs w:val="22"/>
        </w:rPr>
        <w:t xml:space="preserve">through </w:t>
      </w:r>
      <w:r w:rsidR="009D4DD8" w:rsidRPr="00F26C14">
        <w:rPr>
          <w:rFonts w:ascii="Arial" w:hAnsi="Arial" w:cs="Arial"/>
          <w:sz w:val="22"/>
          <w:szCs w:val="22"/>
        </w:rPr>
        <w:t>sick</w:t>
      </w:r>
      <w:r w:rsidR="00F51235" w:rsidRPr="00F26C14">
        <w:rPr>
          <w:rFonts w:ascii="Arial" w:hAnsi="Arial" w:cs="Arial"/>
          <w:sz w:val="22"/>
          <w:szCs w:val="22"/>
        </w:rPr>
        <w:t>ness</w:t>
      </w:r>
      <w:r w:rsidR="009D4DD8" w:rsidRPr="00F26C14">
        <w:rPr>
          <w:rFonts w:ascii="Arial" w:hAnsi="Arial" w:cs="Arial"/>
          <w:sz w:val="22"/>
          <w:szCs w:val="22"/>
        </w:rPr>
        <w:t xml:space="preserve"> in February 2020</w:t>
      </w:r>
      <w:r w:rsidR="00371871">
        <w:rPr>
          <w:rFonts w:ascii="Arial" w:hAnsi="Arial" w:cs="Arial"/>
          <w:sz w:val="22"/>
          <w:szCs w:val="22"/>
        </w:rPr>
        <w:t>,</w:t>
      </w:r>
      <w:r w:rsidR="009D4DD8" w:rsidRPr="00F26C14">
        <w:rPr>
          <w:rFonts w:ascii="Arial" w:hAnsi="Arial" w:cs="Arial"/>
          <w:sz w:val="22"/>
          <w:szCs w:val="22"/>
        </w:rPr>
        <w:t xml:space="preserve"> causing that month not to be representative of a typical month, the alternative reference period would be the most recent </w:t>
      </w:r>
      <w:r w:rsidR="008B720D">
        <w:rPr>
          <w:rFonts w:ascii="Arial" w:hAnsi="Arial" w:cs="Arial"/>
          <w:sz w:val="22"/>
          <w:szCs w:val="22"/>
        </w:rPr>
        <w:t xml:space="preserve">29-day </w:t>
      </w:r>
      <w:r w:rsidR="009D4DD8" w:rsidRPr="00F26C14">
        <w:rPr>
          <w:rFonts w:ascii="Arial" w:hAnsi="Arial" w:cs="Arial"/>
          <w:sz w:val="22"/>
          <w:szCs w:val="22"/>
        </w:rPr>
        <w:t>period</w:t>
      </w:r>
      <w:r w:rsidR="00371871">
        <w:rPr>
          <w:rFonts w:ascii="Arial" w:hAnsi="Arial" w:cs="Arial"/>
          <w:sz w:val="22"/>
          <w:szCs w:val="22"/>
        </w:rPr>
        <w:t xml:space="preserve"> (wholly within a calendar month)</w:t>
      </w:r>
      <w:r w:rsidR="009D4DD8" w:rsidRPr="00F26C14">
        <w:rPr>
          <w:rFonts w:ascii="Arial" w:hAnsi="Arial" w:cs="Arial"/>
          <w:sz w:val="22"/>
          <w:szCs w:val="22"/>
        </w:rPr>
        <w:t xml:space="preserve"> in which they were not sick.</w:t>
      </w:r>
      <w:r w:rsidRPr="00F26C14">
        <w:rPr>
          <w:rFonts w:ascii="Arial" w:hAnsi="Arial" w:cs="Arial"/>
          <w:sz w:val="22"/>
          <w:szCs w:val="22"/>
        </w:rPr>
        <w:t xml:space="preserve"> </w:t>
      </w:r>
      <w:r w:rsidR="009B5966">
        <w:rPr>
          <w:rFonts w:ascii="Arial" w:hAnsi="Arial" w:cs="Arial"/>
          <w:sz w:val="22"/>
          <w:szCs w:val="22"/>
        </w:rPr>
        <w:t xml:space="preserve">If there were also circumstances in the earlier month that cause it not to be representative of a typical month, the alternative reference period would be the </w:t>
      </w:r>
      <w:r w:rsidR="004D1D3E">
        <w:rPr>
          <w:rFonts w:ascii="Arial" w:hAnsi="Arial" w:cs="Arial"/>
          <w:sz w:val="22"/>
          <w:szCs w:val="22"/>
        </w:rPr>
        <w:t xml:space="preserve">most recent </w:t>
      </w:r>
      <w:r w:rsidR="009B5966">
        <w:rPr>
          <w:rFonts w:ascii="Arial" w:hAnsi="Arial" w:cs="Arial"/>
          <w:sz w:val="22"/>
          <w:szCs w:val="22"/>
        </w:rPr>
        <w:t xml:space="preserve">month </w:t>
      </w:r>
      <w:r w:rsidR="004D1D3E">
        <w:rPr>
          <w:rFonts w:ascii="Arial" w:hAnsi="Arial" w:cs="Arial"/>
          <w:sz w:val="22"/>
          <w:szCs w:val="22"/>
        </w:rPr>
        <w:t>in which no such circumstances existed.</w:t>
      </w:r>
    </w:p>
    <w:bookmarkEnd w:id="5"/>
    <w:p w14:paraId="56E5492E" w14:textId="22382C15" w:rsidR="00806937" w:rsidRPr="0091425D" w:rsidRDefault="000275FB" w:rsidP="00806937">
      <w:pPr>
        <w:spacing w:after="120"/>
        <w:rPr>
          <w:rFonts w:ascii="Arial" w:hAnsi="Arial" w:cs="Arial"/>
          <w:b/>
          <w:bCs/>
          <w:iCs/>
          <w:szCs w:val="22"/>
        </w:rPr>
      </w:pPr>
      <w:r w:rsidRPr="0091425D">
        <w:rPr>
          <w:rFonts w:ascii="Arial" w:hAnsi="Arial" w:cs="Arial"/>
          <w:b/>
          <w:bCs/>
          <w:iCs/>
          <w:szCs w:val="22"/>
        </w:rPr>
        <w:t>E</w:t>
      </w:r>
      <w:r w:rsidR="00E43B95" w:rsidRPr="0091425D">
        <w:rPr>
          <w:rFonts w:ascii="Arial" w:hAnsi="Arial" w:cs="Arial"/>
          <w:b/>
          <w:bCs/>
          <w:iCs/>
          <w:szCs w:val="22"/>
        </w:rPr>
        <w:t xml:space="preserve">ligible business participants </w:t>
      </w:r>
      <w:r w:rsidR="00F6246B" w:rsidRPr="0091425D">
        <w:rPr>
          <w:rFonts w:ascii="Arial" w:hAnsi="Arial" w:cs="Arial"/>
          <w:b/>
          <w:bCs/>
          <w:iCs/>
          <w:szCs w:val="22"/>
        </w:rPr>
        <w:t>commenced participation in February 2020</w:t>
      </w:r>
    </w:p>
    <w:p w14:paraId="1F17E876" w14:textId="2B0926F0" w:rsidR="00F86DF0" w:rsidRPr="00F86DF0" w:rsidRDefault="000275FB" w:rsidP="00F86DF0">
      <w:pPr>
        <w:numPr>
          <w:ilvl w:val="0"/>
          <w:numId w:val="1"/>
        </w:numPr>
        <w:spacing w:after="120"/>
        <w:ind w:left="0" w:firstLine="0"/>
        <w:rPr>
          <w:rFonts w:ascii="Arial" w:hAnsi="Arial" w:cs="Arial"/>
          <w:sz w:val="22"/>
          <w:szCs w:val="22"/>
        </w:rPr>
      </w:pPr>
      <w:r w:rsidRPr="00F86DF0">
        <w:rPr>
          <w:rFonts w:ascii="Arial" w:hAnsi="Arial" w:cs="Arial"/>
          <w:sz w:val="22"/>
          <w:szCs w:val="22"/>
        </w:rPr>
        <w:t>I</w:t>
      </w:r>
      <w:r w:rsidR="008E1B59" w:rsidRPr="00F86DF0">
        <w:rPr>
          <w:rFonts w:ascii="Arial" w:hAnsi="Arial" w:cs="Arial"/>
          <w:sz w:val="22"/>
          <w:szCs w:val="22"/>
        </w:rPr>
        <w:t xml:space="preserve">n paragraph 7(1)(b) </w:t>
      </w:r>
      <w:r w:rsidRPr="00F86DF0">
        <w:rPr>
          <w:rFonts w:ascii="Arial" w:hAnsi="Arial" w:cs="Arial"/>
          <w:sz w:val="22"/>
          <w:szCs w:val="22"/>
        </w:rPr>
        <w:t xml:space="preserve">the class </w:t>
      </w:r>
      <w:r w:rsidR="0061209D" w:rsidRPr="00F86DF0">
        <w:rPr>
          <w:rFonts w:ascii="Arial" w:hAnsi="Arial" w:cs="Arial"/>
          <w:sz w:val="22"/>
          <w:szCs w:val="22"/>
        </w:rPr>
        <w:t xml:space="preserve">is individuals </w:t>
      </w:r>
      <w:r w:rsidR="00F86DF0" w:rsidRPr="00F86DF0">
        <w:rPr>
          <w:rFonts w:ascii="Arial" w:hAnsi="Arial" w:cs="Arial"/>
          <w:sz w:val="22"/>
          <w:szCs w:val="22"/>
        </w:rPr>
        <w:t>who first satisfied the business participation requirement in sub</w:t>
      </w:r>
      <w:r w:rsidR="00F86DF0">
        <w:rPr>
          <w:rFonts w:ascii="Arial" w:hAnsi="Arial" w:cs="Arial"/>
          <w:sz w:val="22"/>
          <w:szCs w:val="22"/>
        </w:rPr>
        <w:t>s</w:t>
      </w:r>
      <w:r w:rsidR="00F86DF0" w:rsidRPr="00F86DF0">
        <w:rPr>
          <w:rFonts w:ascii="Arial" w:hAnsi="Arial" w:cs="Arial"/>
          <w:sz w:val="22"/>
          <w:szCs w:val="22"/>
        </w:rPr>
        <w:t xml:space="preserve">ection 12(2) </w:t>
      </w:r>
      <w:r w:rsidR="00F86DF0">
        <w:rPr>
          <w:rFonts w:ascii="Arial" w:hAnsi="Arial" w:cs="Arial"/>
          <w:sz w:val="22"/>
          <w:szCs w:val="22"/>
        </w:rPr>
        <w:t xml:space="preserve">of the Rules </w:t>
      </w:r>
      <w:r w:rsidR="00F86DF0" w:rsidRPr="00F86DF0">
        <w:rPr>
          <w:rFonts w:ascii="Arial" w:hAnsi="Arial" w:cs="Arial"/>
          <w:sz w:val="22"/>
          <w:szCs w:val="22"/>
        </w:rPr>
        <w:t>(such as a director of a company, beneficiary of a trust etc. actively engaged in the business) for the entity on or before 1 March 2020 but after 1 February 2020</w:t>
      </w:r>
      <w:r w:rsidR="006A77A6">
        <w:rPr>
          <w:rFonts w:ascii="Arial" w:hAnsi="Arial" w:cs="Arial"/>
          <w:sz w:val="22"/>
          <w:szCs w:val="22"/>
        </w:rPr>
        <w:t>.</w:t>
      </w:r>
      <w:r w:rsidR="00F86DF0" w:rsidRPr="00F86DF0">
        <w:rPr>
          <w:rFonts w:ascii="Arial" w:hAnsi="Arial" w:cs="Arial"/>
          <w:sz w:val="22"/>
          <w:szCs w:val="22"/>
        </w:rPr>
        <w:t xml:space="preserve"> </w:t>
      </w:r>
    </w:p>
    <w:p w14:paraId="411D71A1" w14:textId="1F93E6A6" w:rsidR="000275FB" w:rsidRDefault="002B1265" w:rsidP="009D715F">
      <w:pPr>
        <w:numPr>
          <w:ilvl w:val="0"/>
          <w:numId w:val="1"/>
        </w:numPr>
        <w:spacing w:after="120"/>
        <w:ind w:left="0" w:firstLine="0"/>
        <w:rPr>
          <w:rFonts w:ascii="Arial" w:hAnsi="Arial" w:cs="Arial"/>
          <w:sz w:val="22"/>
          <w:szCs w:val="22"/>
        </w:rPr>
      </w:pPr>
      <w:r>
        <w:rPr>
          <w:rFonts w:ascii="Arial" w:hAnsi="Arial" w:cs="Arial"/>
          <w:sz w:val="22"/>
          <w:szCs w:val="22"/>
        </w:rPr>
        <w:t xml:space="preserve">For example, </w:t>
      </w:r>
      <w:r w:rsidR="006A77A6">
        <w:rPr>
          <w:rFonts w:ascii="Arial" w:hAnsi="Arial" w:cs="Arial"/>
          <w:sz w:val="22"/>
          <w:szCs w:val="22"/>
        </w:rPr>
        <w:t xml:space="preserve">this could occur where an individual </w:t>
      </w:r>
      <w:r>
        <w:rPr>
          <w:rFonts w:ascii="Arial" w:hAnsi="Arial" w:cs="Arial"/>
          <w:sz w:val="22"/>
          <w:szCs w:val="22"/>
        </w:rPr>
        <w:t>first becomes a director</w:t>
      </w:r>
      <w:r w:rsidR="006A77A6">
        <w:rPr>
          <w:rFonts w:ascii="Arial" w:hAnsi="Arial" w:cs="Arial"/>
          <w:sz w:val="22"/>
          <w:szCs w:val="22"/>
        </w:rPr>
        <w:t xml:space="preserve"> or </w:t>
      </w:r>
      <w:r>
        <w:rPr>
          <w:rFonts w:ascii="Arial" w:hAnsi="Arial" w:cs="Arial"/>
          <w:sz w:val="22"/>
          <w:szCs w:val="22"/>
        </w:rPr>
        <w:t xml:space="preserve">shareholder of a company, </w:t>
      </w:r>
      <w:r w:rsidR="006A77A6">
        <w:rPr>
          <w:rFonts w:ascii="Arial" w:hAnsi="Arial" w:cs="Arial"/>
          <w:sz w:val="22"/>
          <w:szCs w:val="22"/>
        </w:rPr>
        <w:t xml:space="preserve">a </w:t>
      </w:r>
      <w:r>
        <w:rPr>
          <w:rFonts w:ascii="Arial" w:hAnsi="Arial" w:cs="Arial"/>
          <w:sz w:val="22"/>
          <w:szCs w:val="22"/>
        </w:rPr>
        <w:t xml:space="preserve">partner in a partnership or </w:t>
      </w:r>
      <w:r w:rsidR="006A77A6">
        <w:rPr>
          <w:rFonts w:ascii="Arial" w:hAnsi="Arial" w:cs="Arial"/>
          <w:sz w:val="22"/>
          <w:szCs w:val="22"/>
        </w:rPr>
        <w:t xml:space="preserve">a </w:t>
      </w:r>
      <w:r>
        <w:rPr>
          <w:rFonts w:ascii="Arial" w:hAnsi="Arial" w:cs="Arial"/>
          <w:sz w:val="22"/>
          <w:szCs w:val="22"/>
        </w:rPr>
        <w:t>beneficiary of a trust part way through February 2020.</w:t>
      </w:r>
    </w:p>
    <w:p w14:paraId="086BD619" w14:textId="246F8BBF" w:rsidR="009D715F" w:rsidRDefault="000275FB" w:rsidP="0091425D">
      <w:pPr>
        <w:numPr>
          <w:ilvl w:val="0"/>
          <w:numId w:val="1"/>
        </w:numPr>
        <w:spacing w:after="120"/>
        <w:ind w:left="0" w:firstLine="0"/>
        <w:rPr>
          <w:rFonts w:ascii="Arial" w:hAnsi="Arial" w:cs="Arial"/>
          <w:sz w:val="22"/>
          <w:szCs w:val="22"/>
        </w:rPr>
      </w:pPr>
      <w:r>
        <w:rPr>
          <w:rFonts w:ascii="Arial" w:hAnsi="Arial" w:cs="Arial"/>
          <w:sz w:val="22"/>
          <w:szCs w:val="22"/>
        </w:rPr>
        <w:t>T</w:t>
      </w:r>
      <w:r w:rsidR="004053C8">
        <w:rPr>
          <w:rFonts w:ascii="Arial" w:hAnsi="Arial" w:cs="Arial"/>
          <w:sz w:val="22"/>
          <w:szCs w:val="22"/>
        </w:rPr>
        <w:t>he entity still needs to meet eligibility requirements to be entitled to a JobKeeper payment</w:t>
      </w:r>
      <w:r w:rsidR="005D27D4">
        <w:rPr>
          <w:rFonts w:ascii="Arial" w:hAnsi="Arial" w:cs="Arial"/>
          <w:sz w:val="22"/>
          <w:szCs w:val="22"/>
        </w:rPr>
        <w:t>,</w:t>
      </w:r>
      <w:r>
        <w:rPr>
          <w:rFonts w:ascii="Arial" w:hAnsi="Arial" w:cs="Arial"/>
          <w:sz w:val="22"/>
          <w:szCs w:val="22"/>
        </w:rPr>
        <w:t xml:space="preserve"> such as </w:t>
      </w:r>
      <w:r w:rsidR="004053C8">
        <w:rPr>
          <w:rFonts w:ascii="Arial" w:hAnsi="Arial" w:cs="Arial"/>
          <w:sz w:val="22"/>
          <w:szCs w:val="22"/>
        </w:rPr>
        <w:t>subsections 11(6) to 11(9) of the Rules, and this instrument does not override those requirements.</w:t>
      </w:r>
    </w:p>
    <w:p w14:paraId="7FBBEDC9" w14:textId="3CCE586A" w:rsidR="009D715F" w:rsidRPr="00095530" w:rsidRDefault="000275FB" w:rsidP="00095530">
      <w:pPr>
        <w:numPr>
          <w:ilvl w:val="0"/>
          <w:numId w:val="1"/>
        </w:numPr>
        <w:spacing w:after="120"/>
        <w:ind w:left="0" w:firstLine="0"/>
        <w:rPr>
          <w:rFonts w:ascii="Arial" w:hAnsi="Arial" w:cs="Arial"/>
          <w:sz w:val="22"/>
          <w:szCs w:val="22"/>
        </w:rPr>
      </w:pPr>
      <w:r>
        <w:rPr>
          <w:rFonts w:ascii="Arial" w:hAnsi="Arial" w:cs="Arial"/>
          <w:sz w:val="22"/>
          <w:szCs w:val="22"/>
        </w:rPr>
        <w:t>W</w:t>
      </w:r>
      <w:r w:rsidR="00F26C14">
        <w:rPr>
          <w:rFonts w:ascii="Arial" w:hAnsi="Arial" w:cs="Arial"/>
          <w:sz w:val="22"/>
          <w:szCs w:val="22"/>
        </w:rPr>
        <w:t xml:space="preserve">hen </w:t>
      </w:r>
      <w:r w:rsidR="005D27D4">
        <w:rPr>
          <w:rFonts w:ascii="Arial" w:hAnsi="Arial" w:cs="Arial"/>
          <w:sz w:val="22"/>
          <w:szCs w:val="22"/>
        </w:rPr>
        <w:t>an individual</w:t>
      </w:r>
      <w:r w:rsidR="00DF1187">
        <w:rPr>
          <w:rFonts w:ascii="Arial" w:hAnsi="Arial" w:cs="Arial"/>
          <w:sz w:val="22"/>
          <w:szCs w:val="22"/>
        </w:rPr>
        <w:t xml:space="preserve"> first becomes </w:t>
      </w:r>
      <w:r w:rsidR="002B1265">
        <w:rPr>
          <w:rFonts w:ascii="Arial" w:hAnsi="Arial" w:cs="Arial"/>
          <w:sz w:val="22"/>
          <w:szCs w:val="22"/>
        </w:rPr>
        <w:t xml:space="preserve">an eligible </w:t>
      </w:r>
      <w:r>
        <w:rPr>
          <w:rFonts w:ascii="Arial" w:hAnsi="Arial" w:cs="Arial"/>
          <w:sz w:val="22"/>
          <w:szCs w:val="22"/>
        </w:rPr>
        <w:t xml:space="preserve">business participant </w:t>
      </w:r>
      <w:r w:rsidR="00030CB3">
        <w:rPr>
          <w:rFonts w:ascii="Arial" w:hAnsi="Arial" w:cs="Arial"/>
          <w:sz w:val="22"/>
          <w:szCs w:val="22"/>
        </w:rPr>
        <w:t>in mid-February 2020</w:t>
      </w:r>
      <w:r>
        <w:rPr>
          <w:rFonts w:ascii="Arial" w:hAnsi="Arial" w:cs="Arial"/>
          <w:sz w:val="22"/>
          <w:szCs w:val="22"/>
        </w:rPr>
        <w:t xml:space="preserve">, </w:t>
      </w:r>
      <w:r w:rsidR="009D715F" w:rsidRPr="00095530">
        <w:rPr>
          <w:rFonts w:ascii="Arial" w:hAnsi="Arial" w:cs="Arial"/>
          <w:sz w:val="22"/>
          <w:szCs w:val="22"/>
        </w:rPr>
        <w:t xml:space="preserve">the </w:t>
      </w:r>
      <w:r>
        <w:rPr>
          <w:rFonts w:ascii="Arial" w:hAnsi="Arial" w:cs="Arial"/>
          <w:sz w:val="22"/>
          <w:szCs w:val="22"/>
        </w:rPr>
        <w:t xml:space="preserve">standard </w:t>
      </w:r>
      <w:r w:rsidR="009D715F" w:rsidRPr="00095530">
        <w:rPr>
          <w:rFonts w:ascii="Arial" w:hAnsi="Arial" w:cs="Arial"/>
          <w:sz w:val="22"/>
          <w:szCs w:val="22"/>
        </w:rPr>
        <w:t xml:space="preserve">reference period is not </w:t>
      </w:r>
      <w:r w:rsidR="00DF1187" w:rsidRPr="00095530">
        <w:rPr>
          <w:rFonts w:ascii="Arial" w:hAnsi="Arial" w:cs="Arial"/>
          <w:sz w:val="22"/>
          <w:szCs w:val="22"/>
        </w:rPr>
        <w:t>suitable</w:t>
      </w:r>
      <w:r w:rsidR="009D715F" w:rsidRPr="00095530">
        <w:rPr>
          <w:rFonts w:ascii="Arial" w:hAnsi="Arial" w:cs="Arial"/>
          <w:sz w:val="22"/>
          <w:szCs w:val="22"/>
        </w:rPr>
        <w:t xml:space="preserve"> because the individual could not have been actively engaged in that capacity before </w:t>
      </w:r>
      <w:r w:rsidR="002B1265">
        <w:rPr>
          <w:rFonts w:ascii="Arial" w:hAnsi="Arial" w:cs="Arial"/>
          <w:sz w:val="22"/>
          <w:szCs w:val="22"/>
        </w:rPr>
        <w:t xml:space="preserve">their </w:t>
      </w:r>
      <w:r w:rsidR="00BB2E6C" w:rsidRPr="00095530">
        <w:rPr>
          <w:rFonts w:ascii="Arial" w:hAnsi="Arial" w:cs="Arial"/>
          <w:sz w:val="22"/>
          <w:szCs w:val="22"/>
        </w:rPr>
        <w:t xml:space="preserve">start </w:t>
      </w:r>
      <w:r w:rsidR="00030CB3" w:rsidRPr="00095530">
        <w:rPr>
          <w:rFonts w:ascii="Arial" w:hAnsi="Arial" w:cs="Arial"/>
          <w:sz w:val="22"/>
          <w:szCs w:val="22"/>
        </w:rPr>
        <w:t>time</w:t>
      </w:r>
      <w:r>
        <w:rPr>
          <w:rFonts w:ascii="Arial" w:hAnsi="Arial" w:cs="Arial"/>
          <w:sz w:val="22"/>
          <w:szCs w:val="22"/>
        </w:rPr>
        <w:t xml:space="preserve"> and their hours of engagement cannot reflect the </w:t>
      </w:r>
      <w:r w:rsidR="00A77DBA">
        <w:rPr>
          <w:rFonts w:ascii="Arial" w:hAnsi="Arial" w:cs="Arial"/>
          <w:sz w:val="22"/>
          <w:szCs w:val="22"/>
        </w:rPr>
        <w:t xml:space="preserve">entire </w:t>
      </w:r>
      <w:r>
        <w:rPr>
          <w:rFonts w:ascii="Arial" w:hAnsi="Arial" w:cs="Arial"/>
          <w:sz w:val="22"/>
          <w:szCs w:val="22"/>
        </w:rPr>
        <w:t>duration</w:t>
      </w:r>
      <w:r w:rsidR="005D27D4">
        <w:rPr>
          <w:rFonts w:ascii="Arial" w:hAnsi="Arial" w:cs="Arial"/>
          <w:sz w:val="22"/>
          <w:szCs w:val="22"/>
        </w:rPr>
        <w:t xml:space="preserve"> of the period</w:t>
      </w:r>
      <w:r w:rsidR="00030CB3" w:rsidRPr="00095530">
        <w:rPr>
          <w:rFonts w:ascii="Arial" w:hAnsi="Arial" w:cs="Arial"/>
          <w:sz w:val="22"/>
          <w:szCs w:val="22"/>
        </w:rPr>
        <w:t>.</w:t>
      </w:r>
      <w:r w:rsidR="009D715F" w:rsidRPr="00095530">
        <w:rPr>
          <w:rFonts w:ascii="Arial" w:hAnsi="Arial" w:cs="Arial"/>
          <w:sz w:val="22"/>
          <w:szCs w:val="22"/>
        </w:rPr>
        <w:t xml:space="preserve"> </w:t>
      </w:r>
      <w:r w:rsidR="00030CB3" w:rsidRPr="00095530">
        <w:rPr>
          <w:rFonts w:ascii="Arial" w:hAnsi="Arial" w:cs="Arial"/>
          <w:sz w:val="22"/>
          <w:szCs w:val="22"/>
        </w:rPr>
        <w:t xml:space="preserve">A forward looking reference period is more </w:t>
      </w:r>
      <w:r w:rsidR="008E1B59" w:rsidRPr="00095530">
        <w:rPr>
          <w:rFonts w:ascii="Arial" w:hAnsi="Arial" w:cs="Arial"/>
          <w:sz w:val="22"/>
          <w:szCs w:val="22"/>
        </w:rPr>
        <w:t>suitable</w:t>
      </w:r>
      <w:r w:rsidR="00030CB3" w:rsidRPr="00095530">
        <w:rPr>
          <w:rFonts w:ascii="Arial" w:hAnsi="Arial" w:cs="Arial"/>
          <w:sz w:val="22"/>
          <w:szCs w:val="22"/>
        </w:rPr>
        <w:t>.</w:t>
      </w:r>
    </w:p>
    <w:p w14:paraId="7F25142A" w14:textId="5322B971" w:rsidR="000275FB" w:rsidRPr="0091425D" w:rsidRDefault="002F0903" w:rsidP="0091425D">
      <w:pPr>
        <w:spacing w:after="120"/>
        <w:rPr>
          <w:rFonts w:ascii="Arial" w:hAnsi="Arial" w:cs="Arial"/>
          <w:b/>
          <w:bCs/>
          <w:i/>
          <w:iCs/>
        </w:rPr>
      </w:pPr>
      <w:r>
        <w:rPr>
          <w:rFonts w:ascii="Arial" w:hAnsi="Arial" w:cs="Arial"/>
          <w:b/>
          <w:bCs/>
          <w:i/>
          <w:iCs/>
          <w:sz w:val="22"/>
          <w:szCs w:val="22"/>
        </w:rPr>
        <w:t>Commenced participation in February 2020</w:t>
      </w:r>
      <w:r w:rsidR="000275FB" w:rsidRPr="0091425D">
        <w:rPr>
          <w:rFonts w:ascii="Arial" w:hAnsi="Arial" w:cs="Arial"/>
          <w:b/>
          <w:bCs/>
          <w:i/>
          <w:iCs/>
          <w:sz w:val="22"/>
          <w:szCs w:val="22"/>
        </w:rPr>
        <w:t xml:space="preserve">: alternative reference period </w:t>
      </w:r>
    </w:p>
    <w:p w14:paraId="7B778371" w14:textId="4FB749F1" w:rsidR="00030CB3" w:rsidRDefault="00030CB3" w:rsidP="00030CB3">
      <w:pPr>
        <w:numPr>
          <w:ilvl w:val="0"/>
          <w:numId w:val="1"/>
        </w:numPr>
        <w:spacing w:after="120"/>
        <w:ind w:left="0" w:firstLine="0"/>
        <w:rPr>
          <w:rFonts w:ascii="Arial" w:hAnsi="Arial" w:cs="Arial"/>
          <w:sz w:val="22"/>
          <w:szCs w:val="22"/>
        </w:rPr>
      </w:pPr>
      <w:bookmarkStart w:id="6" w:name="_Hlk48165718"/>
      <w:r w:rsidRPr="00CF1A25">
        <w:rPr>
          <w:rFonts w:ascii="Arial" w:hAnsi="Arial" w:cs="Arial"/>
          <w:sz w:val="22"/>
          <w:szCs w:val="22"/>
        </w:rPr>
        <w:t xml:space="preserve">The </w:t>
      </w:r>
      <w:r w:rsidRPr="003B4964">
        <w:rPr>
          <w:rFonts w:ascii="Arial" w:hAnsi="Arial" w:cs="Arial"/>
          <w:sz w:val="22"/>
          <w:szCs w:val="22"/>
        </w:rPr>
        <w:t xml:space="preserve">alternative reference period that applies to </w:t>
      </w:r>
      <w:r>
        <w:rPr>
          <w:rFonts w:ascii="Arial" w:hAnsi="Arial" w:cs="Arial"/>
          <w:sz w:val="22"/>
          <w:szCs w:val="22"/>
        </w:rPr>
        <w:t xml:space="preserve">an </w:t>
      </w:r>
      <w:r w:rsidRPr="00CF1A25">
        <w:rPr>
          <w:rFonts w:ascii="Arial" w:hAnsi="Arial" w:cs="Arial"/>
          <w:sz w:val="22"/>
          <w:szCs w:val="22"/>
        </w:rPr>
        <w:t xml:space="preserve">eligible </w:t>
      </w:r>
      <w:r>
        <w:rPr>
          <w:rFonts w:ascii="Arial" w:hAnsi="Arial" w:cs="Arial"/>
          <w:sz w:val="22"/>
          <w:szCs w:val="22"/>
        </w:rPr>
        <w:t xml:space="preserve">business participant </w:t>
      </w:r>
      <w:r w:rsidR="007D2828">
        <w:rPr>
          <w:rFonts w:ascii="Arial" w:hAnsi="Arial" w:cs="Arial"/>
          <w:sz w:val="22"/>
          <w:szCs w:val="22"/>
        </w:rPr>
        <w:t xml:space="preserve">under </w:t>
      </w:r>
      <w:r>
        <w:rPr>
          <w:rFonts w:ascii="Arial" w:hAnsi="Arial" w:cs="Arial"/>
          <w:sz w:val="22"/>
          <w:szCs w:val="22"/>
        </w:rPr>
        <w:t>p</w:t>
      </w:r>
      <w:r w:rsidRPr="00CF1A25">
        <w:rPr>
          <w:rFonts w:ascii="Arial" w:hAnsi="Arial" w:cs="Arial"/>
          <w:sz w:val="22"/>
          <w:szCs w:val="22"/>
        </w:rPr>
        <w:t>aragraph</w:t>
      </w:r>
      <w:r w:rsidR="00EB461A">
        <w:rPr>
          <w:rFonts w:ascii="Arial" w:hAnsi="Arial" w:cs="Arial"/>
          <w:sz w:val="22"/>
          <w:szCs w:val="22"/>
        </w:rPr>
        <w:t> </w:t>
      </w:r>
      <w:r>
        <w:rPr>
          <w:rFonts w:ascii="Arial" w:hAnsi="Arial" w:cs="Arial"/>
          <w:sz w:val="22"/>
          <w:szCs w:val="22"/>
        </w:rPr>
        <w:t>7</w:t>
      </w:r>
      <w:r w:rsidRPr="00CF1A25">
        <w:rPr>
          <w:rFonts w:ascii="Arial" w:hAnsi="Arial" w:cs="Arial"/>
          <w:sz w:val="22"/>
          <w:szCs w:val="22"/>
        </w:rPr>
        <w:t>(1)(</w:t>
      </w:r>
      <w:r>
        <w:rPr>
          <w:rFonts w:ascii="Arial" w:hAnsi="Arial" w:cs="Arial"/>
          <w:sz w:val="22"/>
          <w:szCs w:val="22"/>
        </w:rPr>
        <w:t>b</w:t>
      </w:r>
      <w:r w:rsidRPr="00CF1A25">
        <w:rPr>
          <w:rFonts w:ascii="Arial" w:hAnsi="Arial" w:cs="Arial"/>
          <w:sz w:val="22"/>
          <w:szCs w:val="22"/>
        </w:rPr>
        <w:t>)</w:t>
      </w:r>
      <w:r>
        <w:rPr>
          <w:rFonts w:ascii="Arial" w:hAnsi="Arial" w:cs="Arial"/>
          <w:sz w:val="22"/>
          <w:szCs w:val="22"/>
        </w:rPr>
        <w:t xml:space="preserve"> is </w:t>
      </w:r>
      <w:r w:rsidRPr="00030CB3">
        <w:rPr>
          <w:rFonts w:ascii="Arial" w:hAnsi="Arial" w:cs="Arial"/>
          <w:sz w:val="22"/>
          <w:szCs w:val="22"/>
        </w:rPr>
        <w:t xml:space="preserve">the 29-day period starting on the day the individual first began to </w:t>
      </w:r>
      <w:r w:rsidR="00BD6DD6">
        <w:rPr>
          <w:rFonts w:ascii="Arial" w:hAnsi="Arial" w:cs="Arial"/>
          <w:sz w:val="22"/>
          <w:szCs w:val="22"/>
        </w:rPr>
        <w:t xml:space="preserve">satisfy the business participation requirement </w:t>
      </w:r>
      <w:r w:rsidRPr="00030CB3">
        <w:rPr>
          <w:rFonts w:ascii="Arial" w:hAnsi="Arial" w:cs="Arial"/>
          <w:sz w:val="22"/>
          <w:szCs w:val="22"/>
        </w:rPr>
        <w:t>for the entity</w:t>
      </w:r>
      <w:r>
        <w:rPr>
          <w:rFonts w:ascii="Arial" w:hAnsi="Arial" w:cs="Arial"/>
          <w:sz w:val="22"/>
          <w:szCs w:val="22"/>
        </w:rPr>
        <w:t xml:space="preserve">. </w:t>
      </w:r>
    </w:p>
    <w:bookmarkEnd w:id="6"/>
    <w:p w14:paraId="4A52D467" w14:textId="779F7CDD" w:rsidR="000062A8" w:rsidRPr="0091425D" w:rsidRDefault="000275FB" w:rsidP="000062A8">
      <w:pPr>
        <w:spacing w:after="120"/>
        <w:rPr>
          <w:rFonts w:ascii="Arial" w:hAnsi="Arial" w:cs="Arial"/>
          <w:sz w:val="28"/>
        </w:rPr>
      </w:pPr>
      <w:r w:rsidRPr="0091425D">
        <w:rPr>
          <w:rFonts w:ascii="Arial" w:hAnsi="Arial" w:cs="Arial"/>
          <w:b/>
          <w:bCs/>
          <w:iCs/>
          <w:szCs w:val="22"/>
        </w:rPr>
        <w:t>E</w:t>
      </w:r>
      <w:r w:rsidR="00190304" w:rsidRPr="0091425D">
        <w:rPr>
          <w:rFonts w:ascii="Arial" w:hAnsi="Arial" w:cs="Arial"/>
          <w:b/>
          <w:bCs/>
          <w:iCs/>
          <w:szCs w:val="22"/>
        </w:rPr>
        <w:t xml:space="preserve">ligible business participants </w:t>
      </w:r>
      <w:r w:rsidRPr="0091425D">
        <w:rPr>
          <w:rFonts w:ascii="Arial" w:hAnsi="Arial" w:cs="Arial"/>
          <w:b/>
          <w:bCs/>
          <w:iCs/>
          <w:szCs w:val="22"/>
        </w:rPr>
        <w:t xml:space="preserve">in businesses </w:t>
      </w:r>
      <w:r w:rsidR="000062A8" w:rsidRPr="0091425D">
        <w:rPr>
          <w:rFonts w:ascii="Arial" w:hAnsi="Arial" w:cs="Arial"/>
          <w:b/>
          <w:bCs/>
          <w:iCs/>
          <w:szCs w:val="22"/>
        </w:rPr>
        <w:t>affected by drought or other natural disaster</w:t>
      </w:r>
    </w:p>
    <w:p w14:paraId="5BB351C7" w14:textId="263579CE" w:rsidR="000275FB" w:rsidRDefault="000275FB" w:rsidP="00551821">
      <w:pPr>
        <w:numPr>
          <w:ilvl w:val="0"/>
          <w:numId w:val="1"/>
        </w:numPr>
        <w:spacing w:after="120"/>
        <w:ind w:left="0" w:firstLine="0"/>
        <w:rPr>
          <w:rFonts w:ascii="Arial" w:hAnsi="Arial" w:cs="Arial"/>
          <w:sz w:val="22"/>
          <w:szCs w:val="22"/>
        </w:rPr>
      </w:pPr>
      <w:r>
        <w:rPr>
          <w:rFonts w:ascii="Arial" w:hAnsi="Arial" w:cs="Arial"/>
          <w:sz w:val="22"/>
          <w:szCs w:val="22"/>
        </w:rPr>
        <w:t>P</w:t>
      </w:r>
      <w:r w:rsidR="008E1B59">
        <w:rPr>
          <w:rFonts w:ascii="Arial" w:hAnsi="Arial" w:cs="Arial"/>
          <w:sz w:val="22"/>
          <w:szCs w:val="22"/>
        </w:rPr>
        <w:t xml:space="preserve">aragraph 7(1)(c) </w:t>
      </w:r>
      <w:r w:rsidR="002E1F17">
        <w:rPr>
          <w:rFonts w:ascii="Arial" w:hAnsi="Arial" w:cs="Arial"/>
          <w:sz w:val="22"/>
          <w:szCs w:val="22"/>
        </w:rPr>
        <w:t xml:space="preserve">applies to </w:t>
      </w:r>
      <w:r w:rsidR="008E1B59">
        <w:rPr>
          <w:rFonts w:ascii="Arial" w:hAnsi="Arial" w:cs="Arial"/>
          <w:sz w:val="22"/>
          <w:szCs w:val="22"/>
        </w:rPr>
        <w:t>e</w:t>
      </w:r>
      <w:r w:rsidR="00190304">
        <w:rPr>
          <w:rFonts w:ascii="Arial" w:hAnsi="Arial" w:cs="Arial"/>
          <w:sz w:val="22"/>
          <w:szCs w:val="22"/>
        </w:rPr>
        <w:t xml:space="preserve">ligible business participants </w:t>
      </w:r>
      <w:r w:rsidR="008E1B59">
        <w:rPr>
          <w:rFonts w:ascii="Arial" w:hAnsi="Arial" w:cs="Arial"/>
          <w:sz w:val="22"/>
          <w:szCs w:val="22"/>
        </w:rPr>
        <w:t>where</w:t>
      </w:r>
      <w:r w:rsidR="00190304">
        <w:rPr>
          <w:rFonts w:ascii="Arial" w:hAnsi="Arial" w:cs="Arial"/>
          <w:sz w:val="22"/>
          <w:szCs w:val="22"/>
        </w:rPr>
        <w:t xml:space="preserve"> the entity, for which they are an eligible business participant, </w:t>
      </w:r>
      <w:r w:rsidR="00190304" w:rsidRPr="00190304">
        <w:rPr>
          <w:rFonts w:ascii="Arial" w:hAnsi="Arial" w:cs="Arial"/>
          <w:sz w:val="22"/>
          <w:szCs w:val="22"/>
        </w:rPr>
        <w:t>conducted business or some of its business in a declared drought zone, or declared natural disaster zone, during February 2020</w:t>
      </w:r>
      <w:r w:rsidR="00BD6DD6">
        <w:rPr>
          <w:rFonts w:ascii="Arial" w:hAnsi="Arial" w:cs="Arial"/>
          <w:sz w:val="22"/>
          <w:szCs w:val="22"/>
        </w:rPr>
        <w:t>.</w:t>
      </w:r>
    </w:p>
    <w:p w14:paraId="36A1D536" w14:textId="48901A64" w:rsidR="00190304" w:rsidRDefault="00190304" w:rsidP="00551821">
      <w:pPr>
        <w:numPr>
          <w:ilvl w:val="0"/>
          <w:numId w:val="1"/>
        </w:numPr>
        <w:spacing w:after="120"/>
        <w:ind w:left="0" w:firstLine="0"/>
        <w:rPr>
          <w:rFonts w:ascii="Arial" w:hAnsi="Arial" w:cs="Arial"/>
          <w:sz w:val="22"/>
          <w:szCs w:val="22"/>
        </w:rPr>
      </w:pPr>
      <w:r>
        <w:rPr>
          <w:rFonts w:ascii="Arial" w:hAnsi="Arial" w:cs="Arial"/>
          <w:sz w:val="22"/>
          <w:szCs w:val="22"/>
        </w:rPr>
        <w:t>The standard reference period of February 2020 would not be suitable.</w:t>
      </w:r>
    </w:p>
    <w:p w14:paraId="5F2F316C" w14:textId="6A93EA17" w:rsidR="008E1B59" w:rsidRPr="00CE41C3" w:rsidRDefault="000275FB" w:rsidP="00CE41C3">
      <w:pPr>
        <w:spacing w:after="120"/>
        <w:rPr>
          <w:rFonts w:ascii="Arial" w:hAnsi="Arial" w:cs="Arial"/>
          <w:sz w:val="22"/>
          <w:szCs w:val="22"/>
        </w:rPr>
      </w:pPr>
      <w:r>
        <w:rPr>
          <w:rFonts w:ascii="Arial" w:hAnsi="Arial" w:cs="Arial"/>
          <w:b/>
          <w:bCs/>
          <w:i/>
          <w:iCs/>
          <w:sz w:val="22"/>
          <w:szCs w:val="22"/>
        </w:rPr>
        <w:t>Drought or natural disaster: a</w:t>
      </w:r>
      <w:r w:rsidR="008E1B59" w:rsidRPr="00CE41C3">
        <w:rPr>
          <w:rFonts w:ascii="Arial" w:hAnsi="Arial" w:cs="Arial"/>
          <w:b/>
          <w:bCs/>
          <w:i/>
          <w:iCs/>
          <w:sz w:val="22"/>
          <w:szCs w:val="22"/>
        </w:rPr>
        <w:t xml:space="preserve">lternative reference period </w:t>
      </w:r>
    </w:p>
    <w:p w14:paraId="1805BDFC" w14:textId="3FF67579" w:rsidR="00806937" w:rsidRDefault="00774941" w:rsidP="00256FCD">
      <w:pPr>
        <w:numPr>
          <w:ilvl w:val="0"/>
          <w:numId w:val="1"/>
        </w:numPr>
        <w:spacing w:after="120"/>
        <w:ind w:left="0" w:firstLine="0"/>
        <w:rPr>
          <w:rFonts w:ascii="Arial" w:hAnsi="Arial" w:cs="Arial"/>
          <w:b/>
          <w:bCs/>
          <w:i/>
          <w:iCs/>
          <w:sz w:val="22"/>
          <w:szCs w:val="22"/>
        </w:rPr>
      </w:pPr>
      <w:r>
        <w:rPr>
          <w:rFonts w:ascii="Arial" w:hAnsi="Arial" w:cs="Arial"/>
          <w:sz w:val="22"/>
          <w:szCs w:val="22"/>
        </w:rPr>
        <w:t>T</w:t>
      </w:r>
      <w:r w:rsidR="00BA216C">
        <w:rPr>
          <w:rFonts w:ascii="Arial" w:hAnsi="Arial" w:cs="Arial"/>
          <w:sz w:val="22"/>
          <w:szCs w:val="22"/>
        </w:rPr>
        <w:t xml:space="preserve">he reference period would be the most recent </w:t>
      </w:r>
      <w:r w:rsidR="00551F97">
        <w:rPr>
          <w:rFonts w:ascii="Arial" w:hAnsi="Arial" w:cs="Arial"/>
          <w:sz w:val="22"/>
          <w:szCs w:val="22"/>
        </w:rPr>
        <w:t>29-day period ending before 1 March 2020</w:t>
      </w:r>
      <w:r w:rsidR="00BA216C">
        <w:rPr>
          <w:rFonts w:ascii="Arial" w:hAnsi="Arial" w:cs="Arial"/>
          <w:sz w:val="22"/>
          <w:szCs w:val="22"/>
        </w:rPr>
        <w:t xml:space="preserve">, </w:t>
      </w:r>
      <w:r w:rsidR="00551F97">
        <w:rPr>
          <w:rFonts w:ascii="Arial" w:hAnsi="Arial" w:cs="Arial"/>
          <w:sz w:val="22"/>
          <w:szCs w:val="22"/>
        </w:rPr>
        <w:t>during</w:t>
      </w:r>
      <w:r w:rsidR="00BA216C">
        <w:rPr>
          <w:rFonts w:ascii="Arial" w:hAnsi="Arial" w:cs="Arial"/>
          <w:sz w:val="22"/>
          <w:szCs w:val="22"/>
        </w:rPr>
        <w:t xml:space="preserve"> which the entity did not conduct business or some of its business in a declared drought zone or declared natural disaster zone. </w:t>
      </w:r>
    </w:p>
    <w:p w14:paraId="2E9EDE71" w14:textId="02B6CDE5" w:rsidR="00806937" w:rsidRPr="0091425D" w:rsidRDefault="00806937" w:rsidP="00806937">
      <w:pPr>
        <w:spacing w:after="120"/>
        <w:rPr>
          <w:rFonts w:ascii="Arial" w:hAnsi="Arial" w:cs="Arial"/>
          <w:b/>
          <w:bCs/>
          <w:iCs/>
          <w:szCs w:val="22"/>
        </w:rPr>
      </w:pPr>
      <w:r w:rsidRPr="0091425D">
        <w:rPr>
          <w:rFonts w:ascii="Arial" w:hAnsi="Arial" w:cs="Arial"/>
          <w:b/>
          <w:bCs/>
          <w:iCs/>
          <w:szCs w:val="22"/>
        </w:rPr>
        <w:t>If more than one alternative reference period appl</w:t>
      </w:r>
      <w:r w:rsidR="00551F97" w:rsidRPr="0091425D">
        <w:rPr>
          <w:rFonts w:ascii="Arial" w:hAnsi="Arial" w:cs="Arial"/>
          <w:b/>
          <w:bCs/>
          <w:iCs/>
          <w:szCs w:val="22"/>
        </w:rPr>
        <w:t>ies to an eligible business participant</w:t>
      </w:r>
    </w:p>
    <w:p w14:paraId="1B997DD0" w14:textId="40CF264B" w:rsidR="00EE55F0" w:rsidRPr="00B41968" w:rsidRDefault="00AF19E5" w:rsidP="00B41968">
      <w:pPr>
        <w:numPr>
          <w:ilvl w:val="0"/>
          <w:numId w:val="1"/>
        </w:numPr>
        <w:spacing w:after="120"/>
        <w:ind w:left="0" w:firstLine="0"/>
        <w:rPr>
          <w:rFonts w:ascii="Arial" w:hAnsi="Arial" w:cs="Arial"/>
          <w:sz w:val="22"/>
          <w:szCs w:val="22"/>
        </w:rPr>
      </w:pPr>
      <w:r>
        <w:rPr>
          <w:rFonts w:ascii="Arial" w:hAnsi="Arial" w:cs="Arial"/>
          <w:sz w:val="22"/>
          <w:szCs w:val="22"/>
        </w:rPr>
        <w:t>W</w:t>
      </w:r>
      <w:r w:rsidR="00806937" w:rsidRPr="00256FCD">
        <w:rPr>
          <w:rFonts w:ascii="Arial" w:hAnsi="Arial" w:cs="Arial"/>
          <w:sz w:val="22"/>
          <w:szCs w:val="22"/>
        </w:rPr>
        <w:t xml:space="preserve">here more than one alternative reference period under the legislative instrument </w:t>
      </w:r>
      <w:r>
        <w:rPr>
          <w:rFonts w:ascii="Arial" w:hAnsi="Arial" w:cs="Arial"/>
          <w:sz w:val="22"/>
          <w:szCs w:val="22"/>
        </w:rPr>
        <w:t xml:space="preserve">can </w:t>
      </w:r>
      <w:r w:rsidR="00806937" w:rsidRPr="00256FCD">
        <w:rPr>
          <w:rFonts w:ascii="Arial" w:hAnsi="Arial" w:cs="Arial"/>
          <w:sz w:val="22"/>
          <w:szCs w:val="22"/>
        </w:rPr>
        <w:t>appl</w:t>
      </w:r>
      <w:r>
        <w:rPr>
          <w:rFonts w:ascii="Arial" w:hAnsi="Arial" w:cs="Arial"/>
          <w:sz w:val="22"/>
          <w:szCs w:val="22"/>
        </w:rPr>
        <w:t>y</w:t>
      </w:r>
      <w:r w:rsidR="00806937" w:rsidRPr="00256FCD">
        <w:rPr>
          <w:rFonts w:ascii="Arial" w:hAnsi="Arial" w:cs="Arial"/>
          <w:sz w:val="22"/>
          <w:szCs w:val="22"/>
        </w:rPr>
        <w:t xml:space="preserve"> to </w:t>
      </w:r>
      <w:r>
        <w:rPr>
          <w:rFonts w:ascii="Arial" w:hAnsi="Arial" w:cs="Arial"/>
          <w:sz w:val="22"/>
          <w:szCs w:val="22"/>
        </w:rPr>
        <w:t xml:space="preserve">an </w:t>
      </w:r>
      <w:r w:rsidRPr="00FF3C2C">
        <w:rPr>
          <w:rFonts w:ascii="Arial" w:hAnsi="Arial" w:cs="Arial"/>
          <w:sz w:val="22"/>
          <w:szCs w:val="22"/>
        </w:rPr>
        <w:t>eligible business participant</w:t>
      </w:r>
      <w:r>
        <w:rPr>
          <w:rFonts w:ascii="Arial" w:hAnsi="Arial" w:cs="Arial"/>
          <w:sz w:val="22"/>
          <w:szCs w:val="22"/>
        </w:rPr>
        <w:t xml:space="preserve">, </w:t>
      </w:r>
      <w:r w:rsidR="00427D4E">
        <w:rPr>
          <w:rFonts w:ascii="Arial" w:hAnsi="Arial" w:cs="Arial"/>
          <w:sz w:val="22"/>
          <w:szCs w:val="22"/>
        </w:rPr>
        <w:t xml:space="preserve">each </w:t>
      </w:r>
      <w:r w:rsidR="0036619F">
        <w:rPr>
          <w:rFonts w:ascii="Arial" w:hAnsi="Arial" w:cs="Arial"/>
          <w:sz w:val="22"/>
          <w:szCs w:val="22"/>
        </w:rPr>
        <w:t xml:space="preserve">of those </w:t>
      </w:r>
      <w:r w:rsidR="00806937" w:rsidRPr="00256FCD">
        <w:rPr>
          <w:rFonts w:ascii="Arial" w:hAnsi="Arial" w:cs="Arial"/>
          <w:sz w:val="22"/>
          <w:szCs w:val="22"/>
        </w:rPr>
        <w:t>alternative reference period</w:t>
      </w:r>
      <w:r w:rsidR="0036619F">
        <w:rPr>
          <w:rFonts w:ascii="Arial" w:hAnsi="Arial" w:cs="Arial"/>
          <w:sz w:val="22"/>
          <w:szCs w:val="22"/>
        </w:rPr>
        <w:t>s</w:t>
      </w:r>
      <w:r w:rsidR="00806937" w:rsidRPr="00256FCD">
        <w:rPr>
          <w:rFonts w:ascii="Arial" w:hAnsi="Arial" w:cs="Arial"/>
          <w:sz w:val="22"/>
          <w:szCs w:val="22"/>
        </w:rPr>
        <w:t xml:space="preserve"> </w:t>
      </w:r>
      <w:r w:rsidR="000275FB">
        <w:rPr>
          <w:rFonts w:ascii="Arial" w:hAnsi="Arial" w:cs="Arial"/>
          <w:sz w:val="22"/>
          <w:szCs w:val="22"/>
        </w:rPr>
        <w:t>can apply</w:t>
      </w:r>
      <w:r w:rsidR="00806937" w:rsidRPr="00256FCD">
        <w:rPr>
          <w:rFonts w:ascii="Arial" w:hAnsi="Arial" w:cs="Arial"/>
          <w:sz w:val="22"/>
          <w:szCs w:val="22"/>
        </w:rPr>
        <w:t xml:space="preserve"> </w:t>
      </w:r>
      <w:r w:rsidR="002C75CA">
        <w:rPr>
          <w:rFonts w:ascii="Arial" w:hAnsi="Arial" w:cs="Arial"/>
          <w:sz w:val="22"/>
          <w:szCs w:val="22"/>
        </w:rPr>
        <w:t xml:space="preserve">to </w:t>
      </w:r>
      <w:r w:rsidR="00EE55F0" w:rsidRPr="00B41968">
        <w:rPr>
          <w:rFonts w:ascii="Arial" w:hAnsi="Arial" w:cs="Arial"/>
          <w:sz w:val="22"/>
          <w:szCs w:val="22"/>
        </w:rPr>
        <w:t xml:space="preserve">determine that the total number of hours of active engagement is 80 or more in that period. </w:t>
      </w:r>
    </w:p>
    <w:p w14:paraId="62DAE5F8" w14:textId="48956F52" w:rsidR="00806937" w:rsidRPr="00E526DA" w:rsidRDefault="00774941" w:rsidP="002E1F17">
      <w:pPr>
        <w:numPr>
          <w:ilvl w:val="0"/>
          <w:numId w:val="1"/>
        </w:numPr>
        <w:spacing w:after="120"/>
        <w:ind w:left="0" w:firstLine="0"/>
        <w:rPr>
          <w:rFonts w:ascii="Arial" w:hAnsi="Arial" w:cs="Arial"/>
          <w:color w:val="0000FF"/>
          <w:sz w:val="22"/>
          <w:szCs w:val="22"/>
        </w:rPr>
      </w:pPr>
      <w:r w:rsidRPr="002E1F17">
        <w:rPr>
          <w:rFonts w:ascii="Arial" w:hAnsi="Arial" w:cs="Arial"/>
          <w:sz w:val="22"/>
          <w:szCs w:val="22"/>
        </w:rPr>
        <w:t>F</w:t>
      </w:r>
      <w:r w:rsidR="005B0AC4" w:rsidRPr="004B11A5">
        <w:rPr>
          <w:rFonts w:ascii="Arial" w:hAnsi="Arial" w:cs="Arial"/>
          <w:sz w:val="22"/>
          <w:szCs w:val="22"/>
        </w:rPr>
        <w:t xml:space="preserve">or example, where </w:t>
      </w:r>
      <w:r w:rsidR="00AF19E5" w:rsidRPr="004B11A5">
        <w:rPr>
          <w:rFonts w:ascii="Arial" w:hAnsi="Arial" w:cs="Arial"/>
          <w:sz w:val="22"/>
          <w:szCs w:val="22"/>
        </w:rPr>
        <w:t>the eligible business participant</w:t>
      </w:r>
      <w:r w:rsidR="00AF19E5" w:rsidRPr="00A91BE1">
        <w:rPr>
          <w:rFonts w:ascii="Arial" w:hAnsi="Arial" w:cs="Arial"/>
          <w:sz w:val="22"/>
          <w:szCs w:val="22"/>
        </w:rPr>
        <w:t xml:space="preserve">’s total number of hours of active engagement in February 2020 was not representative of a typical 29-day period, and </w:t>
      </w:r>
      <w:r w:rsidR="005B0AC4" w:rsidRPr="00A91BE1">
        <w:rPr>
          <w:rFonts w:ascii="Arial" w:hAnsi="Arial" w:cs="Arial"/>
          <w:sz w:val="22"/>
          <w:szCs w:val="22"/>
        </w:rPr>
        <w:t xml:space="preserve">during that </w:t>
      </w:r>
      <w:r w:rsidR="00AF19E5" w:rsidRPr="00A91BE1">
        <w:rPr>
          <w:rFonts w:ascii="Arial" w:hAnsi="Arial" w:cs="Arial"/>
          <w:sz w:val="22"/>
          <w:szCs w:val="22"/>
        </w:rPr>
        <w:t>same month,</w:t>
      </w:r>
      <w:r w:rsidR="005B0AC4" w:rsidRPr="00255A1E">
        <w:rPr>
          <w:rFonts w:ascii="Arial" w:hAnsi="Arial" w:cs="Arial"/>
          <w:sz w:val="22"/>
          <w:szCs w:val="22"/>
        </w:rPr>
        <w:t xml:space="preserve"> the entity conducted some or all of its business in a declared natural disaster zone</w:t>
      </w:r>
      <w:r w:rsidR="006121ED">
        <w:rPr>
          <w:rFonts w:ascii="Arial" w:hAnsi="Arial" w:cs="Arial"/>
          <w:sz w:val="22"/>
          <w:szCs w:val="22"/>
        </w:rPr>
        <w:t>,</w:t>
      </w:r>
      <w:r w:rsidR="008E5883" w:rsidRPr="00193B8F">
        <w:rPr>
          <w:rFonts w:ascii="Arial" w:hAnsi="Arial" w:cs="Arial"/>
          <w:sz w:val="22"/>
          <w:szCs w:val="22"/>
        </w:rPr>
        <w:t xml:space="preserve"> </w:t>
      </w:r>
      <w:r w:rsidR="0091425D">
        <w:rPr>
          <w:rFonts w:ascii="Arial" w:hAnsi="Arial" w:cs="Arial"/>
          <w:sz w:val="22"/>
          <w:szCs w:val="22"/>
        </w:rPr>
        <w:t xml:space="preserve">multiple </w:t>
      </w:r>
      <w:r w:rsidR="008E5883" w:rsidRPr="00193B8F">
        <w:rPr>
          <w:rFonts w:ascii="Arial" w:hAnsi="Arial" w:cs="Arial"/>
          <w:sz w:val="22"/>
          <w:szCs w:val="22"/>
        </w:rPr>
        <w:t xml:space="preserve">alternative reference periods could </w:t>
      </w:r>
      <w:r w:rsidR="00C31D99" w:rsidRPr="00193B8F">
        <w:rPr>
          <w:rFonts w:ascii="Arial" w:hAnsi="Arial" w:cs="Arial"/>
          <w:sz w:val="22"/>
          <w:szCs w:val="22"/>
        </w:rPr>
        <w:t>apply</w:t>
      </w:r>
      <w:r w:rsidR="008E5883" w:rsidRPr="00FC2592">
        <w:rPr>
          <w:rFonts w:ascii="Arial" w:hAnsi="Arial" w:cs="Arial"/>
          <w:sz w:val="22"/>
          <w:szCs w:val="22"/>
        </w:rPr>
        <w:t xml:space="preserve">. </w:t>
      </w:r>
      <w:r w:rsidR="0091425D">
        <w:rPr>
          <w:rFonts w:ascii="Arial" w:hAnsi="Arial" w:cs="Arial"/>
          <w:sz w:val="22"/>
          <w:szCs w:val="22"/>
        </w:rPr>
        <w:t xml:space="preserve">Any alternative reference period in which the eligible business participant </w:t>
      </w:r>
      <w:r w:rsidR="006121ED">
        <w:rPr>
          <w:rFonts w:ascii="Arial" w:hAnsi="Arial" w:cs="Arial"/>
          <w:sz w:val="22"/>
          <w:szCs w:val="22"/>
        </w:rPr>
        <w:t xml:space="preserve">was </w:t>
      </w:r>
      <w:r w:rsidR="0091425D">
        <w:rPr>
          <w:rFonts w:ascii="Arial" w:hAnsi="Arial" w:cs="Arial"/>
          <w:sz w:val="22"/>
          <w:szCs w:val="22"/>
        </w:rPr>
        <w:t xml:space="preserve">actively engaged in the business for 80 hours </w:t>
      </w:r>
      <w:r w:rsidR="006121ED">
        <w:rPr>
          <w:rFonts w:ascii="Arial" w:hAnsi="Arial" w:cs="Arial"/>
          <w:sz w:val="22"/>
          <w:szCs w:val="22"/>
        </w:rPr>
        <w:t xml:space="preserve">or more </w:t>
      </w:r>
      <w:r w:rsidR="0091425D">
        <w:rPr>
          <w:rFonts w:ascii="Arial" w:hAnsi="Arial" w:cs="Arial"/>
          <w:sz w:val="22"/>
          <w:szCs w:val="22"/>
        </w:rPr>
        <w:t>can be used to determine that the higher rate applies</w:t>
      </w:r>
      <w:r w:rsidR="00C31D99" w:rsidRPr="00E526DA">
        <w:rPr>
          <w:rFonts w:ascii="Arial" w:hAnsi="Arial" w:cs="Arial"/>
          <w:sz w:val="22"/>
          <w:szCs w:val="22"/>
        </w:rPr>
        <w:t>.</w:t>
      </w:r>
    </w:p>
    <w:p w14:paraId="36974BB6" w14:textId="349928DA" w:rsidR="00095530" w:rsidRPr="0091425D" w:rsidRDefault="00095530" w:rsidP="000062A8">
      <w:pPr>
        <w:spacing w:after="120"/>
        <w:rPr>
          <w:rFonts w:ascii="Arial" w:hAnsi="Arial" w:cs="Arial"/>
          <w:b/>
          <w:bCs/>
          <w:iCs/>
          <w:sz w:val="28"/>
          <w:szCs w:val="22"/>
        </w:rPr>
      </w:pPr>
      <w:r w:rsidRPr="0091425D">
        <w:rPr>
          <w:rFonts w:ascii="Arial" w:hAnsi="Arial" w:cs="Arial"/>
          <w:b/>
          <w:bCs/>
          <w:iCs/>
          <w:sz w:val="28"/>
          <w:szCs w:val="22"/>
        </w:rPr>
        <w:lastRenderedPageBreak/>
        <w:t>E</w:t>
      </w:r>
      <w:r w:rsidR="00F74384" w:rsidRPr="0091425D">
        <w:rPr>
          <w:rFonts w:ascii="Arial" w:hAnsi="Arial" w:cs="Arial"/>
          <w:b/>
          <w:bCs/>
          <w:iCs/>
          <w:sz w:val="28"/>
          <w:szCs w:val="22"/>
        </w:rPr>
        <w:t>ligible religious practitioners</w:t>
      </w:r>
    </w:p>
    <w:p w14:paraId="5B6C26BD" w14:textId="72C0F521" w:rsidR="000062A8" w:rsidRPr="0091425D" w:rsidRDefault="00095530" w:rsidP="000062A8">
      <w:pPr>
        <w:spacing w:after="120"/>
        <w:rPr>
          <w:rFonts w:ascii="Arial" w:hAnsi="Arial" w:cs="Arial"/>
          <w:szCs w:val="22"/>
        </w:rPr>
      </w:pPr>
      <w:r w:rsidRPr="0091425D">
        <w:rPr>
          <w:rFonts w:ascii="Arial" w:hAnsi="Arial" w:cs="Arial"/>
          <w:b/>
          <w:bCs/>
          <w:iCs/>
          <w:szCs w:val="22"/>
        </w:rPr>
        <w:t xml:space="preserve">Total </w:t>
      </w:r>
      <w:r w:rsidR="00F74384" w:rsidRPr="0091425D">
        <w:rPr>
          <w:rFonts w:ascii="Arial" w:hAnsi="Arial" w:cs="Arial"/>
          <w:b/>
          <w:bCs/>
          <w:iCs/>
          <w:szCs w:val="22"/>
        </w:rPr>
        <w:t>number of hours not representative of a typical 29-day period</w:t>
      </w:r>
    </w:p>
    <w:p w14:paraId="5D41E669" w14:textId="464C9E30" w:rsidR="00095530" w:rsidRDefault="00095530" w:rsidP="008C74CC">
      <w:pPr>
        <w:numPr>
          <w:ilvl w:val="0"/>
          <w:numId w:val="1"/>
        </w:numPr>
        <w:spacing w:after="120"/>
        <w:ind w:left="0" w:firstLine="0"/>
        <w:rPr>
          <w:rFonts w:ascii="Arial" w:hAnsi="Arial" w:cs="Arial"/>
          <w:sz w:val="22"/>
          <w:szCs w:val="22"/>
        </w:rPr>
      </w:pPr>
      <w:r>
        <w:rPr>
          <w:rFonts w:ascii="Arial" w:hAnsi="Arial" w:cs="Arial"/>
          <w:sz w:val="22"/>
          <w:szCs w:val="22"/>
        </w:rPr>
        <w:t>P</w:t>
      </w:r>
      <w:r w:rsidR="008C74CC" w:rsidRPr="00341267">
        <w:rPr>
          <w:rFonts w:ascii="Arial" w:hAnsi="Arial" w:cs="Arial"/>
          <w:sz w:val="22"/>
          <w:szCs w:val="22"/>
        </w:rPr>
        <w:t xml:space="preserve">aragraph </w:t>
      </w:r>
      <w:r w:rsidR="008C74CC">
        <w:rPr>
          <w:rFonts w:ascii="Arial" w:hAnsi="Arial" w:cs="Arial"/>
          <w:sz w:val="22"/>
          <w:szCs w:val="22"/>
        </w:rPr>
        <w:t>8</w:t>
      </w:r>
      <w:r w:rsidR="008C74CC" w:rsidRPr="00341267">
        <w:rPr>
          <w:rFonts w:ascii="Arial" w:hAnsi="Arial" w:cs="Arial"/>
          <w:sz w:val="22"/>
          <w:szCs w:val="22"/>
        </w:rPr>
        <w:t xml:space="preserve">(1)(a) applies to </w:t>
      </w:r>
      <w:r w:rsidR="00E91EAA" w:rsidRPr="00E91EAA">
        <w:rPr>
          <w:rFonts w:ascii="Arial" w:hAnsi="Arial" w:cs="Arial"/>
          <w:sz w:val="22"/>
          <w:szCs w:val="22"/>
        </w:rPr>
        <w:t>eligible religious practitioners whose</w:t>
      </w:r>
      <w:r>
        <w:rPr>
          <w:rFonts w:ascii="Arial" w:hAnsi="Arial" w:cs="Arial"/>
          <w:sz w:val="22"/>
          <w:szCs w:val="22"/>
        </w:rPr>
        <w:t>:</w:t>
      </w:r>
      <w:r w:rsidR="00E91EAA" w:rsidRPr="00E91EAA">
        <w:rPr>
          <w:rFonts w:ascii="Arial" w:hAnsi="Arial" w:cs="Arial"/>
          <w:sz w:val="22"/>
          <w:szCs w:val="22"/>
        </w:rPr>
        <w:t xml:space="preserve"> </w:t>
      </w:r>
    </w:p>
    <w:p w14:paraId="6C3D6115" w14:textId="6D604B4E" w:rsidR="003054D3" w:rsidRDefault="0036619F" w:rsidP="0091425D">
      <w:pPr>
        <w:numPr>
          <w:ilvl w:val="1"/>
          <w:numId w:val="1"/>
        </w:numPr>
        <w:spacing w:after="120"/>
        <w:rPr>
          <w:rFonts w:ascii="Arial" w:hAnsi="Arial" w:cs="Arial"/>
          <w:sz w:val="22"/>
          <w:szCs w:val="22"/>
        </w:rPr>
      </w:pPr>
      <w:r>
        <w:rPr>
          <w:rFonts w:ascii="Arial" w:hAnsi="Arial" w:cs="Arial"/>
          <w:sz w:val="22"/>
          <w:szCs w:val="22"/>
        </w:rPr>
        <w:t xml:space="preserve">total number of hours they </w:t>
      </w:r>
      <w:r w:rsidRPr="00F24683">
        <w:rPr>
          <w:rFonts w:ascii="Arial" w:hAnsi="Arial" w:cs="Arial"/>
          <w:sz w:val="22"/>
          <w:szCs w:val="22"/>
        </w:rPr>
        <w:t xml:space="preserve">spent doing activities covered by paragraph 12B(2)(b) of the Rules </w:t>
      </w:r>
      <w:r>
        <w:rPr>
          <w:rFonts w:ascii="Arial" w:hAnsi="Arial" w:cs="Arial"/>
          <w:sz w:val="22"/>
          <w:szCs w:val="22"/>
        </w:rPr>
        <w:t>in February 2020:</w:t>
      </w:r>
    </w:p>
    <w:p w14:paraId="60F61678" w14:textId="60C47806" w:rsidR="00095530" w:rsidRDefault="00E91EAA" w:rsidP="008B720D">
      <w:pPr>
        <w:numPr>
          <w:ilvl w:val="2"/>
          <w:numId w:val="1"/>
        </w:numPr>
        <w:spacing w:after="120"/>
        <w:rPr>
          <w:rFonts w:ascii="Arial" w:hAnsi="Arial" w:cs="Arial"/>
          <w:sz w:val="22"/>
          <w:szCs w:val="22"/>
        </w:rPr>
      </w:pPr>
      <w:r w:rsidRPr="00E91EAA">
        <w:rPr>
          <w:rFonts w:ascii="Arial" w:hAnsi="Arial" w:cs="Arial"/>
          <w:sz w:val="22"/>
          <w:szCs w:val="22"/>
        </w:rPr>
        <w:t>was less than 80 hours</w:t>
      </w:r>
      <w:r w:rsidR="00095530">
        <w:rPr>
          <w:rFonts w:ascii="Arial" w:hAnsi="Arial" w:cs="Arial"/>
          <w:sz w:val="22"/>
          <w:szCs w:val="22"/>
        </w:rPr>
        <w:t>;</w:t>
      </w:r>
      <w:r w:rsidRPr="00E91EAA">
        <w:rPr>
          <w:rFonts w:ascii="Arial" w:hAnsi="Arial" w:cs="Arial"/>
          <w:sz w:val="22"/>
          <w:szCs w:val="22"/>
        </w:rPr>
        <w:t xml:space="preserve"> and </w:t>
      </w:r>
    </w:p>
    <w:p w14:paraId="4FE46401" w14:textId="054E0B45" w:rsidR="008C74CC" w:rsidRDefault="003054D3" w:rsidP="008B720D">
      <w:pPr>
        <w:numPr>
          <w:ilvl w:val="2"/>
          <w:numId w:val="1"/>
        </w:numPr>
        <w:spacing w:after="120"/>
        <w:rPr>
          <w:rFonts w:ascii="Arial" w:hAnsi="Arial" w:cs="Arial"/>
          <w:sz w:val="22"/>
          <w:szCs w:val="22"/>
        </w:rPr>
      </w:pPr>
      <w:r>
        <w:rPr>
          <w:rFonts w:ascii="Arial" w:hAnsi="Arial" w:cs="Arial"/>
          <w:sz w:val="22"/>
          <w:szCs w:val="22"/>
        </w:rPr>
        <w:t xml:space="preserve">when </w:t>
      </w:r>
      <w:r w:rsidR="00E91EAA" w:rsidRPr="00E91EAA">
        <w:rPr>
          <w:rFonts w:ascii="Arial" w:hAnsi="Arial" w:cs="Arial"/>
          <w:sz w:val="22"/>
          <w:szCs w:val="22"/>
        </w:rPr>
        <w:t>compar</w:t>
      </w:r>
      <w:r>
        <w:rPr>
          <w:rFonts w:ascii="Arial" w:hAnsi="Arial" w:cs="Arial"/>
          <w:sz w:val="22"/>
          <w:szCs w:val="22"/>
        </w:rPr>
        <w:t>ed</w:t>
      </w:r>
      <w:r w:rsidR="00E91EAA" w:rsidRPr="00E91EAA">
        <w:rPr>
          <w:rFonts w:ascii="Arial" w:hAnsi="Arial" w:cs="Arial"/>
          <w:sz w:val="22"/>
          <w:szCs w:val="22"/>
        </w:rPr>
        <w:t xml:space="preserve"> to earlier 29-day periods</w:t>
      </w:r>
      <w:r w:rsidR="00FF557B">
        <w:rPr>
          <w:rFonts w:ascii="Arial" w:hAnsi="Arial" w:cs="Arial"/>
          <w:sz w:val="22"/>
          <w:szCs w:val="22"/>
        </w:rPr>
        <w:t xml:space="preserve"> (each wholly within a calendar month)</w:t>
      </w:r>
      <w:r w:rsidR="00E91EAA" w:rsidRPr="00E91EAA">
        <w:rPr>
          <w:rFonts w:ascii="Arial" w:hAnsi="Arial" w:cs="Arial"/>
          <w:sz w:val="22"/>
          <w:szCs w:val="22"/>
        </w:rPr>
        <w:t xml:space="preserve">, was not representative of the eligible religious practitioner’s total number of those hours in a typical </w:t>
      </w:r>
      <w:r w:rsidR="00FF557B">
        <w:rPr>
          <w:rFonts w:ascii="Arial" w:hAnsi="Arial" w:cs="Arial"/>
          <w:sz w:val="22"/>
          <w:szCs w:val="22"/>
        </w:rPr>
        <w:t xml:space="preserve">such </w:t>
      </w:r>
      <w:r w:rsidR="00E91EAA" w:rsidRPr="00E91EAA">
        <w:rPr>
          <w:rFonts w:ascii="Arial" w:hAnsi="Arial" w:cs="Arial"/>
          <w:sz w:val="22"/>
          <w:szCs w:val="22"/>
        </w:rPr>
        <w:t>29</w:t>
      </w:r>
      <w:r w:rsidR="00FF557B">
        <w:rPr>
          <w:rFonts w:ascii="Arial" w:hAnsi="Arial" w:cs="Arial"/>
          <w:sz w:val="22"/>
          <w:szCs w:val="22"/>
        </w:rPr>
        <w:t>-</w:t>
      </w:r>
      <w:r w:rsidR="00E91EAA" w:rsidRPr="00E91EAA">
        <w:rPr>
          <w:rFonts w:ascii="Arial" w:hAnsi="Arial" w:cs="Arial"/>
          <w:sz w:val="22"/>
          <w:szCs w:val="22"/>
        </w:rPr>
        <w:t>day period</w:t>
      </w:r>
      <w:r w:rsidR="00E91EAA">
        <w:rPr>
          <w:rFonts w:ascii="Arial" w:hAnsi="Arial" w:cs="Arial"/>
          <w:sz w:val="22"/>
          <w:szCs w:val="22"/>
        </w:rPr>
        <w:t xml:space="preserve">. </w:t>
      </w:r>
    </w:p>
    <w:p w14:paraId="557D3391" w14:textId="25A7D90B" w:rsidR="008C74CC" w:rsidRPr="008C74CC" w:rsidRDefault="008C74CC" w:rsidP="008C74CC">
      <w:pPr>
        <w:numPr>
          <w:ilvl w:val="0"/>
          <w:numId w:val="1"/>
        </w:numPr>
        <w:spacing w:after="120"/>
        <w:rPr>
          <w:rFonts w:ascii="Arial" w:hAnsi="Arial" w:cs="Arial"/>
          <w:sz w:val="22"/>
          <w:szCs w:val="22"/>
        </w:rPr>
      </w:pPr>
      <w:r>
        <w:rPr>
          <w:rFonts w:ascii="Arial" w:hAnsi="Arial" w:cs="Arial"/>
          <w:sz w:val="22"/>
          <w:szCs w:val="22"/>
        </w:rPr>
        <w:t xml:space="preserve">Activities covered by </w:t>
      </w:r>
      <w:r w:rsidR="00BB2E6C">
        <w:rPr>
          <w:rFonts w:ascii="Arial" w:hAnsi="Arial" w:cs="Arial"/>
          <w:sz w:val="22"/>
          <w:szCs w:val="22"/>
        </w:rPr>
        <w:t xml:space="preserve">paragraph </w:t>
      </w:r>
      <w:r w:rsidRPr="008C74CC">
        <w:rPr>
          <w:rFonts w:ascii="Arial" w:hAnsi="Arial" w:cs="Arial"/>
          <w:sz w:val="22"/>
          <w:szCs w:val="22"/>
        </w:rPr>
        <w:t>12B(2)(b) of the Rules</w:t>
      </w:r>
      <w:r>
        <w:rPr>
          <w:rFonts w:ascii="Arial" w:hAnsi="Arial" w:cs="Arial"/>
          <w:sz w:val="22"/>
          <w:szCs w:val="22"/>
        </w:rPr>
        <w:t xml:space="preserve"> are </w:t>
      </w:r>
      <w:r w:rsidRPr="008C74CC">
        <w:rPr>
          <w:rFonts w:ascii="Arial" w:hAnsi="Arial" w:cs="Arial"/>
          <w:sz w:val="22"/>
          <w:szCs w:val="22"/>
        </w:rPr>
        <w:t>an activity, or a series of activities:</w:t>
      </w:r>
    </w:p>
    <w:p w14:paraId="3F302F85" w14:textId="77777777" w:rsidR="008C74CC" w:rsidRPr="008C74CC" w:rsidRDefault="008C74CC" w:rsidP="008C74CC">
      <w:pPr>
        <w:numPr>
          <w:ilvl w:val="1"/>
          <w:numId w:val="1"/>
        </w:numPr>
        <w:spacing w:after="120"/>
        <w:rPr>
          <w:rFonts w:ascii="Arial" w:hAnsi="Arial" w:cs="Arial"/>
          <w:sz w:val="22"/>
          <w:szCs w:val="22"/>
        </w:rPr>
      </w:pPr>
      <w:r w:rsidRPr="008C74CC">
        <w:rPr>
          <w:rFonts w:ascii="Arial" w:hAnsi="Arial" w:cs="Arial"/>
          <w:sz w:val="22"/>
          <w:szCs w:val="22"/>
        </w:rPr>
        <w:t>in pursuit of the individual’s vocation as a religious practitioner; and</w:t>
      </w:r>
    </w:p>
    <w:p w14:paraId="369BE619" w14:textId="77777777" w:rsidR="008C74CC" w:rsidRPr="00341267" w:rsidRDefault="008C74CC" w:rsidP="008C74CC">
      <w:pPr>
        <w:numPr>
          <w:ilvl w:val="1"/>
          <w:numId w:val="1"/>
        </w:numPr>
        <w:spacing w:after="120"/>
        <w:rPr>
          <w:rFonts w:ascii="Arial" w:hAnsi="Arial" w:cs="Arial"/>
          <w:sz w:val="22"/>
          <w:szCs w:val="22"/>
        </w:rPr>
      </w:pPr>
      <w:r w:rsidRPr="008C74CC">
        <w:rPr>
          <w:rFonts w:ascii="Arial" w:hAnsi="Arial" w:cs="Arial"/>
          <w:sz w:val="22"/>
          <w:szCs w:val="22"/>
        </w:rPr>
        <w:t>as a member of the registered religious institution.</w:t>
      </w:r>
    </w:p>
    <w:p w14:paraId="07DD4871" w14:textId="35DE5508" w:rsidR="008C74CC" w:rsidRDefault="008C74CC" w:rsidP="008C74CC">
      <w:pPr>
        <w:numPr>
          <w:ilvl w:val="0"/>
          <w:numId w:val="1"/>
        </w:numPr>
        <w:spacing w:after="120"/>
        <w:ind w:left="0" w:firstLine="0"/>
        <w:rPr>
          <w:rFonts w:ascii="Arial" w:hAnsi="Arial" w:cs="Arial"/>
          <w:sz w:val="22"/>
          <w:szCs w:val="22"/>
        </w:rPr>
      </w:pPr>
      <w:r>
        <w:rPr>
          <w:rFonts w:ascii="Arial" w:hAnsi="Arial" w:cs="Arial"/>
          <w:sz w:val="22"/>
          <w:szCs w:val="22"/>
        </w:rPr>
        <w:t>P</w:t>
      </w:r>
      <w:r w:rsidRPr="00EC01F3">
        <w:rPr>
          <w:rFonts w:ascii="Arial" w:hAnsi="Arial" w:cs="Arial"/>
          <w:sz w:val="22"/>
          <w:szCs w:val="22"/>
        </w:rPr>
        <w:t>aragraph</w:t>
      </w:r>
      <w:r w:rsidRPr="00FF3C2C">
        <w:rPr>
          <w:rFonts w:ascii="Arial" w:hAnsi="Arial" w:cs="Arial"/>
          <w:sz w:val="22"/>
          <w:szCs w:val="22"/>
        </w:rPr>
        <w:t xml:space="preserve"> </w:t>
      </w:r>
      <w:r w:rsidR="00E91EAA">
        <w:rPr>
          <w:rFonts w:ascii="Arial" w:hAnsi="Arial" w:cs="Arial"/>
          <w:sz w:val="22"/>
          <w:szCs w:val="22"/>
        </w:rPr>
        <w:t>8</w:t>
      </w:r>
      <w:r w:rsidRPr="00FF3C2C">
        <w:rPr>
          <w:rFonts w:ascii="Arial" w:hAnsi="Arial" w:cs="Arial"/>
          <w:sz w:val="22"/>
          <w:szCs w:val="22"/>
        </w:rPr>
        <w:t>(1)(a)</w:t>
      </w:r>
      <w:r>
        <w:rPr>
          <w:rFonts w:ascii="Arial" w:hAnsi="Arial" w:cs="Arial"/>
          <w:sz w:val="22"/>
          <w:szCs w:val="22"/>
        </w:rPr>
        <w:t xml:space="preserve"> operates similarly to p</w:t>
      </w:r>
      <w:r w:rsidRPr="00EC01F3">
        <w:rPr>
          <w:rFonts w:ascii="Arial" w:hAnsi="Arial" w:cs="Arial"/>
          <w:sz w:val="22"/>
          <w:szCs w:val="22"/>
        </w:rPr>
        <w:t>aragraph</w:t>
      </w:r>
      <w:r w:rsidRPr="00FF3C2C">
        <w:rPr>
          <w:rFonts w:ascii="Arial" w:hAnsi="Arial" w:cs="Arial"/>
          <w:sz w:val="22"/>
          <w:szCs w:val="22"/>
        </w:rPr>
        <w:t xml:space="preserve"> 6(1)(a)</w:t>
      </w:r>
      <w:r>
        <w:rPr>
          <w:rFonts w:ascii="Arial" w:hAnsi="Arial" w:cs="Arial"/>
          <w:sz w:val="22"/>
          <w:szCs w:val="22"/>
        </w:rPr>
        <w:t>, with some exceptions:</w:t>
      </w:r>
    </w:p>
    <w:p w14:paraId="4F30D4DE" w14:textId="3776F3ED" w:rsidR="008C74CC" w:rsidRDefault="008C74CC" w:rsidP="008C74CC">
      <w:pPr>
        <w:numPr>
          <w:ilvl w:val="1"/>
          <w:numId w:val="1"/>
        </w:numPr>
        <w:spacing w:after="120"/>
        <w:rPr>
          <w:rFonts w:ascii="Arial" w:hAnsi="Arial" w:cs="Arial"/>
          <w:sz w:val="22"/>
          <w:szCs w:val="22"/>
        </w:rPr>
      </w:pPr>
      <w:r>
        <w:rPr>
          <w:rFonts w:ascii="Arial" w:hAnsi="Arial" w:cs="Arial"/>
          <w:sz w:val="22"/>
          <w:szCs w:val="22"/>
        </w:rPr>
        <w:t>consistent with the test in section 12</w:t>
      </w:r>
      <w:r w:rsidR="00E91EAA">
        <w:rPr>
          <w:rFonts w:ascii="Arial" w:hAnsi="Arial" w:cs="Arial"/>
          <w:sz w:val="22"/>
          <w:szCs w:val="22"/>
        </w:rPr>
        <w:t>B</w:t>
      </w:r>
      <w:r>
        <w:rPr>
          <w:rFonts w:ascii="Arial" w:hAnsi="Arial" w:cs="Arial"/>
          <w:sz w:val="22"/>
          <w:szCs w:val="22"/>
        </w:rPr>
        <w:t>A</w:t>
      </w:r>
      <w:r w:rsidR="00E91EAA">
        <w:rPr>
          <w:rFonts w:ascii="Arial" w:hAnsi="Arial" w:cs="Arial"/>
          <w:sz w:val="22"/>
          <w:szCs w:val="22"/>
        </w:rPr>
        <w:t xml:space="preserve"> </w:t>
      </w:r>
      <w:r>
        <w:rPr>
          <w:rFonts w:ascii="Arial" w:hAnsi="Arial" w:cs="Arial"/>
          <w:sz w:val="22"/>
          <w:szCs w:val="22"/>
        </w:rPr>
        <w:t xml:space="preserve">of the Rules, it considers hours </w:t>
      </w:r>
      <w:r w:rsidR="0082134E">
        <w:rPr>
          <w:rFonts w:ascii="Arial" w:hAnsi="Arial" w:cs="Arial"/>
          <w:sz w:val="22"/>
          <w:szCs w:val="22"/>
        </w:rPr>
        <w:t>spent</w:t>
      </w:r>
      <w:r w:rsidR="00E91EAA">
        <w:rPr>
          <w:rFonts w:ascii="Arial" w:hAnsi="Arial" w:cs="Arial"/>
          <w:sz w:val="22"/>
          <w:szCs w:val="22"/>
        </w:rPr>
        <w:t xml:space="preserve"> doing these activities</w:t>
      </w:r>
      <w:r>
        <w:rPr>
          <w:rFonts w:ascii="Arial" w:hAnsi="Arial" w:cs="Arial"/>
          <w:sz w:val="22"/>
          <w:szCs w:val="22"/>
        </w:rPr>
        <w:t xml:space="preserve">; </w:t>
      </w:r>
    </w:p>
    <w:p w14:paraId="1F631CDF" w14:textId="50AAA768" w:rsidR="008C74CC" w:rsidRDefault="008C74CC" w:rsidP="008C74CC">
      <w:pPr>
        <w:numPr>
          <w:ilvl w:val="1"/>
          <w:numId w:val="1"/>
        </w:numPr>
        <w:spacing w:after="120"/>
        <w:rPr>
          <w:rFonts w:ascii="Arial" w:hAnsi="Arial" w:cs="Arial"/>
          <w:sz w:val="22"/>
          <w:szCs w:val="22"/>
        </w:rPr>
      </w:pPr>
      <w:r>
        <w:rPr>
          <w:rFonts w:ascii="Arial" w:hAnsi="Arial" w:cs="Arial"/>
          <w:sz w:val="22"/>
          <w:szCs w:val="22"/>
        </w:rPr>
        <w:t>it requires consideration of earlier 29-day periods (not 28-day periods), consistent with the requirement in subsection 4</w:t>
      </w:r>
      <w:proofErr w:type="gramStart"/>
      <w:r>
        <w:rPr>
          <w:rFonts w:ascii="Arial" w:hAnsi="Arial" w:cs="Arial"/>
          <w:sz w:val="22"/>
          <w:szCs w:val="22"/>
        </w:rPr>
        <w:t>A(</w:t>
      </w:r>
      <w:proofErr w:type="gramEnd"/>
      <w:r w:rsidR="00247324">
        <w:rPr>
          <w:rFonts w:ascii="Arial" w:hAnsi="Arial" w:cs="Arial"/>
          <w:sz w:val="22"/>
          <w:szCs w:val="22"/>
        </w:rPr>
        <w:t>3</w:t>
      </w:r>
      <w:r>
        <w:rPr>
          <w:rFonts w:ascii="Arial" w:hAnsi="Arial" w:cs="Arial"/>
          <w:sz w:val="22"/>
          <w:szCs w:val="22"/>
        </w:rPr>
        <w:t xml:space="preserve">) of the Rules that the alternative reference period </w:t>
      </w:r>
      <w:r w:rsidRPr="006570AA">
        <w:rPr>
          <w:rFonts w:ascii="Arial" w:hAnsi="Arial" w:cs="Arial"/>
          <w:sz w:val="22"/>
          <w:szCs w:val="22"/>
        </w:rPr>
        <w:t xml:space="preserve">must be of the same duration as the </w:t>
      </w:r>
      <w:r>
        <w:rPr>
          <w:rFonts w:ascii="Arial" w:hAnsi="Arial" w:cs="Arial"/>
          <w:sz w:val="22"/>
          <w:szCs w:val="22"/>
        </w:rPr>
        <w:t xml:space="preserve">standard reference </w:t>
      </w:r>
      <w:r w:rsidRPr="006570AA">
        <w:rPr>
          <w:rFonts w:ascii="Arial" w:hAnsi="Arial" w:cs="Arial"/>
          <w:sz w:val="22"/>
          <w:szCs w:val="22"/>
        </w:rPr>
        <w:t>period</w:t>
      </w:r>
      <w:r w:rsidR="00FF557B">
        <w:rPr>
          <w:rFonts w:ascii="Arial" w:hAnsi="Arial" w:cs="Arial"/>
          <w:sz w:val="22"/>
          <w:szCs w:val="22"/>
        </w:rPr>
        <w:t>; and</w:t>
      </w:r>
    </w:p>
    <w:p w14:paraId="6BE76A2E" w14:textId="77777777" w:rsidR="00FF557B" w:rsidRDefault="00FF557B" w:rsidP="00FF557B">
      <w:pPr>
        <w:numPr>
          <w:ilvl w:val="1"/>
          <w:numId w:val="1"/>
        </w:numPr>
        <w:spacing w:after="120"/>
        <w:rPr>
          <w:rFonts w:ascii="Arial" w:hAnsi="Arial" w:cs="Arial"/>
          <w:sz w:val="22"/>
          <w:szCs w:val="22"/>
        </w:rPr>
      </w:pPr>
      <w:r>
        <w:rPr>
          <w:rFonts w:ascii="Arial" w:hAnsi="Arial" w:cs="Arial"/>
          <w:sz w:val="22"/>
          <w:szCs w:val="22"/>
        </w:rPr>
        <w:t>the 29-day period must be wholly within a calendar month, for consistency with the standard reference period (and alternative reference period, below).</w:t>
      </w:r>
    </w:p>
    <w:p w14:paraId="2D89FF7C" w14:textId="5DCF1D31" w:rsidR="00095530" w:rsidRDefault="00095530" w:rsidP="0091425D">
      <w:pPr>
        <w:numPr>
          <w:ilvl w:val="0"/>
          <w:numId w:val="1"/>
        </w:numPr>
        <w:spacing w:after="120"/>
        <w:ind w:left="0" w:firstLine="0"/>
        <w:rPr>
          <w:rFonts w:ascii="Arial" w:hAnsi="Arial" w:cs="Arial"/>
          <w:sz w:val="22"/>
          <w:szCs w:val="22"/>
        </w:rPr>
      </w:pPr>
      <w:r>
        <w:rPr>
          <w:rFonts w:ascii="Arial" w:hAnsi="Arial" w:cs="Arial"/>
          <w:sz w:val="22"/>
          <w:szCs w:val="22"/>
        </w:rPr>
        <w:t>Much of the above commentary relating to paragraph 6(1)(a) applies equally to eligible religious practitioners, keeping in mind the above exceptions.</w:t>
      </w:r>
    </w:p>
    <w:p w14:paraId="4AA25CB4" w14:textId="5A35D42E" w:rsidR="006167DE" w:rsidRPr="00CE41C3" w:rsidRDefault="00952C1B" w:rsidP="00CE41C3">
      <w:pPr>
        <w:spacing w:after="120"/>
        <w:rPr>
          <w:rFonts w:ascii="Arial" w:hAnsi="Arial" w:cs="Arial"/>
          <w:sz w:val="22"/>
          <w:szCs w:val="22"/>
        </w:rPr>
      </w:pPr>
      <w:r>
        <w:rPr>
          <w:rFonts w:ascii="Arial" w:hAnsi="Arial" w:cs="Arial"/>
          <w:b/>
          <w:bCs/>
          <w:i/>
          <w:iCs/>
          <w:sz w:val="22"/>
          <w:szCs w:val="22"/>
        </w:rPr>
        <w:t>Hours not representative: a</w:t>
      </w:r>
      <w:r w:rsidRPr="00CE41C3">
        <w:rPr>
          <w:rFonts w:ascii="Arial" w:hAnsi="Arial" w:cs="Arial"/>
          <w:b/>
          <w:bCs/>
          <w:i/>
          <w:iCs/>
          <w:sz w:val="22"/>
          <w:szCs w:val="22"/>
        </w:rPr>
        <w:t xml:space="preserve">lternative </w:t>
      </w:r>
      <w:r w:rsidR="006167DE" w:rsidRPr="00CE41C3">
        <w:rPr>
          <w:rFonts w:ascii="Arial" w:hAnsi="Arial" w:cs="Arial"/>
          <w:b/>
          <w:bCs/>
          <w:i/>
          <w:iCs/>
          <w:sz w:val="22"/>
          <w:szCs w:val="22"/>
        </w:rPr>
        <w:t>reference period</w:t>
      </w:r>
    </w:p>
    <w:p w14:paraId="3D9B578B" w14:textId="7C1316FC" w:rsidR="008C74CC" w:rsidRDefault="008C74CC" w:rsidP="00CE41C3">
      <w:pPr>
        <w:numPr>
          <w:ilvl w:val="0"/>
          <w:numId w:val="1"/>
        </w:numPr>
        <w:spacing w:after="120"/>
        <w:ind w:left="0" w:firstLine="0"/>
        <w:rPr>
          <w:rFonts w:ascii="Arial" w:hAnsi="Arial" w:cs="Arial"/>
          <w:sz w:val="22"/>
          <w:szCs w:val="22"/>
        </w:rPr>
      </w:pPr>
      <w:r w:rsidRPr="00CF1A25">
        <w:rPr>
          <w:rFonts w:ascii="Arial" w:hAnsi="Arial" w:cs="Arial"/>
          <w:sz w:val="22"/>
          <w:szCs w:val="22"/>
        </w:rPr>
        <w:t xml:space="preserve">The </w:t>
      </w:r>
      <w:r w:rsidRPr="003B4964">
        <w:rPr>
          <w:rFonts w:ascii="Arial" w:hAnsi="Arial" w:cs="Arial"/>
          <w:sz w:val="22"/>
          <w:szCs w:val="22"/>
        </w:rPr>
        <w:t xml:space="preserve">alternative reference period that applies to </w:t>
      </w:r>
      <w:r>
        <w:rPr>
          <w:rFonts w:ascii="Arial" w:hAnsi="Arial" w:cs="Arial"/>
          <w:sz w:val="22"/>
          <w:szCs w:val="22"/>
        </w:rPr>
        <w:t xml:space="preserve">an </w:t>
      </w:r>
      <w:r w:rsidRPr="00CF1A25">
        <w:rPr>
          <w:rFonts w:ascii="Arial" w:hAnsi="Arial" w:cs="Arial"/>
          <w:sz w:val="22"/>
          <w:szCs w:val="22"/>
        </w:rPr>
        <w:t xml:space="preserve">eligible </w:t>
      </w:r>
      <w:r w:rsidR="00E91EAA" w:rsidRPr="00FF3C2C">
        <w:rPr>
          <w:rFonts w:ascii="Arial" w:hAnsi="Arial" w:cs="Arial"/>
          <w:sz w:val="22"/>
          <w:szCs w:val="22"/>
        </w:rPr>
        <w:t xml:space="preserve">religious practitioner </w:t>
      </w:r>
      <w:r w:rsidR="007D2828">
        <w:rPr>
          <w:rFonts w:ascii="Arial" w:hAnsi="Arial" w:cs="Arial"/>
          <w:sz w:val="22"/>
          <w:szCs w:val="22"/>
        </w:rPr>
        <w:t xml:space="preserve">in </w:t>
      </w:r>
      <w:r w:rsidR="007D2828" w:rsidRPr="00CF1A25">
        <w:rPr>
          <w:rFonts w:ascii="Arial" w:hAnsi="Arial" w:cs="Arial"/>
          <w:sz w:val="22"/>
          <w:szCs w:val="22"/>
        </w:rPr>
        <w:t>paragraph</w:t>
      </w:r>
      <w:r w:rsidR="00F93E2E">
        <w:rPr>
          <w:rFonts w:ascii="Arial" w:hAnsi="Arial" w:cs="Arial"/>
          <w:sz w:val="22"/>
          <w:szCs w:val="22"/>
        </w:rPr>
        <w:t> </w:t>
      </w:r>
      <w:r w:rsidR="00E91EAA">
        <w:rPr>
          <w:rFonts w:ascii="Arial" w:hAnsi="Arial" w:cs="Arial"/>
          <w:sz w:val="22"/>
          <w:szCs w:val="22"/>
        </w:rPr>
        <w:t>8</w:t>
      </w:r>
      <w:r w:rsidRPr="00CF1A25">
        <w:rPr>
          <w:rFonts w:ascii="Arial" w:hAnsi="Arial" w:cs="Arial"/>
          <w:sz w:val="22"/>
          <w:szCs w:val="22"/>
        </w:rPr>
        <w:t xml:space="preserve">(1)(a) </w:t>
      </w:r>
      <w:r>
        <w:rPr>
          <w:rFonts w:ascii="Arial" w:hAnsi="Arial" w:cs="Arial"/>
          <w:sz w:val="22"/>
          <w:szCs w:val="22"/>
        </w:rPr>
        <w:t xml:space="preserve">is </w:t>
      </w:r>
      <w:r w:rsidR="00920712" w:rsidRPr="00920712">
        <w:rPr>
          <w:rFonts w:ascii="Arial" w:hAnsi="Arial" w:cs="Arial"/>
          <w:sz w:val="22"/>
          <w:szCs w:val="22"/>
        </w:rPr>
        <w:t xml:space="preserve">the most recent 29-day period </w:t>
      </w:r>
      <w:r w:rsidR="00DC5404">
        <w:rPr>
          <w:rFonts w:ascii="Arial" w:hAnsi="Arial" w:cs="Arial"/>
          <w:sz w:val="22"/>
          <w:szCs w:val="22"/>
        </w:rPr>
        <w:t xml:space="preserve">wholly within a calendar month </w:t>
      </w:r>
      <w:r w:rsidR="00920712" w:rsidRPr="00920712">
        <w:rPr>
          <w:rFonts w:ascii="Arial" w:hAnsi="Arial" w:cs="Arial"/>
          <w:sz w:val="22"/>
          <w:szCs w:val="22"/>
        </w:rPr>
        <w:t xml:space="preserve">ending before 1 March 2020 during which the eligible religious practitioner’s total number of hours </w:t>
      </w:r>
      <w:r w:rsidR="000A1A1B">
        <w:rPr>
          <w:rFonts w:ascii="Arial" w:hAnsi="Arial" w:cs="Arial"/>
          <w:sz w:val="22"/>
          <w:szCs w:val="22"/>
        </w:rPr>
        <w:t>spent</w:t>
      </w:r>
      <w:r w:rsidR="00EC1A7C">
        <w:rPr>
          <w:rFonts w:ascii="Arial" w:hAnsi="Arial" w:cs="Arial"/>
          <w:sz w:val="22"/>
          <w:szCs w:val="22"/>
        </w:rPr>
        <w:t xml:space="preserve"> </w:t>
      </w:r>
      <w:r w:rsidR="00920712" w:rsidRPr="00920712">
        <w:rPr>
          <w:rFonts w:ascii="Arial" w:hAnsi="Arial" w:cs="Arial"/>
          <w:sz w:val="22"/>
          <w:szCs w:val="22"/>
        </w:rPr>
        <w:t xml:space="preserve">doing activities covered by paragraph 12B(2)(b) of the Rules was representative of the eligible religious practitioner’s total number of those hours in a typical </w:t>
      </w:r>
      <w:r w:rsidR="008B720D">
        <w:rPr>
          <w:rFonts w:ascii="Arial" w:hAnsi="Arial" w:cs="Arial"/>
          <w:sz w:val="22"/>
          <w:szCs w:val="22"/>
        </w:rPr>
        <w:t>29-day</w:t>
      </w:r>
      <w:r w:rsidR="00920712" w:rsidRPr="00920712">
        <w:rPr>
          <w:rFonts w:ascii="Arial" w:hAnsi="Arial" w:cs="Arial"/>
          <w:sz w:val="22"/>
          <w:szCs w:val="22"/>
        </w:rPr>
        <w:t xml:space="preserve"> period</w:t>
      </w:r>
      <w:r w:rsidR="00920712">
        <w:rPr>
          <w:rFonts w:ascii="Arial" w:hAnsi="Arial" w:cs="Arial"/>
          <w:sz w:val="22"/>
          <w:szCs w:val="22"/>
        </w:rPr>
        <w:t>.</w:t>
      </w:r>
      <w:r w:rsidR="00266273">
        <w:rPr>
          <w:rFonts w:ascii="Arial" w:hAnsi="Arial" w:cs="Arial"/>
          <w:sz w:val="22"/>
          <w:szCs w:val="22"/>
        </w:rPr>
        <w:t xml:space="preserve"> </w:t>
      </w:r>
      <w:r w:rsidR="00DD7E4B">
        <w:rPr>
          <w:rFonts w:ascii="Arial" w:hAnsi="Arial" w:cs="Arial"/>
          <w:sz w:val="22"/>
          <w:szCs w:val="22"/>
        </w:rPr>
        <w:t xml:space="preserve"> </w:t>
      </w:r>
    </w:p>
    <w:p w14:paraId="4C836EE5" w14:textId="4A995302" w:rsidR="000062A8" w:rsidRPr="0091425D" w:rsidRDefault="00095530" w:rsidP="000062A8">
      <w:pPr>
        <w:spacing w:after="120"/>
        <w:rPr>
          <w:rFonts w:ascii="Arial" w:hAnsi="Arial" w:cs="Arial"/>
          <w:sz w:val="28"/>
        </w:rPr>
      </w:pPr>
      <w:r w:rsidRPr="0091425D">
        <w:rPr>
          <w:rFonts w:ascii="Arial" w:hAnsi="Arial" w:cs="Arial"/>
          <w:b/>
          <w:bCs/>
          <w:iCs/>
          <w:szCs w:val="22"/>
        </w:rPr>
        <w:t>E</w:t>
      </w:r>
      <w:r w:rsidR="00920712" w:rsidRPr="0091425D">
        <w:rPr>
          <w:rFonts w:ascii="Arial" w:hAnsi="Arial" w:cs="Arial"/>
          <w:b/>
          <w:bCs/>
          <w:iCs/>
          <w:szCs w:val="22"/>
        </w:rPr>
        <w:t>ligible religious practitioners</w:t>
      </w:r>
      <w:r w:rsidRPr="0091425D">
        <w:rPr>
          <w:rFonts w:ascii="Arial" w:hAnsi="Arial" w:cs="Arial"/>
          <w:b/>
          <w:bCs/>
          <w:iCs/>
          <w:szCs w:val="22"/>
        </w:rPr>
        <w:t xml:space="preserve"> who commenced </w:t>
      </w:r>
      <w:r w:rsidR="00E51A08" w:rsidRPr="0091425D">
        <w:rPr>
          <w:rFonts w:ascii="Arial" w:hAnsi="Arial" w:cs="Arial"/>
          <w:b/>
          <w:bCs/>
          <w:iCs/>
          <w:szCs w:val="22"/>
        </w:rPr>
        <w:t xml:space="preserve">activities </w:t>
      </w:r>
      <w:r w:rsidR="00920712" w:rsidRPr="0091425D">
        <w:rPr>
          <w:rFonts w:ascii="Arial" w:hAnsi="Arial" w:cs="Arial"/>
          <w:b/>
          <w:bCs/>
          <w:iCs/>
          <w:szCs w:val="22"/>
        </w:rPr>
        <w:t>in February 2020</w:t>
      </w:r>
    </w:p>
    <w:p w14:paraId="162FAB42" w14:textId="15B4C2E0" w:rsidR="00095530" w:rsidRDefault="00095530" w:rsidP="00C95D9C">
      <w:pPr>
        <w:numPr>
          <w:ilvl w:val="0"/>
          <w:numId w:val="1"/>
        </w:numPr>
        <w:spacing w:after="120"/>
        <w:ind w:left="0" w:firstLine="0"/>
        <w:rPr>
          <w:rFonts w:ascii="Arial" w:hAnsi="Arial" w:cs="Arial"/>
          <w:sz w:val="22"/>
          <w:szCs w:val="22"/>
        </w:rPr>
      </w:pPr>
      <w:r>
        <w:rPr>
          <w:rFonts w:ascii="Arial" w:hAnsi="Arial" w:cs="Arial"/>
          <w:sz w:val="22"/>
          <w:szCs w:val="22"/>
        </w:rPr>
        <w:t>P</w:t>
      </w:r>
      <w:r w:rsidR="006167DE">
        <w:rPr>
          <w:rFonts w:ascii="Arial" w:hAnsi="Arial" w:cs="Arial"/>
          <w:sz w:val="22"/>
          <w:szCs w:val="22"/>
        </w:rPr>
        <w:t>aragraph 8(</w:t>
      </w:r>
      <w:r w:rsidR="006A34AB">
        <w:rPr>
          <w:rFonts w:ascii="Arial" w:hAnsi="Arial" w:cs="Arial"/>
          <w:sz w:val="22"/>
          <w:szCs w:val="22"/>
        </w:rPr>
        <w:t xml:space="preserve">1)(b) </w:t>
      </w:r>
      <w:r w:rsidR="00B95692">
        <w:rPr>
          <w:rFonts w:ascii="Arial" w:hAnsi="Arial" w:cs="Arial"/>
          <w:sz w:val="22"/>
          <w:szCs w:val="22"/>
        </w:rPr>
        <w:t xml:space="preserve">applies to </w:t>
      </w:r>
      <w:r w:rsidR="00C95D9C">
        <w:rPr>
          <w:rFonts w:ascii="Arial" w:hAnsi="Arial" w:cs="Arial"/>
          <w:sz w:val="22"/>
          <w:szCs w:val="22"/>
        </w:rPr>
        <w:t xml:space="preserve">eligible </w:t>
      </w:r>
      <w:r w:rsidR="00C95D9C" w:rsidRPr="00FF3C2C">
        <w:rPr>
          <w:rFonts w:ascii="Arial" w:hAnsi="Arial" w:cs="Arial"/>
          <w:sz w:val="22"/>
          <w:szCs w:val="22"/>
        </w:rPr>
        <w:t>religious practitioner</w:t>
      </w:r>
      <w:r w:rsidR="00C95D9C">
        <w:rPr>
          <w:rFonts w:ascii="Arial" w:hAnsi="Arial" w:cs="Arial"/>
          <w:sz w:val="22"/>
          <w:szCs w:val="22"/>
        </w:rPr>
        <w:t xml:space="preserve">s who </w:t>
      </w:r>
      <w:r w:rsidR="00C95D9C" w:rsidRPr="00D23767">
        <w:rPr>
          <w:rFonts w:ascii="Arial" w:hAnsi="Arial" w:cs="Arial"/>
          <w:sz w:val="22"/>
          <w:szCs w:val="22"/>
        </w:rPr>
        <w:t>first commenced doing activities covered by paragraph 12B(2)(b) of the Rules as a religious practitioner on or before 1 March 2020 but after 1 February 2020</w:t>
      </w:r>
      <w:r w:rsidR="00C95D9C">
        <w:rPr>
          <w:rFonts w:ascii="Arial" w:hAnsi="Arial" w:cs="Arial"/>
          <w:sz w:val="22"/>
          <w:szCs w:val="22"/>
        </w:rPr>
        <w:t xml:space="preserve"> (paragraph 8(1)(b)).</w:t>
      </w:r>
    </w:p>
    <w:p w14:paraId="52A280D7" w14:textId="1555FE17" w:rsidR="00B95692" w:rsidRPr="0091425D" w:rsidRDefault="00095530" w:rsidP="0091425D">
      <w:pPr>
        <w:numPr>
          <w:ilvl w:val="0"/>
          <w:numId w:val="1"/>
        </w:numPr>
        <w:spacing w:after="120"/>
        <w:ind w:left="0" w:firstLine="0"/>
        <w:rPr>
          <w:rFonts w:ascii="Arial" w:hAnsi="Arial" w:cs="Arial"/>
          <w:sz w:val="22"/>
          <w:szCs w:val="22"/>
        </w:rPr>
      </w:pPr>
      <w:r>
        <w:rPr>
          <w:rFonts w:ascii="Arial" w:hAnsi="Arial" w:cs="Arial"/>
          <w:sz w:val="22"/>
          <w:szCs w:val="22"/>
        </w:rPr>
        <w:t>T</w:t>
      </w:r>
      <w:r w:rsidR="00C95D9C" w:rsidRPr="00095530">
        <w:rPr>
          <w:rFonts w:ascii="Arial" w:hAnsi="Arial" w:cs="Arial"/>
          <w:sz w:val="22"/>
          <w:szCs w:val="22"/>
        </w:rPr>
        <w:t xml:space="preserve">he </w:t>
      </w:r>
      <w:r w:rsidR="002B1265">
        <w:rPr>
          <w:rFonts w:ascii="Arial" w:hAnsi="Arial" w:cs="Arial"/>
          <w:sz w:val="22"/>
          <w:szCs w:val="22"/>
        </w:rPr>
        <w:t>standard</w:t>
      </w:r>
      <w:r w:rsidR="00C95D9C" w:rsidRPr="00095530">
        <w:rPr>
          <w:rFonts w:ascii="Arial" w:hAnsi="Arial" w:cs="Arial"/>
          <w:sz w:val="22"/>
          <w:szCs w:val="22"/>
        </w:rPr>
        <w:t xml:space="preserve"> reference period is not suitable because the individual</w:t>
      </w:r>
      <w:r>
        <w:rPr>
          <w:rFonts w:ascii="Arial" w:hAnsi="Arial" w:cs="Arial"/>
          <w:sz w:val="22"/>
          <w:szCs w:val="22"/>
        </w:rPr>
        <w:t xml:space="preserve">’s hours do not reflect a </w:t>
      </w:r>
      <w:r w:rsidR="00C95D9C" w:rsidRPr="00095530">
        <w:rPr>
          <w:rFonts w:ascii="Arial" w:hAnsi="Arial" w:cs="Arial"/>
          <w:sz w:val="22"/>
          <w:szCs w:val="22"/>
        </w:rPr>
        <w:t xml:space="preserve">full month </w:t>
      </w:r>
      <w:r>
        <w:rPr>
          <w:rFonts w:ascii="Arial" w:hAnsi="Arial" w:cs="Arial"/>
          <w:sz w:val="22"/>
          <w:szCs w:val="22"/>
        </w:rPr>
        <w:t xml:space="preserve">of </w:t>
      </w:r>
      <w:r w:rsidR="00DF6D7A">
        <w:rPr>
          <w:rFonts w:ascii="Arial" w:hAnsi="Arial" w:cs="Arial"/>
          <w:sz w:val="22"/>
          <w:szCs w:val="22"/>
        </w:rPr>
        <w:t xml:space="preserve">pursuing their </w:t>
      </w:r>
      <w:r>
        <w:rPr>
          <w:rFonts w:ascii="Arial" w:hAnsi="Arial" w:cs="Arial"/>
          <w:sz w:val="22"/>
          <w:szCs w:val="22"/>
        </w:rPr>
        <w:t>vocation</w:t>
      </w:r>
      <w:r w:rsidR="00DF6D7A">
        <w:rPr>
          <w:rFonts w:ascii="Arial" w:hAnsi="Arial" w:cs="Arial"/>
          <w:sz w:val="22"/>
          <w:szCs w:val="22"/>
        </w:rPr>
        <w:t xml:space="preserve"> as a member of the religious institution</w:t>
      </w:r>
      <w:r w:rsidR="00C95D9C" w:rsidRPr="00095530">
        <w:rPr>
          <w:rFonts w:ascii="Arial" w:hAnsi="Arial" w:cs="Arial"/>
          <w:sz w:val="22"/>
          <w:szCs w:val="22"/>
        </w:rPr>
        <w:t xml:space="preserve">. A forward looking reference period is more </w:t>
      </w:r>
      <w:r w:rsidR="006A34AB" w:rsidRPr="00095530">
        <w:rPr>
          <w:rFonts w:ascii="Arial" w:hAnsi="Arial" w:cs="Arial"/>
          <w:sz w:val="22"/>
          <w:szCs w:val="22"/>
        </w:rPr>
        <w:t>suitable</w:t>
      </w:r>
      <w:r w:rsidR="00C95D9C" w:rsidRPr="00095530">
        <w:rPr>
          <w:rFonts w:ascii="Arial" w:hAnsi="Arial" w:cs="Arial"/>
          <w:sz w:val="22"/>
          <w:szCs w:val="22"/>
        </w:rPr>
        <w:t>.</w:t>
      </w:r>
      <w:r w:rsidR="009F04A3" w:rsidRPr="00095530">
        <w:rPr>
          <w:rFonts w:ascii="Arial" w:hAnsi="Arial" w:cs="Arial"/>
          <w:sz w:val="22"/>
          <w:szCs w:val="22"/>
        </w:rPr>
        <w:t xml:space="preserve"> </w:t>
      </w:r>
    </w:p>
    <w:p w14:paraId="6729D7A3" w14:textId="310603DF" w:rsidR="006A34AB" w:rsidRPr="00CE41C3" w:rsidRDefault="00095530" w:rsidP="00CE41C3">
      <w:pPr>
        <w:spacing w:after="120"/>
        <w:rPr>
          <w:rFonts w:ascii="Arial" w:hAnsi="Arial" w:cs="Arial"/>
          <w:sz w:val="22"/>
          <w:szCs w:val="22"/>
        </w:rPr>
      </w:pPr>
      <w:r>
        <w:rPr>
          <w:rFonts w:ascii="Arial" w:hAnsi="Arial" w:cs="Arial"/>
          <w:b/>
          <w:bCs/>
          <w:i/>
          <w:iCs/>
          <w:sz w:val="22"/>
          <w:szCs w:val="22"/>
        </w:rPr>
        <w:t>Commenced in February: a</w:t>
      </w:r>
      <w:r w:rsidR="006A34AB" w:rsidRPr="00CE41C3">
        <w:rPr>
          <w:rFonts w:ascii="Arial" w:hAnsi="Arial" w:cs="Arial"/>
          <w:b/>
          <w:bCs/>
          <w:i/>
          <w:iCs/>
          <w:sz w:val="22"/>
          <w:szCs w:val="22"/>
        </w:rPr>
        <w:t xml:space="preserve">lternative reference period </w:t>
      </w:r>
    </w:p>
    <w:p w14:paraId="06103DCA" w14:textId="31B4E7D8" w:rsidR="00C95D9C" w:rsidRDefault="00C95D9C" w:rsidP="00C95D9C">
      <w:pPr>
        <w:numPr>
          <w:ilvl w:val="0"/>
          <w:numId w:val="1"/>
        </w:numPr>
        <w:spacing w:after="120"/>
        <w:ind w:left="0" w:firstLine="0"/>
        <w:rPr>
          <w:rFonts w:ascii="Arial" w:hAnsi="Arial" w:cs="Arial"/>
          <w:sz w:val="22"/>
          <w:szCs w:val="22"/>
        </w:rPr>
      </w:pPr>
      <w:r w:rsidRPr="00CF1A25">
        <w:rPr>
          <w:rFonts w:ascii="Arial" w:hAnsi="Arial" w:cs="Arial"/>
          <w:sz w:val="22"/>
          <w:szCs w:val="22"/>
        </w:rPr>
        <w:t xml:space="preserve">The </w:t>
      </w:r>
      <w:r w:rsidRPr="003B4964">
        <w:rPr>
          <w:rFonts w:ascii="Arial" w:hAnsi="Arial" w:cs="Arial"/>
          <w:sz w:val="22"/>
          <w:szCs w:val="22"/>
        </w:rPr>
        <w:t xml:space="preserve">alternative reference period that applies to </w:t>
      </w:r>
      <w:r>
        <w:rPr>
          <w:rFonts w:ascii="Arial" w:hAnsi="Arial" w:cs="Arial"/>
          <w:sz w:val="22"/>
          <w:szCs w:val="22"/>
        </w:rPr>
        <w:t xml:space="preserve">an </w:t>
      </w:r>
      <w:r w:rsidRPr="00CF1A25">
        <w:rPr>
          <w:rFonts w:ascii="Arial" w:hAnsi="Arial" w:cs="Arial"/>
          <w:sz w:val="22"/>
          <w:szCs w:val="22"/>
        </w:rPr>
        <w:t xml:space="preserve">eligible </w:t>
      </w:r>
      <w:r w:rsidRPr="00FF3C2C">
        <w:rPr>
          <w:rFonts w:ascii="Arial" w:hAnsi="Arial" w:cs="Arial"/>
          <w:sz w:val="22"/>
          <w:szCs w:val="22"/>
        </w:rPr>
        <w:t>religious practitioner</w:t>
      </w:r>
      <w:r>
        <w:rPr>
          <w:rFonts w:ascii="Arial" w:hAnsi="Arial" w:cs="Arial"/>
          <w:sz w:val="22"/>
          <w:szCs w:val="22"/>
        </w:rPr>
        <w:t xml:space="preserve"> </w:t>
      </w:r>
      <w:r w:rsidR="00B95692">
        <w:rPr>
          <w:rFonts w:ascii="Arial" w:hAnsi="Arial" w:cs="Arial"/>
          <w:sz w:val="22"/>
          <w:szCs w:val="22"/>
        </w:rPr>
        <w:t xml:space="preserve">in </w:t>
      </w:r>
      <w:r w:rsidR="00B95692" w:rsidRPr="00CF1A25">
        <w:rPr>
          <w:rFonts w:ascii="Arial" w:hAnsi="Arial" w:cs="Arial"/>
          <w:sz w:val="22"/>
          <w:szCs w:val="22"/>
        </w:rPr>
        <w:t>paragraph</w:t>
      </w:r>
      <w:r w:rsidR="00257E14">
        <w:rPr>
          <w:rFonts w:ascii="Arial" w:hAnsi="Arial" w:cs="Arial"/>
          <w:sz w:val="22"/>
          <w:szCs w:val="22"/>
        </w:rPr>
        <w:t> </w:t>
      </w:r>
      <w:r>
        <w:rPr>
          <w:rFonts w:ascii="Arial" w:hAnsi="Arial" w:cs="Arial"/>
          <w:sz w:val="22"/>
          <w:szCs w:val="22"/>
        </w:rPr>
        <w:t>8</w:t>
      </w:r>
      <w:r w:rsidRPr="00CF1A25">
        <w:rPr>
          <w:rFonts w:ascii="Arial" w:hAnsi="Arial" w:cs="Arial"/>
          <w:sz w:val="22"/>
          <w:szCs w:val="22"/>
        </w:rPr>
        <w:t>(1)(</w:t>
      </w:r>
      <w:r>
        <w:rPr>
          <w:rFonts w:ascii="Arial" w:hAnsi="Arial" w:cs="Arial"/>
          <w:sz w:val="22"/>
          <w:szCs w:val="22"/>
        </w:rPr>
        <w:t>b</w:t>
      </w:r>
      <w:r w:rsidRPr="00CF1A25">
        <w:rPr>
          <w:rFonts w:ascii="Arial" w:hAnsi="Arial" w:cs="Arial"/>
          <w:sz w:val="22"/>
          <w:szCs w:val="22"/>
        </w:rPr>
        <w:t>)</w:t>
      </w:r>
      <w:r>
        <w:rPr>
          <w:rFonts w:ascii="Arial" w:hAnsi="Arial" w:cs="Arial"/>
          <w:sz w:val="22"/>
          <w:szCs w:val="22"/>
        </w:rPr>
        <w:t xml:space="preserve"> is </w:t>
      </w:r>
      <w:r w:rsidRPr="00030CB3">
        <w:rPr>
          <w:rFonts w:ascii="Arial" w:hAnsi="Arial" w:cs="Arial"/>
          <w:sz w:val="22"/>
          <w:szCs w:val="22"/>
        </w:rPr>
        <w:t xml:space="preserve">the </w:t>
      </w:r>
      <w:r w:rsidRPr="00C95D9C">
        <w:rPr>
          <w:rFonts w:ascii="Arial" w:hAnsi="Arial" w:cs="Arial"/>
          <w:sz w:val="22"/>
          <w:szCs w:val="22"/>
        </w:rPr>
        <w:t>29-day period starting on the day the eligible religious practitioner first commenced doing those activities</w:t>
      </w:r>
      <w:r>
        <w:rPr>
          <w:rFonts w:ascii="Arial" w:hAnsi="Arial" w:cs="Arial"/>
          <w:sz w:val="22"/>
          <w:szCs w:val="22"/>
        </w:rPr>
        <w:t xml:space="preserve">. </w:t>
      </w:r>
    </w:p>
    <w:p w14:paraId="09DDAF26" w14:textId="181FE80C" w:rsidR="00116427" w:rsidRPr="0091425D" w:rsidRDefault="00116427" w:rsidP="0091425D">
      <w:pPr>
        <w:spacing w:after="120"/>
        <w:rPr>
          <w:rFonts w:ascii="Arial" w:hAnsi="Arial" w:cs="Arial"/>
          <w:b/>
          <w:bCs/>
          <w:iCs/>
        </w:rPr>
      </w:pPr>
      <w:r>
        <w:rPr>
          <w:rFonts w:ascii="Arial" w:hAnsi="Arial" w:cs="Arial"/>
          <w:b/>
          <w:bCs/>
          <w:iCs/>
          <w:sz w:val="28"/>
        </w:rPr>
        <w:t>Consultation</w:t>
      </w:r>
    </w:p>
    <w:p w14:paraId="18946557" w14:textId="7F0AC4D1" w:rsidR="00A76B8E" w:rsidRPr="0091425D" w:rsidRDefault="00A76B8E" w:rsidP="0091425D">
      <w:pPr>
        <w:numPr>
          <w:ilvl w:val="0"/>
          <w:numId w:val="1"/>
        </w:numPr>
        <w:spacing w:after="120"/>
        <w:ind w:left="0" w:firstLine="0"/>
        <w:rPr>
          <w:rFonts w:ascii="Arial" w:hAnsi="Arial" w:cs="Arial"/>
          <w:sz w:val="22"/>
          <w:szCs w:val="22"/>
        </w:rPr>
      </w:pPr>
      <w:r w:rsidRPr="0091425D">
        <w:rPr>
          <w:rFonts w:ascii="Arial" w:hAnsi="Arial" w:cs="Arial"/>
          <w:sz w:val="22"/>
          <w:szCs w:val="22"/>
        </w:rPr>
        <w:t xml:space="preserve">The Commissioner routinely publishes draft legislative instruments seeking public feedback for a minimum period of 4 weeks. To avoid the detrimental effects for employers and employees that delays in making the legislative instrument would cause, the Commissioner undertook targeted consultation to ensure it could be made as quickly as possible. In these circumstances the </w:t>
      </w:r>
      <w:r w:rsidRPr="0091425D">
        <w:rPr>
          <w:rFonts w:ascii="Arial" w:hAnsi="Arial" w:cs="Arial"/>
          <w:sz w:val="22"/>
          <w:szCs w:val="22"/>
        </w:rPr>
        <w:lastRenderedPageBreak/>
        <w:t>Commissioner has undertaken reasonable and appropriate consultation over a shorter period than would otherwise have been used.</w:t>
      </w:r>
    </w:p>
    <w:p w14:paraId="5F9EAB26" w14:textId="08026E14" w:rsidR="00116427" w:rsidRPr="0091425D" w:rsidRDefault="00A76B8E" w:rsidP="0091425D">
      <w:pPr>
        <w:numPr>
          <w:ilvl w:val="0"/>
          <w:numId w:val="1"/>
        </w:numPr>
        <w:tabs>
          <w:tab w:val="left" w:pos="1106"/>
        </w:tabs>
        <w:spacing w:after="120"/>
        <w:ind w:left="0" w:firstLine="0"/>
        <w:rPr>
          <w:rFonts w:ascii="Arial" w:hAnsi="Arial" w:cs="Arial"/>
          <w:sz w:val="22"/>
          <w:szCs w:val="22"/>
        </w:rPr>
      </w:pPr>
      <w:r w:rsidRPr="0091425D">
        <w:rPr>
          <w:rFonts w:ascii="Arial" w:hAnsi="Arial" w:cs="Arial"/>
          <w:sz w:val="22"/>
          <w:szCs w:val="22"/>
        </w:rPr>
        <w:t xml:space="preserve">Consultation was undertaken with various representatives of professional and industry associations, business representatives and </w:t>
      </w:r>
      <w:r w:rsidR="00CE7E1A">
        <w:rPr>
          <w:rFonts w:ascii="Arial" w:hAnsi="Arial" w:cs="Arial"/>
          <w:sz w:val="22"/>
          <w:szCs w:val="22"/>
        </w:rPr>
        <w:t xml:space="preserve">officials from </w:t>
      </w:r>
      <w:r w:rsidRPr="0091425D">
        <w:rPr>
          <w:rFonts w:ascii="Arial" w:hAnsi="Arial" w:cs="Arial"/>
          <w:sz w:val="22"/>
          <w:szCs w:val="22"/>
        </w:rPr>
        <w:t>the Treasury</w:t>
      </w:r>
      <w:r w:rsidR="00CE7E1A">
        <w:rPr>
          <w:rFonts w:ascii="Arial" w:hAnsi="Arial" w:cs="Arial"/>
          <w:sz w:val="22"/>
          <w:szCs w:val="22"/>
        </w:rPr>
        <w:t>, Attorney-General’s Department, Fair Work Commission and Fair Work Ombudsman</w:t>
      </w:r>
      <w:r w:rsidRPr="0091425D">
        <w:rPr>
          <w:rFonts w:ascii="Arial" w:hAnsi="Arial" w:cs="Arial"/>
          <w:sz w:val="22"/>
          <w:szCs w:val="22"/>
        </w:rPr>
        <w:t xml:space="preserve">. </w:t>
      </w:r>
      <w:r w:rsidR="00CE7E1A">
        <w:rPr>
          <w:rFonts w:ascii="Arial" w:hAnsi="Arial" w:cs="Arial"/>
          <w:sz w:val="22"/>
          <w:szCs w:val="22"/>
        </w:rPr>
        <w:t>Feedback from c</w:t>
      </w:r>
      <w:r w:rsidRPr="0091425D">
        <w:rPr>
          <w:rFonts w:ascii="Arial" w:hAnsi="Arial" w:cs="Arial"/>
          <w:sz w:val="22"/>
          <w:szCs w:val="22"/>
        </w:rPr>
        <w:t xml:space="preserve">onsultees </w:t>
      </w:r>
      <w:r w:rsidR="00CE7E1A">
        <w:rPr>
          <w:rFonts w:ascii="Arial" w:hAnsi="Arial" w:cs="Arial"/>
          <w:sz w:val="22"/>
          <w:szCs w:val="22"/>
        </w:rPr>
        <w:t xml:space="preserve">included </w:t>
      </w:r>
      <w:r w:rsidRPr="0091425D">
        <w:rPr>
          <w:rFonts w:ascii="Arial" w:hAnsi="Arial" w:cs="Arial"/>
          <w:sz w:val="22"/>
          <w:szCs w:val="22"/>
        </w:rPr>
        <w:t>additional circumstances where the standard reference period may not be suitable, such as employers affected by subsection 9(6) of the Rules. Most, but not all, suggestions have been adopted in the instrument or addressed in this Explanatory Statement.</w:t>
      </w:r>
    </w:p>
    <w:p w14:paraId="177AF4BA" w14:textId="77777777" w:rsidR="00C51283" w:rsidRDefault="00C51283" w:rsidP="00C51283">
      <w:pPr>
        <w:spacing w:after="120"/>
        <w:rPr>
          <w:rFonts w:ascii="Arial" w:hAnsi="Arial" w:cs="Arial"/>
          <w:i/>
          <w:iCs/>
          <w:color w:val="0000FF"/>
          <w:sz w:val="22"/>
        </w:rPr>
      </w:pPr>
    </w:p>
    <w:p w14:paraId="3F5FE3A3" w14:textId="77777777" w:rsidR="00C51283" w:rsidRDefault="00C51283">
      <w:pPr>
        <w:rPr>
          <w:rFonts w:ascii="Arial" w:hAnsi="Arial" w:cs="Arial"/>
          <w:i/>
          <w:iCs/>
          <w:color w:val="0000FF"/>
          <w:sz w:val="22"/>
        </w:rPr>
      </w:pPr>
      <w:r>
        <w:rPr>
          <w:rFonts w:ascii="Arial" w:hAnsi="Arial" w:cs="Arial"/>
          <w:i/>
          <w:iCs/>
          <w:color w:val="0000FF"/>
          <w:sz w:val="22"/>
        </w:rPr>
        <w:br w:type="page"/>
      </w:r>
    </w:p>
    <w:p w14:paraId="71A305B3" w14:textId="77777777" w:rsidR="00C51283" w:rsidRDefault="00C51283" w:rsidP="00C51283">
      <w:pPr>
        <w:pStyle w:val="Heading3"/>
        <w:spacing w:before="0" w:after="120"/>
        <w:jc w:val="center"/>
      </w:pPr>
      <w:r>
        <w:rPr>
          <w:sz w:val="24"/>
          <w:szCs w:val="24"/>
        </w:rPr>
        <w:lastRenderedPageBreak/>
        <w:t>Statement of compatibility with Human Rights</w:t>
      </w:r>
    </w:p>
    <w:p w14:paraId="161EA129" w14:textId="77777777" w:rsidR="00C51283" w:rsidRDefault="00C51283" w:rsidP="00C51283">
      <w:pPr>
        <w:spacing w:before="100" w:beforeAutospacing="1" w:after="120"/>
      </w:pPr>
      <w:r>
        <w:rPr>
          <w:rFonts w:ascii="Arial" w:hAnsi="Arial" w:cs="Arial"/>
          <w:sz w:val="22"/>
          <w:szCs w:val="22"/>
        </w:rPr>
        <w:t xml:space="preserve">Prepared in accordance with Part 3 of the </w:t>
      </w:r>
      <w:r>
        <w:rPr>
          <w:rFonts w:ascii="Arial" w:hAnsi="Arial" w:cs="Arial"/>
          <w:i/>
          <w:iCs/>
          <w:sz w:val="22"/>
          <w:szCs w:val="22"/>
        </w:rPr>
        <w:t>Human Rights (Parliamentary Scrutiny) Act 2011</w:t>
      </w:r>
    </w:p>
    <w:p w14:paraId="3019628F" w14:textId="771133F2" w:rsidR="00C51283" w:rsidRDefault="00C51283" w:rsidP="00C51283">
      <w:pPr>
        <w:pStyle w:val="Heading2"/>
        <w:jc w:val="center"/>
      </w:pPr>
      <w:r>
        <w:t>Coronavirus Economic Response Package (Payments and Benefits) Alternative Reference Period Determination 2020</w:t>
      </w:r>
    </w:p>
    <w:p w14:paraId="2B098439" w14:textId="2C9D768E" w:rsidR="00C51283" w:rsidRPr="0091425D" w:rsidRDefault="00C51283" w:rsidP="009B6095">
      <w:pPr>
        <w:numPr>
          <w:ilvl w:val="0"/>
          <w:numId w:val="17"/>
        </w:numPr>
        <w:tabs>
          <w:tab w:val="left" w:pos="1106"/>
        </w:tabs>
        <w:spacing w:after="120"/>
        <w:rPr>
          <w:rFonts w:ascii="Arial" w:hAnsi="Arial" w:cs="Arial"/>
          <w:sz w:val="22"/>
          <w:szCs w:val="22"/>
        </w:rPr>
      </w:pPr>
      <w:r>
        <w:rPr>
          <w:rFonts w:ascii="Arial" w:hAnsi="Arial" w:cs="Arial"/>
          <w:color w:val="000000"/>
          <w:sz w:val="22"/>
          <w:szCs w:val="22"/>
        </w:rPr>
        <w:t xml:space="preserve">This Legislative Instrument is compatible with the human rights and freedoms recognised or </w:t>
      </w:r>
      <w:r w:rsidRPr="0091425D">
        <w:rPr>
          <w:rFonts w:ascii="Arial" w:hAnsi="Arial" w:cs="Arial"/>
          <w:sz w:val="22"/>
          <w:szCs w:val="22"/>
        </w:rPr>
        <w:t xml:space="preserve">declared in the international instruments listed in section 3 of the </w:t>
      </w:r>
      <w:r w:rsidRPr="0091425D">
        <w:rPr>
          <w:rFonts w:ascii="Arial" w:hAnsi="Arial" w:cs="Arial"/>
          <w:i/>
          <w:sz w:val="22"/>
          <w:szCs w:val="22"/>
        </w:rPr>
        <w:t>Human Rights (Parliamentary Scrutiny) Act 2011</w:t>
      </w:r>
      <w:r w:rsidRPr="0091425D">
        <w:rPr>
          <w:rFonts w:ascii="Arial" w:hAnsi="Arial" w:cs="Arial"/>
          <w:sz w:val="22"/>
          <w:szCs w:val="22"/>
        </w:rPr>
        <w:t>.</w:t>
      </w:r>
    </w:p>
    <w:p w14:paraId="27224225" w14:textId="77777777" w:rsidR="00C51283" w:rsidRDefault="00C51283" w:rsidP="00C51283">
      <w:pPr>
        <w:pStyle w:val="Heading2"/>
      </w:pPr>
      <w:r>
        <w:t>Overview of the legislative instrument</w:t>
      </w:r>
    </w:p>
    <w:p w14:paraId="6F47357F" w14:textId="77777777" w:rsidR="00664B7E" w:rsidRPr="0091425D" w:rsidRDefault="00C51283" w:rsidP="009B6095">
      <w:pPr>
        <w:numPr>
          <w:ilvl w:val="0"/>
          <w:numId w:val="17"/>
        </w:numPr>
        <w:tabs>
          <w:tab w:val="left" w:pos="1106"/>
        </w:tabs>
        <w:spacing w:after="120"/>
        <w:ind w:left="0" w:firstLine="0"/>
      </w:pPr>
      <w:r w:rsidRPr="00F600FB">
        <w:rPr>
          <w:rFonts w:ascii="Arial" w:hAnsi="Arial" w:cs="Arial"/>
          <w:sz w:val="22"/>
          <w:szCs w:val="22"/>
        </w:rPr>
        <w:t>The legislative instrument</w:t>
      </w:r>
      <w:r w:rsidR="00387CB3" w:rsidRPr="0091425D">
        <w:rPr>
          <w:rFonts w:ascii="Arial" w:hAnsi="Arial" w:cs="Arial"/>
          <w:sz w:val="22"/>
          <w:szCs w:val="22"/>
        </w:rPr>
        <w:t xml:space="preserve"> to determine an alternative reference period that applies to a specified class of individuals if the Commissioner considers that a period set out in the table in subsection 4A(1) of the Rules may not be a suitable reference period for the purpose of applying subsection 9A(1), subsection 12AA(1) or section 12BA of the Rules to individuals in the specified class. This will ensure that a suitable reference period applies to individuals in these specified classes in certain classes for the purpose of determining whether the higher rate or the lower rate of the JobKeeper payment applies</w:t>
      </w:r>
      <w:r w:rsidR="00387CB3">
        <w:rPr>
          <w:rFonts w:ascii="Arial" w:hAnsi="Arial" w:cs="Arial"/>
          <w:sz w:val="22"/>
          <w:szCs w:val="22"/>
        </w:rPr>
        <w:t>.</w:t>
      </w:r>
      <w:r w:rsidR="00664B7E">
        <w:rPr>
          <w:rFonts w:ascii="Arial" w:hAnsi="Arial" w:cs="Arial"/>
          <w:sz w:val="22"/>
          <w:szCs w:val="22"/>
        </w:rPr>
        <w:t xml:space="preserve"> </w:t>
      </w:r>
    </w:p>
    <w:p w14:paraId="2048A9B6" w14:textId="538D9428" w:rsidR="00C51283" w:rsidRDefault="00C51283" w:rsidP="00F600FB">
      <w:pPr>
        <w:pStyle w:val="Heading2"/>
      </w:pPr>
      <w:r>
        <w:t>Human rights implications</w:t>
      </w:r>
    </w:p>
    <w:p w14:paraId="1EA361BE" w14:textId="77777777" w:rsidR="00C51283" w:rsidRDefault="00C51283" w:rsidP="009B6095">
      <w:pPr>
        <w:numPr>
          <w:ilvl w:val="0"/>
          <w:numId w:val="17"/>
        </w:numPr>
        <w:tabs>
          <w:tab w:val="left" w:pos="1106"/>
        </w:tabs>
        <w:spacing w:after="120"/>
        <w:ind w:left="0" w:firstLine="0"/>
      </w:pPr>
      <w:r>
        <w:rPr>
          <w:rFonts w:ascii="Arial" w:hAnsi="Arial" w:cs="Arial"/>
          <w:sz w:val="22"/>
          <w:szCs w:val="22"/>
        </w:rPr>
        <w:t>This Legislative Instrument does not engage any of the applicable rights or freedoms listed in the following covenants:</w:t>
      </w:r>
    </w:p>
    <w:p w14:paraId="7CE97975" w14:textId="2C6EDE4A" w:rsidR="00C51283" w:rsidRDefault="00085A2B" w:rsidP="0091425D">
      <w:pPr>
        <w:pStyle w:val="ListParagraph"/>
        <w:numPr>
          <w:ilvl w:val="0"/>
          <w:numId w:val="15"/>
        </w:numPr>
        <w:spacing w:after="120"/>
      </w:pPr>
      <w:hyperlink r:id="rId13" w:history="1">
        <w:r w:rsidR="00C51283" w:rsidRPr="00F600FB">
          <w:rPr>
            <w:rStyle w:val="Hyperlink"/>
            <w:rFonts w:ascii="Arial" w:hAnsi="Arial" w:cs="Arial"/>
          </w:rPr>
          <w:t>the International Covenant on Civil and Political Rights</w:t>
        </w:r>
      </w:hyperlink>
      <w:r w:rsidR="00C51283" w:rsidRPr="00F600FB">
        <w:rPr>
          <w:rFonts w:ascii="Arial" w:hAnsi="Arial" w:cs="Arial"/>
        </w:rPr>
        <w:t xml:space="preserve"> (ICCPR)</w:t>
      </w:r>
    </w:p>
    <w:p w14:paraId="23E569A1" w14:textId="77777777" w:rsidR="00C51283" w:rsidRDefault="00C51283" w:rsidP="009B6095">
      <w:pPr>
        <w:numPr>
          <w:ilvl w:val="0"/>
          <w:numId w:val="17"/>
        </w:numPr>
        <w:tabs>
          <w:tab w:val="left" w:pos="1106"/>
        </w:tabs>
        <w:spacing w:after="120"/>
        <w:ind w:left="0" w:firstLine="0"/>
      </w:pPr>
      <w:r>
        <w:rPr>
          <w:rFonts w:ascii="Arial" w:hAnsi="Arial" w:cs="Arial"/>
          <w:sz w:val="22"/>
          <w:szCs w:val="22"/>
        </w:rPr>
        <w:t>Article 17 of the International Covenant on Civil and Political Rights (the ICCPR) provides:</w:t>
      </w:r>
    </w:p>
    <w:p w14:paraId="3311FD29" w14:textId="77777777" w:rsidR="00C51283" w:rsidRDefault="00C51283" w:rsidP="00C51283">
      <w:pPr>
        <w:shd w:val="clear" w:color="auto" w:fill="FFFFFF"/>
        <w:spacing w:before="240" w:after="100" w:afterAutospacing="1"/>
        <w:ind w:left="709"/>
      </w:pPr>
      <w:r>
        <w:rPr>
          <w:rFonts w:ascii="Arial" w:hAnsi="Arial" w:cs="Arial"/>
          <w:sz w:val="20"/>
        </w:rPr>
        <w:t>No one shall be subjected to arbitrary or unlawful interference with his privacy, family, home or correspondence, nor to unlawful attacks on his honour and reputation.</w:t>
      </w:r>
    </w:p>
    <w:p w14:paraId="5429E629" w14:textId="7A46235A" w:rsidR="00C51283" w:rsidRDefault="00387CB3" w:rsidP="009B6095">
      <w:pPr>
        <w:numPr>
          <w:ilvl w:val="0"/>
          <w:numId w:val="17"/>
        </w:numPr>
        <w:tabs>
          <w:tab w:val="left" w:pos="1106"/>
        </w:tabs>
        <w:spacing w:after="120"/>
        <w:ind w:left="0" w:firstLine="0"/>
      </w:pPr>
      <w:r>
        <w:rPr>
          <w:rFonts w:ascii="Arial" w:hAnsi="Arial" w:cs="Arial"/>
          <w:sz w:val="22"/>
          <w:szCs w:val="22"/>
        </w:rPr>
        <w:t xml:space="preserve">Use of </w:t>
      </w:r>
      <w:r w:rsidR="00C51283">
        <w:rPr>
          <w:rFonts w:ascii="Arial" w:hAnsi="Arial" w:cs="Arial"/>
          <w:sz w:val="22"/>
          <w:szCs w:val="22"/>
        </w:rPr>
        <w:t xml:space="preserve">the </w:t>
      </w:r>
      <w:r w:rsidR="00664B7E">
        <w:rPr>
          <w:rFonts w:ascii="Arial" w:hAnsi="Arial" w:cs="Arial"/>
          <w:sz w:val="22"/>
          <w:szCs w:val="22"/>
        </w:rPr>
        <w:t>a</w:t>
      </w:r>
      <w:r w:rsidR="00C51283">
        <w:rPr>
          <w:rFonts w:ascii="Arial" w:hAnsi="Arial" w:cs="Arial"/>
          <w:sz w:val="22"/>
          <w:szCs w:val="22"/>
        </w:rPr>
        <w:t xml:space="preserve">lternative </w:t>
      </w:r>
      <w:r>
        <w:rPr>
          <w:rFonts w:ascii="Arial" w:hAnsi="Arial" w:cs="Arial"/>
          <w:sz w:val="22"/>
          <w:szCs w:val="22"/>
        </w:rPr>
        <w:t>reference periods</w:t>
      </w:r>
      <w:r w:rsidR="00C51283">
        <w:rPr>
          <w:rFonts w:ascii="Arial" w:hAnsi="Arial" w:cs="Arial"/>
          <w:sz w:val="22"/>
          <w:szCs w:val="22"/>
        </w:rPr>
        <w:t xml:space="preserve"> </w:t>
      </w:r>
      <w:r w:rsidR="00664B7E">
        <w:rPr>
          <w:rFonts w:ascii="Arial" w:hAnsi="Arial" w:cs="Arial"/>
          <w:sz w:val="22"/>
          <w:szCs w:val="22"/>
        </w:rPr>
        <w:t>may require</w:t>
      </w:r>
      <w:r w:rsidR="00C51283">
        <w:rPr>
          <w:rFonts w:ascii="Arial" w:hAnsi="Arial" w:cs="Arial"/>
          <w:sz w:val="22"/>
          <w:szCs w:val="22"/>
        </w:rPr>
        <w:t xml:space="preserve"> the provision of information to the Commissioner </w:t>
      </w:r>
      <w:r w:rsidR="00664B7E">
        <w:rPr>
          <w:rFonts w:ascii="Arial" w:hAnsi="Arial" w:cs="Arial"/>
          <w:sz w:val="22"/>
          <w:szCs w:val="22"/>
        </w:rPr>
        <w:t>including</w:t>
      </w:r>
      <w:r w:rsidR="00C51283">
        <w:rPr>
          <w:rFonts w:ascii="Arial" w:hAnsi="Arial" w:cs="Arial"/>
          <w:sz w:val="22"/>
          <w:szCs w:val="22"/>
        </w:rPr>
        <w:t xml:space="preserve"> personal information such as the </w:t>
      </w:r>
      <w:r w:rsidR="00664B7E">
        <w:rPr>
          <w:rFonts w:ascii="Arial" w:hAnsi="Arial" w:cs="Arial"/>
          <w:sz w:val="22"/>
          <w:szCs w:val="22"/>
        </w:rPr>
        <w:t xml:space="preserve">hours an individual has worked in </w:t>
      </w:r>
      <w:r w:rsidR="00C51283">
        <w:rPr>
          <w:rFonts w:ascii="Arial" w:hAnsi="Arial" w:cs="Arial"/>
          <w:sz w:val="22"/>
          <w:szCs w:val="22"/>
        </w:rPr>
        <w:t>a business. To any extent to which the provision of this information constitutes a limitation of a person’s right to be protected from interference with his or her privacy, the limitation is justified because the provision of information is:</w:t>
      </w:r>
    </w:p>
    <w:p w14:paraId="666F8BAF" w14:textId="3D8A6A0F" w:rsidR="00C51283" w:rsidRPr="0091425D" w:rsidRDefault="00C51283" w:rsidP="0091425D">
      <w:pPr>
        <w:pStyle w:val="ListParagraph"/>
        <w:numPr>
          <w:ilvl w:val="0"/>
          <w:numId w:val="15"/>
        </w:numPr>
        <w:spacing w:after="120"/>
        <w:rPr>
          <w:rStyle w:val="Hyperlink"/>
          <w:rFonts w:ascii="Arial" w:hAnsi="Arial" w:cs="Arial"/>
        </w:rPr>
      </w:pPr>
      <w:r w:rsidRPr="0091425D">
        <w:rPr>
          <w:rStyle w:val="Hyperlink"/>
          <w:rFonts w:ascii="Arial" w:hAnsi="Arial" w:cs="Arial"/>
        </w:rPr>
        <w:t>contingent on the affected person giving consent to the disclosure of information by nominating to participate in the JobKeeper scheme, or in the case of an employee, agreeing to be nominated</w:t>
      </w:r>
      <w:r w:rsidR="00664B7E">
        <w:rPr>
          <w:rStyle w:val="Hyperlink"/>
          <w:rFonts w:ascii="Arial" w:hAnsi="Arial" w:cs="Arial"/>
        </w:rPr>
        <w:t>;</w:t>
      </w:r>
    </w:p>
    <w:p w14:paraId="604E9BC7" w14:textId="465B8A7E" w:rsidR="00C51283" w:rsidRPr="0091425D" w:rsidRDefault="00C51283" w:rsidP="0091425D">
      <w:pPr>
        <w:pStyle w:val="ListParagraph"/>
        <w:numPr>
          <w:ilvl w:val="0"/>
          <w:numId w:val="15"/>
        </w:numPr>
        <w:spacing w:after="120"/>
        <w:rPr>
          <w:rStyle w:val="Hyperlink"/>
          <w:rFonts w:ascii="Arial" w:hAnsi="Arial" w:cs="Arial"/>
        </w:rPr>
      </w:pPr>
      <w:r w:rsidRPr="0091425D">
        <w:rPr>
          <w:rStyle w:val="Hyperlink"/>
          <w:rFonts w:ascii="Arial" w:hAnsi="Arial" w:cs="Arial"/>
        </w:rPr>
        <w:t>in pursuit of the legitimate objective identified</w:t>
      </w:r>
      <w:r w:rsidR="00664B7E">
        <w:rPr>
          <w:rStyle w:val="Hyperlink"/>
          <w:rFonts w:ascii="Arial" w:hAnsi="Arial" w:cs="Arial"/>
        </w:rPr>
        <w:t xml:space="preserve"> </w:t>
      </w:r>
      <w:r w:rsidRPr="0091425D">
        <w:rPr>
          <w:rStyle w:val="Hyperlink"/>
          <w:rFonts w:ascii="Arial" w:hAnsi="Arial" w:cs="Arial"/>
        </w:rPr>
        <w:t>–</w:t>
      </w:r>
      <w:r w:rsidR="00664B7E">
        <w:rPr>
          <w:rStyle w:val="Hyperlink"/>
          <w:rFonts w:ascii="Arial" w:hAnsi="Arial" w:cs="Arial"/>
        </w:rPr>
        <w:t xml:space="preserve"> </w:t>
      </w:r>
      <w:r w:rsidRPr="0091425D">
        <w:rPr>
          <w:rStyle w:val="Hyperlink"/>
          <w:rFonts w:ascii="Arial" w:hAnsi="Arial" w:cs="Arial"/>
        </w:rPr>
        <w:t>which is to respond to the economic downturn caused by the Coronavirus by providing a wage subsidy to affected businesses, and</w:t>
      </w:r>
    </w:p>
    <w:p w14:paraId="42BB0E04" w14:textId="55C91C61" w:rsidR="00C51283" w:rsidRPr="0091425D" w:rsidRDefault="00C51283" w:rsidP="0091425D">
      <w:pPr>
        <w:pStyle w:val="ListParagraph"/>
        <w:numPr>
          <w:ilvl w:val="0"/>
          <w:numId w:val="15"/>
        </w:numPr>
        <w:spacing w:after="120"/>
        <w:rPr>
          <w:rStyle w:val="Hyperlink"/>
          <w:rFonts w:ascii="Arial" w:hAnsi="Arial" w:cs="Arial"/>
        </w:rPr>
      </w:pPr>
      <w:r w:rsidRPr="0091425D">
        <w:rPr>
          <w:rStyle w:val="Hyperlink"/>
          <w:rFonts w:ascii="Arial" w:hAnsi="Arial" w:cs="Arial"/>
        </w:rPr>
        <w:t xml:space="preserve">rationally connected and proportionate to the objective sought as the information is required to determine eligibility for the </w:t>
      </w:r>
      <w:r w:rsidR="00664B7E">
        <w:rPr>
          <w:rStyle w:val="Hyperlink"/>
          <w:rFonts w:ascii="Arial" w:hAnsi="Arial" w:cs="Arial"/>
        </w:rPr>
        <w:t xml:space="preserve">higher rate of payment under the </w:t>
      </w:r>
      <w:r w:rsidRPr="0091425D">
        <w:rPr>
          <w:rStyle w:val="Hyperlink"/>
          <w:rFonts w:ascii="Arial" w:hAnsi="Arial" w:cs="Arial"/>
        </w:rPr>
        <w:t>JobKeeper scheme and to ensure that it is administered according to the policy objective.</w:t>
      </w:r>
    </w:p>
    <w:p w14:paraId="1D157870" w14:textId="77777777" w:rsidR="00C51283" w:rsidRDefault="00C51283" w:rsidP="009B6095">
      <w:pPr>
        <w:numPr>
          <w:ilvl w:val="0"/>
          <w:numId w:val="17"/>
        </w:numPr>
        <w:tabs>
          <w:tab w:val="left" w:pos="1106"/>
        </w:tabs>
        <w:spacing w:after="120"/>
        <w:ind w:left="0" w:firstLine="0"/>
      </w:pPr>
      <w:r>
        <w:rPr>
          <w:rFonts w:ascii="Arial" w:hAnsi="Arial" w:cs="Arial"/>
          <w:sz w:val="22"/>
          <w:szCs w:val="22"/>
        </w:rPr>
        <w:t>For these reasons, the Rules do not unnecessarily restrict a person’s right to privacy.</w:t>
      </w:r>
    </w:p>
    <w:p w14:paraId="5BBA1104" w14:textId="3FF3E529" w:rsidR="00C51283" w:rsidRPr="0091425D" w:rsidRDefault="00085A2B" w:rsidP="0091425D">
      <w:pPr>
        <w:pStyle w:val="ListParagraph"/>
        <w:numPr>
          <w:ilvl w:val="0"/>
          <w:numId w:val="15"/>
        </w:numPr>
        <w:spacing w:after="120"/>
        <w:rPr>
          <w:rStyle w:val="Hyperlink"/>
          <w:rFonts w:ascii="Arial" w:hAnsi="Arial" w:cs="Arial"/>
        </w:rPr>
      </w:pPr>
      <w:hyperlink r:id="rId14" w:history="1">
        <w:r w:rsidR="00C51283" w:rsidRPr="0091425D">
          <w:rPr>
            <w:rStyle w:val="Hyperlink"/>
            <w:rFonts w:ascii="Arial" w:hAnsi="Arial" w:cs="Arial"/>
          </w:rPr>
          <w:t>the International Covenant on Economic, Social and Cultural Rights</w:t>
        </w:r>
      </w:hyperlink>
      <w:r w:rsidR="00C51283" w:rsidRPr="0091425D">
        <w:rPr>
          <w:rStyle w:val="Hyperlink"/>
          <w:rFonts w:ascii="Arial" w:hAnsi="Arial" w:cs="Arial"/>
        </w:rPr>
        <w:t xml:space="preserve"> (ICESCR)</w:t>
      </w:r>
    </w:p>
    <w:p w14:paraId="0C2BA65D" w14:textId="20874E41" w:rsidR="00C51283" w:rsidRPr="0091425D" w:rsidRDefault="00085A2B" w:rsidP="0091425D">
      <w:pPr>
        <w:pStyle w:val="ListParagraph"/>
        <w:numPr>
          <w:ilvl w:val="0"/>
          <w:numId w:val="15"/>
        </w:numPr>
        <w:spacing w:after="120"/>
        <w:rPr>
          <w:rStyle w:val="Hyperlink"/>
          <w:rFonts w:ascii="Arial" w:hAnsi="Arial" w:cs="Arial"/>
        </w:rPr>
      </w:pPr>
      <w:hyperlink r:id="rId15" w:history="1">
        <w:r w:rsidR="00C51283" w:rsidRPr="0091425D">
          <w:rPr>
            <w:rStyle w:val="Hyperlink"/>
            <w:rFonts w:ascii="Arial" w:hAnsi="Arial" w:cs="Arial"/>
          </w:rPr>
          <w:t>the International Convention on the Elimination of All Forms of Racial Discrimination</w:t>
        </w:r>
      </w:hyperlink>
      <w:r w:rsidR="00C51283" w:rsidRPr="0091425D">
        <w:rPr>
          <w:rStyle w:val="Hyperlink"/>
          <w:rFonts w:ascii="Arial" w:hAnsi="Arial" w:cs="Arial"/>
        </w:rPr>
        <w:t xml:space="preserve"> (CERD)</w:t>
      </w:r>
    </w:p>
    <w:p w14:paraId="019A0472" w14:textId="3D964198" w:rsidR="00C51283" w:rsidRPr="0091425D" w:rsidRDefault="00085A2B" w:rsidP="0091425D">
      <w:pPr>
        <w:pStyle w:val="ListParagraph"/>
        <w:numPr>
          <w:ilvl w:val="0"/>
          <w:numId w:val="15"/>
        </w:numPr>
        <w:spacing w:after="120"/>
        <w:rPr>
          <w:rStyle w:val="Hyperlink"/>
          <w:rFonts w:ascii="Arial" w:hAnsi="Arial" w:cs="Arial"/>
        </w:rPr>
      </w:pPr>
      <w:hyperlink r:id="rId16" w:history="1">
        <w:r w:rsidR="00C51283" w:rsidRPr="0091425D">
          <w:rPr>
            <w:rStyle w:val="Hyperlink"/>
            <w:rFonts w:ascii="Arial" w:hAnsi="Arial" w:cs="Arial"/>
          </w:rPr>
          <w:t>the Convention on the Elimination of All Forms of Discrimination against Women</w:t>
        </w:r>
      </w:hyperlink>
      <w:r w:rsidR="00C51283" w:rsidRPr="0091425D">
        <w:rPr>
          <w:rStyle w:val="Hyperlink"/>
          <w:rFonts w:ascii="Arial" w:hAnsi="Arial" w:cs="Arial"/>
        </w:rPr>
        <w:t xml:space="preserve"> (CEDAW)</w:t>
      </w:r>
    </w:p>
    <w:p w14:paraId="0CA947E8" w14:textId="37322DE5" w:rsidR="00C51283" w:rsidRPr="0091425D" w:rsidRDefault="00085A2B" w:rsidP="0091425D">
      <w:pPr>
        <w:pStyle w:val="ListParagraph"/>
        <w:numPr>
          <w:ilvl w:val="0"/>
          <w:numId w:val="15"/>
        </w:numPr>
        <w:spacing w:after="120"/>
        <w:rPr>
          <w:rStyle w:val="Hyperlink"/>
          <w:rFonts w:ascii="Arial" w:hAnsi="Arial" w:cs="Arial"/>
        </w:rPr>
      </w:pPr>
      <w:hyperlink r:id="rId17" w:history="1">
        <w:r w:rsidR="00C51283" w:rsidRPr="0091425D">
          <w:rPr>
            <w:rStyle w:val="Hyperlink"/>
            <w:rFonts w:ascii="Arial" w:hAnsi="Arial" w:cs="Arial"/>
          </w:rPr>
          <w:t>the Convention against Torture and Other Cruel, Inhuman or Degrading Treatment or Punishment</w:t>
        </w:r>
      </w:hyperlink>
      <w:r w:rsidR="00C51283" w:rsidRPr="0091425D">
        <w:rPr>
          <w:rStyle w:val="Hyperlink"/>
          <w:rFonts w:ascii="Arial" w:hAnsi="Arial" w:cs="Arial"/>
        </w:rPr>
        <w:t xml:space="preserve"> (CAT)</w:t>
      </w:r>
    </w:p>
    <w:p w14:paraId="5538557D" w14:textId="0BC5A9CF" w:rsidR="00C51283" w:rsidRPr="0091425D" w:rsidRDefault="00085A2B" w:rsidP="0091425D">
      <w:pPr>
        <w:pStyle w:val="ListParagraph"/>
        <w:numPr>
          <w:ilvl w:val="0"/>
          <w:numId w:val="15"/>
        </w:numPr>
        <w:spacing w:after="120"/>
        <w:rPr>
          <w:rStyle w:val="Hyperlink"/>
          <w:rFonts w:ascii="Arial" w:hAnsi="Arial" w:cs="Arial"/>
        </w:rPr>
      </w:pPr>
      <w:hyperlink r:id="rId18" w:history="1">
        <w:r w:rsidR="00C51283" w:rsidRPr="0091425D">
          <w:rPr>
            <w:rStyle w:val="Hyperlink"/>
            <w:rFonts w:ascii="Arial" w:hAnsi="Arial" w:cs="Arial"/>
          </w:rPr>
          <w:t>the Convention on the Rights of the Child</w:t>
        </w:r>
      </w:hyperlink>
      <w:r w:rsidR="00C51283" w:rsidRPr="0091425D">
        <w:rPr>
          <w:rStyle w:val="Hyperlink"/>
          <w:rFonts w:ascii="Arial" w:hAnsi="Arial" w:cs="Arial"/>
        </w:rPr>
        <w:t xml:space="preserve"> (CRC), and</w:t>
      </w:r>
    </w:p>
    <w:p w14:paraId="6D348951" w14:textId="6CD72552" w:rsidR="00C51283" w:rsidRPr="0091425D" w:rsidRDefault="00085A2B" w:rsidP="0091425D">
      <w:pPr>
        <w:pStyle w:val="ListParagraph"/>
        <w:numPr>
          <w:ilvl w:val="0"/>
          <w:numId w:val="15"/>
        </w:numPr>
        <w:spacing w:after="120"/>
        <w:rPr>
          <w:rStyle w:val="Hyperlink"/>
          <w:rFonts w:ascii="Arial" w:hAnsi="Arial" w:cs="Arial"/>
        </w:rPr>
      </w:pPr>
      <w:hyperlink r:id="rId19" w:history="1">
        <w:r w:rsidR="00C51283" w:rsidRPr="0091425D">
          <w:rPr>
            <w:rStyle w:val="Hyperlink"/>
            <w:rFonts w:ascii="Arial" w:hAnsi="Arial" w:cs="Arial"/>
          </w:rPr>
          <w:t>the Convention on the Rights of Persons with Disabilities</w:t>
        </w:r>
      </w:hyperlink>
      <w:r w:rsidR="00C51283" w:rsidRPr="0091425D">
        <w:rPr>
          <w:rStyle w:val="Hyperlink"/>
          <w:rFonts w:ascii="Arial" w:hAnsi="Arial" w:cs="Arial"/>
        </w:rPr>
        <w:t xml:space="preserve"> (CRPD).</w:t>
      </w:r>
    </w:p>
    <w:p w14:paraId="1384D5F9" w14:textId="51D55E1A" w:rsidR="00C51283" w:rsidRDefault="00C51283" w:rsidP="009B6095">
      <w:pPr>
        <w:numPr>
          <w:ilvl w:val="0"/>
          <w:numId w:val="17"/>
        </w:numPr>
        <w:tabs>
          <w:tab w:val="left" w:pos="1106"/>
        </w:tabs>
        <w:spacing w:after="120"/>
        <w:ind w:left="0" w:firstLine="0"/>
      </w:pPr>
      <w:r>
        <w:rPr>
          <w:rFonts w:ascii="Arial" w:hAnsi="Arial" w:cs="Arial"/>
          <w:sz w:val="22"/>
          <w:szCs w:val="22"/>
        </w:rPr>
        <w:t>This disallowable legislative instrument does not engage with any human rights because it merely provides additional opportunities for business entities to obtain higher levels of Government assistance due to the consequences of the COVID-19 pandemic, where the employees, business participants or religious practitioners of the business have worked atypical hours in the standard reference period.</w:t>
      </w:r>
    </w:p>
    <w:p w14:paraId="3B95D140" w14:textId="64F554A5" w:rsidR="00C51283" w:rsidRDefault="00C51283" w:rsidP="00F600FB">
      <w:pPr>
        <w:pStyle w:val="Heading2"/>
      </w:pPr>
      <w:r>
        <w:t> Conclusion</w:t>
      </w:r>
    </w:p>
    <w:p w14:paraId="7D896009" w14:textId="32BD2199" w:rsidR="00C51283" w:rsidRDefault="00C51283" w:rsidP="009B6095">
      <w:pPr>
        <w:numPr>
          <w:ilvl w:val="0"/>
          <w:numId w:val="17"/>
        </w:numPr>
        <w:tabs>
          <w:tab w:val="left" w:pos="1106"/>
        </w:tabs>
        <w:spacing w:after="120"/>
        <w:ind w:left="0" w:firstLine="0"/>
      </w:pPr>
      <w:r>
        <w:rPr>
          <w:rFonts w:ascii="Arial" w:hAnsi="Arial" w:cs="Arial"/>
          <w:sz w:val="22"/>
          <w:szCs w:val="22"/>
        </w:rPr>
        <w:t>This Legislative Instrument is compatible with human rights as it does not raise any human rights issues. Importantly, this instrument positively engages the right to work as it is aimed at assisting employers and keeping people in jobs.</w:t>
      </w:r>
    </w:p>
    <w:p w14:paraId="09A9B2EE" w14:textId="5DD25216" w:rsidR="00BF18AD" w:rsidRPr="00240CFB" w:rsidRDefault="00C51283" w:rsidP="00F600FB">
      <w:pPr>
        <w:spacing w:after="120"/>
        <w:rPr>
          <w:rFonts w:ascii="Arial" w:hAnsi="Arial" w:cs="Arial"/>
          <w:sz w:val="22"/>
          <w:szCs w:val="22"/>
        </w:rPr>
      </w:pPr>
      <w:r w:rsidRPr="00857C8C" w:rsidDel="00C51283">
        <w:rPr>
          <w:rFonts w:ascii="Arial" w:hAnsi="Arial" w:cs="Arial"/>
          <w:i/>
          <w:iCs/>
          <w:color w:val="0000FF"/>
          <w:sz w:val="22"/>
        </w:rPr>
        <w:t xml:space="preserve"> </w:t>
      </w:r>
    </w:p>
    <w:sectPr w:rsidR="00BF18AD" w:rsidRPr="00240CFB" w:rsidSect="00081520">
      <w:headerReference w:type="even" r:id="rId20"/>
      <w:headerReference w:type="first" r:id="rId21"/>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00FF0" w14:textId="77777777" w:rsidR="00085A2B" w:rsidRDefault="00085A2B">
      <w:r>
        <w:separator/>
      </w:r>
    </w:p>
  </w:endnote>
  <w:endnote w:type="continuationSeparator" w:id="0">
    <w:p w14:paraId="35636801" w14:textId="77777777" w:rsidR="00085A2B" w:rsidRDefault="00085A2B">
      <w:r>
        <w:continuationSeparator/>
      </w:r>
    </w:p>
  </w:endnote>
  <w:endnote w:type="continuationNotice" w:id="1">
    <w:p w14:paraId="413E001C" w14:textId="77777777" w:rsidR="00085A2B" w:rsidRDefault="0008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33B4A" w14:textId="77777777" w:rsidR="00085A2B" w:rsidRDefault="00085A2B">
      <w:r>
        <w:separator/>
      </w:r>
    </w:p>
  </w:footnote>
  <w:footnote w:type="continuationSeparator" w:id="0">
    <w:p w14:paraId="404E154F" w14:textId="77777777" w:rsidR="00085A2B" w:rsidRDefault="00085A2B">
      <w:r>
        <w:continuationSeparator/>
      </w:r>
    </w:p>
  </w:footnote>
  <w:footnote w:type="continuationNotice" w:id="1">
    <w:p w14:paraId="6BBB24C9" w14:textId="77777777" w:rsidR="00085A2B" w:rsidRDefault="00085A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1BCA" w14:textId="77777777" w:rsidR="006C0C95" w:rsidRPr="0067541C" w:rsidRDefault="006C0C95">
    <w:pPr>
      <w:pStyle w:val="Header"/>
      <w:rPr>
        <w:rFonts w:ascii="Arial" w:hAnsi="Arial" w:cs="Arial"/>
        <w:sz w:val="52"/>
      </w:rPr>
    </w:pPr>
    <w:r w:rsidRPr="0067541C">
      <w:rPr>
        <w:rFonts w:ascii="Arial" w:hAnsi="Arial" w:cs="Arial"/>
        <w:sz w:val="20"/>
      </w:rPr>
      <w:t>Taxation Determination</w:t>
    </w:r>
  </w:p>
  <w:p w14:paraId="15AC1BCB" w14:textId="77777777" w:rsidR="006C0C95" w:rsidRPr="0067541C" w:rsidRDefault="006C0C95">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separate"/>
    </w:r>
    <w:r>
      <w:rPr>
        <w:rFonts w:ascii="Arial" w:hAnsi="Arial" w:cs="Arial"/>
        <w:b/>
        <w:bCs/>
        <w:sz w:val="52"/>
        <w:lang w:val="en-US"/>
      </w:rPr>
      <w:t>Error! Reference source not found.</w:t>
    </w:r>
    <w:r w:rsidRPr="0067541C">
      <w:rPr>
        <w:rFonts w:ascii="Arial" w:hAnsi="Arial" w:cs="Arial"/>
        <w:sz w:val="52"/>
      </w:rPr>
      <w:fldChar w:fldCharType="end"/>
    </w:r>
  </w:p>
  <w:p w14:paraId="15AC1BCC" w14:textId="77777777" w:rsidR="006C0C95" w:rsidRPr="0067541C" w:rsidRDefault="006C0C95">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14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1BCE" w14:textId="289ADBF6" w:rsidR="006C0C95" w:rsidRPr="00767CE8" w:rsidRDefault="006C0C95"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B41968">
      <w:rPr>
        <w:rFonts w:ascii="Arial" w:hAnsi="Arial" w:cs="Arial"/>
        <w:b/>
        <w:sz w:val="22"/>
        <w:szCs w:val="22"/>
      </w:rPr>
      <w:t>2020/SMB/0028</w:t>
    </w:r>
  </w:p>
  <w:p w14:paraId="15AC1BCF" w14:textId="77777777" w:rsidR="006C0C95" w:rsidRDefault="006C0C95" w:rsidP="001828A4">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6C0C95" w:rsidRPr="001A6644" w:rsidRDefault="006C0C95"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1041"/>
    <w:multiLevelType w:val="hybridMultilevel"/>
    <w:tmpl w:val="8D2E8AA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67068"/>
    <w:multiLevelType w:val="hybridMultilevel"/>
    <w:tmpl w:val="3EACC640"/>
    <w:lvl w:ilvl="0" w:tplc="0C090001">
      <w:start w:val="1"/>
      <w:numFmt w:val="bullet"/>
      <w:lvlText w:val=""/>
      <w:lvlJc w:val="left"/>
      <w:pPr>
        <w:tabs>
          <w:tab w:val="num" w:pos="1069"/>
        </w:tabs>
        <w:ind w:left="1069" w:hanging="360"/>
      </w:pPr>
      <w:rPr>
        <w:rFonts w:ascii="Symbol" w:hAnsi="Symbol" w:hint="default"/>
        <w:b w:val="0"/>
        <w:bCs w:val="0"/>
        <w:i w:val="0"/>
        <w:iCs/>
        <w:color w:val="auto"/>
        <w:sz w:val="22"/>
        <w:szCs w:val="22"/>
      </w:rPr>
    </w:lvl>
    <w:lvl w:ilvl="1" w:tplc="E1143ACC">
      <w:start w:val="1"/>
      <w:numFmt w:val="lowerRoman"/>
      <w:lvlText w:val="(%2)"/>
      <w:lvlJc w:val="right"/>
      <w:pPr>
        <w:tabs>
          <w:tab w:val="num" w:pos="2149"/>
        </w:tabs>
        <w:ind w:left="2149" w:hanging="360"/>
      </w:pPr>
      <w:rPr>
        <w:rFonts w:hint="default"/>
      </w:rPr>
    </w:lvl>
    <w:lvl w:ilvl="2" w:tplc="C2ACD91E">
      <w:start w:val="1"/>
      <w:numFmt w:val="lowerLetter"/>
      <w:lvlText w:val="(%3)"/>
      <w:lvlJc w:val="left"/>
      <w:pPr>
        <w:tabs>
          <w:tab w:val="num" w:pos="3049"/>
        </w:tabs>
        <w:ind w:left="3049" w:hanging="360"/>
      </w:pPr>
      <w:rPr>
        <w:rFonts w:hint="default"/>
      </w:rPr>
    </w:lvl>
    <w:lvl w:ilvl="3" w:tplc="0A5495B8">
      <w:numFmt w:val="bullet"/>
      <w:lvlText w:val=""/>
      <w:lvlJc w:val="left"/>
      <w:pPr>
        <w:ind w:left="4054" w:hanging="825"/>
      </w:pPr>
      <w:rPr>
        <w:rFonts w:ascii="Symbol" w:eastAsia="Times New Roman" w:hAnsi="Symbol" w:cs="Times New Roman" w:hint="default"/>
        <w:sz w:val="20"/>
      </w:r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2"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12C70945"/>
    <w:multiLevelType w:val="hybridMultilevel"/>
    <w:tmpl w:val="DEE240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D53009"/>
    <w:multiLevelType w:val="hybridMultilevel"/>
    <w:tmpl w:val="227662CA"/>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5" w15:restartNumberingAfterBreak="0">
    <w:nsid w:val="253512B1"/>
    <w:multiLevelType w:val="hybridMultilevel"/>
    <w:tmpl w:val="79BE0DA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328140EE"/>
    <w:multiLevelType w:val="hybridMultilevel"/>
    <w:tmpl w:val="790676EA"/>
    <w:lvl w:ilvl="0" w:tplc="0C090017">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3C0963"/>
    <w:multiLevelType w:val="hybridMultilevel"/>
    <w:tmpl w:val="A72E0B5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9B2B89"/>
    <w:multiLevelType w:val="hybridMultilevel"/>
    <w:tmpl w:val="BA62DC8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312AE7"/>
    <w:multiLevelType w:val="hybridMultilevel"/>
    <w:tmpl w:val="D60074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9B0682"/>
    <w:multiLevelType w:val="hybridMultilevel"/>
    <w:tmpl w:val="8F1CBA7E"/>
    <w:lvl w:ilvl="0" w:tplc="C68C6FB6">
      <w:start w:val="1"/>
      <w:numFmt w:val="lowerLetter"/>
      <w:lvlText w:val="(%1)"/>
      <w:lvlJc w:val="left"/>
      <w:pPr>
        <w:ind w:left="1440" w:hanging="360"/>
      </w:pPr>
      <w:rPr>
        <w:rFonts w:ascii="Arial" w:eastAsia="Times New Roman"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FCC3903"/>
    <w:multiLevelType w:val="hybridMultilevel"/>
    <w:tmpl w:val="68A4B9A2"/>
    <w:lvl w:ilvl="0" w:tplc="853E19C8">
      <w:start w:val="1"/>
      <w:numFmt w:val="decimal"/>
      <w:lvlText w:val="%1."/>
      <w:lvlJc w:val="left"/>
      <w:pPr>
        <w:tabs>
          <w:tab w:val="num" w:pos="360"/>
        </w:tabs>
        <w:ind w:left="360" w:hanging="360"/>
      </w:pPr>
      <w:rPr>
        <w:rFonts w:ascii="Arial" w:hAnsi="Arial" w:cs="Arial" w:hint="default"/>
        <w:b w:val="0"/>
        <w:bCs w:val="0"/>
        <w:i w:val="0"/>
        <w:iCs/>
        <w:color w:val="auto"/>
        <w:sz w:val="22"/>
        <w:szCs w:val="22"/>
      </w:rPr>
    </w:lvl>
    <w:lvl w:ilvl="1" w:tplc="E1143ACC">
      <w:start w:val="1"/>
      <w:numFmt w:val="lowerRoman"/>
      <w:lvlText w:val="(%2)"/>
      <w:lvlJc w:val="righ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A5495B8">
      <w:numFmt w:val="bullet"/>
      <w:lvlText w:val=""/>
      <w:lvlJc w:val="left"/>
      <w:pPr>
        <w:ind w:left="3345" w:hanging="825"/>
      </w:pPr>
      <w:rPr>
        <w:rFonts w:ascii="Symbol" w:eastAsia="Times New Roman" w:hAnsi="Symbol" w:cs="Times New Roman" w:hint="default"/>
        <w:sz w:val="20"/>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AF26BC6"/>
    <w:multiLevelType w:val="hybridMultilevel"/>
    <w:tmpl w:val="68A4B9A2"/>
    <w:lvl w:ilvl="0" w:tplc="853E19C8">
      <w:start w:val="1"/>
      <w:numFmt w:val="decimal"/>
      <w:lvlText w:val="%1."/>
      <w:lvlJc w:val="left"/>
      <w:pPr>
        <w:tabs>
          <w:tab w:val="num" w:pos="360"/>
        </w:tabs>
        <w:ind w:left="360" w:hanging="360"/>
      </w:pPr>
      <w:rPr>
        <w:rFonts w:ascii="Arial" w:hAnsi="Arial" w:cs="Arial" w:hint="default"/>
        <w:b w:val="0"/>
        <w:bCs w:val="0"/>
        <w:i w:val="0"/>
        <w:iCs/>
        <w:color w:val="auto"/>
        <w:sz w:val="22"/>
        <w:szCs w:val="22"/>
      </w:rPr>
    </w:lvl>
    <w:lvl w:ilvl="1" w:tplc="E1143ACC">
      <w:start w:val="1"/>
      <w:numFmt w:val="lowerRoman"/>
      <w:lvlText w:val="(%2)"/>
      <w:lvlJc w:val="righ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A5495B8">
      <w:numFmt w:val="bullet"/>
      <w:lvlText w:val=""/>
      <w:lvlJc w:val="left"/>
      <w:pPr>
        <w:ind w:left="3345" w:hanging="825"/>
      </w:pPr>
      <w:rPr>
        <w:rFonts w:ascii="Symbol" w:eastAsia="Times New Roman" w:hAnsi="Symbol" w:cs="Times New Roman" w:hint="default"/>
        <w:sz w:val="20"/>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A01BCB"/>
    <w:multiLevelType w:val="hybridMultilevel"/>
    <w:tmpl w:val="0A1659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A43C0B"/>
    <w:multiLevelType w:val="multilevel"/>
    <w:tmpl w:val="FBE8C1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3"/>
  </w:num>
  <w:num w:numId="3">
    <w:abstractNumId w:val="2"/>
  </w:num>
  <w:num w:numId="4">
    <w:abstractNumId w:val="14"/>
  </w:num>
  <w:num w:numId="5">
    <w:abstractNumId w:val="0"/>
  </w:num>
  <w:num w:numId="6">
    <w:abstractNumId w:val="8"/>
  </w:num>
  <w:num w:numId="7">
    <w:abstractNumId w:val="9"/>
  </w:num>
  <w:num w:numId="8">
    <w:abstractNumId w:val="6"/>
  </w:num>
  <w:num w:numId="9">
    <w:abstractNumId w:val="3"/>
  </w:num>
  <w:num w:numId="10">
    <w:abstractNumId w:val="15"/>
  </w:num>
  <w:num w:numId="11">
    <w:abstractNumId w:val="7"/>
  </w:num>
  <w:num w:numId="12">
    <w:abstractNumId w:val="16"/>
  </w:num>
  <w:num w:numId="13">
    <w:abstractNumId w:val="10"/>
  </w:num>
  <w:num w:numId="14">
    <w:abstractNumId w:val="5"/>
  </w:num>
  <w:num w:numId="15">
    <w:abstractNumId w:val="1"/>
  </w:num>
  <w:num w:numId="16">
    <w:abstractNumId w:val="4"/>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18"/>
    <w:rsid w:val="000016D5"/>
    <w:rsid w:val="000062A8"/>
    <w:rsid w:val="0000741E"/>
    <w:rsid w:val="000077C0"/>
    <w:rsid w:val="00010BBE"/>
    <w:rsid w:val="000117B2"/>
    <w:rsid w:val="00016CE2"/>
    <w:rsid w:val="00016F9A"/>
    <w:rsid w:val="0001796D"/>
    <w:rsid w:val="00017BF0"/>
    <w:rsid w:val="00021180"/>
    <w:rsid w:val="00021F5D"/>
    <w:rsid w:val="00024A90"/>
    <w:rsid w:val="0002568B"/>
    <w:rsid w:val="000275FB"/>
    <w:rsid w:val="00030CB3"/>
    <w:rsid w:val="00031823"/>
    <w:rsid w:val="00043632"/>
    <w:rsid w:val="00043FA7"/>
    <w:rsid w:val="00050571"/>
    <w:rsid w:val="00050AE9"/>
    <w:rsid w:val="000548B5"/>
    <w:rsid w:val="000552E8"/>
    <w:rsid w:val="00056585"/>
    <w:rsid w:val="0005674F"/>
    <w:rsid w:val="00060541"/>
    <w:rsid w:val="000609F1"/>
    <w:rsid w:val="00063E5C"/>
    <w:rsid w:val="00065C6E"/>
    <w:rsid w:val="0006648E"/>
    <w:rsid w:val="00072A79"/>
    <w:rsid w:val="00072E6E"/>
    <w:rsid w:val="00073971"/>
    <w:rsid w:val="00073F1B"/>
    <w:rsid w:val="00075B58"/>
    <w:rsid w:val="00075E8E"/>
    <w:rsid w:val="00080AFB"/>
    <w:rsid w:val="00081520"/>
    <w:rsid w:val="00083AA9"/>
    <w:rsid w:val="00084B00"/>
    <w:rsid w:val="00085120"/>
    <w:rsid w:val="00085A2B"/>
    <w:rsid w:val="0009348E"/>
    <w:rsid w:val="00093C35"/>
    <w:rsid w:val="00095530"/>
    <w:rsid w:val="000A1A1B"/>
    <w:rsid w:val="000A29C5"/>
    <w:rsid w:val="000B0B1B"/>
    <w:rsid w:val="000B11DD"/>
    <w:rsid w:val="000B1785"/>
    <w:rsid w:val="000B1E4D"/>
    <w:rsid w:val="000C0540"/>
    <w:rsid w:val="000C390A"/>
    <w:rsid w:val="000C570B"/>
    <w:rsid w:val="000C77DD"/>
    <w:rsid w:val="000D09D3"/>
    <w:rsid w:val="000D0AB7"/>
    <w:rsid w:val="000D1676"/>
    <w:rsid w:val="000D2129"/>
    <w:rsid w:val="000D4FAA"/>
    <w:rsid w:val="000D58A2"/>
    <w:rsid w:val="000E279D"/>
    <w:rsid w:val="000E295B"/>
    <w:rsid w:val="000E45A0"/>
    <w:rsid w:val="000F4CAA"/>
    <w:rsid w:val="00100074"/>
    <w:rsid w:val="00101CD5"/>
    <w:rsid w:val="0010330F"/>
    <w:rsid w:val="00104515"/>
    <w:rsid w:val="0010513C"/>
    <w:rsid w:val="00107460"/>
    <w:rsid w:val="00112415"/>
    <w:rsid w:val="001130C8"/>
    <w:rsid w:val="00114D16"/>
    <w:rsid w:val="00116427"/>
    <w:rsid w:val="0012444F"/>
    <w:rsid w:val="00130657"/>
    <w:rsid w:val="0013385F"/>
    <w:rsid w:val="0013678D"/>
    <w:rsid w:val="00136B8F"/>
    <w:rsid w:val="00137D7A"/>
    <w:rsid w:val="00140A34"/>
    <w:rsid w:val="00141592"/>
    <w:rsid w:val="001432D1"/>
    <w:rsid w:val="00144640"/>
    <w:rsid w:val="001449C6"/>
    <w:rsid w:val="001449E7"/>
    <w:rsid w:val="00145F2E"/>
    <w:rsid w:val="00146ED8"/>
    <w:rsid w:val="00150492"/>
    <w:rsid w:val="00153819"/>
    <w:rsid w:val="0015579B"/>
    <w:rsid w:val="00162BCE"/>
    <w:rsid w:val="00165C69"/>
    <w:rsid w:val="00166C5D"/>
    <w:rsid w:val="00167202"/>
    <w:rsid w:val="00170CFF"/>
    <w:rsid w:val="0017147E"/>
    <w:rsid w:val="001755A4"/>
    <w:rsid w:val="00176C6E"/>
    <w:rsid w:val="00177ACF"/>
    <w:rsid w:val="00180B68"/>
    <w:rsid w:val="001828A4"/>
    <w:rsid w:val="00190304"/>
    <w:rsid w:val="00190EE4"/>
    <w:rsid w:val="0019209A"/>
    <w:rsid w:val="00193B8F"/>
    <w:rsid w:val="001955AB"/>
    <w:rsid w:val="001A37D2"/>
    <w:rsid w:val="001A3BE2"/>
    <w:rsid w:val="001A54A1"/>
    <w:rsid w:val="001A5678"/>
    <w:rsid w:val="001A63CF"/>
    <w:rsid w:val="001B5BD7"/>
    <w:rsid w:val="001B785B"/>
    <w:rsid w:val="001C0ADB"/>
    <w:rsid w:val="001C1EA8"/>
    <w:rsid w:val="001C35D0"/>
    <w:rsid w:val="001C35E7"/>
    <w:rsid w:val="001C4578"/>
    <w:rsid w:val="001C4EEC"/>
    <w:rsid w:val="001C523E"/>
    <w:rsid w:val="001C5C42"/>
    <w:rsid w:val="001C5EFB"/>
    <w:rsid w:val="001C746F"/>
    <w:rsid w:val="001D02E6"/>
    <w:rsid w:val="001D0455"/>
    <w:rsid w:val="001D11EE"/>
    <w:rsid w:val="001D52DE"/>
    <w:rsid w:val="001D5352"/>
    <w:rsid w:val="001D6390"/>
    <w:rsid w:val="001D77CF"/>
    <w:rsid w:val="001E195F"/>
    <w:rsid w:val="001E4A90"/>
    <w:rsid w:val="001E5F99"/>
    <w:rsid w:val="001F0184"/>
    <w:rsid w:val="001F0C93"/>
    <w:rsid w:val="001F0CE0"/>
    <w:rsid w:val="001F20B4"/>
    <w:rsid w:val="001F28A6"/>
    <w:rsid w:val="001F2A16"/>
    <w:rsid w:val="001F6921"/>
    <w:rsid w:val="001F7C3E"/>
    <w:rsid w:val="001F7F4B"/>
    <w:rsid w:val="00201969"/>
    <w:rsid w:val="002063BF"/>
    <w:rsid w:val="002120D6"/>
    <w:rsid w:val="0021222C"/>
    <w:rsid w:val="00213FA5"/>
    <w:rsid w:val="0021496E"/>
    <w:rsid w:val="00216B74"/>
    <w:rsid w:val="002179D4"/>
    <w:rsid w:val="00222AFB"/>
    <w:rsid w:val="00223B64"/>
    <w:rsid w:val="00224F5A"/>
    <w:rsid w:val="00226760"/>
    <w:rsid w:val="00226C10"/>
    <w:rsid w:val="00227667"/>
    <w:rsid w:val="00230001"/>
    <w:rsid w:val="00231347"/>
    <w:rsid w:val="0023733A"/>
    <w:rsid w:val="0024044F"/>
    <w:rsid w:val="00240CFB"/>
    <w:rsid w:val="00243A2B"/>
    <w:rsid w:val="00245D00"/>
    <w:rsid w:val="00247324"/>
    <w:rsid w:val="0024770E"/>
    <w:rsid w:val="00247D20"/>
    <w:rsid w:val="00250691"/>
    <w:rsid w:val="00251066"/>
    <w:rsid w:val="002542B0"/>
    <w:rsid w:val="00255A1E"/>
    <w:rsid w:val="00255B57"/>
    <w:rsid w:val="00256FCD"/>
    <w:rsid w:val="00257858"/>
    <w:rsid w:val="00257E14"/>
    <w:rsid w:val="00257F2D"/>
    <w:rsid w:val="00257F5F"/>
    <w:rsid w:val="00260CE9"/>
    <w:rsid w:val="00262F9F"/>
    <w:rsid w:val="00266273"/>
    <w:rsid w:val="00266D2D"/>
    <w:rsid w:val="0027331F"/>
    <w:rsid w:val="00275CCA"/>
    <w:rsid w:val="00276D85"/>
    <w:rsid w:val="0028084D"/>
    <w:rsid w:val="00282F41"/>
    <w:rsid w:val="00283A0D"/>
    <w:rsid w:val="002850C9"/>
    <w:rsid w:val="0028559F"/>
    <w:rsid w:val="00285E76"/>
    <w:rsid w:val="00290FD7"/>
    <w:rsid w:val="00292CF3"/>
    <w:rsid w:val="002949C3"/>
    <w:rsid w:val="002962AC"/>
    <w:rsid w:val="00296B86"/>
    <w:rsid w:val="002A10A4"/>
    <w:rsid w:val="002A11CF"/>
    <w:rsid w:val="002A26FE"/>
    <w:rsid w:val="002A28C6"/>
    <w:rsid w:val="002A33C6"/>
    <w:rsid w:val="002A4DC6"/>
    <w:rsid w:val="002A4E89"/>
    <w:rsid w:val="002A4EBC"/>
    <w:rsid w:val="002A651B"/>
    <w:rsid w:val="002A66A6"/>
    <w:rsid w:val="002B1265"/>
    <w:rsid w:val="002B1423"/>
    <w:rsid w:val="002C0430"/>
    <w:rsid w:val="002C4240"/>
    <w:rsid w:val="002C75CA"/>
    <w:rsid w:val="002D0C09"/>
    <w:rsid w:val="002D0E20"/>
    <w:rsid w:val="002D708D"/>
    <w:rsid w:val="002E1F17"/>
    <w:rsid w:val="002F0903"/>
    <w:rsid w:val="002F1257"/>
    <w:rsid w:val="002F1B20"/>
    <w:rsid w:val="002F3436"/>
    <w:rsid w:val="00303F72"/>
    <w:rsid w:val="00304C5A"/>
    <w:rsid w:val="003054D3"/>
    <w:rsid w:val="0030560F"/>
    <w:rsid w:val="00310C61"/>
    <w:rsid w:val="00310E76"/>
    <w:rsid w:val="00311465"/>
    <w:rsid w:val="00311676"/>
    <w:rsid w:val="0031268D"/>
    <w:rsid w:val="00314CB1"/>
    <w:rsid w:val="00316622"/>
    <w:rsid w:val="003171B3"/>
    <w:rsid w:val="00321D9F"/>
    <w:rsid w:val="0032559D"/>
    <w:rsid w:val="00325797"/>
    <w:rsid w:val="00331616"/>
    <w:rsid w:val="00333567"/>
    <w:rsid w:val="00336147"/>
    <w:rsid w:val="00340665"/>
    <w:rsid w:val="00341267"/>
    <w:rsid w:val="00341DE0"/>
    <w:rsid w:val="00342496"/>
    <w:rsid w:val="003428F7"/>
    <w:rsid w:val="00343669"/>
    <w:rsid w:val="00344575"/>
    <w:rsid w:val="00344CDF"/>
    <w:rsid w:val="00346832"/>
    <w:rsid w:val="00346AE7"/>
    <w:rsid w:val="00346D32"/>
    <w:rsid w:val="0035113C"/>
    <w:rsid w:val="0035120C"/>
    <w:rsid w:val="00354525"/>
    <w:rsid w:val="00354E4F"/>
    <w:rsid w:val="003575FA"/>
    <w:rsid w:val="003578CB"/>
    <w:rsid w:val="00360D5F"/>
    <w:rsid w:val="00363009"/>
    <w:rsid w:val="00364002"/>
    <w:rsid w:val="0036474C"/>
    <w:rsid w:val="00365DE8"/>
    <w:rsid w:val="0036619F"/>
    <w:rsid w:val="003665FA"/>
    <w:rsid w:val="00371871"/>
    <w:rsid w:val="00374385"/>
    <w:rsid w:val="00374D23"/>
    <w:rsid w:val="00380CC4"/>
    <w:rsid w:val="00382458"/>
    <w:rsid w:val="0038318D"/>
    <w:rsid w:val="00387CB3"/>
    <w:rsid w:val="00395DA5"/>
    <w:rsid w:val="003A2359"/>
    <w:rsid w:val="003A2BE3"/>
    <w:rsid w:val="003B4964"/>
    <w:rsid w:val="003B6E4E"/>
    <w:rsid w:val="003B7CC8"/>
    <w:rsid w:val="003C0686"/>
    <w:rsid w:val="003C714C"/>
    <w:rsid w:val="003D08CF"/>
    <w:rsid w:val="003D0CBA"/>
    <w:rsid w:val="003D0F6A"/>
    <w:rsid w:val="003D2BC1"/>
    <w:rsid w:val="003D4B14"/>
    <w:rsid w:val="003D4BA8"/>
    <w:rsid w:val="003D528B"/>
    <w:rsid w:val="003D54A9"/>
    <w:rsid w:val="003D54F4"/>
    <w:rsid w:val="003D74E8"/>
    <w:rsid w:val="003D753F"/>
    <w:rsid w:val="003E5269"/>
    <w:rsid w:val="003E78D6"/>
    <w:rsid w:val="003F034A"/>
    <w:rsid w:val="003F183F"/>
    <w:rsid w:val="003F3A4C"/>
    <w:rsid w:val="003F5E80"/>
    <w:rsid w:val="003F68DC"/>
    <w:rsid w:val="00405394"/>
    <w:rsid w:val="004053C8"/>
    <w:rsid w:val="004058CD"/>
    <w:rsid w:val="004066E4"/>
    <w:rsid w:val="0040680B"/>
    <w:rsid w:val="00407361"/>
    <w:rsid w:val="00413451"/>
    <w:rsid w:val="004169BF"/>
    <w:rsid w:val="00417C55"/>
    <w:rsid w:val="00424A7B"/>
    <w:rsid w:val="00427D4E"/>
    <w:rsid w:val="00431515"/>
    <w:rsid w:val="00435FDC"/>
    <w:rsid w:val="0044043E"/>
    <w:rsid w:val="00443F8B"/>
    <w:rsid w:val="004447C1"/>
    <w:rsid w:val="00445406"/>
    <w:rsid w:val="00445427"/>
    <w:rsid w:val="00445E56"/>
    <w:rsid w:val="00446AA8"/>
    <w:rsid w:val="0045030B"/>
    <w:rsid w:val="00454057"/>
    <w:rsid w:val="0045590D"/>
    <w:rsid w:val="0045659D"/>
    <w:rsid w:val="00457418"/>
    <w:rsid w:val="0046211F"/>
    <w:rsid w:val="004639BB"/>
    <w:rsid w:val="004652AE"/>
    <w:rsid w:val="00466B0D"/>
    <w:rsid w:val="0046787B"/>
    <w:rsid w:val="00470265"/>
    <w:rsid w:val="004732E2"/>
    <w:rsid w:val="00477B00"/>
    <w:rsid w:val="00477C98"/>
    <w:rsid w:val="004808C7"/>
    <w:rsid w:val="004817C9"/>
    <w:rsid w:val="004854A1"/>
    <w:rsid w:val="00485A2C"/>
    <w:rsid w:val="00486304"/>
    <w:rsid w:val="00486653"/>
    <w:rsid w:val="00490BA8"/>
    <w:rsid w:val="00491FD2"/>
    <w:rsid w:val="00492003"/>
    <w:rsid w:val="00493CA7"/>
    <w:rsid w:val="004943F9"/>
    <w:rsid w:val="004A1DF7"/>
    <w:rsid w:val="004A2EDE"/>
    <w:rsid w:val="004A3527"/>
    <w:rsid w:val="004A5FDA"/>
    <w:rsid w:val="004B11A5"/>
    <w:rsid w:val="004B2FEA"/>
    <w:rsid w:val="004B38EF"/>
    <w:rsid w:val="004B4233"/>
    <w:rsid w:val="004B609F"/>
    <w:rsid w:val="004C2C2F"/>
    <w:rsid w:val="004C2F50"/>
    <w:rsid w:val="004C386B"/>
    <w:rsid w:val="004D098C"/>
    <w:rsid w:val="004D1D3E"/>
    <w:rsid w:val="004D24A9"/>
    <w:rsid w:val="004D2F14"/>
    <w:rsid w:val="004D41FE"/>
    <w:rsid w:val="004E1C60"/>
    <w:rsid w:val="004E1E56"/>
    <w:rsid w:val="004E308B"/>
    <w:rsid w:val="004E5357"/>
    <w:rsid w:val="004E558E"/>
    <w:rsid w:val="004F08FE"/>
    <w:rsid w:val="004F4A07"/>
    <w:rsid w:val="004F5EB1"/>
    <w:rsid w:val="004F6887"/>
    <w:rsid w:val="004F7B9D"/>
    <w:rsid w:val="00501C66"/>
    <w:rsid w:val="00502152"/>
    <w:rsid w:val="005030AD"/>
    <w:rsid w:val="00506E5C"/>
    <w:rsid w:val="00507719"/>
    <w:rsid w:val="005077C4"/>
    <w:rsid w:val="005108A0"/>
    <w:rsid w:val="0051151E"/>
    <w:rsid w:val="00511B93"/>
    <w:rsid w:val="0051249C"/>
    <w:rsid w:val="00513CEA"/>
    <w:rsid w:val="005167EC"/>
    <w:rsid w:val="005176E7"/>
    <w:rsid w:val="00520330"/>
    <w:rsid w:val="0052184C"/>
    <w:rsid w:val="00523D0B"/>
    <w:rsid w:val="0052413B"/>
    <w:rsid w:val="00524B6B"/>
    <w:rsid w:val="00525635"/>
    <w:rsid w:val="00526403"/>
    <w:rsid w:val="00526B92"/>
    <w:rsid w:val="005271F9"/>
    <w:rsid w:val="00533D37"/>
    <w:rsid w:val="00536F2D"/>
    <w:rsid w:val="005413EE"/>
    <w:rsid w:val="00545099"/>
    <w:rsid w:val="005476A4"/>
    <w:rsid w:val="00551821"/>
    <w:rsid w:val="00551F97"/>
    <w:rsid w:val="005543A5"/>
    <w:rsid w:val="0055646F"/>
    <w:rsid w:val="0055784A"/>
    <w:rsid w:val="00562AD2"/>
    <w:rsid w:val="00565581"/>
    <w:rsid w:val="005667A4"/>
    <w:rsid w:val="00566FD5"/>
    <w:rsid w:val="00571143"/>
    <w:rsid w:val="00572524"/>
    <w:rsid w:val="005833FE"/>
    <w:rsid w:val="00587443"/>
    <w:rsid w:val="00587C50"/>
    <w:rsid w:val="005917F3"/>
    <w:rsid w:val="00591B05"/>
    <w:rsid w:val="0059314B"/>
    <w:rsid w:val="005A08C6"/>
    <w:rsid w:val="005A247E"/>
    <w:rsid w:val="005A322F"/>
    <w:rsid w:val="005A4529"/>
    <w:rsid w:val="005A54C2"/>
    <w:rsid w:val="005A760B"/>
    <w:rsid w:val="005A7797"/>
    <w:rsid w:val="005B0AC4"/>
    <w:rsid w:val="005B0ACD"/>
    <w:rsid w:val="005B245C"/>
    <w:rsid w:val="005B50A2"/>
    <w:rsid w:val="005B6F33"/>
    <w:rsid w:val="005C3408"/>
    <w:rsid w:val="005C41F9"/>
    <w:rsid w:val="005C484E"/>
    <w:rsid w:val="005D09D3"/>
    <w:rsid w:val="005D27D4"/>
    <w:rsid w:val="005D3D60"/>
    <w:rsid w:val="005D544B"/>
    <w:rsid w:val="005D6099"/>
    <w:rsid w:val="005D611B"/>
    <w:rsid w:val="005D6556"/>
    <w:rsid w:val="005E28FA"/>
    <w:rsid w:val="005E5E57"/>
    <w:rsid w:val="005F0842"/>
    <w:rsid w:val="005F0D8D"/>
    <w:rsid w:val="005F1ACE"/>
    <w:rsid w:val="005F256D"/>
    <w:rsid w:val="005F3193"/>
    <w:rsid w:val="006015C9"/>
    <w:rsid w:val="0060183A"/>
    <w:rsid w:val="0060271A"/>
    <w:rsid w:val="00602E2B"/>
    <w:rsid w:val="00603110"/>
    <w:rsid w:val="00611C8E"/>
    <w:rsid w:val="0061209D"/>
    <w:rsid w:val="006121ED"/>
    <w:rsid w:val="006147D7"/>
    <w:rsid w:val="00616419"/>
    <w:rsid w:val="006167DE"/>
    <w:rsid w:val="006230B9"/>
    <w:rsid w:val="00624F22"/>
    <w:rsid w:val="00625208"/>
    <w:rsid w:val="00625B3A"/>
    <w:rsid w:val="00627804"/>
    <w:rsid w:val="0063002C"/>
    <w:rsid w:val="006302F7"/>
    <w:rsid w:val="00631F30"/>
    <w:rsid w:val="006366F4"/>
    <w:rsid w:val="00640CC2"/>
    <w:rsid w:val="00642420"/>
    <w:rsid w:val="00643742"/>
    <w:rsid w:val="00646158"/>
    <w:rsid w:val="006513F4"/>
    <w:rsid w:val="0065308F"/>
    <w:rsid w:val="006570AA"/>
    <w:rsid w:val="0066215F"/>
    <w:rsid w:val="0066432D"/>
    <w:rsid w:val="00664B7E"/>
    <w:rsid w:val="00664D71"/>
    <w:rsid w:val="006655B0"/>
    <w:rsid w:val="0066577A"/>
    <w:rsid w:val="0066622C"/>
    <w:rsid w:val="00666487"/>
    <w:rsid w:val="00667A37"/>
    <w:rsid w:val="00667F97"/>
    <w:rsid w:val="00671FA2"/>
    <w:rsid w:val="00673B37"/>
    <w:rsid w:val="00673D71"/>
    <w:rsid w:val="00674E3D"/>
    <w:rsid w:val="00681358"/>
    <w:rsid w:val="00683AFD"/>
    <w:rsid w:val="00683ED2"/>
    <w:rsid w:val="00685E0B"/>
    <w:rsid w:val="00686F93"/>
    <w:rsid w:val="006945EA"/>
    <w:rsid w:val="00696776"/>
    <w:rsid w:val="006A203A"/>
    <w:rsid w:val="006A34AB"/>
    <w:rsid w:val="006A5ACB"/>
    <w:rsid w:val="006A74BE"/>
    <w:rsid w:val="006A77A6"/>
    <w:rsid w:val="006B1B51"/>
    <w:rsid w:val="006B5470"/>
    <w:rsid w:val="006C0C95"/>
    <w:rsid w:val="006C0FA2"/>
    <w:rsid w:val="006C20BB"/>
    <w:rsid w:val="006C39E4"/>
    <w:rsid w:val="006D0138"/>
    <w:rsid w:val="006D2CA7"/>
    <w:rsid w:val="006D510D"/>
    <w:rsid w:val="006D6F52"/>
    <w:rsid w:val="006E1965"/>
    <w:rsid w:val="006E1E9E"/>
    <w:rsid w:val="006E4CD3"/>
    <w:rsid w:val="006E6399"/>
    <w:rsid w:val="006E6B8F"/>
    <w:rsid w:val="006E6D25"/>
    <w:rsid w:val="006F012B"/>
    <w:rsid w:val="006F0F11"/>
    <w:rsid w:val="006F273D"/>
    <w:rsid w:val="006F3187"/>
    <w:rsid w:val="00701718"/>
    <w:rsid w:val="0070270F"/>
    <w:rsid w:val="0070287C"/>
    <w:rsid w:val="007057C0"/>
    <w:rsid w:val="00705CC9"/>
    <w:rsid w:val="00706E1B"/>
    <w:rsid w:val="00710359"/>
    <w:rsid w:val="00712FFF"/>
    <w:rsid w:val="00713C13"/>
    <w:rsid w:val="0071508F"/>
    <w:rsid w:val="00716858"/>
    <w:rsid w:val="00721102"/>
    <w:rsid w:val="00722DBF"/>
    <w:rsid w:val="0072551E"/>
    <w:rsid w:val="0072649C"/>
    <w:rsid w:val="00735157"/>
    <w:rsid w:val="0073537C"/>
    <w:rsid w:val="00735438"/>
    <w:rsid w:val="0074358B"/>
    <w:rsid w:val="007460FF"/>
    <w:rsid w:val="00752F24"/>
    <w:rsid w:val="007541BC"/>
    <w:rsid w:val="00754AEA"/>
    <w:rsid w:val="007613B1"/>
    <w:rsid w:val="00761425"/>
    <w:rsid w:val="0076271C"/>
    <w:rsid w:val="007647A6"/>
    <w:rsid w:val="00764E54"/>
    <w:rsid w:val="007661BC"/>
    <w:rsid w:val="00767CE8"/>
    <w:rsid w:val="00771E81"/>
    <w:rsid w:val="00772CAA"/>
    <w:rsid w:val="00774941"/>
    <w:rsid w:val="00775490"/>
    <w:rsid w:val="0077585F"/>
    <w:rsid w:val="007805B1"/>
    <w:rsid w:val="00782520"/>
    <w:rsid w:val="007875D0"/>
    <w:rsid w:val="00792089"/>
    <w:rsid w:val="00792626"/>
    <w:rsid w:val="007954C7"/>
    <w:rsid w:val="00795D0C"/>
    <w:rsid w:val="00796CD0"/>
    <w:rsid w:val="00797F42"/>
    <w:rsid w:val="007A4A79"/>
    <w:rsid w:val="007A55BA"/>
    <w:rsid w:val="007A6BCA"/>
    <w:rsid w:val="007B1944"/>
    <w:rsid w:val="007B7373"/>
    <w:rsid w:val="007C0BE2"/>
    <w:rsid w:val="007C0D17"/>
    <w:rsid w:val="007C1A63"/>
    <w:rsid w:val="007C1FBD"/>
    <w:rsid w:val="007C454B"/>
    <w:rsid w:val="007C5030"/>
    <w:rsid w:val="007C54B3"/>
    <w:rsid w:val="007C5C8E"/>
    <w:rsid w:val="007C618A"/>
    <w:rsid w:val="007C7942"/>
    <w:rsid w:val="007D087A"/>
    <w:rsid w:val="007D0E85"/>
    <w:rsid w:val="007D20B9"/>
    <w:rsid w:val="007D2828"/>
    <w:rsid w:val="007D2B92"/>
    <w:rsid w:val="007D400F"/>
    <w:rsid w:val="007E0A01"/>
    <w:rsid w:val="007E22F5"/>
    <w:rsid w:val="007F0DF2"/>
    <w:rsid w:val="007F25F3"/>
    <w:rsid w:val="007F3749"/>
    <w:rsid w:val="007F4901"/>
    <w:rsid w:val="00804883"/>
    <w:rsid w:val="00806085"/>
    <w:rsid w:val="00806937"/>
    <w:rsid w:val="008127A6"/>
    <w:rsid w:val="0082134E"/>
    <w:rsid w:val="00823589"/>
    <w:rsid w:val="00824774"/>
    <w:rsid w:val="00826DEB"/>
    <w:rsid w:val="008305C3"/>
    <w:rsid w:val="00831542"/>
    <w:rsid w:val="00832A78"/>
    <w:rsid w:val="00836B02"/>
    <w:rsid w:val="00837440"/>
    <w:rsid w:val="00845473"/>
    <w:rsid w:val="008467D4"/>
    <w:rsid w:val="00850FB0"/>
    <w:rsid w:val="00851E34"/>
    <w:rsid w:val="0085238E"/>
    <w:rsid w:val="00853428"/>
    <w:rsid w:val="008540EA"/>
    <w:rsid w:val="0085516D"/>
    <w:rsid w:val="00857C8C"/>
    <w:rsid w:val="00866016"/>
    <w:rsid w:val="00866A00"/>
    <w:rsid w:val="00866B29"/>
    <w:rsid w:val="008702A6"/>
    <w:rsid w:val="0087158D"/>
    <w:rsid w:val="00871D68"/>
    <w:rsid w:val="008751C6"/>
    <w:rsid w:val="008757CE"/>
    <w:rsid w:val="00876B8F"/>
    <w:rsid w:val="0087761C"/>
    <w:rsid w:val="00877F5A"/>
    <w:rsid w:val="0088392C"/>
    <w:rsid w:val="00884522"/>
    <w:rsid w:val="00886B5E"/>
    <w:rsid w:val="008909FA"/>
    <w:rsid w:val="00891827"/>
    <w:rsid w:val="008927C7"/>
    <w:rsid w:val="00893CF1"/>
    <w:rsid w:val="00897C0E"/>
    <w:rsid w:val="00897E31"/>
    <w:rsid w:val="008A046F"/>
    <w:rsid w:val="008A0F3A"/>
    <w:rsid w:val="008A17CE"/>
    <w:rsid w:val="008A405A"/>
    <w:rsid w:val="008A6A6A"/>
    <w:rsid w:val="008B3F13"/>
    <w:rsid w:val="008B5720"/>
    <w:rsid w:val="008B650A"/>
    <w:rsid w:val="008B720D"/>
    <w:rsid w:val="008B787C"/>
    <w:rsid w:val="008C0246"/>
    <w:rsid w:val="008C05DF"/>
    <w:rsid w:val="008C0AA3"/>
    <w:rsid w:val="008C0B6B"/>
    <w:rsid w:val="008C0CE4"/>
    <w:rsid w:val="008C2E64"/>
    <w:rsid w:val="008C3898"/>
    <w:rsid w:val="008C5A60"/>
    <w:rsid w:val="008C66CC"/>
    <w:rsid w:val="008C74CC"/>
    <w:rsid w:val="008D1715"/>
    <w:rsid w:val="008D39BD"/>
    <w:rsid w:val="008D47CF"/>
    <w:rsid w:val="008D4BA1"/>
    <w:rsid w:val="008D548D"/>
    <w:rsid w:val="008E057B"/>
    <w:rsid w:val="008E0C21"/>
    <w:rsid w:val="008E1B59"/>
    <w:rsid w:val="008E2119"/>
    <w:rsid w:val="008E5883"/>
    <w:rsid w:val="008E5C4A"/>
    <w:rsid w:val="008E7652"/>
    <w:rsid w:val="008F29E0"/>
    <w:rsid w:val="008F29EF"/>
    <w:rsid w:val="008F483C"/>
    <w:rsid w:val="008F6610"/>
    <w:rsid w:val="00910595"/>
    <w:rsid w:val="00910756"/>
    <w:rsid w:val="009113D6"/>
    <w:rsid w:val="009117E4"/>
    <w:rsid w:val="009119F1"/>
    <w:rsid w:val="00912A05"/>
    <w:rsid w:val="00912D61"/>
    <w:rsid w:val="0091425D"/>
    <w:rsid w:val="009143D4"/>
    <w:rsid w:val="00916340"/>
    <w:rsid w:val="00920712"/>
    <w:rsid w:val="00930660"/>
    <w:rsid w:val="009322D7"/>
    <w:rsid w:val="00932AD3"/>
    <w:rsid w:val="00932BDE"/>
    <w:rsid w:val="00932F9A"/>
    <w:rsid w:val="0093595A"/>
    <w:rsid w:val="00936766"/>
    <w:rsid w:val="00936D40"/>
    <w:rsid w:val="009371D0"/>
    <w:rsid w:val="00941802"/>
    <w:rsid w:val="00941D77"/>
    <w:rsid w:val="00950B43"/>
    <w:rsid w:val="00952C1B"/>
    <w:rsid w:val="00954B08"/>
    <w:rsid w:val="0095503B"/>
    <w:rsid w:val="00957B83"/>
    <w:rsid w:val="0096079B"/>
    <w:rsid w:val="00962689"/>
    <w:rsid w:val="00965C93"/>
    <w:rsid w:val="00965D6D"/>
    <w:rsid w:val="00966907"/>
    <w:rsid w:val="00967725"/>
    <w:rsid w:val="00974906"/>
    <w:rsid w:val="00975928"/>
    <w:rsid w:val="009771C8"/>
    <w:rsid w:val="00977901"/>
    <w:rsid w:val="00977956"/>
    <w:rsid w:val="00980284"/>
    <w:rsid w:val="00981851"/>
    <w:rsid w:val="0098195F"/>
    <w:rsid w:val="00982BE0"/>
    <w:rsid w:val="00985CB9"/>
    <w:rsid w:val="009902F8"/>
    <w:rsid w:val="00991FCA"/>
    <w:rsid w:val="00993889"/>
    <w:rsid w:val="00993A7F"/>
    <w:rsid w:val="00993BB8"/>
    <w:rsid w:val="00994DAE"/>
    <w:rsid w:val="0099555F"/>
    <w:rsid w:val="00995CEE"/>
    <w:rsid w:val="009A1450"/>
    <w:rsid w:val="009A22A1"/>
    <w:rsid w:val="009A25F2"/>
    <w:rsid w:val="009A485E"/>
    <w:rsid w:val="009B279E"/>
    <w:rsid w:val="009B3A1B"/>
    <w:rsid w:val="009B3A3C"/>
    <w:rsid w:val="009B5966"/>
    <w:rsid w:val="009B6095"/>
    <w:rsid w:val="009B61A0"/>
    <w:rsid w:val="009B6332"/>
    <w:rsid w:val="009B6DC8"/>
    <w:rsid w:val="009C0912"/>
    <w:rsid w:val="009C4698"/>
    <w:rsid w:val="009C704B"/>
    <w:rsid w:val="009C7443"/>
    <w:rsid w:val="009D0015"/>
    <w:rsid w:val="009D06FE"/>
    <w:rsid w:val="009D4DD8"/>
    <w:rsid w:val="009D5751"/>
    <w:rsid w:val="009D6694"/>
    <w:rsid w:val="009D715F"/>
    <w:rsid w:val="009E106F"/>
    <w:rsid w:val="009E30C2"/>
    <w:rsid w:val="009E6CF3"/>
    <w:rsid w:val="009F0300"/>
    <w:rsid w:val="009F03B6"/>
    <w:rsid w:val="009F04A3"/>
    <w:rsid w:val="009F4E5F"/>
    <w:rsid w:val="009F6E8A"/>
    <w:rsid w:val="00A01D18"/>
    <w:rsid w:val="00A032BD"/>
    <w:rsid w:val="00A03E98"/>
    <w:rsid w:val="00A104A7"/>
    <w:rsid w:val="00A1385C"/>
    <w:rsid w:val="00A167A8"/>
    <w:rsid w:val="00A170F4"/>
    <w:rsid w:val="00A215FE"/>
    <w:rsid w:val="00A21F0A"/>
    <w:rsid w:val="00A22D3B"/>
    <w:rsid w:val="00A247FD"/>
    <w:rsid w:val="00A26011"/>
    <w:rsid w:val="00A33EC3"/>
    <w:rsid w:val="00A40F5F"/>
    <w:rsid w:val="00A45706"/>
    <w:rsid w:val="00A47BDE"/>
    <w:rsid w:val="00A506C2"/>
    <w:rsid w:val="00A5338A"/>
    <w:rsid w:val="00A53BDC"/>
    <w:rsid w:val="00A56BC9"/>
    <w:rsid w:val="00A62886"/>
    <w:rsid w:val="00A64B42"/>
    <w:rsid w:val="00A65FCA"/>
    <w:rsid w:val="00A667F7"/>
    <w:rsid w:val="00A7095D"/>
    <w:rsid w:val="00A71E53"/>
    <w:rsid w:val="00A74C38"/>
    <w:rsid w:val="00A750B8"/>
    <w:rsid w:val="00A76B8E"/>
    <w:rsid w:val="00A77D24"/>
    <w:rsid w:val="00A77DBA"/>
    <w:rsid w:val="00A83381"/>
    <w:rsid w:val="00A8572F"/>
    <w:rsid w:val="00A86BA8"/>
    <w:rsid w:val="00A86CDB"/>
    <w:rsid w:val="00A8756B"/>
    <w:rsid w:val="00A91BE1"/>
    <w:rsid w:val="00A93E07"/>
    <w:rsid w:val="00A979CF"/>
    <w:rsid w:val="00A97CA9"/>
    <w:rsid w:val="00AA4DF8"/>
    <w:rsid w:val="00AA681B"/>
    <w:rsid w:val="00AB16B2"/>
    <w:rsid w:val="00AB4C5D"/>
    <w:rsid w:val="00AB60B0"/>
    <w:rsid w:val="00AB77D6"/>
    <w:rsid w:val="00AB780C"/>
    <w:rsid w:val="00AC0661"/>
    <w:rsid w:val="00AC2448"/>
    <w:rsid w:val="00AC467B"/>
    <w:rsid w:val="00AC4C4E"/>
    <w:rsid w:val="00AC6A4C"/>
    <w:rsid w:val="00AD0B0B"/>
    <w:rsid w:val="00AD51ED"/>
    <w:rsid w:val="00AD5ADE"/>
    <w:rsid w:val="00AD686B"/>
    <w:rsid w:val="00AE168E"/>
    <w:rsid w:val="00AE2BAB"/>
    <w:rsid w:val="00AE4CC1"/>
    <w:rsid w:val="00AE583A"/>
    <w:rsid w:val="00AE5B1B"/>
    <w:rsid w:val="00AE5C77"/>
    <w:rsid w:val="00AE708F"/>
    <w:rsid w:val="00AE7138"/>
    <w:rsid w:val="00AF017F"/>
    <w:rsid w:val="00AF19E5"/>
    <w:rsid w:val="00AF3B76"/>
    <w:rsid w:val="00AF3F3F"/>
    <w:rsid w:val="00AF4CAF"/>
    <w:rsid w:val="00B0691C"/>
    <w:rsid w:val="00B10C58"/>
    <w:rsid w:val="00B117BA"/>
    <w:rsid w:val="00B128E5"/>
    <w:rsid w:val="00B141EA"/>
    <w:rsid w:val="00B15F23"/>
    <w:rsid w:val="00B16392"/>
    <w:rsid w:val="00B16508"/>
    <w:rsid w:val="00B200B9"/>
    <w:rsid w:val="00B20663"/>
    <w:rsid w:val="00B20D87"/>
    <w:rsid w:val="00B24040"/>
    <w:rsid w:val="00B24053"/>
    <w:rsid w:val="00B24BED"/>
    <w:rsid w:val="00B31550"/>
    <w:rsid w:val="00B32A2F"/>
    <w:rsid w:val="00B33D12"/>
    <w:rsid w:val="00B41968"/>
    <w:rsid w:val="00B436AB"/>
    <w:rsid w:val="00B478D9"/>
    <w:rsid w:val="00B5091C"/>
    <w:rsid w:val="00B52C26"/>
    <w:rsid w:val="00B546F4"/>
    <w:rsid w:val="00B55D3E"/>
    <w:rsid w:val="00B578AC"/>
    <w:rsid w:val="00B6126F"/>
    <w:rsid w:val="00B62F06"/>
    <w:rsid w:val="00B63A5C"/>
    <w:rsid w:val="00B63A7A"/>
    <w:rsid w:val="00B6433F"/>
    <w:rsid w:val="00B64CF5"/>
    <w:rsid w:val="00B6770C"/>
    <w:rsid w:val="00B71E22"/>
    <w:rsid w:val="00B74A21"/>
    <w:rsid w:val="00B76772"/>
    <w:rsid w:val="00B76C9B"/>
    <w:rsid w:val="00B823A1"/>
    <w:rsid w:val="00B8428B"/>
    <w:rsid w:val="00B856A9"/>
    <w:rsid w:val="00B91448"/>
    <w:rsid w:val="00B91A83"/>
    <w:rsid w:val="00B942A9"/>
    <w:rsid w:val="00B95692"/>
    <w:rsid w:val="00B9614A"/>
    <w:rsid w:val="00BA216C"/>
    <w:rsid w:val="00BA41F5"/>
    <w:rsid w:val="00BB04CC"/>
    <w:rsid w:val="00BB2E6C"/>
    <w:rsid w:val="00BB3C9C"/>
    <w:rsid w:val="00BB5000"/>
    <w:rsid w:val="00BB7265"/>
    <w:rsid w:val="00BB775E"/>
    <w:rsid w:val="00BB7C9B"/>
    <w:rsid w:val="00BC53BA"/>
    <w:rsid w:val="00BC6839"/>
    <w:rsid w:val="00BD4D22"/>
    <w:rsid w:val="00BD6DD6"/>
    <w:rsid w:val="00BE12FC"/>
    <w:rsid w:val="00BE172E"/>
    <w:rsid w:val="00BE2F1E"/>
    <w:rsid w:val="00BE2F8F"/>
    <w:rsid w:val="00BF02EC"/>
    <w:rsid w:val="00BF0CA1"/>
    <w:rsid w:val="00BF18AD"/>
    <w:rsid w:val="00BF29A2"/>
    <w:rsid w:val="00BF32BF"/>
    <w:rsid w:val="00BF4822"/>
    <w:rsid w:val="00BF53B3"/>
    <w:rsid w:val="00C01D22"/>
    <w:rsid w:val="00C01D3C"/>
    <w:rsid w:val="00C03477"/>
    <w:rsid w:val="00C0659E"/>
    <w:rsid w:val="00C104B6"/>
    <w:rsid w:val="00C10F02"/>
    <w:rsid w:val="00C114F4"/>
    <w:rsid w:val="00C11C69"/>
    <w:rsid w:val="00C11CBC"/>
    <w:rsid w:val="00C11D03"/>
    <w:rsid w:val="00C15803"/>
    <w:rsid w:val="00C16F8E"/>
    <w:rsid w:val="00C21AA4"/>
    <w:rsid w:val="00C21AEB"/>
    <w:rsid w:val="00C2283F"/>
    <w:rsid w:val="00C25C8B"/>
    <w:rsid w:val="00C2669B"/>
    <w:rsid w:val="00C30B40"/>
    <w:rsid w:val="00C313FA"/>
    <w:rsid w:val="00C31967"/>
    <w:rsid w:val="00C31D99"/>
    <w:rsid w:val="00C34657"/>
    <w:rsid w:val="00C34C96"/>
    <w:rsid w:val="00C35E8B"/>
    <w:rsid w:val="00C362D6"/>
    <w:rsid w:val="00C371DE"/>
    <w:rsid w:val="00C3772E"/>
    <w:rsid w:val="00C409AE"/>
    <w:rsid w:val="00C4143E"/>
    <w:rsid w:val="00C42D50"/>
    <w:rsid w:val="00C44644"/>
    <w:rsid w:val="00C4566A"/>
    <w:rsid w:val="00C45AED"/>
    <w:rsid w:val="00C45E88"/>
    <w:rsid w:val="00C51283"/>
    <w:rsid w:val="00C52079"/>
    <w:rsid w:val="00C54DF8"/>
    <w:rsid w:val="00C60B49"/>
    <w:rsid w:val="00C61407"/>
    <w:rsid w:val="00C61543"/>
    <w:rsid w:val="00C63350"/>
    <w:rsid w:val="00C63FBA"/>
    <w:rsid w:val="00C71D32"/>
    <w:rsid w:val="00C72466"/>
    <w:rsid w:val="00C7399B"/>
    <w:rsid w:val="00C73BDD"/>
    <w:rsid w:val="00C73F44"/>
    <w:rsid w:val="00C7440A"/>
    <w:rsid w:val="00C8082C"/>
    <w:rsid w:val="00C8533E"/>
    <w:rsid w:val="00C85D31"/>
    <w:rsid w:val="00C865ED"/>
    <w:rsid w:val="00C8775A"/>
    <w:rsid w:val="00C90403"/>
    <w:rsid w:val="00C90FD0"/>
    <w:rsid w:val="00C95D9C"/>
    <w:rsid w:val="00C97FD8"/>
    <w:rsid w:val="00CA0877"/>
    <w:rsid w:val="00CA37A2"/>
    <w:rsid w:val="00CA3A2F"/>
    <w:rsid w:val="00CA4B6A"/>
    <w:rsid w:val="00CA6B59"/>
    <w:rsid w:val="00CB0D24"/>
    <w:rsid w:val="00CB3111"/>
    <w:rsid w:val="00CB35BF"/>
    <w:rsid w:val="00CB3B6C"/>
    <w:rsid w:val="00CB4432"/>
    <w:rsid w:val="00CB61B4"/>
    <w:rsid w:val="00CB744A"/>
    <w:rsid w:val="00CB75F1"/>
    <w:rsid w:val="00CB7BBC"/>
    <w:rsid w:val="00CB7FE6"/>
    <w:rsid w:val="00CC1603"/>
    <w:rsid w:val="00CC1833"/>
    <w:rsid w:val="00CC189F"/>
    <w:rsid w:val="00CC3368"/>
    <w:rsid w:val="00CD5D4A"/>
    <w:rsid w:val="00CE41C3"/>
    <w:rsid w:val="00CE4FD7"/>
    <w:rsid w:val="00CE7E1A"/>
    <w:rsid w:val="00CF19C4"/>
    <w:rsid w:val="00CF1A25"/>
    <w:rsid w:val="00CF2B0A"/>
    <w:rsid w:val="00CF3F40"/>
    <w:rsid w:val="00CF4C9D"/>
    <w:rsid w:val="00CF567A"/>
    <w:rsid w:val="00CF5935"/>
    <w:rsid w:val="00CF6E2A"/>
    <w:rsid w:val="00D024D5"/>
    <w:rsid w:val="00D04E5B"/>
    <w:rsid w:val="00D05A84"/>
    <w:rsid w:val="00D07453"/>
    <w:rsid w:val="00D126BA"/>
    <w:rsid w:val="00D13C04"/>
    <w:rsid w:val="00D13C98"/>
    <w:rsid w:val="00D20A78"/>
    <w:rsid w:val="00D23767"/>
    <w:rsid w:val="00D243DD"/>
    <w:rsid w:val="00D274B0"/>
    <w:rsid w:val="00D278BA"/>
    <w:rsid w:val="00D32355"/>
    <w:rsid w:val="00D40454"/>
    <w:rsid w:val="00D4059C"/>
    <w:rsid w:val="00D51096"/>
    <w:rsid w:val="00D51996"/>
    <w:rsid w:val="00D53D8F"/>
    <w:rsid w:val="00D56BC8"/>
    <w:rsid w:val="00D61C76"/>
    <w:rsid w:val="00D625DA"/>
    <w:rsid w:val="00D629B8"/>
    <w:rsid w:val="00D63380"/>
    <w:rsid w:val="00D64707"/>
    <w:rsid w:val="00D650ED"/>
    <w:rsid w:val="00D66D8A"/>
    <w:rsid w:val="00D67B32"/>
    <w:rsid w:val="00D7115C"/>
    <w:rsid w:val="00D727FA"/>
    <w:rsid w:val="00D72849"/>
    <w:rsid w:val="00D72EC7"/>
    <w:rsid w:val="00D736E5"/>
    <w:rsid w:val="00D75492"/>
    <w:rsid w:val="00D77015"/>
    <w:rsid w:val="00D80658"/>
    <w:rsid w:val="00D8343F"/>
    <w:rsid w:val="00D8347B"/>
    <w:rsid w:val="00D85119"/>
    <w:rsid w:val="00D8760B"/>
    <w:rsid w:val="00D90DF9"/>
    <w:rsid w:val="00D913B9"/>
    <w:rsid w:val="00D92B48"/>
    <w:rsid w:val="00D937D6"/>
    <w:rsid w:val="00D95A10"/>
    <w:rsid w:val="00DA3547"/>
    <w:rsid w:val="00DA5180"/>
    <w:rsid w:val="00DB1693"/>
    <w:rsid w:val="00DB3460"/>
    <w:rsid w:val="00DC3BE8"/>
    <w:rsid w:val="00DC49CA"/>
    <w:rsid w:val="00DC5404"/>
    <w:rsid w:val="00DC6392"/>
    <w:rsid w:val="00DD073E"/>
    <w:rsid w:val="00DD5B07"/>
    <w:rsid w:val="00DD6E8A"/>
    <w:rsid w:val="00DD6F50"/>
    <w:rsid w:val="00DD7E4B"/>
    <w:rsid w:val="00DE44D7"/>
    <w:rsid w:val="00DE6821"/>
    <w:rsid w:val="00DE7238"/>
    <w:rsid w:val="00DF1187"/>
    <w:rsid w:val="00DF2022"/>
    <w:rsid w:val="00DF2E3D"/>
    <w:rsid w:val="00DF3260"/>
    <w:rsid w:val="00DF34BE"/>
    <w:rsid w:val="00DF35A4"/>
    <w:rsid w:val="00DF417C"/>
    <w:rsid w:val="00DF5D59"/>
    <w:rsid w:val="00DF6D7A"/>
    <w:rsid w:val="00E03099"/>
    <w:rsid w:val="00E10897"/>
    <w:rsid w:val="00E10B37"/>
    <w:rsid w:val="00E166DA"/>
    <w:rsid w:val="00E21720"/>
    <w:rsid w:val="00E23497"/>
    <w:rsid w:val="00E239E4"/>
    <w:rsid w:val="00E35302"/>
    <w:rsid w:val="00E359B5"/>
    <w:rsid w:val="00E35FB1"/>
    <w:rsid w:val="00E367A8"/>
    <w:rsid w:val="00E36A38"/>
    <w:rsid w:val="00E43B95"/>
    <w:rsid w:val="00E51A08"/>
    <w:rsid w:val="00E526DA"/>
    <w:rsid w:val="00E53110"/>
    <w:rsid w:val="00E53399"/>
    <w:rsid w:val="00E57FC9"/>
    <w:rsid w:val="00E71A52"/>
    <w:rsid w:val="00E72541"/>
    <w:rsid w:val="00E73E6F"/>
    <w:rsid w:val="00E75A84"/>
    <w:rsid w:val="00E77995"/>
    <w:rsid w:val="00E8322E"/>
    <w:rsid w:val="00E85BF8"/>
    <w:rsid w:val="00E86383"/>
    <w:rsid w:val="00E87099"/>
    <w:rsid w:val="00E91EAA"/>
    <w:rsid w:val="00E9379D"/>
    <w:rsid w:val="00E940B8"/>
    <w:rsid w:val="00E96307"/>
    <w:rsid w:val="00EA28E6"/>
    <w:rsid w:val="00EA44AE"/>
    <w:rsid w:val="00EB06D1"/>
    <w:rsid w:val="00EB2EE0"/>
    <w:rsid w:val="00EB324B"/>
    <w:rsid w:val="00EB461A"/>
    <w:rsid w:val="00EC01F3"/>
    <w:rsid w:val="00EC1A7C"/>
    <w:rsid w:val="00EC1CB2"/>
    <w:rsid w:val="00EC25C0"/>
    <w:rsid w:val="00EC2E7C"/>
    <w:rsid w:val="00EC5C10"/>
    <w:rsid w:val="00EC65BA"/>
    <w:rsid w:val="00EC715E"/>
    <w:rsid w:val="00ED4AFD"/>
    <w:rsid w:val="00EE0616"/>
    <w:rsid w:val="00EE266B"/>
    <w:rsid w:val="00EE405A"/>
    <w:rsid w:val="00EE55F0"/>
    <w:rsid w:val="00EE6FD1"/>
    <w:rsid w:val="00EF0D3A"/>
    <w:rsid w:val="00EF3DE3"/>
    <w:rsid w:val="00EF6EE5"/>
    <w:rsid w:val="00EF78C4"/>
    <w:rsid w:val="00F00070"/>
    <w:rsid w:val="00F0071A"/>
    <w:rsid w:val="00F04CD7"/>
    <w:rsid w:val="00F04FE4"/>
    <w:rsid w:val="00F07965"/>
    <w:rsid w:val="00F13679"/>
    <w:rsid w:val="00F13CB0"/>
    <w:rsid w:val="00F151EB"/>
    <w:rsid w:val="00F163C9"/>
    <w:rsid w:val="00F23E15"/>
    <w:rsid w:val="00F244A2"/>
    <w:rsid w:val="00F24D20"/>
    <w:rsid w:val="00F25AB2"/>
    <w:rsid w:val="00F26C14"/>
    <w:rsid w:val="00F30615"/>
    <w:rsid w:val="00F30EA7"/>
    <w:rsid w:val="00F31161"/>
    <w:rsid w:val="00F33399"/>
    <w:rsid w:val="00F33F13"/>
    <w:rsid w:val="00F35064"/>
    <w:rsid w:val="00F374D8"/>
    <w:rsid w:val="00F37A28"/>
    <w:rsid w:val="00F4131A"/>
    <w:rsid w:val="00F4797C"/>
    <w:rsid w:val="00F507D6"/>
    <w:rsid w:val="00F51235"/>
    <w:rsid w:val="00F539FB"/>
    <w:rsid w:val="00F5684D"/>
    <w:rsid w:val="00F57AB6"/>
    <w:rsid w:val="00F600FB"/>
    <w:rsid w:val="00F60E06"/>
    <w:rsid w:val="00F6246B"/>
    <w:rsid w:val="00F6480F"/>
    <w:rsid w:val="00F64868"/>
    <w:rsid w:val="00F70C2E"/>
    <w:rsid w:val="00F74384"/>
    <w:rsid w:val="00F8380E"/>
    <w:rsid w:val="00F84DF2"/>
    <w:rsid w:val="00F86713"/>
    <w:rsid w:val="00F86DF0"/>
    <w:rsid w:val="00F932E0"/>
    <w:rsid w:val="00F93E2E"/>
    <w:rsid w:val="00F9491E"/>
    <w:rsid w:val="00F9569C"/>
    <w:rsid w:val="00F976A5"/>
    <w:rsid w:val="00FA0303"/>
    <w:rsid w:val="00FA0C0C"/>
    <w:rsid w:val="00FA40A5"/>
    <w:rsid w:val="00FB427B"/>
    <w:rsid w:val="00FB528E"/>
    <w:rsid w:val="00FB7091"/>
    <w:rsid w:val="00FB7701"/>
    <w:rsid w:val="00FB7CAD"/>
    <w:rsid w:val="00FC02F6"/>
    <w:rsid w:val="00FC07E9"/>
    <w:rsid w:val="00FC2592"/>
    <w:rsid w:val="00FC40F0"/>
    <w:rsid w:val="00FC6D3B"/>
    <w:rsid w:val="00FD0129"/>
    <w:rsid w:val="00FD0AD4"/>
    <w:rsid w:val="00FD230D"/>
    <w:rsid w:val="00FE17ED"/>
    <w:rsid w:val="00FE25DE"/>
    <w:rsid w:val="00FE309B"/>
    <w:rsid w:val="00FE3D0B"/>
    <w:rsid w:val="00FF4315"/>
    <w:rsid w:val="00FF557B"/>
    <w:rsid w:val="00FF68E2"/>
    <w:rsid w:val="00FF6E45"/>
    <w:rsid w:val="00FF7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C1B4F"/>
  <w15:docId w15:val="{61EFBEAF-EC97-42E4-B0B4-07F8D290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link w:val="FooterChar"/>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rsid w:val="00A26011"/>
    <w:rPr>
      <w:sz w:val="16"/>
      <w:szCs w:val="16"/>
    </w:rPr>
  </w:style>
  <w:style w:type="paragraph" w:styleId="CommentText">
    <w:name w:val="annotation text"/>
    <w:basedOn w:val="Normal"/>
    <w:link w:val="CommentTextChar"/>
    <w:uiPriority w:val="99"/>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rsid w:val="00640CC2"/>
  </w:style>
  <w:style w:type="character" w:customStyle="1" w:styleId="UnresolvedMention1">
    <w:name w:val="Unresolved Mention1"/>
    <w:basedOn w:val="DefaultParagraphFont"/>
    <w:uiPriority w:val="99"/>
    <w:semiHidden/>
    <w:unhideWhenUsed/>
    <w:rsid w:val="00276D85"/>
    <w:rPr>
      <w:color w:val="605E5C"/>
      <w:shd w:val="clear" w:color="auto" w:fill="E1DFDD"/>
    </w:rPr>
  </w:style>
  <w:style w:type="paragraph" w:styleId="Revision">
    <w:name w:val="Revision"/>
    <w:hidden/>
    <w:uiPriority w:val="99"/>
    <w:semiHidden/>
    <w:rsid w:val="007954C7"/>
    <w:rPr>
      <w:sz w:val="24"/>
    </w:rPr>
  </w:style>
  <w:style w:type="paragraph" w:customStyle="1" w:styleId="Bullet">
    <w:name w:val="Bullet"/>
    <w:basedOn w:val="Normal"/>
    <w:link w:val="BulletChar"/>
    <w:rsid w:val="007954C7"/>
    <w:pPr>
      <w:numPr>
        <w:numId w:val="12"/>
      </w:numPr>
      <w:spacing w:before="240" w:after="120"/>
    </w:pPr>
    <w:rPr>
      <w:szCs w:val="23"/>
    </w:rPr>
  </w:style>
  <w:style w:type="character" w:customStyle="1" w:styleId="BulletChar">
    <w:name w:val="Bullet Char"/>
    <w:basedOn w:val="DefaultParagraphFont"/>
    <w:link w:val="Bullet"/>
    <w:rsid w:val="007954C7"/>
    <w:rPr>
      <w:sz w:val="24"/>
      <w:szCs w:val="23"/>
    </w:rPr>
  </w:style>
  <w:style w:type="paragraph" w:customStyle="1" w:styleId="Dash">
    <w:name w:val="Dash"/>
    <w:basedOn w:val="Normal"/>
    <w:rsid w:val="007954C7"/>
    <w:pPr>
      <w:numPr>
        <w:ilvl w:val="1"/>
        <w:numId w:val="12"/>
      </w:numPr>
      <w:spacing w:before="240" w:after="120"/>
    </w:pPr>
    <w:rPr>
      <w:szCs w:val="23"/>
    </w:rPr>
  </w:style>
  <w:style w:type="paragraph" w:customStyle="1" w:styleId="DoubleDot">
    <w:name w:val="Double Dot"/>
    <w:basedOn w:val="Normal"/>
    <w:rsid w:val="007954C7"/>
    <w:pPr>
      <w:numPr>
        <w:ilvl w:val="2"/>
        <w:numId w:val="12"/>
      </w:numPr>
      <w:spacing w:before="240" w:after="120"/>
    </w:pPr>
    <w:rPr>
      <w:szCs w:val="23"/>
    </w:rPr>
  </w:style>
  <w:style w:type="paragraph" w:customStyle="1" w:styleId="tableheading">
    <w:name w:val="tableheading"/>
    <w:basedOn w:val="Normal"/>
    <w:rsid w:val="00C25C8B"/>
    <w:pPr>
      <w:spacing w:before="100" w:beforeAutospacing="1" w:after="100" w:afterAutospacing="1"/>
    </w:pPr>
    <w:rPr>
      <w:szCs w:val="24"/>
    </w:rPr>
  </w:style>
  <w:style w:type="paragraph" w:customStyle="1" w:styleId="tabletext">
    <w:name w:val="tabletext"/>
    <w:basedOn w:val="Normal"/>
    <w:rsid w:val="00C25C8B"/>
    <w:pPr>
      <w:spacing w:before="100" w:beforeAutospacing="1" w:after="100" w:afterAutospacing="1"/>
    </w:pPr>
    <w:rPr>
      <w:szCs w:val="24"/>
    </w:rPr>
  </w:style>
  <w:style w:type="paragraph" w:customStyle="1" w:styleId="subsection">
    <w:name w:val="subsection"/>
    <w:aliases w:val="ss"/>
    <w:basedOn w:val="Normal"/>
    <w:link w:val="subsectionChar"/>
    <w:rsid w:val="00D126BA"/>
    <w:pPr>
      <w:tabs>
        <w:tab w:val="right" w:pos="1021"/>
      </w:tabs>
      <w:spacing w:before="180"/>
      <w:ind w:left="1134" w:hanging="1134"/>
    </w:pPr>
    <w:rPr>
      <w:sz w:val="22"/>
    </w:rPr>
  </w:style>
  <w:style w:type="paragraph" w:customStyle="1" w:styleId="paragraph">
    <w:name w:val="paragraph"/>
    <w:aliases w:val="a"/>
    <w:basedOn w:val="Normal"/>
    <w:link w:val="paragraphChar"/>
    <w:rsid w:val="00D126BA"/>
    <w:pPr>
      <w:tabs>
        <w:tab w:val="right" w:pos="1531"/>
      </w:tabs>
      <w:spacing w:before="40"/>
      <w:ind w:left="1644" w:hanging="1644"/>
    </w:pPr>
    <w:rPr>
      <w:sz w:val="22"/>
    </w:rPr>
  </w:style>
  <w:style w:type="paragraph" w:customStyle="1" w:styleId="subsection2">
    <w:name w:val="subsection2"/>
    <w:aliases w:val="ss2"/>
    <w:basedOn w:val="Normal"/>
    <w:next w:val="subsection"/>
    <w:rsid w:val="00D126BA"/>
    <w:pPr>
      <w:spacing w:before="40"/>
      <w:ind w:left="1134"/>
    </w:pPr>
    <w:rPr>
      <w:sz w:val="22"/>
    </w:rPr>
  </w:style>
  <w:style w:type="character" w:customStyle="1" w:styleId="subsectionChar">
    <w:name w:val="subsection Char"/>
    <w:aliases w:val="ss Char"/>
    <w:basedOn w:val="DefaultParagraphFont"/>
    <w:link w:val="subsection"/>
    <w:locked/>
    <w:rsid w:val="00D126BA"/>
    <w:rPr>
      <w:sz w:val="22"/>
    </w:rPr>
  </w:style>
  <w:style w:type="character" w:customStyle="1" w:styleId="paragraphChar">
    <w:name w:val="paragraph Char"/>
    <w:aliases w:val="a Char"/>
    <w:link w:val="paragraph"/>
    <w:rsid w:val="00D126BA"/>
    <w:rPr>
      <w:sz w:val="22"/>
    </w:rPr>
  </w:style>
  <w:style w:type="character" w:customStyle="1" w:styleId="FooterChar">
    <w:name w:val="Footer Char"/>
    <w:basedOn w:val="DefaultParagraphFont"/>
    <w:link w:val="Footer"/>
    <w:rsid w:val="00857C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37951">
      <w:bodyDiv w:val="1"/>
      <w:marLeft w:val="0"/>
      <w:marRight w:val="0"/>
      <w:marTop w:val="0"/>
      <w:marBottom w:val="0"/>
      <w:divBdr>
        <w:top w:val="none" w:sz="0" w:space="0" w:color="auto"/>
        <w:left w:val="none" w:sz="0" w:space="0" w:color="auto"/>
        <w:bottom w:val="none" w:sz="0" w:space="0" w:color="auto"/>
        <w:right w:val="none" w:sz="0" w:space="0" w:color="auto"/>
      </w:divBdr>
    </w:div>
    <w:div w:id="574706473">
      <w:bodyDiv w:val="1"/>
      <w:marLeft w:val="0"/>
      <w:marRight w:val="0"/>
      <w:marTop w:val="0"/>
      <w:marBottom w:val="0"/>
      <w:divBdr>
        <w:top w:val="none" w:sz="0" w:space="0" w:color="auto"/>
        <w:left w:val="none" w:sz="0" w:space="0" w:color="auto"/>
        <w:bottom w:val="none" w:sz="0" w:space="0" w:color="auto"/>
        <w:right w:val="none" w:sz="0" w:space="0" w:color="auto"/>
      </w:divBdr>
    </w:div>
    <w:div w:id="709573088">
      <w:bodyDiv w:val="1"/>
      <w:marLeft w:val="0"/>
      <w:marRight w:val="0"/>
      <w:marTop w:val="0"/>
      <w:marBottom w:val="0"/>
      <w:divBdr>
        <w:top w:val="none" w:sz="0" w:space="0" w:color="auto"/>
        <w:left w:val="none" w:sz="0" w:space="0" w:color="auto"/>
        <w:bottom w:val="none" w:sz="0" w:space="0" w:color="auto"/>
        <w:right w:val="none" w:sz="0" w:space="0" w:color="auto"/>
      </w:divBdr>
    </w:div>
    <w:div w:id="737050148">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51223349">
      <w:bodyDiv w:val="1"/>
      <w:marLeft w:val="0"/>
      <w:marRight w:val="0"/>
      <w:marTop w:val="0"/>
      <w:marBottom w:val="0"/>
      <w:divBdr>
        <w:top w:val="none" w:sz="0" w:space="0" w:color="auto"/>
        <w:left w:val="none" w:sz="0" w:space="0" w:color="auto"/>
        <w:bottom w:val="none" w:sz="0" w:space="0" w:color="auto"/>
        <w:right w:val="none" w:sz="0" w:space="0" w:color="auto"/>
      </w:divBdr>
    </w:div>
    <w:div w:id="1064986908">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738281106">
      <w:bodyDiv w:val="1"/>
      <w:marLeft w:val="0"/>
      <w:marRight w:val="0"/>
      <w:marTop w:val="0"/>
      <w:marBottom w:val="0"/>
      <w:divBdr>
        <w:top w:val="none" w:sz="0" w:space="0" w:color="auto"/>
        <w:left w:val="none" w:sz="0" w:space="0" w:color="auto"/>
        <w:bottom w:val="none" w:sz="0" w:space="0" w:color="auto"/>
        <w:right w:val="none" w:sz="0" w:space="0" w:color="auto"/>
      </w:divBdr>
    </w:div>
    <w:div w:id="2056151161">
      <w:bodyDiv w:val="1"/>
      <w:marLeft w:val="0"/>
      <w:marRight w:val="0"/>
      <w:marTop w:val="0"/>
      <w:marBottom w:val="0"/>
      <w:divBdr>
        <w:top w:val="none" w:sz="0" w:space="0" w:color="auto"/>
        <w:left w:val="none" w:sz="0" w:space="0" w:color="auto"/>
        <w:bottom w:val="none" w:sz="0" w:space="0" w:color="auto"/>
        <w:right w:val="none" w:sz="0" w:space="0" w:color="auto"/>
      </w:divBdr>
    </w:div>
    <w:div w:id="2088337253">
      <w:bodyDiv w:val="1"/>
      <w:marLeft w:val="0"/>
      <w:marRight w:val="0"/>
      <w:marTop w:val="0"/>
      <w:marBottom w:val="0"/>
      <w:divBdr>
        <w:top w:val="none" w:sz="0" w:space="0" w:color="auto"/>
        <w:left w:val="none" w:sz="0" w:space="0" w:color="auto"/>
        <w:bottom w:val="none" w:sz="0" w:space="0" w:color="auto"/>
        <w:right w:val="none" w:sz="0" w:space="0" w:color="auto"/>
      </w:divBdr>
    </w:div>
    <w:div w:id="2097363976">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ustlii.edu.au/au/other/dfat/treaties/1980/23.html" TargetMode="External"/><Relationship Id="rId18" Type="http://schemas.openxmlformats.org/officeDocument/2006/relationships/hyperlink" Target="http://www.austlii.edu.au/au/other/dfat/treaties/1991/4.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ustlii.edu.au/au/other/dfat/treaties/1989/21.html" TargetMode="External"/><Relationship Id="rId2" Type="http://schemas.openxmlformats.org/officeDocument/2006/relationships/customXml" Target="../customXml/item2.xml"/><Relationship Id="rId16" Type="http://schemas.openxmlformats.org/officeDocument/2006/relationships/hyperlink" Target="http://www.austlii.edu.au/au/other/dfat/treaties/1983/9.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ustlii.edu.au/au/other/dfat/treaties/1975/40.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austlii.edu.au/au/other/dfat/treaties/2008/1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ustlii.edu.au/au/other/dfat/treaties/1976/5.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retain permanently)" ma:contentTypeID="0x010100935A91259E405240811469570AE52C0D00CEF6410DD08F1649A7E1950F0FA38C8E" ma:contentTypeVersion="23" ma:contentTypeDescription="Documents with this content type are retained permanently" ma:contentTypeScope="" ma:versionID="c6475dfc3974170cc1b3a9b314bd4c00">
  <xsd:schema xmlns:xsd="http://www.w3.org/2001/XMLSchema" xmlns:xs="http://www.w3.org/2001/XMLSchema" xmlns:p="http://schemas.microsoft.com/office/2006/metadata/properties" xmlns:ns2="5e039acd-daf0-4ba3-b421-e9b9ae1a3620" xmlns:ns3="674e8c56-4707-43b9-bbd0-bde66389c6f3" targetNamespace="http://schemas.microsoft.com/office/2006/metadata/properties" ma:root="true" ma:fieldsID="3c0cb247d5bf055df5e1f52b8bfdd0ed" ns2:_="" ns3:_="">
    <xsd:import namespace="5e039acd-daf0-4ba3-b421-e9b9ae1a3620"/>
    <xsd:import namespace="674e8c56-4707-43b9-bbd0-bde66389c6f3"/>
    <xsd:element name="properties">
      <xsd:complexType>
        <xsd:sequence>
          <xsd:element name="documentManagement">
            <xsd:complexType>
              <xsd:all>
                <xsd:element ref="ns3:AssignedTo" minOccurs="0"/>
                <xsd:element ref="ns3:Description0" minOccurs="0"/>
                <xsd:element ref="ns3:Legislative_x0020_Projects" minOccurs="0"/>
                <xsd:element ref="ns3:Category" minOccurs="0"/>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2:DLCPolicyLabelValue" minOccurs="0"/>
                <xsd:element ref="ns2:DLCPolicyLabelClientValue" minOccurs="0"/>
                <xsd:element ref="ns2:DLCPolicyLabelLock" minOccurs="0"/>
                <xsd:element ref="ns2:TaxKeywordTaxHTField"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default="3110;#OFFICIAL|5d128361-bbb7-4b9a-ac60-b26612a0ec1b"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element name="TaxKeywordTaxHTField" ma:index="21" nillable="true" ma:taxonomy="true" ma:internalName="TaxKeywordTaxHTField" ma:taxonomyFieldName="TaxKeyword" ma:displayName="All tags"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4e8c56-4707-43b9-bbd0-bde66389c6f3" elementFormDefault="qualified">
    <xsd:import namespace="http://schemas.microsoft.com/office/2006/documentManagement/types"/>
    <xsd:import namespace="http://schemas.microsoft.com/office/infopath/2007/PartnerControls"/>
    <xsd:element name="AssignedTo" ma:index="2" nillable="true" ma:displayName="AssignedTo" ma:description="PAL staff assigned to this project" ma:list="UserInfo" ma:SharePointGroup="0" ma:internalName="Assigned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3" nillable="true" ma:displayName="Description" ma:description="Brief description, what is the document for" ma:internalName="Description0">
      <xsd:simpleType>
        <xsd:restriction base="dms:Note">
          <xsd:maxLength value="255"/>
        </xsd:restriction>
      </xsd:simpleType>
    </xsd:element>
    <xsd:element name="Legislative_x0020_Projects" ma:index="6" nillable="true" ma:displayName="Legislative Projects" ma:default="--" ma:description="=" ma:format="Dropdown" ma:internalName="Legislative_x0020_Projects">
      <xsd:simpleType>
        <xsd:restriction base="dms:Choice">
          <xsd:enumeration value="2015Cons"/>
          <xsd:enumeration value="70B CGT interactions"/>
          <xsd:enumeration value="768-A Non-Portfolio Dividends"/>
          <xsd:enumeration value="AngelInvestors"/>
          <xsd:enumeration value="Anti-hybrid"/>
          <xsd:enumeration value="Approved Stock Exchanges"/>
          <xsd:enumeration value="AssRecoup"/>
          <xsd:enumeration value="B2C"/>
          <xsd:enumeration value="Base_Tax_Rate_Entities"/>
          <xsd:enumeration value="Black_Economy"/>
          <xsd:enumeration value="Board of Tax"/>
          <xsd:enumeration value="CbC_Reporting"/>
          <xsd:enumeration value="CIV"/>
          <xsd:enumeration value="Company_Tax_Rate-Passive_Income"/>
          <xsd:enumeration value="ConsSA"/>
          <xsd:enumeration value="Corporate"/>
          <xsd:enumeration value="Crossbdr"/>
          <xsd:enumeration value="CRS"/>
          <xsd:enumeration value="Debtequity"/>
          <xsd:enumeration value="DGR"/>
          <xsd:enumeration value="Digital Currency"/>
          <xsd:enumeration value="DigitalDft"/>
          <xsd:enumeration value="Digital_Levy"/>
          <xsd:enumeration value="Div355_national_security"/>
          <xsd:enumeration value="Div355_TaskforceCadena"/>
          <xsd:enumeration value="Division 7a"/>
          <xsd:enumeration value="Diverted Profits Tax"/>
          <xsd:enumeration value="ESS"/>
          <xsd:enumeration value="Fncurrency"/>
          <xsd:enumeration value="Forex"/>
          <xsd:enumeration value="ForInv"/>
          <xsd:enumeration value="FRWT"/>
          <xsd:enumeration value="Gallipoli Film Clause Integrity Measure"/>
          <xsd:enumeration value="Gold_Bullion"/>
          <xsd:enumeration value="HECSOSDebtors"/>
          <xsd:enumeration value="Hedging"/>
          <xsd:enumeration value="Hybrid-mismatch"/>
          <xsd:enumeration value="IMR"/>
          <xsd:enumeration value="IncomeTaxRegs1936"/>
          <xsd:enumeration value="Increasing Access to Losses"/>
          <xsd:enumeration value="IndonesianDelegation"/>
          <xsd:enumeration value="Innovation_angel_investing"/>
          <xsd:enumeration value="IWs"/>
          <xsd:enumeration value="LAPD_Team_Admin"/>
          <xsd:enumeration value="Law_Guide"/>
          <xsd:enumeration value="LDG_Team_admin"/>
          <xsd:enumeration value="Learning_and_Development"/>
          <xsd:enumeration value="Lost&amp;Unclaimed_Super"/>
          <xsd:enumeration value="LVG"/>
          <xsd:enumeration value="MDR"/>
          <xsd:enumeration value="MIT"/>
          <xsd:enumeration value="MTA"/>
          <xsd:enumeration value="Multinational_anti_avoidance"/>
          <xsd:enumeration value="mutual capital instrument"/>
          <xsd:enumeration value="Personal Business Tax Interface"/>
          <xsd:enumeration value="PRRT"/>
          <xsd:enumeration value="PRRTRegs"/>
          <xsd:enumeration value="Radiocommunications Act changes"/>
          <xsd:enumeration value="Rental property PPE deductions"/>
          <xsd:enumeration value="Rental property travel deductions"/>
          <xsd:enumeration value="Residency_definitions"/>
          <xsd:enumeration value="SGC"/>
          <xsd:enumeration value="SGE_provision_of_GPFS"/>
          <xsd:enumeration value="Significant_Global_Entities"/>
          <xsd:enumeration value="SmallBus_Rollover_Restruc"/>
          <xsd:enumeration value="Spring_Repeal_Bill"/>
          <xsd:enumeration value="SRP"/>
          <xsd:enumeration value="STP"/>
          <xsd:enumeration value="StreamliningBusReg"/>
          <xsd:enumeration value="Strengthening Transfer Pricing Rules"/>
          <xsd:enumeration value="Superannuation"/>
          <xsd:enumeration value="TCN"/>
          <xsd:enumeration value="TOFA"/>
          <xsd:enumeration value="Trust"/>
          <xsd:enumeration value="Water_register"/>
          <xsd:enumeration value="Whitsleblower"/>
          <xsd:enumeration value="--"/>
        </xsd:restriction>
      </xsd:simpleType>
    </xsd:element>
    <xsd:element name="Category" ma:index="7" nillable="true" ma:displayName="Category" ma:default="--" ma:format="Dropdown" ma:internalName="Category">
      <xsd:simpleType>
        <xsd:restriction base="dms:Choice">
          <xsd:enumeration value="Administration"/>
          <xsd:enumeration value="Advocacy"/>
          <xsd:enumeration value="Announcements"/>
          <xsd:enumeration value="Approvals"/>
          <xsd:enumeration value="ATO Minutes"/>
          <xsd:enumeration value="Blueprinting"/>
          <xsd:enumeration value="Comments"/>
          <xsd:enumeration value="Costings"/>
          <xsd:enumeration value="Drafting Instructions"/>
          <xsd:enumeration value="Explanatory Memorandum"/>
          <xsd:enumeration value="Learning_and_Development"/>
          <xsd:enumeration value="Legislation"/>
          <xsd:enumeration value="Policy"/>
          <xsd:enumeration value="Resources"/>
          <xsd:enumeration value="Submissions"/>
          <xsd:enumeration value="Working Document"/>
          <xsd:enumeration value="--"/>
        </xsd:restriction>
      </xsd:simpleType>
    </xsd:element>
    <xsd:element name="Status" ma:index="24" ma:displayName="Status" ma:default="Active" ma:format="Dropdown" ma:internalName="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OFFICIAL: Sensitive, Legislative Secrecy</TermName>
          <TermId xmlns="http://schemas.microsoft.com/office/infopath/2007/PartnerControls">48124047-5cfe-4b89-bde6-c6df0de76a03</TermId>
        </TermInfo>
      </Terms>
    </n1a6d2b88979416cad2cc3ecb331e44a>
    <TaxCatchAll xmlns="5e039acd-daf0-4ba3-b421-e9b9ae1a3620">
      <Value>2954</Value>
      <Value>3130</Value>
    </TaxCatchAll>
    <_dlc_DocId xmlns="5e039acd-daf0-4ba3-b421-e9b9ae1a3620">5YHNKJZSV77T-3965-13083</_dlc_DocId>
    <_dlc_DocIdUrl xmlns="5e039acd-daf0-4ba3-b421-e9b9ae1a3620">
      <Url>http://sharepoint/GASites/IntegratedTaxDesign/_layouts/DocIdRedir.aspx?ID=5YHNKJZSV77T-3965-13083</Url>
      <Description>5YHNKJZSV77T-3965-13083</Description>
    </_dlc_DocIdUrl>
    <Status xmlns="674e8c56-4707-43b9-bbd0-bde66389c6f3">Active</Status>
    <TaxKeywordTaxHTField xmlns="5e039acd-daf0-4ba3-b421-e9b9ae1a3620">
      <Terms xmlns="http://schemas.microsoft.com/office/infopath/2007/PartnerControls">
        <TermInfo xmlns="http://schemas.microsoft.com/office/infopath/2007/PartnerControls">
          <TermName xmlns="http://schemas.microsoft.com/office/infopath/2007/PartnerControls">Job keeper measure</TermName>
          <TermId xmlns="http://schemas.microsoft.com/office/infopath/2007/PartnerControls">bd5ee80d-6aaf-495e-9dcd-df612c59171b</TermId>
        </TermInfo>
      </Terms>
    </TaxKeywordTaxHTField>
    <Category xmlns="674e8c56-4707-43b9-bbd0-bde66389c6f3">Working Document</Category>
    <Legislative_x0020_Projects xmlns="674e8c56-4707-43b9-bbd0-bde66389c6f3">LAPD_Team_Admin</Legislative_x0020_Projects>
    <DLCPolicyLabelLock xmlns="5e039acd-daf0-4ba3-b421-e9b9ae1a3620" xsi:nil="true"/>
    <AssignedTo xmlns="674e8c56-4707-43b9-bbd0-bde66389c6f3">
      <UserInfo>
        <DisplayName/>
        <AccountId xsi:nil="true"/>
        <AccountType/>
      </UserInfo>
    </AssignedTo>
    <Description0 xmlns="674e8c56-4707-43b9-bbd0-bde66389c6f3">Master file working version</Description0>
    <DLCPolicyLabelClientValue xmlns="5e039acd-daf0-4ba3-b421-e9b9ae1a3620"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2.xml><?xml version="1.0" encoding="utf-8"?>
<ds:datastoreItem xmlns:ds="http://schemas.openxmlformats.org/officeDocument/2006/customXml" ds:itemID="{7C064B13-F385-4828-A630-FDA44BEA7077}">
  <ds:schemaRefs>
    <ds:schemaRef ds:uri="http://schemas.microsoft.com/sharepoint/events"/>
  </ds:schemaRefs>
</ds:datastoreItem>
</file>

<file path=customXml/itemProps3.xml><?xml version="1.0" encoding="utf-8"?>
<ds:datastoreItem xmlns:ds="http://schemas.openxmlformats.org/officeDocument/2006/customXml" ds:itemID="{565D15FE-8132-4A31-B9F7-B15904963B3D}">
  <ds:schemaRefs>
    <ds:schemaRef ds:uri="http://schemas.microsoft.com/office/2006/metadata/customXsn"/>
  </ds:schemaRefs>
</ds:datastoreItem>
</file>

<file path=customXml/itemProps4.xml><?xml version="1.0" encoding="utf-8"?>
<ds:datastoreItem xmlns:ds="http://schemas.openxmlformats.org/officeDocument/2006/customXml" ds:itemID="{16284727-4519-4314-B024-64738D7F6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9acd-daf0-4ba3-b421-e9b9ae1a3620"/>
    <ds:schemaRef ds:uri="674e8c56-4707-43b9-bbd0-bde66389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5e039acd-daf0-4ba3-b421-e9b9ae1a3620"/>
    <ds:schemaRef ds:uri="674e8c56-4707-43b9-bbd0-bde66389c6f3"/>
  </ds:schemaRefs>
</ds:datastoreItem>
</file>

<file path=customXml/itemProps6.xml><?xml version="1.0" encoding="utf-8"?>
<ds:datastoreItem xmlns:ds="http://schemas.openxmlformats.org/officeDocument/2006/customXml" ds:itemID="{8B22046C-F227-40C8-89E0-255131FE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JobKeeper Extension LI 2 Explanatory Statement</vt:lpstr>
    </vt:vector>
  </TitlesOfParts>
  <Company>Australian Taxation Office</Company>
  <LinksUpToDate>false</LinksUpToDate>
  <CharactersWithSpaces>30676</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JobKeeper Extension LI 2 Explanatory Statement</dc:title>
  <dc:creator>ubafu</dc:creator>
  <cp:keywords>Job keeper measure</cp:keywords>
  <cp:lastModifiedBy>Bambrick, Matthew</cp:lastModifiedBy>
  <cp:revision>3</cp:revision>
  <cp:lastPrinted>2020-08-20T00:27:00Z</cp:lastPrinted>
  <dcterms:created xsi:type="dcterms:W3CDTF">2020-09-15T00:11:00Z</dcterms:created>
  <dcterms:modified xsi:type="dcterms:W3CDTF">2020-09-15T10:04:00Z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0x010100935A91259E405240811469570AE52C0D00CEF6410DD08F1649A7E1950F0FA38C8E</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3ace2617-edb3-496c-8354-d2857891bdf9</vt:lpwstr>
  </property>
  <property fmtid="{D5CDD505-2E9C-101B-9397-08002B2CF9AE}" pid="6" name="TaxKeyword">
    <vt:lpwstr>2954;#Job keeper measure|bd5ee80d-6aaf-495e-9dcd-df612c59171b</vt:lpwstr>
  </property>
  <property fmtid="{D5CDD505-2E9C-101B-9397-08002B2CF9AE}" pid="7" name="Security Classification">
    <vt:lpwstr>3130;#OFFICIAL: Sensitive, Legislative Secrecy|48124047-5cfe-4b89-bde6-c6df0de76a03</vt:lpwstr>
  </property>
  <property fmtid="{D5CDD505-2E9C-101B-9397-08002B2CF9AE}" pid="8" name="_DocHome">
    <vt:i4>-2097574561</vt:i4>
  </property>
</Properties>
</file>