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3078D" w14:textId="77777777" w:rsidR="00BE1BAD" w:rsidRPr="004813C1" w:rsidRDefault="00BE1BAD" w:rsidP="0052392E">
      <w:pPr>
        <w:spacing w:before="0" w:after="0"/>
        <w:jc w:val="center"/>
        <w:rPr>
          <w:b/>
          <w:sz w:val="22"/>
          <w:szCs w:val="22"/>
          <w:u w:val="single"/>
        </w:rPr>
      </w:pPr>
      <w:bookmarkStart w:id="0" w:name="_GoBack"/>
      <w:bookmarkEnd w:id="0"/>
      <w:r w:rsidRPr="004813C1">
        <w:rPr>
          <w:b/>
          <w:sz w:val="22"/>
          <w:szCs w:val="22"/>
          <w:u w:val="single"/>
        </w:rPr>
        <w:t>EXPLANATORY STATEMENT</w:t>
      </w:r>
    </w:p>
    <w:p w14:paraId="5F97D340" w14:textId="77777777" w:rsidR="0052392E" w:rsidRDefault="0052392E" w:rsidP="0052392E">
      <w:pPr>
        <w:spacing w:before="0" w:after="0"/>
        <w:jc w:val="center"/>
        <w:rPr>
          <w:i/>
          <w:sz w:val="22"/>
          <w:szCs w:val="22"/>
        </w:rPr>
      </w:pPr>
    </w:p>
    <w:p w14:paraId="53559426" w14:textId="00D7F51A" w:rsidR="00BE1BAD" w:rsidRDefault="00BE1BAD" w:rsidP="0052392E">
      <w:pPr>
        <w:spacing w:before="0" w:after="0"/>
        <w:jc w:val="center"/>
        <w:rPr>
          <w:i/>
          <w:sz w:val="22"/>
          <w:szCs w:val="22"/>
        </w:rPr>
      </w:pPr>
      <w:r w:rsidRPr="004813C1">
        <w:rPr>
          <w:i/>
          <w:sz w:val="22"/>
          <w:szCs w:val="22"/>
        </w:rPr>
        <w:t>Therapeutic Goods Act 1989</w:t>
      </w:r>
    </w:p>
    <w:p w14:paraId="77E2AA07" w14:textId="77777777" w:rsidR="0052392E" w:rsidRPr="0052392E" w:rsidRDefault="0052392E" w:rsidP="0052392E">
      <w:pPr>
        <w:spacing w:before="0" w:after="0"/>
        <w:jc w:val="center"/>
        <w:rPr>
          <w:i/>
          <w:sz w:val="22"/>
          <w:szCs w:val="22"/>
        </w:rPr>
      </w:pPr>
    </w:p>
    <w:p w14:paraId="15214D40" w14:textId="3E48B301" w:rsidR="00BE1BAD" w:rsidRDefault="00970E7D" w:rsidP="0052392E">
      <w:pPr>
        <w:spacing w:before="0" w:after="0"/>
        <w:jc w:val="center"/>
        <w:rPr>
          <w:i/>
          <w:sz w:val="22"/>
          <w:szCs w:val="22"/>
        </w:rPr>
      </w:pPr>
      <w:r>
        <w:rPr>
          <w:i/>
          <w:sz w:val="22"/>
          <w:szCs w:val="22"/>
        </w:rPr>
        <w:t>Therapeutic Goods (</w:t>
      </w:r>
      <w:r w:rsidR="00C23AF3">
        <w:rPr>
          <w:i/>
          <w:sz w:val="22"/>
          <w:szCs w:val="22"/>
        </w:rPr>
        <w:t>Medical Devices—</w:t>
      </w:r>
      <w:r>
        <w:rPr>
          <w:i/>
          <w:sz w:val="22"/>
          <w:szCs w:val="22"/>
        </w:rPr>
        <w:t>Exclud</w:t>
      </w:r>
      <w:r w:rsidR="00642CC2">
        <w:rPr>
          <w:i/>
          <w:sz w:val="22"/>
          <w:szCs w:val="22"/>
        </w:rPr>
        <w:t>ed Purposes) Specification 2020</w:t>
      </w:r>
    </w:p>
    <w:p w14:paraId="753929C3" w14:textId="77777777" w:rsidR="0052392E" w:rsidRPr="0052392E" w:rsidRDefault="0052392E" w:rsidP="0052392E">
      <w:pPr>
        <w:spacing w:before="0" w:after="0"/>
        <w:jc w:val="center"/>
        <w:rPr>
          <w:sz w:val="22"/>
          <w:szCs w:val="22"/>
        </w:rPr>
      </w:pPr>
    </w:p>
    <w:p w14:paraId="399D42C1" w14:textId="77C8D031" w:rsidR="00BE1BAD" w:rsidRPr="004813C1" w:rsidRDefault="00BE1BAD" w:rsidP="004813C1">
      <w:pPr>
        <w:spacing w:before="0" w:after="0"/>
        <w:rPr>
          <w:sz w:val="22"/>
          <w:szCs w:val="22"/>
        </w:rPr>
      </w:pPr>
      <w:r w:rsidRPr="004813C1">
        <w:rPr>
          <w:sz w:val="22"/>
          <w:szCs w:val="22"/>
        </w:rPr>
        <w:t xml:space="preserve">The </w:t>
      </w:r>
      <w:r w:rsidRPr="004813C1">
        <w:rPr>
          <w:i/>
          <w:sz w:val="22"/>
          <w:szCs w:val="22"/>
        </w:rPr>
        <w:t>Therapeutic Goods Act 1989</w:t>
      </w:r>
      <w:r w:rsidRPr="004813C1">
        <w:rPr>
          <w:sz w:val="22"/>
          <w:szCs w:val="22"/>
        </w:rPr>
        <w:t xml:space="preserve"> (“the Act”) provides for the establishment and maintenance of a national system of controls for the quality, safety, efficacy and timely availability of therapeutic goods that are used in, or exported from, Australia. </w:t>
      </w:r>
      <w:r w:rsidR="0052392E">
        <w:rPr>
          <w:sz w:val="22"/>
          <w:szCs w:val="22"/>
        </w:rPr>
        <w:t xml:space="preserve"> </w:t>
      </w:r>
      <w:r w:rsidRPr="004813C1">
        <w:rPr>
          <w:sz w:val="22"/>
          <w:szCs w:val="22"/>
        </w:rPr>
        <w:t>The Act is administered by the Therapeutic Goods Administration (“the TGA”)</w:t>
      </w:r>
      <w:r w:rsidR="00622BC3" w:rsidRPr="004813C1">
        <w:rPr>
          <w:sz w:val="22"/>
          <w:szCs w:val="22"/>
        </w:rPr>
        <w:t xml:space="preserve"> </w:t>
      </w:r>
      <w:r w:rsidRPr="004813C1">
        <w:rPr>
          <w:sz w:val="22"/>
          <w:szCs w:val="22"/>
        </w:rPr>
        <w:t>within the Australian Government Department of Health.</w:t>
      </w:r>
    </w:p>
    <w:p w14:paraId="286B26D4" w14:textId="77777777" w:rsidR="004813C1" w:rsidRDefault="004813C1" w:rsidP="004813C1">
      <w:pPr>
        <w:autoSpaceDE w:val="0"/>
        <w:autoSpaceDN w:val="0"/>
        <w:adjustRightInd w:val="0"/>
        <w:spacing w:before="0" w:after="0"/>
        <w:rPr>
          <w:rFonts w:eastAsiaTheme="minorHAnsi"/>
          <w:color w:val="000000"/>
          <w:sz w:val="22"/>
          <w:szCs w:val="22"/>
          <w:lang w:val="en-AU"/>
        </w:rPr>
      </w:pPr>
    </w:p>
    <w:p w14:paraId="18A7AFC5" w14:textId="6F330270" w:rsidR="001D5A68" w:rsidRDefault="001D5A68" w:rsidP="004813C1">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 xml:space="preserve">Section 41BEA of the Act provides that the Secretary may, by legislative instrument, specify purposes </w:t>
      </w:r>
      <w:r w:rsidR="00642CC2">
        <w:rPr>
          <w:rFonts w:eastAsiaTheme="minorHAnsi"/>
          <w:color w:val="000000"/>
          <w:sz w:val="22"/>
          <w:szCs w:val="22"/>
          <w:lang w:val="en-AU"/>
        </w:rPr>
        <w:t>for the purposes of</w:t>
      </w:r>
      <w:r>
        <w:rPr>
          <w:rFonts w:eastAsiaTheme="minorHAnsi"/>
          <w:color w:val="000000"/>
          <w:sz w:val="22"/>
          <w:szCs w:val="22"/>
          <w:lang w:val="en-AU"/>
        </w:rPr>
        <w:t xml:space="preserve"> paragraph 41FD(ia) and subsection 41FF(1A)</w:t>
      </w:r>
      <w:r w:rsidR="00C05849">
        <w:rPr>
          <w:rFonts w:eastAsiaTheme="minorHAnsi"/>
          <w:color w:val="000000"/>
          <w:sz w:val="22"/>
          <w:szCs w:val="22"/>
          <w:lang w:val="en-AU"/>
        </w:rPr>
        <w:t xml:space="preserve"> of the Act</w:t>
      </w:r>
      <w:r>
        <w:rPr>
          <w:rFonts w:eastAsiaTheme="minorHAnsi"/>
          <w:color w:val="000000"/>
          <w:sz w:val="22"/>
          <w:szCs w:val="22"/>
          <w:lang w:val="en-AU"/>
        </w:rPr>
        <w:t xml:space="preserve">. Paragraph 41FD(ia) requires a </w:t>
      </w:r>
      <w:r w:rsidR="00326A6A">
        <w:rPr>
          <w:rFonts w:eastAsiaTheme="minorHAnsi"/>
          <w:color w:val="000000"/>
          <w:sz w:val="22"/>
          <w:szCs w:val="22"/>
          <w:lang w:val="en-AU"/>
        </w:rPr>
        <w:t xml:space="preserve">person who applies </w:t>
      </w:r>
      <w:r>
        <w:rPr>
          <w:rFonts w:eastAsiaTheme="minorHAnsi"/>
          <w:color w:val="000000"/>
          <w:sz w:val="22"/>
          <w:szCs w:val="22"/>
          <w:lang w:val="en-AU"/>
        </w:rPr>
        <w:t xml:space="preserve">for </w:t>
      </w:r>
      <w:r w:rsidR="00326A6A">
        <w:rPr>
          <w:rFonts w:eastAsiaTheme="minorHAnsi"/>
          <w:color w:val="000000"/>
          <w:sz w:val="22"/>
          <w:szCs w:val="22"/>
          <w:lang w:val="en-AU"/>
        </w:rPr>
        <w:t xml:space="preserve">the </w:t>
      </w:r>
      <w:r>
        <w:rPr>
          <w:rFonts w:eastAsiaTheme="minorHAnsi"/>
          <w:color w:val="000000"/>
          <w:sz w:val="22"/>
          <w:szCs w:val="22"/>
          <w:lang w:val="en-AU"/>
        </w:rPr>
        <w:t xml:space="preserve">inclusion of a kind of medical device in the </w:t>
      </w:r>
      <w:r w:rsidR="00326A6A">
        <w:rPr>
          <w:rFonts w:eastAsiaTheme="minorHAnsi"/>
          <w:color w:val="000000"/>
          <w:sz w:val="22"/>
          <w:szCs w:val="22"/>
          <w:lang w:val="en-AU"/>
        </w:rPr>
        <w:t xml:space="preserve">Australian </w:t>
      </w:r>
      <w:r w:rsidR="00647239">
        <w:rPr>
          <w:rFonts w:eastAsiaTheme="minorHAnsi"/>
          <w:color w:val="000000"/>
          <w:sz w:val="22"/>
          <w:szCs w:val="22"/>
          <w:lang w:val="en-AU"/>
        </w:rPr>
        <w:t xml:space="preserve">Register </w:t>
      </w:r>
      <w:r w:rsidR="00326A6A">
        <w:rPr>
          <w:rFonts w:eastAsiaTheme="minorHAnsi"/>
          <w:color w:val="000000"/>
          <w:sz w:val="22"/>
          <w:szCs w:val="22"/>
          <w:lang w:val="en-AU"/>
        </w:rPr>
        <w:t xml:space="preserve">of Therapeutic Goods (“the Register”) </w:t>
      </w:r>
      <w:r w:rsidR="00647239">
        <w:rPr>
          <w:rFonts w:eastAsiaTheme="minorHAnsi"/>
          <w:color w:val="000000"/>
          <w:sz w:val="22"/>
          <w:szCs w:val="22"/>
          <w:lang w:val="en-AU"/>
        </w:rPr>
        <w:t xml:space="preserve">to certify that </w:t>
      </w:r>
      <w:r w:rsidR="00326A6A">
        <w:rPr>
          <w:rFonts w:eastAsiaTheme="minorHAnsi"/>
          <w:color w:val="000000"/>
          <w:sz w:val="22"/>
          <w:szCs w:val="22"/>
          <w:lang w:val="en-AU"/>
        </w:rPr>
        <w:t xml:space="preserve">their kind of </w:t>
      </w:r>
      <w:r w:rsidR="00647239">
        <w:rPr>
          <w:rFonts w:eastAsiaTheme="minorHAnsi"/>
          <w:color w:val="000000"/>
          <w:sz w:val="22"/>
          <w:szCs w:val="22"/>
          <w:lang w:val="en-AU"/>
        </w:rPr>
        <w:t xml:space="preserve">device </w:t>
      </w:r>
      <w:r w:rsidR="00326A6A">
        <w:rPr>
          <w:rFonts w:eastAsiaTheme="minorHAnsi"/>
          <w:color w:val="000000"/>
          <w:sz w:val="22"/>
          <w:szCs w:val="22"/>
          <w:lang w:val="en-AU"/>
        </w:rPr>
        <w:t xml:space="preserve">is </w:t>
      </w:r>
      <w:r w:rsidR="00647239">
        <w:rPr>
          <w:rFonts w:eastAsiaTheme="minorHAnsi"/>
          <w:color w:val="000000"/>
          <w:sz w:val="22"/>
          <w:szCs w:val="22"/>
          <w:lang w:val="en-AU"/>
        </w:rPr>
        <w:t xml:space="preserve">not to be used exclusively for one or more of the purposes specified under section 41BEA. </w:t>
      </w:r>
      <w:r>
        <w:rPr>
          <w:rFonts w:eastAsiaTheme="minorHAnsi"/>
          <w:color w:val="000000"/>
          <w:sz w:val="22"/>
          <w:szCs w:val="22"/>
          <w:lang w:val="en-AU"/>
        </w:rPr>
        <w:t xml:space="preserve">Subsection 41FF(1A) provides that the Secretary must not include a kind of </w:t>
      </w:r>
      <w:r w:rsidR="00326A6A">
        <w:rPr>
          <w:rFonts w:eastAsiaTheme="minorHAnsi"/>
          <w:color w:val="000000"/>
          <w:sz w:val="22"/>
          <w:szCs w:val="22"/>
          <w:lang w:val="en-AU"/>
        </w:rPr>
        <w:t xml:space="preserve">medical </w:t>
      </w:r>
      <w:r>
        <w:rPr>
          <w:rFonts w:eastAsiaTheme="minorHAnsi"/>
          <w:color w:val="000000"/>
          <w:sz w:val="22"/>
          <w:szCs w:val="22"/>
          <w:lang w:val="en-AU"/>
        </w:rPr>
        <w:t>device in the Register if the Secretary is satisfied that the kind of device is to be used exclusively for one or more of the purposes</w:t>
      </w:r>
      <w:r w:rsidR="00642CC2">
        <w:rPr>
          <w:rFonts w:eastAsiaTheme="minorHAnsi"/>
          <w:color w:val="000000"/>
          <w:sz w:val="22"/>
          <w:szCs w:val="22"/>
          <w:lang w:val="en-AU"/>
        </w:rPr>
        <w:t xml:space="preserve"> specified under section 41BEA.</w:t>
      </w:r>
    </w:p>
    <w:p w14:paraId="6CC1B933" w14:textId="5ABD8006" w:rsidR="00326A6A" w:rsidRDefault="00326A6A" w:rsidP="004813C1">
      <w:pPr>
        <w:autoSpaceDE w:val="0"/>
        <w:autoSpaceDN w:val="0"/>
        <w:adjustRightInd w:val="0"/>
        <w:spacing w:before="0" w:after="0"/>
        <w:rPr>
          <w:rFonts w:eastAsiaTheme="minorHAnsi"/>
          <w:color w:val="000000"/>
          <w:sz w:val="22"/>
          <w:szCs w:val="22"/>
          <w:lang w:val="en-AU"/>
        </w:rPr>
      </w:pPr>
    </w:p>
    <w:p w14:paraId="12FF0D3B" w14:textId="77777777" w:rsidR="00326A6A" w:rsidRDefault="00326A6A" w:rsidP="00326A6A">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 xml:space="preserve">The </w:t>
      </w:r>
      <w:r w:rsidRPr="00D16A95">
        <w:rPr>
          <w:rFonts w:eastAsiaTheme="minorHAnsi"/>
          <w:i/>
          <w:color w:val="000000"/>
          <w:sz w:val="22"/>
          <w:szCs w:val="22"/>
          <w:lang w:val="en-AU"/>
        </w:rPr>
        <w:t>Therapeutic Goods (</w:t>
      </w:r>
      <w:r>
        <w:rPr>
          <w:rFonts w:eastAsiaTheme="minorHAnsi"/>
          <w:i/>
          <w:color w:val="000000"/>
          <w:sz w:val="22"/>
          <w:szCs w:val="22"/>
          <w:lang w:val="en-AU"/>
        </w:rPr>
        <w:t>Medical Devices—</w:t>
      </w:r>
      <w:r w:rsidRPr="00D16A95">
        <w:rPr>
          <w:rFonts w:eastAsiaTheme="minorHAnsi"/>
          <w:i/>
          <w:color w:val="000000"/>
          <w:sz w:val="22"/>
          <w:szCs w:val="22"/>
          <w:lang w:val="en-AU"/>
        </w:rPr>
        <w:t>Excluded Purposes) Specification 2020</w:t>
      </w:r>
      <w:r>
        <w:rPr>
          <w:rFonts w:eastAsiaTheme="minorHAnsi"/>
          <w:color w:val="000000"/>
          <w:sz w:val="22"/>
          <w:szCs w:val="22"/>
          <w:lang w:val="en-AU"/>
        </w:rPr>
        <w:t xml:space="preserve"> (“the Specification”) is made under section 41BEA of the Act and specifies such purposes for paragraph 41FD(ia) and subsection 41FF(1A) of the Act, to preclude medical devices from being approved for marketing in Australia if they are intended to be used exclusively for one or more purposes specified in the Specification. </w:t>
      </w:r>
    </w:p>
    <w:p w14:paraId="5DAB3A51" w14:textId="77777777" w:rsidR="00326A6A" w:rsidRDefault="00326A6A" w:rsidP="00326A6A">
      <w:pPr>
        <w:autoSpaceDE w:val="0"/>
        <w:autoSpaceDN w:val="0"/>
        <w:adjustRightInd w:val="0"/>
        <w:spacing w:before="0" w:after="0"/>
        <w:rPr>
          <w:rFonts w:eastAsiaTheme="minorHAnsi"/>
          <w:color w:val="000000"/>
          <w:sz w:val="22"/>
          <w:szCs w:val="22"/>
          <w:lang w:val="en-AU"/>
        </w:rPr>
      </w:pPr>
    </w:p>
    <w:p w14:paraId="0CE923E0" w14:textId="7E29E102" w:rsidR="00326A6A" w:rsidRDefault="00326A6A" w:rsidP="00326A6A">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 xml:space="preserve">The Specification also repeals and replaces the </w:t>
      </w:r>
      <w:r w:rsidRPr="00BF0F2E">
        <w:rPr>
          <w:rFonts w:eastAsiaTheme="minorHAnsi"/>
          <w:i/>
          <w:color w:val="000000"/>
          <w:sz w:val="22"/>
          <w:szCs w:val="22"/>
          <w:lang w:val="en-AU"/>
        </w:rPr>
        <w:t>Therapeutic Goods (Excluded purposes) Specification 2010</w:t>
      </w:r>
      <w:r>
        <w:rPr>
          <w:rFonts w:eastAsiaTheme="minorHAnsi"/>
          <w:color w:val="000000"/>
          <w:sz w:val="22"/>
          <w:szCs w:val="22"/>
          <w:lang w:val="en-AU"/>
        </w:rPr>
        <w:t xml:space="preserve"> (“the Former Specification”), which was due to sunset on 1 October 2020 under the sunsetting provisions of the </w:t>
      </w:r>
      <w:r w:rsidRPr="00BF0F2E">
        <w:rPr>
          <w:rFonts w:eastAsiaTheme="minorHAnsi"/>
          <w:i/>
          <w:color w:val="000000"/>
          <w:sz w:val="22"/>
          <w:szCs w:val="22"/>
          <w:lang w:val="en-AU"/>
        </w:rPr>
        <w:t>Legislation Act 2003</w:t>
      </w:r>
      <w:r>
        <w:rPr>
          <w:rFonts w:eastAsiaTheme="minorHAnsi"/>
          <w:color w:val="000000"/>
          <w:sz w:val="22"/>
          <w:szCs w:val="22"/>
          <w:lang w:val="en-AU"/>
        </w:rPr>
        <w:t xml:space="preserve">. </w:t>
      </w:r>
    </w:p>
    <w:p w14:paraId="32E54F61" w14:textId="6CA38336" w:rsidR="00326A6A" w:rsidRDefault="00326A6A" w:rsidP="004813C1">
      <w:pPr>
        <w:autoSpaceDE w:val="0"/>
        <w:autoSpaceDN w:val="0"/>
        <w:adjustRightInd w:val="0"/>
        <w:spacing w:before="0" w:after="0"/>
        <w:rPr>
          <w:rFonts w:eastAsiaTheme="minorHAnsi"/>
          <w:color w:val="000000"/>
          <w:sz w:val="22"/>
          <w:szCs w:val="22"/>
          <w:lang w:val="en-AU"/>
        </w:rPr>
      </w:pPr>
    </w:p>
    <w:p w14:paraId="3125DE7E" w14:textId="0F7384A3" w:rsidR="00AD0E27" w:rsidRDefault="00326A6A" w:rsidP="004813C1">
      <w:pPr>
        <w:autoSpaceDE w:val="0"/>
        <w:autoSpaceDN w:val="0"/>
        <w:adjustRightInd w:val="0"/>
        <w:spacing w:before="0" w:after="0"/>
        <w:rPr>
          <w:rFonts w:eastAsiaTheme="minorHAnsi"/>
          <w:color w:val="000000"/>
          <w:sz w:val="22"/>
          <w:szCs w:val="22"/>
          <w:lang w:val="en-AU"/>
        </w:rPr>
      </w:pPr>
      <w:r w:rsidRPr="00326A6A">
        <w:rPr>
          <w:rFonts w:eastAsiaTheme="minorHAnsi"/>
          <w:b/>
          <w:color w:val="000000"/>
          <w:sz w:val="22"/>
          <w:szCs w:val="22"/>
          <w:lang w:val="en-AU"/>
        </w:rPr>
        <w:lastRenderedPageBreak/>
        <w:t>Background</w:t>
      </w:r>
    </w:p>
    <w:p w14:paraId="212E5EBE" w14:textId="3EAD5B05" w:rsidR="005A7B77" w:rsidRDefault="007F16D4" w:rsidP="005A7B77">
      <w:pPr>
        <w:spacing w:before="0" w:after="0"/>
        <w:rPr>
          <w:rFonts w:eastAsiaTheme="minorHAnsi"/>
          <w:color w:val="000000"/>
          <w:sz w:val="22"/>
          <w:szCs w:val="22"/>
          <w:lang w:val="en-AU"/>
        </w:rPr>
      </w:pPr>
      <w:r>
        <w:rPr>
          <w:rFonts w:eastAsiaTheme="minorHAnsi"/>
          <w:color w:val="000000"/>
          <w:sz w:val="22"/>
          <w:szCs w:val="22"/>
          <w:lang w:val="en-AU"/>
        </w:rPr>
        <w:t xml:space="preserve">The Specification identifies excluded purposes for the purposes of section 41BEA of the Act, in relation to medical devices that are Class 2 in vitro diagnostic </w:t>
      </w:r>
      <w:r w:rsidR="00C369FD">
        <w:rPr>
          <w:rFonts w:eastAsiaTheme="minorHAnsi"/>
          <w:color w:val="000000"/>
          <w:sz w:val="22"/>
          <w:szCs w:val="22"/>
          <w:lang w:val="en-AU"/>
        </w:rPr>
        <w:t xml:space="preserve">medical devices </w:t>
      </w:r>
      <w:r w:rsidR="00F37CE0">
        <w:rPr>
          <w:rFonts w:eastAsiaTheme="minorHAnsi"/>
          <w:color w:val="000000"/>
          <w:sz w:val="22"/>
          <w:szCs w:val="22"/>
          <w:lang w:val="en-AU"/>
        </w:rPr>
        <w:t xml:space="preserve">(“IVDs”) </w:t>
      </w:r>
      <w:r w:rsidR="005A7B77">
        <w:rPr>
          <w:rFonts w:eastAsiaTheme="minorHAnsi"/>
          <w:color w:val="000000"/>
          <w:sz w:val="22"/>
          <w:szCs w:val="22"/>
          <w:lang w:val="en-AU"/>
        </w:rPr>
        <w:t>for self-testing</w:t>
      </w:r>
      <w:r>
        <w:rPr>
          <w:rFonts w:eastAsiaTheme="minorHAnsi"/>
          <w:color w:val="000000"/>
          <w:sz w:val="22"/>
          <w:szCs w:val="22"/>
          <w:lang w:val="en-AU"/>
        </w:rPr>
        <w:t>, and medical devices that are Class 3 and Class 4 IVDs</w:t>
      </w:r>
      <w:r w:rsidR="005A7B77">
        <w:rPr>
          <w:rFonts w:eastAsiaTheme="minorHAnsi"/>
          <w:color w:val="000000"/>
          <w:sz w:val="22"/>
          <w:szCs w:val="22"/>
          <w:lang w:val="en-AU"/>
        </w:rPr>
        <w:t xml:space="preserve"> for self-testing</w:t>
      </w:r>
      <w:r>
        <w:rPr>
          <w:rFonts w:eastAsiaTheme="minorHAnsi"/>
          <w:color w:val="000000"/>
          <w:sz w:val="22"/>
          <w:szCs w:val="22"/>
          <w:lang w:val="en-AU"/>
        </w:rPr>
        <w:t>.</w:t>
      </w:r>
      <w:r w:rsidR="009F7F35">
        <w:rPr>
          <w:rFonts w:eastAsiaTheme="minorHAnsi"/>
          <w:color w:val="000000"/>
          <w:sz w:val="22"/>
          <w:szCs w:val="22"/>
          <w:lang w:val="en-AU"/>
        </w:rPr>
        <w:t xml:space="preserve"> </w:t>
      </w:r>
      <w:r w:rsidR="005A7B77">
        <w:rPr>
          <w:rFonts w:eastAsiaTheme="minorHAnsi"/>
          <w:color w:val="000000"/>
          <w:sz w:val="22"/>
          <w:szCs w:val="22"/>
          <w:lang w:val="en-AU"/>
        </w:rPr>
        <w:t xml:space="preserve">An IVD medical device for self-testing is defined in the </w:t>
      </w:r>
      <w:r w:rsidR="005A7B77" w:rsidRPr="00D16A95">
        <w:rPr>
          <w:rFonts w:eastAsiaTheme="minorHAnsi"/>
          <w:i/>
          <w:color w:val="000000"/>
          <w:sz w:val="22"/>
          <w:szCs w:val="22"/>
          <w:lang w:val="en-AU"/>
        </w:rPr>
        <w:t>Therapeutic Goods (Medical Devices) Regulations 2002</w:t>
      </w:r>
      <w:r w:rsidR="009F7F35">
        <w:rPr>
          <w:rFonts w:eastAsiaTheme="minorHAnsi"/>
          <w:color w:val="000000"/>
          <w:sz w:val="22"/>
          <w:szCs w:val="22"/>
          <w:lang w:val="en-AU"/>
        </w:rPr>
        <w:t xml:space="preserve">. </w:t>
      </w:r>
    </w:p>
    <w:p w14:paraId="4E509FCB" w14:textId="77777777" w:rsidR="005A7B77" w:rsidRDefault="005A7B77" w:rsidP="00C23AF3">
      <w:pPr>
        <w:autoSpaceDE w:val="0"/>
        <w:autoSpaceDN w:val="0"/>
        <w:adjustRightInd w:val="0"/>
        <w:spacing w:before="0" w:after="0"/>
        <w:rPr>
          <w:rFonts w:eastAsiaTheme="minorHAnsi"/>
          <w:color w:val="000000"/>
          <w:sz w:val="22"/>
          <w:szCs w:val="22"/>
          <w:lang w:val="en-AU"/>
        </w:rPr>
      </w:pPr>
    </w:p>
    <w:p w14:paraId="781F749B" w14:textId="5F66D56A" w:rsidR="005A7B77" w:rsidRDefault="005A7B77" w:rsidP="005A7B77">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Section 41BEA of the Act, under which the Specification is made, is not limited to IVD</w:t>
      </w:r>
      <w:r w:rsidR="00C369FD">
        <w:rPr>
          <w:rFonts w:eastAsiaTheme="minorHAnsi"/>
          <w:color w:val="000000"/>
          <w:sz w:val="22"/>
          <w:szCs w:val="22"/>
          <w:lang w:val="en-AU"/>
        </w:rPr>
        <w:t xml:space="preserve"> medical device</w:t>
      </w:r>
      <w:r>
        <w:rPr>
          <w:rFonts w:eastAsiaTheme="minorHAnsi"/>
          <w:color w:val="000000"/>
          <w:sz w:val="22"/>
          <w:szCs w:val="22"/>
          <w:lang w:val="en-AU"/>
        </w:rPr>
        <w:t>s</w:t>
      </w:r>
      <w:r w:rsidR="00C369FD">
        <w:rPr>
          <w:rFonts w:eastAsiaTheme="minorHAnsi"/>
          <w:color w:val="000000"/>
          <w:sz w:val="22"/>
          <w:szCs w:val="22"/>
          <w:lang w:val="en-AU"/>
        </w:rPr>
        <w:t xml:space="preserve"> of IVDs for self-testing</w:t>
      </w:r>
      <w:r>
        <w:rPr>
          <w:rFonts w:eastAsiaTheme="minorHAnsi"/>
          <w:color w:val="000000"/>
          <w:sz w:val="22"/>
          <w:szCs w:val="22"/>
          <w:lang w:val="en-AU"/>
        </w:rPr>
        <w:t>, but the Specification</w:t>
      </w:r>
      <w:r w:rsidR="00C369FD">
        <w:rPr>
          <w:rFonts w:eastAsiaTheme="minorHAnsi"/>
          <w:color w:val="000000"/>
          <w:sz w:val="22"/>
          <w:szCs w:val="22"/>
          <w:lang w:val="en-AU"/>
        </w:rPr>
        <w:t>’s focus</w:t>
      </w:r>
      <w:r>
        <w:rPr>
          <w:rFonts w:eastAsiaTheme="minorHAnsi"/>
          <w:color w:val="000000"/>
          <w:sz w:val="22"/>
          <w:szCs w:val="22"/>
          <w:lang w:val="en-AU"/>
        </w:rPr>
        <w:t xml:space="preserve"> on </w:t>
      </w:r>
      <w:r w:rsidR="00C369FD">
        <w:rPr>
          <w:rFonts w:eastAsiaTheme="minorHAnsi"/>
          <w:color w:val="000000"/>
          <w:sz w:val="22"/>
          <w:szCs w:val="22"/>
          <w:lang w:val="en-AU"/>
        </w:rPr>
        <w:t>such products reflects</w:t>
      </w:r>
      <w:r>
        <w:rPr>
          <w:rFonts w:eastAsiaTheme="minorHAnsi"/>
          <w:color w:val="000000"/>
          <w:sz w:val="22"/>
          <w:szCs w:val="22"/>
          <w:lang w:val="en-AU"/>
        </w:rPr>
        <w:t xml:space="preserve"> the particular potential risks that may be associated with using such products </w:t>
      </w:r>
      <w:r w:rsidR="00C369FD">
        <w:rPr>
          <w:rFonts w:eastAsiaTheme="minorHAnsi"/>
          <w:color w:val="000000"/>
          <w:sz w:val="22"/>
          <w:szCs w:val="22"/>
          <w:lang w:val="en-AU"/>
        </w:rPr>
        <w:t xml:space="preserve">to test for serious diseases </w:t>
      </w:r>
      <w:r>
        <w:rPr>
          <w:rFonts w:eastAsiaTheme="minorHAnsi"/>
          <w:color w:val="000000"/>
          <w:sz w:val="22"/>
          <w:szCs w:val="22"/>
          <w:lang w:val="en-AU"/>
        </w:rPr>
        <w:t xml:space="preserve">in </w:t>
      </w:r>
      <w:r w:rsidR="00C369FD">
        <w:rPr>
          <w:rFonts w:eastAsiaTheme="minorHAnsi"/>
          <w:color w:val="000000"/>
          <w:sz w:val="22"/>
          <w:szCs w:val="22"/>
          <w:lang w:val="en-AU"/>
        </w:rPr>
        <w:t>such settings, without the involvement of an appropriately qualified health professional</w:t>
      </w:r>
      <w:r>
        <w:rPr>
          <w:rFonts w:eastAsiaTheme="minorHAnsi"/>
          <w:color w:val="000000"/>
          <w:sz w:val="22"/>
          <w:szCs w:val="22"/>
          <w:lang w:val="en-AU"/>
        </w:rPr>
        <w:t>.</w:t>
      </w:r>
    </w:p>
    <w:p w14:paraId="25D1C42C" w14:textId="77777777" w:rsidR="007F16D4" w:rsidRDefault="007F16D4" w:rsidP="00C23AF3">
      <w:pPr>
        <w:autoSpaceDE w:val="0"/>
        <w:autoSpaceDN w:val="0"/>
        <w:adjustRightInd w:val="0"/>
        <w:spacing w:before="0" w:after="0"/>
        <w:rPr>
          <w:rFonts w:eastAsiaTheme="minorHAnsi"/>
          <w:color w:val="000000"/>
          <w:sz w:val="22"/>
          <w:szCs w:val="22"/>
          <w:lang w:val="en-AU"/>
        </w:rPr>
      </w:pPr>
    </w:p>
    <w:p w14:paraId="1F44574E" w14:textId="68CC3F13" w:rsidR="00326A6A" w:rsidRDefault="00326A6A" w:rsidP="00C23AF3">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IVD</w:t>
      </w:r>
      <w:r w:rsidR="00C369FD">
        <w:rPr>
          <w:rFonts w:eastAsiaTheme="minorHAnsi"/>
          <w:color w:val="000000"/>
          <w:sz w:val="22"/>
          <w:szCs w:val="22"/>
          <w:lang w:val="en-AU"/>
        </w:rPr>
        <w:t xml:space="preserve"> medical device</w:t>
      </w:r>
      <w:r>
        <w:rPr>
          <w:rFonts w:eastAsiaTheme="minorHAnsi"/>
          <w:color w:val="000000"/>
          <w:sz w:val="22"/>
          <w:szCs w:val="22"/>
          <w:lang w:val="en-AU"/>
        </w:rPr>
        <w:t>s</w:t>
      </w:r>
      <w:r w:rsidRPr="00E649A6">
        <w:rPr>
          <w:rFonts w:eastAsiaTheme="minorHAnsi"/>
          <w:color w:val="000000"/>
          <w:sz w:val="22"/>
          <w:szCs w:val="22"/>
          <w:lang w:val="en-AU"/>
        </w:rPr>
        <w:t xml:space="preserve"> </w:t>
      </w:r>
      <w:r>
        <w:rPr>
          <w:rFonts w:eastAsiaTheme="minorHAnsi"/>
          <w:color w:val="000000"/>
          <w:sz w:val="22"/>
          <w:szCs w:val="22"/>
          <w:lang w:val="en-AU"/>
        </w:rPr>
        <w:t xml:space="preserve">that are intended by their manufacturer to be for </w:t>
      </w:r>
      <w:r w:rsidR="0025194A" w:rsidRPr="00E649A6">
        <w:rPr>
          <w:rFonts w:eastAsiaTheme="minorHAnsi"/>
          <w:color w:val="000000"/>
          <w:sz w:val="22"/>
          <w:szCs w:val="22"/>
          <w:lang w:val="en-AU"/>
        </w:rPr>
        <w:t xml:space="preserve">self-testing </w:t>
      </w:r>
      <w:r w:rsidR="00C369FD">
        <w:rPr>
          <w:rFonts w:eastAsiaTheme="minorHAnsi"/>
          <w:color w:val="000000"/>
          <w:sz w:val="22"/>
          <w:szCs w:val="22"/>
          <w:lang w:val="en-AU"/>
        </w:rPr>
        <w:t xml:space="preserve">or in-home use </w:t>
      </w:r>
      <w:r w:rsidR="0025194A" w:rsidRPr="00E649A6">
        <w:rPr>
          <w:rFonts w:eastAsiaTheme="minorHAnsi"/>
          <w:color w:val="000000"/>
          <w:sz w:val="22"/>
          <w:szCs w:val="22"/>
          <w:lang w:val="en-AU"/>
        </w:rPr>
        <w:t>for serious diseases (e.g. notifiable infectious diseases, sexually transmitted diseases, cancer</w:t>
      </w:r>
      <w:r w:rsidR="00C05849">
        <w:rPr>
          <w:rFonts w:eastAsiaTheme="minorHAnsi"/>
          <w:color w:val="000000"/>
          <w:sz w:val="22"/>
          <w:szCs w:val="22"/>
          <w:lang w:val="en-AU"/>
        </w:rPr>
        <w:t xml:space="preserve"> and </w:t>
      </w:r>
      <w:r w:rsidR="0025194A" w:rsidRPr="00E649A6">
        <w:rPr>
          <w:rFonts w:eastAsiaTheme="minorHAnsi"/>
          <w:color w:val="000000"/>
          <w:sz w:val="22"/>
          <w:szCs w:val="22"/>
          <w:lang w:val="en-AU"/>
        </w:rPr>
        <w:t xml:space="preserve">genetic markers of disease) have been prohibited from supply in Australia since 1 July 2010 under the </w:t>
      </w:r>
      <w:r>
        <w:rPr>
          <w:rFonts w:eastAsiaTheme="minorHAnsi"/>
          <w:color w:val="000000"/>
          <w:sz w:val="22"/>
          <w:szCs w:val="22"/>
          <w:lang w:val="en-AU"/>
        </w:rPr>
        <w:t>F</w:t>
      </w:r>
      <w:r w:rsidR="00642CC2">
        <w:rPr>
          <w:rFonts w:eastAsiaTheme="minorHAnsi"/>
          <w:color w:val="000000"/>
          <w:sz w:val="22"/>
          <w:szCs w:val="22"/>
          <w:lang w:val="en-AU"/>
        </w:rPr>
        <w:t xml:space="preserve">ormer </w:t>
      </w:r>
      <w:r w:rsidR="0025194A">
        <w:rPr>
          <w:rFonts w:eastAsiaTheme="minorHAnsi"/>
          <w:color w:val="000000"/>
          <w:sz w:val="22"/>
          <w:szCs w:val="22"/>
          <w:lang w:val="en-AU"/>
        </w:rPr>
        <w:t>Specification</w:t>
      </w:r>
      <w:r w:rsidR="0025194A" w:rsidRPr="00E649A6">
        <w:rPr>
          <w:rFonts w:eastAsiaTheme="minorHAnsi"/>
          <w:color w:val="000000"/>
          <w:sz w:val="22"/>
          <w:szCs w:val="22"/>
          <w:lang w:val="en-AU"/>
        </w:rPr>
        <w:t xml:space="preserve">. </w:t>
      </w:r>
      <w:r>
        <w:rPr>
          <w:rFonts w:eastAsiaTheme="minorHAnsi"/>
          <w:color w:val="000000"/>
          <w:sz w:val="22"/>
          <w:szCs w:val="22"/>
          <w:lang w:val="en-AU"/>
        </w:rPr>
        <w:t>In 2014, t</w:t>
      </w:r>
      <w:r w:rsidR="000A0618">
        <w:rPr>
          <w:rFonts w:eastAsiaTheme="minorHAnsi"/>
          <w:color w:val="000000"/>
          <w:sz w:val="22"/>
          <w:szCs w:val="22"/>
          <w:lang w:val="en-AU"/>
        </w:rPr>
        <w:t xml:space="preserve">he </w:t>
      </w:r>
      <w:r w:rsidR="00642CC2">
        <w:rPr>
          <w:rFonts w:eastAsiaTheme="minorHAnsi"/>
          <w:color w:val="000000"/>
          <w:sz w:val="22"/>
          <w:szCs w:val="22"/>
          <w:lang w:val="en-AU"/>
        </w:rPr>
        <w:t xml:space="preserve">Former </w:t>
      </w:r>
      <w:r w:rsidR="000A0618">
        <w:rPr>
          <w:rFonts w:eastAsiaTheme="minorHAnsi"/>
          <w:color w:val="000000"/>
          <w:sz w:val="22"/>
          <w:szCs w:val="22"/>
          <w:lang w:val="en-AU"/>
        </w:rPr>
        <w:t xml:space="preserve">Specification was amended to allow for the legal supply of </w:t>
      </w:r>
      <w:r>
        <w:rPr>
          <w:rFonts w:eastAsiaTheme="minorHAnsi"/>
          <w:color w:val="000000"/>
          <w:sz w:val="22"/>
          <w:szCs w:val="22"/>
          <w:lang w:val="en-AU"/>
        </w:rPr>
        <w:t>a</w:t>
      </w:r>
      <w:r w:rsidR="007F16D4">
        <w:rPr>
          <w:rFonts w:eastAsiaTheme="minorHAnsi"/>
          <w:color w:val="000000"/>
          <w:sz w:val="22"/>
          <w:szCs w:val="22"/>
          <w:lang w:val="en-AU"/>
        </w:rPr>
        <w:t>n IVD</w:t>
      </w:r>
      <w:r w:rsidR="00C369FD">
        <w:rPr>
          <w:rFonts w:eastAsiaTheme="minorHAnsi"/>
          <w:color w:val="000000"/>
          <w:sz w:val="22"/>
          <w:szCs w:val="22"/>
          <w:lang w:val="en-AU"/>
        </w:rPr>
        <w:t xml:space="preserve"> that is a</w:t>
      </w:r>
      <w:r>
        <w:rPr>
          <w:rFonts w:eastAsiaTheme="minorHAnsi"/>
          <w:color w:val="000000"/>
          <w:sz w:val="22"/>
          <w:szCs w:val="22"/>
          <w:lang w:val="en-AU"/>
        </w:rPr>
        <w:t xml:space="preserve"> </w:t>
      </w:r>
      <w:r w:rsidR="000A0618">
        <w:rPr>
          <w:rFonts w:eastAsiaTheme="minorHAnsi"/>
          <w:color w:val="000000"/>
          <w:sz w:val="22"/>
          <w:szCs w:val="22"/>
          <w:lang w:val="en-AU"/>
        </w:rPr>
        <w:t xml:space="preserve">human immunodeficiency virus test. </w:t>
      </w:r>
    </w:p>
    <w:p w14:paraId="755D6A32" w14:textId="77777777" w:rsidR="00C369FD" w:rsidRDefault="00C369FD" w:rsidP="00C369FD">
      <w:pPr>
        <w:spacing w:before="0" w:after="0"/>
        <w:rPr>
          <w:rFonts w:eastAsiaTheme="minorHAnsi"/>
          <w:color w:val="000000"/>
          <w:sz w:val="22"/>
          <w:szCs w:val="22"/>
          <w:lang w:val="en-AU"/>
        </w:rPr>
      </w:pPr>
    </w:p>
    <w:p w14:paraId="6DC9E914" w14:textId="31BAB915" w:rsidR="00D67BE4" w:rsidRDefault="00E70668" w:rsidP="00C369FD">
      <w:pPr>
        <w:spacing w:before="0" w:after="0"/>
        <w:rPr>
          <w:rFonts w:eastAsiaTheme="minorHAnsi"/>
          <w:color w:val="000000"/>
          <w:sz w:val="22"/>
          <w:szCs w:val="22"/>
          <w:lang w:val="en-AU"/>
        </w:rPr>
      </w:pPr>
      <w:r>
        <w:rPr>
          <w:rFonts w:eastAsiaTheme="minorHAnsi"/>
          <w:color w:val="000000"/>
          <w:sz w:val="22"/>
          <w:szCs w:val="22"/>
          <w:lang w:val="en-AU"/>
        </w:rPr>
        <w:t xml:space="preserve">The Specification </w:t>
      </w:r>
      <w:r w:rsidR="00C369FD">
        <w:rPr>
          <w:rFonts w:eastAsiaTheme="minorHAnsi"/>
          <w:color w:val="000000"/>
          <w:sz w:val="22"/>
          <w:szCs w:val="22"/>
          <w:lang w:val="en-AU"/>
        </w:rPr>
        <w:t xml:space="preserve">incorporates a number of changes in comparison with </w:t>
      </w:r>
      <w:r>
        <w:rPr>
          <w:rFonts w:eastAsiaTheme="minorHAnsi"/>
          <w:color w:val="000000"/>
          <w:sz w:val="22"/>
          <w:szCs w:val="22"/>
          <w:lang w:val="en-AU"/>
        </w:rPr>
        <w:t xml:space="preserve">the </w:t>
      </w:r>
      <w:r w:rsidR="00642CC2">
        <w:rPr>
          <w:rFonts w:eastAsiaTheme="minorHAnsi"/>
          <w:color w:val="000000"/>
          <w:sz w:val="22"/>
          <w:szCs w:val="22"/>
          <w:lang w:val="en-AU"/>
        </w:rPr>
        <w:t xml:space="preserve">Former </w:t>
      </w:r>
      <w:r>
        <w:rPr>
          <w:rFonts w:eastAsiaTheme="minorHAnsi"/>
          <w:color w:val="000000"/>
          <w:sz w:val="22"/>
          <w:szCs w:val="22"/>
          <w:lang w:val="en-AU"/>
        </w:rPr>
        <w:t xml:space="preserve">Specification </w:t>
      </w:r>
      <w:r w:rsidRPr="0025194A">
        <w:rPr>
          <w:rFonts w:eastAsiaTheme="minorHAnsi"/>
          <w:color w:val="000000"/>
          <w:sz w:val="22"/>
          <w:szCs w:val="22"/>
          <w:lang w:val="en-AU"/>
        </w:rPr>
        <w:t>with changes</w:t>
      </w:r>
      <w:r w:rsidR="00C369FD">
        <w:rPr>
          <w:rFonts w:eastAsiaTheme="minorHAnsi"/>
          <w:color w:val="000000"/>
          <w:sz w:val="22"/>
          <w:szCs w:val="22"/>
          <w:lang w:val="en-AU"/>
        </w:rPr>
        <w:t>, principally to</w:t>
      </w:r>
      <w:r w:rsidRPr="0025194A">
        <w:rPr>
          <w:rFonts w:eastAsiaTheme="minorHAnsi"/>
          <w:color w:val="000000"/>
          <w:sz w:val="22"/>
          <w:szCs w:val="22"/>
          <w:lang w:val="en-AU"/>
        </w:rPr>
        <w:t xml:space="preserve"> allow the supply of </w:t>
      </w:r>
      <w:r w:rsidR="00264740">
        <w:rPr>
          <w:rFonts w:eastAsiaTheme="minorHAnsi"/>
          <w:color w:val="000000"/>
          <w:sz w:val="22"/>
          <w:szCs w:val="22"/>
          <w:lang w:val="en-AU"/>
        </w:rPr>
        <w:t xml:space="preserve">Class 3 and </w:t>
      </w:r>
      <w:r w:rsidR="00C369FD">
        <w:rPr>
          <w:rFonts w:eastAsiaTheme="minorHAnsi"/>
          <w:color w:val="000000"/>
          <w:sz w:val="22"/>
          <w:szCs w:val="22"/>
          <w:lang w:val="en-AU"/>
        </w:rPr>
        <w:t xml:space="preserve">Class </w:t>
      </w:r>
      <w:r w:rsidR="00264740">
        <w:rPr>
          <w:rFonts w:eastAsiaTheme="minorHAnsi"/>
          <w:color w:val="000000"/>
          <w:sz w:val="22"/>
          <w:szCs w:val="22"/>
          <w:lang w:val="en-AU"/>
        </w:rPr>
        <w:t xml:space="preserve">4 IVD medical devices that are </w:t>
      </w:r>
      <w:r w:rsidRPr="0025194A">
        <w:rPr>
          <w:rFonts w:eastAsiaTheme="minorHAnsi"/>
          <w:color w:val="000000"/>
          <w:sz w:val="22"/>
          <w:szCs w:val="22"/>
          <w:lang w:val="en-AU"/>
        </w:rPr>
        <w:t xml:space="preserve">self-tests for </w:t>
      </w:r>
      <w:r w:rsidR="00D67BE4">
        <w:rPr>
          <w:rFonts w:eastAsiaTheme="minorHAnsi"/>
          <w:color w:val="000000"/>
          <w:sz w:val="22"/>
          <w:szCs w:val="22"/>
          <w:lang w:val="en-AU"/>
        </w:rPr>
        <w:t>the presence of, or exposure to specified</w:t>
      </w:r>
      <w:r w:rsidRPr="0025194A">
        <w:rPr>
          <w:rFonts w:eastAsiaTheme="minorHAnsi"/>
          <w:color w:val="000000"/>
          <w:sz w:val="22"/>
          <w:szCs w:val="22"/>
          <w:lang w:val="en-AU"/>
        </w:rPr>
        <w:t xml:space="preserve"> infectious diseases such as influenza, </w:t>
      </w:r>
      <w:r w:rsidR="00960340">
        <w:rPr>
          <w:rFonts w:eastAsiaTheme="minorHAnsi"/>
          <w:color w:val="000000"/>
          <w:sz w:val="22"/>
          <w:szCs w:val="22"/>
          <w:lang w:val="en-AU"/>
        </w:rPr>
        <w:t>chlamydia, gonorrhoea, herpes, syphilis</w:t>
      </w:r>
      <w:r w:rsidRPr="0025194A">
        <w:rPr>
          <w:rFonts w:eastAsiaTheme="minorHAnsi"/>
          <w:color w:val="000000"/>
          <w:sz w:val="22"/>
          <w:szCs w:val="22"/>
          <w:lang w:val="en-AU"/>
        </w:rPr>
        <w:t>, hepatitis B and hepatitis C</w:t>
      </w:r>
      <w:r w:rsidR="00360B35">
        <w:rPr>
          <w:rFonts w:eastAsiaTheme="minorHAnsi"/>
          <w:color w:val="000000"/>
          <w:sz w:val="22"/>
          <w:szCs w:val="22"/>
          <w:lang w:val="en-AU"/>
        </w:rPr>
        <w:t>,</w:t>
      </w:r>
      <w:r w:rsidR="000A0618">
        <w:rPr>
          <w:rFonts w:eastAsiaTheme="minorHAnsi"/>
          <w:color w:val="000000"/>
          <w:sz w:val="22"/>
          <w:szCs w:val="22"/>
          <w:lang w:val="en-AU"/>
        </w:rPr>
        <w:t xml:space="preserve"> and </w:t>
      </w:r>
      <w:r w:rsidR="00360B35">
        <w:rPr>
          <w:rFonts w:eastAsiaTheme="minorHAnsi"/>
          <w:color w:val="000000"/>
          <w:sz w:val="22"/>
          <w:szCs w:val="22"/>
          <w:lang w:val="en-AU"/>
        </w:rPr>
        <w:t xml:space="preserve">that are </w:t>
      </w:r>
      <w:r w:rsidR="000A0618">
        <w:rPr>
          <w:rFonts w:eastAsiaTheme="minorHAnsi"/>
          <w:color w:val="000000"/>
          <w:sz w:val="22"/>
          <w:szCs w:val="22"/>
          <w:lang w:val="en-AU"/>
        </w:rPr>
        <w:t xml:space="preserve">self-tests </w:t>
      </w:r>
      <w:r w:rsidR="00C23AF3">
        <w:rPr>
          <w:rFonts w:eastAsiaTheme="minorHAnsi"/>
          <w:color w:val="000000"/>
          <w:sz w:val="22"/>
          <w:szCs w:val="22"/>
          <w:lang w:val="en-AU"/>
        </w:rPr>
        <w:t xml:space="preserve">(other than genetic tests) </w:t>
      </w:r>
      <w:r w:rsidR="000A0618">
        <w:rPr>
          <w:rFonts w:eastAsiaTheme="minorHAnsi"/>
          <w:color w:val="000000"/>
          <w:sz w:val="22"/>
          <w:szCs w:val="22"/>
          <w:lang w:val="en-AU"/>
        </w:rPr>
        <w:t xml:space="preserve">for </w:t>
      </w:r>
      <w:r w:rsidR="00D67BE4">
        <w:rPr>
          <w:rFonts w:eastAsiaTheme="minorHAnsi"/>
          <w:color w:val="000000"/>
          <w:sz w:val="22"/>
          <w:szCs w:val="22"/>
          <w:lang w:val="en-AU"/>
        </w:rPr>
        <w:t xml:space="preserve">the diagnosis or to indicate the presence of, or to detect the presence of markers that are precursors for, </w:t>
      </w:r>
      <w:r w:rsidR="00960340">
        <w:rPr>
          <w:rFonts w:eastAsiaTheme="minorHAnsi"/>
          <w:color w:val="000000"/>
          <w:sz w:val="22"/>
          <w:szCs w:val="22"/>
          <w:lang w:val="en-AU"/>
        </w:rPr>
        <w:t xml:space="preserve">diabetes, kidney disease </w:t>
      </w:r>
      <w:r w:rsidR="00F7244D">
        <w:rPr>
          <w:rFonts w:eastAsiaTheme="minorHAnsi"/>
          <w:color w:val="000000"/>
          <w:sz w:val="22"/>
          <w:szCs w:val="22"/>
          <w:lang w:val="en-AU"/>
        </w:rPr>
        <w:t xml:space="preserve">or </w:t>
      </w:r>
      <w:r w:rsidR="00D67BE4">
        <w:rPr>
          <w:rFonts w:eastAsiaTheme="minorHAnsi"/>
          <w:color w:val="000000"/>
          <w:sz w:val="22"/>
          <w:szCs w:val="22"/>
          <w:lang w:val="en-AU"/>
        </w:rPr>
        <w:t>cardiovascular disease</w:t>
      </w:r>
      <w:r w:rsidRPr="0025194A">
        <w:rPr>
          <w:rFonts w:eastAsiaTheme="minorHAnsi"/>
          <w:color w:val="000000"/>
          <w:sz w:val="22"/>
          <w:szCs w:val="22"/>
          <w:lang w:val="en-AU"/>
        </w:rPr>
        <w:t xml:space="preserve">. </w:t>
      </w:r>
      <w:r w:rsidR="00360B35">
        <w:rPr>
          <w:rFonts w:eastAsiaTheme="minorHAnsi"/>
          <w:color w:val="000000"/>
          <w:sz w:val="22"/>
          <w:szCs w:val="22"/>
          <w:lang w:val="en-AU"/>
        </w:rPr>
        <w:t>It is important to note that, while no longer excluded from marketing approval, s</w:t>
      </w:r>
      <w:r w:rsidR="000A0618">
        <w:rPr>
          <w:rFonts w:eastAsiaTheme="minorHAnsi"/>
          <w:color w:val="000000"/>
          <w:sz w:val="22"/>
          <w:szCs w:val="22"/>
          <w:lang w:val="en-AU"/>
        </w:rPr>
        <w:t>uch self-tests w</w:t>
      </w:r>
      <w:r w:rsidR="00360B35">
        <w:rPr>
          <w:rFonts w:eastAsiaTheme="minorHAnsi"/>
          <w:color w:val="000000"/>
          <w:sz w:val="22"/>
          <w:szCs w:val="22"/>
          <w:lang w:val="en-AU"/>
        </w:rPr>
        <w:t>ill</w:t>
      </w:r>
      <w:r w:rsidR="000A0618">
        <w:rPr>
          <w:rFonts w:eastAsiaTheme="minorHAnsi"/>
          <w:color w:val="000000"/>
          <w:sz w:val="22"/>
          <w:szCs w:val="22"/>
          <w:lang w:val="en-AU"/>
        </w:rPr>
        <w:t xml:space="preserve"> still need to meet </w:t>
      </w:r>
      <w:r w:rsidR="00360B35">
        <w:rPr>
          <w:rFonts w:eastAsiaTheme="minorHAnsi"/>
          <w:color w:val="000000"/>
          <w:sz w:val="22"/>
          <w:szCs w:val="22"/>
          <w:lang w:val="en-AU"/>
        </w:rPr>
        <w:t xml:space="preserve">the </w:t>
      </w:r>
      <w:r w:rsidR="000A0618">
        <w:rPr>
          <w:rFonts w:eastAsiaTheme="minorHAnsi"/>
          <w:color w:val="000000"/>
          <w:sz w:val="22"/>
          <w:szCs w:val="22"/>
          <w:lang w:val="en-AU"/>
        </w:rPr>
        <w:t xml:space="preserve">applicable regulatory requirements </w:t>
      </w:r>
      <w:r w:rsidR="00360B35">
        <w:rPr>
          <w:rFonts w:eastAsiaTheme="minorHAnsi"/>
          <w:color w:val="000000"/>
          <w:sz w:val="22"/>
          <w:szCs w:val="22"/>
          <w:lang w:val="en-AU"/>
        </w:rPr>
        <w:t xml:space="preserve">for medical devices </w:t>
      </w:r>
      <w:r w:rsidR="000A0618">
        <w:rPr>
          <w:rFonts w:eastAsiaTheme="minorHAnsi"/>
          <w:color w:val="000000"/>
          <w:sz w:val="22"/>
          <w:szCs w:val="22"/>
          <w:lang w:val="en-AU"/>
        </w:rPr>
        <w:t xml:space="preserve">under the Act and </w:t>
      </w:r>
      <w:r w:rsidR="00360B35">
        <w:rPr>
          <w:rFonts w:eastAsiaTheme="minorHAnsi"/>
          <w:color w:val="000000"/>
          <w:sz w:val="22"/>
          <w:szCs w:val="22"/>
          <w:lang w:val="en-AU"/>
        </w:rPr>
        <w:t xml:space="preserve">the MD Regulations </w:t>
      </w:r>
      <w:r w:rsidR="000A0618">
        <w:rPr>
          <w:rFonts w:eastAsiaTheme="minorHAnsi"/>
          <w:color w:val="000000"/>
          <w:sz w:val="22"/>
          <w:szCs w:val="22"/>
          <w:lang w:val="en-AU"/>
        </w:rPr>
        <w:t xml:space="preserve">be included in the Register (unless otherwise exempt). </w:t>
      </w:r>
    </w:p>
    <w:p w14:paraId="5B58E34E" w14:textId="77777777" w:rsidR="00D67BE4" w:rsidRDefault="00D67BE4" w:rsidP="00C369FD">
      <w:pPr>
        <w:spacing w:before="0" w:after="0"/>
        <w:rPr>
          <w:rFonts w:eastAsiaTheme="minorHAnsi"/>
          <w:color w:val="000000"/>
          <w:sz w:val="22"/>
          <w:szCs w:val="22"/>
          <w:lang w:val="en-AU"/>
        </w:rPr>
      </w:pPr>
    </w:p>
    <w:p w14:paraId="61A8DE77" w14:textId="66658BE9" w:rsidR="000A0618" w:rsidRDefault="00664438" w:rsidP="00C369FD">
      <w:pPr>
        <w:spacing w:before="0" w:after="0"/>
        <w:rPr>
          <w:rFonts w:eastAsiaTheme="minorHAnsi"/>
          <w:color w:val="000000"/>
          <w:sz w:val="22"/>
          <w:szCs w:val="22"/>
          <w:lang w:val="en-AU"/>
        </w:rPr>
      </w:pPr>
      <w:r>
        <w:rPr>
          <w:rFonts w:eastAsiaTheme="minorHAnsi"/>
          <w:color w:val="000000"/>
          <w:sz w:val="22"/>
          <w:szCs w:val="22"/>
          <w:lang w:val="en-AU"/>
        </w:rPr>
        <w:lastRenderedPageBreak/>
        <w:t xml:space="preserve">The Specification identifies the testing of specimens from the human body, other than for these uses, as an excluded purpose for Class 3 and Class 4 IVD medical devices for self-testing. </w:t>
      </w:r>
      <w:r w:rsidR="00264740">
        <w:rPr>
          <w:rFonts w:eastAsiaTheme="minorHAnsi"/>
          <w:color w:val="000000"/>
          <w:sz w:val="22"/>
          <w:szCs w:val="22"/>
          <w:lang w:val="en-AU"/>
        </w:rPr>
        <w:t xml:space="preserve">The Specification also </w:t>
      </w:r>
      <w:r w:rsidR="00D67BE4">
        <w:rPr>
          <w:rFonts w:eastAsiaTheme="minorHAnsi"/>
          <w:color w:val="000000"/>
          <w:sz w:val="22"/>
          <w:szCs w:val="22"/>
          <w:lang w:val="en-AU"/>
        </w:rPr>
        <w:t xml:space="preserve">identifies testing for faecal occult blood </w:t>
      </w:r>
      <w:r>
        <w:rPr>
          <w:rFonts w:eastAsiaTheme="minorHAnsi"/>
          <w:color w:val="000000"/>
          <w:sz w:val="22"/>
          <w:szCs w:val="22"/>
          <w:lang w:val="en-AU"/>
        </w:rPr>
        <w:t xml:space="preserve">as </w:t>
      </w:r>
      <w:r w:rsidR="00D67BE4">
        <w:rPr>
          <w:rFonts w:eastAsiaTheme="minorHAnsi"/>
          <w:color w:val="000000"/>
          <w:sz w:val="22"/>
          <w:szCs w:val="22"/>
          <w:lang w:val="en-AU"/>
        </w:rPr>
        <w:t xml:space="preserve">an </w:t>
      </w:r>
      <w:r w:rsidR="00264740">
        <w:rPr>
          <w:rFonts w:eastAsiaTheme="minorHAnsi"/>
          <w:color w:val="000000"/>
          <w:sz w:val="22"/>
          <w:szCs w:val="22"/>
          <w:lang w:val="en-AU"/>
        </w:rPr>
        <w:t xml:space="preserve">excluded purpose for Class 2 IVD medical devices </w:t>
      </w:r>
      <w:r w:rsidR="00D67BE4">
        <w:rPr>
          <w:rFonts w:eastAsiaTheme="minorHAnsi"/>
          <w:color w:val="000000"/>
          <w:sz w:val="22"/>
          <w:szCs w:val="22"/>
          <w:lang w:val="en-AU"/>
        </w:rPr>
        <w:t>for self testing</w:t>
      </w:r>
      <w:r w:rsidR="00642CC2">
        <w:rPr>
          <w:rFonts w:eastAsiaTheme="minorHAnsi"/>
          <w:color w:val="000000"/>
          <w:sz w:val="22"/>
          <w:szCs w:val="22"/>
          <w:lang w:val="en-AU"/>
        </w:rPr>
        <w:t>.</w:t>
      </w:r>
    </w:p>
    <w:p w14:paraId="3CAAEEB9" w14:textId="06EF39F1" w:rsidR="005A7B77" w:rsidRDefault="005A7B77" w:rsidP="0025194A">
      <w:pPr>
        <w:autoSpaceDE w:val="0"/>
        <w:autoSpaceDN w:val="0"/>
        <w:adjustRightInd w:val="0"/>
        <w:spacing w:before="0" w:after="0"/>
        <w:rPr>
          <w:rFonts w:eastAsiaTheme="minorHAnsi"/>
          <w:color w:val="000000"/>
          <w:sz w:val="22"/>
          <w:szCs w:val="22"/>
          <w:lang w:val="en-AU"/>
        </w:rPr>
      </w:pPr>
    </w:p>
    <w:p w14:paraId="3D4240F1" w14:textId="18657D1F" w:rsidR="005A7B77" w:rsidRDefault="00664438" w:rsidP="005A7B77">
      <w:pPr>
        <w:spacing w:before="0" w:after="0"/>
        <w:rPr>
          <w:rFonts w:eastAsiaTheme="minorHAnsi"/>
          <w:color w:val="000000"/>
          <w:sz w:val="22"/>
          <w:szCs w:val="22"/>
          <w:lang w:val="en-AU"/>
        </w:rPr>
      </w:pPr>
      <w:r>
        <w:rPr>
          <w:rFonts w:eastAsiaTheme="minorHAnsi"/>
          <w:color w:val="000000"/>
          <w:sz w:val="22"/>
          <w:szCs w:val="22"/>
          <w:lang w:val="en-AU"/>
        </w:rPr>
        <w:t>The effect of identifying these excluded</w:t>
      </w:r>
      <w:r w:rsidR="005A7B77">
        <w:rPr>
          <w:rFonts w:eastAsiaTheme="minorHAnsi"/>
          <w:color w:val="000000"/>
          <w:sz w:val="22"/>
          <w:szCs w:val="22"/>
          <w:lang w:val="en-AU"/>
        </w:rPr>
        <w:t xml:space="preserve"> purposes in the Specification is that a kind of medical device that is only intended by its manufacturer to be used for one of the excluded purposes specified in the Specification may not be included in the Register. As a result, it is unlawful to import, export, or supply or manufacture such a device, unless it is otherwise exempt under the one of the pathways in the Act for the supply etc. of unapproved therapeutic goods. </w:t>
      </w:r>
    </w:p>
    <w:p w14:paraId="2589A894" w14:textId="7BDDFFF8" w:rsidR="004461D8" w:rsidRPr="00E649A6" w:rsidRDefault="004461D8" w:rsidP="004461D8">
      <w:pPr>
        <w:autoSpaceDE w:val="0"/>
        <w:autoSpaceDN w:val="0"/>
        <w:adjustRightInd w:val="0"/>
        <w:spacing w:before="0" w:after="0"/>
        <w:rPr>
          <w:rFonts w:eastAsiaTheme="minorHAnsi"/>
          <w:color w:val="000000"/>
          <w:sz w:val="22"/>
          <w:szCs w:val="22"/>
          <w:lang w:val="en-AU"/>
        </w:rPr>
      </w:pPr>
    </w:p>
    <w:p w14:paraId="5F88FAEE" w14:textId="0F7D457C" w:rsidR="00642CC2" w:rsidRPr="00D360E1" w:rsidRDefault="00A5662B" w:rsidP="004461D8">
      <w:pPr>
        <w:autoSpaceDE w:val="0"/>
        <w:autoSpaceDN w:val="0"/>
        <w:adjustRightInd w:val="0"/>
        <w:spacing w:before="0" w:after="0"/>
        <w:rPr>
          <w:b/>
          <w:sz w:val="22"/>
          <w:szCs w:val="22"/>
          <w:lang w:eastAsia="en-AU"/>
        </w:rPr>
      </w:pPr>
      <w:r w:rsidRPr="004461D8">
        <w:rPr>
          <w:b/>
          <w:sz w:val="22"/>
          <w:szCs w:val="22"/>
          <w:lang w:eastAsia="en-AU"/>
        </w:rPr>
        <w:t>Consultation</w:t>
      </w:r>
    </w:p>
    <w:p w14:paraId="06ADC566" w14:textId="5C72BD3A" w:rsidR="00A5662B" w:rsidRPr="00D360E1" w:rsidRDefault="00A5662B" w:rsidP="004461D8">
      <w:pPr>
        <w:autoSpaceDE w:val="0"/>
        <w:autoSpaceDN w:val="0"/>
        <w:adjustRightInd w:val="0"/>
        <w:spacing w:before="0" w:after="0"/>
        <w:rPr>
          <w:rFonts w:eastAsiaTheme="minorHAnsi"/>
          <w:color w:val="000000"/>
          <w:sz w:val="22"/>
          <w:szCs w:val="22"/>
          <w:lang w:val="en-AU"/>
        </w:rPr>
      </w:pPr>
      <w:r w:rsidRPr="00D360E1">
        <w:rPr>
          <w:rFonts w:eastAsiaTheme="minorHAnsi"/>
          <w:color w:val="000000"/>
          <w:sz w:val="22"/>
          <w:szCs w:val="22"/>
          <w:lang w:val="en-AU"/>
        </w:rPr>
        <w:t>The Offic</w:t>
      </w:r>
      <w:r w:rsidR="004461D8" w:rsidRPr="00D360E1">
        <w:rPr>
          <w:rFonts w:eastAsiaTheme="minorHAnsi"/>
          <w:color w:val="000000"/>
          <w:sz w:val="22"/>
          <w:szCs w:val="22"/>
          <w:lang w:val="en-AU"/>
        </w:rPr>
        <w:t xml:space="preserve">e of Best Practice Regulation </w:t>
      </w:r>
      <w:r w:rsidRPr="00D360E1">
        <w:rPr>
          <w:rFonts w:eastAsiaTheme="minorHAnsi"/>
          <w:color w:val="000000"/>
          <w:sz w:val="22"/>
          <w:szCs w:val="22"/>
          <w:lang w:val="en-AU"/>
        </w:rPr>
        <w:t xml:space="preserve">advised that a regulation impact statement was not required in relation to the making of the </w:t>
      </w:r>
      <w:r w:rsidR="004461D8" w:rsidRPr="00D360E1">
        <w:rPr>
          <w:rFonts w:eastAsiaTheme="minorHAnsi"/>
          <w:color w:val="000000"/>
          <w:sz w:val="22"/>
          <w:szCs w:val="22"/>
          <w:lang w:val="en-AU"/>
        </w:rPr>
        <w:t>Specification</w:t>
      </w:r>
      <w:r w:rsidRPr="00D360E1">
        <w:rPr>
          <w:rFonts w:eastAsiaTheme="minorHAnsi"/>
          <w:color w:val="000000"/>
          <w:sz w:val="22"/>
          <w:szCs w:val="22"/>
          <w:lang w:val="en-AU"/>
        </w:rPr>
        <w:t xml:space="preserve"> (OBRP </w:t>
      </w:r>
      <w:r w:rsidR="004461D8" w:rsidRPr="00D360E1">
        <w:rPr>
          <w:rFonts w:eastAsiaTheme="minorHAnsi"/>
          <w:color w:val="000000"/>
          <w:sz w:val="22"/>
          <w:szCs w:val="22"/>
          <w:lang w:val="en-AU"/>
        </w:rPr>
        <w:t>ID42800</w:t>
      </w:r>
      <w:r w:rsidRPr="00D360E1">
        <w:rPr>
          <w:rFonts w:eastAsiaTheme="minorHAnsi"/>
          <w:color w:val="000000"/>
          <w:sz w:val="22"/>
          <w:szCs w:val="22"/>
          <w:lang w:val="en-AU"/>
        </w:rPr>
        <w:t>).</w:t>
      </w:r>
    </w:p>
    <w:p w14:paraId="537A8D3B" w14:textId="415061DA" w:rsidR="00A5662B" w:rsidRPr="00D360E1" w:rsidRDefault="00A5662B" w:rsidP="004461D8">
      <w:pPr>
        <w:autoSpaceDE w:val="0"/>
        <w:autoSpaceDN w:val="0"/>
        <w:adjustRightInd w:val="0"/>
        <w:spacing w:before="0" w:after="0"/>
        <w:rPr>
          <w:rFonts w:eastAsiaTheme="minorHAnsi"/>
          <w:color w:val="000000"/>
          <w:sz w:val="22"/>
          <w:szCs w:val="22"/>
          <w:lang w:val="en-AU"/>
        </w:rPr>
      </w:pPr>
    </w:p>
    <w:p w14:paraId="5666AA82" w14:textId="1F6A0A45" w:rsidR="00664438" w:rsidRPr="004B3EB4" w:rsidRDefault="0025194A" w:rsidP="009D4837">
      <w:pPr>
        <w:autoSpaceDE w:val="0"/>
        <w:autoSpaceDN w:val="0"/>
        <w:adjustRightInd w:val="0"/>
        <w:spacing w:before="0" w:after="0"/>
        <w:rPr>
          <w:rFonts w:eastAsiaTheme="minorHAnsi"/>
          <w:color w:val="000000"/>
          <w:sz w:val="22"/>
          <w:szCs w:val="22"/>
        </w:rPr>
      </w:pPr>
      <w:r w:rsidRPr="00D360E1">
        <w:rPr>
          <w:rFonts w:eastAsiaTheme="minorHAnsi"/>
          <w:color w:val="000000"/>
          <w:sz w:val="22"/>
          <w:szCs w:val="22"/>
          <w:lang w:val="en-AU"/>
        </w:rPr>
        <w:t xml:space="preserve">A public consultation was conducted in late 2019 </w:t>
      </w:r>
      <w:r w:rsidR="00E649A6" w:rsidRPr="00D360E1">
        <w:rPr>
          <w:rFonts w:eastAsiaTheme="minorHAnsi"/>
          <w:color w:val="000000"/>
          <w:sz w:val="22"/>
          <w:szCs w:val="22"/>
        </w:rPr>
        <w:t xml:space="preserve">on whether there </w:t>
      </w:r>
      <w:r w:rsidR="00664438">
        <w:rPr>
          <w:rFonts w:eastAsiaTheme="minorHAnsi"/>
          <w:color w:val="000000"/>
          <w:sz w:val="22"/>
          <w:szCs w:val="22"/>
        </w:rPr>
        <w:t>was</w:t>
      </w:r>
      <w:r w:rsidR="00E649A6" w:rsidRPr="00D360E1">
        <w:rPr>
          <w:rFonts w:eastAsiaTheme="minorHAnsi"/>
          <w:color w:val="000000"/>
          <w:sz w:val="22"/>
          <w:szCs w:val="22"/>
        </w:rPr>
        <w:t xml:space="preserve"> </w:t>
      </w:r>
      <w:r w:rsidR="00664438">
        <w:rPr>
          <w:rFonts w:eastAsiaTheme="minorHAnsi"/>
          <w:color w:val="000000"/>
          <w:sz w:val="22"/>
          <w:szCs w:val="22"/>
        </w:rPr>
        <w:t xml:space="preserve">considered to be </w:t>
      </w:r>
      <w:r w:rsidR="00E649A6" w:rsidRPr="00D360E1">
        <w:rPr>
          <w:rFonts w:eastAsiaTheme="minorHAnsi"/>
          <w:color w:val="000000"/>
          <w:sz w:val="22"/>
          <w:szCs w:val="22"/>
        </w:rPr>
        <w:t xml:space="preserve">a continuing need for this </w:t>
      </w:r>
      <w:r w:rsidRPr="00D360E1">
        <w:rPr>
          <w:rFonts w:eastAsiaTheme="minorHAnsi"/>
          <w:color w:val="000000"/>
          <w:sz w:val="22"/>
          <w:szCs w:val="22"/>
        </w:rPr>
        <w:t>specification and</w:t>
      </w:r>
      <w:r w:rsidR="00E649A6" w:rsidRPr="00D360E1">
        <w:rPr>
          <w:rFonts w:eastAsiaTheme="minorHAnsi"/>
          <w:color w:val="000000"/>
          <w:sz w:val="22"/>
          <w:szCs w:val="22"/>
        </w:rPr>
        <w:t xml:space="preserve"> which prohibitions, if any, should be maintained. </w:t>
      </w:r>
      <w:r w:rsidR="00FF61CC" w:rsidRPr="00D360E1">
        <w:rPr>
          <w:rFonts w:eastAsiaTheme="minorHAnsi"/>
          <w:color w:val="000000"/>
          <w:sz w:val="22"/>
          <w:szCs w:val="22"/>
        </w:rPr>
        <w:t xml:space="preserve">There were 26 submissions received. </w:t>
      </w:r>
      <w:r w:rsidR="00E649A6" w:rsidRPr="00D360E1">
        <w:rPr>
          <w:rFonts w:eastAsiaTheme="minorHAnsi"/>
          <w:color w:val="000000"/>
          <w:sz w:val="22"/>
          <w:szCs w:val="22"/>
        </w:rPr>
        <w:t>Overall respondents were in favour of continuin</w:t>
      </w:r>
      <w:r w:rsidRPr="00D360E1">
        <w:rPr>
          <w:rFonts w:eastAsiaTheme="minorHAnsi"/>
          <w:color w:val="000000"/>
          <w:sz w:val="22"/>
          <w:szCs w:val="22"/>
        </w:rPr>
        <w:t xml:space="preserve">g to prohibit supply of certain </w:t>
      </w:r>
      <w:r w:rsidR="00E649A6" w:rsidRPr="00D360E1">
        <w:rPr>
          <w:rFonts w:eastAsiaTheme="minorHAnsi"/>
          <w:color w:val="000000"/>
          <w:sz w:val="22"/>
          <w:szCs w:val="22"/>
        </w:rPr>
        <w:t>self-testing IVDs for serious diseases such as cancer and genetic tests for diagnosis or prediction of serious diseases. However, there was support for a number of self-tests for some infectious diseases such as influenza, sexually transmitted diseases and hepatitis C, being made available in Australia.</w:t>
      </w:r>
      <w:r w:rsidR="00FF61CC" w:rsidRPr="00D360E1">
        <w:rPr>
          <w:rFonts w:cstheme="minorHAnsi"/>
          <w:sz w:val="22"/>
          <w:szCs w:val="22"/>
        </w:rPr>
        <w:t xml:space="preserve"> It was also outlined that the risks of direct-to-consumer genetic testing cannot be safely mitigated to ensure that potential harms are reduced to an acceptable level.</w:t>
      </w:r>
      <w:r w:rsidR="009D4837">
        <w:rPr>
          <w:rFonts w:cstheme="minorHAnsi"/>
          <w:sz w:val="22"/>
          <w:szCs w:val="22"/>
        </w:rPr>
        <w:t xml:space="preserve"> </w:t>
      </w:r>
    </w:p>
    <w:p w14:paraId="6F324800" w14:textId="77777777" w:rsidR="00664438" w:rsidRDefault="00664438" w:rsidP="009D4837">
      <w:pPr>
        <w:autoSpaceDE w:val="0"/>
        <w:autoSpaceDN w:val="0"/>
        <w:adjustRightInd w:val="0"/>
        <w:spacing w:before="0" w:after="0"/>
        <w:rPr>
          <w:rFonts w:cstheme="minorHAnsi"/>
          <w:sz w:val="22"/>
          <w:szCs w:val="22"/>
        </w:rPr>
      </w:pPr>
    </w:p>
    <w:p w14:paraId="0A6F4F4B" w14:textId="11513D6D" w:rsidR="00D360E1" w:rsidRPr="00F37CE0" w:rsidRDefault="00476971" w:rsidP="00F37CE0">
      <w:pPr>
        <w:autoSpaceDE w:val="0"/>
        <w:autoSpaceDN w:val="0"/>
        <w:adjustRightInd w:val="0"/>
        <w:spacing w:before="0" w:after="0"/>
        <w:rPr>
          <w:sz w:val="22"/>
          <w:szCs w:val="22"/>
        </w:rPr>
      </w:pPr>
      <w:r>
        <w:rPr>
          <w:sz w:val="22"/>
          <w:szCs w:val="22"/>
        </w:rPr>
        <w:t>A number of t</w:t>
      </w:r>
      <w:r w:rsidR="0025194A" w:rsidRPr="00D360E1">
        <w:rPr>
          <w:sz w:val="22"/>
          <w:szCs w:val="22"/>
        </w:rPr>
        <w:t>eleconference</w:t>
      </w:r>
      <w:r w:rsidR="00DD646D">
        <w:rPr>
          <w:sz w:val="22"/>
          <w:szCs w:val="22"/>
        </w:rPr>
        <w:t>s</w:t>
      </w:r>
      <w:r w:rsidR="0025194A" w:rsidRPr="00D360E1">
        <w:rPr>
          <w:sz w:val="22"/>
          <w:szCs w:val="22"/>
        </w:rPr>
        <w:t xml:space="preserve"> w</w:t>
      </w:r>
      <w:r w:rsidR="00DD646D">
        <w:rPr>
          <w:sz w:val="22"/>
          <w:szCs w:val="22"/>
        </w:rPr>
        <w:t>ere</w:t>
      </w:r>
      <w:r w:rsidR="0025194A" w:rsidRPr="00D360E1">
        <w:rPr>
          <w:sz w:val="22"/>
          <w:szCs w:val="22"/>
        </w:rPr>
        <w:t xml:space="preserve"> held </w:t>
      </w:r>
      <w:r>
        <w:rPr>
          <w:sz w:val="22"/>
          <w:szCs w:val="22"/>
        </w:rPr>
        <w:t>between March</w:t>
      </w:r>
      <w:r w:rsidR="00DD646D">
        <w:rPr>
          <w:sz w:val="22"/>
          <w:szCs w:val="22"/>
        </w:rPr>
        <w:t xml:space="preserve"> and</w:t>
      </w:r>
      <w:r w:rsidR="0025194A" w:rsidRPr="00D360E1">
        <w:rPr>
          <w:sz w:val="22"/>
          <w:szCs w:val="22"/>
        </w:rPr>
        <w:t xml:space="preserve"> </w:t>
      </w:r>
      <w:r>
        <w:rPr>
          <w:sz w:val="22"/>
          <w:szCs w:val="22"/>
        </w:rPr>
        <w:t>July</w:t>
      </w:r>
      <w:r w:rsidR="0025194A" w:rsidRPr="00D360E1">
        <w:rPr>
          <w:sz w:val="22"/>
          <w:szCs w:val="22"/>
        </w:rPr>
        <w:t xml:space="preserve"> 2020 as a follow up to clarify some of the issues raised in the submissio</w:t>
      </w:r>
      <w:r w:rsidR="006A5B44">
        <w:rPr>
          <w:sz w:val="22"/>
          <w:szCs w:val="22"/>
        </w:rPr>
        <w:t xml:space="preserve">ns to the public consultation. </w:t>
      </w:r>
      <w:r w:rsidR="0025194A" w:rsidRPr="00D360E1">
        <w:rPr>
          <w:sz w:val="22"/>
          <w:szCs w:val="22"/>
        </w:rPr>
        <w:t>The teleconference</w:t>
      </w:r>
      <w:r w:rsidR="00DD646D">
        <w:rPr>
          <w:sz w:val="22"/>
          <w:szCs w:val="22"/>
        </w:rPr>
        <w:t>s</w:t>
      </w:r>
      <w:r w:rsidR="0025194A" w:rsidRPr="00D360E1">
        <w:rPr>
          <w:sz w:val="22"/>
          <w:szCs w:val="22"/>
        </w:rPr>
        <w:t xml:space="preserve"> confirmed the view that self-tests for </w:t>
      </w:r>
      <w:r>
        <w:rPr>
          <w:sz w:val="22"/>
          <w:szCs w:val="22"/>
        </w:rPr>
        <w:t xml:space="preserve">cancer and genetic self-testing should continue to be prohibited. It was considered that self-tests for </w:t>
      </w:r>
      <w:r w:rsidR="0025194A" w:rsidRPr="00D360E1">
        <w:rPr>
          <w:sz w:val="22"/>
          <w:szCs w:val="22"/>
        </w:rPr>
        <w:t xml:space="preserve">serious infectious diseases should </w:t>
      </w:r>
      <w:r>
        <w:rPr>
          <w:sz w:val="22"/>
          <w:szCs w:val="22"/>
        </w:rPr>
        <w:t xml:space="preserve">also </w:t>
      </w:r>
      <w:r w:rsidR="0025194A" w:rsidRPr="00D360E1">
        <w:rPr>
          <w:sz w:val="22"/>
          <w:szCs w:val="22"/>
        </w:rPr>
        <w:t xml:space="preserve">continue to be prohibited except where </w:t>
      </w:r>
      <w:r w:rsidR="0025194A" w:rsidRPr="00D360E1">
        <w:rPr>
          <w:sz w:val="22"/>
          <w:szCs w:val="22"/>
        </w:rPr>
        <w:lastRenderedPageBreak/>
        <w:t>there were greater benefits arising from supply of certain self-tests, and risk mitigations were in place. Those benefits were identified a</w:t>
      </w:r>
      <w:r w:rsidR="00F37CE0">
        <w:rPr>
          <w:sz w:val="22"/>
          <w:szCs w:val="22"/>
        </w:rPr>
        <w:t xml:space="preserve">s </w:t>
      </w:r>
      <w:r w:rsidR="0025194A" w:rsidRPr="00F37CE0">
        <w:rPr>
          <w:sz w:val="22"/>
          <w:szCs w:val="22"/>
        </w:rPr>
        <w:t xml:space="preserve">increased access to testing in populations less likely to see a </w:t>
      </w:r>
      <w:r w:rsidR="00116ACA" w:rsidRPr="00F37CE0">
        <w:rPr>
          <w:sz w:val="22"/>
          <w:szCs w:val="22"/>
        </w:rPr>
        <w:t>medical practitioner</w:t>
      </w:r>
      <w:r w:rsidR="0025194A" w:rsidRPr="00F37CE0">
        <w:rPr>
          <w:sz w:val="22"/>
          <w:szCs w:val="22"/>
        </w:rPr>
        <w:t xml:space="preserve"> including intravenous drug users, LGBTQI individuals, and people in rural or remote areas;</w:t>
      </w:r>
      <w:r w:rsidR="00F37CE0">
        <w:rPr>
          <w:sz w:val="22"/>
          <w:szCs w:val="22"/>
        </w:rPr>
        <w:t xml:space="preserve"> </w:t>
      </w:r>
      <w:r w:rsidR="009D4837" w:rsidRPr="00F37CE0">
        <w:rPr>
          <w:sz w:val="22"/>
          <w:szCs w:val="22"/>
        </w:rPr>
        <w:t>reduced</w:t>
      </w:r>
      <w:r w:rsidR="0025194A" w:rsidRPr="00F37CE0">
        <w:rPr>
          <w:sz w:val="22"/>
          <w:szCs w:val="22"/>
        </w:rPr>
        <w:t xml:space="preserve"> delays in testing and potential for earlier treatment;</w:t>
      </w:r>
      <w:r w:rsidR="00F37CE0">
        <w:rPr>
          <w:sz w:val="22"/>
          <w:szCs w:val="22"/>
        </w:rPr>
        <w:t xml:space="preserve"> and </w:t>
      </w:r>
      <w:r w:rsidR="0025194A" w:rsidRPr="00F37CE0">
        <w:rPr>
          <w:sz w:val="22"/>
          <w:szCs w:val="22"/>
        </w:rPr>
        <w:t xml:space="preserve">the supply of high quality self-tests that have been evaluated and approved by the TGA </w:t>
      </w:r>
      <w:r w:rsidR="00116ACA" w:rsidRPr="00F37CE0">
        <w:rPr>
          <w:sz w:val="22"/>
          <w:szCs w:val="22"/>
        </w:rPr>
        <w:t>could minimise</w:t>
      </w:r>
      <w:r w:rsidR="0025194A" w:rsidRPr="00F37CE0">
        <w:rPr>
          <w:sz w:val="22"/>
          <w:szCs w:val="22"/>
        </w:rPr>
        <w:t xml:space="preserve"> the risk of purchase of unapproved tests from overseas.</w:t>
      </w:r>
    </w:p>
    <w:p w14:paraId="5FF21690" w14:textId="77777777" w:rsidR="00D360E1" w:rsidRDefault="00D360E1" w:rsidP="004461D8">
      <w:pPr>
        <w:autoSpaceDE w:val="0"/>
        <w:autoSpaceDN w:val="0"/>
        <w:adjustRightInd w:val="0"/>
        <w:spacing w:before="0" w:after="0"/>
        <w:rPr>
          <w:sz w:val="22"/>
          <w:szCs w:val="22"/>
          <w:lang w:eastAsia="en-AU"/>
        </w:rPr>
      </w:pPr>
    </w:p>
    <w:p w14:paraId="2866FE2F" w14:textId="7152C2F2" w:rsidR="00A5662B" w:rsidRPr="00D360E1" w:rsidRDefault="00D360E1" w:rsidP="004461D8">
      <w:pPr>
        <w:autoSpaceDE w:val="0"/>
        <w:autoSpaceDN w:val="0"/>
        <w:adjustRightInd w:val="0"/>
        <w:spacing w:before="0" w:after="0"/>
        <w:rPr>
          <w:sz w:val="22"/>
          <w:szCs w:val="22"/>
          <w:lang w:eastAsia="en-AU"/>
        </w:rPr>
      </w:pPr>
      <w:r w:rsidRPr="00D360E1">
        <w:rPr>
          <w:sz w:val="22"/>
          <w:szCs w:val="22"/>
          <w:lang w:eastAsia="en-AU"/>
        </w:rPr>
        <w:t xml:space="preserve">The </w:t>
      </w:r>
      <w:r w:rsidR="00642CC2" w:rsidRPr="00642CC2">
        <w:rPr>
          <w:sz w:val="22"/>
          <w:szCs w:val="22"/>
          <w:lang w:eastAsia="en-AU"/>
        </w:rPr>
        <w:t>Specification</w:t>
      </w:r>
      <w:r w:rsidR="00642CC2">
        <w:rPr>
          <w:i/>
          <w:sz w:val="22"/>
          <w:szCs w:val="22"/>
          <w:lang w:eastAsia="en-AU"/>
        </w:rPr>
        <w:t xml:space="preserve"> </w:t>
      </w:r>
      <w:r w:rsidRPr="00D360E1">
        <w:rPr>
          <w:sz w:val="22"/>
          <w:szCs w:val="22"/>
          <w:lang w:eastAsia="en-AU"/>
        </w:rPr>
        <w:t xml:space="preserve">is a </w:t>
      </w:r>
      <w:r w:rsidR="004E4379">
        <w:rPr>
          <w:sz w:val="22"/>
          <w:szCs w:val="22"/>
          <w:lang w:eastAsia="en-AU"/>
        </w:rPr>
        <w:t xml:space="preserve">disallowable </w:t>
      </w:r>
      <w:r w:rsidRPr="00D360E1">
        <w:rPr>
          <w:sz w:val="22"/>
          <w:szCs w:val="22"/>
          <w:lang w:eastAsia="en-AU"/>
        </w:rPr>
        <w:t xml:space="preserve">legislative instrument for the purposes of the </w:t>
      </w:r>
      <w:r w:rsidRPr="00D360E1">
        <w:rPr>
          <w:i/>
          <w:sz w:val="22"/>
          <w:szCs w:val="22"/>
          <w:lang w:eastAsia="en-AU"/>
        </w:rPr>
        <w:t>Legislation Act 2003</w:t>
      </w:r>
      <w:r w:rsidRPr="00D360E1">
        <w:rPr>
          <w:sz w:val="22"/>
          <w:szCs w:val="22"/>
          <w:lang w:eastAsia="en-AU"/>
        </w:rPr>
        <w:t xml:space="preserve">. </w:t>
      </w:r>
      <w:r w:rsidR="00A5662B" w:rsidRPr="00D360E1">
        <w:rPr>
          <w:sz w:val="22"/>
          <w:szCs w:val="22"/>
          <w:lang w:eastAsia="en-AU"/>
        </w:rPr>
        <w:t xml:space="preserve">Details of the </w:t>
      </w:r>
      <w:r w:rsidR="004461D8" w:rsidRPr="00D360E1">
        <w:rPr>
          <w:sz w:val="22"/>
          <w:szCs w:val="22"/>
          <w:lang w:eastAsia="en-AU"/>
        </w:rPr>
        <w:t>Specification</w:t>
      </w:r>
      <w:r w:rsidR="00A5662B" w:rsidRPr="00D360E1">
        <w:rPr>
          <w:sz w:val="22"/>
          <w:szCs w:val="22"/>
          <w:lang w:eastAsia="en-AU"/>
        </w:rPr>
        <w:t xml:space="preserve"> are set out in </w:t>
      </w:r>
      <w:r w:rsidR="00A5662B" w:rsidRPr="00D360E1">
        <w:rPr>
          <w:b/>
          <w:sz w:val="22"/>
          <w:szCs w:val="22"/>
          <w:lang w:eastAsia="en-AU"/>
        </w:rPr>
        <w:t>Attachment A</w:t>
      </w:r>
      <w:r w:rsidR="00A5662B" w:rsidRPr="00D360E1">
        <w:rPr>
          <w:sz w:val="22"/>
          <w:szCs w:val="22"/>
          <w:lang w:eastAsia="en-AU"/>
        </w:rPr>
        <w:t>.</w:t>
      </w:r>
    </w:p>
    <w:p w14:paraId="12320B99" w14:textId="77777777" w:rsidR="00A5662B" w:rsidRPr="00D360E1" w:rsidRDefault="00A5662B" w:rsidP="004461D8">
      <w:pPr>
        <w:autoSpaceDE w:val="0"/>
        <w:autoSpaceDN w:val="0"/>
        <w:adjustRightInd w:val="0"/>
        <w:spacing w:before="0" w:after="0"/>
        <w:rPr>
          <w:sz w:val="22"/>
          <w:szCs w:val="22"/>
          <w:lang w:eastAsia="en-AU"/>
        </w:rPr>
      </w:pPr>
    </w:p>
    <w:p w14:paraId="24F39ABD" w14:textId="3768D737" w:rsidR="00A5662B" w:rsidRPr="004461D8" w:rsidRDefault="00A5662B" w:rsidP="004461D8">
      <w:pPr>
        <w:autoSpaceDE w:val="0"/>
        <w:autoSpaceDN w:val="0"/>
        <w:adjustRightInd w:val="0"/>
        <w:spacing w:before="0" w:after="0"/>
        <w:rPr>
          <w:sz w:val="22"/>
          <w:szCs w:val="22"/>
          <w:lang w:eastAsia="en-AU"/>
        </w:rPr>
      </w:pPr>
      <w:r w:rsidRPr="00D360E1">
        <w:rPr>
          <w:sz w:val="22"/>
          <w:szCs w:val="22"/>
          <w:lang w:eastAsia="en-AU"/>
        </w:rPr>
        <w:t xml:space="preserve">The </w:t>
      </w:r>
      <w:r w:rsidR="004461D8" w:rsidRPr="00D360E1">
        <w:rPr>
          <w:sz w:val="22"/>
          <w:szCs w:val="22"/>
          <w:lang w:eastAsia="en-AU"/>
        </w:rPr>
        <w:t>Specification</w:t>
      </w:r>
      <w:r w:rsidRPr="00D360E1">
        <w:rPr>
          <w:sz w:val="22"/>
          <w:szCs w:val="22"/>
          <w:lang w:eastAsia="en-AU"/>
        </w:rPr>
        <w:t xml:space="preserve"> is compatible with the human rights and freedoms recognised or declared under section 3 of the </w:t>
      </w:r>
      <w:r w:rsidRPr="00D360E1">
        <w:rPr>
          <w:i/>
          <w:sz w:val="22"/>
          <w:szCs w:val="22"/>
          <w:lang w:eastAsia="en-AU"/>
        </w:rPr>
        <w:t>Human Rights (Parliamentary Scrutiny) Act</w:t>
      </w:r>
      <w:r w:rsidRPr="004461D8">
        <w:rPr>
          <w:i/>
          <w:sz w:val="22"/>
          <w:szCs w:val="22"/>
          <w:lang w:eastAsia="en-AU"/>
        </w:rPr>
        <w:t xml:space="preserve"> 2011</w:t>
      </w:r>
      <w:r w:rsidRPr="004461D8">
        <w:rPr>
          <w:sz w:val="22"/>
          <w:szCs w:val="22"/>
          <w:lang w:eastAsia="en-AU"/>
        </w:rPr>
        <w:t xml:space="preserve">. A full statement of compatibility is set out in </w:t>
      </w:r>
      <w:r w:rsidRPr="004461D8">
        <w:rPr>
          <w:b/>
          <w:sz w:val="22"/>
          <w:szCs w:val="22"/>
          <w:lang w:eastAsia="en-AU"/>
        </w:rPr>
        <w:t>Attachment B</w:t>
      </w:r>
      <w:r w:rsidRPr="004461D8">
        <w:rPr>
          <w:sz w:val="22"/>
          <w:szCs w:val="22"/>
          <w:lang w:eastAsia="en-AU"/>
        </w:rPr>
        <w:t>.</w:t>
      </w:r>
    </w:p>
    <w:p w14:paraId="113C032B" w14:textId="6CEAC05A" w:rsidR="00F37CE0" w:rsidRPr="004461D8" w:rsidRDefault="00F37CE0" w:rsidP="004461D8">
      <w:pPr>
        <w:autoSpaceDE w:val="0"/>
        <w:autoSpaceDN w:val="0"/>
        <w:adjustRightInd w:val="0"/>
        <w:spacing w:before="0" w:after="0"/>
        <w:rPr>
          <w:sz w:val="22"/>
          <w:szCs w:val="22"/>
          <w:lang w:eastAsia="en-AU"/>
        </w:rPr>
      </w:pPr>
    </w:p>
    <w:p w14:paraId="45149606" w14:textId="0474EF4C" w:rsidR="004461D8" w:rsidRDefault="00A5662B" w:rsidP="009D4837">
      <w:pPr>
        <w:autoSpaceDE w:val="0"/>
        <w:autoSpaceDN w:val="0"/>
        <w:adjustRightInd w:val="0"/>
        <w:spacing w:before="0" w:after="0"/>
        <w:rPr>
          <w:sz w:val="22"/>
          <w:szCs w:val="22"/>
          <w:lang w:eastAsia="en-AU"/>
        </w:rPr>
      </w:pPr>
      <w:r w:rsidRPr="004461D8">
        <w:rPr>
          <w:sz w:val="22"/>
          <w:szCs w:val="22"/>
          <w:lang w:eastAsia="en-AU"/>
        </w:rPr>
        <w:t xml:space="preserve">The </w:t>
      </w:r>
      <w:r w:rsidR="00D360E1">
        <w:rPr>
          <w:sz w:val="22"/>
          <w:szCs w:val="22"/>
          <w:lang w:eastAsia="en-AU"/>
        </w:rPr>
        <w:t xml:space="preserve">Specification </w:t>
      </w:r>
      <w:r w:rsidRPr="004461D8">
        <w:rPr>
          <w:sz w:val="22"/>
          <w:szCs w:val="22"/>
          <w:lang w:eastAsia="en-AU"/>
        </w:rPr>
        <w:t xml:space="preserve">commences </w:t>
      </w:r>
      <w:r w:rsidR="00F37CE0">
        <w:rPr>
          <w:sz w:val="22"/>
          <w:szCs w:val="22"/>
          <w:lang w:eastAsia="en-AU"/>
        </w:rPr>
        <w:t xml:space="preserve">on </w:t>
      </w:r>
      <w:r w:rsidR="00E2321F">
        <w:rPr>
          <w:sz w:val="22"/>
          <w:szCs w:val="22"/>
          <w:lang w:eastAsia="en-AU"/>
        </w:rPr>
        <w:t>1 October 2020</w:t>
      </w:r>
      <w:r w:rsidRPr="004461D8">
        <w:rPr>
          <w:sz w:val="22"/>
          <w:szCs w:val="22"/>
          <w:lang w:eastAsia="en-AU"/>
        </w:rPr>
        <w:t>.</w:t>
      </w:r>
      <w:r w:rsidR="004461D8">
        <w:rPr>
          <w:sz w:val="22"/>
          <w:szCs w:val="22"/>
          <w:lang w:eastAsia="en-AU"/>
        </w:rPr>
        <w:br w:type="page"/>
      </w:r>
    </w:p>
    <w:p w14:paraId="62B3E93E" w14:textId="77777777" w:rsidR="00A5662B" w:rsidRPr="00D360E1" w:rsidRDefault="00A5662B" w:rsidP="00D360E1">
      <w:pPr>
        <w:spacing w:before="0" w:after="0"/>
        <w:jc w:val="right"/>
        <w:rPr>
          <w:b/>
          <w:bCs/>
          <w:sz w:val="22"/>
          <w:szCs w:val="22"/>
          <w:lang w:eastAsia="en-AU"/>
        </w:rPr>
      </w:pPr>
      <w:r w:rsidRPr="00D360E1">
        <w:rPr>
          <w:b/>
          <w:bCs/>
          <w:sz w:val="22"/>
          <w:szCs w:val="22"/>
          <w:lang w:eastAsia="en-AU"/>
        </w:rPr>
        <w:lastRenderedPageBreak/>
        <w:t>Attachment A</w:t>
      </w:r>
    </w:p>
    <w:p w14:paraId="2B07D9EC" w14:textId="77777777" w:rsidR="00A5662B" w:rsidRPr="00D360E1" w:rsidRDefault="00A5662B" w:rsidP="00D360E1">
      <w:pPr>
        <w:spacing w:before="0" w:after="0"/>
        <w:rPr>
          <w:b/>
          <w:bCs/>
          <w:sz w:val="22"/>
          <w:szCs w:val="22"/>
          <w:lang w:eastAsia="en-AU"/>
        </w:rPr>
      </w:pPr>
      <w:bookmarkStart w:id="1" w:name="_Toc199566624"/>
    </w:p>
    <w:p w14:paraId="674009E0" w14:textId="246F13EF" w:rsidR="00A5662B" w:rsidRPr="00D360E1" w:rsidRDefault="00A5662B" w:rsidP="00D360E1">
      <w:pPr>
        <w:spacing w:before="0" w:after="0"/>
        <w:rPr>
          <w:b/>
          <w:bCs/>
          <w:sz w:val="22"/>
          <w:szCs w:val="22"/>
          <w:lang w:eastAsia="en-AU"/>
        </w:rPr>
      </w:pPr>
      <w:r w:rsidRPr="00D360E1">
        <w:rPr>
          <w:b/>
          <w:bCs/>
          <w:sz w:val="22"/>
          <w:szCs w:val="22"/>
          <w:lang w:eastAsia="en-AU"/>
        </w:rPr>
        <w:t>Details of</w:t>
      </w:r>
      <w:r w:rsidRPr="00D360E1">
        <w:rPr>
          <w:b/>
          <w:sz w:val="22"/>
          <w:szCs w:val="22"/>
          <w:lang w:eastAsia="en-AU"/>
        </w:rPr>
        <w:t> </w:t>
      </w:r>
      <w:bookmarkEnd w:id="1"/>
      <w:r w:rsidRPr="00D360E1">
        <w:rPr>
          <w:b/>
          <w:sz w:val="22"/>
          <w:szCs w:val="22"/>
          <w:lang w:eastAsia="en-AU"/>
        </w:rPr>
        <w:t>the</w:t>
      </w:r>
      <w:r w:rsidRPr="00D360E1">
        <w:rPr>
          <w:sz w:val="22"/>
          <w:szCs w:val="22"/>
          <w:lang w:eastAsia="en-AU"/>
        </w:rPr>
        <w:t xml:space="preserve"> </w:t>
      </w:r>
      <w:r w:rsidRPr="00D360E1">
        <w:rPr>
          <w:b/>
          <w:bCs/>
          <w:i/>
          <w:sz w:val="22"/>
          <w:szCs w:val="22"/>
          <w:lang w:eastAsia="en-AU"/>
        </w:rPr>
        <w:t>Therapeutic Goods (</w:t>
      </w:r>
      <w:r w:rsidR="006A5B44">
        <w:rPr>
          <w:b/>
          <w:bCs/>
          <w:i/>
          <w:sz w:val="22"/>
          <w:szCs w:val="22"/>
          <w:lang w:eastAsia="en-AU"/>
        </w:rPr>
        <w:t>Medical Devices—</w:t>
      </w:r>
      <w:r w:rsidR="00D360E1">
        <w:rPr>
          <w:b/>
          <w:bCs/>
          <w:i/>
          <w:sz w:val="22"/>
          <w:szCs w:val="22"/>
          <w:lang w:eastAsia="en-AU"/>
        </w:rPr>
        <w:t>Excluded Purposes) Specification 2020</w:t>
      </w:r>
    </w:p>
    <w:p w14:paraId="2D6C2477" w14:textId="2E441B24" w:rsidR="00A5662B" w:rsidRPr="00D360E1" w:rsidRDefault="00A5662B" w:rsidP="00D360E1">
      <w:pPr>
        <w:spacing w:before="0" w:after="0"/>
        <w:rPr>
          <w:sz w:val="22"/>
          <w:szCs w:val="22"/>
          <w:lang w:eastAsia="en-AU"/>
        </w:rPr>
      </w:pPr>
    </w:p>
    <w:p w14:paraId="28BFAD0B" w14:textId="77777777" w:rsidR="00A5662B" w:rsidRPr="00D360E1" w:rsidRDefault="00A5662B" w:rsidP="00D360E1">
      <w:pPr>
        <w:spacing w:before="0" w:after="0"/>
        <w:rPr>
          <w:b/>
          <w:bCs/>
          <w:sz w:val="22"/>
          <w:szCs w:val="22"/>
          <w:lang w:eastAsia="en-AU"/>
        </w:rPr>
      </w:pPr>
      <w:r w:rsidRPr="00D360E1">
        <w:rPr>
          <w:b/>
          <w:bCs/>
          <w:sz w:val="22"/>
          <w:szCs w:val="22"/>
          <w:lang w:eastAsia="en-AU"/>
        </w:rPr>
        <w:t>Section 1 – Name</w:t>
      </w:r>
    </w:p>
    <w:p w14:paraId="5C5E413B" w14:textId="77777777" w:rsidR="00A5662B" w:rsidRPr="00D360E1" w:rsidRDefault="00A5662B" w:rsidP="00D360E1">
      <w:pPr>
        <w:spacing w:before="0" w:after="0"/>
        <w:rPr>
          <w:sz w:val="22"/>
          <w:szCs w:val="22"/>
          <w:lang w:eastAsia="en-AU"/>
        </w:rPr>
      </w:pPr>
    </w:p>
    <w:p w14:paraId="26F96427" w14:textId="2ECDF02B" w:rsidR="00A5662B" w:rsidRPr="00D360E1" w:rsidRDefault="00A5662B" w:rsidP="00D360E1">
      <w:pPr>
        <w:spacing w:before="0" w:after="0"/>
        <w:rPr>
          <w:sz w:val="22"/>
          <w:szCs w:val="22"/>
          <w:lang w:eastAsia="en-AU"/>
        </w:rPr>
      </w:pPr>
      <w:r w:rsidRPr="00D360E1">
        <w:rPr>
          <w:sz w:val="22"/>
          <w:szCs w:val="22"/>
          <w:lang w:eastAsia="en-AU"/>
        </w:rPr>
        <w:t xml:space="preserve">This section provides that the name of the instrument is the </w:t>
      </w:r>
      <w:r w:rsidRPr="00D360E1">
        <w:rPr>
          <w:i/>
          <w:sz w:val="22"/>
          <w:szCs w:val="22"/>
          <w:lang w:eastAsia="en-AU"/>
        </w:rPr>
        <w:t>Therapeutic Goods (</w:t>
      </w:r>
      <w:r w:rsidR="006A5B44">
        <w:rPr>
          <w:i/>
          <w:sz w:val="22"/>
          <w:szCs w:val="22"/>
          <w:lang w:eastAsia="en-AU"/>
        </w:rPr>
        <w:t>Medical Devices—</w:t>
      </w:r>
      <w:r w:rsidR="00D360E1">
        <w:rPr>
          <w:i/>
          <w:sz w:val="22"/>
          <w:szCs w:val="22"/>
          <w:lang w:eastAsia="en-AU"/>
        </w:rPr>
        <w:t>Excluded Purposes</w:t>
      </w:r>
      <w:r w:rsidRPr="00D360E1">
        <w:rPr>
          <w:i/>
          <w:sz w:val="22"/>
          <w:szCs w:val="22"/>
          <w:lang w:eastAsia="en-AU"/>
        </w:rPr>
        <w:t xml:space="preserve">) </w:t>
      </w:r>
      <w:r w:rsidR="00D360E1">
        <w:rPr>
          <w:i/>
          <w:sz w:val="22"/>
          <w:szCs w:val="22"/>
          <w:lang w:eastAsia="en-AU"/>
        </w:rPr>
        <w:t xml:space="preserve">Specification </w:t>
      </w:r>
      <w:r w:rsidRPr="00D360E1">
        <w:rPr>
          <w:i/>
          <w:sz w:val="22"/>
          <w:szCs w:val="22"/>
          <w:lang w:eastAsia="en-AU"/>
        </w:rPr>
        <w:t>2020</w:t>
      </w:r>
      <w:r w:rsidRPr="00D360E1">
        <w:rPr>
          <w:sz w:val="22"/>
          <w:szCs w:val="22"/>
          <w:lang w:eastAsia="en-AU"/>
        </w:rPr>
        <w:t>.</w:t>
      </w:r>
    </w:p>
    <w:p w14:paraId="4883FF57" w14:textId="77777777" w:rsidR="00A5662B" w:rsidRPr="00D360E1" w:rsidRDefault="00A5662B" w:rsidP="00D360E1">
      <w:pPr>
        <w:spacing w:before="0" w:after="0"/>
        <w:rPr>
          <w:sz w:val="22"/>
          <w:szCs w:val="22"/>
          <w:lang w:eastAsia="en-AU"/>
        </w:rPr>
      </w:pPr>
    </w:p>
    <w:p w14:paraId="0AE777E9" w14:textId="77777777" w:rsidR="00A5662B" w:rsidRPr="00D360E1" w:rsidRDefault="00A5662B" w:rsidP="00D360E1">
      <w:pPr>
        <w:spacing w:before="0" w:after="0"/>
        <w:rPr>
          <w:b/>
          <w:bCs/>
          <w:sz w:val="22"/>
          <w:szCs w:val="22"/>
          <w:lang w:eastAsia="en-AU"/>
        </w:rPr>
      </w:pPr>
      <w:r w:rsidRPr="00D360E1">
        <w:rPr>
          <w:b/>
          <w:bCs/>
          <w:sz w:val="22"/>
          <w:szCs w:val="22"/>
          <w:lang w:eastAsia="en-AU"/>
        </w:rPr>
        <w:t>Section 2 – Commencement</w:t>
      </w:r>
    </w:p>
    <w:p w14:paraId="6CEFEE2C" w14:textId="77777777" w:rsidR="00A5662B" w:rsidRPr="00D360E1" w:rsidRDefault="00A5662B" w:rsidP="00D360E1">
      <w:pPr>
        <w:spacing w:before="0" w:after="0"/>
        <w:rPr>
          <w:sz w:val="22"/>
          <w:szCs w:val="22"/>
          <w:lang w:eastAsia="en-AU"/>
        </w:rPr>
      </w:pPr>
    </w:p>
    <w:p w14:paraId="4B910798" w14:textId="66B261FF" w:rsidR="00A5662B" w:rsidRPr="00D360E1" w:rsidRDefault="00A5662B" w:rsidP="00D360E1">
      <w:pPr>
        <w:spacing w:before="0" w:after="0"/>
        <w:rPr>
          <w:sz w:val="22"/>
          <w:szCs w:val="22"/>
          <w:lang w:eastAsia="en-AU"/>
        </w:rPr>
      </w:pPr>
      <w:r w:rsidRPr="00D360E1">
        <w:rPr>
          <w:sz w:val="22"/>
          <w:szCs w:val="22"/>
          <w:lang w:eastAsia="en-AU"/>
        </w:rPr>
        <w:t xml:space="preserve">This section provides that the </w:t>
      </w:r>
      <w:r w:rsidR="00D360E1">
        <w:rPr>
          <w:sz w:val="22"/>
          <w:szCs w:val="22"/>
          <w:lang w:eastAsia="en-AU"/>
        </w:rPr>
        <w:t>instrument</w:t>
      </w:r>
      <w:r w:rsidRPr="00D360E1">
        <w:rPr>
          <w:sz w:val="22"/>
          <w:szCs w:val="22"/>
          <w:lang w:eastAsia="en-AU"/>
        </w:rPr>
        <w:t xml:space="preserve"> commences </w:t>
      </w:r>
      <w:r w:rsidR="00B65017">
        <w:rPr>
          <w:sz w:val="22"/>
          <w:szCs w:val="22"/>
          <w:lang w:eastAsia="en-AU"/>
        </w:rPr>
        <w:t>on 1 October 2020</w:t>
      </w:r>
      <w:r w:rsidRPr="00D360E1">
        <w:rPr>
          <w:sz w:val="22"/>
          <w:szCs w:val="22"/>
          <w:lang w:eastAsia="en-AU"/>
        </w:rPr>
        <w:t>.</w:t>
      </w:r>
    </w:p>
    <w:p w14:paraId="15DD2491" w14:textId="77777777" w:rsidR="00A5662B" w:rsidRPr="00D360E1" w:rsidRDefault="00A5662B" w:rsidP="00D360E1">
      <w:pPr>
        <w:spacing w:before="0" w:after="0"/>
        <w:rPr>
          <w:sz w:val="22"/>
          <w:szCs w:val="22"/>
          <w:lang w:eastAsia="en-AU"/>
        </w:rPr>
      </w:pPr>
    </w:p>
    <w:p w14:paraId="5FD09A0D" w14:textId="77777777" w:rsidR="00A5662B" w:rsidRPr="00D360E1" w:rsidRDefault="00A5662B" w:rsidP="00D360E1">
      <w:pPr>
        <w:spacing w:before="0" w:after="0"/>
        <w:rPr>
          <w:b/>
          <w:bCs/>
          <w:sz w:val="22"/>
          <w:szCs w:val="22"/>
          <w:lang w:eastAsia="en-AU"/>
        </w:rPr>
      </w:pPr>
      <w:r w:rsidRPr="00D360E1">
        <w:rPr>
          <w:b/>
          <w:bCs/>
          <w:sz w:val="22"/>
          <w:szCs w:val="22"/>
          <w:lang w:eastAsia="en-AU"/>
        </w:rPr>
        <w:t>Section 3 – Authority</w:t>
      </w:r>
    </w:p>
    <w:p w14:paraId="60B2DA95" w14:textId="77777777" w:rsidR="00A5662B" w:rsidRPr="00D360E1" w:rsidRDefault="00A5662B" w:rsidP="00D360E1">
      <w:pPr>
        <w:spacing w:before="0" w:after="0"/>
        <w:rPr>
          <w:sz w:val="22"/>
          <w:szCs w:val="22"/>
          <w:lang w:eastAsia="en-AU"/>
        </w:rPr>
      </w:pPr>
    </w:p>
    <w:p w14:paraId="48787B9E" w14:textId="1EE2543D" w:rsidR="00A5662B" w:rsidRDefault="00A5662B" w:rsidP="00D360E1">
      <w:pPr>
        <w:spacing w:before="0" w:after="0"/>
        <w:rPr>
          <w:sz w:val="22"/>
          <w:szCs w:val="22"/>
          <w:lang w:eastAsia="en-AU"/>
        </w:rPr>
      </w:pPr>
      <w:r w:rsidRPr="00D360E1">
        <w:rPr>
          <w:sz w:val="22"/>
          <w:szCs w:val="22"/>
          <w:lang w:eastAsia="en-AU"/>
        </w:rPr>
        <w:t xml:space="preserve">This section provides that the legislative authority for making the </w:t>
      </w:r>
      <w:r w:rsidR="00D360E1">
        <w:rPr>
          <w:sz w:val="22"/>
          <w:szCs w:val="22"/>
          <w:lang w:eastAsia="en-AU"/>
        </w:rPr>
        <w:t>instrument</w:t>
      </w:r>
      <w:r w:rsidRPr="00D360E1">
        <w:rPr>
          <w:sz w:val="22"/>
          <w:szCs w:val="22"/>
          <w:lang w:eastAsia="en-AU"/>
        </w:rPr>
        <w:t xml:space="preserve"> is section </w:t>
      </w:r>
      <w:r w:rsidR="00D360E1">
        <w:rPr>
          <w:sz w:val="22"/>
          <w:szCs w:val="22"/>
          <w:lang w:eastAsia="en-AU"/>
        </w:rPr>
        <w:t>41BEA</w:t>
      </w:r>
      <w:r w:rsidRPr="00D360E1">
        <w:rPr>
          <w:sz w:val="22"/>
          <w:szCs w:val="22"/>
          <w:lang w:eastAsia="en-AU"/>
        </w:rPr>
        <w:t xml:space="preserve"> of the </w:t>
      </w:r>
      <w:r w:rsidRPr="00D360E1">
        <w:rPr>
          <w:i/>
          <w:sz w:val="22"/>
          <w:szCs w:val="22"/>
          <w:lang w:eastAsia="en-AU"/>
        </w:rPr>
        <w:t>Therapeutic Goods Act 1989</w:t>
      </w:r>
      <w:r w:rsidRPr="00D360E1">
        <w:rPr>
          <w:sz w:val="22"/>
          <w:szCs w:val="22"/>
          <w:lang w:eastAsia="en-AU"/>
        </w:rPr>
        <w:t xml:space="preserve"> (“the Act”).</w:t>
      </w:r>
    </w:p>
    <w:p w14:paraId="6BC669CC" w14:textId="77777777" w:rsidR="004E4379" w:rsidRDefault="004E4379" w:rsidP="00D360E1">
      <w:pPr>
        <w:spacing w:before="0" w:after="0"/>
        <w:rPr>
          <w:sz w:val="22"/>
          <w:szCs w:val="22"/>
          <w:lang w:eastAsia="en-AU"/>
        </w:rPr>
      </w:pPr>
    </w:p>
    <w:p w14:paraId="50401F29" w14:textId="56C8BA0C" w:rsidR="004E4379" w:rsidRPr="00D360E1" w:rsidRDefault="004E4379" w:rsidP="00D360E1">
      <w:pPr>
        <w:spacing w:before="0" w:after="0"/>
        <w:rPr>
          <w:sz w:val="22"/>
          <w:szCs w:val="22"/>
          <w:lang w:eastAsia="en-AU"/>
        </w:rPr>
      </w:pPr>
      <w:r w:rsidRPr="004E4379">
        <w:rPr>
          <w:sz w:val="22"/>
          <w:szCs w:val="22"/>
          <w:lang w:eastAsia="en-AU"/>
        </w:rPr>
        <w:t xml:space="preserve">Subsection 33(3) of the </w:t>
      </w:r>
      <w:r w:rsidRPr="004E4379">
        <w:rPr>
          <w:i/>
          <w:sz w:val="22"/>
          <w:szCs w:val="22"/>
          <w:lang w:eastAsia="en-AU"/>
        </w:rPr>
        <w:t>Acts Interpretation Act 1901</w:t>
      </w:r>
      <w:r w:rsidRPr="004E4379">
        <w:rPr>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also made in accordance with that provision</w:t>
      </w:r>
      <w:r w:rsidR="004B3EB4">
        <w:rPr>
          <w:sz w:val="22"/>
          <w:szCs w:val="22"/>
          <w:lang w:eastAsia="en-AU"/>
        </w:rPr>
        <w:t>.</w:t>
      </w:r>
    </w:p>
    <w:p w14:paraId="512B2F0B" w14:textId="77777777" w:rsidR="00A5662B" w:rsidRPr="00D360E1" w:rsidRDefault="00A5662B" w:rsidP="00D360E1">
      <w:pPr>
        <w:spacing w:before="0" w:after="0"/>
        <w:rPr>
          <w:sz w:val="22"/>
          <w:szCs w:val="22"/>
          <w:lang w:eastAsia="en-AU"/>
        </w:rPr>
      </w:pPr>
    </w:p>
    <w:p w14:paraId="00B8A040" w14:textId="77777777" w:rsidR="00A5662B" w:rsidRPr="00D360E1" w:rsidRDefault="00A5662B" w:rsidP="00D360E1">
      <w:pPr>
        <w:spacing w:before="0" w:after="0"/>
        <w:rPr>
          <w:b/>
          <w:bCs/>
          <w:sz w:val="22"/>
          <w:szCs w:val="22"/>
          <w:lang w:eastAsia="en-AU"/>
        </w:rPr>
      </w:pPr>
      <w:r w:rsidRPr="00D360E1">
        <w:rPr>
          <w:b/>
          <w:bCs/>
          <w:sz w:val="22"/>
          <w:szCs w:val="22"/>
          <w:lang w:eastAsia="en-AU"/>
        </w:rPr>
        <w:t>Section 4 – Definitions</w:t>
      </w:r>
    </w:p>
    <w:p w14:paraId="45E87644" w14:textId="77777777" w:rsidR="00A5662B" w:rsidRPr="00D360E1" w:rsidRDefault="00A5662B" w:rsidP="00D360E1">
      <w:pPr>
        <w:spacing w:before="0" w:after="0"/>
        <w:rPr>
          <w:b/>
          <w:bCs/>
          <w:sz w:val="22"/>
          <w:szCs w:val="22"/>
          <w:lang w:eastAsia="en-AU"/>
        </w:rPr>
      </w:pPr>
    </w:p>
    <w:p w14:paraId="020DDF55" w14:textId="4F0B3E33" w:rsidR="00A5662B" w:rsidRDefault="00A5662B" w:rsidP="00D360E1">
      <w:pPr>
        <w:spacing w:before="0" w:after="0"/>
        <w:rPr>
          <w:sz w:val="22"/>
          <w:szCs w:val="22"/>
          <w:lang w:eastAsia="en-AU"/>
        </w:rPr>
      </w:pPr>
      <w:r w:rsidRPr="00D360E1">
        <w:rPr>
          <w:sz w:val="22"/>
          <w:szCs w:val="22"/>
          <w:lang w:eastAsia="en-AU"/>
        </w:rPr>
        <w:t xml:space="preserve">This section provides the definition of terms used in the </w:t>
      </w:r>
      <w:r w:rsidR="00E81FE7">
        <w:rPr>
          <w:sz w:val="22"/>
          <w:szCs w:val="22"/>
          <w:lang w:eastAsia="en-AU"/>
        </w:rPr>
        <w:t>instrument. Terms such as ‘IVD medical device for self-testing’ and ‘</w:t>
      </w:r>
      <w:r w:rsidR="00B65017">
        <w:rPr>
          <w:sz w:val="22"/>
          <w:szCs w:val="22"/>
          <w:lang w:eastAsia="en-AU"/>
        </w:rPr>
        <w:t>Class 2 IVD medical device</w:t>
      </w:r>
      <w:r w:rsidR="00E81FE7">
        <w:rPr>
          <w:sz w:val="22"/>
          <w:szCs w:val="22"/>
          <w:lang w:eastAsia="en-AU"/>
        </w:rPr>
        <w:t xml:space="preserve">’ have the same meaning as in the </w:t>
      </w:r>
      <w:r w:rsidR="00E81FE7" w:rsidRPr="00E81FE7">
        <w:rPr>
          <w:i/>
          <w:sz w:val="22"/>
          <w:szCs w:val="22"/>
          <w:lang w:eastAsia="en-AU"/>
        </w:rPr>
        <w:t>Therapeutic Goods (Medical Devices) Regulations 2002</w:t>
      </w:r>
      <w:r w:rsidR="00642CC2">
        <w:rPr>
          <w:sz w:val="22"/>
          <w:szCs w:val="22"/>
          <w:lang w:eastAsia="en-AU"/>
        </w:rPr>
        <w:t>.</w:t>
      </w:r>
    </w:p>
    <w:p w14:paraId="7D5E0E8E" w14:textId="3BBE5117" w:rsidR="004E4379" w:rsidRDefault="004E4379" w:rsidP="00D360E1">
      <w:pPr>
        <w:spacing w:before="0" w:after="0"/>
        <w:rPr>
          <w:sz w:val="22"/>
          <w:szCs w:val="22"/>
          <w:lang w:eastAsia="en-AU"/>
        </w:rPr>
      </w:pPr>
    </w:p>
    <w:p w14:paraId="0F39B9CC" w14:textId="7EFA2625" w:rsidR="004E4379" w:rsidRPr="00D360E1" w:rsidRDefault="004E4379" w:rsidP="00D360E1">
      <w:pPr>
        <w:spacing w:before="0" w:after="0"/>
        <w:rPr>
          <w:sz w:val="22"/>
          <w:szCs w:val="22"/>
          <w:lang w:eastAsia="en-AU"/>
        </w:rPr>
      </w:pPr>
      <w:r>
        <w:rPr>
          <w:sz w:val="22"/>
          <w:szCs w:val="22"/>
        </w:rPr>
        <w:lastRenderedPageBreak/>
        <w:t>This section also notes that some expressions used in the instrument, for example</w:t>
      </w:r>
      <w:r w:rsidR="001F1E01">
        <w:rPr>
          <w:sz w:val="22"/>
          <w:szCs w:val="22"/>
        </w:rPr>
        <w:t>,</w:t>
      </w:r>
      <w:r>
        <w:rPr>
          <w:sz w:val="22"/>
          <w:szCs w:val="22"/>
        </w:rPr>
        <w:t xml:space="preserve"> ‘medical device’ and ‘State’, are defined in the Act and therefore have the same meaning as in the Act.</w:t>
      </w:r>
    </w:p>
    <w:p w14:paraId="693D6989" w14:textId="77777777" w:rsidR="00A5662B" w:rsidRPr="00D360E1" w:rsidRDefault="00A5662B" w:rsidP="00D360E1">
      <w:pPr>
        <w:spacing w:before="0" w:after="0"/>
        <w:rPr>
          <w:sz w:val="22"/>
          <w:szCs w:val="22"/>
          <w:lang w:eastAsia="en-AU"/>
        </w:rPr>
      </w:pPr>
    </w:p>
    <w:p w14:paraId="7406ACAC" w14:textId="72328A14" w:rsidR="00A5662B" w:rsidRDefault="00A5662B" w:rsidP="00D360E1">
      <w:pPr>
        <w:spacing w:before="0" w:after="0"/>
        <w:rPr>
          <w:b/>
          <w:bCs/>
          <w:sz w:val="22"/>
          <w:szCs w:val="22"/>
          <w:lang w:eastAsia="en-AU"/>
        </w:rPr>
      </w:pPr>
      <w:r w:rsidRPr="00D360E1">
        <w:rPr>
          <w:b/>
          <w:bCs/>
          <w:sz w:val="22"/>
          <w:szCs w:val="22"/>
          <w:lang w:eastAsia="en-AU"/>
        </w:rPr>
        <w:t xml:space="preserve">Section 5 – </w:t>
      </w:r>
      <w:r w:rsidR="00E81FE7">
        <w:rPr>
          <w:b/>
          <w:bCs/>
          <w:sz w:val="22"/>
          <w:szCs w:val="22"/>
          <w:lang w:eastAsia="en-AU"/>
        </w:rPr>
        <w:t>Excluded purposes</w:t>
      </w:r>
      <w:r w:rsidR="00B65017">
        <w:rPr>
          <w:b/>
          <w:bCs/>
          <w:sz w:val="22"/>
          <w:szCs w:val="22"/>
          <w:lang w:eastAsia="en-AU"/>
        </w:rPr>
        <w:t>—Class 2 IVD medical devices</w:t>
      </w:r>
    </w:p>
    <w:p w14:paraId="17E81901" w14:textId="77777777" w:rsidR="001F1E01" w:rsidRPr="00D360E1" w:rsidRDefault="001F1E01" w:rsidP="00D360E1">
      <w:pPr>
        <w:spacing w:before="0" w:after="0"/>
        <w:rPr>
          <w:b/>
          <w:bCs/>
          <w:sz w:val="22"/>
          <w:szCs w:val="22"/>
          <w:lang w:eastAsia="en-AU"/>
        </w:rPr>
      </w:pPr>
    </w:p>
    <w:p w14:paraId="3810F1B9" w14:textId="6C0D92DF" w:rsidR="00B65017" w:rsidRDefault="00A5662B" w:rsidP="00D360E1">
      <w:pPr>
        <w:spacing w:before="0" w:after="0"/>
        <w:rPr>
          <w:sz w:val="22"/>
          <w:szCs w:val="22"/>
          <w:lang w:eastAsia="en-AU"/>
        </w:rPr>
      </w:pPr>
      <w:r w:rsidRPr="00D360E1">
        <w:rPr>
          <w:sz w:val="22"/>
          <w:szCs w:val="22"/>
          <w:lang w:eastAsia="en-AU"/>
        </w:rPr>
        <w:t xml:space="preserve">This section </w:t>
      </w:r>
      <w:r w:rsidR="006A5B44">
        <w:rPr>
          <w:sz w:val="22"/>
          <w:szCs w:val="22"/>
          <w:lang w:eastAsia="en-AU"/>
        </w:rPr>
        <w:t xml:space="preserve">provides that the purposes specified in </w:t>
      </w:r>
      <w:r w:rsidR="00B65017">
        <w:rPr>
          <w:sz w:val="22"/>
          <w:szCs w:val="22"/>
          <w:lang w:eastAsia="en-AU"/>
        </w:rPr>
        <w:t>Part 1</w:t>
      </w:r>
      <w:r w:rsidR="006A5B44">
        <w:rPr>
          <w:sz w:val="22"/>
          <w:szCs w:val="22"/>
          <w:lang w:eastAsia="en-AU"/>
        </w:rPr>
        <w:t xml:space="preserve"> of Schedule 1 are specified for the purposes of paragraph 41FD(ia) and subsection 41FF(1A) of</w:t>
      </w:r>
      <w:r w:rsidR="00642CC2">
        <w:rPr>
          <w:sz w:val="22"/>
          <w:szCs w:val="22"/>
          <w:lang w:eastAsia="en-AU"/>
        </w:rPr>
        <w:t xml:space="preserve"> the Act (“excluded purposes”)</w:t>
      </w:r>
      <w:r w:rsidR="00EE28CE" w:rsidRPr="00EE28CE">
        <w:rPr>
          <w:sz w:val="22"/>
          <w:szCs w:val="22"/>
          <w:lang w:eastAsia="en-AU"/>
        </w:rPr>
        <w:t xml:space="preserve"> </w:t>
      </w:r>
      <w:r w:rsidR="00EE28CE">
        <w:rPr>
          <w:sz w:val="22"/>
          <w:szCs w:val="22"/>
          <w:lang w:eastAsia="en-AU"/>
        </w:rPr>
        <w:t>in relation to certain Class 2 IVD medical devices.</w:t>
      </w:r>
    </w:p>
    <w:p w14:paraId="1099888A" w14:textId="77777777" w:rsidR="00B65017" w:rsidRDefault="00B65017" w:rsidP="00D360E1">
      <w:pPr>
        <w:spacing w:before="0" w:after="0"/>
        <w:rPr>
          <w:sz w:val="22"/>
          <w:szCs w:val="22"/>
          <w:lang w:eastAsia="en-AU"/>
        </w:rPr>
      </w:pPr>
    </w:p>
    <w:p w14:paraId="68E10351" w14:textId="3615C070" w:rsidR="00B65017" w:rsidRPr="00B65017" w:rsidRDefault="00B65017" w:rsidP="00D360E1">
      <w:pPr>
        <w:spacing w:before="0" w:after="0"/>
        <w:rPr>
          <w:rFonts w:eastAsiaTheme="minorHAnsi"/>
          <w:color w:val="000000"/>
          <w:sz w:val="22"/>
          <w:szCs w:val="22"/>
          <w:lang w:val="en-AU"/>
        </w:rPr>
      </w:pPr>
      <w:r>
        <w:rPr>
          <w:sz w:val="22"/>
          <w:szCs w:val="22"/>
          <w:lang w:eastAsia="en-AU"/>
        </w:rPr>
        <w:t xml:space="preserve">This section only applies to a Class 2 IVD medical device that is an IVD medical device for self-testing. </w:t>
      </w:r>
      <w:r>
        <w:rPr>
          <w:rFonts w:eastAsiaTheme="minorHAnsi"/>
          <w:color w:val="000000"/>
          <w:sz w:val="22"/>
          <w:szCs w:val="22"/>
          <w:lang w:val="en-AU"/>
        </w:rPr>
        <w:t xml:space="preserve">It also only applies where the medical device is not intended exclusively for export or is not intended to be used exclusively for testing as part of a government health screening program. </w:t>
      </w:r>
      <w:r>
        <w:rPr>
          <w:sz w:val="22"/>
          <w:szCs w:val="22"/>
          <w:lang w:eastAsia="en-AU"/>
        </w:rPr>
        <w:t>Therefore, t</w:t>
      </w:r>
      <w:r w:rsidRPr="00E649A6">
        <w:rPr>
          <w:rFonts w:eastAsiaTheme="minorHAnsi"/>
          <w:color w:val="000000"/>
          <w:sz w:val="22"/>
          <w:szCs w:val="22"/>
          <w:lang w:val="en-AU"/>
        </w:rPr>
        <w:t xml:space="preserve">he prohibition on </w:t>
      </w:r>
      <w:r>
        <w:rPr>
          <w:rFonts w:eastAsiaTheme="minorHAnsi"/>
          <w:color w:val="000000"/>
          <w:sz w:val="22"/>
          <w:szCs w:val="22"/>
          <w:lang w:val="en-AU"/>
        </w:rPr>
        <w:t>medical devices for the p</w:t>
      </w:r>
      <w:r w:rsidRPr="00E649A6">
        <w:rPr>
          <w:rFonts w:eastAsiaTheme="minorHAnsi"/>
          <w:color w:val="000000"/>
          <w:sz w:val="22"/>
          <w:szCs w:val="22"/>
          <w:lang w:val="en-AU"/>
        </w:rPr>
        <w:t xml:space="preserve">urposes specified in the </w:t>
      </w:r>
      <w:r w:rsidR="00494719">
        <w:rPr>
          <w:rFonts w:eastAsiaTheme="minorHAnsi"/>
          <w:color w:val="000000"/>
          <w:sz w:val="22"/>
          <w:szCs w:val="22"/>
          <w:lang w:val="en-AU"/>
        </w:rPr>
        <w:t>instrument</w:t>
      </w:r>
      <w:r w:rsidRPr="00E649A6">
        <w:rPr>
          <w:rFonts w:eastAsiaTheme="minorHAnsi"/>
          <w:color w:val="000000"/>
          <w:sz w:val="22"/>
          <w:szCs w:val="22"/>
          <w:lang w:val="en-AU"/>
        </w:rPr>
        <w:t xml:space="preserve"> does not apply to an IVD </w:t>
      </w:r>
      <w:r>
        <w:rPr>
          <w:rFonts w:eastAsiaTheme="minorHAnsi"/>
          <w:color w:val="000000"/>
          <w:sz w:val="22"/>
          <w:szCs w:val="22"/>
          <w:lang w:val="en-AU"/>
        </w:rPr>
        <w:t xml:space="preserve">medical device </w:t>
      </w:r>
      <w:r w:rsidRPr="00E649A6">
        <w:rPr>
          <w:rFonts w:eastAsiaTheme="minorHAnsi"/>
          <w:color w:val="000000"/>
          <w:sz w:val="22"/>
          <w:szCs w:val="22"/>
          <w:lang w:val="en-AU"/>
        </w:rPr>
        <w:t xml:space="preserve">for self-testing if it is </w:t>
      </w:r>
      <w:r>
        <w:rPr>
          <w:rFonts w:eastAsiaTheme="minorHAnsi"/>
          <w:color w:val="000000"/>
          <w:sz w:val="22"/>
          <w:szCs w:val="22"/>
          <w:lang w:val="en-AU"/>
        </w:rPr>
        <w:t>for</w:t>
      </w:r>
      <w:r w:rsidRPr="00E649A6">
        <w:rPr>
          <w:rFonts w:eastAsiaTheme="minorHAnsi"/>
          <w:color w:val="000000"/>
          <w:sz w:val="22"/>
          <w:szCs w:val="22"/>
          <w:lang w:val="en-AU"/>
        </w:rPr>
        <w:t xml:space="preserve"> use</w:t>
      </w:r>
      <w:r>
        <w:rPr>
          <w:rFonts w:eastAsiaTheme="minorHAnsi"/>
          <w:color w:val="000000"/>
          <w:sz w:val="22"/>
          <w:szCs w:val="22"/>
          <w:lang w:val="en-AU"/>
        </w:rPr>
        <w:t xml:space="preserve"> exclusively for export or for testing as part of a government health screening program.</w:t>
      </w:r>
    </w:p>
    <w:p w14:paraId="3FEEBFF5" w14:textId="2914AFE7" w:rsidR="00A5662B" w:rsidRDefault="00A5662B" w:rsidP="00D360E1">
      <w:pPr>
        <w:spacing w:before="0" w:after="0"/>
        <w:rPr>
          <w:sz w:val="22"/>
          <w:szCs w:val="22"/>
          <w:lang w:eastAsia="en-AU"/>
        </w:rPr>
      </w:pPr>
    </w:p>
    <w:p w14:paraId="70EDE9E6" w14:textId="316C4783" w:rsidR="00B65017" w:rsidRDefault="00B65017" w:rsidP="00B65017">
      <w:pPr>
        <w:spacing w:before="0" w:after="0"/>
        <w:rPr>
          <w:b/>
          <w:bCs/>
          <w:sz w:val="22"/>
          <w:szCs w:val="22"/>
          <w:lang w:eastAsia="en-AU"/>
        </w:rPr>
      </w:pPr>
      <w:r w:rsidRPr="00D360E1">
        <w:rPr>
          <w:b/>
          <w:bCs/>
          <w:sz w:val="22"/>
          <w:szCs w:val="22"/>
          <w:lang w:eastAsia="en-AU"/>
        </w:rPr>
        <w:t xml:space="preserve">Section </w:t>
      </w:r>
      <w:r>
        <w:rPr>
          <w:b/>
          <w:bCs/>
          <w:sz w:val="22"/>
          <w:szCs w:val="22"/>
          <w:lang w:eastAsia="en-AU"/>
        </w:rPr>
        <w:t xml:space="preserve">6 </w:t>
      </w:r>
      <w:r w:rsidRPr="00D360E1">
        <w:rPr>
          <w:b/>
          <w:bCs/>
          <w:sz w:val="22"/>
          <w:szCs w:val="22"/>
          <w:lang w:eastAsia="en-AU"/>
        </w:rPr>
        <w:t xml:space="preserve">– </w:t>
      </w:r>
      <w:r>
        <w:rPr>
          <w:b/>
          <w:bCs/>
          <w:sz w:val="22"/>
          <w:szCs w:val="22"/>
          <w:lang w:eastAsia="en-AU"/>
        </w:rPr>
        <w:t>Excluded purposes—Class 3 and 4 IVD medical devices</w:t>
      </w:r>
    </w:p>
    <w:p w14:paraId="22004A54" w14:textId="77777777" w:rsidR="001F1E01" w:rsidRPr="00D360E1" w:rsidRDefault="001F1E01" w:rsidP="00B65017">
      <w:pPr>
        <w:spacing w:before="0" w:after="0"/>
        <w:rPr>
          <w:b/>
          <w:bCs/>
          <w:sz w:val="22"/>
          <w:szCs w:val="22"/>
          <w:lang w:eastAsia="en-AU"/>
        </w:rPr>
      </w:pPr>
    </w:p>
    <w:p w14:paraId="6E9F1A42" w14:textId="72EE0BAD" w:rsidR="00B65017" w:rsidRDefault="00B65017" w:rsidP="00B65017">
      <w:pPr>
        <w:spacing w:before="0" w:after="0"/>
        <w:rPr>
          <w:sz w:val="22"/>
          <w:szCs w:val="22"/>
          <w:lang w:eastAsia="en-AU"/>
        </w:rPr>
      </w:pPr>
      <w:r w:rsidRPr="00D360E1">
        <w:rPr>
          <w:sz w:val="22"/>
          <w:szCs w:val="22"/>
          <w:lang w:eastAsia="en-AU"/>
        </w:rPr>
        <w:t xml:space="preserve">This section </w:t>
      </w:r>
      <w:r>
        <w:rPr>
          <w:sz w:val="22"/>
          <w:szCs w:val="22"/>
          <w:lang w:eastAsia="en-AU"/>
        </w:rPr>
        <w:t>provides that the purposes specified in Part 2 of Schedule 1 are specified for the purposes of paragraph 41FD(ia) and subsection 41FF(1A) of</w:t>
      </w:r>
      <w:r w:rsidR="00642CC2">
        <w:rPr>
          <w:sz w:val="22"/>
          <w:szCs w:val="22"/>
          <w:lang w:eastAsia="en-AU"/>
        </w:rPr>
        <w:t xml:space="preserve"> the Act (“excluded purposes”)</w:t>
      </w:r>
      <w:r w:rsidR="00A557E7" w:rsidRPr="00A557E7">
        <w:rPr>
          <w:sz w:val="22"/>
          <w:szCs w:val="22"/>
          <w:lang w:eastAsia="en-AU"/>
        </w:rPr>
        <w:t xml:space="preserve"> </w:t>
      </w:r>
      <w:r w:rsidR="00A557E7">
        <w:rPr>
          <w:sz w:val="22"/>
          <w:szCs w:val="22"/>
          <w:lang w:eastAsia="en-AU"/>
        </w:rPr>
        <w:t>in relation to certain Class 3 and 4 IVD medical devices.</w:t>
      </w:r>
    </w:p>
    <w:p w14:paraId="68BF38BB" w14:textId="77777777" w:rsidR="00B65017" w:rsidRDefault="00B65017" w:rsidP="00B65017">
      <w:pPr>
        <w:spacing w:before="0" w:after="0"/>
        <w:rPr>
          <w:sz w:val="22"/>
          <w:szCs w:val="22"/>
          <w:lang w:eastAsia="en-AU"/>
        </w:rPr>
      </w:pPr>
    </w:p>
    <w:p w14:paraId="221A7E7D" w14:textId="03576B90" w:rsidR="00E2321F" w:rsidRDefault="00B65017" w:rsidP="00E2321F">
      <w:pPr>
        <w:spacing w:before="0" w:after="0"/>
        <w:rPr>
          <w:sz w:val="22"/>
          <w:szCs w:val="22"/>
          <w:lang w:eastAsia="en-AU"/>
        </w:rPr>
      </w:pPr>
      <w:r>
        <w:rPr>
          <w:sz w:val="22"/>
          <w:szCs w:val="22"/>
          <w:lang w:eastAsia="en-AU"/>
        </w:rPr>
        <w:t xml:space="preserve">This section only applies to a Class 3 or 4 IVD medical device that is an IVD medical device for self-testing and is not </w:t>
      </w:r>
      <w:r w:rsidR="00495CCC">
        <w:rPr>
          <w:sz w:val="22"/>
          <w:szCs w:val="22"/>
          <w:lang w:eastAsia="en-AU"/>
        </w:rPr>
        <w:t xml:space="preserve">intended to be used </w:t>
      </w:r>
      <w:r>
        <w:rPr>
          <w:sz w:val="22"/>
          <w:szCs w:val="22"/>
          <w:lang w:eastAsia="en-AU"/>
        </w:rPr>
        <w:t>exclusively for testing to monitor a disease or condition that has been diagnosed by a suitably qualified health professional.</w:t>
      </w:r>
      <w:r w:rsidR="00E2321F">
        <w:rPr>
          <w:sz w:val="22"/>
          <w:szCs w:val="22"/>
          <w:lang w:eastAsia="en-AU"/>
        </w:rPr>
        <w:t xml:space="preserve"> Accordingly, self-tests for monitoring purposes only (i.e. not for diagnosis) will continue to be allowed.</w:t>
      </w:r>
    </w:p>
    <w:p w14:paraId="59B86734" w14:textId="77777777" w:rsidR="00E2321F" w:rsidRDefault="00E2321F" w:rsidP="00E2321F">
      <w:pPr>
        <w:spacing w:before="0" w:after="0"/>
        <w:rPr>
          <w:sz w:val="22"/>
          <w:szCs w:val="22"/>
          <w:lang w:eastAsia="en-AU"/>
        </w:rPr>
      </w:pPr>
    </w:p>
    <w:p w14:paraId="49614ECF" w14:textId="1464786C" w:rsidR="00B65017" w:rsidRPr="00E2321F" w:rsidRDefault="00E2321F" w:rsidP="00B65017">
      <w:pPr>
        <w:spacing w:before="0" w:after="0"/>
        <w:rPr>
          <w:sz w:val="22"/>
          <w:szCs w:val="22"/>
          <w:lang w:eastAsia="en-AU"/>
        </w:rPr>
      </w:pPr>
      <w:r w:rsidRPr="00E2321F">
        <w:rPr>
          <w:sz w:val="22"/>
          <w:szCs w:val="22"/>
          <w:lang w:eastAsia="en-AU"/>
        </w:rPr>
        <w:t xml:space="preserve">It also only applies where the medical device is not intended exclusively for export or is not intended to be used exclusively for testing as part of a government health screening program. </w:t>
      </w:r>
      <w:r w:rsidR="00B65017">
        <w:rPr>
          <w:sz w:val="22"/>
          <w:szCs w:val="22"/>
          <w:lang w:eastAsia="en-AU"/>
        </w:rPr>
        <w:t>Therefore, t</w:t>
      </w:r>
      <w:r w:rsidR="00B65017" w:rsidRPr="00E2321F">
        <w:rPr>
          <w:sz w:val="22"/>
          <w:szCs w:val="22"/>
          <w:lang w:eastAsia="en-AU"/>
        </w:rPr>
        <w:t xml:space="preserve">he prohibition on medical devices for the </w:t>
      </w:r>
      <w:r w:rsidR="00B65017" w:rsidRPr="00E2321F">
        <w:rPr>
          <w:sz w:val="22"/>
          <w:szCs w:val="22"/>
          <w:lang w:eastAsia="en-AU"/>
        </w:rPr>
        <w:lastRenderedPageBreak/>
        <w:t xml:space="preserve">purposes specified in the </w:t>
      </w:r>
      <w:r w:rsidR="00495CCC">
        <w:rPr>
          <w:sz w:val="22"/>
          <w:szCs w:val="22"/>
          <w:lang w:eastAsia="en-AU"/>
        </w:rPr>
        <w:t>instrument</w:t>
      </w:r>
      <w:r w:rsidR="00B65017" w:rsidRPr="00E2321F">
        <w:rPr>
          <w:sz w:val="22"/>
          <w:szCs w:val="22"/>
          <w:lang w:eastAsia="en-AU"/>
        </w:rPr>
        <w:t xml:space="preserve"> does not apply to an IVD medical device for self-testing if it is for use exclusively for export or for testing as part of a gover</w:t>
      </w:r>
      <w:r w:rsidR="00642CC2">
        <w:rPr>
          <w:sz w:val="22"/>
          <w:szCs w:val="22"/>
          <w:lang w:eastAsia="en-AU"/>
        </w:rPr>
        <w:t>nment health screening program.</w:t>
      </w:r>
    </w:p>
    <w:p w14:paraId="7AF23B23" w14:textId="04D47163" w:rsidR="00B65017" w:rsidRDefault="00B65017" w:rsidP="00B65017">
      <w:pPr>
        <w:spacing w:before="0" w:after="0"/>
        <w:rPr>
          <w:sz w:val="22"/>
          <w:szCs w:val="22"/>
          <w:lang w:eastAsia="en-AU"/>
        </w:rPr>
      </w:pPr>
    </w:p>
    <w:p w14:paraId="4546EFA6" w14:textId="3AA3B165" w:rsidR="00A5662B" w:rsidRPr="00D360E1" w:rsidRDefault="00A5662B" w:rsidP="00D360E1">
      <w:pPr>
        <w:spacing w:before="0" w:after="0"/>
        <w:rPr>
          <w:b/>
          <w:bCs/>
          <w:sz w:val="22"/>
          <w:szCs w:val="22"/>
          <w:lang w:eastAsia="en-AU"/>
        </w:rPr>
      </w:pPr>
      <w:r w:rsidRPr="00D360E1">
        <w:rPr>
          <w:b/>
          <w:bCs/>
          <w:sz w:val="22"/>
          <w:szCs w:val="22"/>
          <w:lang w:eastAsia="en-AU"/>
        </w:rPr>
        <w:t xml:space="preserve">Section </w:t>
      </w:r>
      <w:r w:rsidR="00B65017">
        <w:rPr>
          <w:b/>
          <w:bCs/>
          <w:sz w:val="22"/>
          <w:szCs w:val="22"/>
          <w:lang w:eastAsia="en-AU"/>
        </w:rPr>
        <w:t>7</w:t>
      </w:r>
      <w:r w:rsidRPr="00D360E1">
        <w:rPr>
          <w:b/>
          <w:bCs/>
          <w:sz w:val="22"/>
          <w:szCs w:val="22"/>
          <w:lang w:eastAsia="en-AU"/>
        </w:rPr>
        <w:t xml:space="preserve"> – </w:t>
      </w:r>
      <w:r w:rsidR="00B65017">
        <w:rPr>
          <w:b/>
          <w:bCs/>
          <w:sz w:val="22"/>
          <w:szCs w:val="22"/>
          <w:lang w:eastAsia="en-AU"/>
        </w:rPr>
        <w:t xml:space="preserve">Repeals </w:t>
      </w:r>
    </w:p>
    <w:p w14:paraId="4D647E62" w14:textId="77777777" w:rsidR="00A5662B" w:rsidRPr="00D360E1" w:rsidRDefault="00A5662B" w:rsidP="00D360E1">
      <w:pPr>
        <w:spacing w:before="0" w:after="0"/>
        <w:rPr>
          <w:b/>
          <w:bCs/>
          <w:sz w:val="22"/>
          <w:szCs w:val="22"/>
          <w:lang w:eastAsia="en-AU"/>
        </w:rPr>
      </w:pPr>
    </w:p>
    <w:p w14:paraId="23514F98" w14:textId="5B03AD35" w:rsidR="00A5662B" w:rsidRPr="00D360E1" w:rsidRDefault="00A5662B" w:rsidP="00D360E1">
      <w:pPr>
        <w:spacing w:before="0" w:after="0"/>
        <w:rPr>
          <w:sz w:val="22"/>
          <w:szCs w:val="22"/>
          <w:lang w:eastAsia="en-AU"/>
        </w:rPr>
      </w:pPr>
      <w:r w:rsidRPr="00D360E1">
        <w:rPr>
          <w:sz w:val="22"/>
          <w:szCs w:val="22"/>
          <w:lang w:eastAsia="en-AU"/>
        </w:rPr>
        <w:t xml:space="preserve">This section provides that </w:t>
      </w:r>
      <w:r w:rsidR="00E81FE7">
        <w:rPr>
          <w:sz w:val="22"/>
          <w:szCs w:val="22"/>
          <w:lang w:eastAsia="en-AU"/>
        </w:rPr>
        <w:t xml:space="preserve">the instrument specified in Schedule </w:t>
      </w:r>
      <w:r w:rsidR="006A5B44">
        <w:rPr>
          <w:sz w:val="22"/>
          <w:szCs w:val="22"/>
          <w:lang w:eastAsia="en-AU"/>
        </w:rPr>
        <w:t>2</w:t>
      </w:r>
      <w:r w:rsidR="00E81FE7">
        <w:rPr>
          <w:sz w:val="22"/>
          <w:szCs w:val="22"/>
          <w:lang w:eastAsia="en-AU"/>
        </w:rPr>
        <w:t xml:space="preserve"> is repealed as set out in the app</w:t>
      </w:r>
      <w:r w:rsidR="00642CC2">
        <w:rPr>
          <w:sz w:val="22"/>
          <w:szCs w:val="22"/>
          <w:lang w:eastAsia="en-AU"/>
        </w:rPr>
        <w:t>licable items in that Schedule.</w:t>
      </w:r>
    </w:p>
    <w:p w14:paraId="6259914A" w14:textId="491EB039" w:rsidR="00F7244D" w:rsidRDefault="00F7244D" w:rsidP="00D360E1">
      <w:pPr>
        <w:spacing w:before="0" w:after="0"/>
        <w:rPr>
          <w:sz w:val="22"/>
          <w:szCs w:val="22"/>
          <w:lang w:eastAsia="en-AU"/>
        </w:rPr>
      </w:pPr>
    </w:p>
    <w:p w14:paraId="1B701D39" w14:textId="7A2AD6E9" w:rsidR="006A5B44" w:rsidRDefault="00F7244D" w:rsidP="006A5B44">
      <w:pPr>
        <w:spacing w:before="0" w:after="0"/>
        <w:rPr>
          <w:b/>
          <w:bCs/>
          <w:sz w:val="22"/>
          <w:szCs w:val="22"/>
          <w:lang w:eastAsia="en-AU"/>
        </w:rPr>
      </w:pPr>
      <w:r>
        <w:rPr>
          <w:b/>
          <w:bCs/>
          <w:sz w:val="22"/>
          <w:szCs w:val="22"/>
          <w:lang w:eastAsia="en-AU"/>
        </w:rPr>
        <w:t xml:space="preserve">SCHEDULE 1 </w:t>
      </w:r>
      <w:r w:rsidR="006A5B44" w:rsidRPr="00D360E1">
        <w:rPr>
          <w:b/>
          <w:bCs/>
          <w:sz w:val="22"/>
          <w:szCs w:val="22"/>
          <w:lang w:eastAsia="en-AU"/>
        </w:rPr>
        <w:t xml:space="preserve">– </w:t>
      </w:r>
      <w:r>
        <w:rPr>
          <w:b/>
          <w:bCs/>
          <w:sz w:val="22"/>
          <w:szCs w:val="22"/>
          <w:lang w:eastAsia="en-AU"/>
        </w:rPr>
        <w:t>EXCLUDED PURPOSES</w:t>
      </w:r>
    </w:p>
    <w:p w14:paraId="431834CD" w14:textId="79E03686" w:rsidR="00E2321F" w:rsidRDefault="00E2321F" w:rsidP="006A5B44">
      <w:pPr>
        <w:spacing w:before="0" w:after="0"/>
        <w:rPr>
          <w:b/>
          <w:bCs/>
          <w:sz w:val="22"/>
          <w:szCs w:val="22"/>
          <w:lang w:eastAsia="en-AU"/>
        </w:rPr>
      </w:pPr>
    </w:p>
    <w:p w14:paraId="2998A59F" w14:textId="27EA1C5C" w:rsidR="00E2321F" w:rsidRDefault="00E2321F" w:rsidP="006A5B44">
      <w:pPr>
        <w:spacing w:before="0" w:after="0"/>
        <w:rPr>
          <w:b/>
          <w:bCs/>
          <w:sz w:val="22"/>
          <w:szCs w:val="22"/>
          <w:lang w:eastAsia="en-AU"/>
        </w:rPr>
      </w:pPr>
      <w:r>
        <w:rPr>
          <w:b/>
          <w:bCs/>
          <w:sz w:val="22"/>
          <w:szCs w:val="22"/>
          <w:lang w:eastAsia="en-AU"/>
        </w:rPr>
        <w:t>Part 1—Class 2 IVD medical devices</w:t>
      </w:r>
    </w:p>
    <w:p w14:paraId="1347DB0A" w14:textId="035AB9BE" w:rsidR="00BC4168" w:rsidRPr="00D360E1" w:rsidRDefault="00BC4168" w:rsidP="006A5B44">
      <w:pPr>
        <w:spacing w:before="0" w:after="0"/>
        <w:rPr>
          <w:b/>
          <w:bCs/>
          <w:sz w:val="22"/>
          <w:szCs w:val="22"/>
          <w:lang w:eastAsia="en-AU"/>
        </w:rPr>
      </w:pPr>
    </w:p>
    <w:p w14:paraId="3E0CBAB2" w14:textId="1A9340DF" w:rsidR="00E2321F" w:rsidRPr="00C23AF3" w:rsidRDefault="00E2321F" w:rsidP="00E2321F">
      <w:pPr>
        <w:autoSpaceDE w:val="0"/>
        <w:autoSpaceDN w:val="0"/>
        <w:adjustRightInd w:val="0"/>
        <w:spacing w:before="0" w:after="0"/>
        <w:rPr>
          <w:rFonts w:eastAsiaTheme="minorHAnsi"/>
          <w:color w:val="000000"/>
          <w:sz w:val="22"/>
          <w:szCs w:val="22"/>
          <w:lang w:val="en-AU"/>
        </w:rPr>
      </w:pPr>
      <w:r>
        <w:rPr>
          <w:sz w:val="22"/>
          <w:szCs w:val="22"/>
          <w:lang w:eastAsia="en-AU"/>
        </w:rPr>
        <w:t xml:space="preserve">The table in Part 1 of Schedule 1 specifies the excluded purpose for Class 2 IVD medical devices for self testing is testing for faecal occult blood. </w:t>
      </w:r>
      <w:r>
        <w:rPr>
          <w:rFonts w:eastAsiaTheme="minorHAnsi"/>
          <w:color w:val="000000"/>
          <w:sz w:val="22"/>
          <w:szCs w:val="22"/>
          <w:lang w:val="en-AU"/>
        </w:rPr>
        <w:t xml:space="preserve">In effect, </w:t>
      </w:r>
      <w:r w:rsidRPr="00C23AF3">
        <w:rPr>
          <w:rFonts w:eastAsiaTheme="minorHAnsi"/>
          <w:color w:val="000000"/>
          <w:sz w:val="22"/>
          <w:szCs w:val="22"/>
          <w:lang w:val="en-AU"/>
        </w:rPr>
        <w:t>supply of Class 2 IVD self-tests will be allowed (as is currently the case) except for Class 2 IVD medical devices that are intended for self-testing for faecal occult blood unless they are for use as part of a government screening program.</w:t>
      </w:r>
    </w:p>
    <w:p w14:paraId="4A0CA6DF" w14:textId="61B160A8" w:rsidR="00E2321F" w:rsidRDefault="00E2321F" w:rsidP="006A5B44">
      <w:pPr>
        <w:spacing w:before="0" w:after="0"/>
        <w:rPr>
          <w:sz w:val="22"/>
          <w:szCs w:val="22"/>
          <w:lang w:eastAsia="en-AU"/>
        </w:rPr>
      </w:pPr>
    </w:p>
    <w:p w14:paraId="03C9CE4C" w14:textId="6F70CE39" w:rsidR="00E2321F" w:rsidRDefault="00E2321F" w:rsidP="00E2321F">
      <w:pPr>
        <w:spacing w:before="0" w:after="0"/>
        <w:rPr>
          <w:b/>
          <w:bCs/>
          <w:sz w:val="22"/>
          <w:szCs w:val="22"/>
          <w:lang w:eastAsia="en-AU"/>
        </w:rPr>
      </w:pPr>
      <w:r>
        <w:rPr>
          <w:b/>
          <w:bCs/>
          <w:sz w:val="22"/>
          <w:szCs w:val="22"/>
          <w:lang w:eastAsia="en-AU"/>
        </w:rPr>
        <w:t>Part 2—Class 3 and 4 IVD medical devices</w:t>
      </w:r>
    </w:p>
    <w:p w14:paraId="55A445EF" w14:textId="77777777" w:rsidR="00BC4168" w:rsidRPr="00D360E1" w:rsidRDefault="00BC4168" w:rsidP="00E2321F">
      <w:pPr>
        <w:spacing w:before="0" w:after="0"/>
        <w:rPr>
          <w:b/>
          <w:bCs/>
          <w:sz w:val="22"/>
          <w:szCs w:val="22"/>
          <w:lang w:eastAsia="en-AU"/>
        </w:rPr>
      </w:pPr>
    </w:p>
    <w:p w14:paraId="0D28AED5" w14:textId="1836F300" w:rsidR="00E2321F" w:rsidRDefault="006A5B44" w:rsidP="006A5B44">
      <w:pPr>
        <w:spacing w:before="0" w:after="0"/>
        <w:rPr>
          <w:sz w:val="22"/>
          <w:szCs w:val="22"/>
          <w:lang w:eastAsia="en-AU"/>
        </w:rPr>
      </w:pPr>
      <w:r>
        <w:rPr>
          <w:sz w:val="22"/>
          <w:szCs w:val="22"/>
          <w:lang w:eastAsia="en-AU"/>
        </w:rPr>
        <w:t xml:space="preserve">The table in </w:t>
      </w:r>
      <w:r w:rsidR="00E2321F">
        <w:rPr>
          <w:sz w:val="22"/>
          <w:szCs w:val="22"/>
          <w:lang w:eastAsia="en-AU"/>
        </w:rPr>
        <w:t xml:space="preserve">Part 2 of </w:t>
      </w:r>
      <w:r>
        <w:rPr>
          <w:sz w:val="22"/>
          <w:szCs w:val="22"/>
          <w:lang w:eastAsia="en-AU"/>
        </w:rPr>
        <w:t xml:space="preserve">Schedule 1 specifies the </w:t>
      </w:r>
      <w:r w:rsidR="00E2321F">
        <w:rPr>
          <w:sz w:val="22"/>
          <w:szCs w:val="22"/>
          <w:lang w:eastAsia="en-AU"/>
        </w:rPr>
        <w:t xml:space="preserve">excluded </w:t>
      </w:r>
      <w:r>
        <w:rPr>
          <w:sz w:val="22"/>
          <w:szCs w:val="22"/>
          <w:lang w:eastAsia="en-AU"/>
        </w:rPr>
        <w:t xml:space="preserve">purposes </w:t>
      </w:r>
      <w:r w:rsidR="00E2321F">
        <w:rPr>
          <w:sz w:val="22"/>
          <w:szCs w:val="22"/>
          <w:lang w:eastAsia="en-AU"/>
        </w:rPr>
        <w:t>for</w:t>
      </w:r>
      <w:r w:rsidR="00C409E6">
        <w:rPr>
          <w:sz w:val="22"/>
          <w:szCs w:val="22"/>
          <w:lang w:eastAsia="en-AU"/>
        </w:rPr>
        <w:t xml:space="preserve"> Class 3 and Class 4 IVD medical devices for self-testing </w:t>
      </w:r>
      <w:r w:rsidR="00E2321F">
        <w:rPr>
          <w:sz w:val="22"/>
          <w:szCs w:val="22"/>
          <w:lang w:eastAsia="en-AU"/>
        </w:rPr>
        <w:t>is testing specimens from the human body</w:t>
      </w:r>
      <w:r w:rsidR="00C409E6">
        <w:rPr>
          <w:sz w:val="22"/>
          <w:szCs w:val="22"/>
          <w:lang w:eastAsia="en-AU"/>
        </w:rPr>
        <w:t xml:space="preserve">. </w:t>
      </w:r>
      <w:r w:rsidR="00E2321F">
        <w:rPr>
          <w:sz w:val="22"/>
          <w:szCs w:val="22"/>
          <w:lang w:eastAsia="en-AU"/>
        </w:rPr>
        <w:t>There are, h</w:t>
      </w:r>
      <w:r w:rsidR="00642CC2">
        <w:rPr>
          <w:sz w:val="22"/>
          <w:szCs w:val="22"/>
          <w:lang w:eastAsia="en-AU"/>
        </w:rPr>
        <w:t>owever, a couple of exceptions.</w:t>
      </w:r>
    </w:p>
    <w:p w14:paraId="15F6F265" w14:textId="71CCCB37" w:rsidR="00E2321F" w:rsidRDefault="00E2321F" w:rsidP="006A5B44">
      <w:pPr>
        <w:spacing w:before="0" w:after="0"/>
        <w:rPr>
          <w:sz w:val="22"/>
          <w:szCs w:val="22"/>
          <w:lang w:eastAsia="en-AU"/>
        </w:rPr>
      </w:pPr>
    </w:p>
    <w:p w14:paraId="37435CA6" w14:textId="407AD5BD" w:rsidR="00E2321F" w:rsidRDefault="00E2321F" w:rsidP="00E2321F">
      <w:pPr>
        <w:spacing w:before="120" w:after="180" w:line="240" w:lineRule="atLeast"/>
        <w:contextualSpacing/>
        <w:rPr>
          <w:rFonts w:eastAsiaTheme="minorHAnsi"/>
          <w:color w:val="000000"/>
          <w:sz w:val="22"/>
          <w:szCs w:val="22"/>
          <w:lang w:val="en-AU"/>
        </w:rPr>
      </w:pPr>
      <w:r>
        <w:rPr>
          <w:rFonts w:eastAsiaTheme="minorHAnsi"/>
          <w:color w:val="000000"/>
          <w:sz w:val="22"/>
          <w:szCs w:val="22"/>
          <w:lang w:val="en-AU"/>
        </w:rPr>
        <w:t xml:space="preserve">Firstly, </w:t>
      </w:r>
      <w:r w:rsidRPr="00264740">
        <w:rPr>
          <w:rFonts w:eastAsiaTheme="minorHAnsi"/>
          <w:color w:val="000000"/>
          <w:sz w:val="22"/>
          <w:szCs w:val="22"/>
          <w:lang w:val="en-AU"/>
        </w:rPr>
        <w:t xml:space="preserve">supply of Class 3 and Class 4 IVD </w:t>
      </w:r>
      <w:r w:rsidR="004B3EB4">
        <w:rPr>
          <w:rFonts w:eastAsiaTheme="minorHAnsi"/>
          <w:color w:val="000000"/>
          <w:sz w:val="22"/>
          <w:szCs w:val="22"/>
          <w:lang w:val="en-AU"/>
        </w:rPr>
        <w:t xml:space="preserve">medical devices that are </w:t>
      </w:r>
      <w:r w:rsidRPr="00264740">
        <w:rPr>
          <w:rFonts w:eastAsiaTheme="minorHAnsi"/>
          <w:color w:val="000000"/>
          <w:sz w:val="22"/>
          <w:szCs w:val="22"/>
          <w:lang w:val="en-AU"/>
        </w:rPr>
        <w:t>self-tests will not be allowed except for self-tests to test</w:t>
      </w:r>
      <w:r w:rsidRPr="00960340">
        <w:rPr>
          <w:rFonts w:eastAsiaTheme="minorHAnsi"/>
          <w:color w:val="000000"/>
          <w:sz w:val="22"/>
          <w:szCs w:val="22"/>
          <w:lang w:val="en-AU"/>
        </w:rPr>
        <w:t xml:space="preserve"> for human immunodeficiency virus, hepatitis B virus, hepatitis C Virus, </w:t>
      </w:r>
      <w:r>
        <w:rPr>
          <w:rFonts w:eastAsiaTheme="minorHAnsi"/>
          <w:color w:val="000000"/>
          <w:sz w:val="22"/>
          <w:szCs w:val="22"/>
          <w:lang w:val="en-AU"/>
        </w:rPr>
        <w:t>seasonal influenza virus</w:t>
      </w:r>
      <w:r w:rsidRPr="00960340">
        <w:rPr>
          <w:rFonts w:eastAsiaTheme="minorHAnsi"/>
          <w:color w:val="000000"/>
          <w:sz w:val="22"/>
          <w:szCs w:val="22"/>
          <w:lang w:val="en-AU"/>
        </w:rPr>
        <w:t xml:space="preserve">, </w:t>
      </w:r>
      <w:r w:rsidRPr="00264740">
        <w:rPr>
          <w:rFonts w:eastAsiaTheme="minorHAnsi"/>
          <w:color w:val="000000"/>
          <w:sz w:val="22"/>
          <w:szCs w:val="22"/>
          <w:lang w:val="en-AU"/>
        </w:rPr>
        <w:t>neisseria gonorrhea</w:t>
      </w:r>
      <w:r w:rsidRPr="00960340">
        <w:rPr>
          <w:rFonts w:eastAsiaTheme="minorHAnsi"/>
          <w:color w:val="000000"/>
          <w:sz w:val="22"/>
          <w:szCs w:val="22"/>
          <w:lang w:val="en-AU"/>
        </w:rPr>
        <w:t xml:space="preserve">, </w:t>
      </w:r>
      <w:r w:rsidRPr="00264740">
        <w:rPr>
          <w:rFonts w:eastAsiaTheme="minorHAnsi"/>
          <w:color w:val="000000"/>
          <w:sz w:val="22"/>
          <w:szCs w:val="22"/>
          <w:lang w:val="en-AU"/>
        </w:rPr>
        <w:t>chlamydia trachomatis, treponema pallidum (syphilis) and herpes simplex virus type 1 and 2</w:t>
      </w:r>
      <w:r w:rsidRPr="00960340">
        <w:rPr>
          <w:rFonts w:eastAsiaTheme="minorHAnsi"/>
          <w:color w:val="000000"/>
          <w:sz w:val="22"/>
          <w:szCs w:val="22"/>
          <w:lang w:val="en-AU"/>
        </w:rPr>
        <w:t xml:space="preserve">. The effect of this is that IVD medical devices used exclusively for </w:t>
      </w:r>
      <w:r>
        <w:rPr>
          <w:rFonts w:eastAsiaTheme="minorHAnsi"/>
          <w:color w:val="000000"/>
          <w:sz w:val="22"/>
          <w:szCs w:val="22"/>
          <w:lang w:val="en-AU"/>
        </w:rPr>
        <w:t xml:space="preserve">these transmissible agents </w:t>
      </w:r>
      <w:r w:rsidRPr="00960340">
        <w:rPr>
          <w:rFonts w:eastAsiaTheme="minorHAnsi"/>
          <w:color w:val="000000"/>
          <w:sz w:val="22"/>
          <w:szCs w:val="22"/>
          <w:lang w:val="en-AU"/>
        </w:rPr>
        <w:t>can be included in the Register</w:t>
      </w:r>
      <w:r>
        <w:rPr>
          <w:rFonts w:eastAsiaTheme="minorHAnsi"/>
          <w:color w:val="000000"/>
          <w:sz w:val="22"/>
          <w:szCs w:val="22"/>
          <w:lang w:val="en-AU"/>
        </w:rPr>
        <w:t xml:space="preserve"> and is intended </w:t>
      </w:r>
      <w:r w:rsidRPr="00960340">
        <w:rPr>
          <w:rFonts w:eastAsiaTheme="minorHAnsi"/>
          <w:color w:val="000000"/>
          <w:sz w:val="22"/>
          <w:szCs w:val="22"/>
          <w:lang w:val="en-AU"/>
        </w:rPr>
        <w:t>to increase detection of these transmissible agents by addressing access</w:t>
      </w:r>
      <w:r>
        <w:rPr>
          <w:rFonts w:eastAsiaTheme="minorHAnsi"/>
          <w:color w:val="000000"/>
          <w:sz w:val="22"/>
          <w:szCs w:val="22"/>
          <w:lang w:val="en-AU"/>
        </w:rPr>
        <w:t xml:space="preserve"> and </w:t>
      </w:r>
      <w:r w:rsidRPr="00E649A6">
        <w:rPr>
          <w:rFonts w:eastAsiaTheme="minorHAnsi"/>
          <w:color w:val="000000"/>
          <w:sz w:val="22"/>
          <w:szCs w:val="22"/>
          <w:lang w:val="en-AU"/>
        </w:rPr>
        <w:t xml:space="preserve">acceptability issues (including cost, time and convenience of testing) and enabling greater </w:t>
      </w:r>
      <w:r w:rsidRPr="00E649A6">
        <w:rPr>
          <w:rFonts w:eastAsiaTheme="minorHAnsi"/>
          <w:color w:val="000000"/>
          <w:sz w:val="22"/>
          <w:szCs w:val="22"/>
          <w:lang w:val="en-AU"/>
        </w:rPr>
        <w:lastRenderedPageBreak/>
        <w:t xml:space="preserve">access to tests that have been assessed for quality, safety and performance by the </w:t>
      </w:r>
      <w:r w:rsidR="00F7244D">
        <w:rPr>
          <w:rFonts w:eastAsiaTheme="minorHAnsi"/>
          <w:color w:val="000000"/>
          <w:sz w:val="22"/>
          <w:szCs w:val="22"/>
          <w:lang w:val="en-AU"/>
        </w:rPr>
        <w:t>Therapeutic Goods Administration</w:t>
      </w:r>
      <w:r w:rsidRPr="00E649A6">
        <w:rPr>
          <w:rFonts w:eastAsiaTheme="minorHAnsi"/>
          <w:color w:val="000000"/>
          <w:sz w:val="22"/>
          <w:szCs w:val="22"/>
          <w:lang w:val="en-AU"/>
        </w:rPr>
        <w:t>.</w:t>
      </w:r>
      <w:r>
        <w:rPr>
          <w:rFonts w:eastAsiaTheme="minorHAnsi"/>
          <w:color w:val="000000"/>
          <w:sz w:val="22"/>
          <w:szCs w:val="22"/>
          <w:lang w:val="en-AU"/>
        </w:rPr>
        <w:t xml:space="preserve"> Other pathogenic organisms or transmissible agents, including human papillomavirus, are still prohibited.</w:t>
      </w:r>
    </w:p>
    <w:p w14:paraId="589CF5C4" w14:textId="77777777" w:rsidR="00E2321F" w:rsidRDefault="00E2321F" w:rsidP="006A5B44">
      <w:pPr>
        <w:spacing w:before="0" w:after="0"/>
        <w:rPr>
          <w:sz w:val="22"/>
          <w:szCs w:val="22"/>
          <w:lang w:eastAsia="en-AU"/>
        </w:rPr>
      </w:pPr>
    </w:p>
    <w:p w14:paraId="6FB981A4" w14:textId="578DF616" w:rsidR="00E2321F" w:rsidRDefault="00E2321F" w:rsidP="006A5B44">
      <w:pPr>
        <w:spacing w:before="0" w:after="0"/>
        <w:rPr>
          <w:sz w:val="22"/>
          <w:szCs w:val="22"/>
          <w:lang w:eastAsia="en-AU"/>
        </w:rPr>
      </w:pPr>
      <w:r>
        <w:rPr>
          <w:rFonts w:eastAsiaTheme="minorHAnsi"/>
          <w:color w:val="000000"/>
          <w:sz w:val="22"/>
          <w:szCs w:val="22"/>
          <w:lang w:val="en-AU"/>
        </w:rPr>
        <w:t xml:space="preserve">Secondly, </w:t>
      </w:r>
      <w:r w:rsidRPr="00264740">
        <w:rPr>
          <w:rFonts w:eastAsiaTheme="minorHAnsi"/>
          <w:color w:val="000000"/>
          <w:sz w:val="22"/>
          <w:szCs w:val="22"/>
          <w:lang w:val="en-AU"/>
        </w:rPr>
        <w:t>supply of Class 3 and Class 4 IVD self-tests will not be allowed except for</w:t>
      </w:r>
      <w:r>
        <w:rPr>
          <w:rFonts w:eastAsiaTheme="minorHAnsi"/>
          <w:color w:val="000000"/>
          <w:sz w:val="22"/>
          <w:szCs w:val="22"/>
          <w:lang w:val="en-AU"/>
        </w:rPr>
        <w:t xml:space="preserve"> self-</w:t>
      </w:r>
      <w:r w:rsidRPr="00264740">
        <w:rPr>
          <w:rFonts w:eastAsiaTheme="minorHAnsi"/>
          <w:color w:val="000000"/>
          <w:sz w:val="22"/>
          <w:szCs w:val="22"/>
          <w:lang w:val="en-AU"/>
        </w:rPr>
        <w:t xml:space="preserve">tests </w:t>
      </w:r>
      <w:r>
        <w:rPr>
          <w:rFonts w:eastAsiaTheme="minorHAnsi"/>
          <w:color w:val="000000"/>
          <w:sz w:val="22"/>
          <w:szCs w:val="22"/>
          <w:lang w:val="en-AU"/>
        </w:rPr>
        <w:t xml:space="preserve">to diagnose, aid in the diagnosis of, indicate the presence of, or test for the presence of markers that are precursors to </w:t>
      </w:r>
      <w:r w:rsidRPr="00264740">
        <w:rPr>
          <w:rFonts w:eastAsiaTheme="minorHAnsi"/>
          <w:color w:val="000000"/>
          <w:sz w:val="22"/>
          <w:szCs w:val="22"/>
          <w:lang w:val="en-AU"/>
        </w:rPr>
        <w:t xml:space="preserve">diabetes, kidney disease </w:t>
      </w:r>
      <w:r w:rsidR="00F7244D">
        <w:rPr>
          <w:rFonts w:eastAsiaTheme="minorHAnsi"/>
          <w:color w:val="000000"/>
          <w:sz w:val="22"/>
          <w:szCs w:val="22"/>
          <w:lang w:val="en-AU"/>
        </w:rPr>
        <w:t>or</w:t>
      </w:r>
      <w:r w:rsidR="00F7244D" w:rsidRPr="00264740">
        <w:rPr>
          <w:rFonts w:eastAsiaTheme="minorHAnsi"/>
          <w:color w:val="000000"/>
          <w:sz w:val="22"/>
          <w:szCs w:val="22"/>
          <w:lang w:val="en-AU"/>
        </w:rPr>
        <w:t xml:space="preserve"> </w:t>
      </w:r>
      <w:r w:rsidRPr="00264740">
        <w:rPr>
          <w:rFonts w:eastAsiaTheme="minorHAnsi"/>
          <w:color w:val="000000"/>
          <w:sz w:val="22"/>
          <w:szCs w:val="22"/>
          <w:lang w:val="en-AU"/>
        </w:rPr>
        <w:t>cardiovascular disease, noting that genetic self-tests for these conditions will still be prohibited.</w:t>
      </w:r>
    </w:p>
    <w:p w14:paraId="3ACEF8CE" w14:textId="426F590F" w:rsidR="006A5B44" w:rsidRPr="00D360E1" w:rsidRDefault="006A5B44" w:rsidP="00D360E1">
      <w:pPr>
        <w:spacing w:before="0" w:after="0"/>
        <w:rPr>
          <w:sz w:val="22"/>
          <w:szCs w:val="22"/>
          <w:lang w:eastAsia="en-AU"/>
        </w:rPr>
      </w:pPr>
    </w:p>
    <w:p w14:paraId="4D1EE5E8" w14:textId="1CAF6C86" w:rsidR="00A5662B" w:rsidRPr="00D360E1" w:rsidRDefault="00F7244D" w:rsidP="00BC4168">
      <w:pPr>
        <w:keepNext/>
        <w:spacing w:before="0" w:after="0"/>
        <w:rPr>
          <w:b/>
          <w:bCs/>
          <w:sz w:val="22"/>
          <w:szCs w:val="22"/>
          <w:lang w:eastAsia="en-AU"/>
        </w:rPr>
      </w:pPr>
      <w:r>
        <w:rPr>
          <w:b/>
          <w:bCs/>
          <w:sz w:val="22"/>
          <w:szCs w:val="22"/>
          <w:lang w:eastAsia="en-AU"/>
        </w:rPr>
        <w:t>SCHEDULE</w:t>
      </w:r>
      <w:r w:rsidRPr="00D360E1">
        <w:rPr>
          <w:b/>
          <w:bCs/>
          <w:sz w:val="22"/>
          <w:szCs w:val="22"/>
          <w:lang w:eastAsia="en-AU"/>
        </w:rPr>
        <w:t xml:space="preserve"> </w:t>
      </w:r>
      <w:r w:rsidR="006A5B44">
        <w:rPr>
          <w:b/>
          <w:bCs/>
          <w:sz w:val="22"/>
          <w:szCs w:val="22"/>
          <w:lang w:eastAsia="en-AU"/>
        </w:rPr>
        <w:t>2</w:t>
      </w:r>
      <w:r w:rsidR="00A5662B" w:rsidRPr="00D360E1">
        <w:rPr>
          <w:b/>
          <w:bCs/>
          <w:sz w:val="22"/>
          <w:szCs w:val="22"/>
          <w:lang w:eastAsia="en-AU"/>
        </w:rPr>
        <w:t xml:space="preserve"> – </w:t>
      </w:r>
      <w:r>
        <w:rPr>
          <w:b/>
          <w:bCs/>
          <w:sz w:val="22"/>
          <w:szCs w:val="22"/>
          <w:lang w:eastAsia="en-AU"/>
        </w:rPr>
        <w:t>REPEALS</w:t>
      </w:r>
    </w:p>
    <w:p w14:paraId="3566D14B" w14:textId="77777777" w:rsidR="00A5662B" w:rsidRPr="00D360E1" w:rsidRDefault="00A5662B" w:rsidP="00D360E1">
      <w:pPr>
        <w:spacing w:before="0" w:after="0"/>
        <w:rPr>
          <w:sz w:val="22"/>
          <w:szCs w:val="22"/>
          <w:lang w:eastAsia="en-AU"/>
        </w:rPr>
      </w:pPr>
    </w:p>
    <w:p w14:paraId="1576ACD4" w14:textId="4AB297CA" w:rsidR="00220555" w:rsidRDefault="00A5662B">
      <w:pPr>
        <w:spacing w:before="0" w:after="200" w:line="276" w:lineRule="auto"/>
        <w:rPr>
          <w:rFonts w:eastAsiaTheme="minorHAnsi"/>
          <w:sz w:val="22"/>
          <w:szCs w:val="22"/>
          <w:lang w:val="en-AU"/>
        </w:rPr>
      </w:pPr>
      <w:r w:rsidRPr="00D360E1">
        <w:rPr>
          <w:sz w:val="22"/>
          <w:szCs w:val="22"/>
          <w:lang w:eastAsia="en-AU"/>
        </w:rPr>
        <w:t xml:space="preserve">This Schedule </w:t>
      </w:r>
      <w:r w:rsidR="00E81FE7">
        <w:rPr>
          <w:sz w:val="22"/>
          <w:szCs w:val="22"/>
          <w:lang w:eastAsia="en-AU"/>
        </w:rPr>
        <w:t xml:space="preserve">specifies that the </w:t>
      </w:r>
      <w:r w:rsidR="00E81FE7" w:rsidRPr="00E81FE7">
        <w:rPr>
          <w:i/>
          <w:sz w:val="22"/>
          <w:szCs w:val="22"/>
          <w:lang w:eastAsia="en-AU"/>
        </w:rPr>
        <w:t>Therapeutic Goods (Excluded purposes) Specification 2010</w:t>
      </w:r>
      <w:r w:rsidR="00E81FE7">
        <w:rPr>
          <w:sz w:val="22"/>
          <w:szCs w:val="22"/>
          <w:lang w:eastAsia="en-AU"/>
        </w:rPr>
        <w:t xml:space="preserve"> is repealed.</w:t>
      </w:r>
      <w:r w:rsidR="0080570A">
        <w:rPr>
          <w:sz w:val="22"/>
          <w:szCs w:val="22"/>
          <w:lang w:eastAsia="en-AU"/>
        </w:rPr>
        <w:t xml:space="preserve"> The</w:t>
      </w:r>
      <w:r w:rsidR="00E81FE7">
        <w:rPr>
          <w:sz w:val="22"/>
          <w:szCs w:val="22"/>
          <w:lang w:eastAsia="en-AU"/>
        </w:rPr>
        <w:t xml:space="preserve"> </w:t>
      </w:r>
      <w:r w:rsidR="0080570A" w:rsidRPr="00E81FE7">
        <w:rPr>
          <w:i/>
          <w:sz w:val="22"/>
          <w:szCs w:val="22"/>
          <w:lang w:eastAsia="en-AU"/>
        </w:rPr>
        <w:t>Therapeutic Goods (Excluded purposes) Specification 2010</w:t>
      </w:r>
      <w:r w:rsidR="0080570A">
        <w:rPr>
          <w:sz w:val="22"/>
          <w:szCs w:val="22"/>
          <w:lang w:eastAsia="en-AU"/>
        </w:rPr>
        <w:t xml:space="preserve"> </w:t>
      </w:r>
      <w:r w:rsidR="006A5B44">
        <w:rPr>
          <w:sz w:val="22"/>
          <w:szCs w:val="22"/>
          <w:lang w:eastAsia="en-AU"/>
        </w:rPr>
        <w:t>would</w:t>
      </w:r>
      <w:r w:rsidR="00BC4168">
        <w:rPr>
          <w:sz w:val="22"/>
          <w:szCs w:val="22"/>
          <w:lang w:eastAsia="en-AU"/>
        </w:rPr>
        <w:t xml:space="preserve"> otherwise</w:t>
      </w:r>
      <w:r w:rsidR="006A5B44">
        <w:rPr>
          <w:sz w:val="22"/>
          <w:szCs w:val="22"/>
          <w:lang w:eastAsia="en-AU"/>
        </w:rPr>
        <w:t xml:space="preserve"> sunset</w:t>
      </w:r>
      <w:r w:rsidR="0080570A">
        <w:rPr>
          <w:sz w:val="22"/>
          <w:szCs w:val="22"/>
          <w:lang w:eastAsia="en-AU"/>
        </w:rPr>
        <w:t xml:space="preserve"> on 1 October 2020 pursuant to the </w:t>
      </w:r>
      <w:r w:rsidR="0080570A" w:rsidRPr="0080570A">
        <w:rPr>
          <w:i/>
          <w:sz w:val="22"/>
          <w:szCs w:val="22"/>
          <w:lang w:eastAsia="en-AU"/>
        </w:rPr>
        <w:t>Legislation Act 2003</w:t>
      </w:r>
      <w:r w:rsidR="00642CC2">
        <w:rPr>
          <w:sz w:val="22"/>
          <w:szCs w:val="22"/>
          <w:lang w:eastAsia="en-AU"/>
        </w:rPr>
        <w:t>.</w:t>
      </w:r>
      <w:r w:rsidR="00220555">
        <w:rPr>
          <w:rFonts w:eastAsiaTheme="minorHAnsi"/>
          <w:sz w:val="22"/>
          <w:szCs w:val="22"/>
          <w:lang w:val="en-AU"/>
        </w:rPr>
        <w:br w:type="page"/>
      </w:r>
    </w:p>
    <w:p w14:paraId="5C0075C4" w14:textId="39A1DEF9" w:rsidR="00D360E1" w:rsidRDefault="00D360E1" w:rsidP="00D360E1">
      <w:pPr>
        <w:spacing w:before="0" w:after="0"/>
        <w:jc w:val="right"/>
        <w:rPr>
          <w:b/>
        </w:rPr>
      </w:pPr>
      <w:r>
        <w:rPr>
          <w:b/>
        </w:rPr>
        <w:lastRenderedPageBreak/>
        <w:t>Attachment B</w:t>
      </w:r>
    </w:p>
    <w:p w14:paraId="3EA429E6" w14:textId="77777777" w:rsidR="00D360E1" w:rsidRDefault="00D360E1" w:rsidP="00220555">
      <w:pPr>
        <w:spacing w:before="0" w:after="0"/>
        <w:jc w:val="center"/>
        <w:rPr>
          <w:b/>
        </w:rPr>
      </w:pPr>
    </w:p>
    <w:p w14:paraId="61B3FE2D" w14:textId="3E3395A3" w:rsidR="00220555" w:rsidRDefault="00220555" w:rsidP="00220555">
      <w:pPr>
        <w:spacing w:before="0" w:after="0"/>
        <w:jc w:val="center"/>
        <w:rPr>
          <w:b/>
        </w:rPr>
      </w:pPr>
      <w:r>
        <w:rPr>
          <w:b/>
        </w:rPr>
        <w:t>Statement of Compatibility with Human Rights</w:t>
      </w:r>
    </w:p>
    <w:p w14:paraId="512AFE8E" w14:textId="77777777" w:rsidR="00220555" w:rsidRPr="00BA5604" w:rsidRDefault="00220555" w:rsidP="00220555">
      <w:pPr>
        <w:spacing w:before="0" w:after="0"/>
        <w:rPr>
          <w:sz w:val="22"/>
          <w:szCs w:val="22"/>
        </w:rPr>
      </w:pPr>
    </w:p>
    <w:p w14:paraId="7974713D" w14:textId="77777777" w:rsidR="00220555" w:rsidRPr="00BA5604" w:rsidRDefault="00220555" w:rsidP="00220555">
      <w:pPr>
        <w:spacing w:before="0" w:after="0"/>
        <w:jc w:val="center"/>
        <w:rPr>
          <w:sz w:val="22"/>
          <w:szCs w:val="22"/>
        </w:rPr>
      </w:pPr>
      <w:r w:rsidRPr="00BA5604">
        <w:rPr>
          <w:sz w:val="22"/>
          <w:szCs w:val="22"/>
        </w:rPr>
        <w:t xml:space="preserve">Prepared in accordance with Part 3 of the </w:t>
      </w:r>
      <w:r w:rsidRPr="00BA5604">
        <w:rPr>
          <w:i/>
          <w:sz w:val="22"/>
          <w:szCs w:val="22"/>
        </w:rPr>
        <w:t>Human Rights (Parliamentary Scrutiny) Act 2011</w:t>
      </w:r>
    </w:p>
    <w:p w14:paraId="03292155" w14:textId="77777777" w:rsidR="00220555" w:rsidRPr="00BA5604" w:rsidRDefault="00220555" w:rsidP="00220555">
      <w:pPr>
        <w:spacing w:before="0" w:after="0"/>
        <w:jc w:val="center"/>
        <w:rPr>
          <w:b/>
          <w:sz w:val="22"/>
          <w:szCs w:val="22"/>
        </w:rPr>
      </w:pPr>
    </w:p>
    <w:p w14:paraId="5BF06A35" w14:textId="7B9DEFF4" w:rsidR="00220555" w:rsidRPr="00BA5604" w:rsidRDefault="0080570A" w:rsidP="00220555">
      <w:pPr>
        <w:spacing w:before="0" w:after="0"/>
        <w:jc w:val="center"/>
        <w:rPr>
          <w:b/>
          <w:i/>
          <w:sz w:val="22"/>
          <w:szCs w:val="22"/>
        </w:rPr>
      </w:pPr>
      <w:r>
        <w:rPr>
          <w:b/>
          <w:i/>
          <w:sz w:val="22"/>
          <w:szCs w:val="22"/>
        </w:rPr>
        <w:t>Therapeutic Goods (</w:t>
      </w:r>
      <w:r w:rsidR="005D300C">
        <w:rPr>
          <w:b/>
          <w:i/>
          <w:sz w:val="22"/>
          <w:szCs w:val="22"/>
        </w:rPr>
        <w:t>Medical Devices—</w:t>
      </w:r>
      <w:r>
        <w:rPr>
          <w:b/>
          <w:i/>
          <w:sz w:val="22"/>
          <w:szCs w:val="22"/>
        </w:rPr>
        <w:t>Excluded Purposes) Specification 2020</w:t>
      </w:r>
    </w:p>
    <w:p w14:paraId="3127532A" w14:textId="77777777" w:rsidR="00220555" w:rsidRPr="00BA5604" w:rsidRDefault="00220555" w:rsidP="00220555">
      <w:pPr>
        <w:spacing w:before="0" w:after="0"/>
        <w:rPr>
          <w:sz w:val="22"/>
          <w:szCs w:val="22"/>
        </w:rPr>
      </w:pPr>
    </w:p>
    <w:p w14:paraId="4CAE4FEB" w14:textId="7A21B8CA" w:rsidR="00220555" w:rsidRPr="00BA5604" w:rsidRDefault="00BC4168" w:rsidP="00220555">
      <w:pPr>
        <w:spacing w:before="0" w:after="0"/>
        <w:rPr>
          <w:b/>
          <w:sz w:val="22"/>
          <w:szCs w:val="22"/>
        </w:rPr>
      </w:pPr>
      <w:r>
        <w:rPr>
          <w:sz w:val="22"/>
          <w:szCs w:val="22"/>
        </w:rPr>
        <w:t>This disallowable legislative instrument</w:t>
      </w:r>
      <w:r w:rsidR="0080570A">
        <w:rPr>
          <w:i/>
          <w:sz w:val="22"/>
          <w:szCs w:val="22"/>
        </w:rPr>
        <w:t xml:space="preserve"> </w:t>
      </w:r>
      <w:r w:rsidR="00220555" w:rsidRPr="00BA5604">
        <w:rPr>
          <w:sz w:val="22"/>
          <w:szCs w:val="22"/>
        </w:rPr>
        <w:t xml:space="preserve">is compatible with the human rights and freedoms recognised or declared in the international instruments listed in section 3 of the </w:t>
      </w:r>
      <w:r w:rsidR="00220555" w:rsidRPr="00BA5604">
        <w:rPr>
          <w:i/>
          <w:sz w:val="22"/>
          <w:szCs w:val="22"/>
        </w:rPr>
        <w:t>Human Rights (Parliamentary Scrutiny) Act 2011</w:t>
      </w:r>
      <w:r w:rsidR="00220555" w:rsidRPr="00BA5604">
        <w:rPr>
          <w:sz w:val="22"/>
          <w:szCs w:val="22"/>
        </w:rPr>
        <w:t>.</w:t>
      </w:r>
    </w:p>
    <w:p w14:paraId="563CC628" w14:textId="77777777" w:rsidR="00220555" w:rsidRPr="00BA5604" w:rsidRDefault="00220555" w:rsidP="00220555">
      <w:pPr>
        <w:spacing w:before="0" w:after="0"/>
        <w:rPr>
          <w:sz w:val="22"/>
          <w:szCs w:val="22"/>
        </w:rPr>
      </w:pPr>
    </w:p>
    <w:p w14:paraId="748AD9EC" w14:textId="6A4C6677" w:rsidR="00220555" w:rsidRPr="00BA5604" w:rsidRDefault="00220555" w:rsidP="00220555">
      <w:pPr>
        <w:spacing w:before="0" w:after="0"/>
        <w:rPr>
          <w:b/>
          <w:sz w:val="22"/>
          <w:szCs w:val="22"/>
        </w:rPr>
      </w:pPr>
      <w:r w:rsidRPr="00BA5604">
        <w:rPr>
          <w:b/>
          <w:sz w:val="22"/>
          <w:szCs w:val="22"/>
        </w:rPr>
        <w:t xml:space="preserve">Overview of </w:t>
      </w:r>
      <w:r w:rsidR="00B8104C">
        <w:rPr>
          <w:b/>
          <w:sz w:val="22"/>
          <w:szCs w:val="22"/>
        </w:rPr>
        <w:t>l</w:t>
      </w:r>
      <w:r w:rsidRPr="00BA5604">
        <w:rPr>
          <w:b/>
          <w:sz w:val="22"/>
          <w:szCs w:val="22"/>
        </w:rPr>
        <w:t xml:space="preserve">egislative </w:t>
      </w:r>
      <w:r w:rsidR="00B8104C">
        <w:rPr>
          <w:b/>
          <w:sz w:val="22"/>
          <w:szCs w:val="22"/>
        </w:rPr>
        <w:t>i</w:t>
      </w:r>
      <w:r w:rsidRPr="00BA5604">
        <w:rPr>
          <w:b/>
          <w:sz w:val="22"/>
          <w:szCs w:val="22"/>
        </w:rPr>
        <w:t>nstrument</w:t>
      </w:r>
    </w:p>
    <w:p w14:paraId="78FC3413" w14:textId="77777777" w:rsidR="00B8104C" w:rsidRDefault="00B8104C" w:rsidP="00220555">
      <w:pPr>
        <w:autoSpaceDE w:val="0"/>
        <w:autoSpaceDN w:val="0"/>
        <w:adjustRightInd w:val="0"/>
        <w:spacing w:before="0" w:after="0"/>
        <w:rPr>
          <w:rFonts w:eastAsiaTheme="minorHAnsi"/>
          <w:color w:val="000000"/>
          <w:sz w:val="22"/>
          <w:szCs w:val="22"/>
          <w:lang w:val="en-AU"/>
        </w:rPr>
      </w:pPr>
    </w:p>
    <w:p w14:paraId="0DD73A6F" w14:textId="064DA24E" w:rsidR="00220555" w:rsidRPr="00BA5604" w:rsidRDefault="00BC4168" w:rsidP="00BC4168">
      <w:pPr>
        <w:autoSpaceDE w:val="0"/>
        <w:autoSpaceDN w:val="0"/>
        <w:adjustRightInd w:val="0"/>
        <w:spacing w:before="0" w:after="0"/>
        <w:rPr>
          <w:rFonts w:eastAsiaTheme="minorHAnsi"/>
          <w:i/>
          <w:color w:val="000000"/>
          <w:sz w:val="22"/>
          <w:szCs w:val="22"/>
          <w:lang w:val="en-AU"/>
        </w:rPr>
      </w:pPr>
      <w:r w:rsidRPr="00BC4168">
        <w:rPr>
          <w:sz w:val="22"/>
          <w:szCs w:val="22"/>
        </w:rPr>
        <w:t>The</w:t>
      </w:r>
      <w:r>
        <w:rPr>
          <w:b/>
          <w:i/>
          <w:sz w:val="22"/>
          <w:szCs w:val="22"/>
        </w:rPr>
        <w:t xml:space="preserve"> </w:t>
      </w:r>
      <w:r w:rsidRPr="00BC4168">
        <w:rPr>
          <w:i/>
          <w:sz w:val="22"/>
          <w:szCs w:val="22"/>
        </w:rPr>
        <w:t>Therapeutic Goods (Medical Devices—Excluded Purposes) Specification 2020</w:t>
      </w:r>
      <w:r>
        <w:rPr>
          <w:i/>
          <w:sz w:val="22"/>
          <w:szCs w:val="22"/>
        </w:rPr>
        <w:t xml:space="preserve"> </w:t>
      </w:r>
      <w:r w:rsidRPr="00BC4168">
        <w:rPr>
          <w:sz w:val="22"/>
          <w:szCs w:val="22"/>
        </w:rPr>
        <w:t>(“the instrument”)</w:t>
      </w:r>
      <w:r>
        <w:rPr>
          <w:i/>
          <w:sz w:val="22"/>
          <w:szCs w:val="22"/>
        </w:rPr>
        <w:t xml:space="preserve"> </w:t>
      </w:r>
      <w:r w:rsidRPr="00BC4168">
        <w:rPr>
          <w:sz w:val="22"/>
          <w:szCs w:val="22"/>
        </w:rPr>
        <w:t>is made under section 41BEA of the</w:t>
      </w:r>
      <w:r>
        <w:rPr>
          <w:i/>
          <w:sz w:val="22"/>
          <w:szCs w:val="22"/>
        </w:rPr>
        <w:t xml:space="preserve"> Therapeutic Goods Act 1989 </w:t>
      </w:r>
      <w:r w:rsidRPr="00BC4168">
        <w:rPr>
          <w:sz w:val="22"/>
          <w:szCs w:val="22"/>
        </w:rPr>
        <w:t>(“the Act”).</w:t>
      </w:r>
      <w:r>
        <w:rPr>
          <w:i/>
          <w:sz w:val="22"/>
          <w:szCs w:val="22"/>
        </w:rPr>
        <w:t xml:space="preserve"> </w:t>
      </w:r>
      <w:r w:rsidRPr="00BC4168">
        <w:rPr>
          <w:sz w:val="22"/>
          <w:szCs w:val="22"/>
        </w:rPr>
        <w:t>This instrument repeals and replaces the</w:t>
      </w:r>
      <w:r>
        <w:rPr>
          <w:i/>
          <w:sz w:val="22"/>
          <w:szCs w:val="22"/>
        </w:rPr>
        <w:t xml:space="preserve"> </w:t>
      </w:r>
      <w:r w:rsidR="00307D41">
        <w:rPr>
          <w:rFonts w:eastAsiaTheme="minorHAnsi"/>
          <w:i/>
          <w:color w:val="000000"/>
          <w:sz w:val="22"/>
          <w:szCs w:val="22"/>
          <w:lang w:val="en-AU"/>
        </w:rPr>
        <w:t>Therapeutic Goods (Excluded purposes) Specification 2010</w:t>
      </w:r>
      <w:r w:rsidR="00B925FD">
        <w:rPr>
          <w:rFonts w:eastAsiaTheme="minorHAnsi"/>
          <w:i/>
          <w:color w:val="000000"/>
          <w:sz w:val="22"/>
          <w:szCs w:val="22"/>
          <w:lang w:val="en-AU"/>
        </w:rPr>
        <w:t xml:space="preserve"> </w:t>
      </w:r>
      <w:r w:rsidR="00B925FD">
        <w:rPr>
          <w:rFonts w:eastAsiaTheme="minorHAnsi"/>
          <w:color w:val="000000"/>
          <w:sz w:val="22"/>
          <w:szCs w:val="22"/>
          <w:lang w:val="en-AU"/>
        </w:rPr>
        <w:t>(“the former instrument”)</w:t>
      </w:r>
      <w:r w:rsidR="00CE44AE" w:rsidRPr="00CE44AE">
        <w:rPr>
          <w:rFonts w:eastAsiaTheme="minorHAnsi"/>
          <w:color w:val="000000"/>
          <w:sz w:val="22"/>
          <w:szCs w:val="22"/>
          <w:lang w:val="en-AU"/>
        </w:rPr>
        <w:t>,</w:t>
      </w:r>
      <w:r w:rsidR="00CE44AE" w:rsidRPr="00CE44AE">
        <w:rPr>
          <w:rFonts w:eastAsiaTheme="minorHAnsi"/>
          <w:i/>
          <w:color w:val="000000"/>
          <w:sz w:val="22"/>
          <w:szCs w:val="22"/>
          <w:lang w:val="en-AU"/>
        </w:rPr>
        <w:t xml:space="preserve"> </w:t>
      </w:r>
      <w:r w:rsidR="00CE44AE" w:rsidRPr="00CE44AE">
        <w:rPr>
          <w:rFonts w:eastAsiaTheme="minorHAnsi"/>
          <w:color w:val="000000"/>
          <w:sz w:val="22"/>
          <w:szCs w:val="22"/>
          <w:lang w:val="en-AU"/>
        </w:rPr>
        <w:t xml:space="preserve">which is </w:t>
      </w:r>
      <w:r w:rsidR="00960340">
        <w:rPr>
          <w:rFonts w:eastAsiaTheme="minorHAnsi"/>
          <w:color w:val="000000"/>
          <w:sz w:val="22"/>
          <w:szCs w:val="22"/>
          <w:lang w:val="en-AU"/>
        </w:rPr>
        <w:t>due to sunset</w:t>
      </w:r>
      <w:r w:rsidR="00307D41">
        <w:rPr>
          <w:rFonts w:eastAsiaTheme="minorHAnsi"/>
          <w:color w:val="000000"/>
          <w:sz w:val="22"/>
          <w:szCs w:val="22"/>
          <w:lang w:val="en-AU"/>
        </w:rPr>
        <w:t xml:space="preserve"> on 1 October 2020</w:t>
      </w:r>
      <w:r w:rsidR="00960340">
        <w:rPr>
          <w:rFonts w:eastAsiaTheme="minorHAnsi"/>
          <w:color w:val="000000"/>
          <w:sz w:val="22"/>
          <w:szCs w:val="22"/>
          <w:lang w:val="en-AU"/>
        </w:rPr>
        <w:t xml:space="preserve"> pursuant to the </w:t>
      </w:r>
      <w:r w:rsidR="00960340" w:rsidRPr="00960340">
        <w:rPr>
          <w:rFonts w:eastAsiaTheme="minorHAnsi"/>
          <w:i/>
          <w:color w:val="000000"/>
          <w:sz w:val="22"/>
          <w:szCs w:val="22"/>
          <w:lang w:val="en-AU"/>
        </w:rPr>
        <w:t>Legislation Act 2003</w:t>
      </w:r>
      <w:r w:rsidR="00642CC2">
        <w:rPr>
          <w:rFonts w:eastAsiaTheme="minorHAnsi"/>
          <w:color w:val="000000"/>
          <w:sz w:val="22"/>
          <w:szCs w:val="22"/>
          <w:lang w:val="en-AU"/>
        </w:rPr>
        <w:t>.</w:t>
      </w:r>
    </w:p>
    <w:p w14:paraId="14E96601" w14:textId="77777777" w:rsidR="00220555" w:rsidRPr="00BA5604" w:rsidRDefault="00220555" w:rsidP="00220555">
      <w:pPr>
        <w:spacing w:before="0" w:after="0"/>
        <w:rPr>
          <w:sz w:val="22"/>
          <w:szCs w:val="22"/>
        </w:rPr>
      </w:pPr>
    </w:p>
    <w:p w14:paraId="63AEAA80" w14:textId="23A1B3E7" w:rsidR="00E2321F" w:rsidRDefault="00E2321F" w:rsidP="00E2321F">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 xml:space="preserve">Section 41BEA of the Act provides that the Secretary may, by legislative instrument, specify purposes </w:t>
      </w:r>
      <w:r w:rsidR="00B925FD">
        <w:rPr>
          <w:rFonts w:eastAsiaTheme="minorHAnsi"/>
          <w:color w:val="000000"/>
          <w:sz w:val="22"/>
          <w:szCs w:val="22"/>
          <w:lang w:val="en-AU"/>
        </w:rPr>
        <w:t>for the purposes of</w:t>
      </w:r>
      <w:r>
        <w:rPr>
          <w:rFonts w:eastAsiaTheme="minorHAnsi"/>
          <w:color w:val="000000"/>
          <w:sz w:val="22"/>
          <w:szCs w:val="22"/>
          <w:lang w:val="en-AU"/>
        </w:rPr>
        <w:t xml:space="preserve"> paragraph 41FD(ia) and subsection 41FF(1A) of the Act. Paragraph 41FD(ia) requires an applicant for inclusion of a kind of medical device in the Register to certify that devices of that kind are not to be used exclusively for one or more of the purposes specified under section 41BEA. Subsection 41FF(1A) provides that the Secretary must not include a kind of device in the Register if the Secretary is satisfied that the kind of device is to be used exclusively for one or more of the purposes</w:t>
      </w:r>
      <w:r w:rsidR="00642CC2">
        <w:rPr>
          <w:rFonts w:eastAsiaTheme="minorHAnsi"/>
          <w:color w:val="000000"/>
          <w:sz w:val="22"/>
          <w:szCs w:val="22"/>
          <w:lang w:val="en-AU"/>
        </w:rPr>
        <w:t xml:space="preserve"> specified under section 41BEA.</w:t>
      </w:r>
    </w:p>
    <w:p w14:paraId="3ECFD85A" w14:textId="77777777" w:rsidR="00E2321F" w:rsidRDefault="00E2321F" w:rsidP="00E2321F">
      <w:pPr>
        <w:autoSpaceDE w:val="0"/>
        <w:autoSpaceDN w:val="0"/>
        <w:adjustRightInd w:val="0"/>
        <w:spacing w:before="0" w:after="0"/>
        <w:rPr>
          <w:rFonts w:eastAsiaTheme="minorHAnsi"/>
          <w:color w:val="000000"/>
          <w:sz w:val="22"/>
          <w:szCs w:val="22"/>
          <w:lang w:val="en-AU"/>
        </w:rPr>
      </w:pPr>
    </w:p>
    <w:p w14:paraId="46ABC518" w14:textId="2E50897A" w:rsidR="00E2321F" w:rsidRDefault="00E2321F" w:rsidP="00E2321F">
      <w:pPr>
        <w:autoSpaceDE w:val="0"/>
        <w:autoSpaceDN w:val="0"/>
        <w:adjustRightInd w:val="0"/>
        <w:spacing w:before="0" w:after="0"/>
        <w:rPr>
          <w:rFonts w:eastAsiaTheme="minorHAnsi"/>
          <w:color w:val="000000"/>
          <w:sz w:val="22"/>
          <w:szCs w:val="22"/>
          <w:lang w:val="en-AU"/>
        </w:rPr>
      </w:pPr>
      <w:r w:rsidRPr="00E649A6">
        <w:rPr>
          <w:rFonts w:eastAsiaTheme="minorHAnsi"/>
          <w:color w:val="000000"/>
          <w:sz w:val="22"/>
          <w:szCs w:val="22"/>
          <w:lang w:val="en-AU"/>
        </w:rPr>
        <w:t xml:space="preserve">Home-use or self-testing </w:t>
      </w:r>
      <w:r>
        <w:rPr>
          <w:rFonts w:eastAsiaTheme="minorHAnsi"/>
          <w:color w:val="000000"/>
          <w:sz w:val="22"/>
          <w:szCs w:val="22"/>
          <w:lang w:val="en-AU"/>
        </w:rPr>
        <w:t xml:space="preserve">in vitro diagnostic </w:t>
      </w:r>
      <w:r w:rsidR="007F5F50">
        <w:rPr>
          <w:rFonts w:eastAsiaTheme="minorHAnsi"/>
          <w:color w:val="000000"/>
          <w:sz w:val="22"/>
          <w:szCs w:val="22"/>
          <w:lang w:val="en-AU"/>
        </w:rPr>
        <w:t xml:space="preserve">medical </w:t>
      </w:r>
      <w:r>
        <w:rPr>
          <w:rFonts w:eastAsiaTheme="minorHAnsi"/>
          <w:color w:val="000000"/>
          <w:sz w:val="22"/>
          <w:szCs w:val="22"/>
          <w:lang w:val="en-AU"/>
        </w:rPr>
        <w:t>device</w:t>
      </w:r>
      <w:r w:rsidRPr="00E649A6">
        <w:rPr>
          <w:rFonts w:eastAsiaTheme="minorHAnsi"/>
          <w:color w:val="000000"/>
          <w:sz w:val="22"/>
          <w:szCs w:val="22"/>
          <w:lang w:val="en-AU"/>
        </w:rPr>
        <w:t>s</w:t>
      </w:r>
      <w:r>
        <w:rPr>
          <w:rFonts w:eastAsiaTheme="minorHAnsi"/>
          <w:color w:val="000000"/>
          <w:sz w:val="22"/>
          <w:szCs w:val="22"/>
          <w:lang w:val="en-AU"/>
        </w:rPr>
        <w:t xml:space="preserve"> (</w:t>
      </w:r>
      <w:r w:rsidR="00F7244D">
        <w:rPr>
          <w:rFonts w:eastAsiaTheme="minorHAnsi"/>
          <w:color w:val="000000"/>
          <w:sz w:val="22"/>
          <w:szCs w:val="22"/>
          <w:lang w:val="en-AU"/>
        </w:rPr>
        <w:t>“</w:t>
      </w:r>
      <w:r>
        <w:rPr>
          <w:rFonts w:eastAsiaTheme="minorHAnsi"/>
          <w:color w:val="000000"/>
          <w:sz w:val="22"/>
          <w:szCs w:val="22"/>
          <w:lang w:val="en-AU"/>
        </w:rPr>
        <w:t>IVDs</w:t>
      </w:r>
      <w:r w:rsidR="00F7244D">
        <w:rPr>
          <w:rFonts w:eastAsiaTheme="minorHAnsi"/>
          <w:color w:val="000000"/>
          <w:sz w:val="22"/>
          <w:szCs w:val="22"/>
          <w:lang w:val="en-AU"/>
        </w:rPr>
        <w:t>”</w:t>
      </w:r>
      <w:r>
        <w:rPr>
          <w:rFonts w:eastAsiaTheme="minorHAnsi"/>
          <w:color w:val="000000"/>
          <w:sz w:val="22"/>
          <w:szCs w:val="22"/>
          <w:lang w:val="en-AU"/>
        </w:rPr>
        <w:t>)</w:t>
      </w:r>
      <w:r w:rsidRPr="00E649A6">
        <w:rPr>
          <w:rFonts w:eastAsiaTheme="minorHAnsi"/>
          <w:color w:val="000000"/>
          <w:sz w:val="22"/>
          <w:szCs w:val="22"/>
          <w:lang w:val="en-AU"/>
        </w:rPr>
        <w:t xml:space="preserve"> for serious diseases (e.g. notifiable infectious diseases, sexually transmitted diseases, cancer</w:t>
      </w:r>
      <w:r>
        <w:rPr>
          <w:rFonts w:eastAsiaTheme="minorHAnsi"/>
          <w:color w:val="000000"/>
          <w:sz w:val="22"/>
          <w:szCs w:val="22"/>
          <w:lang w:val="en-AU"/>
        </w:rPr>
        <w:t xml:space="preserve"> and </w:t>
      </w:r>
      <w:r w:rsidRPr="00E649A6">
        <w:rPr>
          <w:rFonts w:eastAsiaTheme="minorHAnsi"/>
          <w:color w:val="000000"/>
          <w:sz w:val="22"/>
          <w:szCs w:val="22"/>
          <w:lang w:val="en-AU"/>
        </w:rPr>
        <w:t xml:space="preserve">genetic markers of disease) have been prohibited from supply in Australia </w:t>
      </w:r>
      <w:r w:rsidRPr="00E649A6">
        <w:rPr>
          <w:rFonts w:eastAsiaTheme="minorHAnsi"/>
          <w:color w:val="000000"/>
          <w:sz w:val="22"/>
          <w:szCs w:val="22"/>
          <w:lang w:val="en-AU"/>
        </w:rPr>
        <w:lastRenderedPageBreak/>
        <w:t xml:space="preserve">since 1 July 2010 under the </w:t>
      </w:r>
      <w:r w:rsidR="00B925FD">
        <w:rPr>
          <w:rFonts w:eastAsiaTheme="minorHAnsi"/>
          <w:color w:val="000000"/>
          <w:sz w:val="22"/>
          <w:szCs w:val="22"/>
          <w:lang w:val="en-AU"/>
        </w:rPr>
        <w:t>former instrument</w:t>
      </w:r>
      <w:r w:rsidRPr="00E649A6">
        <w:rPr>
          <w:rFonts w:eastAsiaTheme="minorHAnsi"/>
          <w:color w:val="000000"/>
          <w:sz w:val="22"/>
          <w:szCs w:val="22"/>
          <w:lang w:val="en-AU"/>
        </w:rPr>
        <w:t xml:space="preserve">. </w:t>
      </w:r>
      <w:r>
        <w:rPr>
          <w:rFonts w:eastAsiaTheme="minorHAnsi"/>
          <w:color w:val="000000"/>
          <w:sz w:val="22"/>
          <w:szCs w:val="22"/>
          <w:lang w:val="en-AU"/>
        </w:rPr>
        <w:t xml:space="preserve">The </w:t>
      </w:r>
      <w:r w:rsidR="00B925FD">
        <w:rPr>
          <w:rFonts w:eastAsiaTheme="minorHAnsi"/>
          <w:color w:val="000000"/>
          <w:sz w:val="22"/>
          <w:szCs w:val="22"/>
          <w:lang w:val="en-AU"/>
        </w:rPr>
        <w:t>former instrument</w:t>
      </w:r>
      <w:r>
        <w:rPr>
          <w:rFonts w:eastAsiaTheme="minorHAnsi"/>
          <w:color w:val="000000"/>
          <w:sz w:val="22"/>
          <w:szCs w:val="22"/>
          <w:lang w:val="en-AU"/>
        </w:rPr>
        <w:t xml:space="preserve"> was amended in 2014 to allow for the legal supply of human immunodeficiency virus test. The excluded purposes specified in the </w:t>
      </w:r>
      <w:r w:rsidR="00B925FD">
        <w:rPr>
          <w:rFonts w:eastAsiaTheme="minorHAnsi"/>
          <w:color w:val="000000"/>
          <w:sz w:val="22"/>
          <w:szCs w:val="22"/>
          <w:lang w:val="en-AU"/>
        </w:rPr>
        <w:t>former instrument</w:t>
      </w:r>
      <w:r>
        <w:rPr>
          <w:rFonts w:eastAsiaTheme="minorHAnsi"/>
          <w:color w:val="000000"/>
          <w:sz w:val="22"/>
          <w:szCs w:val="22"/>
          <w:lang w:val="en-AU"/>
        </w:rPr>
        <w:t xml:space="preserve"> are those considered inappropriate for an IVD medical device for self-testing and, therefore, devices with an excluded purpose as its sole purpose cannot be included in the Register. As a result, it is unlawful to import, export, or supply or manufacture such a device (unless it is o</w:t>
      </w:r>
      <w:r w:rsidR="00642CC2">
        <w:rPr>
          <w:rFonts w:eastAsiaTheme="minorHAnsi"/>
          <w:color w:val="000000"/>
          <w:sz w:val="22"/>
          <w:szCs w:val="22"/>
          <w:lang w:val="en-AU"/>
        </w:rPr>
        <w:t>therwise exempt under the Act).</w:t>
      </w:r>
    </w:p>
    <w:p w14:paraId="46B4FFBD" w14:textId="77777777" w:rsidR="00E2321F" w:rsidRDefault="00E2321F" w:rsidP="00E2321F">
      <w:pPr>
        <w:autoSpaceDE w:val="0"/>
        <w:autoSpaceDN w:val="0"/>
        <w:adjustRightInd w:val="0"/>
        <w:spacing w:before="0" w:after="0"/>
        <w:rPr>
          <w:rFonts w:eastAsiaTheme="minorHAnsi"/>
          <w:color w:val="000000"/>
          <w:sz w:val="22"/>
          <w:szCs w:val="22"/>
          <w:lang w:val="en-AU"/>
        </w:rPr>
      </w:pPr>
    </w:p>
    <w:p w14:paraId="28C3BD38" w14:textId="73825C6E" w:rsidR="00E2321F" w:rsidRDefault="00E2321F" w:rsidP="00E2321F">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 xml:space="preserve">The </w:t>
      </w:r>
      <w:r w:rsidR="00B925FD">
        <w:rPr>
          <w:rFonts w:eastAsiaTheme="minorHAnsi"/>
          <w:color w:val="000000"/>
          <w:sz w:val="22"/>
          <w:szCs w:val="22"/>
          <w:lang w:val="en-AU"/>
        </w:rPr>
        <w:t>instrument</w:t>
      </w:r>
      <w:r>
        <w:rPr>
          <w:rFonts w:eastAsiaTheme="minorHAnsi"/>
          <w:color w:val="000000"/>
          <w:sz w:val="22"/>
          <w:szCs w:val="22"/>
          <w:lang w:val="en-AU"/>
        </w:rPr>
        <w:t xml:space="preserve"> replaces the </w:t>
      </w:r>
      <w:r w:rsidR="00B925FD">
        <w:rPr>
          <w:rFonts w:eastAsiaTheme="minorHAnsi"/>
          <w:color w:val="000000"/>
          <w:sz w:val="22"/>
          <w:szCs w:val="22"/>
          <w:lang w:val="en-AU"/>
        </w:rPr>
        <w:t>former instrument</w:t>
      </w:r>
      <w:r>
        <w:rPr>
          <w:rFonts w:eastAsiaTheme="minorHAnsi"/>
          <w:color w:val="000000"/>
          <w:sz w:val="22"/>
          <w:szCs w:val="22"/>
          <w:lang w:val="en-AU"/>
        </w:rPr>
        <w:t xml:space="preserve"> </w:t>
      </w:r>
      <w:r w:rsidRPr="0025194A">
        <w:rPr>
          <w:rFonts w:eastAsiaTheme="minorHAnsi"/>
          <w:color w:val="000000"/>
          <w:sz w:val="22"/>
          <w:szCs w:val="22"/>
          <w:lang w:val="en-AU"/>
        </w:rPr>
        <w:t xml:space="preserve">with changes that would allow the supply of </w:t>
      </w:r>
      <w:r>
        <w:rPr>
          <w:rFonts w:eastAsiaTheme="minorHAnsi"/>
          <w:color w:val="000000"/>
          <w:sz w:val="22"/>
          <w:szCs w:val="22"/>
          <w:lang w:val="en-AU"/>
        </w:rPr>
        <w:t xml:space="preserve">Class 3 and 4 IVD medical devices that are </w:t>
      </w:r>
      <w:r w:rsidRPr="0025194A">
        <w:rPr>
          <w:rFonts w:eastAsiaTheme="minorHAnsi"/>
          <w:color w:val="000000"/>
          <w:sz w:val="22"/>
          <w:szCs w:val="22"/>
          <w:lang w:val="en-AU"/>
        </w:rPr>
        <w:t xml:space="preserve">self-tests for some infectious diseases such as influenza, </w:t>
      </w:r>
      <w:r>
        <w:rPr>
          <w:rFonts w:eastAsiaTheme="minorHAnsi"/>
          <w:color w:val="000000"/>
          <w:sz w:val="22"/>
          <w:szCs w:val="22"/>
          <w:lang w:val="en-AU"/>
        </w:rPr>
        <w:t>chlamydia, gonorrhoea, herpes, syphilis</w:t>
      </w:r>
      <w:r w:rsidRPr="0025194A">
        <w:rPr>
          <w:rFonts w:eastAsiaTheme="minorHAnsi"/>
          <w:color w:val="000000"/>
          <w:sz w:val="22"/>
          <w:szCs w:val="22"/>
          <w:lang w:val="en-AU"/>
        </w:rPr>
        <w:t>, hepatitis B and hepatitis C</w:t>
      </w:r>
      <w:r>
        <w:rPr>
          <w:rFonts w:eastAsiaTheme="minorHAnsi"/>
          <w:color w:val="000000"/>
          <w:sz w:val="22"/>
          <w:szCs w:val="22"/>
          <w:lang w:val="en-AU"/>
        </w:rPr>
        <w:t xml:space="preserve"> and self-tests (other than genetic tests) for diabetes, kidney disease </w:t>
      </w:r>
      <w:r w:rsidR="00F7244D">
        <w:rPr>
          <w:rFonts w:eastAsiaTheme="minorHAnsi"/>
          <w:color w:val="000000"/>
          <w:sz w:val="22"/>
          <w:szCs w:val="22"/>
          <w:lang w:val="en-AU"/>
        </w:rPr>
        <w:t xml:space="preserve">or </w:t>
      </w:r>
      <w:r w:rsidR="007F5F50">
        <w:rPr>
          <w:rFonts w:eastAsiaTheme="minorHAnsi"/>
          <w:color w:val="000000"/>
          <w:sz w:val="22"/>
          <w:szCs w:val="22"/>
          <w:lang w:val="en-AU"/>
        </w:rPr>
        <w:t>cardiovascular disease</w:t>
      </w:r>
      <w:r w:rsidRPr="0025194A">
        <w:rPr>
          <w:rFonts w:eastAsiaTheme="minorHAnsi"/>
          <w:color w:val="000000"/>
          <w:sz w:val="22"/>
          <w:szCs w:val="22"/>
          <w:lang w:val="en-AU"/>
        </w:rPr>
        <w:t xml:space="preserve">. </w:t>
      </w:r>
      <w:r>
        <w:rPr>
          <w:rFonts w:eastAsiaTheme="minorHAnsi"/>
          <w:color w:val="000000"/>
          <w:sz w:val="22"/>
          <w:szCs w:val="22"/>
          <w:lang w:val="en-AU"/>
        </w:rPr>
        <w:t xml:space="preserve">Such self-tests would still need to meet applicable regulatory requirements under the Act and be included in the Register (unless otherwise exempt). The </w:t>
      </w:r>
      <w:r w:rsidR="00B925FD">
        <w:rPr>
          <w:rFonts w:eastAsiaTheme="minorHAnsi"/>
          <w:color w:val="000000"/>
          <w:sz w:val="22"/>
          <w:szCs w:val="22"/>
          <w:lang w:val="en-AU"/>
        </w:rPr>
        <w:t>instrument</w:t>
      </w:r>
      <w:r>
        <w:rPr>
          <w:rFonts w:eastAsiaTheme="minorHAnsi"/>
          <w:color w:val="000000"/>
          <w:sz w:val="22"/>
          <w:szCs w:val="22"/>
          <w:lang w:val="en-AU"/>
        </w:rPr>
        <w:t xml:space="preserve"> also includes an excluded purpose for Class 2 IVD medical devices that are for the purpose of t</w:t>
      </w:r>
      <w:r w:rsidR="00642CC2">
        <w:rPr>
          <w:rFonts w:eastAsiaTheme="minorHAnsi"/>
          <w:color w:val="000000"/>
          <w:sz w:val="22"/>
          <w:szCs w:val="22"/>
          <w:lang w:val="en-AU"/>
        </w:rPr>
        <w:t>esting for faecal occult blood.</w:t>
      </w:r>
    </w:p>
    <w:p w14:paraId="783ED2B9" w14:textId="77777777" w:rsidR="00E2321F" w:rsidRDefault="00E2321F" w:rsidP="00E2321F">
      <w:pPr>
        <w:autoSpaceDE w:val="0"/>
        <w:autoSpaceDN w:val="0"/>
        <w:adjustRightInd w:val="0"/>
        <w:spacing w:before="0" w:after="0"/>
        <w:rPr>
          <w:rFonts w:eastAsiaTheme="minorHAnsi"/>
          <w:color w:val="000000"/>
          <w:sz w:val="22"/>
          <w:szCs w:val="22"/>
          <w:lang w:val="en-AU"/>
        </w:rPr>
      </w:pPr>
    </w:p>
    <w:p w14:paraId="279A4E3E" w14:textId="14A43C93" w:rsidR="00116ACA" w:rsidRDefault="00E2321F" w:rsidP="00E2321F">
      <w:pPr>
        <w:spacing w:before="0" w:after="0"/>
        <w:rPr>
          <w:rFonts w:eastAsiaTheme="minorHAnsi"/>
          <w:color w:val="000000"/>
          <w:sz w:val="22"/>
          <w:szCs w:val="22"/>
          <w:lang w:val="en-AU"/>
        </w:rPr>
      </w:pPr>
      <w:r>
        <w:rPr>
          <w:rFonts w:eastAsiaTheme="minorHAnsi"/>
          <w:color w:val="000000"/>
          <w:sz w:val="22"/>
          <w:szCs w:val="22"/>
          <w:lang w:val="en-AU"/>
        </w:rPr>
        <w:t xml:space="preserve">The excluded purposes specified in the </w:t>
      </w:r>
      <w:r w:rsidR="00B925FD">
        <w:rPr>
          <w:rFonts w:eastAsiaTheme="minorHAnsi"/>
          <w:color w:val="000000"/>
          <w:sz w:val="22"/>
          <w:szCs w:val="22"/>
          <w:lang w:val="en-AU"/>
        </w:rPr>
        <w:t>instrument</w:t>
      </w:r>
      <w:r>
        <w:rPr>
          <w:rFonts w:eastAsiaTheme="minorHAnsi"/>
          <w:color w:val="000000"/>
          <w:sz w:val="22"/>
          <w:szCs w:val="22"/>
          <w:lang w:val="en-AU"/>
        </w:rPr>
        <w:t xml:space="preserve"> are considered inappropriate for an IVD medical device for self-testing </w:t>
      </w:r>
      <w:r w:rsidR="00116ACA">
        <w:rPr>
          <w:rFonts w:eastAsiaTheme="minorHAnsi"/>
          <w:color w:val="000000"/>
          <w:sz w:val="22"/>
          <w:szCs w:val="22"/>
          <w:lang w:val="en-AU"/>
        </w:rPr>
        <w:t xml:space="preserve">(given the serious nature of the diseases that may be tested for and that such testing may occur without the involvement of a suitably qualified health professional) </w:t>
      </w:r>
      <w:r>
        <w:rPr>
          <w:rFonts w:eastAsiaTheme="minorHAnsi"/>
          <w:color w:val="000000"/>
          <w:sz w:val="22"/>
          <w:szCs w:val="22"/>
          <w:lang w:val="en-AU"/>
        </w:rPr>
        <w:t xml:space="preserve">and, </w:t>
      </w:r>
      <w:r w:rsidR="00116ACA">
        <w:rPr>
          <w:rFonts w:eastAsiaTheme="minorHAnsi"/>
          <w:color w:val="000000"/>
          <w:sz w:val="22"/>
          <w:szCs w:val="22"/>
          <w:lang w:val="en-AU"/>
        </w:rPr>
        <w:t>as such</w:t>
      </w:r>
      <w:r>
        <w:rPr>
          <w:rFonts w:eastAsiaTheme="minorHAnsi"/>
          <w:color w:val="000000"/>
          <w:sz w:val="22"/>
          <w:szCs w:val="22"/>
          <w:lang w:val="en-AU"/>
        </w:rPr>
        <w:t xml:space="preserve">, </w:t>
      </w:r>
      <w:r w:rsidR="00116ACA">
        <w:rPr>
          <w:rFonts w:eastAsiaTheme="minorHAnsi"/>
          <w:color w:val="000000"/>
          <w:sz w:val="22"/>
          <w:szCs w:val="22"/>
          <w:lang w:val="en-AU"/>
        </w:rPr>
        <w:t xml:space="preserve">where such a kind </w:t>
      </w:r>
      <w:r>
        <w:rPr>
          <w:rFonts w:eastAsiaTheme="minorHAnsi"/>
          <w:color w:val="000000"/>
          <w:sz w:val="22"/>
          <w:szCs w:val="22"/>
          <w:lang w:val="en-AU"/>
        </w:rPr>
        <w:t>device</w:t>
      </w:r>
      <w:r w:rsidR="00116ACA">
        <w:rPr>
          <w:rFonts w:eastAsiaTheme="minorHAnsi"/>
          <w:color w:val="000000"/>
          <w:sz w:val="22"/>
          <w:szCs w:val="22"/>
          <w:lang w:val="en-AU"/>
        </w:rPr>
        <w:t xml:space="preserve"> has</w:t>
      </w:r>
      <w:r>
        <w:rPr>
          <w:rFonts w:eastAsiaTheme="minorHAnsi"/>
          <w:color w:val="000000"/>
          <w:sz w:val="22"/>
          <w:szCs w:val="22"/>
          <w:lang w:val="en-AU"/>
        </w:rPr>
        <w:t xml:space="preserve"> an excluded purpose as its sole purpose</w:t>
      </w:r>
      <w:r w:rsidR="00116ACA">
        <w:rPr>
          <w:rFonts w:eastAsiaTheme="minorHAnsi"/>
          <w:color w:val="000000"/>
          <w:sz w:val="22"/>
          <w:szCs w:val="22"/>
          <w:lang w:val="en-AU"/>
        </w:rPr>
        <w:t>, it</w:t>
      </w:r>
      <w:r>
        <w:rPr>
          <w:rFonts w:eastAsiaTheme="minorHAnsi"/>
          <w:color w:val="000000"/>
          <w:sz w:val="22"/>
          <w:szCs w:val="22"/>
          <w:lang w:val="en-AU"/>
        </w:rPr>
        <w:t xml:space="preserve"> cannot be included in the Register. </w:t>
      </w:r>
    </w:p>
    <w:p w14:paraId="120C335F" w14:textId="77777777" w:rsidR="00116ACA" w:rsidRDefault="00116ACA" w:rsidP="00E2321F">
      <w:pPr>
        <w:spacing w:before="0" w:after="0"/>
        <w:rPr>
          <w:rFonts w:eastAsiaTheme="minorHAnsi"/>
          <w:color w:val="000000"/>
          <w:sz w:val="22"/>
          <w:szCs w:val="22"/>
          <w:lang w:val="en-AU"/>
        </w:rPr>
      </w:pPr>
    </w:p>
    <w:p w14:paraId="1D270B0E" w14:textId="00CEA13C" w:rsidR="00E2321F" w:rsidRDefault="00E2321F" w:rsidP="00E2321F">
      <w:pPr>
        <w:spacing w:before="0" w:after="0"/>
        <w:rPr>
          <w:rFonts w:eastAsiaTheme="minorHAnsi"/>
          <w:color w:val="000000"/>
          <w:sz w:val="22"/>
          <w:szCs w:val="22"/>
          <w:lang w:val="en-AU"/>
        </w:rPr>
      </w:pPr>
      <w:r>
        <w:rPr>
          <w:rFonts w:eastAsiaTheme="minorHAnsi"/>
          <w:color w:val="000000"/>
          <w:sz w:val="22"/>
          <w:szCs w:val="22"/>
          <w:lang w:val="en-AU"/>
        </w:rPr>
        <w:t xml:space="preserve">As a result, it is unlawful to import, export, or supply or manufacture such a device (unless it is otherwise exempt under the Act). An IVD medical device for self-testing is defined in the </w:t>
      </w:r>
      <w:r w:rsidRPr="00D16A95">
        <w:rPr>
          <w:rFonts w:eastAsiaTheme="minorHAnsi"/>
          <w:i/>
          <w:color w:val="000000"/>
          <w:sz w:val="22"/>
          <w:szCs w:val="22"/>
          <w:lang w:val="en-AU"/>
        </w:rPr>
        <w:t>Therapeutic Goods (Medical Devices) Regulations 2002</w:t>
      </w:r>
      <w:r>
        <w:rPr>
          <w:rFonts w:eastAsiaTheme="minorHAnsi"/>
          <w:color w:val="000000"/>
          <w:sz w:val="22"/>
          <w:szCs w:val="22"/>
          <w:lang w:val="en-AU"/>
        </w:rPr>
        <w:t xml:space="preserve"> as an IVD medical device intended to be used in the home or similar environment by a lay person, or in the collection of a sample by a lay person and, if that sample is tested by another person, the results are returned directly to the person from whom the sample was taken without the direct supervision of a health professional who has formal training in a medical field or discipline to which the self-testing relates.</w:t>
      </w:r>
    </w:p>
    <w:p w14:paraId="0DA15E8B" w14:textId="77777777" w:rsidR="00CE44AE" w:rsidRPr="00CE44AE" w:rsidRDefault="00CE44AE" w:rsidP="00CE44AE">
      <w:pPr>
        <w:spacing w:before="0" w:after="0"/>
        <w:rPr>
          <w:rFonts w:eastAsiaTheme="minorHAnsi"/>
          <w:sz w:val="22"/>
          <w:szCs w:val="22"/>
          <w:lang w:val="en-AU"/>
        </w:rPr>
      </w:pPr>
    </w:p>
    <w:p w14:paraId="07244A80" w14:textId="77777777" w:rsidR="00220555" w:rsidRPr="00BA5604" w:rsidRDefault="00220555" w:rsidP="00220555">
      <w:pPr>
        <w:spacing w:before="0" w:after="0"/>
        <w:rPr>
          <w:b/>
          <w:sz w:val="22"/>
          <w:szCs w:val="22"/>
        </w:rPr>
      </w:pPr>
      <w:r w:rsidRPr="00BA5604">
        <w:rPr>
          <w:b/>
          <w:sz w:val="22"/>
          <w:szCs w:val="22"/>
        </w:rPr>
        <w:lastRenderedPageBreak/>
        <w:t>Human rights implications</w:t>
      </w:r>
    </w:p>
    <w:p w14:paraId="3330253C" w14:textId="77777777" w:rsidR="00B8104C" w:rsidRDefault="00B8104C" w:rsidP="00220555">
      <w:pPr>
        <w:spacing w:before="0" w:after="0"/>
        <w:rPr>
          <w:sz w:val="22"/>
          <w:szCs w:val="22"/>
        </w:rPr>
      </w:pPr>
    </w:p>
    <w:p w14:paraId="202FBC27" w14:textId="7764C306" w:rsidR="00B8104C" w:rsidRDefault="00220555" w:rsidP="00220555">
      <w:pPr>
        <w:spacing w:before="0" w:after="0"/>
        <w:rPr>
          <w:sz w:val="22"/>
          <w:szCs w:val="22"/>
        </w:rPr>
      </w:pPr>
      <w:r w:rsidRPr="00BA5604">
        <w:rPr>
          <w:sz w:val="22"/>
          <w:szCs w:val="22"/>
        </w:rPr>
        <w:t xml:space="preserve">The </w:t>
      </w:r>
      <w:r w:rsidR="00B925FD">
        <w:rPr>
          <w:rFonts w:eastAsiaTheme="minorHAnsi"/>
          <w:color w:val="000000"/>
          <w:sz w:val="22"/>
          <w:szCs w:val="22"/>
          <w:lang w:val="en-AU"/>
        </w:rPr>
        <w:t>instrument</w:t>
      </w:r>
      <w:r w:rsidR="009D4837">
        <w:rPr>
          <w:rFonts w:eastAsiaTheme="minorHAnsi"/>
          <w:color w:val="000000"/>
          <w:sz w:val="22"/>
          <w:szCs w:val="22"/>
          <w:lang w:val="en-AU"/>
        </w:rPr>
        <w:t xml:space="preserve"> </w:t>
      </w:r>
      <w:r w:rsidRPr="00BA5604">
        <w:rPr>
          <w:sz w:val="22"/>
          <w:szCs w:val="22"/>
        </w:rPr>
        <w:t>engage</w:t>
      </w:r>
      <w:r>
        <w:rPr>
          <w:sz w:val="22"/>
          <w:szCs w:val="22"/>
        </w:rPr>
        <w:t>s</w:t>
      </w:r>
      <w:r w:rsidRPr="00BA5604">
        <w:rPr>
          <w:sz w:val="22"/>
          <w:szCs w:val="22"/>
        </w:rPr>
        <w:t xml:space="preserve"> the right to health in Article 12 of the International Covenant on Economic, Social and Cultural Rights (ICESCR).</w:t>
      </w:r>
      <w:r w:rsidR="00B8104C">
        <w:rPr>
          <w:sz w:val="22"/>
          <w:szCs w:val="22"/>
        </w:rPr>
        <w:t xml:space="preserve">  </w:t>
      </w:r>
      <w:r w:rsidRPr="00BA5604">
        <w:rPr>
          <w:sz w:val="22"/>
          <w:szCs w:val="22"/>
        </w:rPr>
        <w:t>Article 12 of the ICESCR promotes the right of all individuals to enjoy the highest attainable standards of physical and mental health.</w:t>
      </w:r>
    </w:p>
    <w:p w14:paraId="76997F12" w14:textId="77777777" w:rsidR="00B8104C" w:rsidRDefault="00B8104C" w:rsidP="00220555">
      <w:pPr>
        <w:spacing w:before="0" w:after="0"/>
        <w:rPr>
          <w:sz w:val="22"/>
          <w:szCs w:val="22"/>
        </w:rPr>
      </w:pPr>
    </w:p>
    <w:p w14:paraId="04C143ED" w14:textId="6C637FC9" w:rsidR="00220555" w:rsidRPr="00BA5604" w:rsidRDefault="00220555" w:rsidP="00220555">
      <w:pPr>
        <w:spacing w:before="0" w:after="0"/>
        <w:rPr>
          <w:sz w:val="22"/>
          <w:szCs w:val="22"/>
        </w:rPr>
      </w:pPr>
      <w:r w:rsidRPr="00BA5604">
        <w:rPr>
          <w:sz w:val="22"/>
          <w:szCs w:val="22"/>
        </w:rPr>
        <w:t xml:space="preserve">In </w:t>
      </w:r>
      <w:r w:rsidRPr="00B8104C">
        <w:rPr>
          <w:i/>
          <w:sz w:val="22"/>
          <w:szCs w:val="22"/>
        </w:rPr>
        <w:t xml:space="preserve">General Comment No.14: The Right to the Highest Attainable Standard of Health (Art.12) </w:t>
      </w:r>
      <w:r w:rsidRPr="00BA5604">
        <w:rPr>
          <w:sz w:val="22"/>
          <w:szCs w:val="22"/>
        </w:rPr>
        <w:t>(2000),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05579027" w14:textId="77777777" w:rsidR="00220555" w:rsidRPr="00BA5604" w:rsidRDefault="00220555" w:rsidP="00220555">
      <w:pPr>
        <w:spacing w:before="0" w:after="0"/>
        <w:rPr>
          <w:sz w:val="22"/>
          <w:szCs w:val="22"/>
        </w:rPr>
      </w:pPr>
    </w:p>
    <w:p w14:paraId="1D9F15D2" w14:textId="5BA177AA" w:rsidR="000A0907" w:rsidRDefault="00220555" w:rsidP="000A6463">
      <w:pPr>
        <w:spacing w:before="0" w:after="0"/>
        <w:rPr>
          <w:sz w:val="22"/>
          <w:szCs w:val="22"/>
        </w:rPr>
      </w:pPr>
      <w:r w:rsidRPr="00BA5604">
        <w:rPr>
          <w:sz w:val="22"/>
          <w:szCs w:val="22"/>
        </w:rPr>
        <w:t xml:space="preserve">The </w:t>
      </w:r>
      <w:r w:rsidR="00B925FD">
        <w:rPr>
          <w:rFonts w:eastAsiaTheme="minorHAnsi"/>
          <w:color w:val="000000"/>
          <w:sz w:val="22"/>
          <w:szCs w:val="22"/>
          <w:lang w:val="en-AU"/>
        </w:rPr>
        <w:t>instrument</w:t>
      </w:r>
      <w:r w:rsidR="009D4837">
        <w:rPr>
          <w:rFonts w:eastAsiaTheme="minorHAnsi"/>
          <w:color w:val="000000"/>
          <w:sz w:val="22"/>
          <w:szCs w:val="22"/>
          <w:lang w:val="en-AU"/>
        </w:rPr>
        <w:t xml:space="preserve"> </w:t>
      </w:r>
      <w:r w:rsidRPr="00BA5604">
        <w:rPr>
          <w:sz w:val="22"/>
          <w:szCs w:val="22"/>
        </w:rPr>
        <w:t xml:space="preserve">takes positive steps to support the right to health by </w:t>
      </w:r>
      <w:r w:rsidR="00E70668">
        <w:rPr>
          <w:sz w:val="22"/>
          <w:szCs w:val="22"/>
        </w:rPr>
        <w:t xml:space="preserve">prohibiting the supply of self-testing for certain conditions where it is not appropriate for individuals to self-test. For </w:t>
      </w:r>
      <w:r w:rsidR="00E70668" w:rsidRPr="009D4837">
        <w:rPr>
          <w:sz w:val="22"/>
          <w:szCs w:val="22"/>
        </w:rPr>
        <w:t xml:space="preserve">example, testing </w:t>
      </w:r>
      <w:r w:rsidR="00E2321F">
        <w:rPr>
          <w:sz w:val="22"/>
          <w:szCs w:val="22"/>
        </w:rPr>
        <w:t xml:space="preserve">with Class 3 and </w:t>
      </w:r>
      <w:r w:rsidR="00116ACA">
        <w:rPr>
          <w:sz w:val="22"/>
          <w:szCs w:val="22"/>
        </w:rPr>
        <w:t xml:space="preserve">Class </w:t>
      </w:r>
      <w:r w:rsidR="00E2321F">
        <w:rPr>
          <w:sz w:val="22"/>
          <w:szCs w:val="22"/>
        </w:rPr>
        <w:t xml:space="preserve">4 IVD medical devices </w:t>
      </w:r>
      <w:r w:rsidR="005D300C">
        <w:rPr>
          <w:sz w:val="22"/>
          <w:szCs w:val="22"/>
        </w:rPr>
        <w:t>are</w:t>
      </w:r>
      <w:r w:rsidR="000A6463">
        <w:rPr>
          <w:sz w:val="22"/>
          <w:szCs w:val="22"/>
        </w:rPr>
        <w:t xml:space="preserve"> not generally considered</w:t>
      </w:r>
      <w:r w:rsidR="00E70668">
        <w:rPr>
          <w:sz w:val="22"/>
          <w:szCs w:val="22"/>
        </w:rPr>
        <w:t xml:space="preserve"> appropriate </w:t>
      </w:r>
      <w:r w:rsidR="009D4837">
        <w:rPr>
          <w:sz w:val="22"/>
          <w:szCs w:val="22"/>
        </w:rPr>
        <w:t>without</w:t>
      </w:r>
      <w:r w:rsidR="00E70668">
        <w:rPr>
          <w:sz w:val="22"/>
          <w:szCs w:val="22"/>
        </w:rPr>
        <w:t xml:space="preserve"> consulting a medical practitioner or other health </w:t>
      </w:r>
      <w:r w:rsidR="00116ACA">
        <w:rPr>
          <w:sz w:val="22"/>
          <w:szCs w:val="22"/>
        </w:rPr>
        <w:t>professional</w:t>
      </w:r>
      <w:r w:rsidR="00E70668">
        <w:rPr>
          <w:sz w:val="22"/>
          <w:szCs w:val="22"/>
        </w:rPr>
        <w:t xml:space="preserve"> or are beyond the ability of the average person to evaluate accurately or treat safely without supervision by a medical or other health </w:t>
      </w:r>
      <w:r w:rsidR="00116ACA">
        <w:rPr>
          <w:sz w:val="22"/>
          <w:szCs w:val="22"/>
        </w:rPr>
        <w:t>professional</w:t>
      </w:r>
      <w:r w:rsidR="00E70668">
        <w:rPr>
          <w:sz w:val="22"/>
          <w:szCs w:val="22"/>
        </w:rPr>
        <w:t xml:space="preserve">. </w:t>
      </w:r>
    </w:p>
    <w:p w14:paraId="6F5A44CF" w14:textId="77777777" w:rsidR="000A0907" w:rsidRDefault="000A0907" w:rsidP="000A6463">
      <w:pPr>
        <w:spacing w:before="0" w:after="0"/>
        <w:rPr>
          <w:sz w:val="22"/>
          <w:szCs w:val="22"/>
        </w:rPr>
      </w:pPr>
    </w:p>
    <w:p w14:paraId="182EE738" w14:textId="517ACEBF" w:rsidR="00116ACA" w:rsidRDefault="000A6463" w:rsidP="000A6463">
      <w:pPr>
        <w:spacing w:before="0" w:after="0"/>
        <w:rPr>
          <w:sz w:val="22"/>
          <w:szCs w:val="22"/>
        </w:rPr>
      </w:pPr>
      <w:r>
        <w:rPr>
          <w:sz w:val="22"/>
          <w:szCs w:val="22"/>
        </w:rPr>
        <w:t>Some IVD medical devices for self-testing are not prohibited</w:t>
      </w:r>
      <w:r w:rsidR="00D02DAF">
        <w:rPr>
          <w:sz w:val="22"/>
          <w:szCs w:val="22"/>
        </w:rPr>
        <w:t>, such as certain sexually transmissible disease,</w:t>
      </w:r>
      <w:r>
        <w:rPr>
          <w:sz w:val="22"/>
          <w:szCs w:val="22"/>
        </w:rPr>
        <w:t xml:space="preserve"> as there are </w:t>
      </w:r>
      <w:r w:rsidRPr="00D360E1">
        <w:rPr>
          <w:sz w:val="22"/>
          <w:szCs w:val="22"/>
        </w:rPr>
        <w:t xml:space="preserve">greater benefits arising from supply of certain self-tests, and risk mitigations </w:t>
      </w:r>
      <w:r>
        <w:rPr>
          <w:sz w:val="22"/>
          <w:szCs w:val="22"/>
        </w:rPr>
        <w:t>are</w:t>
      </w:r>
      <w:r w:rsidRPr="00D360E1">
        <w:rPr>
          <w:sz w:val="22"/>
          <w:szCs w:val="22"/>
        </w:rPr>
        <w:t xml:space="preserve"> in place</w:t>
      </w:r>
      <w:r w:rsidR="00116ACA">
        <w:rPr>
          <w:sz w:val="22"/>
          <w:szCs w:val="22"/>
        </w:rPr>
        <w:t>, including in relation to supporting increased access to testing populations less likely to see a medical practitioner such as intravenous drug users, LGBTQI individuals and people in rural or remote areas, and in relation to reducing delays in testing and supporting earlier treatment</w:t>
      </w:r>
      <w:r w:rsidR="00642CC2">
        <w:rPr>
          <w:sz w:val="22"/>
          <w:szCs w:val="22"/>
        </w:rPr>
        <w:t>.</w:t>
      </w:r>
    </w:p>
    <w:p w14:paraId="273F82DC" w14:textId="77777777" w:rsidR="000A6463" w:rsidRDefault="000A6463" w:rsidP="000A6463">
      <w:pPr>
        <w:spacing w:before="0" w:after="0"/>
        <w:rPr>
          <w:b/>
          <w:sz w:val="22"/>
          <w:szCs w:val="22"/>
        </w:rPr>
      </w:pPr>
    </w:p>
    <w:p w14:paraId="04B170BC" w14:textId="645912A3" w:rsidR="00220555" w:rsidRPr="00BA5604" w:rsidRDefault="00220555" w:rsidP="00220555">
      <w:pPr>
        <w:spacing w:before="0" w:after="0"/>
        <w:rPr>
          <w:b/>
          <w:sz w:val="22"/>
          <w:szCs w:val="22"/>
        </w:rPr>
      </w:pPr>
      <w:r w:rsidRPr="00BA5604">
        <w:rPr>
          <w:b/>
          <w:sz w:val="22"/>
          <w:szCs w:val="22"/>
        </w:rPr>
        <w:t>Conclusion</w:t>
      </w:r>
    </w:p>
    <w:p w14:paraId="0C85D0F8" w14:textId="4AD34AD4" w:rsidR="00220555" w:rsidRPr="004813C1" w:rsidRDefault="00220555" w:rsidP="00B8104C">
      <w:pPr>
        <w:spacing w:before="0" w:after="0"/>
        <w:rPr>
          <w:sz w:val="22"/>
          <w:szCs w:val="22"/>
        </w:rPr>
      </w:pPr>
      <w:r w:rsidRPr="00BA5604">
        <w:rPr>
          <w:sz w:val="22"/>
          <w:szCs w:val="22"/>
        </w:rPr>
        <w:lastRenderedPageBreak/>
        <w:t xml:space="preserve">The </w:t>
      </w:r>
      <w:r w:rsidR="00B925FD">
        <w:rPr>
          <w:sz w:val="22"/>
          <w:szCs w:val="22"/>
        </w:rPr>
        <w:t>instrument</w:t>
      </w:r>
      <w:r w:rsidR="009D4837">
        <w:rPr>
          <w:rFonts w:eastAsiaTheme="minorHAnsi"/>
          <w:color w:val="000000"/>
          <w:sz w:val="22"/>
          <w:szCs w:val="22"/>
          <w:lang w:val="en-AU"/>
        </w:rPr>
        <w:t xml:space="preserve"> </w:t>
      </w:r>
      <w:r>
        <w:rPr>
          <w:sz w:val="22"/>
          <w:szCs w:val="22"/>
        </w:rPr>
        <w:t>is</w:t>
      </w:r>
      <w:r w:rsidRPr="00BA5604">
        <w:rPr>
          <w:sz w:val="22"/>
          <w:szCs w:val="22"/>
        </w:rPr>
        <w:t xml:space="preserve"> compatible with human rights because </w:t>
      </w:r>
      <w:r>
        <w:rPr>
          <w:sz w:val="22"/>
          <w:szCs w:val="22"/>
        </w:rPr>
        <w:t xml:space="preserve">it </w:t>
      </w:r>
      <w:r w:rsidR="000A6463">
        <w:rPr>
          <w:sz w:val="22"/>
          <w:szCs w:val="22"/>
        </w:rPr>
        <w:t>maintains and supports</w:t>
      </w:r>
      <w:r w:rsidRPr="00BA5604">
        <w:rPr>
          <w:sz w:val="22"/>
          <w:szCs w:val="22"/>
        </w:rPr>
        <w:t xml:space="preserve"> the right to health in Article 12 of the ICESCR and </w:t>
      </w:r>
      <w:r w:rsidR="00CF757E">
        <w:rPr>
          <w:sz w:val="22"/>
          <w:szCs w:val="22"/>
        </w:rPr>
        <w:t xml:space="preserve">otherwise </w:t>
      </w:r>
      <w:r w:rsidRPr="00BA5604">
        <w:rPr>
          <w:sz w:val="22"/>
          <w:szCs w:val="22"/>
        </w:rPr>
        <w:t>do</w:t>
      </w:r>
      <w:r>
        <w:rPr>
          <w:sz w:val="22"/>
          <w:szCs w:val="22"/>
        </w:rPr>
        <w:t>es</w:t>
      </w:r>
      <w:r w:rsidRPr="00BA5604">
        <w:rPr>
          <w:sz w:val="22"/>
          <w:szCs w:val="22"/>
        </w:rPr>
        <w:t xml:space="preserve"> not raise any other human rights issues.</w:t>
      </w:r>
    </w:p>
    <w:sectPr w:rsidR="00220555" w:rsidRPr="004813C1" w:rsidSect="00872BB1">
      <w:foot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ED0D" w14:textId="77777777" w:rsidR="00C2489D" w:rsidRDefault="00C2489D" w:rsidP="00002885">
      <w:r>
        <w:separator/>
      </w:r>
    </w:p>
  </w:endnote>
  <w:endnote w:type="continuationSeparator" w:id="0">
    <w:p w14:paraId="32E23361" w14:textId="77777777" w:rsidR="00C2489D" w:rsidRDefault="00C2489D"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240664"/>
      <w:docPartObj>
        <w:docPartGallery w:val="Page Numbers (Bottom of Page)"/>
        <w:docPartUnique/>
      </w:docPartObj>
    </w:sdtPr>
    <w:sdtEndPr>
      <w:rPr>
        <w:noProof/>
        <w:sz w:val="22"/>
        <w:szCs w:val="22"/>
      </w:rPr>
    </w:sdtEndPr>
    <w:sdtContent>
      <w:p w14:paraId="6F240BE5" w14:textId="6A73EB89"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66701A">
          <w:rPr>
            <w:noProof/>
            <w:sz w:val="22"/>
            <w:szCs w:val="22"/>
          </w:rPr>
          <w:t>1</w:t>
        </w:r>
        <w:r w:rsidRPr="00B041B3">
          <w:rPr>
            <w:noProof/>
            <w:sz w:val="22"/>
            <w:szCs w:val="22"/>
          </w:rPr>
          <w:fldChar w:fldCharType="end"/>
        </w:r>
      </w:p>
    </w:sdtContent>
  </w:sdt>
  <w:p w14:paraId="18F436CB"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EF581" w14:textId="77777777" w:rsidR="00C2489D" w:rsidRDefault="00C2489D" w:rsidP="00002885">
      <w:r>
        <w:separator/>
      </w:r>
    </w:p>
  </w:footnote>
  <w:footnote w:type="continuationSeparator" w:id="0">
    <w:p w14:paraId="3313892B" w14:textId="77777777" w:rsidR="00C2489D" w:rsidRDefault="00C2489D"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6AA16A50"/>
    <w:multiLevelType w:val="hybridMultilevel"/>
    <w:tmpl w:val="9A52B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CD"/>
    <w:rsid w:val="000014DC"/>
    <w:rsid w:val="00002787"/>
    <w:rsid w:val="00002885"/>
    <w:rsid w:val="000031D3"/>
    <w:rsid w:val="00003F40"/>
    <w:rsid w:val="00004B55"/>
    <w:rsid w:val="00007D7E"/>
    <w:rsid w:val="000104DC"/>
    <w:rsid w:val="00011147"/>
    <w:rsid w:val="00011923"/>
    <w:rsid w:val="00013101"/>
    <w:rsid w:val="0001344B"/>
    <w:rsid w:val="0001557A"/>
    <w:rsid w:val="00015D91"/>
    <w:rsid w:val="00015F7D"/>
    <w:rsid w:val="000163D5"/>
    <w:rsid w:val="00016497"/>
    <w:rsid w:val="00020B01"/>
    <w:rsid w:val="0002378A"/>
    <w:rsid w:val="000239E4"/>
    <w:rsid w:val="000245BC"/>
    <w:rsid w:val="00024635"/>
    <w:rsid w:val="00024DBC"/>
    <w:rsid w:val="000408EE"/>
    <w:rsid w:val="00040E21"/>
    <w:rsid w:val="000410C1"/>
    <w:rsid w:val="000416AC"/>
    <w:rsid w:val="00044A0E"/>
    <w:rsid w:val="000461D2"/>
    <w:rsid w:val="00047A51"/>
    <w:rsid w:val="00050EB5"/>
    <w:rsid w:val="000547AB"/>
    <w:rsid w:val="00057A65"/>
    <w:rsid w:val="00060D54"/>
    <w:rsid w:val="000611B6"/>
    <w:rsid w:val="00061FF7"/>
    <w:rsid w:val="00065A55"/>
    <w:rsid w:val="00067854"/>
    <w:rsid w:val="000723FA"/>
    <w:rsid w:val="000810CF"/>
    <w:rsid w:val="00083426"/>
    <w:rsid w:val="00083B34"/>
    <w:rsid w:val="00085CAB"/>
    <w:rsid w:val="00085F57"/>
    <w:rsid w:val="0008693E"/>
    <w:rsid w:val="0009060C"/>
    <w:rsid w:val="00090731"/>
    <w:rsid w:val="0009108E"/>
    <w:rsid w:val="0009240B"/>
    <w:rsid w:val="00094186"/>
    <w:rsid w:val="00094E8B"/>
    <w:rsid w:val="00096CF4"/>
    <w:rsid w:val="00097388"/>
    <w:rsid w:val="000A0618"/>
    <w:rsid w:val="000A0907"/>
    <w:rsid w:val="000A1AE9"/>
    <w:rsid w:val="000A26F2"/>
    <w:rsid w:val="000A30D2"/>
    <w:rsid w:val="000A433D"/>
    <w:rsid w:val="000A54E1"/>
    <w:rsid w:val="000A6132"/>
    <w:rsid w:val="000A6463"/>
    <w:rsid w:val="000A665B"/>
    <w:rsid w:val="000B5294"/>
    <w:rsid w:val="000B6DD8"/>
    <w:rsid w:val="000C0B6E"/>
    <w:rsid w:val="000C119F"/>
    <w:rsid w:val="000C1920"/>
    <w:rsid w:val="000C1F50"/>
    <w:rsid w:val="000C2B11"/>
    <w:rsid w:val="000C6AC7"/>
    <w:rsid w:val="000C7419"/>
    <w:rsid w:val="000D0790"/>
    <w:rsid w:val="000D07F2"/>
    <w:rsid w:val="000D084B"/>
    <w:rsid w:val="000D1217"/>
    <w:rsid w:val="000D5884"/>
    <w:rsid w:val="000D589B"/>
    <w:rsid w:val="000D5B0D"/>
    <w:rsid w:val="000D5C26"/>
    <w:rsid w:val="000D6E73"/>
    <w:rsid w:val="000D7D58"/>
    <w:rsid w:val="000E065B"/>
    <w:rsid w:val="000E10D0"/>
    <w:rsid w:val="000E1A37"/>
    <w:rsid w:val="000E1D7F"/>
    <w:rsid w:val="000E2752"/>
    <w:rsid w:val="000E3A76"/>
    <w:rsid w:val="000F10CF"/>
    <w:rsid w:val="000F2699"/>
    <w:rsid w:val="000F4187"/>
    <w:rsid w:val="000F46C6"/>
    <w:rsid w:val="000F5B73"/>
    <w:rsid w:val="000F66E3"/>
    <w:rsid w:val="000F7064"/>
    <w:rsid w:val="00101113"/>
    <w:rsid w:val="00103637"/>
    <w:rsid w:val="00107427"/>
    <w:rsid w:val="001075FB"/>
    <w:rsid w:val="00107A47"/>
    <w:rsid w:val="001100E5"/>
    <w:rsid w:val="0011193B"/>
    <w:rsid w:val="00112C17"/>
    <w:rsid w:val="001147B1"/>
    <w:rsid w:val="00114E02"/>
    <w:rsid w:val="0011569B"/>
    <w:rsid w:val="00115C3B"/>
    <w:rsid w:val="00116ACA"/>
    <w:rsid w:val="00117231"/>
    <w:rsid w:val="001178E6"/>
    <w:rsid w:val="00121869"/>
    <w:rsid w:val="00121FBA"/>
    <w:rsid w:val="001226D3"/>
    <w:rsid w:val="001247BF"/>
    <w:rsid w:val="001263E3"/>
    <w:rsid w:val="00131841"/>
    <w:rsid w:val="00133E6E"/>
    <w:rsid w:val="00136ECD"/>
    <w:rsid w:val="0013744B"/>
    <w:rsid w:val="00137A4D"/>
    <w:rsid w:val="0014023B"/>
    <w:rsid w:val="00140CDD"/>
    <w:rsid w:val="0015058D"/>
    <w:rsid w:val="00150B6E"/>
    <w:rsid w:val="00150E5B"/>
    <w:rsid w:val="00152DCA"/>
    <w:rsid w:val="00154877"/>
    <w:rsid w:val="00154F69"/>
    <w:rsid w:val="00160B52"/>
    <w:rsid w:val="00160DD7"/>
    <w:rsid w:val="00161FAA"/>
    <w:rsid w:val="00164241"/>
    <w:rsid w:val="001642AC"/>
    <w:rsid w:val="00164EBF"/>
    <w:rsid w:val="00166DC2"/>
    <w:rsid w:val="001671AC"/>
    <w:rsid w:val="001723CD"/>
    <w:rsid w:val="00172990"/>
    <w:rsid w:val="0017322A"/>
    <w:rsid w:val="0017679F"/>
    <w:rsid w:val="00177D93"/>
    <w:rsid w:val="001816D7"/>
    <w:rsid w:val="0018373F"/>
    <w:rsid w:val="0018447A"/>
    <w:rsid w:val="00184ED7"/>
    <w:rsid w:val="0019081A"/>
    <w:rsid w:val="00192452"/>
    <w:rsid w:val="00192D23"/>
    <w:rsid w:val="00195B6C"/>
    <w:rsid w:val="001963A6"/>
    <w:rsid w:val="001A1BAA"/>
    <w:rsid w:val="001A1DA8"/>
    <w:rsid w:val="001A2F53"/>
    <w:rsid w:val="001A7ABF"/>
    <w:rsid w:val="001B16FE"/>
    <w:rsid w:val="001B1A51"/>
    <w:rsid w:val="001B25B0"/>
    <w:rsid w:val="001B2819"/>
    <w:rsid w:val="001B4A08"/>
    <w:rsid w:val="001B79E5"/>
    <w:rsid w:val="001C0CF6"/>
    <w:rsid w:val="001C2836"/>
    <w:rsid w:val="001C28B3"/>
    <w:rsid w:val="001C57FA"/>
    <w:rsid w:val="001C5D69"/>
    <w:rsid w:val="001C5ED4"/>
    <w:rsid w:val="001C6BB5"/>
    <w:rsid w:val="001D0B9A"/>
    <w:rsid w:val="001D29E7"/>
    <w:rsid w:val="001D49AC"/>
    <w:rsid w:val="001D5A68"/>
    <w:rsid w:val="001D5F61"/>
    <w:rsid w:val="001E0522"/>
    <w:rsid w:val="001E16D6"/>
    <w:rsid w:val="001E298A"/>
    <w:rsid w:val="001E2BA3"/>
    <w:rsid w:val="001E3F97"/>
    <w:rsid w:val="001E5AF0"/>
    <w:rsid w:val="001E7A9B"/>
    <w:rsid w:val="001F1E01"/>
    <w:rsid w:val="001F2A71"/>
    <w:rsid w:val="001F75C8"/>
    <w:rsid w:val="00200F2D"/>
    <w:rsid w:val="002021F7"/>
    <w:rsid w:val="00202E44"/>
    <w:rsid w:val="00202F89"/>
    <w:rsid w:val="00203D86"/>
    <w:rsid w:val="00204AB8"/>
    <w:rsid w:val="0020549C"/>
    <w:rsid w:val="00206991"/>
    <w:rsid w:val="002112E6"/>
    <w:rsid w:val="00213C33"/>
    <w:rsid w:val="00214730"/>
    <w:rsid w:val="00215C67"/>
    <w:rsid w:val="002167F3"/>
    <w:rsid w:val="002173F5"/>
    <w:rsid w:val="00220555"/>
    <w:rsid w:val="00220D4B"/>
    <w:rsid w:val="002244F4"/>
    <w:rsid w:val="00227CFA"/>
    <w:rsid w:val="002305C1"/>
    <w:rsid w:val="00231DF6"/>
    <w:rsid w:val="0023235D"/>
    <w:rsid w:val="00235B34"/>
    <w:rsid w:val="00237639"/>
    <w:rsid w:val="00240A4C"/>
    <w:rsid w:val="00240DB3"/>
    <w:rsid w:val="00245C64"/>
    <w:rsid w:val="002472DF"/>
    <w:rsid w:val="00250856"/>
    <w:rsid w:val="0025194A"/>
    <w:rsid w:val="0025421D"/>
    <w:rsid w:val="00255241"/>
    <w:rsid w:val="00260771"/>
    <w:rsid w:val="00260B7A"/>
    <w:rsid w:val="002617D0"/>
    <w:rsid w:val="0026204F"/>
    <w:rsid w:val="0026226E"/>
    <w:rsid w:val="00264740"/>
    <w:rsid w:val="00272528"/>
    <w:rsid w:val="00274950"/>
    <w:rsid w:val="00277672"/>
    <w:rsid w:val="00280FDD"/>
    <w:rsid w:val="00281B78"/>
    <w:rsid w:val="00281CCF"/>
    <w:rsid w:val="00283416"/>
    <w:rsid w:val="00283679"/>
    <w:rsid w:val="00283C62"/>
    <w:rsid w:val="00290C61"/>
    <w:rsid w:val="00290E42"/>
    <w:rsid w:val="00294AC9"/>
    <w:rsid w:val="0029630A"/>
    <w:rsid w:val="00296A3C"/>
    <w:rsid w:val="002A1999"/>
    <w:rsid w:val="002A1A5D"/>
    <w:rsid w:val="002A39A8"/>
    <w:rsid w:val="002A39B3"/>
    <w:rsid w:val="002A5D82"/>
    <w:rsid w:val="002B1352"/>
    <w:rsid w:val="002B1B8E"/>
    <w:rsid w:val="002B5269"/>
    <w:rsid w:val="002B61BD"/>
    <w:rsid w:val="002C121C"/>
    <w:rsid w:val="002C1F13"/>
    <w:rsid w:val="002C2A05"/>
    <w:rsid w:val="002C3D2F"/>
    <w:rsid w:val="002C6882"/>
    <w:rsid w:val="002C7B90"/>
    <w:rsid w:val="002D1B66"/>
    <w:rsid w:val="002D3F55"/>
    <w:rsid w:val="002D4673"/>
    <w:rsid w:val="002D7553"/>
    <w:rsid w:val="002E232E"/>
    <w:rsid w:val="002E2BD8"/>
    <w:rsid w:val="002E4A7A"/>
    <w:rsid w:val="002E7354"/>
    <w:rsid w:val="002F3F6D"/>
    <w:rsid w:val="002F73CA"/>
    <w:rsid w:val="002F74C7"/>
    <w:rsid w:val="00300AA5"/>
    <w:rsid w:val="00300D5F"/>
    <w:rsid w:val="003034DA"/>
    <w:rsid w:val="0030383A"/>
    <w:rsid w:val="00305CB9"/>
    <w:rsid w:val="00307D41"/>
    <w:rsid w:val="003101C1"/>
    <w:rsid w:val="00312644"/>
    <w:rsid w:val="003129B2"/>
    <w:rsid w:val="00313AAD"/>
    <w:rsid w:val="00317537"/>
    <w:rsid w:val="00321DB4"/>
    <w:rsid w:val="00326A6A"/>
    <w:rsid w:val="003300BD"/>
    <w:rsid w:val="00330DF9"/>
    <w:rsid w:val="0033255C"/>
    <w:rsid w:val="00334356"/>
    <w:rsid w:val="00335590"/>
    <w:rsid w:val="00337BC6"/>
    <w:rsid w:val="003404D7"/>
    <w:rsid w:val="00341179"/>
    <w:rsid w:val="003415EF"/>
    <w:rsid w:val="003431F9"/>
    <w:rsid w:val="0034329C"/>
    <w:rsid w:val="003466A5"/>
    <w:rsid w:val="00346FBD"/>
    <w:rsid w:val="00350A18"/>
    <w:rsid w:val="00350AD4"/>
    <w:rsid w:val="003516F4"/>
    <w:rsid w:val="0035375C"/>
    <w:rsid w:val="00354012"/>
    <w:rsid w:val="00357276"/>
    <w:rsid w:val="003572D8"/>
    <w:rsid w:val="00357B5C"/>
    <w:rsid w:val="00360B35"/>
    <w:rsid w:val="00362F90"/>
    <w:rsid w:val="00366B0C"/>
    <w:rsid w:val="0036743D"/>
    <w:rsid w:val="003715A7"/>
    <w:rsid w:val="00372064"/>
    <w:rsid w:val="00373423"/>
    <w:rsid w:val="00374974"/>
    <w:rsid w:val="00377830"/>
    <w:rsid w:val="00377F14"/>
    <w:rsid w:val="003806A8"/>
    <w:rsid w:val="003829DB"/>
    <w:rsid w:val="00383160"/>
    <w:rsid w:val="00384D93"/>
    <w:rsid w:val="003855C2"/>
    <w:rsid w:val="00385F15"/>
    <w:rsid w:val="00391669"/>
    <w:rsid w:val="00391AB4"/>
    <w:rsid w:val="0039322C"/>
    <w:rsid w:val="00395482"/>
    <w:rsid w:val="0039705F"/>
    <w:rsid w:val="003A1DE0"/>
    <w:rsid w:val="003A342F"/>
    <w:rsid w:val="003A3C28"/>
    <w:rsid w:val="003B2A5A"/>
    <w:rsid w:val="003B2E72"/>
    <w:rsid w:val="003B5A6F"/>
    <w:rsid w:val="003C0849"/>
    <w:rsid w:val="003C176C"/>
    <w:rsid w:val="003C2E82"/>
    <w:rsid w:val="003C33DB"/>
    <w:rsid w:val="003C3801"/>
    <w:rsid w:val="003C5E79"/>
    <w:rsid w:val="003C68EC"/>
    <w:rsid w:val="003C777B"/>
    <w:rsid w:val="003D2B5B"/>
    <w:rsid w:val="003D34C8"/>
    <w:rsid w:val="003D3A8B"/>
    <w:rsid w:val="003D5C29"/>
    <w:rsid w:val="003D6ADB"/>
    <w:rsid w:val="003E3086"/>
    <w:rsid w:val="003E6330"/>
    <w:rsid w:val="003E7057"/>
    <w:rsid w:val="003E7B33"/>
    <w:rsid w:val="003F596A"/>
    <w:rsid w:val="003F6727"/>
    <w:rsid w:val="003F692D"/>
    <w:rsid w:val="003F73B6"/>
    <w:rsid w:val="003F7446"/>
    <w:rsid w:val="004022F0"/>
    <w:rsid w:val="00403C13"/>
    <w:rsid w:val="00405296"/>
    <w:rsid w:val="00406039"/>
    <w:rsid w:val="00410E46"/>
    <w:rsid w:val="0041139F"/>
    <w:rsid w:val="00414125"/>
    <w:rsid w:val="004148D3"/>
    <w:rsid w:val="004176E8"/>
    <w:rsid w:val="00420580"/>
    <w:rsid w:val="004215C5"/>
    <w:rsid w:val="00421ACA"/>
    <w:rsid w:val="0042243B"/>
    <w:rsid w:val="004252A3"/>
    <w:rsid w:val="0042581B"/>
    <w:rsid w:val="00426846"/>
    <w:rsid w:val="00426FB6"/>
    <w:rsid w:val="00427401"/>
    <w:rsid w:val="00431392"/>
    <w:rsid w:val="004320B6"/>
    <w:rsid w:val="00433C18"/>
    <w:rsid w:val="00435D1D"/>
    <w:rsid w:val="00436D9A"/>
    <w:rsid w:val="00436FDA"/>
    <w:rsid w:val="004414F1"/>
    <w:rsid w:val="00441682"/>
    <w:rsid w:val="0044168C"/>
    <w:rsid w:val="004422DD"/>
    <w:rsid w:val="0044300D"/>
    <w:rsid w:val="00445AED"/>
    <w:rsid w:val="004461D8"/>
    <w:rsid w:val="004478F7"/>
    <w:rsid w:val="00454A9A"/>
    <w:rsid w:val="0045536F"/>
    <w:rsid w:val="00455694"/>
    <w:rsid w:val="0045683A"/>
    <w:rsid w:val="004606E2"/>
    <w:rsid w:val="0046332D"/>
    <w:rsid w:val="004658E5"/>
    <w:rsid w:val="00467B32"/>
    <w:rsid w:val="00472B86"/>
    <w:rsid w:val="0047404B"/>
    <w:rsid w:val="00474B7D"/>
    <w:rsid w:val="00474C57"/>
    <w:rsid w:val="00476971"/>
    <w:rsid w:val="004813C1"/>
    <w:rsid w:val="004819F8"/>
    <w:rsid w:val="00481CFC"/>
    <w:rsid w:val="00483395"/>
    <w:rsid w:val="00483783"/>
    <w:rsid w:val="00484116"/>
    <w:rsid w:val="00484CED"/>
    <w:rsid w:val="00490962"/>
    <w:rsid w:val="00494719"/>
    <w:rsid w:val="00494D06"/>
    <w:rsid w:val="00495CCC"/>
    <w:rsid w:val="004A0446"/>
    <w:rsid w:val="004A465D"/>
    <w:rsid w:val="004A4C08"/>
    <w:rsid w:val="004A5607"/>
    <w:rsid w:val="004B3EB4"/>
    <w:rsid w:val="004B5EB7"/>
    <w:rsid w:val="004B5F4D"/>
    <w:rsid w:val="004B7029"/>
    <w:rsid w:val="004C252D"/>
    <w:rsid w:val="004C39ED"/>
    <w:rsid w:val="004C4F67"/>
    <w:rsid w:val="004C6F14"/>
    <w:rsid w:val="004D69B3"/>
    <w:rsid w:val="004E19E1"/>
    <w:rsid w:val="004E3EF7"/>
    <w:rsid w:val="004E4379"/>
    <w:rsid w:val="004E43B8"/>
    <w:rsid w:val="004E4891"/>
    <w:rsid w:val="004E4ABE"/>
    <w:rsid w:val="004F03F3"/>
    <w:rsid w:val="004F2DF2"/>
    <w:rsid w:val="004F3884"/>
    <w:rsid w:val="004F6243"/>
    <w:rsid w:val="004F70AF"/>
    <w:rsid w:val="004F7FE6"/>
    <w:rsid w:val="00500BCA"/>
    <w:rsid w:val="00501333"/>
    <w:rsid w:val="00502625"/>
    <w:rsid w:val="00503FCA"/>
    <w:rsid w:val="0050787F"/>
    <w:rsid w:val="00507EF5"/>
    <w:rsid w:val="00510AE8"/>
    <w:rsid w:val="00510AF0"/>
    <w:rsid w:val="00513ADE"/>
    <w:rsid w:val="005166A2"/>
    <w:rsid w:val="005177AA"/>
    <w:rsid w:val="005219A0"/>
    <w:rsid w:val="00522854"/>
    <w:rsid w:val="0052392E"/>
    <w:rsid w:val="005275E7"/>
    <w:rsid w:val="0053185D"/>
    <w:rsid w:val="00532734"/>
    <w:rsid w:val="005329BF"/>
    <w:rsid w:val="00533303"/>
    <w:rsid w:val="0053481F"/>
    <w:rsid w:val="00535D66"/>
    <w:rsid w:val="00541816"/>
    <w:rsid w:val="005442AA"/>
    <w:rsid w:val="00544A86"/>
    <w:rsid w:val="00556156"/>
    <w:rsid w:val="0055736A"/>
    <w:rsid w:val="00562CF6"/>
    <w:rsid w:val="005633F0"/>
    <w:rsid w:val="005648B1"/>
    <w:rsid w:val="0057038C"/>
    <w:rsid w:val="005708F5"/>
    <w:rsid w:val="00571CFB"/>
    <w:rsid w:val="00571FE7"/>
    <w:rsid w:val="00573390"/>
    <w:rsid w:val="0057652A"/>
    <w:rsid w:val="00577AB0"/>
    <w:rsid w:val="0058128A"/>
    <w:rsid w:val="00581F00"/>
    <w:rsid w:val="00582C07"/>
    <w:rsid w:val="005834A3"/>
    <w:rsid w:val="005841EF"/>
    <w:rsid w:val="005859B8"/>
    <w:rsid w:val="00585A4E"/>
    <w:rsid w:val="005863AE"/>
    <w:rsid w:val="00586D23"/>
    <w:rsid w:val="005A0235"/>
    <w:rsid w:val="005A0442"/>
    <w:rsid w:val="005A3441"/>
    <w:rsid w:val="005A48DF"/>
    <w:rsid w:val="005A5956"/>
    <w:rsid w:val="005A6755"/>
    <w:rsid w:val="005A7B77"/>
    <w:rsid w:val="005B105A"/>
    <w:rsid w:val="005B4DF8"/>
    <w:rsid w:val="005B740C"/>
    <w:rsid w:val="005B78B8"/>
    <w:rsid w:val="005C0632"/>
    <w:rsid w:val="005C14D8"/>
    <w:rsid w:val="005C2846"/>
    <w:rsid w:val="005C291D"/>
    <w:rsid w:val="005C5A61"/>
    <w:rsid w:val="005C5F22"/>
    <w:rsid w:val="005C63C4"/>
    <w:rsid w:val="005D300C"/>
    <w:rsid w:val="005D31AD"/>
    <w:rsid w:val="005D5CC9"/>
    <w:rsid w:val="005E1EEC"/>
    <w:rsid w:val="005E407F"/>
    <w:rsid w:val="005F03F6"/>
    <w:rsid w:val="005F11D2"/>
    <w:rsid w:val="005F18DC"/>
    <w:rsid w:val="005F19BF"/>
    <w:rsid w:val="005F28D9"/>
    <w:rsid w:val="005F3E4F"/>
    <w:rsid w:val="006027E8"/>
    <w:rsid w:val="00606156"/>
    <w:rsid w:val="00607DDB"/>
    <w:rsid w:val="00610B80"/>
    <w:rsid w:val="00610B92"/>
    <w:rsid w:val="00613493"/>
    <w:rsid w:val="00614327"/>
    <w:rsid w:val="006168B4"/>
    <w:rsid w:val="00617BC2"/>
    <w:rsid w:val="006208B0"/>
    <w:rsid w:val="00622BC3"/>
    <w:rsid w:val="00624509"/>
    <w:rsid w:val="00626D35"/>
    <w:rsid w:val="00633E42"/>
    <w:rsid w:val="00635828"/>
    <w:rsid w:val="00637558"/>
    <w:rsid w:val="00640C7A"/>
    <w:rsid w:val="00641497"/>
    <w:rsid w:val="00642AAD"/>
    <w:rsid w:val="00642CC2"/>
    <w:rsid w:val="00646A14"/>
    <w:rsid w:val="00647239"/>
    <w:rsid w:val="006516DC"/>
    <w:rsid w:val="00652C3D"/>
    <w:rsid w:val="00652DD6"/>
    <w:rsid w:val="00653930"/>
    <w:rsid w:val="00654054"/>
    <w:rsid w:val="006540F8"/>
    <w:rsid w:val="00654789"/>
    <w:rsid w:val="0065490C"/>
    <w:rsid w:val="00656D45"/>
    <w:rsid w:val="006619F5"/>
    <w:rsid w:val="006625B0"/>
    <w:rsid w:val="006627BE"/>
    <w:rsid w:val="006634B6"/>
    <w:rsid w:val="00663C87"/>
    <w:rsid w:val="00664438"/>
    <w:rsid w:val="0066701A"/>
    <w:rsid w:val="006675BC"/>
    <w:rsid w:val="00667949"/>
    <w:rsid w:val="00671009"/>
    <w:rsid w:val="0067367E"/>
    <w:rsid w:val="00677858"/>
    <w:rsid w:val="0068178C"/>
    <w:rsid w:val="00683B5D"/>
    <w:rsid w:val="00684FFC"/>
    <w:rsid w:val="00686402"/>
    <w:rsid w:val="006905DE"/>
    <w:rsid w:val="00690EE6"/>
    <w:rsid w:val="00691169"/>
    <w:rsid w:val="00691AC4"/>
    <w:rsid w:val="006930BB"/>
    <w:rsid w:val="00693E4A"/>
    <w:rsid w:val="00695182"/>
    <w:rsid w:val="00695B5A"/>
    <w:rsid w:val="0069607D"/>
    <w:rsid w:val="006A17A3"/>
    <w:rsid w:val="006A5826"/>
    <w:rsid w:val="006A5A26"/>
    <w:rsid w:val="006A5B44"/>
    <w:rsid w:val="006B19FA"/>
    <w:rsid w:val="006B277A"/>
    <w:rsid w:val="006B4940"/>
    <w:rsid w:val="006B7E6E"/>
    <w:rsid w:val="006B7EBA"/>
    <w:rsid w:val="006C079A"/>
    <w:rsid w:val="006C1E8F"/>
    <w:rsid w:val="006C4875"/>
    <w:rsid w:val="006C5047"/>
    <w:rsid w:val="006C5FB1"/>
    <w:rsid w:val="006C68E1"/>
    <w:rsid w:val="006D2DC2"/>
    <w:rsid w:val="006D5BBC"/>
    <w:rsid w:val="006E0D8F"/>
    <w:rsid w:val="006E5047"/>
    <w:rsid w:val="006F0BDB"/>
    <w:rsid w:val="006F3284"/>
    <w:rsid w:val="006F3D65"/>
    <w:rsid w:val="006F6B94"/>
    <w:rsid w:val="00701DAD"/>
    <w:rsid w:val="00705A13"/>
    <w:rsid w:val="00705C26"/>
    <w:rsid w:val="007105C1"/>
    <w:rsid w:val="0071553E"/>
    <w:rsid w:val="00716C96"/>
    <w:rsid w:val="00716CBF"/>
    <w:rsid w:val="00716F32"/>
    <w:rsid w:val="00717271"/>
    <w:rsid w:val="00717E89"/>
    <w:rsid w:val="00722370"/>
    <w:rsid w:val="00724A06"/>
    <w:rsid w:val="007264AE"/>
    <w:rsid w:val="00731D65"/>
    <w:rsid w:val="007325EE"/>
    <w:rsid w:val="007347C7"/>
    <w:rsid w:val="007363BC"/>
    <w:rsid w:val="007365BD"/>
    <w:rsid w:val="0073750C"/>
    <w:rsid w:val="00741A10"/>
    <w:rsid w:val="00742626"/>
    <w:rsid w:val="00751790"/>
    <w:rsid w:val="00754F99"/>
    <w:rsid w:val="007558A1"/>
    <w:rsid w:val="00766E05"/>
    <w:rsid w:val="00770349"/>
    <w:rsid w:val="0077035F"/>
    <w:rsid w:val="00774020"/>
    <w:rsid w:val="007764BA"/>
    <w:rsid w:val="007812DD"/>
    <w:rsid w:val="00786F66"/>
    <w:rsid w:val="007905DA"/>
    <w:rsid w:val="007A12FB"/>
    <w:rsid w:val="007A1CE0"/>
    <w:rsid w:val="007A2F37"/>
    <w:rsid w:val="007A7E1A"/>
    <w:rsid w:val="007B0E29"/>
    <w:rsid w:val="007B1199"/>
    <w:rsid w:val="007B739B"/>
    <w:rsid w:val="007B7932"/>
    <w:rsid w:val="007C21EE"/>
    <w:rsid w:val="007C4E7D"/>
    <w:rsid w:val="007C4FD6"/>
    <w:rsid w:val="007C618D"/>
    <w:rsid w:val="007C61F5"/>
    <w:rsid w:val="007C7B86"/>
    <w:rsid w:val="007C7F64"/>
    <w:rsid w:val="007D1171"/>
    <w:rsid w:val="007D2DAE"/>
    <w:rsid w:val="007D7863"/>
    <w:rsid w:val="007E000E"/>
    <w:rsid w:val="007E171B"/>
    <w:rsid w:val="007E3722"/>
    <w:rsid w:val="007E37CC"/>
    <w:rsid w:val="007E542E"/>
    <w:rsid w:val="007E78F5"/>
    <w:rsid w:val="007F05BA"/>
    <w:rsid w:val="007F0B79"/>
    <w:rsid w:val="007F16D4"/>
    <w:rsid w:val="007F2131"/>
    <w:rsid w:val="007F2B19"/>
    <w:rsid w:val="007F499A"/>
    <w:rsid w:val="007F4E20"/>
    <w:rsid w:val="007F5859"/>
    <w:rsid w:val="007F5B3D"/>
    <w:rsid w:val="007F5F50"/>
    <w:rsid w:val="008006B0"/>
    <w:rsid w:val="008037F0"/>
    <w:rsid w:val="0080570A"/>
    <w:rsid w:val="008068F0"/>
    <w:rsid w:val="00810B6E"/>
    <w:rsid w:val="008114DC"/>
    <w:rsid w:val="008137C2"/>
    <w:rsid w:val="00815138"/>
    <w:rsid w:val="0081650B"/>
    <w:rsid w:val="008201C1"/>
    <w:rsid w:val="00820F33"/>
    <w:rsid w:val="00822447"/>
    <w:rsid w:val="0082407F"/>
    <w:rsid w:val="00824745"/>
    <w:rsid w:val="008312A8"/>
    <w:rsid w:val="00833D23"/>
    <w:rsid w:val="00835112"/>
    <w:rsid w:val="00835916"/>
    <w:rsid w:val="008373D9"/>
    <w:rsid w:val="00840E77"/>
    <w:rsid w:val="00844FE2"/>
    <w:rsid w:val="00845076"/>
    <w:rsid w:val="0085088D"/>
    <w:rsid w:val="00851C12"/>
    <w:rsid w:val="00854598"/>
    <w:rsid w:val="00854D98"/>
    <w:rsid w:val="0086453E"/>
    <w:rsid w:val="008656F5"/>
    <w:rsid w:val="0086586C"/>
    <w:rsid w:val="00865A56"/>
    <w:rsid w:val="00870648"/>
    <w:rsid w:val="0087140C"/>
    <w:rsid w:val="00872A64"/>
    <w:rsid w:val="00872BB1"/>
    <w:rsid w:val="00873E9D"/>
    <w:rsid w:val="008745CB"/>
    <w:rsid w:val="00875363"/>
    <w:rsid w:val="00876201"/>
    <w:rsid w:val="00884E9E"/>
    <w:rsid w:val="00884F67"/>
    <w:rsid w:val="008850E3"/>
    <w:rsid w:val="00890C7C"/>
    <w:rsid w:val="00891014"/>
    <w:rsid w:val="00894F11"/>
    <w:rsid w:val="008957C7"/>
    <w:rsid w:val="00896121"/>
    <w:rsid w:val="00896BD9"/>
    <w:rsid w:val="00897C3E"/>
    <w:rsid w:val="008A0C55"/>
    <w:rsid w:val="008A2541"/>
    <w:rsid w:val="008B45FD"/>
    <w:rsid w:val="008B674D"/>
    <w:rsid w:val="008B6C25"/>
    <w:rsid w:val="008B6DEF"/>
    <w:rsid w:val="008C018C"/>
    <w:rsid w:val="008C17E6"/>
    <w:rsid w:val="008C3C3D"/>
    <w:rsid w:val="008D02D1"/>
    <w:rsid w:val="008D22F6"/>
    <w:rsid w:val="008D28A9"/>
    <w:rsid w:val="008D2D5D"/>
    <w:rsid w:val="008D3A8C"/>
    <w:rsid w:val="008D3C37"/>
    <w:rsid w:val="008D543F"/>
    <w:rsid w:val="008D73F1"/>
    <w:rsid w:val="008E0492"/>
    <w:rsid w:val="008E2B60"/>
    <w:rsid w:val="008E45A8"/>
    <w:rsid w:val="008E4A1A"/>
    <w:rsid w:val="008E5AE6"/>
    <w:rsid w:val="008F0EF8"/>
    <w:rsid w:val="008F1C3D"/>
    <w:rsid w:val="008F2166"/>
    <w:rsid w:val="008F286C"/>
    <w:rsid w:val="008F4CC4"/>
    <w:rsid w:val="008F6969"/>
    <w:rsid w:val="00901014"/>
    <w:rsid w:val="00906B0F"/>
    <w:rsid w:val="0091081B"/>
    <w:rsid w:val="00910872"/>
    <w:rsid w:val="00913421"/>
    <w:rsid w:val="00916BAB"/>
    <w:rsid w:val="00931D18"/>
    <w:rsid w:val="00932ED1"/>
    <w:rsid w:val="009345CC"/>
    <w:rsid w:val="00941F86"/>
    <w:rsid w:val="00942C8E"/>
    <w:rsid w:val="009454E9"/>
    <w:rsid w:val="009466E7"/>
    <w:rsid w:val="00951EF4"/>
    <w:rsid w:val="009536FA"/>
    <w:rsid w:val="0095670F"/>
    <w:rsid w:val="0095778D"/>
    <w:rsid w:val="00957D58"/>
    <w:rsid w:val="00960340"/>
    <w:rsid w:val="0096156F"/>
    <w:rsid w:val="00963E74"/>
    <w:rsid w:val="009640DD"/>
    <w:rsid w:val="009701C7"/>
    <w:rsid w:val="00970E7D"/>
    <w:rsid w:val="00971D37"/>
    <w:rsid w:val="00974E0D"/>
    <w:rsid w:val="00975799"/>
    <w:rsid w:val="00975E7E"/>
    <w:rsid w:val="00976823"/>
    <w:rsid w:val="00980DDF"/>
    <w:rsid w:val="0098658A"/>
    <w:rsid w:val="00987018"/>
    <w:rsid w:val="00987D93"/>
    <w:rsid w:val="00992167"/>
    <w:rsid w:val="0099359D"/>
    <w:rsid w:val="009A09FA"/>
    <w:rsid w:val="009A0C5C"/>
    <w:rsid w:val="009A5873"/>
    <w:rsid w:val="009B0616"/>
    <w:rsid w:val="009B06E4"/>
    <w:rsid w:val="009B3927"/>
    <w:rsid w:val="009B4CAD"/>
    <w:rsid w:val="009C5BCF"/>
    <w:rsid w:val="009C691B"/>
    <w:rsid w:val="009C6D2D"/>
    <w:rsid w:val="009C6FD8"/>
    <w:rsid w:val="009C7D27"/>
    <w:rsid w:val="009D032D"/>
    <w:rsid w:val="009D12ED"/>
    <w:rsid w:val="009D3CF9"/>
    <w:rsid w:val="009D3F95"/>
    <w:rsid w:val="009D4397"/>
    <w:rsid w:val="009D4837"/>
    <w:rsid w:val="009E0D0D"/>
    <w:rsid w:val="009E3E4C"/>
    <w:rsid w:val="009E4F47"/>
    <w:rsid w:val="009E71A8"/>
    <w:rsid w:val="009F098A"/>
    <w:rsid w:val="009F155A"/>
    <w:rsid w:val="009F2D80"/>
    <w:rsid w:val="009F37AA"/>
    <w:rsid w:val="009F7F35"/>
    <w:rsid w:val="00A01AD4"/>
    <w:rsid w:val="00A02ADD"/>
    <w:rsid w:val="00A04082"/>
    <w:rsid w:val="00A04832"/>
    <w:rsid w:val="00A0521D"/>
    <w:rsid w:val="00A07769"/>
    <w:rsid w:val="00A10F60"/>
    <w:rsid w:val="00A14B3A"/>
    <w:rsid w:val="00A152AC"/>
    <w:rsid w:val="00A15577"/>
    <w:rsid w:val="00A15A43"/>
    <w:rsid w:val="00A16144"/>
    <w:rsid w:val="00A21AD4"/>
    <w:rsid w:val="00A23DF3"/>
    <w:rsid w:val="00A25937"/>
    <w:rsid w:val="00A34F15"/>
    <w:rsid w:val="00A3794D"/>
    <w:rsid w:val="00A40290"/>
    <w:rsid w:val="00A41B89"/>
    <w:rsid w:val="00A45D17"/>
    <w:rsid w:val="00A45F20"/>
    <w:rsid w:val="00A46295"/>
    <w:rsid w:val="00A5277E"/>
    <w:rsid w:val="00A557E7"/>
    <w:rsid w:val="00A561CC"/>
    <w:rsid w:val="00A5662B"/>
    <w:rsid w:val="00A62109"/>
    <w:rsid w:val="00A63D13"/>
    <w:rsid w:val="00A66966"/>
    <w:rsid w:val="00A669E6"/>
    <w:rsid w:val="00A673ED"/>
    <w:rsid w:val="00A70D69"/>
    <w:rsid w:val="00A72D44"/>
    <w:rsid w:val="00A7379F"/>
    <w:rsid w:val="00A739CD"/>
    <w:rsid w:val="00A73D19"/>
    <w:rsid w:val="00A742FD"/>
    <w:rsid w:val="00A752CC"/>
    <w:rsid w:val="00A83B2B"/>
    <w:rsid w:val="00A933EE"/>
    <w:rsid w:val="00A93D87"/>
    <w:rsid w:val="00A95B55"/>
    <w:rsid w:val="00A96765"/>
    <w:rsid w:val="00A97C8E"/>
    <w:rsid w:val="00AA184B"/>
    <w:rsid w:val="00AA24BD"/>
    <w:rsid w:val="00AA2FAB"/>
    <w:rsid w:val="00AA41BA"/>
    <w:rsid w:val="00AB742C"/>
    <w:rsid w:val="00AB759E"/>
    <w:rsid w:val="00AB7BEE"/>
    <w:rsid w:val="00AC4C20"/>
    <w:rsid w:val="00AC68E0"/>
    <w:rsid w:val="00AD0D97"/>
    <w:rsid w:val="00AD0E27"/>
    <w:rsid w:val="00AD4080"/>
    <w:rsid w:val="00AD4AED"/>
    <w:rsid w:val="00AD5706"/>
    <w:rsid w:val="00AE511D"/>
    <w:rsid w:val="00AE6F29"/>
    <w:rsid w:val="00AE769C"/>
    <w:rsid w:val="00AF0581"/>
    <w:rsid w:val="00AF08DE"/>
    <w:rsid w:val="00AF11E9"/>
    <w:rsid w:val="00AF2751"/>
    <w:rsid w:val="00AF4F78"/>
    <w:rsid w:val="00AF678D"/>
    <w:rsid w:val="00B01BF2"/>
    <w:rsid w:val="00B03BC0"/>
    <w:rsid w:val="00B03D28"/>
    <w:rsid w:val="00B04122"/>
    <w:rsid w:val="00B041B3"/>
    <w:rsid w:val="00B04B79"/>
    <w:rsid w:val="00B04DCD"/>
    <w:rsid w:val="00B07029"/>
    <w:rsid w:val="00B070F8"/>
    <w:rsid w:val="00B12ACE"/>
    <w:rsid w:val="00B1398E"/>
    <w:rsid w:val="00B147AF"/>
    <w:rsid w:val="00B14BDC"/>
    <w:rsid w:val="00B21732"/>
    <w:rsid w:val="00B2406E"/>
    <w:rsid w:val="00B32E0B"/>
    <w:rsid w:val="00B350FA"/>
    <w:rsid w:val="00B35A14"/>
    <w:rsid w:val="00B400C8"/>
    <w:rsid w:val="00B43E10"/>
    <w:rsid w:val="00B443B8"/>
    <w:rsid w:val="00B47D2D"/>
    <w:rsid w:val="00B55E28"/>
    <w:rsid w:val="00B55FA4"/>
    <w:rsid w:val="00B57924"/>
    <w:rsid w:val="00B60F34"/>
    <w:rsid w:val="00B612C5"/>
    <w:rsid w:val="00B61E27"/>
    <w:rsid w:val="00B65017"/>
    <w:rsid w:val="00B66709"/>
    <w:rsid w:val="00B7255E"/>
    <w:rsid w:val="00B73FA6"/>
    <w:rsid w:val="00B744FA"/>
    <w:rsid w:val="00B8104C"/>
    <w:rsid w:val="00B8213A"/>
    <w:rsid w:val="00B8369D"/>
    <w:rsid w:val="00B846D4"/>
    <w:rsid w:val="00B85810"/>
    <w:rsid w:val="00B9062C"/>
    <w:rsid w:val="00B90ED1"/>
    <w:rsid w:val="00B914EF"/>
    <w:rsid w:val="00B91DCF"/>
    <w:rsid w:val="00B922C5"/>
    <w:rsid w:val="00B92384"/>
    <w:rsid w:val="00B925FD"/>
    <w:rsid w:val="00B95B78"/>
    <w:rsid w:val="00B97687"/>
    <w:rsid w:val="00B97A05"/>
    <w:rsid w:val="00BA0A9C"/>
    <w:rsid w:val="00BA7B0F"/>
    <w:rsid w:val="00BB061C"/>
    <w:rsid w:val="00BB1719"/>
    <w:rsid w:val="00BB2A8F"/>
    <w:rsid w:val="00BB3EC1"/>
    <w:rsid w:val="00BB5C25"/>
    <w:rsid w:val="00BB6CE0"/>
    <w:rsid w:val="00BB770B"/>
    <w:rsid w:val="00BC0581"/>
    <w:rsid w:val="00BC211B"/>
    <w:rsid w:val="00BC3E69"/>
    <w:rsid w:val="00BC4168"/>
    <w:rsid w:val="00BC6257"/>
    <w:rsid w:val="00BC6C9E"/>
    <w:rsid w:val="00BD08E3"/>
    <w:rsid w:val="00BD25C3"/>
    <w:rsid w:val="00BD5174"/>
    <w:rsid w:val="00BD70E4"/>
    <w:rsid w:val="00BD7292"/>
    <w:rsid w:val="00BE1BAD"/>
    <w:rsid w:val="00BE2C22"/>
    <w:rsid w:val="00BE3859"/>
    <w:rsid w:val="00BE4750"/>
    <w:rsid w:val="00BE4B04"/>
    <w:rsid w:val="00BE64EA"/>
    <w:rsid w:val="00BE6C5A"/>
    <w:rsid w:val="00BF02AC"/>
    <w:rsid w:val="00BF12D8"/>
    <w:rsid w:val="00BF2E43"/>
    <w:rsid w:val="00BF5186"/>
    <w:rsid w:val="00BF51CE"/>
    <w:rsid w:val="00BF5B86"/>
    <w:rsid w:val="00C00573"/>
    <w:rsid w:val="00C01184"/>
    <w:rsid w:val="00C03383"/>
    <w:rsid w:val="00C05015"/>
    <w:rsid w:val="00C05849"/>
    <w:rsid w:val="00C0681E"/>
    <w:rsid w:val="00C06E4C"/>
    <w:rsid w:val="00C07F29"/>
    <w:rsid w:val="00C122E7"/>
    <w:rsid w:val="00C1277C"/>
    <w:rsid w:val="00C130B0"/>
    <w:rsid w:val="00C15631"/>
    <w:rsid w:val="00C1765E"/>
    <w:rsid w:val="00C21B5F"/>
    <w:rsid w:val="00C23676"/>
    <w:rsid w:val="00C23AF3"/>
    <w:rsid w:val="00C23E15"/>
    <w:rsid w:val="00C2489D"/>
    <w:rsid w:val="00C268A7"/>
    <w:rsid w:val="00C27263"/>
    <w:rsid w:val="00C35036"/>
    <w:rsid w:val="00C369FD"/>
    <w:rsid w:val="00C37534"/>
    <w:rsid w:val="00C409E6"/>
    <w:rsid w:val="00C41CB7"/>
    <w:rsid w:val="00C42E97"/>
    <w:rsid w:val="00C439EC"/>
    <w:rsid w:val="00C44B89"/>
    <w:rsid w:val="00C46096"/>
    <w:rsid w:val="00C5094E"/>
    <w:rsid w:val="00C55D64"/>
    <w:rsid w:val="00C5697D"/>
    <w:rsid w:val="00C5761D"/>
    <w:rsid w:val="00C57A06"/>
    <w:rsid w:val="00C614B5"/>
    <w:rsid w:val="00C62668"/>
    <w:rsid w:val="00C62E4A"/>
    <w:rsid w:val="00C6436A"/>
    <w:rsid w:val="00C643FC"/>
    <w:rsid w:val="00C645BC"/>
    <w:rsid w:val="00C67E84"/>
    <w:rsid w:val="00C731D6"/>
    <w:rsid w:val="00C80322"/>
    <w:rsid w:val="00C849E9"/>
    <w:rsid w:val="00C91ADA"/>
    <w:rsid w:val="00C91FAA"/>
    <w:rsid w:val="00C9448C"/>
    <w:rsid w:val="00C94C5D"/>
    <w:rsid w:val="00C95A45"/>
    <w:rsid w:val="00CA004A"/>
    <w:rsid w:val="00CA200C"/>
    <w:rsid w:val="00CA35D9"/>
    <w:rsid w:val="00CA5D73"/>
    <w:rsid w:val="00CA7590"/>
    <w:rsid w:val="00CA786D"/>
    <w:rsid w:val="00CB053D"/>
    <w:rsid w:val="00CB1879"/>
    <w:rsid w:val="00CB2767"/>
    <w:rsid w:val="00CB2C04"/>
    <w:rsid w:val="00CB46EF"/>
    <w:rsid w:val="00CB4ECE"/>
    <w:rsid w:val="00CB69F3"/>
    <w:rsid w:val="00CC0B17"/>
    <w:rsid w:val="00CC4206"/>
    <w:rsid w:val="00CD116B"/>
    <w:rsid w:val="00CD15B8"/>
    <w:rsid w:val="00CD7DDE"/>
    <w:rsid w:val="00CE19E3"/>
    <w:rsid w:val="00CE2276"/>
    <w:rsid w:val="00CE3BFF"/>
    <w:rsid w:val="00CE44AE"/>
    <w:rsid w:val="00CE7CE9"/>
    <w:rsid w:val="00CF08F8"/>
    <w:rsid w:val="00CF2137"/>
    <w:rsid w:val="00CF2FA8"/>
    <w:rsid w:val="00CF3212"/>
    <w:rsid w:val="00CF3388"/>
    <w:rsid w:val="00CF3BF5"/>
    <w:rsid w:val="00CF46CD"/>
    <w:rsid w:val="00CF53E0"/>
    <w:rsid w:val="00CF757E"/>
    <w:rsid w:val="00CF763E"/>
    <w:rsid w:val="00D01F8F"/>
    <w:rsid w:val="00D02DAF"/>
    <w:rsid w:val="00D0429E"/>
    <w:rsid w:val="00D04864"/>
    <w:rsid w:val="00D055BE"/>
    <w:rsid w:val="00D115AD"/>
    <w:rsid w:val="00D11BCB"/>
    <w:rsid w:val="00D12DE6"/>
    <w:rsid w:val="00D134F3"/>
    <w:rsid w:val="00D142C6"/>
    <w:rsid w:val="00D14ABC"/>
    <w:rsid w:val="00D15560"/>
    <w:rsid w:val="00D16A1C"/>
    <w:rsid w:val="00D16A95"/>
    <w:rsid w:val="00D17AEF"/>
    <w:rsid w:val="00D20DAC"/>
    <w:rsid w:val="00D217F3"/>
    <w:rsid w:val="00D21EF3"/>
    <w:rsid w:val="00D21F88"/>
    <w:rsid w:val="00D2671C"/>
    <w:rsid w:val="00D26DAA"/>
    <w:rsid w:val="00D308CE"/>
    <w:rsid w:val="00D320D7"/>
    <w:rsid w:val="00D360E1"/>
    <w:rsid w:val="00D36DE0"/>
    <w:rsid w:val="00D41FF8"/>
    <w:rsid w:val="00D430D5"/>
    <w:rsid w:val="00D45EC3"/>
    <w:rsid w:val="00D46429"/>
    <w:rsid w:val="00D4703A"/>
    <w:rsid w:val="00D476B4"/>
    <w:rsid w:val="00D47DB6"/>
    <w:rsid w:val="00D51092"/>
    <w:rsid w:val="00D5187C"/>
    <w:rsid w:val="00D54FCC"/>
    <w:rsid w:val="00D558AC"/>
    <w:rsid w:val="00D55F68"/>
    <w:rsid w:val="00D5607F"/>
    <w:rsid w:val="00D60302"/>
    <w:rsid w:val="00D61187"/>
    <w:rsid w:val="00D63D34"/>
    <w:rsid w:val="00D64960"/>
    <w:rsid w:val="00D67BE4"/>
    <w:rsid w:val="00D71601"/>
    <w:rsid w:val="00D72E47"/>
    <w:rsid w:val="00D73DC3"/>
    <w:rsid w:val="00D746C8"/>
    <w:rsid w:val="00D74E66"/>
    <w:rsid w:val="00D74EC5"/>
    <w:rsid w:val="00D772C3"/>
    <w:rsid w:val="00D80BCB"/>
    <w:rsid w:val="00D80CB9"/>
    <w:rsid w:val="00D9082D"/>
    <w:rsid w:val="00D93130"/>
    <w:rsid w:val="00D937F4"/>
    <w:rsid w:val="00D93FF8"/>
    <w:rsid w:val="00D95079"/>
    <w:rsid w:val="00D9666F"/>
    <w:rsid w:val="00D967AC"/>
    <w:rsid w:val="00DA44CD"/>
    <w:rsid w:val="00DA4825"/>
    <w:rsid w:val="00DA73DF"/>
    <w:rsid w:val="00DB25D2"/>
    <w:rsid w:val="00DB2B36"/>
    <w:rsid w:val="00DB7345"/>
    <w:rsid w:val="00DC0D00"/>
    <w:rsid w:val="00DC141F"/>
    <w:rsid w:val="00DC2E45"/>
    <w:rsid w:val="00DC4BA9"/>
    <w:rsid w:val="00DD0506"/>
    <w:rsid w:val="00DD288C"/>
    <w:rsid w:val="00DD392C"/>
    <w:rsid w:val="00DD5B84"/>
    <w:rsid w:val="00DD646D"/>
    <w:rsid w:val="00DD769D"/>
    <w:rsid w:val="00DE08F0"/>
    <w:rsid w:val="00DE0A79"/>
    <w:rsid w:val="00DE1363"/>
    <w:rsid w:val="00DE1713"/>
    <w:rsid w:val="00DE508A"/>
    <w:rsid w:val="00DE7E47"/>
    <w:rsid w:val="00DF0A80"/>
    <w:rsid w:val="00DF11F0"/>
    <w:rsid w:val="00DF3F6E"/>
    <w:rsid w:val="00DF70A4"/>
    <w:rsid w:val="00E00574"/>
    <w:rsid w:val="00E011F8"/>
    <w:rsid w:val="00E01223"/>
    <w:rsid w:val="00E01B71"/>
    <w:rsid w:val="00E01C7A"/>
    <w:rsid w:val="00E03815"/>
    <w:rsid w:val="00E046EC"/>
    <w:rsid w:val="00E04D54"/>
    <w:rsid w:val="00E05A0A"/>
    <w:rsid w:val="00E06DC2"/>
    <w:rsid w:val="00E10EE3"/>
    <w:rsid w:val="00E16607"/>
    <w:rsid w:val="00E172FE"/>
    <w:rsid w:val="00E17C39"/>
    <w:rsid w:val="00E20BDE"/>
    <w:rsid w:val="00E2321F"/>
    <w:rsid w:val="00E24C18"/>
    <w:rsid w:val="00E27834"/>
    <w:rsid w:val="00E303FB"/>
    <w:rsid w:val="00E32B5E"/>
    <w:rsid w:val="00E344E2"/>
    <w:rsid w:val="00E36723"/>
    <w:rsid w:val="00E41152"/>
    <w:rsid w:val="00E43AFC"/>
    <w:rsid w:val="00E4549E"/>
    <w:rsid w:val="00E46D04"/>
    <w:rsid w:val="00E51EC9"/>
    <w:rsid w:val="00E5263A"/>
    <w:rsid w:val="00E53D6D"/>
    <w:rsid w:val="00E54684"/>
    <w:rsid w:val="00E56164"/>
    <w:rsid w:val="00E562EA"/>
    <w:rsid w:val="00E56DEF"/>
    <w:rsid w:val="00E649A6"/>
    <w:rsid w:val="00E64E0D"/>
    <w:rsid w:val="00E663CF"/>
    <w:rsid w:val="00E70668"/>
    <w:rsid w:val="00E70991"/>
    <w:rsid w:val="00E715EB"/>
    <w:rsid w:val="00E71819"/>
    <w:rsid w:val="00E71ABD"/>
    <w:rsid w:val="00E71B69"/>
    <w:rsid w:val="00E71EB8"/>
    <w:rsid w:val="00E767BF"/>
    <w:rsid w:val="00E76F77"/>
    <w:rsid w:val="00E800CA"/>
    <w:rsid w:val="00E80D6C"/>
    <w:rsid w:val="00E812D4"/>
    <w:rsid w:val="00E81FE7"/>
    <w:rsid w:val="00E84809"/>
    <w:rsid w:val="00E90B1F"/>
    <w:rsid w:val="00E9250B"/>
    <w:rsid w:val="00E925D0"/>
    <w:rsid w:val="00E93155"/>
    <w:rsid w:val="00E96CA2"/>
    <w:rsid w:val="00E96F43"/>
    <w:rsid w:val="00E9736D"/>
    <w:rsid w:val="00E97424"/>
    <w:rsid w:val="00EA065A"/>
    <w:rsid w:val="00EA296E"/>
    <w:rsid w:val="00EA4ACC"/>
    <w:rsid w:val="00EA5236"/>
    <w:rsid w:val="00EA69F9"/>
    <w:rsid w:val="00EA7920"/>
    <w:rsid w:val="00EA797E"/>
    <w:rsid w:val="00EB0B37"/>
    <w:rsid w:val="00EB25FB"/>
    <w:rsid w:val="00EB573E"/>
    <w:rsid w:val="00EB69DE"/>
    <w:rsid w:val="00EB6EA7"/>
    <w:rsid w:val="00EC2144"/>
    <w:rsid w:val="00EC7C04"/>
    <w:rsid w:val="00ED4603"/>
    <w:rsid w:val="00ED46A4"/>
    <w:rsid w:val="00ED7CA0"/>
    <w:rsid w:val="00EE28CE"/>
    <w:rsid w:val="00EE5E9B"/>
    <w:rsid w:val="00EF0A4D"/>
    <w:rsid w:val="00EF2557"/>
    <w:rsid w:val="00EF4B08"/>
    <w:rsid w:val="00EF4C3B"/>
    <w:rsid w:val="00EF68C1"/>
    <w:rsid w:val="00EF6D47"/>
    <w:rsid w:val="00EF6DC9"/>
    <w:rsid w:val="00EF7158"/>
    <w:rsid w:val="00F005FD"/>
    <w:rsid w:val="00F06843"/>
    <w:rsid w:val="00F10F62"/>
    <w:rsid w:val="00F12898"/>
    <w:rsid w:val="00F14136"/>
    <w:rsid w:val="00F148D3"/>
    <w:rsid w:val="00F14E11"/>
    <w:rsid w:val="00F15F2D"/>
    <w:rsid w:val="00F172C7"/>
    <w:rsid w:val="00F178D3"/>
    <w:rsid w:val="00F25789"/>
    <w:rsid w:val="00F30CDC"/>
    <w:rsid w:val="00F37CE0"/>
    <w:rsid w:val="00F41320"/>
    <w:rsid w:val="00F44088"/>
    <w:rsid w:val="00F45316"/>
    <w:rsid w:val="00F461CE"/>
    <w:rsid w:val="00F46EEC"/>
    <w:rsid w:val="00F47DA1"/>
    <w:rsid w:val="00F5028D"/>
    <w:rsid w:val="00F50F84"/>
    <w:rsid w:val="00F52208"/>
    <w:rsid w:val="00F53CEB"/>
    <w:rsid w:val="00F553A9"/>
    <w:rsid w:val="00F63C7A"/>
    <w:rsid w:val="00F700C6"/>
    <w:rsid w:val="00F7033A"/>
    <w:rsid w:val="00F716F9"/>
    <w:rsid w:val="00F71948"/>
    <w:rsid w:val="00F721AC"/>
    <w:rsid w:val="00F7244D"/>
    <w:rsid w:val="00F743AC"/>
    <w:rsid w:val="00F7539B"/>
    <w:rsid w:val="00F772D9"/>
    <w:rsid w:val="00F8056E"/>
    <w:rsid w:val="00F8140B"/>
    <w:rsid w:val="00F81E5C"/>
    <w:rsid w:val="00F826B8"/>
    <w:rsid w:val="00F84A17"/>
    <w:rsid w:val="00F870FA"/>
    <w:rsid w:val="00F874A3"/>
    <w:rsid w:val="00F90D94"/>
    <w:rsid w:val="00F94C31"/>
    <w:rsid w:val="00F9518D"/>
    <w:rsid w:val="00F95F17"/>
    <w:rsid w:val="00FA41FC"/>
    <w:rsid w:val="00FA5900"/>
    <w:rsid w:val="00FA7893"/>
    <w:rsid w:val="00FB0777"/>
    <w:rsid w:val="00FB1BCD"/>
    <w:rsid w:val="00FB3FA0"/>
    <w:rsid w:val="00FB7236"/>
    <w:rsid w:val="00FC116A"/>
    <w:rsid w:val="00FC3BA0"/>
    <w:rsid w:val="00FC51D8"/>
    <w:rsid w:val="00FC60F7"/>
    <w:rsid w:val="00FD00DD"/>
    <w:rsid w:val="00FD04C0"/>
    <w:rsid w:val="00FD0C58"/>
    <w:rsid w:val="00FD2129"/>
    <w:rsid w:val="00FD490F"/>
    <w:rsid w:val="00FD49A5"/>
    <w:rsid w:val="00FD4F3B"/>
    <w:rsid w:val="00FD76BB"/>
    <w:rsid w:val="00FE19ED"/>
    <w:rsid w:val="00FE5B25"/>
    <w:rsid w:val="00FF09BF"/>
    <w:rsid w:val="00FF2658"/>
    <w:rsid w:val="00FF2736"/>
    <w:rsid w:val="00FF52FB"/>
    <w:rsid w:val="00FF5948"/>
    <w:rsid w:val="00FF61CC"/>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B86279C"/>
  <w15:docId w15:val="{36B47B80-E9C6-46E4-9867-6DF98B3E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1"/>
      </w:numPr>
      <w:autoSpaceDE w:val="0"/>
      <w:autoSpaceDN w:val="0"/>
      <w:adjustRightInd w:val="0"/>
      <w:ind w:left="426"/>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 w:type="paragraph" w:styleId="ListBullet">
    <w:name w:val="List Bullet"/>
    <w:basedOn w:val="Normal"/>
    <w:uiPriority w:val="99"/>
    <w:qFormat/>
    <w:rsid w:val="00E649A6"/>
    <w:pPr>
      <w:numPr>
        <w:numId w:val="2"/>
      </w:numPr>
      <w:spacing w:before="120" w:after="180" w:line="240" w:lineRule="atLeast"/>
    </w:pPr>
    <w:rPr>
      <w:rFonts w:ascii="Cambria" w:eastAsia="Cambria" w:hAnsi="Cambria"/>
      <w:sz w:val="22"/>
      <w:szCs w:val="22"/>
      <w:lang w:val="en-AU"/>
    </w:rPr>
  </w:style>
  <w:style w:type="paragraph" w:styleId="ListBullet2">
    <w:name w:val="List Bullet 2"/>
    <w:basedOn w:val="Normal"/>
    <w:uiPriority w:val="99"/>
    <w:qFormat/>
    <w:rsid w:val="00E649A6"/>
    <w:pPr>
      <w:numPr>
        <w:ilvl w:val="1"/>
        <w:numId w:val="2"/>
      </w:numPr>
      <w:spacing w:before="120" w:after="180" w:line="240" w:lineRule="atLeast"/>
    </w:pPr>
    <w:rPr>
      <w:rFonts w:ascii="Cambria" w:eastAsia="Cambria" w:hAnsi="Cambria"/>
      <w:sz w:val="22"/>
      <w:szCs w:val="22"/>
      <w:lang w:val="en-AU"/>
    </w:rPr>
  </w:style>
  <w:style w:type="paragraph" w:styleId="ListBullet3">
    <w:name w:val="List Bullet 3"/>
    <w:basedOn w:val="Normal"/>
    <w:uiPriority w:val="99"/>
    <w:qFormat/>
    <w:rsid w:val="00E649A6"/>
    <w:pPr>
      <w:numPr>
        <w:ilvl w:val="2"/>
        <w:numId w:val="2"/>
      </w:numPr>
      <w:spacing w:before="120" w:after="180" w:line="240" w:lineRule="atLeast"/>
    </w:pPr>
    <w:rPr>
      <w:rFonts w:ascii="Cambria" w:eastAsia="Cambria" w:hAnsi="Cambria"/>
      <w:sz w:val="22"/>
      <w:szCs w:val="22"/>
      <w:lang w:val="en-AU"/>
    </w:rPr>
  </w:style>
  <w:style w:type="numbering" w:customStyle="1" w:styleId="ListBullets">
    <w:name w:val="ListBullets"/>
    <w:uiPriority w:val="99"/>
    <w:locked/>
    <w:rsid w:val="00E649A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023871211">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 w:id="1850412381">
      <w:bodyDiv w:val="1"/>
      <w:marLeft w:val="0"/>
      <w:marRight w:val="0"/>
      <w:marTop w:val="0"/>
      <w:marBottom w:val="0"/>
      <w:divBdr>
        <w:top w:val="none" w:sz="0" w:space="0" w:color="auto"/>
        <w:left w:val="none" w:sz="0" w:space="0" w:color="auto"/>
        <w:bottom w:val="none" w:sz="0" w:space="0" w:color="auto"/>
        <w:right w:val="none" w:sz="0" w:space="0" w:color="auto"/>
      </w:divBdr>
    </w:div>
    <w:div w:id="2006278025">
      <w:bodyDiv w:val="1"/>
      <w:marLeft w:val="0"/>
      <w:marRight w:val="0"/>
      <w:marTop w:val="0"/>
      <w:marBottom w:val="0"/>
      <w:divBdr>
        <w:top w:val="none" w:sz="0" w:space="0" w:color="auto"/>
        <w:left w:val="none" w:sz="0" w:space="0" w:color="auto"/>
        <w:bottom w:val="none" w:sz="0" w:space="0" w:color="auto"/>
        <w:right w:val="none" w:sz="0" w:space="0" w:color="auto"/>
      </w:divBdr>
    </w:div>
    <w:div w:id="20154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20AA6DC-2339-487C-9DE6-EB9C6EB3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2820</Words>
  <Characters>16078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Muhunthan</dc:creator>
  <cp:keywords/>
  <dc:description/>
  <cp:lastModifiedBy>Carter, Bless</cp:lastModifiedBy>
  <cp:revision>2</cp:revision>
  <cp:lastPrinted>2020-09-08T04:47:00Z</cp:lastPrinted>
  <dcterms:created xsi:type="dcterms:W3CDTF">2020-09-08T04:47:00Z</dcterms:created>
  <dcterms:modified xsi:type="dcterms:W3CDTF">2020-09-08T04:47:00Z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