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43D87" w14:textId="163EC231" w:rsidR="002436BD" w:rsidRPr="002C6D26" w:rsidRDefault="00E62E09" w:rsidP="001A2234">
      <w:pPr>
        <w:pStyle w:val="Heading"/>
        <w:spacing w:after="240"/>
        <w:jc w:val="center"/>
        <w:rPr>
          <w:rFonts w:ascii="Times New Roman" w:hAnsi="Times New Roman"/>
          <w:sz w:val="24"/>
          <w:szCs w:val="24"/>
        </w:rPr>
      </w:pPr>
      <w:bookmarkStart w:id="0" w:name="_GoBack"/>
      <w:bookmarkEnd w:id="0"/>
      <w:r w:rsidRPr="00E62E09">
        <w:rPr>
          <w:rFonts w:ascii="Times New Roman" w:hAnsi="Times New Roman"/>
          <w:sz w:val="24"/>
          <w:szCs w:val="24"/>
        </w:rPr>
        <w:t>Financial Sector (Collection of Data) (reporting standard)</w:t>
      </w:r>
      <w:r w:rsidR="001A2ADB">
        <w:rPr>
          <w:rFonts w:ascii="Times New Roman" w:hAnsi="Times New Roman"/>
          <w:sz w:val="24"/>
          <w:szCs w:val="24"/>
        </w:rPr>
        <w:t xml:space="preserve"> </w:t>
      </w:r>
      <w:r w:rsidR="002436BD" w:rsidRPr="002C6D26">
        <w:rPr>
          <w:rFonts w:ascii="Times New Roman" w:hAnsi="Times New Roman"/>
          <w:sz w:val="24"/>
          <w:szCs w:val="24"/>
        </w:rPr>
        <w:t xml:space="preserve">determination </w:t>
      </w:r>
      <w:r w:rsidR="002436BD" w:rsidRPr="001F5396">
        <w:rPr>
          <w:rFonts w:ascii="Times New Roman" w:hAnsi="Times New Roman"/>
          <w:sz w:val="24"/>
          <w:szCs w:val="24"/>
        </w:rPr>
        <w:t xml:space="preserve">No. </w:t>
      </w:r>
      <w:r w:rsidR="001F5396" w:rsidRPr="001F5396">
        <w:rPr>
          <w:rFonts w:ascii="Times New Roman" w:hAnsi="Times New Roman"/>
          <w:sz w:val="24"/>
          <w:szCs w:val="24"/>
        </w:rPr>
        <w:t>8</w:t>
      </w:r>
      <w:r w:rsidR="00113307" w:rsidRPr="001F5396">
        <w:rPr>
          <w:rFonts w:ascii="Times New Roman" w:hAnsi="Times New Roman"/>
          <w:sz w:val="24"/>
          <w:szCs w:val="24"/>
        </w:rPr>
        <w:t xml:space="preserve"> </w:t>
      </w:r>
      <w:r w:rsidR="00AF7796" w:rsidRPr="001F5396">
        <w:rPr>
          <w:rFonts w:ascii="Times New Roman" w:hAnsi="Times New Roman"/>
          <w:sz w:val="24"/>
          <w:szCs w:val="24"/>
        </w:rPr>
        <w:t>of</w:t>
      </w:r>
      <w:r w:rsidR="00AF7796">
        <w:rPr>
          <w:rFonts w:ascii="Times New Roman" w:hAnsi="Times New Roman"/>
          <w:sz w:val="24"/>
          <w:szCs w:val="24"/>
        </w:rPr>
        <w:t xml:space="preserve"> </w:t>
      </w:r>
      <w:r w:rsidR="00C02366">
        <w:rPr>
          <w:rFonts w:ascii="Times New Roman" w:hAnsi="Times New Roman"/>
          <w:sz w:val="24"/>
          <w:szCs w:val="24"/>
        </w:rPr>
        <w:t>2020</w:t>
      </w:r>
    </w:p>
    <w:p w14:paraId="44E951BD" w14:textId="77777777" w:rsidR="002436BD" w:rsidRPr="002C6D26" w:rsidRDefault="002436BD" w:rsidP="001A2234">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45F19681" w14:textId="77777777" w:rsidR="002436BD" w:rsidRPr="002C6D26" w:rsidRDefault="002436BD" w:rsidP="001A2234">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60279A58" w14:textId="77777777" w:rsidR="001A2ADB" w:rsidRDefault="001A2ADB" w:rsidP="001A2234">
      <w:pPr>
        <w:pStyle w:val="heading0"/>
        <w:spacing w:before="0" w:beforeAutospacing="0" w:after="240" w:afterAutospacing="0"/>
        <w:jc w:val="center"/>
      </w:pPr>
      <w:r>
        <w:rPr>
          <w:i/>
          <w:iCs/>
        </w:rPr>
        <w:t>Financial Sector (Collection of Data) Act 2001</w:t>
      </w:r>
      <w:r>
        <w:t>, sections 13 and 15</w:t>
      </w:r>
    </w:p>
    <w:p w14:paraId="6A5906BF" w14:textId="77777777" w:rsidR="00380068" w:rsidRDefault="00380068" w:rsidP="001A2234">
      <w:pPr>
        <w:pStyle w:val="heading0"/>
        <w:spacing w:before="0" w:beforeAutospacing="0" w:after="240" w:afterAutospacing="0"/>
        <w:jc w:val="center"/>
      </w:pPr>
      <w:r w:rsidRPr="00380068">
        <w:rPr>
          <w:i/>
        </w:rPr>
        <w:t>Acts Interpretation Act 1901</w:t>
      </w:r>
      <w:r>
        <w:t>, section 33</w:t>
      </w:r>
    </w:p>
    <w:p w14:paraId="7464B2FD" w14:textId="5B789C9E" w:rsidR="002436BD" w:rsidRPr="002C6D26" w:rsidRDefault="002436BD" w:rsidP="001A2234">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w:t>
      </w:r>
      <w:r w:rsidR="00C02366">
        <w:rPr>
          <w:rFonts w:ascii="Times New Roman" w:hAnsi="Times New Roman"/>
          <w:sz w:val="24"/>
          <w:szCs w:val="24"/>
        </w:rPr>
        <w:t xml:space="preserve">l sector entities must comply. </w:t>
      </w:r>
      <w:r w:rsidR="001A2ADB" w:rsidRPr="001A2ADB">
        <w:rPr>
          <w:rFonts w:ascii="Times New Roman" w:hAnsi="Times New Roman"/>
          <w:sz w:val="24"/>
          <w:szCs w:val="24"/>
        </w:rPr>
        <w:t>Such standards relate to reporting financial or accounting data and other information regarding the business or activities of the entities.</w:t>
      </w:r>
      <w:r w:rsidR="00BD6360">
        <w:rPr>
          <w:rFonts w:ascii="Times New Roman" w:hAnsi="Times New Roman"/>
          <w:sz w:val="24"/>
          <w:szCs w:val="24"/>
        </w:rPr>
        <w:t xml:space="preserve"> </w:t>
      </w:r>
      <w:r w:rsidR="00BD6360" w:rsidRPr="00BD6360">
        <w:rPr>
          <w:rFonts w:ascii="Times New Roman" w:hAnsi="Times New Roman"/>
          <w:sz w:val="24"/>
          <w:szCs w:val="24"/>
        </w:rPr>
        <w:t>Subsection</w:t>
      </w:r>
      <w:r w:rsidR="00C02366">
        <w:rPr>
          <w:rFonts w:ascii="Times New Roman" w:hAnsi="Times New Roman"/>
          <w:sz w:val="24"/>
          <w:szCs w:val="24"/>
        </w:rPr>
        <w:t> </w:t>
      </w:r>
      <w:r w:rsidR="00BD6360" w:rsidRPr="00BD6360">
        <w:rPr>
          <w:rFonts w:ascii="Times New Roman" w:hAnsi="Times New Roman"/>
          <w:sz w:val="24"/>
          <w:szCs w:val="24"/>
        </w:rPr>
        <w:t xml:space="preserve">33(3) of the </w:t>
      </w:r>
      <w:r w:rsidR="00BD6360" w:rsidRPr="00BD6360">
        <w:rPr>
          <w:rFonts w:ascii="Times New Roman" w:hAnsi="Times New Roman"/>
          <w:i/>
          <w:sz w:val="24"/>
          <w:szCs w:val="24"/>
        </w:rPr>
        <w:t>Acts Interpretation Act 1901</w:t>
      </w:r>
      <w:r w:rsidR="00BD6360"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7B04B5CF" w14:textId="5AD54B62" w:rsidR="00C111B4" w:rsidRDefault="00246723" w:rsidP="001A2234">
      <w:pPr>
        <w:spacing w:after="240"/>
        <w:jc w:val="both"/>
        <w:rPr>
          <w:rFonts w:ascii="Times New Roman" w:hAnsi="Times New Roman"/>
          <w:sz w:val="24"/>
          <w:szCs w:val="24"/>
        </w:rPr>
      </w:pPr>
      <w:r w:rsidRPr="0029158D">
        <w:rPr>
          <w:rFonts w:ascii="Times New Roman" w:hAnsi="Times New Roman"/>
          <w:sz w:val="24"/>
          <w:szCs w:val="24"/>
        </w:rPr>
        <w:t xml:space="preserve">On </w:t>
      </w:r>
      <w:r w:rsidR="0029158D" w:rsidRPr="0029158D">
        <w:rPr>
          <w:rFonts w:ascii="Times New Roman" w:hAnsi="Times New Roman"/>
          <w:sz w:val="24"/>
          <w:szCs w:val="24"/>
        </w:rPr>
        <w:t>7</w:t>
      </w:r>
      <w:r w:rsidR="00C02366" w:rsidRPr="0029158D">
        <w:rPr>
          <w:rFonts w:ascii="Times New Roman" w:hAnsi="Times New Roman"/>
          <w:sz w:val="24"/>
          <w:szCs w:val="24"/>
        </w:rPr>
        <w:t xml:space="preserve"> </w:t>
      </w:r>
      <w:r w:rsidR="00C111B4" w:rsidRPr="0029158D">
        <w:rPr>
          <w:rFonts w:ascii="Times New Roman" w:hAnsi="Times New Roman"/>
          <w:sz w:val="24"/>
          <w:szCs w:val="24"/>
        </w:rPr>
        <w:t>September</w:t>
      </w:r>
      <w:r w:rsidR="00C02366">
        <w:rPr>
          <w:rFonts w:ascii="Times New Roman" w:hAnsi="Times New Roman"/>
          <w:sz w:val="24"/>
          <w:szCs w:val="24"/>
        </w:rPr>
        <w:t xml:space="preserve"> 2020</w:t>
      </w:r>
      <w:r w:rsidRPr="00246723">
        <w:rPr>
          <w:rFonts w:ascii="Times New Roman" w:hAnsi="Times New Roman"/>
          <w:sz w:val="24"/>
          <w:szCs w:val="24"/>
        </w:rPr>
        <w:t>, APRA made</w:t>
      </w:r>
      <w:r w:rsidR="00C111B4">
        <w:rPr>
          <w:rFonts w:ascii="Times New Roman" w:hAnsi="Times New Roman"/>
          <w:sz w:val="24"/>
          <w:szCs w:val="24"/>
        </w:rPr>
        <w:t xml:space="preserve"> </w:t>
      </w:r>
      <w:r w:rsidR="00C111B4" w:rsidRPr="00C111B4">
        <w:rPr>
          <w:rFonts w:ascii="Times New Roman" w:hAnsi="Times New Roman"/>
          <w:sz w:val="24"/>
          <w:szCs w:val="24"/>
        </w:rPr>
        <w:t xml:space="preserve">Financial Sector (Collection of Data) (reporting standard) determination </w:t>
      </w:r>
      <w:r w:rsidR="00C111B4" w:rsidRPr="001F5396">
        <w:rPr>
          <w:rFonts w:ascii="Times New Roman" w:hAnsi="Times New Roman"/>
          <w:sz w:val="24"/>
          <w:szCs w:val="24"/>
        </w:rPr>
        <w:t>No.</w:t>
      </w:r>
      <w:r w:rsidR="001F5396">
        <w:rPr>
          <w:rFonts w:ascii="Times New Roman" w:hAnsi="Times New Roman"/>
          <w:sz w:val="24"/>
          <w:szCs w:val="24"/>
        </w:rPr>
        <w:t> </w:t>
      </w:r>
      <w:r w:rsidR="001F5396" w:rsidRPr="001F5396">
        <w:rPr>
          <w:rFonts w:ascii="Times New Roman" w:hAnsi="Times New Roman"/>
          <w:sz w:val="24"/>
          <w:szCs w:val="24"/>
        </w:rPr>
        <w:t>8</w:t>
      </w:r>
      <w:r w:rsidR="00C111B4" w:rsidRPr="001F5396">
        <w:rPr>
          <w:rFonts w:ascii="Times New Roman" w:hAnsi="Times New Roman"/>
          <w:sz w:val="24"/>
          <w:szCs w:val="24"/>
        </w:rPr>
        <w:t xml:space="preserve"> of 2020</w:t>
      </w:r>
      <w:r w:rsidR="00C111B4">
        <w:rPr>
          <w:rFonts w:ascii="Times New Roman" w:hAnsi="Times New Roman"/>
          <w:sz w:val="24"/>
          <w:szCs w:val="24"/>
        </w:rPr>
        <w:t xml:space="preserve"> (the instrument)</w:t>
      </w:r>
      <w:r w:rsidR="00C111B4" w:rsidRPr="00C111B4">
        <w:rPr>
          <w:rFonts w:ascii="Times New Roman" w:hAnsi="Times New Roman"/>
          <w:sz w:val="24"/>
          <w:szCs w:val="24"/>
        </w:rPr>
        <w:t xml:space="preserve"> which</w:t>
      </w:r>
      <w:r w:rsidR="00C111B4">
        <w:rPr>
          <w:rFonts w:ascii="Times New Roman" w:hAnsi="Times New Roman"/>
          <w:sz w:val="24"/>
          <w:szCs w:val="24"/>
        </w:rPr>
        <w:t xml:space="preserve"> determines </w:t>
      </w:r>
      <w:r w:rsidR="00C111B4" w:rsidRPr="00C111B4">
        <w:rPr>
          <w:rFonts w:ascii="Times New Roman" w:hAnsi="Times New Roman"/>
          <w:i/>
          <w:sz w:val="24"/>
          <w:szCs w:val="24"/>
        </w:rPr>
        <w:t xml:space="preserve">Reporting Standard ARS 923.2 Repayment Deferrals </w:t>
      </w:r>
      <w:r w:rsidR="00C111B4">
        <w:rPr>
          <w:rFonts w:ascii="Times New Roman" w:hAnsi="Times New Roman"/>
          <w:sz w:val="24"/>
          <w:szCs w:val="24"/>
        </w:rPr>
        <w:t>(ARS 923.2).</w:t>
      </w:r>
    </w:p>
    <w:p w14:paraId="00A7386E" w14:textId="476B6104" w:rsidR="00246723" w:rsidRDefault="00AC7A56" w:rsidP="001A2234">
      <w:pPr>
        <w:widowControl w:val="0"/>
        <w:spacing w:after="240"/>
        <w:jc w:val="both"/>
        <w:rPr>
          <w:rFonts w:ascii="Times New Roman" w:hAnsi="Times New Roman"/>
          <w:sz w:val="24"/>
          <w:szCs w:val="24"/>
        </w:rPr>
      </w:pPr>
      <w:r>
        <w:rPr>
          <w:rFonts w:ascii="Times New Roman" w:hAnsi="Times New Roman"/>
          <w:sz w:val="24"/>
          <w:szCs w:val="24"/>
        </w:rPr>
        <w:t>The instrument commence</w:t>
      </w:r>
      <w:r w:rsidR="00C111B4">
        <w:rPr>
          <w:rFonts w:ascii="Times New Roman" w:hAnsi="Times New Roman"/>
          <w:sz w:val="24"/>
          <w:szCs w:val="24"/>
        </w:rPr>
        <w:t>s upon registration on the Federal Register of Legislation</w:t>
      </w:r>
      <w:r w:rsidR="00D50699">
        <w:rPr>
          <w:rFonts w:ascii="Times New Roman" w:hAnsi="Times New Roman"/>
          <w:sz w:val="24"/>
          <w:szCs w:val="24"/>
        </w:rPr>
        <w:t>.</w:t>
      </w:r>
    </w:p>
    <w:p w14:paraId="2A2C8557" w14:textId="77777777"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30D35871" w14:textId="77777777" w:rsidR="005B7DC2" w:rsidRDefault="00DB2B8C" w:rsidP="00745C6F">
      <w:pPr>
        <w:pStyle w:val="APRANORMAL"/>
        <w:jc w:val="both"/>
        <w:rPr>
          <w:rFonts w:ascii="Times New Roman" w:hAnsi="Times New Roman"/>
          <w:sz w:val="24"/>
          <w:szCs w:val="24"/>
        </w:rPr>
      </w:pPr>
      <w:bookmarkStart w:id="4" w:name="bkBackground"/>
      <w:bookmarkEnd w:id="4"/>
      <w:r>
        <w:rPr>
          <w:rFonts w:ascii="Times New Roman" w:hAnsi="Times New Roman"/>
          <w:sz w:val="24"/>
          <w:szCs w:val="24"/>
        </w:rPr>
        <w:t xml:space="preserve">APRA’s mandate is to ensure the safety and soundness of prudentially regulated financial institutions so that they can meet their financial promises to depositors, policyholders and fund members within a stable, efficient and competitive financial system. </w:t>
      </w:r>
      <w:r w:rsidR="00266421" w:rsidRPr="00266421">
        <w:rPr>
          <w:rFonts w:ascii="Times New Roman" w:hAnsi="Times New Roman"/>
          <w:sz w:val="24"/>
          <w:szCs w:val="24"/>
        </w:rPr>
        <w:t>APRA gives effect to its mandate by establishing minimum expectations for prudentially regulated financial institutions.</w:t>
      </w:r>
      <w:r w:rsidR="00266421">
        <w:rPr>
          <w:rFonts w:ascii="Times New Roman" w:hAnsi="Times New Roman"/>
          <w:sz w:val="24"/>
          <w:szCs w:val="24"/>
        </w:rPr>
        <w:t xml:space="preserve"> </w:t>
      </w:r>
    </w:p>
    <w:p w14:paraId="2784A4D9" w14:textId="41861B9C" w:rsidR="0069157D" w:rsidRDefault="005B7DC2" w:rsidP="00745C6F">
      <w:pPr>
        <w:pStyle w:val="APRANORMAL"/>
        <w:jc w:val="both"/>
        <w:rPr>
          <w:rFonts w:ascii="Times New Roman" w:hAnsi="Times New Roman"/>
          <w:sz w:val="24"/>
          <w:szCs w:val="24"/>
        </w:rPr>
      </w:pPr>
      <w:r w:rsidRPr="005B7DC2">
        <w:rPr>
          <w:rFonts w:ascii="Times New Roman" w:hAnsi="Times New Roman"/>
          <w:sz w:val="24"/>
          <w:szCs w:val="24"/>
        </w:rPr>
        <w:t>A key component of APRA’s prudential framework for</w:t>
      </w:r>
      <w:r>
        <w:rPr>
          <w:rFonts w:ascii="Times New Roman" w:hAnsi="Times New Roman"/>
          <w:sz w:val="24"/>
          <w:szCs w:val="24"/>
        </w:rPr>
        <w:t xml:space="preserve"> authorised deposit-taking institutions</w:t>
      </w:r>
      <w:r w:rsidRPr="005B7DC2">
        <w:rPr>
          <w:rFonts w:ascii="Times New Roman" w:hAnsi="Times New Roman"/>
          <w:sz w:val="24"/>
          <w:szCs w:val="24"/>
        </w:rPr>
        <w:t xml:space="preserve"> </w:t>
      </w:r>
      <w:r>
        <w:rPr>
          <w:rFonts w:ascii="Times New Roman" w:hAnsi="Times New Roman"/>
          <w:sz w:val="24"/>
          <w:szCs w:val="24"/>
        </w:rPr>
        <w:t>(</w:t>
      </w:r>
      <w:r w:rsidRPr="005B7DC2">
        <w:rPr>
          <w:rFonts w:ascii="Times New Roman" w:hAnsi="Times New Roman"/>
          <w:sz w:val="24"/>
          <w:szCs w:val="24"/>
        </w:rPr>
        <w:t>ADIs</w:t>
      </w:r>
      <w:r>
        <w:rPr>
          <w:rFonts w:ascii="Times New Roman" w:hAnsi="Times New Roman"/>
          <w:sz w:val="24"/>
          <w:szCs w:val="24"/>
        </w:rPr>
        <w:t>)</w:t>
      </w:r>
      <w:r w:rsidRPr="005B7DC2">
        <w:rPr>
          <w:rFonts w:ascii="Times New Roman" w:hAnsi="Times New Roman"/>
          <w:sz w:val="24"/>
          <w:szCs w:val="24"/>
        </w:rPr>
        <w:t xml:space="preserve"> is the prudential standard for credit risk management. Credit risk means the risk that a borrower will fail to meet its obligations in accordance with agreed terms. ADIs need to manage the credit risk of exposures to individual borrowers, as well as their loan portfolios as a whole. The effective management of credit risk is critical to the long-term financial safety of an ADI.</w:t>
      </w:r>
      <w:r>
        <w:rPr>
          <w:rFonts w:ascii="Times New Roman" w:hAnsi="Times New Roman"/>
          <w:sz w:val="24"/>
          <w:szCs w:val="24"/>
        </w:rPr>
        <w:t xml:space="preserve"> </w:t>
      </w:r>
      <w:r w:rsidR="007A321C">
        <w:rPr>
          <w:rFonts w:ascii="Times New Roman" w:hAnsi="Times New Roman"/>
          <w:sz w:val="24"/>
          <w:szCs w:val="24"/>
        </w:rPr>
        <w:t>Data collected through reporting standards allows APRA to monitor</w:t>
      </w:r>
      <w:r>
        <w:rPr>
          <w:rFonts w:ascii="Times New Roman" w:hAnsi="Times New Roman"/>
          <w:sz w:val="24"/>
          <w:szCs w:val="24"/>
        </w:rPr>
        <w:t xml:space="preserve"> ADI</w:t>
      </w:r>
      <w:r w:rsidR="007A321C">
        <w:rPr>
          <w:rFonts w:ascii="Times New Roman" w:hAnsi="Times New Roman"/>
          <w:sz w:val="24"/>
          <w:szCs w:val="24"/>
        </w:rPr>
        <w:t xml:space="preserve"> compliance with</w:t>
      </w:r>
      <w:r w:rsidR="0069157D">
        <w:rPr>
          <w:rFonts w:ascii="Times New Roman" w:hAnsi="Times New Roman"/>
          <w:sz w:val="24"/>
          <w:szCs w:val="24"/>
        </w:rPr>
        <w:t xml:space="preserve"> credit risk management requirements, as well as assess individual ADI risks. </w:t>
      </w:r>
    </w:p>
    <w:p w14:paraId="298D26A1" w14:textId="44363752" w:rsidR="007A321C" w:rsidRDefault="007A321C" w:rsidP="00745C6F">
      <w:pPr>
        <w:pStyle w:val="APRANORMAL"/>
        <w:jc w:val="both"/>
        <w:rPr>
          <w:rFonts w:ascii="Times New Roman" w:hAnsi="Times New Roman"/>
          <w:sz w:val="24"/>
          <w:szCs w:val="24"/>
        </w:rPr>
      </w:pPr>
      <w:r w:rsidRPr="00330C21">
        <w:rPr>
          <w:rFonts w:ascii="Times New Roman" w:hAnsi="Times New Roman"/>
          <w:sz w:val="24"/>
          <w:szCs w:val="24"/>
        </w:rPr>
        <w:t>In response to the unprecedented economic challenges presented by the COVID-19 pandemic, ADIs have offered large numbers of borrowers repayment deferrals or otherwise modified the terms of loans.</w:t>
      </w:r>
      <w:r>
        <w:rPr>
          <w:rFonts w:ascii="Times New Roman" w:hAnsi="Times New Roman"/>
          <w:sz w:val="24"/>
          <w:szCs w:val="24"/>
        </w:rPr>
        <w:t xml:space="preserve"> </w:t>
      </w:r>
      <w:r w:rsidR="009D4F13">
        <w:rPr>
          <w:rFonts w:ascii="Times New Roman" w:hAnsi="Times New Roman"/>
          <w:sz w:val="24"/>
          <w:szCs w:val="24"/>
        </w:rPr>
        <w:t xml:space="preserve">APRA has also </w:t>
      </w:r>
      <w:r w:rsidR="006A6E3B">
        <w:rPr>
          <w:rFonts w:ascii="Times New Roman" w:hAnsi="Times New Roman"/>
          <w:sz w:val="24"/>
          <w:szCs w:val="24"/>
        </w:rPr>
        <w:t xml:space="preserve">responded by </w:t>
      </w:r>
      <w:r w:rsidR="009D4F13">
        <w:rPr>
          <w:rFonts w:ascii="Times New Roman" w:hAnsi="Times New Roman"/>
          <w:sz w:val="24"/>
          <w:szCs w:val="24"/>
        </w:rPr>
        <w:t>temporarily modif</w:t>
      </w:r>
      <w:r w:rsidR="006A6E3B">
        <w:rPr>
          <w:rFonts w:ascii="Times New Roman" w:hAnsi="Times New Roman"/>
          <w:sz w:val="24"/>
          <w:szCs w:val="24"/>
        </w:rPr>
        <w:t>y</w:t>
      </w:r>
      <w:r w:rsidR="009D4F13">
        <w:rPr>
          <w:rFonts w:ascii="Times New Roman" w:hAnsi="Times New Roman"/>
          <w:sz w:val="24"/>
          <w:szCs w:val="24"/>
        </w:rPr>
        <w:t>i</w:t>
      </w:r>
      <w:r w:rsidR="006A6E3B">
        <w:rPr>
          <w:rFonts w:ascii="Times New Roman" w:hAnsi="Times New Roman"/>
          <w:sz w:val="24"/>
          <w:szCs w:val="24"/>
        </w:rPr>
        <w:t>ng</w:t>
      </w:r>
      <w:r w:rsidR="009D4F13">
        <w:rPr>
          <w:rFonts w:ascii="Times New Roman" w:hAnsi="Times New Roman"/>
          <w:sz w:val="24"/>
          <w:szCs w:val="24"/>
        </w:rPr>
        <w:t xml:space="preserve"> the application of </w:t>
      </w:r>
      <w:r w:rsidR="009D4F13" w:rsidRPr="009D4F13">
        <w:rPr>
          <w:rFonts w:ascii="Times New Roman" w:hAnsi="Times New Roman"/>
          <w:i/>
          <w:sz w:val="24"/>
          <w:szCs w:val="24"/>
        </w:rPr>
        <w:t>Prudential Standard APS 220 Credit Quality</w:t>
      </w:r>
      <w:r w:rsidR="009D4F13">
        <w:rPr>
          <w:rFonts w:ascii="Times New Roman" w:hAnsi="Times New Roman"/>
          <w:sz w:val="24"/>
          <w:szCs w:val="24"/>
        </w:rPr>
        <w:t xml:space="preserve"> </w:t>
      </w:r>
      <w:r w:rsidR="00D87B5D">
        <w:rPr>
          <w:rFonts w:ascii="Times New Roman" w:hAnsi="Times New Roman"/>
          <w:sz w:val="24"/>
          <w:szCs w:val="24"/>
        </w:rPr>
        <w:t xml:space="preserve">(APS 220) </w:t>
      </w:r>
      <w:r w:rsidR="009D4F13">
        <w:rPr>
          <w:rFonts w:ascii="Times New Roman" w:hAnsi="Times New Roman"/>
          <w:sz w:val="24"/>
          <w:szCs w:val="24"/>
        </w:rPr>
        <w:t xml:space="preserve">as it applies to loans impacted by COVID-19. </w:t>
      </w:r>
      <w:r w:rsidR="000C608D">
        <w:rPr>
          <w:rFonts w:ascii="Times New Roman" w:hAnsi="Times New Roman"/>
          <w:sz w:val="24"/>
          <w:szCs w:val="24"/>
        </w:rPr>
        <w:t xml:space="preserve">Sufficient visibility of ADIs’ exposures to these loans impacted by COVID-19, and their impact on an ADI’s risk profile, is not </w:t>
      </w:r>
      <w:r w:rsidR="002A1E13">
        <w:rPr>
          <w:rFonts w:ascii="Times New Roman" w:hAnsi="Times New Roman"/>
          <w:sz w:val="24"/>
          <w:szCs w:val="24"/>
        </w:rPr>
        <w:t xml:space="preserve">currently </w:t>
      </w:r>
      <w:r w:rsidR="000C608D">
        <w:rPr>
          <w:rFonts w:ascii="Times New Roman" w:hAnsi="Times New Roman"/>
          <w:sz w:val="24"/>
          <w:szCs w:val="24"/>
        </w:rPr>
        <w:t xml:space="preserve">provided through </w:t>
      </w:r>
      <w:r>
        <w:rPr>
          <w:rFonts w:ascii="Times New Roman" w:hAnsi="Times New Roman"/>
          <w:sz w:val="24"/>
          <w:szCs w:val="24"/>
        </w:rPr>
        <w:t>APRA’s existing data collections on credit risk</w:t>
      </w:r>
      <w:r w:rsidR="0069157D">
        <w:rPr>
          <w:rFonts w:ascii="Times New Roman" w:hAnsi="Times New Roman"/>
          <w:sz w:val="24"/>
          <w:szCs w:val="24"/>
        </w:rPr>
        <w:t>.</w:t>
      </w:r>
    </w:p>
    <w:p w14:paraId="7FA50A5F" w14:textId="38D40331"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lastRenderedPageBreak/>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14:paraId="71093540" w14:textId="3DC97AF6" w:rsidR="006B50BF" w:rsidRDefault="006B50BF" w:rsidP="00C02366">
      <w:pPr>
        <w:spacing w:after="240"/>
        <w:ind w:right="113"/>
        <w:jc w:val="both"/>
        <w:rPr>
          <w:rFonts w:ascii="Times New Roman" w:hAnsi="Times New Roman"/>
          <w:sz w:val="24"/>
          <w:szCs w:val="24"/>
        </w:rPr>
      </w:pPr>
      <w:bookmarkStart w:id="5" w:name="bkPurpose"/>
      <w:bookmarkEnd w:id="5"/>
      <w:r>
        <w:rPr>
          <w:rFonts w:ascii="Times New Roman" w:hAnsi="Times New Roman"/>
          <w:sz w:val="24"/>
          <w:szCs w:val="24"/>
        </w:rPr>
        <w:t>The purpose of the instrument is to determine</w:t>
      </w:r>
      <w:r w:rsidR="009D4F13">
        <w:rPr>
          <w:rFonts w:ascii="Times New Roman" w:hAnsi="Times New Roman"/>
          <w:sz w:val="24"/>
          <w:szCs w:val="24"/>
        </w:rPr>
        <w:t xml:space="preserve"> </w:t>
      </w:r>
      <w:r>
        <w:rPr>
          <w:rFonts w:ascii="Times New Roman" w:hAnsi="Times New Roman"/>
          <w:sz w:val="24"/>
          <w:szCs w:val="24"/>
        </w:rPr>
        <w:t>ARS</w:t>
      </w:r>
      <w:r w:rsidR="00E442F8">
        <w:rPr>
          <w:rFonts w:ascii="Times New Roman" w:hAnsi="Times New Roman"/>
          <w:sz w:val="24"/>
          <w:szCs w:val="24"/>
        </w:rPr>
        <w:t> </w:t>
      </w:r>
      <w:r>
        <w:rPr>
          <w:rFonts w:ascii="Times New Roman" w:hAnsi="Times New Roman"/>
          <w:sz w:val="24"/>
          <w:szCs w:val="24"/>
        </w:rPr>
        <w:t>923.2</w:t>
      </w:r>
      <w:r w:rsidR="008F7ECF">
        <w:rPr>
          <w:rFonts w:ascii="Times New Roman" w:hAnsi="Times New Roman"/>
          <w:sz w:val="24"/>
          <w:szCs w:val="24"/>
        </w:rPr>
        <w:t xml:space="preserve"> which</w:t>
      </w:r>
      <w:r w:rsidR="00E442F8" w:rsidRPr="00E442F8">
        <w:rPr>
          <w:rFonts w:ascii="Times New Roman" w:hAnsi="Times New Roman"/>
          <w:sz w:val="24"/>
          <w:szCs w:val="24"/>
        </w:rPr>
        <w:t xml:space="preserve"> collects </w:t>
      </w:r>
      <w:r w:rsidR="00E442F8">
        <w:rPr>
          <w:rFonts w:ascii="Times New Roman" w:hAnsi="Times New Roman"/>
          <w:sz w:val="24"/>
          <w:szCs w:val="24"/>
        </w:rPr>
        <w:t>data</w:t>
      </w:r>
      <w:r w:rsidR="00E442F8" w:rsidRPr="00E442F8">
        <w:rPr>
          <w:rFonts w:ascii="Times New Roman" w:hAnsi="Times New Roman"/>
          <w:sz w:val="24"/>
          <w:szCs w:val="24"/>
        </w:rPr>
        <w:t xml:space="preserve"> from ADIs on their exposure to loans with repayment deferrals</w:t>
      </w:r>
      <w:r w:rsidR="000E2345">
        <w:rPr>
          <w:rFonts w:ascii="Times New Roman" w:hAnsi="Times New Roman"/>
          <w:sz w:val="24"/>
          <w:szCs w:val="24"/>
        </w:rPr>
        <w:t xml:space="preserve"> due to COVID-19,</w:t>
      </w:r>
      <w:r w:rsidR="00E442F8">
        <w:rPr>
          <w:rFonts w:ascii="Times New Roman" w:hAnsi="Times New Roman"/>
          <w:sz w:val="24"/>
          <w:szCs w:val="24"/>
        </w:rPr>
        <w:t xml:space="preserve"> </w:t>
      </w:r>
      <w:r w:rsidR="000E2345">
        <w:rPr>
          <w:rFonts w:ascii="Times New Roman" w:hAnsi="Times New Roman"/>
          <w:sz w:val="24"/>
          <w:szCs w:val="24"/>
        </w:rPr>
        <w:t>and is aligned with the temporary amendments to APS 220</w:t>
      </w:r>
      <w:r w:rsidR="00E442F8" w:rsidRPr="00E442F8">
        <w:rPr>
          <w:rFonts w:ascii="Times New Roman" w:hAnsi="Times New Roman"/>
          <w:sz w:val="24"/>
          <w:szCs w:val="24"/>
        </w:rPr>
        <w:t>.</w:t>
      </w:r>
    </w:p>
    <w:p w14:paraId="0CC6C193" w14:textId="4D816D29" w:rsidR="00631116" w:rsidRDefault="00AD1E70" w:rsidP="001B7B46">
      <w:pPr>
        <w:spacing w:after="240"/>
        <w:ind w:right="113"/>
        <w:jc w:val="both"/>
        <w:rPr>
          <w:rFonts w:ascii="Times New Roman" w:hAnsi="Times New Roman"/>
          <w:sz w:val="24"/>
          <w:szCs w:val="24"/>
        </w:rPr>
      </w:pPr>
      <w:r w:rsidRPr="00AD1E70">
        <w:rPr>
          <w:rFonts w:ascii="Times New Roman" w:hAnsi="Times New Roman"/>
          <w:sz w:val="24"/>
          <w:szCs w:val="24"/>
        </w:rPr>
        <w:t xml:space="preserve">Where </w:t>
      </w:r>
      <w:r w:rsidR="00901D3C">
        <w:rPr>
          <w:rFonts w:ascii="Times New Roman" w:hAnsi="Times New Roman"/>
          <w:sz w:val="24"/>
          <w:szCs w:val="24"/>
        </w:rPr>
        <w:t xml:space="preserve">the reporting standards </w:t>
      </w:r>
      <w:r w:rsidR="002C0701">
        <w:rPr>
          <w:rFonts w:ascii="Times New Roman" w:hAnsi="Times New Roman"/>
          <w:sz w:val="24"/>
          <w:szCs w:val="24"/>
        </w:rPr>
        <w:t>refer</w:t>
      </w:r>
      <w:r w:rsidR="008B659C">
        <w:rPr>
          <w:rFonts w:ascii="Times New Roman" w:hAnsi="Times New Roman"/>
          <w:sz w:val="24"/>
          <w:szCs w:val="24"/>
        </w:rPr>
        <w:t xml:space="preserve"> to an Act</w:t>
      </w:r>
      <w:r w:rsidR="00947DEB">
        <w:rPr>
          <w:rFonts w:ascii="Times New Roman" w:hAnsi="Times New Roman"/>
          <w:sz w:val="24"/>
          <w:szCs w:val="24"/>
        </w:rPr>
        <w:t xml:space="preserve"> or</w:t>
      </w:r>
      <w:r w:rsidR="008B659C" w:rsidRPr="008B659C">
        <w:rPr>
          <w:rFonts w:ascii="Times New Roman" w:hAnsi="Times New Roman"/>
          <w:sz w:val="24"/>
          <w:szCs w:val="24"/>
        </w:rPr>
        <w:t xml:space="preserve"> Prudential Standard, this is a reference to the document as it exists from time to time</w:t>
      </w:r>
      <w:r w:rsidR="008B659C" w:rsidRPr="008B659C">
        <w:rPr>
          <w:rFonts w:ascii="Times New Roman" w:hAnsi="Times New Roman"/>
          <w:b/>
          <w:sz w:val="24"/>
          <w:szCs w:val="24"/>
        </w:rPr>
        <w:t xml:space="preserve">, </w:t>
      </w:r>
      <w:r w:rsidR="008B659C" w:rsidRPr="008B659C">
        <w:rPr>
          <w:rFonts w:ascii="Times New Roman" w:hAnsi="Times New Roman"/>
          <w:sz w:val="24"/>
          <w:szCs w:val="24"/>
        </w:rPr>
        <w:t xml:space="preserve">and </w:t>
      </w:r>
      <w:r w:rsidR="00566B0B">
        <w:rPr>
          <w:rFonts w:ascii="Times New Roman" w:hAnsi="Times New Roman"/>
          <w:sz w:val="24"/>
          <w:szCs w:val="24"/>
        </w:rPr>
        <w:t>which is</w:t>
      </w:r>
      <w:r w:rsidR="008B659C" w:rsidRPr="008B659C">
        <w:rPr>
          <w:rFonts w:ascii="Times New Roman" w:hAnsi="Times New Roman"/>
          <w:sz w:val="24"/>
          <w:szCs w:val="24"/>
        </w:rPr>
        <w:t xml:space="preserve"> available on the Federal Register of Legislation at </w:t>
      </w:r>
      <w:hyperlink r:id="rId13" w:history="1">
        <w:r w:rsidR="008B659C" w:rsidRPr="008B659C">
          <w:rPr>
            <w:rStyle w:val="Hyperlink"/>
            <w:rFonts w:ascii="Times New Roman" w:hAnsi="Times New Roman"/>
            <w:sz w:val="24"/>
            <w:szCs w:val="24"/>
          </w:rPr>
          <w:t>www.legislation.gov.au</w:t>
        </w:r>
      </w:hyperlink>
      <w:r w:rsidR="008B659C">
        <w:rPr>
          <w:rFonts w:ascii="Times New Roman" w:hAnsi="Times New Roman"/>
          <w:sz w:val="24"/>
          <w:szCs w:val="24"/>
        </w:rPr>
        <w:t>.</w:t>
      </w:r>
    </w:p>
    <w:p w14:paraId="6F60EFE7" w14:textId="3E60EA1C" w:rsidR="00835BD9" w:rsidRPr="00835BD9" w:rsidRDefault="009626AB" w:rsidP="00835BD9">
      <w:pPr>
        <w:spacing w:after="240"/>
        <w:jc w:val="both"/>
        <w:rPr>
          <w:rFonts w:ascii="Times New Roman" w:hAnsi="Times New Roman"/>
          <w:sz w:val="24"/>
          <w:szCs w:val="24"/>
        </w:rPr>
      </w:pPr>
      <w:r w:rsidRPr="00D26946">
        <w:rPr>
          <w:rFonts w:ascii="Times New Roman" w:hAnsi="Times New Roman"/>
          <w:color w:val="000000"/>
          <w:sz w:val="24"/>
          <w:shd w:val="clear" w:color="auto" w:fill="FFFFFF"/>
        </w:rPr>
        <w:t>There are a number of powers that may be exercised by APRA in reporting standards which involve an element of discretion and which may impact the interests of the financial sector entity to which t</w:t>
      </w:r>
      <w:r w:rsidR="00C02366">
        <w:rPr>
          <w:rFonts w:ascii="Times New Roman" w:hAnsi="Times New Roman"/>
          <w:color w:val="000000"/>
          <w:sz w:val="24"/>
          <w:shd w:val="clear" w:color="auto" w:fill="FFFFFF"/>
        </w:rPr>
        <w:t xml:space="preserve">he reporting standard applies. </w:t>
      </w:r>
      <w:r w:rsidRPr="00D26946">
        <w:rPr>
          <w:rFonts w:ascii="Times New Roman" w:hAnsi="Times New Roman"/>
          <w:color w:val="000000"/>
          <w:sz w:val="24"/>
          <w:shd w:val="clear" w:color="auto" w:fill="FFFFFF"/>
        </w:rPr>
        <w:t>These decisions include APRA refusing to change a reporting period</w:t>
      </w:r>
      <w:r w:rsidR="00A8638C">
        <w:rPr>
          <w:rFonts w:ascii="Times New Roman" w:hAnsi="Times New Roman"/>
          <w:color w:val="000000"/>
          <w:sz w:val="24"/>
          <w:shd w:val="clear" w:color="auto" w:fill="FFFFFF"/>
        </w:rPr>
        <w:t>,</w:t>
      </w:r>
      <w:r w:rsidRPr="00D26946">
        <w:rPr>
          <w:rFonts w:ascii="Times New Roman" w:hAnsi="Times New Roman"/>
          <w:color w:val="000000"/>
          <w:sz w:val="24"/>
          <w:shd w:val="clear" w:color="auto" w:fill="FFFFFF"/>
        </w:rPr>
        <w:t xml:space="preserve"> or due date</w:t>
      </w:r>
      <w:r w:rsidR="00A8638C">
        <w:rPr>
          <w:rFonts w:ascii="Times New Roman" w:hAnsi="Times New Roman"/>
          <w:color w:val="000000"/>
          <w:sz w:val="24"/>
          <w:shd w:val="clear" w:color="auto" w:fill="FFFFFF"/>
        </w:rPr>
        <w:t>,</w:t>
      </w:r>
      <w:r w:rsidRPr="00D26946">
        <w:rPr>
          <w:rFonts w:ascii="Times New Roman" w:hAnsi="Times New Roman"/>
          <w:color w:val="000000"/>
          <w:sz w:val="24"/>
          <w:shd w:val="clear" w:color="auto" w:fill="FFFFFF"/>
        </w:rPr>
        <w:t xml:space="preserve"> for an ADI to provide information required by </w:t>
      </w:r>
      <w:r w:rsidR="0011393A">
        <w:rPr>
          <w:rFonts w:ascii="Times New Roman" w:hAnsi="Times New Roman"/>
          <w:color w:val="000000"/>
          <w:sz w:val="24"/>
          <w:shd w:val="clear" w:color="auto" w:fill="FFFFFF"/>
        </w:rPr>
        <w:t>ARS</w:t>
      </w:r>
      <w:r w:rsidR="00C02366">
        <w:rPr>
          <w:rFonts w:ascii="Times New Roman" w:hAnsi="Times New Roman"/>
          <w:color w:val="000000"/>
          <w:sz w:val="24"/>
          <w:shd w:val="clear" w:color="auto" w:fill="FFFFFF"/>
        </w:rPr>
        <w:t> </w:t>
      </w:r>
      <w:r w:rsidR="00157F09">
        <w:rPr>
          <w:rFonts w:ascii="Times New Roman" w:hAnsi="Times New Roman"/>
          <w:color w:val="000000"/>
          <w:sz w:val="24"/>
          <w:shd w:val="clear" w:color="auto" w:fill="FFFFFF"/>
        </w:rPr>
        <w:t>923.2</w:t>
      </w:r>
      <w:r w:rsidRPr="00D26946">
        <w:rPr>
          <w:rFonts w:ascii="Times New Roman" w:hAnsi="Times New Roman"/>
          <w:color w:val="000000"/>
          <w:sz w:val="24"/>
          <w:shd w:val="clear" w:color="auto" w:fill="FFFFFF"/>
        </w:rPr>
        <w:t>. Decisions made by APRA exercising those powers are not subject to merits review.</w:t>
      </w:r>
    </w:p>
    <w:p w14:paraId="74E06295" w14:textId="77777777" w:rsidR="00835BD9" w:rsidRDefault="00835BD9" w:rsidP="00835BD9">
      <w:pPr>
        <w:spacing w:after="240"/>
        <w:jc w:val="both"/>
        <w:rPr>
          <w:rFonts w:ascii="Times New Roman" w:hAnsi="Times New Roman"/>
          <w:sz w:val="24"/>
          <w:szCs w:val="24"/>
        </w:rPr>
      </w:pPr>
      <w:r w:rsidRPr="00835BD9">
        <w:rPr>
          <w:rFonts w:ascii="Times New Roman" w:hAnsi="Times New Roman"/>
          <w:sz w:val="24"/>
          <w:szCs w:val="24"/>
        </w:rPr>
        <w:t>APRA considers decisions made by APRA exercising discretions under its reporting standards should not be subject to merits review as they are financial decisions with a significant public interest element.</w:t>
      </w:r>
    </w:p>
    <w:p w14:paraId="1EA0558E" w14:textId="607250DE" w:rsidR="00BB5D93" w:rsidRDefault="009254A8" w:rsidP="00835BD9">
      <w:pPr>
        <w:spacing w:after="240"/>
        <w:jc w:val="both"/>
        <w:rPr>
          <w:rFonts w:ascii="Times New Roman" w:hAnsi="Times New Roman"/>
          <w:sz w:val="24"/>
          <w:szCs w:val="24"/>
        </w:rPr>
      </w:pPr>
      <w:r>
        <w:rPr>
          <w:rFonts w:ascii="Times New Roman" w:hAnsi="Times New Roman"/>
          <w:sz w:val="24"/>
          <w:szCs w:val="24"/>
        </w:rPr>
        <w:t>ARS</w:t>
      </w:r>
      <w:r w:rsidR="001B7B46">
        <w:rPr>
          <w:rFonts w:ascii="Times New Roman" w:hAnsi="Times New Roman"/>
          <w:sz w:val="24"/>
          <w:szCs w:val="24"/>
        </w:rPr>
        <w:t> </w:t>
      </w:r>
      <w:r>
        <w:rPr>
          <w:rFonts w:ascii="Times New Roman" w:hAnsi="Times New Roman"/>
          <w:sz w:val="24"/>
          <w:szCs w:val="24"/>
        </w:rPr>
        <w:t xml:space="preserve">923.2 </w:t>
      </w:r>
      <w:r w:rsidR="001472A2">
        <w:rPr>
          <w:rFonts w:ascii="Times New Roman" w:hAnsi="Times New Roman"/>
          <w:sz w:val="24"/>
          <w:szCs w:val="24"/>
        </w:rPr>
        <w:t xml:space="preserve">supports APRA’s response to the </w:t>
      </w:r>
      <w:r w:rsidR="001472A2" w:rsidRPr="001472A2">
        <w:rPr>
          <w:rFonts w:ascii="Times New Roman" w:hAnsi="Times New Roman"/>
          <w:sz w:val="24"/>
          <w:szCs w:val="24"/>
        </w:rPr>
        <w:t>unprecedented economic challenges</w:t>
      </w:r>
      <w:r w:rsidR="001472A2">
        <w:rPr>
          <w:rFonts w:ascii="Times New Roman" w:hAnsi="Times New Roman"/>
          <w:sz w:val="24"/>
          <w:szCs w:val="24"/>
        </w:rPr>
        <w:t xml:space="preserve"> presented by the</w:t>
      </w:r>
      <w:r w:rsidR="001472A2" w:rsidRPr="001472A2">
        <w:rPr>
          <w:rFonts w:ascii="Times New Roman" w:hAnsi="Times New Roman"/>
          <w:sz w:val="24"/>
          <w:szCs w:val="24"/>
        </w:rPr>
        <w:t xml:space="preserve"> </w:t>
      </w:r>
      <w:r w:rsidR="001472A2">
        <w:rPr>
          <w:rFonts w:ascii="Times New Roman" w:hAnsi="Times New Roman"/>
          <w:sz w:val="24"/>
          <w:szCs w:val="24"/>
        </w:rPr>
        <w:t>COVID-19 pandemic. ARS 923.2 collects data that contains critical indicators of ADIs</w:t>
      </w:r>
      <w:r w:rsidR="00040081">
        <w:rPr>
          <w:rFonts w:ascii="Times New Roman" w:hAnsi="Times New Roman"/>
          <w:sz w:val="24"/>
          <w:szCs w:val="24"/>
        </w:rPr>
        <w:t>’</w:t>
      </w:r>
      <w:r w:rsidR="001472A2">
        <w:rPr>
          <w:rFonts w:ascii="Times New Roman" w:hAnsi="Times New Roman"/>
          <w:sz w:val="24"/>
          <w:szCs w:val="24"/>
        </w:rPr>
        <w:t xml:space="preserve"> </w:t>
      </w:r>
      <w:r w:rsidR="00072A7A">
        <w:rPr>
          <w:rFonts w:ascii="Times New Roman" w:hAnsi="Times New Roman"/>
          <w:sz w:val="24"/>
          <w:szCs w:val="24"/>
        </w:rPr>
        <w:t>exposure</w:t>
      </w:r>
      <w:r w:rsidR="00040081">
        <w:rPr>
          <w:rFonts w:ascii="Times New Roman" w:hAnsi="Times New Roman"/>
          <w:sz w:val="24"/>
          <w:szCs w:val="24"/>
        </w:rPr>
        <w:t>s</w:t>
      </w:r>
      <w:r w:rsidR="00072A7A">
        <w:rPr>
          <w:rFonts w:ascii="Times New Roman" w:hAnsi="Times New Roman"/>
          <w:sz w:val="24"/>
          <w:szCs w:val="24"/>
        </w:rPr>
        <w:t xml:space="preserve"> to loans subject to repayment deferrals, or otherwise restructured, due to COVID-19 and the</w:t>
      </w:r>
      <w:r w:rsidR="004B0C58">
        <w:rPr>
          <w:rFonts w:ascii="Times New Roman" w:hAnsi="Times New Roman"/>
          <w:sz w:val="24"/>
          <w:szCs w:val="24"/>
        </w:rPr>
        <w:t xml:space="preserve"> resulting impact on an ADI’s risk profile.</w:t>
      </w:r>
    </w:p>
    <w:p w14:paraId="4BF2D3A5" w14:textId="233656CC" w:rsidR="004B0C58" w:rsidRPr="00835BD9" w:rsidRDefault="004B0C58" w:rsidP="00835BD9">
      <w:pPr>
        <w:spacing w:after="240"/>
        <w:jc w:val="both"/>
        <w:rPr>
          <w:rFonts w:ascii="Times New Roman" w:hAnsi="Times New Roman"/>
          <w:sz w:val="24"/>
          <w:szCs w:val="24"/>
        </w:rPr>
      </w:pPr>
      <w:r>
        <w:rPr>
          <w:rFonts w:ascii="Times New Roman" w:hAnsi="Times New Roman"/>
          <w:sz w:val="24"/>
          <w:szCs w:val="24"/>
        </w:rPr>
        <w:t>Without timely and complete data, which may be impacted due to ADIs seeking</w:t>
      </w:r>
      <w:r w:rsidR="00040081">
        <w:rPr>
          <w:rFonts w:ascii="Times New Roman" w:hAnsi="Times New Roman"/>
          <w:sz w:val="24"/>
          <w:szCs w:val="24"/>
        </w:rPr>
        <w:t xml:space="preserve"> merits review of APRA’s decision</w:t>
      </w:r>
      <w:r w:rsidR="000951BB">
        <w:rPr>
          <w:rFonts w:ascii="Times New Roman" w:hAnsi="Times New Roman"/>
          <w:sz w:val="24"/>
          <w:szCs w:val="24"/>
        </w:rPr>
        <w:t>s</w:t>
      </w:r>
      <w:r w:rsidR="00040081">
        <w:rPr>
          <w:rFonts w:ascii="Times New Roman" w:hAnsi="Times New Roman"/>
          <w:sz w:val="24"/>
          <w:szCs w:val="24"/>
        </w:rPr>
        <w:t xml:space="preserve"> under ARS</w:t>
      </w:r>
      <w:r w:rsidR="001B7B46">
        <w:rPr>
          <w:rFonts w:ascii="Times New Roman" w:hAnsi="Times New Roman"/>
          <w:sz w:val="24"/>
          <w:szCs w:val="24"/>
        </w:rPr>
        <w:t> </w:t>
      </w:r>
      <w:r w:rsidR="00040081">
        <w:rPr>
          <w:rFonts w:ascii="Times New Roman" w:hAnsi="Times New Roman"/>
          <w:sz w:val="24"/>
          <w:szCs w:val="24"/>
        </w:rPr>
        <w:t>923.2,</w:t>
      </w:r>
      <w:r>
        <w:rPr>
          <w:rFonts w:ascii="Times New Roman" w:hAnsi="Times New Roman"/>
          <w:sz w:val="24"/>
          <w:szCs w:val="24"/>
        </w:rPr>
        <w:t xml:space="preserve"> APRA’s assessment of its </w:t>
      </w:r>
      <w:r w:rsidR="00C95745">
        <w:rPr>
          <w:rFonts w:ascii="Times New Roman" w:hAnsi="Times New Roman"/>
          <w:sz w:val="24"/>
          <w:szCs w:val="24"/>
        </w:rPr>
        <w:t xml:space="preserve">urgent </w:t>
      </w:r>
      <w:r w:rsidR="00040081">
        <w:rPr>
          <w:rFonts w:ascii="Times New Roman" w:hAnsi="Times New Roman"/>
          <w:sz w:val="24"/>
          <w:szCs w:val="24"/>
        </w:rPr>
        <w:t xml:space="preserve">prudential </w:t>
      </w:r>
      <w:r>
        <w:rPr>
          <w:rFonts w:ascii="Times New Roman" w:hAnsi="Times New Roman"/>
          <w:sz w:val="24"/>
          <w:szCs w:val="24"/>
        </w:rPr>
        <w:t>response to the COVI</w:t>
      </w:r>
      <w:r w:rsidR="00040081">
        <w:rPr>
          <w:rFonts w:ascii="Times New Roman" w:hAnsi="Times New Roman"/>
          <w:sz w:val="24"/>
          <w:szCs w:val="24"/>
        </w:rPr>
        <w:t>D</w:t>
      </w:r>
      <w:r>
        <w:rPr>
          <w:rFonts w:ascii="Times New Roman" w:hAnsi="Times New Roman"/>
          <w:sz w:val="24"/>
          <w:szCs w:val="24"/>
        </w:rPr>
        <w:t>-19 pandemic</w:t>
      </w:r>
      <w:r w:rsidR="00040081">
        <w:rPr>
          <w:rFonts w:ascii="Times New Roman" w:hAnsi="Times New Roman"/>
          <w:sz w:val="24"/>
          <w:szCs w:val="24"/>
        </w:rPr>
        <w:t xml:space="preserve"> may be jeopardised. </w:t>
      </w:r>
      <w:r w:rsidR="00922098">
        <w:rPr>
          <w:rFonts w:ascii="Times New Roman" w:hAnsi="Times New Roman"/>
          <w:sz w:val="24"/>
          <w:szCs w:val="24"/>
        </w:rPr>
        <w:t>If APRA is not able to expediently and accurately assess its prudential response, t</w:t>
      </w:r>
      <w:r w:rsidR="00040081">
        <w:rPr>
          <w:rFonts w:ascii="Times New Roman" w:hAnsi="Times New Roman"/>
          <w:sz w:val="24"/>
          <w:szCs w:val="24"/>
        </w:rPr>
        <w:t xml:space="preserve">his may result in hindering </w:t>
      </w:r>
      <w:r w:rsidR="0071431F">
        <w:rPr>
          <w:rFonts w:ascii="Times New Roman" w:hAnsi="Times New Roman"/>
          <w:sz w:val="24"/>
          <w:szCs w:val="24"/>
        </w:rPr>
        <w:t xml:space="preserve">the ability of </w:t>
      </w:r>
      <w:r w:rsidR="00040081">
        <w:rPr>
          <w:rFonts w:ascii="Times New Roman" w:hAnsi="Times New Roman"/>
          <w:sz w:val="24"/>
          <w:szCs w:val="24"/>
        </w:rPr>
        <w:t>ADIs to continue to offer modification</w:t>
      </w:r>
      <w:r w:rsidR="00120BC8">
        <w:rPr>
          <w:rFonts w:ascii="Times New Roman" w:hAnsi="Times New Roman"/>
          <w:sz w:val="24"/>
          <w:szCs w:val="24"/>
        </w:rPr>
        <w:t>s</w:t>
      </w:r>
      <w:r w:rsidR="00040081">
        <w:rPr>
          <w:rFonts w:ascii="Times New Roman" w:hAnsi="Times New Roman"/>
          <w:sz w:val="24"/>
          <w:szCs w:val="24"/>
        </w:rPr>
        <w:t xml:space="preserve"> of the terms of loans impacted by COVID-19</w:t>
      </w:r>
      <w:r w:rsidR="00C95745">
        <w:rPr>
          <w:rFonts w:ascii="Times New Roman" w:hAnsi="Times New Roman"/>
          <w:sz w:val="24"/>
          <w:szCs w:val="24"/>
        </w:rPr>
        <w:t xml:space="preserve"> and reduce the flexibility ADIs have in supporting borrowers through the COVID-19 pandemic.</w:t>
      </w:r>
      <w:r>
        <w:rPr>
          <w:rFonts w:ascii="Times New Roman" w:hAnsi="Times New Roman"/>
          <w:sz w:val="24"/>
          <w:szCs w:val="24"/>
        </w:rPr>
        <w:t xml:space="preserve"> </w:t>
      </w:r>
    </w:p>
    <w:p w14:paraId="620C833F" w14:textId="04C4F6BC" w:rsidR="002436BD" w:rsidRDefault="002436BD" w:rsidP="005214DF">
      <w:pPr>
        <w:pStyle w:val="Heading"/>
        <w:keepNext/>
        <w:numPr>
          <w:ilvl w:val="0"/>
          <w:numId w:val="2"/>
        </w:numPr>
        <w:spacing w:after="240"/>
        <w:ind w:left="357" w:hanging="357"/>
        <w:rPr>
          <w:rFonts w:ascii="Times New Roman" w:hAnsi="Times New Roman"/>
          <w:sz w:val="24"/>
          <w:szCs w:val="24"/>
        </w:rPr>
      </w:pPr>
      <w:bookmarkStart w:id="6" w:name="bkoperation"/>
      <w:bookmarkStart w:id="7" w:name="bkConsultationNo"/>
      <w:bookmarkEnd w:id="6"/>
      <w:bookmarkEnd w:id="7"/>
      <w:r w:rsidRPr="002C6D26">
        <w:rPr>
          <w:rFonts w:ascii="Times New Roman" w:hAnsi="Times New Roman"/>
          <w:sz w:val="24"/>
          <w:szCs w:val="24"/>
        </w:rPr>
        <w:t>Consultation</w:t>
      </w:r>
    </w:p>
    <w:p w14:paraId="1FFEF601" w14:textId="57C18F4E" w:rsidR="00157F09" w:rsidRDefault="00157F09" w:rsidP="00157F09">
      <w:pPr>
        <w:pStyle w:val="Heading"/>
        <w:tabs>
          <w:tab w:val="left" w:pos="360"/>
        </w:tabs>
        <w:spacing w:after="240"/>
        <w:rPr>
          <w:rFonts w:ascii="Times New Roman" w:hAnsi="Times New Roman"/>
          <w:b w:val="0"/>
          <w:sz w:val="24"/>
          <w:szCs w:val="24"/>
        </w:rPr>
      </w:pPr>
      <w:r w:rsidRPr="00167328">
        <w:rPr>
          <w:rFonts w:ascii="Times New Roman" w:hAnsi="Times New Roman"/>
          <w:b w:val="0"/>
          <w:sz w:val="24"/>
          <w:szCs w:val="24"/>
        </w:rPr>
        <w:t>APRA engaged in a short one-week public consultation on ARS</w:t>
      </w:r>
      <w:r w:rsidR="001B7B46">
        <w:rPr>
          <w:rFonts w:ascii="Times New Roman" w:hAnsi="Times New Roman"/>
          <w:b w:val="0"/>
          <w:sz w:val="24"/>
          <w:szCs w:val="24"/>
        </w:rPr>
        <w:t> </w:t>
      </w:r>
      <w:r w:rsidRPr="00167328">
        <w:rPr>
          <w:rFonts w:ascii="Times New Roman" w:hAnsi="Times New Roman"/>
          <w:b w:val="0"/>
          <w:sz w:val="24"/>
          <w:szCs w:val="24"/>
        </w:rPr>
        <w:t>923.2.</w:t>
      </w:r>
      <w:r w:rsidRPr="00167328">
        <w:rPr>
          <w:rStyle w:val="FootnoteReference"/>
          <w:rFonts w:ascii="Times New Roman" w:hAnsi="Times New Roman"/>
          <w:b w:val="0"/>
          <w:sz w:val="24"/>
          <w:szCs w:val="24"/>
        </w:rPr>
        <w:footnoteReference w:id="2"/>
      </w:r>
      <w:r w:rsidRPr="00167328">
        <w:rPr>
          <w:rFonts w:ascii="Times New Roman" w:hAnsi="Times New Roman"/>
          <w:b w:val="0"/>
          <w:sz w:val="24"/>
          <w:szCs w:val="24"/>
        </w:rPr>
        <w:t xml:space="preserve"> APRA received </w:t>
      </w:r>
      <w:r w:rsidR="00E2247F" w:rsidRPr="00167328">
        <w:rPr>
          <w:rFonts w:ascii="Times New Roman" w:hAnsi="Times New Roman"/>
          <w:b w:val="0"/>
          <w:sz w:val="24"/>
          <w:szCs w:val="24"/>
        </w:rPr>
        <w:t>s</w:t>
      </w:r>
      <w:r w:rsidR="00167328" w:rsidRPr="00167328">
        <w:rPr>
          <w:rFonts w:ascii="Times New Roman" w:hAnsi="Times New Roman"/>
          <w:b w:val="0"/>
          <w:sz w:val="24"/>
          <w:szCs w:val="24"/>
        </w:rPr>
        <w:t>even</w:t>
      </w:r>
      <w:r w:rsidRPr="00167328">
        <w:rPr>
          <w:rFonts w:ascii="Times New Roman" w:hAnsi="Times New Roman"/>
          <w:b w:val="0"/>
          <w:sz w:val="24"/>
          <w:szCs w:val="24"/>
        </w:rPr>
        <w:t xml:space="preserve"> submissions on its proposals from industry associations and ADIs.</w:t>
      </w:r>
    </w:p>
    <w:p w14:paraId="5B6701F9" w14:textId="350EBFE7" w:rsidR="00765A49" w:rsidRDefault="009D084C" w:rsidP="00157F09">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Respondents </w:t>
      </w:r>
      <w:r w:rsidR="00DA1B00">
        <w:rPr>
          <w:rFonts w:ascii="Times New Roman" w:hAnsi="Times New Roman"/>
          <w:b w:val="0"/>
          <w:sz w:val="24"/>
          <w:szCs w:val="24"/>
        </w:rPr>
        <w:t xml:space="preserve">noted that </w:t>
      </w:r>
      <w:r w:rsidR="000A74BB">
        <w:rPr>
          <w:rFonts w:ascii="Times New Roman" w:hAnsi="Times New Roman"/>
          <w:b w:val="0"/>
          <w:sz w:val="24"/>
          <w:szCs w:val="24"/>
        </w:rPr>
        <w:t>the new reporting standard</w:t>
      </w:r>
      <w:r w:rsidR="00765A49">
        <w:rPr>
          <w:rFonts w:ascii="Times New Roman" w:hAnsi="Times New Roman"/>
          <w:b w:val="0"/>
          <w:sz w:val="24"/>
          <w:szCs w:val="24"/>
        </w:rPr>
        <w:t xml:space="preserve"> increased </w:t>
      </w:r>
      <w:r w:rsidR="003A25D1">
        <w:rPr>
          <w:rFonts w:ascii="Times New Roman" w:hAnsi="Times New Roman"/>
          <w:b w:val="0"/>
          <w:sz w:val="24"/>
          <w:szCs w:val="24"/>
        </w:rPr>
        <w:t xml:space="preserve">reporting </w:t>
      </w:r>
      <w:r w:rsidR="00765A49">
        <w:rPr>
          <w:rFonts w:ascii="Times New Roman" w:hAnsi="Times New Roman"/>
          <w:b w:val="0"/>
          <w:sz w:val="24"/>
          <w:szCs w:val="24"/>
        </w:rPr>
        <w:t xml:space="preserve">burden, and requested that </w:t>
      </w:r>
      <w:r w:rsidR="00BA5383">
        <w:rPr>
          <w:rFonts w:ascii="Times New Roman" w:hAnsi="Times New Roman"/>
          <w:b w:val="0"/>
          <w:sz w:val="24"/>
          <w:szCs w:val="24"/>
        </w:rPr>
        <w:t xml:space="preserve">APRA </w:t>
      </w:r>
      <w:r w:rsidR="00765A49">
        <w:rPr>
          <w:rFonts w:ascii="Times New Roman" w:hAnsi="Times New Roman"/>
          <w:b w:val="0"/>
          <w:sz w:val="24"/>
          <w:szCs w:val="24"/>
        </w:rPr>
        <w:t>consider extending the submission date for the data from 10 business days to 20 business days. APRA considers that the request for data under ARS 923.2 is reasonable and appropriate in the current environment</w:t>
      </w:r>
      <w:r w:rsidR="002451AD">
        <w:rPr>
          <w:rFonts w:ascii="Times New Roman" w:hAnsi="Times New Roman"/>
          <w:b w:val="0"/>
          <w:sz w:val="24"/>
          <w:szCs w:val="24"/>
        </w:rPr>
        <w:t>.</w:t>
      </w:r>
      <w:r w:rsidR="00765A49">
        <w:rPr>
          <w:rFonts w:ascii="Times New Roman" w:hAnsi="Times New Roman"/>
          <w:b w:val="0"/>
          <w:sz w:val="24"/>
          <w:szCs w:val="24"/>
        </w:rPr>
        <w:t xml:space="preserve"> </w:t>
      </w:r>
      <w:r w:rsidR="006B3774" w:rsidRPr="006B3774">
        <w:rPr>
          <w:rFonts w:ascii="Times New Roman" w:hAnsi="Times New Roman"/>
          <w:b w:val="0"/>
          <w:sz w:val="24"/>
          <w:szCs w:val="24"/>
        </w:rPr>
        <w:t>APRA is maintaining the requirement that ADIs report data to APRA within 10 business days after the end of the reporting period to which the information relates. This is necessary to provide timely information to the community on loans that have been impacted by COVID 19.</w:t>
      </w:r>
      <w:r w:rsidR="006B3774">
        <w:rPr>
          <w:rStyle w:val="FootnoteReference"/>
          <w:rFonts w:ascii="Times New Roman" w:hAnsi="Times New Roman"/>
          <w:b w:val="0"/>
          <w:sz w:val="24"/>
          <w:szCs w:val="24"/>
        </w:rPr>
        <w:footnoteReference w:id="3"/>
      </w:r>
      <w:r w:rsidR="002451AD" w:rsidRPr="002451AD">
        <w:rPr>
          <w:rFonts w:ascii="Times New Roman" w:hAnsi="Times New Roman"/>
          <w:b w:val="0"/>
          <w:sz w:val="24"/>
          <w:szCs w:val="24"/>
        </w:rPr>
        <w:t xml:space="preserve"> </w:t>
      </w:r>
      <w:r w:rsidR="002451AD">
        <w:rPr>
          <w:rFonts w:ascii="Times New Roman" w:hAnsi="Times New Roman"/>
          <w:b w:val="0"/>
          <w:sz w:val="24"/>
          <w:szCs w:val="24"/>
        </w:rPr>
        <w:t xml:space="preserve">However, acknowledging industry’s concerns, APRA has, outside the </w:t>
      </w:r>
      <w:r w:rsidR="002451AD">
        <w:rPr>
          <w:rFonts w:ascii="Times New Roman" w:hAnsi="Times New Roman"/>
          <w:b w:val="0"/>
          <w:sz w:val="24"/>
          <w:szCs w:val="24"/>
        </w:rPr>
        <w:lastRenderedPageBreak/>
        <w:t>requirements of ARS</w:t>
      </w:r>
      <w:r w:rsidR="00B81DCB">
        <w:rPr>
          <w:rFonts w:ascii="Times New Roman" w:hAnsi="Times New Roman"/>
          <w:b w:val="0"/>
          <w:sz w:val="24"/>
          <w:szCs w:val="24"/>
        </w:rPr>
        <w:t> </w:t>
      </w:r>
      <w:r w:rsidR="002451AD">
        <w:rPr>
          <w:rFonts w:ascii="Times New Roman" w:hAnsi="Times New Roman"/>
          <w:b w:val="0"/>
          <w:sz w:val="24"/>
          <w:szCs w:val="24"/>
        </w:rPr>
        <w:t>923.2, increased the threshold at which ADIs are required to</w:t>
      </w:r>
      <w:r w:rsidR="00382132">
        <w:rPr>
          <w:rFonts w:ascii="Times New Roman" w:hAnsi="Times New Roman"/>
          <w:b w:val="0"/>
          <w:sz w:val="24"/>
          <w:szCs w:val="24"/>
        </w:rPr>
        <w:t xml:space="preserve"> make public disclosure </w:t>
      </w:r>
      <w:r w:rsidR="00403AF2">
        <w:rPr>
          <w:rFonts w:ascii="Times New Roman" w:hAnsi="Times New Roman"/>
          <w:b w:val="0"/>
          <w:sz w:val="24"/>
          <w:szCs w:val="24"/>
        </w:rPr>
        <w:t>on loans subject to repayment deferrals from $10 million</w:t>
      </w:r>
      <w:r w:rsidR="00382132">
        <w:rPr>
          <w:rFonts w:ascii="Times New Roman" w:hAnsi="Times New Roman"/>
          <w:b w:val="0"/>
          <w:sz w:val="24"/>
          <w:szCs w:val="24"/>
        </w:rPr>
        <w:t xml:space="preserve"> in total deferrals</w:t>
      </w:r>
      <w:r w:rsidR="002451AD">
        <w:rPr>
          <w:rFonts w:ascii="Times New Roman" w:hAnsi="Times New Roman"/>
          <w:b w:val="0"/>
          <w:sz w:val="24"/>
          <w:szCs w:val="24"/>
        </w:rPr>
        <w:t xml:space="preserve"> to $20 million</w:t>
      </w:r>
      <w:r w:rsidR="00403AF2">
        <w:rPr>
          <w:rFonts w:ascii="Times New Roman" w:hAnsi="Times New Roman"/>
          <w:b w:val="0"/>
          <w:sz w:val="24"/>
          <w:szCs w:val="24"/>
        </w:rPr>
        <w:t xml:space="preserve">. </w:t>
      </w:r>
      <w:r w:rsidR="00B81DCB">
        <w:rPr>
          <w:rFonts w:ascii="Times New Roman" w:hAnsi="Times New Roman"/>
          <w:b w:val="0"/>
          <w:sz w:val="24"/>
          <w:szCs w:val="24"/>
        </w:rPr>
        <w:t xml:space="preserve">Further, where ADIs fall below the $20 million threshold, they will be required to report the relevant data to APRA on a quarterly rather than a monthly basis. </w:t>
      </w:r>
      <w:r w:rsidR="00403AF2">
        <w:rPr>
          <w:rFonts w:ascii="Times New Roman" w:hAnsi="Times New Roman"/>
          <w:b w:val="0"/>
          <w:sz w:val="24"/>
          <w:szCs w:val="24"/>
        </w:rPr>
        <w:t xml:space="preserve">The increased threshold is expected to reduce </w:t>
      </w:r>
      <w:r w:rsidR="002451AD">
        <w:rPr>
          <w:rFonts w:ascii="Times New Roman" w:hAnsi="Times New Roman"/>
          <w:b w:val="0"/>
          <w:sz w:val="24"/>
          <w:szCs w:val="24"/>
        </w:rPr>
        <w:t>burden on smaller ADIs.</w:t>
      </w:r>
    </w:p>
    <w:p w14:paraId="53D8EB30" w14:textId="77777777" w:rsidR="002436BD" w:rsidRPr="005214DF" w:rsidRDefault="00DF524E" w:rsidP="005214DF">
      <w:pPr>
        <w:pStyle w:val="Heading"/>
        <w:keepNext/>
        <w:tabs>
          <w:tab w:val="left" w:pos="360"/>
        </w:tabs>
        <w:spacing w:after="240"/>
        <w:rPr>
          <w:rFonts w:ascii="Times New Roman" w:hAnsi="Times New Roman"/>
          <w:sz w:val="24"/>
          <w:szCs w:val="24"/>
        </w:rPr>
      </w:pPr>
      <w:bookmarkStart w:id="8" w:name="bkConsultation"/>
      <w:bookmarkStart w:id="9" w:name="bkRISNO"/>
      <w:bookmarkStart w:id="10" w:name="bkRIS"/>
      <w:bookmarkEnd w:id="8"/>
      <w:bookmarkEnd w:id="9"/>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bookmarkEnd w:id="10"/>
    <w:p w14:paraId="43C369FA" w14:textId="33CFEE17" w:rsidR="002436BD" w:rsidRDefault="00F62B2B" w:rsidP="001A2234">
      <w:pPr>
        <w:pStyle w:val="Heading"/>
        <w:spacing w:after="240"/>
        <w:rPr>
          <w:rFonts w:ascii="Times New Roman" w:hAnsi="Times New Roman"/>
          <w:b w:val="0"/>
          <w:sz w:val="24"/>
          <w:szCs w:val="24"/>
        </w:rPr>
      </w:pPr>
      <w:r>
        <w:rPr>
          <w:rFonts w:ascii="Times New Roman" w:hAnsi="Times New Roman"/>
          <w:b w:val="0"/>
          <w:sz w:val="24"/>
          <w:szCs w:val="24"/>
        </w:rPr>
        <w:t>The Office of Best Practice Regulation has advised that no Regula</w:t>
      </w:r>
      <w:r w:rsidR="001B7B46">
        <w:rPr>
          <w:rFonts w:ascii="Times New Roman" w:hAnsi="Times New Roman"/>
          <w:b w:val="0"/>
          <w:sz w:val="24"/>
          <w:szCs w:val="24"/>
        </w:rPr>
        <w:t>tion</w:t>
      </w:r>
      <w:r>
        <w:rPr>
          <w:rFonts w:ascii="Times New Roman" w:hAnsi="Times New Roman"/>
          <w:b w:val="0"/>
          <w:sz w:val="24"/>
          <w:szCs w:val="24"/>
        </w:rPr>
        <w:t xml:space="preserve"> Impact Statement is required as ARS</w:t>
      </w:r>
      <w:r w:rsidR="001B7B46">
        <w:rPr>
          <w:rFonts w:ascii="Times New Roman" w:hAnsi="Times New Roman"/>
          <w:b w:val="0"/>
          <w:sz w:val="24"/>
          <w:szCs w:val="24"/>
        </w:rPr>
        <w:t> </w:t>
      </w:r>
      <w:r>
        <w:rPr>
          <w:rFonts w:ascii="Times New Roman" w:hAnsi="Times New Roman"/>
          <w:b w:val="0"/>
          <w:sz w:val="24"/>
          <w:szCs w:val="24"/>
        </w:rPr>
        <w:t>923.2 is unlikely to have more than a minor regulatory impact (Reference ID 42999).</w:t>
      </w:r>
    </w:p>
    <w:p w14:paraId="3359862D" w14:textId="77777777" w:rsidR="002436BD" w:rsidRPr="00B3165F" w:rsidRDefault="00DF524E" w:rsidP="005214DF">
      <w:pPr>
        <w:pStyle w:val="Heading"/>
        <w:keepNext/>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 xml:space="preserve">Statement of compatibility prepared in accordance with Part 3 of the </w:t>
      </w:r>
      <w:r w:rsidR="002436BD" w:rsidRPr="00575541">
        <w:rPr>
          <w:rFonts w:ascii="Times New Roman" w:hAnsi="Times New Roman"/>
          <w:i/>
          <w:sz w:val="24"/>
          <w:szCs w:val="24"/>
        </w:rPr>
        <w:t>Human Rights (Parliamentary Scrutiny) Act 2011</w:t>
      </w:r>
    </w:p>
    <w:p w14:paraId="73679DCC" w14:textId="4BE4AEA7" w:rsidR="00864003" w:rsidRPr="00C02366" w:rsidRDefault="0030506B" w:rsidP="001A2234">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778F8B34" w14:textId="77777777" w:rsidR="00864003" w:rsidRDefault="00864003">
      <w:pPr>
        <w:rPr>
          <w:b/>
          <w:sz w:val="26"/>
          <w:szCs w:val="22"/>
        </w:rPr>
      </w:pPr>
      <w:r>
        <w:br w:type="page"/>
      </w:r>
    </w:p>
    <w:p w14:paraId="6913D193" w14:textId="77777777" w:rsidR="00864003" w:rsidRPr="00F510E0" w:rsidRDefault="00864003" w:rsidP="00864003">
      <w:pPr>
        <w:spacing w:after="360"/>
        <w:outlineLvl w:val="0"/>
        <w:rPr>
          <w:rFonts w:ascii="Times New Roman" w:hAnsi="Times New Roman"/>
          <w:sz w:val="24"/>
          <w:szCs w:val="24"/>
          <w:u w:val="single"/>
        </w:rPr>
      </w:pPr>
      <w:r w:rsidRPr="00F510E0">
        <w:rPr>
          <w:rFonts w:ascii="Times New Roman" w:hAnsi="Times New Roman"/>
          <w:sz w:val="24"/>
          <w:szCs w:val="24"/>
          <w:u w:val="single"/>
        </w:rPr>
        <w:lastRenderedPageBreak/>
        <w:t>ATTACHMENT A</w:t>
      </w:r>
    </w:p>
    <w:p w14:paraId="385BD5BC" w14:textId="77777777" w:rsidR="00864003" w:rsidRPr="00F510E0" w:rsidRDefault="00864003" w:rsidP="00864003">
      <w:pPr>
        <w:shd w:val="clear" w:color="auto" w:fill="FFFFFF"/>
        <w:spacing w:before="100" w:beforeAutospacing="1" w:after="240"/>
        <w:jc w:val="center"/>
        <w:rPr>
          <w:rFonts w:ascii="Times New Roman" w:hAnsi="Times New Roman"/>
          <w:sz w:val="24"/>
          <w:szCs w:val="24"/>
          <w:lang w:val="en-US"/>
        </w:rPr>
      </w:pPr>
      <w:r w:rsidRPr="00F510E0">
        <w:rPr>
          <w:rFonts w:ascii="Times New Roman" w:hAnsi="Times New Roman"/>
          <w:b/>
          <w:bCs/>
          <w:sz w:val="24"/>
          <w:szCs w:val="24"/>
        </w:rPr>
        <w:t>Statement of Compatibility with Human Rights</w:t>
      </w:r>
    </w:p>
    <w:p w14:paraId="36236543" w14:textId="77777777" w:rsidR="00864003" w:rsidRPr="00F510E0" w:rsidRDefault="00864003" w:rsidP="00864003">
      <w:pPr>
        <w:shd w:val="clear" w:color="auto" w:fill="FFFFFF"/>
        <w:spacing w:before="100" w:beforeAutospacing="1" w:after="240"/>
        <w:jc w:val="center"/>
        <w:rPr>
          <w:rFonts w:ascii="Times New Roman" w:hAnsi="Times New Roman"/>
          <w:sz w:val="24"/>
          <w:szCs w:val="24"/>
          <w:lang w:val="en-US"/>
        </w:rPr>
      </w:pPr>
      <w:r w:rsidRPr="00F510E0">
        <w:rPr>
          <w:rFonts w:ascii="Times New Roman" w:hAnsi="Times New Roman"/>
          <w:sz w:val="24"/>
          <w:szCs w:val="24"/>
        </w:rPr>
        <w:t xml:space="preserve">Prepared in accordance with Part 3 of the </w:t>
      </w:r>
      <w:r w:rsidRPr="00F510E0">
        <w:rPr>
          <w:rFonts w:ascii="Times New Roman" w:hAnsi="Times New Roman"/>
          <w:i/>
          <w:iCs/>
          <w:sz w:val="24"/>
          <w:szCs w:val="24"/>
        </w:rPr>
        <w:t>Human Rights (Parliamentary Scrutiny) Act 2011</w:t>
      </w:r>
    </w:p>
    <w:p w14:paraId="55947A2A" w14:textId="3DE32065" w:rsidR="00113307" w:rsidRPr="002C6D26" w:rsidRDefault="00113307" w:rsidP="00113307">
      <w:pPr>
        <w:pStyle w:val="Heading"/>
        <w:spacing w:after="240"/>
        <w:jc w:val="left"/>
        <w:rPr>
          <w:rFonts w:ascii="Times New Roman" w:hAnsi="Times New Roman"/>
          <w:sz w:val="24"/>
          <w:szCs w:val="24"/>
        </w:rPr>
      </w:pPr>
      <w:r w:rsidRPr="00E62E09">
        <w:rPr>
          <w:rFonts w:ascii="Times New Roman" w:hAnsi="Times New Roman"/>
          <w:sz w:val="24"/>
          <w:szCs w:val="24"/>
        </w:rPr>
        <w:t>Financial Sector (Collection of Data) (reporting standard)</w:t>
      </w:r>
      <w:r>
        <w:rPr>
          <w:rFonts w:ascii="Times New Roman" w:hAnsi="Times New Roman"/>
          <w:sz w:val="24"/>
          <w:szCs w:val="24"/>
        </w:rPr>
        <w:t xml:space="preserve"> </w:t>
      </w:r>
      <w:r w:rsidRPr="002C6D26">
        <w:rPr>
          <w:rFonts w:ascii="Times New Roman" w:hAnsi="Times New Roman"/>
          <w:sz w:val="24"/>
          <w:szCs w:val="24"/>
        </w:rPr>
        <w:t>determination</w:t>
      </w:r>
      <w:r w:rsidRPr="001F5396">
        <w:rPr>
          <w:rFonts w:ascii="Times New Roman" w:hAnsi="Times New Roman"/>
          <w:sz w:val="24"/>
          <w:szCs w:val="24"/>
        </w:rPr>
        <w:t>s No.</w:t>
      </w:r>
      <w:r w:rsidR="001F5396" w:rsidRPr="001F5396">
        <w:rPr>
          <w:rFonts w:ascii="Times New Roman" w:hAnsi="Times New Roman"/>
          <w:sz w:val="24"/>
          <w:szCs w:val="24"/>
        </w:rPr>
        <w:t> 8</w:t>
      </w:r>
      <w:r w:rsidRPr="00B50C89">
        <w:rPr>
          <w:rFonts w:ascii="Times New Roman" w:hAnsi="Times New Roman"/>
          <w:sz w:val="24"/>
          <w:szCs w:val="24"/>
        </w:rPr>
        <w:t xml:space="preserve"> </w:t>
      </w:r>
      <w:r w:rsidR="00C02366">
        <w:rPr>
          <w:rFonts w:ascii="Times New Roman" w:hAnsi="Times New Roman"/>
          <w:sz w:val="24"/>
          <w:szCs w:val="24"/>
        </w:rPr>
        <w:t>of 2020</w:t>
      </w:r>
    </w:p>
    <w:p w14:paraId="58020716" w14:textId="2775ADE0" w:rsidR="00864003" w:rsidRPr="00F510E0" w:rsidRDefault="00864003" w:rsidP="00C02366">
      <w:pPr>
        <w:shd w:val="clear" w:color="auto" w:fill="FFFFFF"/>
        <w:spacing w:after="240"/>
        <w:jc w:val="both"/>
        <w:rPr>
          <w:rFonts w:ascii="Times New Roman" w:hAnsi="Times New Roman"/>
          <w:sz w:val="24"/>
          <w:szCs w:val="24"/>
          <w:lang w:val="en-US"/>
        </w:rPr>
      </w:pPr>
      <w:r w:rsidRPr="00F510E0">
        <w:rPr>
          <w:rFonts w:ascii="Times New Roman" w:hAnsi="Times New Roman"/>
          <w:sz w:val="24"/>
          <w:szCs w:val="24"/>
        </w:rPr>
        <w:t xml:space="preserve">The instrument </w:t>
      </w:r>
      <w:r w:rsidR="00BA4B70">
        <w:rPr>
          <w:rFonts w:ascii="Times New Roman" w:hAnsi="Times New Roman"/>
          <w:sz w:val="24"/>
          <w:szCs w:val="24"/>
        </w:rPr>
        <w:t>is</w:t>
      </w:r>
      <w:r w:rsidRPr="00F510E0">
        <w:rPr>
          <w:rFonts w:ascii="Times New Roman" w:hAnsi="Times New Roman"/>
          <w:sz w:val="24"/>
          <w:szCs w:val="24"/>
        </w:rPr>
        <w:t xml:space="preserve"> compatible with the human rights and freedoms recognised or declared in the international instrument</w:t>
      </w:r>
      <w:r w:rsidR="00A9715B">
        <w:rPr>
          <w:rFonts w:ascii="Times New Roman" w:hAnsi="Times New Roman"/>
          <w:sz w:val="24"/>
          <w:szCs w:val="24"/>
        </w:rPr>
        <w:t>s</w:t>
      </w:r>
      <w:r w:rsidRPr="00F510E0">
        <w:rPr>
          <w:rFonts w:ascii="Times New Roman" w:hAnsi="Times New Roman"/>
          <w:sz w:val="24"/>
          <w:szCs w:val="24"/>
        </w:rPr>
        <w:t xml:space="preserve"> listed in section 3 of the </w:t>
      </w:r>
      <w:r w:rsidRPr="00F510E0">
        <w:rPr>
          <w:rFonts w:ascii="Times New Roman" w:hAnsi="Times New Roman"/>
          <w:i/>
          <w:iCs/>
          <w:sz w:val="24"/>
          <w:szCs w:val="24"/>
        </w:rPr>
        <w:t>Human Rights (Parliamentary Scrutiny) Act 2011</w:t>
      </w:r>
      <w:r w:rsidRPr="00F510E0">
        <w:rPr>
          <w:rFonts w:ascii="Times New Roman" w:hAnsi="Times New Roman"/>
          <w:sz w:val="24"/>
          <w:szCs w:val="24"/>
        </w:rPr>
        <w:t xml:space="preserve"> (HRPS Act).</w:t>
      </w:r>
    </w:p>
    <w:p w14:paraId="60D6C237" w14:textId="00D4A96B" w:rsidR="00864003" w:rsidRPr="00F510E0" w:rsidRDefault="00864003" w:rsidP="005214DF">
      <w:pPr>
        <w:keepNext/>
        <w:shd w:val="clear" w:color="auto" w:fill="FFFFFF"/>
        <w:spacing w:after="240"/>
        <w:jc w:val="both"/>
        <w:rPr>
          <w:rFonts w:ascii="Times New Roman" w:hAnsi="Times New Roman"/>
          <w:sz w:val="24"/>
          <w:szCs w:val="24"/>
          <w:lang w:val="en-US"/>
        </w:rPr>
      </w:pPr>
      <w:r w:rsidRPr="00F510E0">
        <w:rPr>
          <w:rFonts w:ascii="Times New Roman" w:hAnsi="Times New Roman"/>
          <w:b/>
          <w:bCs/>
          <w:sz w:val="24"/>
          <w:szCs w:val="24"/>
        </w:rPr>
        <w:t xml:space="preserve">Overview of the </w:t>
      </w:r>
      <w:r w:rsidR="0051370D">
        <w:rPr>
          <w:rFonts w:ascii="Times New Roman" w:hAnsi="Times New Roman"/>
          <w:b/>
          <w:bCs/>
          <w:sz w:val="24"/>
          <w:szCs w:val="24"/>
        </w:rPr>
        <w:t>l</w:t>
      </w:r>
      <w:r w:rsidRPr="00F510E0">
        <w:rPr>
          <w:rFonts w:ascii="Times New Roman" w:hAnsi="Times New Roman"/>
          <w:b/>
          <w:bCs/>
          <w:sz w:val="24"/>
          <w:szCs w:val="24"/>
        </w:rPr>
        <w:t xml:space="preserve">egislative </w:t>
      </w:r>
      <w:r w:rsidR="0051370D">
        <w:rPr>
          <w:rFonts w:ascii="Times New Roman" w:hAnsi="Times New Roman"/>
          <w:b/>
          <w:bCs/>
          <w:sz w:val="24"/>
          <w:szCs w:val="24"/>
        </w:rPr>
        <w:t>i</w:t>
      </w:r>
      <w:r w:rsidRPr="00F510E0">
        <w:rPr>
          <w:rFonts w:ascii="Times New Roman" w:hAnsi="Times New Roman"/>
          <w:b/>
          <w:bCs/>
          <w:sz w:val="24"/>
          <w:szCs w:val="24"/>
        </w:rPr>
        <w:t>nstrument</w:t>
      </w:r>
    </w:p>
    <w:p w14:paraId="53B1D548" w14:textId="78FACE96" w:rsidR="009D4417" w:rsidRDefault="009D4417" w:rsidP="00864003">
      <w:pPr>
        <w:spacing w:after="240"/>
        <w:jc w:val="both"/>
        <w:rPr>
          <w:rFonts w:ascii="Times New Roman" w:hAnsi="Times New Roman"/>
          <w:i/>
          <w:sz w:val="24"/>
          <w:szCs w:val="24"/>
        </w:rPr>
      </w:pPr>
      <w:r>
        <w:rPr>
          <w:rFonts w:ascii="Times New Roman" w:hAnsi="Times New Roman"/>
          <w:sz w:val="24"/>
          <w:szCs w:val="24"/>
        </w:rPr>
        <w:t xml:space="preserve">The purpose of the instrument is to determine ARS 923.2. </w:t>
      </w:r>
      <w:r w:rsidRPr="00E442F8">
        <w:rPr>
          <w:rFonts w:ascii="Times New Roman" w:hAnsi="Times New Roman"/>
          <w:sz w:val="24"/>
          <w:szCs w:val="24"/>
        </w:rPr>
        <w:t xml:space="preserve">ARS 923.2 collects </w:t>
      </w:r>
      <w:r>
        <w:rPr>
          <w:rFonts w:ascii="Times New Roman" w:hAnsi="Times New Roman"/>
          <w:sz w:val="24"/>
          <w:szCs w:val="24"/>
        </w:rPr>
        <w:t>data</w:t>
      </w:r>
      <w:r w:rsidRPr="00E442F8">
        <w:rPr>
          <w:rFonts w:ascii="Times New Roman" w:hAnsi="Times New Roman"/>
          <w:sz w:val="24"/>
          <w:szCs w:val="24"/>
        </w:rPr>
        <w:t xml:space="preserve"> from ADIs on their exposure to loans with repayment deferrals</w:t>
      </w:r>
      <w:r>
        <w:rPr>
          <w:rFonts w:ascii="Times New Roman" w:hAnsi="Times New Roman"/>
          <w:sz w:val="24"/>
          <w:szCs w:val="24"/>
        </w:rPr>
        <w:t xml:space="preserve"> due to COVID-19. </w:t>
      </w:r>
    </w:p>
    <w:p w14:paraId="2D3CC6CE" w14:textId="77777777" w:rsidR="00864003" w:rsidRPr="00F510E0" w:rsidRDefault="00864003" w:rsidP="00C02366">
      <w:pPr>
        <w:keepNext/>
        <w:shd w:val="clear" w:color="auto" w:fill="FFFFFF"/>
        <w:spacing w:after="240"/>
        <w:jc w:val="both"/>
        <w:rPr>
          <w:rFonts w:ascii="Times New Roman" w:hAnsi="Times New Roman"/>
          <w:sz w:val="24"/>
          <w:szCs w:val="24"/>
          <w:lang w:val="en-US"/>
        </w:rPr>
      </w:pPr>
      <w:r w:rsidRPr="00F510E0">
        <w:rPr>
          <w:rFonts w:ascii="Times New Roman" w:hAnsi="Times New Roman"/>
          <w:b/>
          <w:bCs/>
          <w:sz w:val="24"/>
          <w:szCs w:val="24"/>
        </w:rPr>
        <w:t>Human rights implications</w:t>
      </w:r>
    </w:p>
    <w:p w14:paraId="02FE823F" w14:textId="5417FA1C" w:rsidR="00610CFB" w:rsidRPr="00F510E0" w:rsidRDefault="00610CFB" w:rsidP="00C02366">
      <w:pPr>
        <w:shd w:val="clear" w:color="auto" w:fill="FFFFFF"/>
        <w:spacing w:after="240"/>
        <w:jc w:val="both"/>
        <w:rPr>
          <w:rFonts w:ascii="Times New Roman" w:hAnsi="Times New Roman"/>
          <w:sz w:val="24"/>
          <w:szCs w:val="24"/>
        </w:rPr>
      </w:pPr>
      <w:r w:rsidRPr="00F510E0">
        <w:rPr>
          <w:rFonts w:ascii="Times New Roman" w:hAnsi="Times New Roman"/>
          <w:sz w:val="24"/>
          <w:szCs w:val="24"/>
        </w:rPr>
        <w:t xml:space="preserve">APRA has assessed the instrument against the international instruments listed in section 3 of the HRPS Act and determined that only Article 17 of the International Covenant on Civil and Political Rights (ICCPR) is conceivably of relevance to </w:t>
      </w:r>
      <w:r w:rsidR="00264B90">
        <w:rPr>
          <w:rFonts w:ascii="Times New Roman" w:hAnsi="Times New Roman"/>
          <w:sz w:val="24"/>
          <w:szCs w:val="24"/>
        </w:rPr>
        <w:t>the instrument</w:t>
      </w:r>
      <w:r w:rsidR="00C02366">
        <w:rPr>
          <w:rFonts w:ascii="Times New Roman" w:hAnsi="Times New Roman"/>
          <w:sz w:val="24"/>
          <w:szCs w:val="24"/>
        </w:rPr>
        <w:t>.</w:t>
      </w:r>
    </w:p>
    <w:p w14:paraId="7D79F5A7" w14:textId="50B8CA96" w:rsidR="005214DF" w:rsidRPr="00F510E0" w:rsidRDefault="00610CFB" w:rsidP="00C02366">
      <w:pPr>
        <w:shd w:val="clear" w:color="auto" w:fill="FFFFFF"/>
        <w:spacing w:after="240"/>
        <w:jc w:val="both"/>
        <w:rPr>
          <w:rFonts w:ascii="Times New Roman" w:hAnsi="Times New Roman"/>
          <w:sz w:val="24"/>
          <w:szCs w:val="24"/>
        </w:rPr>
      </w:pPr>
      <w:r w:rsidRPr="00F510E0">
        <w:rPr>
          <w:rFonts w:ascii="Times New Roman" w:hAnsi="Times New Roman"/>
          <w:sz w:val="24"/>
          <w:szCs w:val="24"/>
        </w:rPr>
        <w:t>Article 17 of the ICCPR prohibits the arbitrary or unlawful interference with a person’s privacy, family, home and correspondence, and attacks on reputation. Article 17 is exclusively concerned with prohibiting interference with the privacy and/or reputation of individual persons. It does not extend to the privacy and/or re</w:t>
      </w:r>
      <w:r w:rsidR="00C02366">
        <w:rPr>
          <w:rFonts w:ascii="Times New Roman" w:hAnsi="Times New Roman"/>
          <w:sz w:val="24"/>
          <w:szCs w:val="24"/>
        </w:rPr>
        <w:t>putation of corporate entities.</w:t>
      </w:r>
    </w:p>
    <w:p w14:paraId="1A1FA128" w14:textId="3DF52F8F" w:rsidR="00C66C00" w:rsidRDefault="00610CFB" w:rsidP="00C02366">
      <w:pPr>
        <w:shd w:val="clear" w:color="auto" w:fill="FFFFFF"/>
        <w:spacing w:after="240"/>
        <w:jc w:val="both"/>
        <w:rPr>
          <w:rFonts w:ascii="Times New Roman" w:hAnsi="Times New Roman"/>
          <w:sz w:val="24"/>
          <w:szCs w:val="24"/>
        </w:rPr>
      </w:pPr>
      <w:r w:rsidRPr="00F510E0">
        <w:rPr>
          <w:rFonts w:ascii="Times New Roman" w:hAnsi="Times New Roman"/>
          <w:sz w:val="24"/>
          <w:szCs w:val="24"/>
        </w:rPr>
        <w:t>Th</w:t>
      </w:r>
      <w:r w:rsidR="00DA6D66">
        <w:rPr>
          <w:rFonts w:ascii="Times New Roman" w:hAnsi="Times New Roman"/>
          <w:sz w:val="24"/>
          <w:szCs w:val="24"/>
        </w:rPr>
        <w:t>e</w:t>
      </w:r>
      <w:r w:rsidRPr="00F510E0">
        <w:rPr>
          <w:rFonts w:ascii="Times New Roman" w:hAnsi="Times New Roman"/>
          <w:sz w:val="24"/>
          <w:szCs w:val="24"/>
        </w:rPr>
        <w:t xml:space="preserve"> instrument facilitate</w:t>
      </w:r>
      <w:r w:rsidR="005214DF">
        <w:rPr>
          <w:rFonts w:ascii="Times New Roman" w:hAnsi="Times New Roman"/>
          <w:sz w:val="24"/>
          <w:szCs w:val="24"/>
        </w:rPr>
        <w:t>s</w:t>
      </w:r>
      <w:r w:rsidRPr="00F510E0">
        <w:rPr>
          <w:rFonts w:ascii="Times New Roman" w:hAnsi="Times New Roman"/>
          <w:sz w:val="24"/>
          <w:szCs w:val="24"/>
        </w:rPr>
        <w:t xml:space="preserve"> the </w:t>
      </w:r>
      <w:r w:rsidR="0021596D">
        <w:rPr>
          <w:rFonts w:ascii="Times New Roman" w:hAnsi="Times New Roman"/>
          <w:sz w:val="24"/>
          <w:szCs w:val="24"/>
        </w:rPr>
        <w:t>collection</w:t>
      </w:r>
      <w:r w:rsidR="0021596D" w:rsidRPr="00F510E0">
        <w:rPr>
          <w:rFonts w:ascii="Times New Roman" w:hAnsi="Times New Roman"/>
          <w:sz w:val="24"/>
          <w:szCs w:val="24"/>
        </w:rPr>
        <w:t xml:space="preserve"> </w:t>
      </w:r>
      <w:r w:rsidRPr="00F510E0">
        <w:rPr>
          <w:rFonts w:ascii="Times New Roman" w:hAnsi="Times New Roman"/>
          <w:sz w:val="24"/>
          <w:szCs w:val="24"/>
        </w:rPr>
        <w:t xml:space="preserve">of specific information provided to APRA by ADIs in accordance with </w:t>
      </w:r>
      <w:r w:rsidR="004455DC" w:rsidRPr="00724F0B">
        <w:rPr>
          <w:rFonts w:ascii="Times New Roman" w:hAnsi="Times New Roman"/>
          <w:sz w:val="24"/>
          <w:szCs w:val="24"/>
        </w:rPr>
        <w:t>ARS</w:t>
      </w:r>
      <w:r w:rsidR="00C02366">
        <w:rPr>
          <w:rFonts w:ascii="Times New Roman" w:hAnsi="Times New Roman"/>
          <w:sz w:val="24"/>
          <w:szCs w:val="24"/>
        </w:rPr>
        <w:t> </w:t>
      </w:r>
      <w:r w:rsidR="005214DF">
        <w:rPr>
          <w:rFonts w:ascii="Times New Roman" w:hAnsi="Times New Roman"/>
          <w:sz w:val="24"/>
          <w:szCs w:val="24"/>
        </w:rPr>
        <w:t>923.2</w:t>
      </w:r>
      <w:r w:rsidR="004776F6">
        <w:rPr>
          <w:rFonts w:ascii="Times New Roman" w:hAnsi="Times New Roman"/>
          <w:sz w:val="24"/>
          <w:szCs w:val="24"/>
        </w:rPr>
        <w:t xml:space="preserve">. </w:t>
      </w:r>
      <w:r w:rsidR="0021596D">
        <w:rPr>
          <w:rFonts w:ascii="Times New Roman" w:hAnsi="Times New Roman"/>
          <w:sz w:val="24"/>
          <w:szCs w:val="24"/>
        </w:rPr>
        <w:t xml:space="preserve">The information that ADIs are required to report to APRA under </w:t>
      </w:r>
      <w:r w:rsidR="004455DC" w:rsidRPr="00724F0B">
        <w:rPr>
          <w:rFonts w:ascii="Times New Roman" w:hAnsi="Times New Roman"/>
          <w:sz w:val="24"/>
          <w:szCs w:val="24"/>
        </w:rPr>
        <w:t>ARS</w:t>
      </w:r>
      <w:r w:rsidR="00C02366">
        <w:rPr>
          <w:rFonts w:ascii="Times New Roman" w:hAnsi="Times New Roman"/>
          <w:sz w:val="24"/>
          <w:szCs w:val="24"/>
        </w:rPr>
        <w:t> </w:t>
      </w:r>
      <w:r w:rsidR="005214DF">
        <w:rPr>
          <w:rFonts w:ascii="Times New Roman" w:hAnsi="Times New Roman"/>
          <w:sz w:val="24"/>
          <w:szCs w:val="24"/>
        </w:rPr>
        <w:t>923.2</w:t>
      </w:r>
      <w:r w:rsidR="004455DC">
        <w:rPr>
          <w:rFonts w:ascii="Times New Roman" w:hAnsi="Times New Roman"/>
          <w:sz w:val="24"/>
          <w:szCs w:val="24"/>
        </w:rPr>
        <w:t xml:space="preserve"> </w:t>
      </w:r>
      <w:r w:rsidR="0021596D">
        <w:rPr>
          <w:rFonts w:ascii="Times New Roman" w:hAnsi="Times New Roman"/>
          <w:sz w:val="24"/>
          <w:szCs w:val="24"/>
        </w:rPr>
        <w:t>include</w:t>
      </w:r>
      <w:r w:rsidR="005214DF">
        <w:rPr>
          <w:rFonts w:ascii="Times New Roman" w:hAnsi="Times New Roman"/>
          <w:sz w:val="24"/>
          <w:szCs w:val="24"/>
        </w:rPr>
        <w:t>s</w:t>
      </w:r>
      <w:r w:rsidR="0021596D">
        <w:rPr>
          <w:rFonts w:ascii="Times New Roman" w:hAnsi="Times New Roman"/>
          <w:sz w:val="24"/>
          <w:szCs w:val="24"/>
        </w:rPr>
        <w:t xml:space="preserve"> information about </w:t>
      </w:r>
      <w:r w:rsidRPr="004E6D9E">
        <w:rPr>
          <w:rFonts w:ascii="Times New Roman" w:hAnsi="Times New Roman"/>
          <w:sz w:val="24"/>
          <w:szCs w:val="24"/>
        </w:rPr>
        <w:t>the exposures that an ADI has to individual</w:t>
      </w:r>
      <w:r w:rsidR="005214DF">
        <w:rPr>
          <w:rFonts w:ascii="Times New Roman" w:hAnsi="Times New Roman"/>
          <w:sz w:val="24"/>
          <w:szCs w:val="24"/>
        </w:rPr>
        <w:t xml:space="preserve"> borrower</w:t>
      </w:r>
      <w:r w:rsidRPr="004E6D9E">
        <w:rPr>
          <w:rFonts w:ascii="Times New Roman" w:hAnsi="Times New Roman"/>
          <w:sz w:val="24"/>
          <w:szCs w:val="24"/>
        </w:rPr>
        <w:t>s</w:t>
      </w:r>
      <w:r w:rsidR="005214DF">
        <w:rPr>
          <w:rFonts w:ascii="Times New Roman" w:hAnsi="Times New Roman"/>
          <w:sz w:val="24"/>
          <w:szCs w:val="24"/>
        </w:rPr>
        <w:t>.</w:t>
      </w:r>
      <w:r w:rsidRPr="004E6D9E">
        <w:rPr>
          <w:rFonts w:ascii="Times New Roman" w:hAnsi="Times New Roman"/>
          <w:sz w:val="24"/>
          <w:szCs w:val="24"/>
        </w:rPr>
        <w:t xml:space="preserve"> </w:t>
      </w:r>
      <w:r w:rsidR="009145DF">
        <w:rPr>
          <w:rFonts w:ascii="Times New Roman" w:hAnsi="Times New Roman"/>
          <w:sz w:val="24"/>
          <w:szCs w:val="24"/>
        </w:rPr>
        <w:t>This information ultimately supports APRA achieving its mission of ensuring that, under all reasonable circumstances, financial promises made by the institutions that APRA supervises are met within a stable, efficient and competitive financial system.</w:t>
      </w:r>
    </w:p>
    <w:p w14:paraId="7ADB757B" w14:textId="5978EA7D" w:rsidR="00610CFB" w:rsidRPr="00F510E0" w:rsidRDefault="00D8438D" w:rsidP="00C02366">
      <w:pPr>
        <w:shd w:val="clear" w:color="auto" w:fill="FFFFFF"/>
        <w:spacing w:after="240"/>
        <w:jc w:val="both"/>
        <w:rPr>
          <w:rFonts w:ascii="Times New Roman" w:hAnsi="Times New Roman"/>
          <w:sz w:val="24"/>
          <w:szCs w:val="24"/>
        </w:rPr>
      </w:pPr>
      <w:r>
        <w:rPr>
          <w:rFonts w:ascii="Times New Roman" w:hAnsi="Times New Roman"/>
          <w:sz w:val="24"/>
          <w:szCs w:val="24"/>
        </w:rPr>
        <w:t>The instrument</w:t>
      </w:r>
      <w:r w:rsidRPr="004E6D9E">
        <w:rPr>
          <w:rFonts w:ascii="Times New Roman" w:hAnsi="Times New Roman"/>
          <w:sz w:val="24"/>
          <w:szCs w:val="24"/>
        </w:rPr>
        <w:t xml:space="preserve"> do</w:t>
      </w:r>
      <w:r>
        <w:rPr>
          <w:rFonts w:ascii="Times New Roman" w:hAnsi="Times New Roman"/>
          <w:sz w:val="24"/>
          <w:szCs w:val="24"/>
        </w:rPr>
        <w:t>es</w:t>
      </w:r>
      <w:r w:rsidRPr="004E6D9E">
        <w:rPr>
          <w:rFonts w:ascii="Times New Roman" w:hAnsi="Times New Roman"/>
          <w:sz w:val="24"/>
          <w:szCs w:val="24"/>
        </w:rPr>
        <w:t xml:space="preserve"> not </w:t>
      </w:r>
      <w:r>
        <w:rPr>
          <w:rFonts w:ascii="Times New Roman" w:hAnsi="Times New Roman"/>
          <w:sz w:val="24"/>
          <w:szCs w:val="24"/>
        </w:rPr>
        <w:t xml:space="preserve">facilitate </w:t>
      </w:r>
      <w:r w:rsidRPr="004E6D9E">
        <w:rPr>
          <w:rFonts w:ascii="Times New Roman" w:hAnsi="Times New Roman"/>
          <w:sz w:val="24"/>
          <w:szCs w:val="24"/>
        </w:rPr>
        <w:t xml:space="preserve">the </w:t>
      </w:r>
      <w:r>
        <w:rPr>
          <w:rFonts w:ascii="Times New Roman" w:hAnsi="Times New Roman"/>
          <w:sz w:val="24"/>
          <w:szCs w:val="24"/>
        </w:rPr>
        <w:t xml:space="preserve">public </w:t>
      </w:r>
      <w:r w:rsidRPr="004E6D9E">
        <w:rPr>
          <w:rFonts w:ascii="Times New Roman" w:hAnsi="Times New Roman"/>
          <w:sz w:val="24"/>
          <w:szCs w:val="24"/>
        </w:rPr>
        <w:t>disclosure of information directly relating to individual persons</w:t>
      </w:r>
      <w:r w:rsidR="00545F91">
        <w:rPr>
          <w:rFonts w:ascii="Times New Roman" w:hAnsi="Times New Roman"/>
          <w:sz w:val="24"/>
          <w:szCs w:val="24"/>
        </w:rPr>
        <w:t>. While APRA does publish some information collected under reporting standards</w:t>
      </w:r>
      <w:r w:rsidR="00610CFB" w:rsidRPr="00F510E0">
        <w:rPr>
          <w:rFonts w:ascii="Times New Roman" w:hAnsi="Times New Roman"/>
          <w:sz w:val="24"/>
          <w:szCs w:val="24"/>
        </w:rPr>
        <w:t>,</w:t>
      </w:r>
      <w:r w:rsidR="00462932">
        <w:rPr>
          <w:rFonts w:ascii="Times New Roman" w:hAnsi="Times New Roman"/>
          <w:sz w:val="24"/>
          <w:szCs w:val="24"/>
        </w:rPr>
        <w:t xml:space="preserve"> in accordance with the</w:t>
      </w:r>
      <w:r w:rsidR="00610CFB" w:rsidRPr="00F510E0">
        <w:rPr>
          <w:rFonts w:ascii="Times New Roman" w:hAnsi="Times New Roman"/>
          <w:sz w:val="24"/>
          <w:szCs w:val="24"/>
        </w:rPr>
        <w:t xml:space="preserve"> </w:t>
      </w:r>
      <w:r w:rsidR="00462932">
        <w:rPr>
          <w:rFonts w:ascii="Times New Roman" w:hAnsi="Times New Roman"/>
          <w:sz w:val="24"/>
          <w:szCs w:val="24"/>
        </w:rPr>
        <w:t xml:space="preserve">limited range of circumstances provided for under section 56 of the </w:t>
      </w:r>
      <w:r w:rsidR="00462932" w:rsidRPr="00575541">
        <w:rPr>
          <w:rFonts w:ascii="Times New Roman" w:hAnsi="Times New Roman"/>
          <w:i/>
          <w:sz w:val="24"/>
          <w:szCs w:val="24"/>
        </w:rPr>
        <w:t>Australian Prudential Regulation Authority Act 1998</w:t>
      </w:r>
      <w:r w:rsidR="00462932">
        <w:rPr>
          <w:rFonts w:ascii="Times New Roman" w:hAnsi="Times New Roman"/>
          <w:i/>
          <w:sz w:val="24"/>
          <w:szCs w:val="24"/>
        </w:rPr>
        <w:t>,</w:t>
      </w:r>
      <w:r w:rsidR="00462932">
        <w:rPr>
          <w:rFonts w:ascii="Times New Roman" w:hAnsi="Times New Roman"/>
          <w:sz w:val="24"/>
          <w:szCs w:val="24"/>
        </w:rPr>
        <w:t xml:space="preserve"> </w:t>
      </w:r>
      <w:r w:rsidR="00610CFB" w:rsidRPr="00F510E0">
        <w:rPr>
          <w:rFonts w:ascii="Times New Roman" w:hAnsi="Times New Roman"/>
          <w:sz w:val="24"/>
          <w:szCs w:val="24"/>
        </w:rPr>
        <w:t xml:space="preserve">APRA reviews all releases of data received under reporting standards to ensure that no information pertaining to an individual person can be deduced from </w:t>
      </w:r>
      <w:r w:rsidR="00545F91">
        <w:rPr>
          <w:rFonts w:ascii="Times New Roman" w:hAnsi="Times New Roman"/>
          <w:sz w:val="24"/>
          <w:szCs w:val="24"/>
        </w:rPr>
        <w:t xml:space="preserve">the </w:t>
      </w:r>
      <w:r w:rsidR="00610CFB" w:rsidRPr="00F510E0">
        <w:rPr>
          <w:rFonts w:ascii="Times New Roman" w:hAnsi="Times New Roman"/>
          <w:sz w:val="24"/>
          <w:szCs w:val="24"/>
        </w:rPr>
        <w:t>data.</w:t>
      </w:r>
    </w:p>
    <w:p w14:paraId="106CB87E" w14:textId="484B837E" w:rsidR="00864003" w:rsidRPr="005214DF" w:rsidRDefault="00864003" w:rsidP="005214DF">
      <w:pPr>
        <w:keepNext/>
        <w:shd w:val="clear" w:color="auto" w:fill="FFFFFF"/>
        <w:spacing w:after="120"/>
        <w:jc w:val="both"/>
        <w:rPr>
          <w:rFonts w:ascii="Times New Roman" w:hAnsi="Times New Roman"/>
          <w:b/>
          <w:bCs/>
          <w:sz w:val="24"/>
          <w:szCs w:val="24"/>
        </w:rPr>
      </w:pPr>
      <w:r w:rsidRPr="00F510E0">
        <w:rPr>
          <w:rFonts w:ascii="Times New Roman" w:hAnsi="Times New Roman"/>
          <w:b/>
          <w:bCs/>
          <w:sz w:val="24"/>
          <w:szCs w:val="24"/>
        </w:rPr>
        <w:t>Conclusion</w:t>
      </w:r>
    </w:p>
    <w:p w14:paraId="6E05734B" w14:textId="03A1B6C8" w:rsidR="00864003" w:rsidRPr="00F510E0" w:rsidRDefault="00320C77" w:rsidP="00C02366">
      <w:pPr>
        <w:spacing w:after="240"/>
        <w:jc w:val="both"/>
        <w:rPr>
          <w:rFonts w:ascii="Times New Roman" w:hAnsi="Times New Roman"/>
          <w:sz w:val="24"/>
          <w:szCs w:val="24"/>
        </w:rPr>
      </w:pPr>
      <w:r w:rsidRPr="00947DEB">
        <w:rPr>
          <w:rFonts w:ascii="Times New Roman" w:hAnsi="Times New Roman"/>
          <w:sz w:val="24"/>
          <w:szCs w:val="24"/>
        </w:rPr>
        <w:t>The instrument is compatible with human rights because to the extent that ARS</w:t>
      </w:r>
      <w:r w:rsidR="0073742C">
        <w:rPr>
          <w:rFonts w:ascii="Times New Roman" w:hAnsi="Times New Roman"/>
          <w:sz w:val="24"/>
          <w:szCs w:val="24"/>
        </w:rPr>
        <w:t> </w:t>
      </w:r>
      <w:r w:rsidRPr="00947DEB">
        <w:rPr>
          <w:rFonts w:ascii="Times New Roman" w:hAnsi="Times New Roman"/>
          <w:sz w:val="24"/>
          <w:szCs w:val="24"/>
        </w:rPr>
        <w:t xml:space="preserve">923.2 </w:t>
      </w:r>
      <w:r w:rsidR="005214DF" w:rsidRPr="00947DEB">
        <w:rPr>
          <w:rFonts w:ascii="Times New Roman" w:hAnsi="Times New Roman"/>
          <w:sz w:val="24"/>
          <w:szCs w:val="24"/>
        </w:rPr>
        <w:t>limits human rights, those limitations are reasonably necessary and proportionate.</w:t>
      </w:r>
      <w:r w:rsidR="005214DF">
        <w:rPr>
          <w:rFonts w:ascii="Times New Roman" w:hAnsi="Times New Roman"/>
          <w:sz w:val="24"/>
          <w:szCs w:val="24"/>
        </w:rPr>
        <w:t xml:space="preserve"> </w:t>
      </w:r>
    </w:p>
    <w:sectPr w:rsidR="00864003" w:rsidRPr="00F510E0" w:rsidSect="003D5032">
      <w:footerReference w:type="default" r:id="rId14"/>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624A9" w14:textId="77777777" w:rsidR="00CA661C" w:rsidRDefault="00CA661C" w:rsidP="001A2234">
      <w:r>
        <w:separator/>
      </w:r>
    </w:p>
  </w:endnote>
  <w:endnote w:type="continuationSeparator" w:id="0">
    <w:p w14:paraId="2C8324DB" w14:textId="77777777" w:rsidR="00CA661C" w:rsidRDefault="00CA661C" w:rsidP="001A2234">
      <w:r>
        <w:continuationSeparator/>
      </w:r>
    </w:p>
  </w:endnote>
  <w:endnote w:type="continuationNotice" w:id="1">
    <w:p w14:paraId="619DC95D" w14:textId="77777777" w:rsidR="00CA661C" w:rsidRDefault="00CA6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rPr>
        <w:rFonts w:ascii="Times New Roman" w:hAnsi="Times New Roman"/>
        <w:sz w:val="24"/>
        <w:szCs w:val="24"/>
      </w:rPr>
    </w:sdtEndPr>
    <w:sdtContent>
      <w:p w14:paraId="4F8C0C99" w14:textId="77777777" w:rsidR="00E66223" w:rsidRPr="001A2234" w:rsidRDefault="00E66223" w:rsidP="001A2234">
        <w:pPr>
          <w:pStyle w:val="Footer"/>
          <w:jc w:val="center"/>
          <w:rPr>
            <w:rFonts w:ascii="Times New Roman" w:hAnsi="Times New Roman"/>
            <w:sz w:val="24"/>
            <w:szCs w:val="24"/>
          </w:rPr>
        </w:pPr>
        <w:r w:rsidRPr="001A2234">
          <w:rPr>
            <w:rFonts w:ascii="Times New Roman" w:hAnsi="Times New Roman"/>
            <w:bCs/>
            <w:sz w:val="24"/>
            <w:szCs w:val="24"/>
          </w:rPr>
          <w:fldChar w:fldCharType="begin"/>
        </w:r>
        <w:r w:rsidRPr="001A2234">
          <w:rPr>
            <w:rFonts w:ascii="Times New Roman" w:hAnsi="Times New Roman"/>
            <w:bCs/>
            <w:sz w:val="24"/>
            <w:szCs w:val="24"/>
          </w:rPr>
          <w:instrText xml:space="preserve"> PAGE </w:instrText>
        </w:r>
        <w:r w:rsidRPr="001A2234">
          <w:rPr>
            <w:rFonts w:ascii="Times New Roman" w:hAnsi="Times New Roman"/>
            <w:bCs/>
            <w:sz w:val="24"/>
            <w:szCs w:val="24"/>
          </w:rPr>
          <w:fldChar w:fldCharType="separate"/>
        </w:r>
        <w:r w:rsidR="005671A6">
          <w:rPr>
            <w:rFonts w:ascii="Times New Roman" w:hAnsi="Times New Roman"/>
            <w:bCs/>
            <w:noProof/>
            <w:sz w:val="24"/>
            <w:szCs w:val="24"/>
          </w:rPr>
          <w:t>3</w:t>
        </w:r>
        <w:r w:rsidRPr="001A2234">
          <w:rPr>
            <w:rFonts w:ascii="Times New Roman" w:hAnsi="Times New Roman"/>
            <w:bCs/>
            <w:sz w:val="24"/>
            <w:szCs w:val="24"/>
          </w:rPr>
          <w:fldChar w:fldCharType="end"/>
        </w:r>
      </w:p>
    </w:sdtContent>
  </w:sdt>
  <w:p w14:paraId="4ACC2704" w14:textId="77777777" w:rsidR="00E66223" w:rsidRDefault="00E66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42F16" w14:textId="77777777" w:rsidR="00CA661C" w:rsidRDefault="00CA661C" w:rsidP="001A2234">
      <w:r>
        <w:separator/>
      </w:r>
    </w:p>
  </w:footnote>
  <w:footnote w:type="continuationSeparator" w:id="0">
    <w:p w14:paraId="70473722" w14:textId="77777777" w:rsidR="00CA661C" w:rsidRDefault="00CA661C" w:rsidP="001A2234">
      <w:r>
        <w:continuationSeparator/>
      </w:r>
    </w:p>
  </w:footnote>
  <w:footnote w:type="continuationNotice" w:id="1">
    <w:p w14:paraId="641AA84B" w14:textId="77777777" w:rsidR="00CA661C" w:rsidRDefault="00CA661C"/>
  </w:footnote>
  <w:footnote w:id="2">
    <w:p w14:paraId="059A1534" w14:textId="2882DC57" w:rsidR="00157F09" w:rsidRPr="008A6D07" w:rsidRDefault="00157F09" w:rsidP="00157F09">
      <w:pPr>
        <w:pStyle w:val="FootnoteText"/>
        <w:rPr>
          <w:rFonts w:ascii="Times New Roman" w:hAnsi="Times New Roman"/>
        </w:rPr>
      </w:pPr>
      <w:r w:rsidRPr="008A6D07">
        <w:rPr>
          <w:rStyle w:val="FootnoteReference"/>
          <w:rFonts w:ascii="Times New Roman" w:hAnsi="Times New Roman"/>
        </w:rPr>
        <w:footnoteRef/>
      </w:r>
      <w:r w:rsidRPr="008A6D07">
        <w:rPr>
          <w:rFonts w:ascii="Times New Roman" w:hAnsi="Times New Roman"/>
        </w:rPr>
        <w:t xml:space="preserve"> The consultation letter is available on APRA’s website at &lt;https://www.apra.gov.au/treatment-of-loans-impacted-by-covid-19&gt;. </w:t>
      </w:r>
    </w:p>
  </w:footnote>
  <w:footnote w:id="3">
    <w:p w14:paraId="3413B0F7" w14:textId="77777777" w:rsidR="006B3774" w:rsidRPr="008A6D07" w:rsidRDefault="006B3774" w:rsidP="006B3774">
      <w:pPr>
        <w:pStyle w:val="FootnoteText"/>
        <w:rPr>
          <w:rFonts w:ascii="Times New Roman" w:hAnsi="Times New Roman"/>
        </w:rPr>
      </w:pPr>
      <w:r w:rsidRPr="008A6D07">
        <w:rPr>
          <w:rStyle w:val="FootnoteReference"/>
          <w:rFonts w:ascii="Times New Roman" w:hAnsi="Times New Roman"/>
        </w:rPr>
        <w:footnoteRef/>
      </w:r>
      <w:r w:rsidRPr="008A6D07">
        <w:rPr>
          <w:rFonts w:ascii="Times New Roman" w:hAnsi="Times New Roman"/>
        </w:rPr>
        <w:t xml:space="preserve"> APRA’s full response and non-confidential submissions are available on APRA’s website at &lt;https://www.apra.gov.au/treatment-of-loans-impacted-by-covid-19</w:t>
      </w:r>
      <w:r>
        <w:rPr>
          <w:rFonts w:ascii="Times New Roman" w:hAnsi="Times New Roman"/>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1DF87BC0"/>
    <w:multiLevelType w:val="hybridMultilevel"/>
    <w:tmpl w:val="EFECDC84"/>
    <w:lvl w:ilvl="0" w:tplc="6F8CE888">
      <w:start w:val="1"/>
      <w:numFmt w:val="decimal"/>
      <w:lvlText w:val="(%1)"/>
      <w:lvlJc w:val="left"/>
      <w:pPr>
        <w:ind w:left="1080" w:hanging="360"/>
      </w:pPr>
      <w:rPr>
        <w:rFonts w:hint="default"/>
      </w:rPr>
    </w:lvl>
    <w:lvl w:ilvl="1" w:tplc="4D424FDA">
      <w:start w:val="1"/>
      <w:numFmt w:val="lowerRoman"/>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4" w15:restartNumberingAfterBreak="0">
    <w:nsid w:val="36DF369A"/>
    <w:multiLevelType w:val="hybridMultilevel"/>
    <w:tmpl w:val="D62C1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D15727"/>
    <w:multiLevelType w:val="hybridMultilevel"/>
    <w:tmpl w:val="5A4EC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207F31"/>
    <w:multiLevelType w:val="hybridMultilevel"/>
    <w:tmpl w:val="7A2A0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1DA3D61"/>
    <w:multiLevelType w:val="hybridMultilevel"/>
    <w:tmpl w:val="1590B1A6"/>
    <w:lvl w:ilvl="0" w:tplc="02245D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B17A3F"/>
    <w:multiLevelType w:val="multilevel"/>
    <w:tmpl w:val="4218048E"/>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7B3F66B9"/>
    <w:multiLevelType w:val="hybridMultilevel"/>
    <w:tmpl w:val="3DCE9A3C"/>
    <w:lvl w:ilvl="0" w:tplc="6F8CE888">
      <w:start w:val="1"/>
      <w:numFmt w:val="decimal"/>
      <w:lvlText w:val="(%1)"/>
      <w:lvlJc w:val="left"/>
      <w:pPr>
        <w:ind w:left="1080" w:hanging="360"/>
      </w:pPr>
      <w:rPr>
        <w:rFonts w:hint="default"/>
      </w:rPr>
    </w:lvl>
    <w:lvl w:ilvl="1" w:tplc="C332E7C6">
      <w:start w:val="1"/>
      <w:numFmt w:val="lowerLetter"/>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6"/>
  </w:num>
  <w:num w:numId="2">
    <w:abstractNumId w:val="0"/>
  </w:num>
  <w:num w:numId="3">
    <w:abstractNumId w:val="8"/>
  </w:num>
  <w:num w:numId="4">
    <w:abstractNumId w:val="2"/>
  </w:num>
  <w:num w:numId="5">
    <w:abstractNumId w:val="3"/>
  </w:num>
  <w:num w:numId="6">
    <w:abstractNumId w:val="1"/>
  </w:num>
  <w:num w:numId="7">
    <w:abstractNumId w:val="5"/>
  </w:num>
  <w:num w:numId="8">
    <w:abstractNumId w:val="4"/>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73"/>
    <w:rsid w:val="000042C1"/>
    <w:rsid w:val="00010A0B"/>
    <w:rsid w:val="00040081"/>
    <w:rsid w:val="000401FC"/>
    <w:rsid w:val="000520FF"/>
    <w:rsid w:val="00072A7A"/>
    <w:rsid w:val="00074CEB"/>
    <w:rsid w:val="00076618"/>
    <w:rsid w:val="00083727"/>
    <w:rsid w:val="0008681E"/>
    <w:rsid w:val="000951BB"/>
    <w:rsid w:val="000A74BB"/>
    <w:rsid w:val="000B14BD"/>
    <w:rsid w:val="000C608D"/>
    <w:rsid w:val="000D3451"/>
    <w:rsid w:val="000D76DC"/>
    <w:rsid w:val="000E0E8C"/>
    <w:rsid w:val="000E0FF5"/>
    <w:rsid w:val="000E15E6"/>
    <w:rsid w:val="000E2345"/>
    <w:rsid w:val="000E369C"/>
    <w:rsid w:val="000E3A02"/>
    <w:rsid w:val="001062E7"/>
    <w:rsid w:val="00113307"/>
    <w:rsid w:val="0011393A"/>
    <w:rsid w:val="00117D61"/>
    <w:rsid w:val="00120BC8"/>
    <w:rsid w:val="00122C95"/>
    <w:rsid w:val="00126870"/>
    <w:rsid w:val="00132748"/>
    <w:rsid w:val="00137F0E"/>
    <w:rsid w:val="00142358"/>
    <w:rsid w:val="00143FBB"/>
    <w:rsid w:val="001472A2"/>
    <w:rsid w:val="00156332"/>
    <w:rsid w:val="00157F09"/>
    <w:rsid w:val="00157FF6"/>
    <w:rsid w:val="00162333"/>
    <w:rsid w:val="0016436B"/>
    <w:rsid w:val="0016652D"/>
    <w:rsid w:val="00166C7E"/>
    <w:rsid w:val="00167328"/>
    <w:rsid w:val="00176EEB"/>
    <w:rsid w:val="00182FA1"/>
    <w:rsid w:val="0018346E"/>
    <w:rsid w:val="00191481"/>
    <w:rsid w:val="00194899"/>
    <w:rsid w:val="001A075E"/>
    <w:rsid w:val="001A2234"/>
    <w:rsid w:val="001A2ADB"/>
    <w:rsid w:val="001B2A41"/>
    <w:rsid w:val="001B62DB"/>
    <w:rsid w:val="001B7B46"/>
    <w:rsid w:val="001C2D20"/>
    <w:rsid w:val="001C310E"/>
    <w:rsid w:val="001C463B"/>
    <w:rsid w:val="001C66C8"/>
    <w:rsid w:val="001C7F30"/>
    <w:rsid w:val="001E4FD3"/>
    <w:rsid w:val="001F5396"/>
    <w:rsid w:val="0021596D"/>
    <w:rsid w:val="002436BD"/>
    <w:rsid w:val="002451AD"/>
    <w:rsid w:val="00245634"/>
    <w:rsid w:val="00246723"/>
    <w:rsid w:val="0026036F"/>
    <w:rsid w:val="002646B4"/>
    <w:rsid w:val="00264B90"/>
    <w:rsid w:val="00266421"/>
    <w:rsid w:val="00267087"/>
    <w:rsid w:val="00275936"/>
    <w:rsid w:val="00281F8F"/>
    <w:rsid w:val="00285923"/>
    <w:rsid w:val="0029158D"/>
    <w:rsid w:val="00291EEA"/>
    <w:rsid w:val="002A0F07"/>
    <w:rsid w:val="002A1E13"/>
    <w:rsid w:val="002A5F5F"/>
    <w:rsid w:val="002A73BD"/>
    <w:rsid w:val="002B526C"/>
    <w:rsid w:val="002B5971"/>
    <w:rsid w:val="002C0701"/>
    <w:rsid w:val="002C2806"/>
    <w:rsid w:val="002D2389"/>
    <w:rsid w:val="002D4BAF"/>
    <w:rsid w:val="002D5540"/>
    <w:rsid w:val="002D7C33"/>
    <w:rsid w:val="002F123D"/>
    <w:rsid w:val="002F6A3E"/>
    <w:rsid w:val="002F70A2"/>
    <w:rsid w:val="00300EEF"/>
    <w:rsid w:val="003015DA"/>
    <w:rsid w:val="0030506B"/>
    <w:rsid w:val="00305648"/>
    <w:rsid w:val="00305A9C"/>
    <w:rsid w:val="00305E5F"/>
    <w:rsid w:val="00310CF8"/>
    <w:rsid w:val="00313BC5"/>
    <w:rsid w:val="00320C77"/>
    <w:rsid w:val="00330C21"/>
    <w:rsid w:val="00340D09"/>
    <w:rsid w:val="00343343"/>
    <w:rsid w:val="00343D8A"/>
    <w:rsid w:val="003471F3"/>
    <w:rsid w:val="003509F8"/>
    <w:rsid w:val="00354CB8"/>
    <w:rsid w:val="00380068"/>
    <w:rsid w:val="00382132"/>
    <w:rsid w:val="00382846"/>
    <w:rsid w:val="003843DB"/>
    <w:rsid w:val="00384D39"/>
    <w:rsid w:val="003866AD"/>
    <w:rsid w:val="003977AE"/>
    <w:rsid w:val="003A25D1"/>
    <w:rsid w:val="003A52A5"/>
    <w:rsid w:val="003B1BE0"/>
    <w:rsid w:val="003D5032"/>
    <w:rsid w:val="003E4F75"/>
    <w:rsid w:val="003E74CF"/>
    <w:rsid w:val="003F7007"/>
    <w:rsid w:val="003F712D"/>
    <w:rsid w:val="0040175E"/>
    <w:rsid w:val="00403AF2"/>
    <w:rsid w:val="004139D9"/>
    <w:rsid w:val="00420DB0"/>
    <w:rsid w:val="00422164"/>
    <w:rsid w:val="00425D5C"/>
    <w:rsid w:val="004275FF"/>
    <w:rsid w:val="00427A88"/>
    <w:rsid w:val="00434568"/>
    <w:rsid w:val="00435131"/>
    <w:rsid w:val="00435A03"/>
    <w:rsid w:val="0044241E"/>
    <w:rsid w:val="00443A02"/>
    <w:rsid w:val="004455DC"/>
    <w:rsid w:val="00453D3C"/>
    <w:rsid w:val="00456BE0"/>
    <w:rsid w:val="00462932"/>
    <w:rsid w:val="00464570"/>
    <w:rsid w:val="00473A51"/>
    <w:rsid w:val="004776F6"/>
    <w:rsid w:val="00482857"/>
    <w:rsid w:val="00482F85"/>
    <w:rsid w:val="00491310"/>
    <w:rsid w:val="004A14E0"/>
    <w:rsid w:val="004A707E"/>
    <w:rsid w:val="004B0C58"/>
    <w:rsid w:val="004C3D07"/>
    <w:rsid w:val="004D48BC"/>
    <w:rsid w:val="004E2008"/>
    <w:rsid w:val="004E5201"/>
    <w:rsid w:val="004E6D9E"/>
    <w:rsid w:val="004F2954"/>
    <w:rsid w:val="004F57A7"/>
    <w:rsid w:val="004F70BE"/>
    <w:rsid w:val="005002DD"/>
    <w:rsid w:val="00511825"/>
    <w:rsid w:val="0051370D"/>
    <w:rsid w:val="00514AE1"/>
    <w:rsid w:val="005152C0"/>
    <w:rsid w:val="0051575B"/>
    <w:rsid w:val="005214DF"/>
    <w:rsid w:val="00540092"/>
    <w:rsid w:val="00541A8B"/>
    <w:rsid w:val="00545F91"/>
    <w:rsid w:val="005502D1"/>
    <w:rsid w:val="00552287"/>
    <w:rsid w:val="005568DD"/>
    <w:rsid w:val="00556D12"/>
    <w:rsid w:val="0056141D"/>
    <w:rsid w:val="00561601"/>
    <w:rsid w:val="005666AB"/>
    <w:rsid w:val="00566B0B"/>
    <w:rsid w:val="005671A6"/>
    <w:rsid w:val="005711FF"/>
    <w:rsid w:val="00575541"/>
    <w:rsid w:val="00585BF8"/>
    <w:rsid w:val="00590F40"/>
    <w:rsid w:val="005A51DD"/>
    <w:rsid w:val="005B7DC2"/>
    <w:rsid w:val="005C33BD"/>
    <w:rsid w:val="005D4287"/>
    <w:rsid w:val="005E0DDA"/>
    <w:rsid w:val="005E5910"/>
    <w:rsid w:val="00610CFB"/>
    <w:rsid w:val="006142AE"/>
    <w:rsid w:val="00616B20"/>
    <w:rsid w:val="006202A3"/>
    <w:rsid w:val="00622480"/>
    <w:rsid w:val="00631116"/>
    <w:rsid w:val="00635169"/>
    <w:rsid w:val="006432C1"/>
    <w:rsid w:val="00643367"/>
    <w:rsid w:val="00644CBA"/>
    <w:rsid w:val="00647D58"/>
    <w:rsid w:val="00652745"/>
    <w:rsid w:val="006544E1"/>
    <w:rsid w:val="00657678"/>
    <w:rsid w:val="00666614"/>
    <w:rsid w:val="00682865"/>
    <w:rsid w:val="00684900"/>
    <w:rsid w:val="00684F73"/>
    <w:rsid w:val="0069157D"/>
    <w:rsid w:val="006A43F1"/>
    <w:rsid w:val="006A6E3B"/>
    <w:rsid w:val="006B093F"/>
    <w:rsid w:val="006B0B74"/>
    <w:rsid w:val="006B3774"/>
    <w:rsid w:val="006B4B39"/>
    <w:rsid w:val="006B50BF"/>
    <w:rsid w:val="006C591F"/>
    <w:rsid w:val="006C59B9"/>
    <w:rsid w:val="006D6CB4"/>
    <w:rsid w:val="006E4C33"/>
    <w:rsid w:val="006E7887"/>
    <w:rsid w:val="006F1BA6"/>
    <w:rsid w:val="006F1C44"/>
    <w:rsid w:val="007031F4"/>
    <w:rsid w:val="007049CF"/>
    <w:rsid w:val="00707277"/>
    <w:rsid w:val="0071431F"/>
    <w:rsid w:val="00724F0B"/>
    <w:rsid w:val="00730E49"/>
    <w:rsid w:val="007368AD"/>
    <w:rsid w:val="00736D41"/>
    <w:rsid w:val="00736D9A"/>
    <w:rsid w:val="0073742C"/>
    <w:rsid w:val="007428D4"/>
    <w:rsid w:val="007430E5"/>
    <w:rsid w:val="00745C6F"/>
    <w:rsid w:val="00747AFF"/>
    <w:rsid w:val="00755BF6"/>
    <w:rsid w:val="00755E5A"/>
    <w:rsid w:val="00756284"/>
    <w:rsid w:val="00765A49"/>
    <w:rsid w:val="00766B3D"/>
    <w:rsid w:val="0077361A"/>
    <w:rsid w:val="00781232"/>
    <w:rsid w:val="00781AE3"/>
    <w:rsid w:val="0078519B"/>
    <w:rsid w:val="00785CDC"/>
    <w:rsid w:val="0079175F"/>
    <w:rsid w:val="00792DAE"/>
    <w:rsid w:val="00796D9A"/>
    <w:rsid w:val="007A1CC7"/>
    <w:rsid w:val="007A321C"/>
    <w:rsid w:val="007C2298"/>
    <w:rsid w:val="007D0BEE"/>
    <w:rsid w:val="007D39FD"/>
    <w:rsid w:val="007D3E28"/>
    <w:rsid w:val="007E4B2A"/>
    <w:rsid w:val="007F59E2"/>
    <w:rsid w:val="007F7D4A"/>
    <w:rsid w:val="0080080F"/>
    <w:rsid w:val="00802197"/>
    <w:rsid w:val="008134E4"/>
    <w:rsid w:val="00830F66"/>
    <w:rsid w:val="008317DE"/>
    <w:rsid w:val="00832289"/>
    <w:rsid w:val="0083316F"/>
    <w:rsid w:val="00834123"/>
    <w:rsid w:val="00834676"/>
    <w:rsid w:val="00835BD9"/>
    <w:rsid w:val="00852EAD"/>
    <w:rsid w:val="00862488"/>
    <w:rsid w:val="00864003"/>
    <w:rsid w:val="00871E54"/>
    <w:rsid w:val="00890C79"/>
    <w:rsid w:val="00892D63"/>
    <w:rsid w:val="00895DAC"/>
    <w:rsid w:val="008A33CD"/>
    <w:rsid w:val="008B659C"/>
    <w:rsid w:val="008E00D9"/>
    <w:rsid w:val="008E143B"/>
    <w:rsid w:val="008E2E3D"/>
    <w:rsid w:val="008F2233"/>
    <w:rsid w:val="008F275E"/>
    <w:rsid w:val="008F7ECF"/>
    <w:rsid w:val="00901D3C"/>
    <w:rsid w:val="00902344"/>
    <w:rsid w:val="009145DF"/>
    <w:rsid w:val="00922098"/>
    <w:rsid w:val="00922FBC"/>
    <w:rsid w:val="00923688"/>
    <w:rsid w:val="009254A8"/>
    <w:rsid w:val="009320C4"/>
    <w:rsid w:val="00932EFA"/>
    <w:rsid w:val="009356BF"/>
    <w:rsid w:val="00947DEB"/>
    <w:rsid w:val="009524CA"/>
    <w:rsid w:val="009626AB"/>
    <w:rsid w:val="009660F6"/>
    <w:rsid w:val="00967D16"/>
    <w:rsid w:val="00975E4D"/>
    <w:rsid w:val="009817EA"/>
    <w:rsid w:val="00981D3A"/>
    <w:rsid w:val="00987321"/>
    <w:rsid w:val="009B67A8"/>
    <w:rsid w:val="009C5368"/>
    <w:rsid w:val="009D084C"/>
    <w:rsid w:val="009D4417"/>
    <w:rsid w:val="009D4F13"/>
    <w:rsid w:val="009D708F"/>
    <w:rsid w:val="009F1BF7"/>
    <w:rsid w:val="00A03FD1"/>
    <w:rsid w:val="00A05313"/>
    <w:rsid w:val="00A279AF"/>
    <w:rsid w:val="00A31F71"/>
    <w:rsid w:val="00A342FA"/>
    <w:rsid w:val="00A36726"/>
    <w:rsid w:val="00A37C12"/>
    <w:rsid w:val="00A406CE"/>
    <w:rsid w:val="00A4133B"/>
    <w:rsid w:val="00A42365"/>
    <w:rsid w:val="00A63A2B"/>
    <w:rsid w:val="00A642D7"/>
    <w:rsid w:val="00A66D48"/>
    <w:rsid w:val="00A672CD"/>
    <w:rsid w:val="00A70688"/>
    <w:rsid w:val="00A73701"/>
    <w:rsid w:val="00A750C0"/>
    <w:rsid w:val="00A8208F"/>
    <w:rsid w:val="00A8638C"/>
    <w:rsid w:val="00A9715B"/>
    <w:rsid w:val="00AA5522"/>
    <w:rsid w:val="00AB2CA3"/>
    <w:rsid w:val="00AC2517"/>
    <w:rsid w:val="00AC7A56"/>
    <w:rsid w:val="00AD1E70"/>
    <w:rsid w:val="00AD6628"/>
    <w:rsid w:val="00AF7796"/>
    <w:rsid w:val="00B02803"/>
    <w:rsid w:val="00B02D82"/>
    <w:rsid w:val="00B04B20"/>
    <w:rsid w:val="00B059A1"/>
    <w:rsid w:val="00B124FA"/>
    <w:rsid w:val="00B16668"/>
    <w:rsid w:val="00B16741"/>
    <w:rsid w:val="00B46DC7"/>
    <w:rsid w:val="00B50C89"/>
    <w:rsid w:val="00B52DDA"/>
    <w:rsid w:val="00B64B2E"/>
    <w:rsid w:val="00B71EB5"/>
    <w:rsid w:val="00B731B6"/>
    <w:rsid w:val="00B754DC"/>
    <w:rsid w:val="00B81DCB"/>
    <w:rsid w:val="00B85B6E"/>
    <w:rsid w:val="00B91992"/>
    <w:rsid w:val="00B93BFF"/>
    <w:rsid w:val="00B963BE"/>
    <w:rsid w:val="00BA4B70"/>
    <w:rsid w:val="00BA5383"/>
    <w:rsid w:val="00BA5EB2"/>
    <w:rsid w:val="00BA7DA6"/>
    <w:rsid w:val="00BB1678"/>
    <w:rsid w:val="00BB5D93"/>
    <w:rsid w:val="00BB7224"/>
    <w:rsid w:val="00BC1783"/>
    <w:rsid w:val="00BC2EEA"/>
    <w:rsid w:val="00BC3E7D"/>
    <w:rsid w:val="00BC609E"/>
    <w:rsid w:val="00BC6E15"/>
    <w:rsid w:val="00BD3D55"/>
    <w:rsid w:val="00BD6360"/>
    <w:rsid w:val="00BD66B1"/>
    <w:rsid w:val="00BF2953"/>
    <w:rsid w:val="00C02366"/>
    <w:rsid w:val="00C0368E"/>
    <w:rsid w:val="00C111B4"/>
    <w:rsid w:val="00C155A6"/>
    <w:rsid w:val="00C1702B"/>
    <w:rsid w:val="00C26A22"/>
    <w:rsid w:val="00C279A1"/>
    <w:rsid w:val="00C302FA"/>
    <w:rsid w:val="00C3072D"/>
    <w:rsid w:val="00C3178E"/>
    <w:rsid w:val="00C3292D"/>
    <w:rsid w:val="00C33045"/>
    <w:rsid w:val="00C41639"/>
    <w:rsid w:val="00C4681D"/>
    <w:rsid w:val="00C53446"/>
    <w:rsid w:val="00C54ADD"/>
    <w:rsid w:val="00C61F6C"/>
    <w:rsid w:val="00C66C00"/>
    <w:rsid w:val="00C755BD"/>
    <w:rsid w:val="00C80B16"/>
    <w:rsid w:val="00C83956"/>
    <w:rsid w:val="00C948AA"/>
    <w:rsid w:val="00C95745"/>
    <w:rsid w:val="00CA33DC"/>
    <w:rsid w:val="00CA661C"/>
    <w:rsid w:val="00CA6CB3"/>
    <w:rsid w:val="00CB0977"/>
    <w:rsid w:val="00CB0F92"/>
    <w:rsid w:val="00CB384A"/>
    <w:rsid w:val="00CB4C18"/>
    <w:rsid w:val="00CB6262"/>
    <w:rsid w:val="00CC0F76"/>
    <w:rsid w:val="00CC37BF"/>
    <w:rsid w:val="00CD1947"/>
    <w:rsid w:val="00CD7A6F"/>
    <w:rsid w:val="00CE3EF2"/>
    <w:rsid w:val="00D04929"/>
    <w:rsid w:val="00D119F5"/>
    <w:rsid w:val="00D228AE"/>
    <w:rsid w:val="00D3484E"/>
    <w:rsid w:val="00D36C7E"/>
    <w:rsid w:val="00D36F73"/>
    <w:rsid w:val="00D50699"/>
    <w:rsid w:val="00D51C9B"/>
    <w:rsid w:val="00D605BC"/>
    <w:rsid w:val="00D61C83"/>
    <w:rsid w:val="00D64906"/>
    <w:rsid w:val="00D67E29"/>
    <w:rsid w:val="00D74DC3"/>
    <w:rsid w:val="00D81A80"/>
    <w:rsid w:val="00D83531"/>
    <w:rsid w:val="00D8438D"/>
    <w:rsid w:val="00D87B5D"/>
    <w:rsid w:val="00D87E36"/>
    <w:rsid w:val="00D912B0"/>
    <w:rsid w:val="00D92A17"/>
    <w:rsid w:val="00D937D6"/>
    <w:rsid w:val="00DA1B00"/>
    <w:rsid w:val="00DA3D1A"/>
    <w:rsid w:val="00DA6D66"/>
    <w:rsid w:val="00DB0979"/>
    <w:rsid w:val="00DB2009"/>
    <w:rsid w:val="00DB2B8C"/>
    <w:rsid w:val="00DC198B"/>
    <w:rsid w:val="00DD2E63"/>
    <w:rsid w:val="00DD3580"/>
    <w:rsid w:val="00DE183E"/>
    <w:rsid w:val="00DF3D38"/>
    <w:rsid w:val="00DF524E"/>
    <w:rsid w:val="00E013A9"/>
    <w:rsid w:val="00E03C54"/>
    <w:rsid w:val="00E14C55"/>
    <w:rsid w:val="00E15497"/>
    <w:rsid w:val="00E154A3"/>
    <w:rsid w:val="00E158B2"/>
    <w:rsid w:val="00E16789"/>
    <w:rsid w:val="00E201A8"/>
    <w:rsid w:val="00E2247F"/>
    <w:rsid w:val="00E241B7"/>
    <w:rsid w:val="00E3334F"/>
    <w:rsid w:val="00E3435D"/>
    <w:rsid w:val="00E442F8"/>
    <w:rsid w:val="00E4750A"/>
    <w:rsid w:val="00E52DFE"/>
    <w:rsid w:val="00E53788"/>
    <w:rsid w:val="00E56C5E"/>
    <w:rsid w:val="00E61B19"/>
    <w:rsid w:val="00E62E09"/>
    <w:rsid w:val="00E66223"/>
    <w:rsid w:val="00E71180"/>
    <w:rsid w:val="00E72515"/>
    <w:rsid w:val="00E90C89"/>
    <w:rsid w:val="00E91BF6"/>
    <w:rsid w:val="00EB3130"/>
    <w:rsid w:val="00EB42E3"/>
    <w:rsid w:val="00EC5653"/>
    <w:rsid w:val="00EC5FA9"/>
    <w:rsid w:val="00EE01F2"/>
    <w:rsid w:val="00EE3647"/>
    <w:rsid w:val="00F1353F"/>
    <w:rsid w:val="00F237CF"/>
    <w:rsid w:val="00F372EB"/>
    <w:rsid w:val="00F436BC"/>
    <w:rsid w:val="00F456FD"/>
    <w:rsid w:val="00F510E0"/>
    <w:rsid w:val="00F57F16"/>
    <w:rsid w:val="00F62B2B"/>
    <w:rsid w:val="00F70B8C"/>
    <w:rsid w:val="00F71CD3"/>
    <w:rsid w:val="00F7706D"/>
    <w:rsid w:val="00F90DA9"/>
    <w:rsid w:val="00F950EB"/>
    <w:rsid w:val="00FA5345"/>
    <w:rsid w:val="00FC2499"/>
    <w:rsid w:val="00FC3FC5"/>
    <w:rsid w:val="00FC6BE4"/>
    <w:rsid w:val="00FD346B"/>
    <w:rsid w:val="00FE44FC"/>
    <w:rsid w:val="00FE6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4AE173B"/>
  <w15:docId w15:val="{CC963373-DC7E-4855-BBFC-0A731EE2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 w:type="paragraph" w:styleId="FootnoteText">
    <w:name w:val="footnote text"/>
    <w:aliases w:val="Char"/>
    <w:basedOn w:val="Normal"/>
    <w:link w:val="FootnoteTextChar"/>
    <w:uiPriority w:val="99"/>
    <w:semiHidden/>
    <w:unhideWhenUsed/>
    <w:rsid w:val="00DA3D1A"/>
    <w:rPr>
      <w:sz w:val="20"/>
    </w:rPr>
  </w:style>
  <w:style w:type="character" w:customStyle="1" w:styleId="FootnoteTextChar">
    <w:name w:val="Footnote Text Char"/>
    <w:aliases w:val="Char Char"/>
    <w:basedOn w:val="DefaultParagraphFont"/>
    <w:link w:val="FootnoteText"/>
    <w:uiPriority w:val="99"/>
    <w:semiHidden/>
    <w:rsid w:val="00DA3D1A"/>
    <w:rPr>
      <w:rFonts w:ascii="Trebuchet MS" w:eastAsia="Times New Roman" w:hAnsi="Trebuchet MS"/>
    </w:rPr>
  </w:style>
  <w:style w:type="character" w:styleId="FootnoteReference">
    <w:name w:val="footnote reference"/>
    <w:basedOn w:val="DefaultParagraphFont"/>
    <w:uiPriority w:val="99"/>
    <w:semiHidden/>
    <w:unhideWhenUsed/>
    <w:qFormat/>
    <w:rsid w:val="00DA3D1A"/>
    <w:rPr>
      <w:vertAlign w:val="superscript"/>
    </w:rPr>
  </w:style>
  <w:style w:type="paragraph" w:customStyle="1" w:styleId="APRANORMAL">
    <w:name w:val="APRA NORMAL"/>
    <w:basedOn w:val="Normal"/>
    <w:link w:val="APRANORMALChar"/>
    <w:qFormat/>
    <w:rsid w:val="00275936"/>
    <w:pPr>
      <w:spacing w:after="240"/>
    </w:pPr>
    <w:rPr>
      <w:rFonts w:ascii="DIN OT Light" w:eastAsiaTheme="minorHAnsi" w:hAnsi="DIN OT Light"/>
      <w:szCs w:val="22"/>
      <w:lang w:val="en-GB" w:eastAsia="en-US"/>
    </w:rPr>
  </w:style>
  <w:style w:type="character" w:customStyle="1" w:styleId="APRANORMALChar">
    <w:name w:val="APRA NORMAL Char"/>
    <w:basedOn w:val="DefaultParagraphFont"/>
    <w:link w:val="APRANORMAL"/>
    <w:rsid w:val="00275936"/>
    <w:rPr>
      <w:rFonts w:ascii="DIN OT Light" w:eastAsiaTheme="minorHAnsi" w:hAnsi="DIN OT Light"/>
      <w:sz w:val="22"/>
      <w:szCs w:val="22"/>
      <w:lang w:val="en-GB" w:eastAsia="en-US"/>
    </w:rPr>
  </w:style>
  <w:style w:type="paragraph" w:styleId="List">
    <w:name w:val="List"/>
    <w:basedOn w:val="Normal"/>
    <w:uiPriority w:val="17"/>
    <w:qFormat/>
    <w:rsid w:val="004A14E0"/>
    <w:pPr>
      <w:tabs>
        <w:tab w:val="num" w:pos="425"/>
      </w:tabs>
      <w:spacing w:after="240"/>
      <w:ind w:left="425" w:hanging="425"/>
    </w:pPr>
    <w:rPr>
      <w:rFonts w:ascii="DIN OT Light" w:eastAsiaTheme="minorHAnsi" w:hAnsi="DIN OT Light" w:cstheme="minorBidi"/>
      <w:color w:val="000000"/>
      <w:szCs w:val="22"/>
      <w:lang w:eastAsia="en-US"/>
    </w:rPr>
  </w:style>
  <w:style w:type="paragraph" w:styleId="List2">
    <w:name w:val="List 2"/>
    <w:basedOn w:val="Normal"/>
    <w:uiPriority w:val="17"/>
    <w:qFormat/>
    <w:rsid w:val="004A14E0"/>
    <w:pPr>
      <w:tabs>
        <w:tab w:val="num" w:pos="851"/>
      </w:tabs>
      <w:spacing w:after="240"/>
      <w:ind w:left="851" w:hanging="426"/>
    </w:pPr>
    <w:rPr>
      <w:rFonts w:ascii="DIN OT Light" w:eastAsiaTheme="minorHAnsi" w:hAnsi="DIN OT Light" w:cstheme="minorBidi"/>
      <w:color w:val="000000"/>
      <w:szCs w:val="22"/>
      <w:lang w:eastAsia="en-US"/>
    </w:rPr>
  </w:style>
  <w:style w:type="paragraph" w:styleId="List3">
    <w:name w:val="List 3"/>
    <w:basedOn w:val="Normal"/>
    <w:uiPriority w:val="17"/>
    <w:qFormat/>
    <w:rsid w:val="004A14E0"/>
    <w:pPr>
      <w:tabs>
        <w:tab w:val="num" w:pos="1276"/>
      </w:tabs>
      <w:spacing w:after="240"/>
      <w:ind w:left="1276" w:hanging="425"/>
    </w:pPr>
    <w:rPr>
      <w:rFonts w:ascii="DIN OT Light" w:eastAsiaTheme="minorHAnsi" w:hAnsi="DIN OT Light" w:cstheme="minorBidi"/>
      <w:color w:val="000000"/>
      <w:szCs w:val="22"/>
      <w:lang w:eastAsia="en-US"/>
    </w:rPr>
  </w:style>
  <w:style w:type="character" w:styleId="FollowedHyperlink">
    <w:name w:val="FollowedHyperlink"/>
    <w:basedOn w:val="DefaultParagraphFont"/>
    <w:uiPriority w:val="99"/>
    <w:semiHidden/>
    <w:unhideWhenUsed/>
    <w:rsid w:val="00684900"/>
    <w:rPr>
      <w:color w:val="800080" w:themeColor="followedHyperlink"/>
      <w:u w:val="single"/>
    </w:rPr>
  </w:style>
  <w:style w:type="paragraph" w:styleId="Revision">
    <w:name w:val="Revision"/>
    <w:hidden/>
    <w:uiPriority w:val="99"/>
    <w:semiHidden/>
    <w:rsid w:val="001472A2"/>
    <w:rPr>
      <w:rFonts w:ascii="Trebuchet MS" w:eastAsia="Times New Roman" w:hAnsi="Trebuchet MS"/>
      <w:sz w:val="22"/>
    </w:rPr>
  </w:style>
  <w:style w:type="character" w:customStyle="1" w:styleId="UnresolvedMention1">
    <w:name w:val="Unresolved Mention1"/>
    <w:basedOn w:val="DefaultParagraphFont"/>
    <w:uiPriority w:val="99"/>
    <w:semiHidden/>
    <w:unhideWhenUsed/>
    <w:rsid w:val="009F1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605760">
      <w:bodyDiv w:val="1"/>
      <w:marLeft w:val="0"/>
      <w:marRight w:val="0"/>
      <w:marTop w:val="0"/>
      <w:marBottom w:val="0"/>
      <w:divBdr>
        <w:top w:val="none" w:sz="0" w:space="0" w:color="auto"/>
        <w:left w:val="none" w:sz="0" w:space="0" w:color="auto"/>
        <w:bottom w:val="none" w:sz="0" w:space="0" w:color="auto"/>
        <w:right w:val="none" w:sz="0" w:space="0" w:color="auto"/>
      </w:divBdr>
    </w:div>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66A5C421D8AD4F439F9FF2A1FED828D5" ma:contentTypeVersion="47" ma:contentTypeDescription="Create a new document." ma:contentTypeScope="" ma:versionID="4b1d6799ef8bad31a28aafe1a41441cd">
  <xsd:schema xmlns:xsd="http://www.w3.org/2001/XMLSchema" xmlns:xs="http://www.w3.org/2001/XMLSchema" xmlns:p="http://schemas.microsoft.com/office/2006/metadata/properties" xmlns:ns1="814d62cb-2db6-4c25-ab62-b9075facbc11" targetNamespace="http://schemas.microsoft.com/office/2006/metadata/properties" ma:root="true" ma:fieldsID="a05f14724fb02f6efb0e5679a7af7c2e"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nillable="true"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39d06302-02ef-4e2e-abab-b971cd9d1b12}" ma:internalName="TaxCatchAll" ma:showField="CatchAllData" ma:web="6cf21f76-089f-49aa-b976-a2f63c0fa512">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39d06302-02ef-4e2e-abab-b971cd9d1b12}" ma:internalName="TaxCatchAllLabel" ma:readOnly="true" ma:showField="CatchAllDataLabel" ma:web="6cf21f76-089f-49aa-b976-a2f63c0fa512">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Precedent</TermName>
          <TermId xmlns="http://schemas.microsoft.com/office/infopath/2007/PartnerControls">197f51c4-dc37-4f46-99ec-cabda449ee10</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reporting standard;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312</Value>
      <Value>19</Value>
      <Value>333</Value>
      <Value>8</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 xsi:nil="true"/>
    <APRAActivityID xmlns="814d62cb-2db6-4c25-ab62-b9075facbc11" xsi:nil="true"/>
    <p10c80fc2da942ae8f2ea9b33b6ea0ba xmlns="814d62cb-2db6-4c25-ab62-b9075facbc11">
      <Terms xmlns="http://schemas.microsoft.com/office/infopath/2007/PartnerControl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5PCYMS3VTAUD-626204655-7761</_dlc_DocId>
    <_dlc_DocIdUrl xmlns="814d62cb-2db6-4c25-ab62-b9075facbc11">
      <Url>https://im/teams/POLICYADI/_layouts/15/DocIdRedir.aspx?ID=5PCYMS3VTAUD-626204655-7761</Url>
      <Description>5PCYMS3VTAUD-626204655-7761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4B497-AF06-424B-9259-8ADBB2F81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8D38C-D932-412C-95A6-68E40AD167C8}">
  <ds:schemaRefs>
    <ds:schemaRef ds:uri="http://schemas.microsoft.com/sharepoint/v3/contenttype/forms"/>
  </ds:schemaRefs>
</ds:datastoreItem>
</file>

<file path=customXml/itemProps3.xml><?xml version="1.0" encoding="utf-8"?>
<ds:datastoreItem xmlns:ds="http://schemas.openxmlformats.org/officeDocument/2006/customXml" ds:itemID="{71E27640-2520-4D76-AA1E-5D1C4824C1DA}">
  <ds:schemaRefs>
    <ds:schemaRef ds:uri="http://schemas.microsoft.com/sharepoint/events"/>
  </ds:schemaRefs>
</ds:datastoreItem>
</file>

<file path=customXml/itemProps4.xml><?xml version="1.0" encoding="utf-8"?>
<ds:datastoreItem xmlns:ds="http://schemas.openxmlformats.org/officeDocument/2006/customXml" ds:itemID="{85E297C6-CF98-4C4A-BCE7-8A821FCDEB33}">
  <ds:schemaRefs>
    <ds:schemaRef ds:uri="Microsoft.SharePoint.Taxonomy.ContentTypeSync"/>
  </ds:schemaRefs>
</ds:datastoreItem>
</file>

<file path=customXml/itemProps5.xml><?xml version="1.0" encoding="utf-8"?>
<ds:datastoreItem xmlns:ds="http://schemas.openxmlformats.org/officeDocument/2006/customXml" ds:itemID="{3B74E0B5-57C2-4781-900D-667EC70EB54A}">
  <ds:schemaRefs>
    <ds:schemaRef ds:uri="http://schemas.microsoft.com/office/2006/documentManagement/types"/>
    <ds:schemaRef ds:uri="http://schemas.microsoft.com/office/infopath/2007/PartnerControls"/>
    <ds:schemaRef ds:uri="http://purl.org/dc/dcmitype/"/>
    <ds:schemaRef ds:uri="http://purl.org/dc/elements/1.1/"/>
    <ds:schemaRef ds:uri="http://www.w3.org/XML/1998/namespace"/>
    <ds:schemaRef ds:uri="http://schemas.openxmlformats.org/package/2006/metadata/core-properties"/>
    <ds:schemaRef ds:uri="814d62cb-2db6-4c25-ab62-b9075facbc11"/>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FBCC67D8-0A21-48E9-9D45-E4FB7FF3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and remake reporting standard (April 2016).dotx</Template>
  <TotalTime>0</TotalTime>
  <Pages>4</Pages>
  <Words>1383</Words>
  <Characters>7734</Characters>
  <Application>Microsoft Office Word</Application>
  <DocSecurity>0</DocSecurity>
  <Lines>131</Lines>
  <Paragraphs>47</Paragraphs>
  <ScaleCrop>false</ScaleCrop>
  <HeadingPairs>
    <vt:vector size="2" baseType="variant">
      <vt:variant>
        <vt:lpstr>Title</vt:lpstr>
      </vt:variant>
      <vt:variant>
        <vt:i4>1</vt:i4>
      </vt:variant>
    </vt:vector>
  </HeadingPairs>
  <TitlesOfParts>
    <vt:vector size="1" baseType="lpstr">
      <vt:lpstr>ARS 923.2 - explanatory statement</vt:lpstr>
    </vt:vector>
  </TitlesOfParts>
  <Company>APRA</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ARS 923.2 - explanatory statement</dc:title>
  <dc:subject/>
  <dc:creator>Sullivan, David</dc:creator>
  <cp:keywords>[SEC=UNCLASSIFIED]</cp:keywords>
  <dc:description/>
  <cp:lastModifiedBy>Li, Joanne</cp:lastModifiedBy>
  <cp:revision>2</cp:revision>
  <cp:lastPrinted>2019-11-29T01:09:00Z</cp:lastPrinted>
  <dcterms:created xsi:type="dcterms:W3CDTF">2020-09-07T07:52:00Z</dcterms:created>
  <dcterms:modified xsi:type="dcterms:W3CDTF">2020-09-07T07:52:00Z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DBF2C23E4BADD8D7D0B29BB6B332033121013C98</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ProtectiveMarkingImage_Header">
    <vt:lpwstr>C:\Program Files\Common Files\janusNET Shared\janusSEAL\Images\DocumentSlashBlue.png</vt:lpwstr>
  </property>
  <property fmtid="{D5CDD505-2E9C-101B-9397-08002B2CF9AE}" pid="9" name="PM_InsertionValue">
    <vt:lpwstr>UNCLASSIFIED</vt:lpwstr>
  </property>
  <property fmtid="{D5CDD505-2E9C-101B-9397-08002B2CF9AE}" pid="10" name="PM_ProtectiveMarkingValue_Header">
    <vt:lpwstr>UNCLASSIFIED</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2012.3</vt:lpwstr>
  </property>
  <property fmtid="{D5CDD505-2E9C-101B-9397-08002B2CF9AE}" pid="14" name="PM_Originating_FileId">
    <vt:lpwstr>3B0CCB2A9D064597B35F04C89ED4A370</vt:lpwstr>
  </property>
  <property fmtid="{D5CDD505-2E9C-101B-9397-08002B2CF9AE}" pid="15" name="PM_Hash_Version">
    <vt:lpwstr>2018.0</vt:lpwstr>
  </property>
  <property fmtid="{D5CDD505-2E9C-101B-9397-08002B2CF9AE}" pid="16" name="PM_MinimumSecurityClassification">
    <vt:lpwstr/>
  </property>
  <property fmtid="{D5CDD505-2E9C-101B-9397-08002B2CF9AE}" pid="17" name="ContentTypeId">
    <vt:lpwstr>0x0101008CA7A4F8331B45C7B0D3158B4994D0CA020066A5C421D8AD4F439F9FF2A1FED828D5</vt:lpwstr>
  </property>
  <property fmtid="{D5CDD505-2E9C-101B-9397-08002B2CF9AE}" pid="18" name="APRAPeriod">
    <vt:lpwstr/>
  </property>
  <property fmtid="{D5CDD505-2E9C-101B-9397-08002B2CF9AE}" pid="19" name="APRACostCentre">
    <vt:lpwstr/>
  </property>
  <property fmtid="{D5CDD505-2E9C-101B-9397-08002B2CF9AE}" pid="20" name="APRAYear">
    <vt:lpwstr/>
  </property>
  <property fmtid="{D5CDD505-2E9C-101B-9397-08002B2CF9AE}" pid="21" name="APRAIndustry">
    <vt:lpwstr/>
  </property>
  <property fmtid="{D5CDD505-2E9C-101B-9397-08002B2CF9AE}" pid="22" name="APRAPRSG">
    <vt:lpwstr/>
  </property>
  <property fmtid="{D5CDD505-2E9C-101B-9397-08002B2CF9AE}" pid="23" name="_dlc_DocIdItemGuid">
    <vt:lpwstr>e4ebb58c-6962-4dc9-a400-39b53062d8e0</vt:lpwstr>
  </property>
  <property fmtid="{D5CDD505-2E9C-101B-9397-08002B2CF9AE}" pid="24" name="IsLocked">
    <vt:lpwstr>False</vt:lpwstr>
  </property>
  <property fmtid="{D5CDD505-2E9C-101B-9397-08002B2CF9AE}" pid="25" name="IT system type">
    <vt:lpwstr/>
  </property>
  <property fmtid="{D5CDD505-2E9C-101B-9397-08002B2CF9AE}" pid="26" name="APRACategory">
    <vt:lpwstr/>
  </property>
  <property fmtid="{D5CDD505-2E9C-101B-9397-08002B2CF9AE}" pid="27" name="APRADocumentType">
    <vt:lpwstr>333;#Precedent|197f51c4-dc37-4f46-99ec-cabda449ee10;#312;#Legal instrument|71fd6ed3-d6d6-4975-ba99-bfe45802e734</vt:lpwstr>
  </property>
  <property fmtid="{D5CDD505-2E9C-101B-9397-08002B2CF9AE}" pid="28" name="APRAStatus">
    <vt:lpwstr>8;#Final|84d6b2d0-8498-4d62-bf46-bab38babbe9e</vt:lpwstr>
  </property>
  <property fmtid="{D5CDD505-2E9C-101B-9397-08002B2CF9AE}" pid="29" name="APRAActivity">
    <vt:lpwstr>19;#Prudential policy development|4cf81ba0-32a2-4f8f-8216-9e632903331b</vt:lpwstr>
  </property>
  <property fmtid="{D5CDD505-2E9C-101B-9397-08002B2CF9AE}" pid="30" name="APRAEntityAdviceSupport">
    <vt:lpwstr/>
  </property>
  <property fmtid="{D5CDD505-2E9C-101B-9397-08002B2CF9AE}" pid="31" name="APRALegislation">
    <vt:lpwstr/>
  </property>
  <property fmtid="{D5CDD505-2E9C-101B-9397-08002B2CF9AE}" pid="32" name="APRAExternalOrganisation">
    <vt:lpwstr/>
  </property>
  <property fmtid="{D5CDD505-2E9C-101B-9397-08002B2CF9AE}" pid="33" name="APRAIRTR">
    <vt:lpwstr/>
  </property>
  <property fmtid="{D5CDD505-2E9C-101B-9397-08002B2CF9AE}" pid="34" name="RecordPoint_WorkflowType">
    <vt:lpwstr>ActiveSubmitStub</vt:lpwstr>
  </property>
  <property fmtid="{D5CDD505-2E9C-101B-9397-08002B2CF9AE}" pid="35" name="RecordPoint_ActiveItemWebId">
    <vt:lpwstr>{6cf21f76-089f-49aa-b976-a2f63c0fa512}</vt:lpwstr>
  </property>
  <property fmtid="{D5CDD505-2E9C-101B-9397-08002B2CF9AE}" pid="36" name="RecordPoint_ActiveItemSiteId">
    <vt:lpwstr>{673c3c09-c2de-4447-b34a-12048cb74e15}</vt:lpwstr>
  </property>
  <property fmtid="{D5CDD505-2E9C-101B-9397-08002B2CF9AE}" pid="37" name="RecordPoint_ActiveItemListId">
    <vt:lpwstr>{54723745-d72c-4003-be6c-0dd489a7c0f4}</vt:lpwstr>
  </property>
  <property fmtid="{D5CDD505-2E9C-101B-9397-08002B2CF9AE}" pid="38" name="RecordPoint_ActiveItemUniqueId">
    <vt:lpwstr>{e4ebb58c-6962-4dc9-a400-39b53062d8e0}</vt:lpwstr>
  </property>
  <property fmtid="{D5CDD505-2E9C-101B-9397-08002B2CF9AE}" pid="39" name="RecordPoint_RecordNumberSubmitted">
    <vt:lpwstr>R0001154382</vt:lpwstr>
  </property>
  <property fmtid="{D5CDD505-2E9C-101B-9397-08002B2CF9AE}" pid="40" name="RecordPoint_SubmissionDate">
    <vt:lpwstr/>
  </property>
  <property fmtid="{D5CDD505-2E9C-101B-9397-08002B2CF9AE}" pid="41" name="RecordPoint_ActiveItemMoved">
    <vt:lpwstr/>
  </property>
  <property fmtid="{D5CDD505-2E9C-101B-9397-08002B2CF9AE}" pid="42" name="RecordPoint_RecordFormat">
    <vt:lpwstr/>
  </property>
  <property fmtid="{D5CDD505-2E9C-101B-9397-08002B2CF9AE}" pid="43" name="PM_SecurityClassification_Prev">
    <vt:lpwstr>UNCLASSIFIED</vt:lpwstr>
  </property>
  <property fmtid="{D5CDD505-2E9C-101B-9397-08002B2CF9AE}" pid="44" name="PM_Qualifier_Prev">
    <vt:lpwstr/>
  </property>
  <property fmtid="{D5CDD505-2E9C-101B-9397-08002B2CF9AE}" pid="45" name="PM_Note">
    <vt:lpwstr/>
  </property>
  <property fmtid="{D5CDD505-2E9C-101B-9397-08002B2CF9AE}" pid="46" name="PM_Markers">
    <vt:lpwstr/>
  </property>
  <property fmtid="{D5CDD505-2E9C-101B-9397-08002B2CF9AE}" pid="47" name="PM_Hash_SHA1">
    <vt:lpwstr>5C79BA29D22CC0F7CCF71175A20FDE1301AFC18A</vt:lpwstr>
  </property>
  <property fmtid="{D5CDD505-2E9C-101B-9397-08002B2CF9AE}" pid="48" name="PM_OriginationTimeStamp">
    <vt:lpwstr>2020-09-07T07:52:18Z</vt:lpwstr>
  </property>
  <property fmtid="{D5CDD505-2E9C-101B-9397-08002B2CF9AE}" pid="49" name="PM_Hash_Salt_Prev">
    <vt:lpwstr>6E5CAAF60D510C3BB823C95ECEB8D82C</vt:lpwstr>
  </property>
  <property fmtid="{D5CDD505-2E9C-101B-9397-08002B2CF9AE}" pid="50" name="PM_Hash_Salt">
    <vt:lpwstr>376EC925D97ACD24F32F853927EA7FA5</vt:lpwstr>
  </property>
  <property fmtid="{D5CDD505-2E9C-101B-9397-08002B2CF9AE}" pid="51" name="RecordPoint_SubmissionCompleted">
    <vt:lpwstr>2020-09-07T13:21:16.4228803+10:00</vt:lpwstr>
  </property>
</Properties>
</file>