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2BF74" w14:textId="280CD567" w:rsidR="00CF6088" w:rsidRDefault="00CF6088" w:rsidP="00CF6088">
      <w:pPr>
        <w:pStyle w:val="Heading"/>
        <w:tabs>
          <w:tab w:val="left" w:pos="360"/>
        </w:tabs>
        <w:spacing w:before="120"/>
        <w:jc w:val="center"/>
        <w:rPr>
          <w:rFonts w:ascii="Times New Roman" w:hAnsi="Times New Roman"/>
          <w:b/>
          <w:sz w:val="24"/>
        </w:rPr>
      </w:pPr>
      <w:bookmarkStart w:id="0" w:name="_GoBack"/>
      <w:bookmarkEnd w:id="0"/>
      <w:r w:rsidRPr="007E4C14">
        <w:rPr>
          <w:rFonts w:ascii="Times New Roman" w:hAnsi="Times New Roman"/>
          <w:b/>
          <w:sz w:val="24"/>
        </w:rPr>
        <w:t xml:space="preserve">Australian Prudential </w:t>
      </w:r>
      <w:r w:rsidRPr="00AA19F3">
        <w:rPr>
          <w:rFonts w:ascii="Times New Roman" w:hAnsi="Times New Roman"/>
          <w:b/>
          <w:sz w:val="24"/>
        </w:rPr>
        <w:t>Regulation Authority (conf</w:t>
      </w:r>
      <w:r w:rsidR="009769BC">
        <w:rPr>
          <w:rFonts w:ascii="Times New Roman" w:hAnsi="Times New Roman"/>
          <w:b/>
          <w:sz w:val="24"/>
        </w:rPr>
        <w:t>identiality) determination No.</w:t>
      </w:r>
      <w:r w:rsidR="003F473E">
        <w:rPr>
          <w:rFonts w:ascii="Times New Roman" w:hAnsi="Times New Roman"/>
          <w:b/>
          <w:sz w:val="24"/>
        </w:rPr>
        <w:t> </w:t>
      </w:r>
      <w:r w:rsidR="003B5389">
        <w:rPr>
          <w:rFonts w:ascii="Times New Roman" w:hAnsi="Times New Roman"/>
          <w:b/>
          <w:sz w:val="24"/>
        </w:rPr>
        <w:t xml:space="preserve">2 </w:t>
      </w:r>
      <w:r w:rsidRPr="003F473E">
        <w:rPr>
          <w:rFonts w:ascii="Times New Roman" w:hAnsi="Times New Roman"/>
          <w:b/>
          <w:sz w:val="24"/>
        </w:rPr>
        <w:t>of 20</w:t>
      </w:r>
      <w:bookmarkStart w:id="1" w:name="bkInstrumentSubTitle"/>
      <w:bookmarkStart w:id="2" w:name="bkStart"/>
      <w:bookmarkEnd w:id="1"/>
      <w:bookmarkEnd w:id="2"/>
      <w:r w:rsidR="009769BC" w:rsidRPr="003F473E">
        <w:rPr>
          <w:rFonts w:ascii="Times New Roman" w:hAnsi="Times New Roman"/>
          <w:b/>
          <w:sz w:val="24"/>
        </w:rPr>
        <w:t>20</w:t>
      </w:r>
    </w:p>
    <w:p w14:paraId="67C783C7" w14:textId="77777777" w:rsidR="00CF6088" w:rsidRDefault="00CF6088" w:rsidP="003F473E">
      <w:pPr>
        <w:pStyle w:val="Heading"/>
        <w:tabs>
          <w:tab w:val="left" w:pos="360"/>
        </w:tabs>
        <w:spacing w:before="120" w:after="240"/>
        <w:jc w:val="center"/>
        <w:rPr>
          <w:rFonts w:ascii="Times New Roman" w:hAnsi="Times New Roman"/>
          <w:b/>
          <w:sz w:val="24"/>
        </w:rPr>
      </w:pPr>
      <w:r w:rsidRPr="003F133A">
        <w:rPr>
          <w:rFonts w:ascii="Times New Roman" w:hAnsi="Times New Roman"/>
          <w:b/>
          <w:sz w:val="24"/>
        </w:rPr>
        <w:t xml:space="preserve">Information provided by </w:t>
      </w:r>
      <w:r w:rsidR="009769BC">
        <w:rPr>
          <w:rFonts w:ascii="Times New Roman" w:hAnsi="Times New Roman"/>
          <w:b/>
          <w:sz w:val="24"/>
        </w:rPr>
        <w:t>authorised deposit-taking institutions</w:t>
      </w:r>
      <w:r w:rsidRPr="003F133A">
        <w:rPr>
          <w:rFonts w:ascii="Times New Roman" w:hAnsi="Times New Roman"/>
          <w:b/>
          <w:sz w:val="24"/>
        </w:rPr>
        <w:t xml:space="preserve"> under Reporting Standard </w:t>
      </w:r>
      <w:r w:rsidR="009769BC">
        <w:rPr>
          <w:rFonts w:ascii="Times New Roman" w:hAnsi="Times New Roman"/>
          <w:b/>
          <w:sz w:val="24"/>
        </w:rPr>
        <w:t>ARS</w:t>
      </w:r>
      <w:r w:rsidR="003F473E">
        <w:rPr>
          <w:rFonts w:ascii="Times New Roman" w:hAnsi="Times New Roman"/>
          <w:b/>
          <w:sz w:val="24"/>
        </w:rPr>
        <w:t> </w:t>
      </w:r>
      <w:r w:rsidR="009769BC">
        <w:rPr>
          <w:rFonts w:ascii="Times New Roman" w:hAnsi="Times New Roman"/>
          <w:b/>
          <w:sz w:val="24"/>
        </w:rPr>
        <w:t>923.2</w:t>
      </w:r>
      <w:r>
        <w:rPr>
          <w:rFonts w:ascii="Times New Roman" w:hAnsi="Times New Roman"/>
          <w:b/>
          <w:sz w:val="24"/>
        </w:rPr>
        <w:t xml:space="preserve"> </w:t>
      </w:r>
      <w:r w:rsidR="009769BC">
        <w:rPr>
          <w:rFonts w:ascii="Times New Roman" w:hAnsi="Times New Roman"/>
          <w:b/>
          <w:sz w:val="24"/>
        </w:rPr>
        <w:t>Reporting Deferrals</w:t>
      </w:r>
    </w:p>
    <w:p w14:paraId="6C1763CC" w14:textId="77777777" w:rsidR="00CF6088" w:rsidRPr="00BD0C19" w:rsidRDefault="00CF6088" w:rsidP="003F473E">
      <w:pPr>
        <w:pStyle w:val="Heading"/>
        <w:tabs>
          <w:tab w:val="left" w:pos="360"/>
        </w:tabs>
        <w:spacing w:before="120" w:after="120"/>
        <w:jc w:val="center"/>
        <w:rPr>
          <w:rFonts w:ascii="Times New Roman" w:hAnsi="Times New Roman"/>
          <w:b/>
          <w:sz w:val="24"/>
          <w:u w:val="single"/>
        </w:rPr>
      </w:pPr>
      <w:r w:rsidRPr="00BD0C19">
        <w:rPr>
          <w:rFonts w:ascii="Times New Roman" w:hAnsi="Times New Roman"/>
          <w:b/>
          <w:sz w:val="24"/>
          <w:u w:val="single"/>
        </w:rPr>
        <w:t>EXPLANATORY STATEMENT</w:t>
      </w:r>
    </w:p>
    <w:p w14:paraId="585C88A3" w14:textId="77777777" w:rsidR="00CF6088" w:rsidRPr="00BD0C19" w:rsidRDefault="00CF6088" w:rsidP="00CF6088">
      <w:pPr>
        <w:pStyle w:val="Heading"/>
        <w:spacing w:before="120"/>
        <w:jc w:val="center"/>
        <w:rPr>
          <w:rFonts w:ascii="Times New Roman" w:hAnsi="Times New Roman"/>
          <w:b/>
          <w:sz w:val="24"/>
        </w:rPr>
      </w:pPr>
      <w:r w:rsidRPr="00BD0C19">
        <w:rPr>
          <w:rFonts w:ascii="Times New Roman" w:hAnsi="Times New Roman"/>
          <w:b/>
          <w:sz w:val="24"/>
        </w:rPr>
        <w:t>Prepared by the Australian Prudential Regulation Authority (APRA)</w:t>
      </w:r>
    </w:p>
    <w:p w14:paraId="70F2B50C" w14:textId="77777777" w:rsidR="00CF6088" w:rsidRPr="003F473E" w:rsidRDefault="00CF6088" w:rsidP="003F473E">
      <w:pPr>
        <w:widowControl w:val="0"/>
        <w:spacing w:before="120" w:after="240"/>
        <w:jc w:val="center"/>
      </w:pPr>
      <w:r w:rsidRPr="00D45D23">
        <w:rPr>
          <w:i/>
        </w:rPr>
        <w:t>Australian Prudential Regulation Authority A</w:t>
      </w:r>
      <w:r>
        <w:rPr>
          <w:i/>
        </w:rPr>
        <w:t>ct</w:t>
      </w:r>
      <w:r w:rsidRPr="00D45D23">
        <w:rPr>
          <w:i/>
        </w:rPr>
        <w:t xml:space="preserve"> 1998, </w:t>
      </w:r>
      <w:r w:rsidRPr="003F473E">
        <w:t>s</w:t>
      </w:r>
      <w:r w:rsidR="003F473E" w:rsidRPr="003F473E">
        <w:t>ection</w:t>
      </w:r>
      <w:r w:rsidRPr="003F473E">
        <w:t xml:space="preserve"> 57</w:t>
      </w:r>
      <w:bookmarkStart w:id="3" w:name="bkAct"/>
      <w:bookmarkStart w:id="4" w:name="bkExplanatory"/>
      <w:bookmarkEnd w:id="3"/>
      <w:bookmarkEnd w:id="4"/>
    </w:p>
    <w:p w14:paraId="2A18736A" w14:textId="77777777" w:rsidR="00CF6088" w:rsidRPr="00DC29D0" w:rsidRDefault="00CF6088" w:rsidP="00CF6088">
      <w:pPr>
        <w:widowControl w:val="0"/>
        <w:spacing w:before="120" w:after="60"/>
        <w:jc w:val="both"/>
      </w:pPr>
      <w:r w:rsidRPr="007E4C14">
        <w:t xml:space="preserve">Under </w:t>
      </w:r>
      <w:r>
        <w:t xml:space="preserve">section </w:t>
      </w:r>
      <w:r w:rsidRPr="007E4C14">
        <w:t>57</w:t>
      </w:r>
      <w:r>
        <w:t xml:space="preserve"> </w:t>
      </w:r>
      <w:r w:rsidRPr="007E4C14">
        <w:t xml:space="preserve">of the </w:t>
      </w:r>
      <w:r w:rsidRPr="003E4293">
        <w:rPr>
          <w:i/>
        </w:rPr>
        <w:t>Australian Prudential Regulation Authority Act 1998</w:t>
      </w:r>
      <w:r w:rsidRPr="007E4C14">
        <w:t xml:space="preserve"> (the Act), APRA may determine, by legislative instrument, that all or a specified part of </w:t>
      </w:r>
      <w:r w:rsidR="00D85630">
        <w:t>a relevant reporting document</w:t>
      </w:r>
      <w:r w:rsidRPr="007E4C14">
        <w:t xml:space="preserve"> contain</w:t>
      </w:r>
      <w:r w:rsidR="00D85630">
        <w:t>s</w:t>
      </w:r>
      <w:r w:rsidRPr="007E4C14">
        <w:t>, or do</w:t>
      </w:r>
      <w:r w:rsidR="00D85630">
        <w:t>es</w:t>
      </w:r>
      <w:r w:rsidRPr="007E4C14">
        <w:t xml:space="preserve"> not contain, </w:t>
      </w:r>
      <w:r w:rsidRPr="00F84391">
        <w:t xml:space="preserve">confidential </w:t>
      </w:r>
      <w:r w:rsidRPr="00DC29D0">
        <w:t>information.</w:t>
      </w:r>
    </w:p>
    <w:p w14:paraId="07106C46" w14:textId="008FCDCD" w:rsidR="00CF6088" w:rsidRPr="007E4C14" w:rsidRDefault="009769BC" w:rsidP="00CF6088">
      <w:pPr>
        <w:widowControl w:val="0"/>
        <w:spacing w:before="120" w:after="60"/>
        <w:jc w:val="both"/>
      </w:pPr>
      <w:r>
        <w:t xml:space="preserve">On </w:t>
      </w:r>
      <w:r w:rsidR="00F601A9">
        <w:t xml:space="preserve">7 </w:t>
      </w:r>
      <w:r w:rsidRPr="003F473E">
        <w:t>September</w:t>
      </w:r>
      <w:r w:rsidR="00CF6088" w:rsidRPr="003F473E">
        <w:t xml:space="preserve"> 20</w:t>
      </w:r>
      <w:r w:rsidRPr="003F473E">
        <w:t>20</w:t>
      </w:r>
      <w:r w:rsidR="00CF6088" w:rsidRPr="00DC29D0">
        <w:t>, APRA made Australian Prudential Regulation Authority (conf</w:t>
      </w:r>
      <w:r w:rsidR="002C3AFA">
        <w:t xml:space="preserve">identiality) </w:t>
      </w:r>
      <w:r w:rsidR="002C3AFA" w:rsidRPr="003B5389">
        <w:t xml:space="preserve">determination No. </w:t>
      </w:r>
      <w:r w:rsidR="003B5389" w:rsidRPr="003B5389">
        <w:t>2</w:t>
      </w:r>
      <w:r w:rsidR="00CF6088" w:rsidRPr="003B5389">
        <w:t xml:space="preserve"> of</w:t>
      </w:r>
      <w:r w:rsidR="00CF6088" w:rsidRPr="003F473E">
        <w:t xml:space="preserve"> 20</w:t>
      </w:r>
      <w:r w:rsidR="002C3AFA" w:rsidRPr="003F473E">
        <w:t>20</w:t>
      </w:r>
      <w:r w:rsidR="00CF6088" w:rsidRPr="00DC29D0">
        <w:t xml:space="preserve"> (the instrument) which determines that the reporting standard listed</w:t>
      </w:r>
      <w:r w:rsidR="00CF6088" w:rsidRPr="00AA19F3">
        <w:t xml:space="preserve"> in the instrument</w:t>
      </w:r>
      <w:r w:rsidR="00CF6088" w:rsidRPr="00F84391">
        <w:t xml:space="preserve"> (namely </w:t>
      </w:r>
      <w:r w:rsidR="00F06DAA" w:rsidRPr="00F06DAA">
        <w:rPr>
          <w:i/>
        </w:rPr>
        <w:t xml:space="preserve">Reporting Standard </w:t>
      </w:r>
      <w:r w:rsidR="0097628C" w:rsidRPr="00F06DAA">
        <w:rPr>
          <w:i/>
        </w:rPr>
        <w:t>ARS</w:t>
      </w:r>
      <w:r w:rsidR="003F473E">
        <w:rPr>
          <w:i/>
        </w:rPr>
        <w:t> </w:t>
      </w:r>
      <w:r w:rsidR="0097628C" w:rsidRPr="00F06DAA">
        <w:rPr>
          <w:i/>
        </w:rPr>
        <w:t>923.2</w:t>
      </w:r>
      <w:r w:rsidR="00F06DAA" w:rsidRPr="00F06DAA">
        <w:rPr>
          <w:i/>
        </w:rPr>
        <w:t xml:space="preserve"> Reporting Deferrals</w:t>
      </w:r>
      <w:r w:rsidR="00F06DAA">
        <w:t xml:space="preserve"> (ARS</w:t>
      </w:r>
      <w:r w:rsidR="003F473E">
        <w:t> </w:t>
      </w:r>
      <w:r w:rsidR="00F06DAA">
        <w:t>923.2)</w:t>
      </w:r>
      <w:r w:rsidR="00CF6088">
        <w:t>)</w:t>
      </w:r>
      <w:r w:rsidR="00CF6088" w:rsidRPr="007E4C14">
        <w:t xml:space="preserve"> do</w:t>
      </w:r>
      <w:r w:rsidR="00CF6088">
        <w:t>es</w:t>
      </w:r>
      <w:r w:rsidR="00CF6088" w:rsidRPr="007E4C14">
        <w:t xml:space="preserve"> not contain confidential information.</w:t>
      </w:r>
    </w:p>
    <w:p w14:paraId="1C1666D7" w14:textId="77777777" w:rsidR="00CF6088" w:rsidRDefault="00CF6088" w:rsidP="00CF6088">
      <w:pPr>
        <w:widowControl w:val="0"/>
        <w:spacing w:before="120" w:after="60"/>
        <w:jc w:val="both"/>
      </w:pPr>
      <w:r w:rsidRPr="007E4C14">
        <w:t>The instrument commences on the date of registration on the Federal Register of Legislat</w:t>
      </w:r>
      <w:r>
        <w:t>ion</w:t>
      </w:r>
      <w:r w:rsidRPr="007E4C14">
        <w:t>.</w:t>
      </w:r>
    </w:p>
    <w:p w14:paraId="2273FC6E" w14:textId="77777777" w:rsidR="00CF6088" w:rsidRPr="00BD0C19" w:rsidRDefault="00CF6088" w:rsidP="00CF6088">
      <w:pPr>
        <w:pStyle w:val="Heading"/>
        <w:numPr>
          <w:ilvl w:val="0"/>
          <w:numId w:val="11"/>
        </w:numPr>
        <w:spacing w:before="240" w:after="60"/>
        <w:jc w:val="both"/>
        <w:outlineLvl w:val="0"/>
        <w:rPr>
          <w:rFonts w:ascii="Times New Roman" w:hAnsi="Times New Roman"/>
          <w:b/>
          <w:sz w:val="24"/>
        </w:rPr>
      </w:pPr>
      <w:r w:rsidRPr="00BD0C19">
        <w:rPr>
          <w:rFonts w:ascii="Times New Roman" w:hAnsi="Times New Roman"/>
          <w:b/>
          <w:sz w:val="24"/>
        </w:rPr>
        <w:t>Background</w:t>
      </w:r>
    </w:p>
    <w:p w14:paraId="56A7D5E3" w14:textId="77777777" w:rsidR="00CF6088" w:rsidRPr="007E4C14" w:rsidRDefault="00CF6088" w:rsidP="00CF6088">
      <w:pPr>
        <w:widowControl w:val="0"/>
        <w:spacing w:before="120" w:after="60"/>
        <w:jc w:val="both"/>
      </w:pPr>
      <w:bookmarkStart w:id="5" w:name="bkBackground"/>
      <w:bookmarkEnd w:id="5"/>
      <w:r w:rsidRPr="007E4C14">
        <w:t>Subsection 56(2) of the Act provides that it is an offence to d</w:t>
      </w:r>
      <w:r>
        <w:t>isclose “protected information”</w:t>
      </w:r>
      <w:r>
        <w:rPr>
          <w:rStyle w:val="FootnoteReference"/>
        </w:rPr>
        <w:footnoteReference w:id="2"/>
      </w:r>
      <w:r>
        <w:t xml:space="preserve"> or a “protected document”</w:t>
      </w:r>
      <w:r>
        <w:rPr>
          <w:rStyle w:val="FootnoteReference"/>
        </w:rPr>
        <w:footnoteReference w:id="3"/>
      </w:r>
      <w:r w:rsidR="009E3760">
        <w:t>, which includes</w:t>
      </w:r>
      <w:r w:rsidRPr="007E4C14">
        <w:t xml:space="preserve"> information or documents provided to APRA under a “prudential supervision framework law”</w:t>
      </w:r>
      <w:r>
        <w:rPr>
          <w:rStyle w:val="FootnoteReference"/>
        </w:rPr>
        <w:footnoteReference w:id="4"/>
      </w:r>
      <w:r w:rsidRPr="007E4C14">
        <w:t xml:space="preserve">. The </w:t>
      </w:r>
      <w:r w:rsidRPr="007E4C14">
        <w:rPr>
          <w:i/>
        </w:rPr>
        <w:t>Financial Sector (Collection of Data) Act 2001</w:t>
      </w:r>
      <w:r w:rsidRPr="00AA19F3">
        <w:t xml:space="preserve"> </w:t>
      </w:r>
      <w:r w:rsidRPr="007E4C14">
        <w:t xml:space="preserve">(FSCOD Act) is a prudential supervision framework law, and the </w:t>
      </w:r>
      <w:r>
        <w:t xml:space="preserve">reporting standards </w:t>
      </w:r>
      <w:r w:rsidRPr="007E4C14">
        <w:t>listed in the instrument, having been provided to APRA under that Act, are protected documents.</w:t>
      </w:r>
    </w:p>
    <w:p w14:paraId="7FC53BB4" w14:textId="77777777" w:rsidR="00CF6088" w:rsidRPr="007E4C14" w:rsidRDefault="00CF6088" w:rsidP="00CF6088">
      <w:pPr>
        <w:widowControl w:val="0"/>
        <w:spacing w:before="120" w:after="60"/>
        <w:jc w:val="both"/>
      </w:pPr>
      <w:r w:rsidRPr="007E4C14">
        <w:t>Subsection 56(5C) of the Act provides that it is not an offence to disclose information in a reporting document given to APRA under section 13 of the FSCOD Act where APRA has made a determination under section 57 of the Act in relation to the information.</w:t>
      </w:r>
    </w:p>
    <w:p w14:paraId="4C906B37" w14:textId="77777777" w:rsidR="00CF6088" w:rsidRPr="007E4C14" w:rsidRDefault="00CF6088" w:rsidP="00CF6088">
      <w:pPr>
        <w:widowControl w:val="0"/>
        <w:spacing w:before="120" w:after="60"/>
        <w:jc w:val="both"/>
      </w:pPr>
      <w:r w:rsidRPr="007E4C14">
        <w:t>Under subsections 57(2) and (4) of the Act APRA may, by legislative instrument, determine that:</w:t>
      </w:r>
    </w:p>
    <w:p w14:paraId="5B6DFC83" w14:textId="77777777" w:rsidR="00CF6088" w:rsidRPr="007E4C14" w:rsidRDefault="00CF6088" w:rsidP="00CF6088">
      <w:pPr>
        <w:pStyle w:val="ListParagraph"/>
        <w:widowControl w:val="0"/>
        <w:numPr>
          <w:ilvl w:val="0"/>
          <w:numId w:val="12"/>
        </w:numPr>
        <w:spacing w:before="120" w:after="60"/>
        <w:contextualSpacing/>
        <w:jc w:val="both"/>
        <w:rPr>
          <w:rFonts w:ascii="Times New Roman" w:hAnsi="Times New Roman"/>
          <w:sz w:val="24"/>
        </w:rPr>
      </w:pPr>
      <w:r w:rsidRPr="007E4C14">
        <w:rPr>
          <w:rFonts w:ascii="Times New Roman" w:hAnsi="Times New Roman"/>
          <w:sz w:val="24"/>
        </w:rPr>
        <w:t>all or a specified part of a relevant reporting document does not contain confidential information; or</w:t>
      </w:r>
    </w:p>
    <w:p w14:paraId="257D1E22" w14:textId="77777777" w:rsidR="00CF6088" w:rsidRPr="007E4C14" w:rsidRDefault="00CF6088" w:rsidP="00CF6088">
      <w:pPr>
        <w:pStyle w:val="ListParagraph"/>
        <w:widowControl w:val="0"/>
        <w:numPr>
          <w:ilvl w:val="0"/>
          <w:numId w:val="12"/>
        </w:numPr>
        <w:spacing w:before="120" w:after="60"/>
        <w:contextualSpacing/>
        <w:jc w:val="both"/>
        <w:rPr>
          <w:rFonts w:ascii="Times New Roman" w:hAnsi="Times New Roman"/>
          <w:sz w:val="24"/>
        </w:rPr>
      </w:pPr>
      <w:r w:rsidRPr="007E4C14">
        <w:rPr>
          <w:rFonts w:ascii="Times New Roman" w:hAnsi="Times New Roman"/>
          <w:sz w:val="24"/>
        </w:rPr>
        <w:t>all or a specified part of relevant reporting documents of a specified kind do not contain confidential information,</w:t>
      </w:r>
    </w:p>
    <w:p w14:paraId="4BF9D172" w14:textId="77777777" w:rsidR="00CF6088" w:rsidRDefault="00CF6088" w:rsidP="00CF6088">
      <w:pPr>
        <w:widowControl w:val="0"/>
        <w:spacing w:before="120" w:after="60"/>
        <w:jc w:val="both"/>
      </w:pPr>
      <w:r w:rsidRPr="007E4C14">
        <w:t xml:space="preserve">if, taking into account any representations made under subsection 57(3) in relation to the document or documents of that kind, APRA considers that the benefit to the public from the disclosure of the document or documents, or information contained in the </w:t>
      </w:r>
      <w:r w:rsidRPr="007E4C14">
        <w:lastRenderedPageBreak/>
        <w:t>document or documents, outweighs any detriment to commercial interests that the disclosure may cause.</w:t>
      </w:r>
    </w:p>
    <w:p w14:paraId="49E4ED1D" w14:textId="77777777" w:rsidR="00CF6088" w:rsidRPr="007E4C14" w:rsidRDefault="00CF6088" w:rsidP="00CF6088">
      <w:pPr>
        <w:widowControl w:val="0"/>
        <w:spacing w:before="120" w:after="60"/>
        <w:jc w:val="both"/>
      </w:pPr>
      <w:r w:rsidRPr="007E4C14">
        <w:t>Under subsection 57(3) of the Act, APRA must not make a determination under subsection 57(2) unless APRA gives interested parties for the determination a reasonable opportunity to make representations as to whether or not the relevant reporting document contains, or relevant reporting documents of that kind contain, confidential information.</w:t>
      </w:r>
    </w:p>
    <w:p w14:paraId="6E693E2F" w14:textId="77777777" w:rsidR="00CF6088" w:rsidRDefault="00CF6088" w:rsidP="00CF6088">
      <w:pPr>
        <w:widowControl w:val="0"/>
        <w:spacing w:before="120" w:after="60"/>
        <w:jc w:val="both"/>
      </w:pPr>
      <w:r w:rsidRPr="007E4C14">
        <w:t>The consultation undertaken by APRA for the purposes of subsection 57(3) is discussed below.</w:t>
      </w:r>
    </w:p>
    <w:p w14:paraId="56838A4F" w14:textId="77777777" w:rsidR="00CF6088" w:rsidRDefault="00CF6088" w:rsidP="00CF6088">
      <w:pPr>
        <w:pStyle w:val="Heading"/>
        <w:numPr>
          <w:ilvl w:val="0"/>
          <w:numId w:val="11"/>
        </w:numPr>
        <w:spacing w:before="240" w:after="60"/>
        <w:jc w:val="both"/>
        <w:outlineLvl w:val="0"/>
        <w:rPr>
          <w:rFonts w:ascii="Times New Roman" w:hAnsi="Times New Roman"/>
          <w:b/>
          <w:sz w:val="24"/>
        </w:rPr>
      </w:pPr>
      <w:r w:rsidRPr="00BD0C19">
        <w:rPr>
          <w:rFonts w:ascii="Times New Roman" w:hAnsi="Times New Roman"/>
          <w:b/>
          <w:sz w:val="24"/>
        </w:rPr>
        <w:t>Purpose of the instrument</w:t>
      </w:r>
    </w:p>
    <w:p w14:paraId="0F5DCEA5" w14:textId="0101D6F0" w:rsidR="00544AA3" w:rsidRDefault="005B30D5" w:rsidP="00CF6088">
      <w:pPr>
        <w:widowControl w:val="0"/>
        <w:spacing w:before="120" w:after="60"/>
        <w:jc w:val="both"/>
      </w:pPr>
      <w:r>
        <w:t>The instrument</w:t>
      </w:r>
      <w:r w:rsidR="00CF6088" w:rsidRPr="004026EC">
        <w:t xml:space="preserve"> provides that information given to A</w:t>
      </w:r>
      <w:r w:rsidR="00EA1823">
        <w:t>PRA under</w:t>
      </w:r>
      <w:r w:rsidR="00CF6088" w:rsidRPr="004026EC">
        <w:t xml:space="preserve"> </w:t>
      </w:r>
      <w:r w:rsidR="00185516">
        <w:t>ARS</w:t>
      </w:r>
      <w:r w:rsidR="00796ECC">
        <w:t> </w:t>
      </w:r>
      <w:r w:rsidR="00185516">
        <w:t>923</w:t>
      </w:r>
      <w:r w:rsidR="00CF6088">
        <w:t>.</w:t>
      </w:r>
      <w:r w:rsidR="00185516">
        <w:t>2</w:t>
      </w:r>
      <w:r w:rsidR="00CF6088" w:rsidRPr="007E4C14">
        <w:t xml:space="preserve"> </w:t>
      </w:r>
      <w:r w:rsidR="00CF6088" w:rsidRPr="004026EC">
        <w:t>is non-confidential</w:t>
      </w:r>
      <w:r w:rsidR="00CF6088">
        <w:t xml:space="preserve">. As a result, the information will be disclosed </w:t>
      </w:r>
      <w:r w:rsidR="00CF6088" w:rsidRPr="004026EC">
        <w:t>by APRA under subsection 56(5C) of the Act. The information</w:t>
      </w:r>
      <w:r w:rsidR="00544AA3">
        <w:t xml:space="preserve"> will provide</w:t>
      </w:r>
      <w:r w:rsidR="00EE1F6E">
        <w:t xml:space="preserve"> the public</w:t>
      </w:r>
      <w:r w:rsidR="008D30C5">
        <w:t xml:space="preserve"> </w:t>
      </w:r>
      <w:r w:rsidR="00160049">
        <w:t xml:space="preserve">with </w:t>
      </w:r>
      <w:r w:rsidR="008D30C5">
        <w:t xml:space="preserve">a better understanding of </w:t>
      </w:r>
      <w:r w:rsidR="00AA6031">
        <w:t xml:space="preserve">exposures by </w:t>
      </w:r>
      <w:r w:rsidR="008D30C5">
        <w:t>authorised deposit-taking institutions</w:t>
      </w:r>
      <w:r w:rsidR="00AA6031">
        <w:t xml:space="preserve"> (ADIs)</w:t>
      </w:r>
      <w:r w:rsidR="008D30C5">
        <w:t xml:space="preserve"> to loans </w:t>
      </w:r>
      <w:r w:rsidR="00A52C38">
        <w:t xml:space="preserve">subject to repayment deferrals, or otherwise restructured, due to COVID-19 and the resulting impact on an </w:t>
      </w:r>
      <w:r w:rsidR="00AA6031">
        <w:t>ADI’s</w:t>
      </w:r>
      <w:r w:rsidR="00A52C38">
        <w:t xml:space="preserve"> risk profile.</w:t>
      </w:r>
      <w:r w:rsidR="008D30C5">
        <w:t xml:space="preserve"> </w:t>
      </w:r>
      <w:r w:rsidR="00A45195">
        <w:t>Pu</w:t>
      </w:r>
      <w:r w:rsidR="00544AA3">
        <w:t>blic transparency regarding the extent and nature of loans granted repayment deferrals, or that have otherwise been restructured</w:t>
      </w:r>
      <w:r w:rsidR="00EE1F6E">
        <w:t>,</w:t>
      </w:r>
      <w:r w:rsidR="00A45195">
        <w:t xml:space="preserve"> is important to investor and community confidence in the banking system.</w:t>
      </w:r>
      <w:r w:rsidR="00544AA3">
        <w:t xml:space="preserve"> </w:t>
      </w:r>
      <w:r w:rsidR="00A45195">
        <w:t xml:space="preserve">The importance of public transparency </w:t>
      </w:r>
      <w:r w:rsidR="00544AA3">
        <w:t>was highlighted in APRA’s letter</w:t>
      </w:r>
      <w:r>
        <w:t>s</w:t>
      </w:r>
      <w:r w:rsidR="00A45195">
        <w:t>,</w:t>
      </w:r>
      <w:r w:rsidR="00A45195" w:rsidRPr="00A45195">
        <w:t xml:space="preserve"> </w:t>
      </w:r>
      <w:r w:rsidR="00A45195">
        <w:t>of 9 July 2020</w:t>
      </w:r>
      <w:r w:rsidR="00796ECC">
        <w:t xml:space="preserve"> and</w:t>
      </w:r>
      <w:r w:rsidR="00A45195">
        <w:t xml:space="preserve"> 13 August 2020,</w:t>
      </w:r>
      <w:r w:rsidR="00544AA3">
        <w:t xml:space="preserve"> to </w:t>
      </w:r>
      <w:r w:rsidR="00AA6031">
        <w:t>ADIs</w:t>
      </w:r>
      <w:r w:rsidR="008D30C5">
        <w:t xml:space="preserve"> </w:t>
      </w:r>
      <w:r w:rsidR="00A45195">
        <w:t xml:space="preserve">on APRA’s temporary </w:t>
      </w:r>
      <w:r>
        <w:t>capital treatment of loans</w:t>
      </w:r>
      <w:r w:rsidR="00A45195">
        <w:t xml:space="preserve"> impacted by COVID-19</w:t>
      </w:r>
      <w:r w:rsidR="008D30C5">
        <w:t>.</w:t>
      </w:r>
      <w:r w:rsidR="00EE1F6E">
        <w:t xml:space="preserve"> </w:t>
      </w:r>
    </w:p>
    <w:p w14:paraId="1CCD5088" w14:textId="77777777" w:rsidR="00CF6088" w:rsidRPr="00D45D23" w:rsidRDefault="00CF6088" w:rsidP="00CF6088">
      <w:pPr>
        <w:pStyle w:val="Heading"/>
        <w:numPr>
          <w:ilvl w:val="0"/>
          <w:numId w:val="11"/>
        </w:numPr>
        <w:spacing w:before="240" w:after="60"/>
        <w:jc w:val="both"/>
        <w:outlineLvl w:val="0"/>
        <w:rPr>
          <w:rFonts w:ascii="Times New Roman" w:hAnsi="Times New Roman"/>
          <w:b/>
          <w:sz w:val="24"/>
        </w:rPr>
      </w:pPr>
      <w:bookmarkStart w:id="6" w:name="bkConsultation"/>
      <w:bookmarkEnd w:id="6"/>
      <w:r w:rsidRPr="00363357">
        <w:rPr>
          <w:rFonts w:ascii="Times New Roman" w:hAnsi="Times New Roman"/>
          <w:b/>
          <w:sz w:val="24"/>
        </w:rPr>
        <w:t>Consultation</w:t>
      </w:r>
      <w:bookmarkStart w:id="7" w:name="bkRISNO"/>
      <w:bookmarkEnd w:id="7"/>
    </w:p>
    <w:p w14:paraId="0B973AEA" w14:textId="0F7556D8" w:rsidR="00EA1823" w:rsidRDefault="00004032" w:rsidP="00CF6088">
      <w:pPr>
        <w:widowControl w:val="0"/>
        <w:spacing w:before="120" w:after="60"/>
        <w:jc w:val="both"/>
      </w:pPr>
      <w:r>
        <w:t xml:space="preserve">APRA conducted consultation for the instrument. </w:t>
      </w:r>
      <w:r w:rsidR="00EA1823">
        <w:t xml:space="preserve">APRA commenced consultation in relation to whether </w:t>
      </w:r>
      <w:r w:rsidR="00A45195">
        <w:t xml:space="preserve">information required to be provided under ARS 923.2 should be determined non-confidential by letter to ADIs on </w:t>
      </w:r>
      <w:r w:rsidR="00E73244">
        <w:t>13 August 2020</w:t>
      </w:r>
      <w:r w:rsidR="008F1629">
        <w:t>.</w:t>
      </w:r>
      <w:r w:rsidR="008F1629">
        <w:rPr>
          <w:rStyle w:val="FootnoteReference"/>
        </w:rPr>
        <w:footnoteReference w:id="5"/>
      </w:r>
      <w:r w:rsidR="008F1629">
        <w:t xml:space="preserve"> APRA’s 13 August 2020 letter indicated APRA expects the data collected under ARS</w:t>
      </w:r>
      <w:r w:rsidR="00796ECC">
        <w:t> </w:t>
      </w:r>
      <w:r w:rsidR="008F1629">
        <w:t>923.2 will be non-confidential</w:t>
      </w:r>
      <w:r w:rsidR="00EE1F6E">
        <w:t>,</w:t>
      </w:r>
      <w:r w:rsidR="008F1629">
        <w:t xml:space="preserve"> and APRA intends to collect and publish entity-level data collected under ARS</w:t>
      </w:r>
      <w:r w:rsidR="00796ECC">
        <w:t> </w:t>
      </w:r>
      <w:r w:rsidR="008F1629">
        <w:t>923.2 on COVID-19 impacted loans.</w:t>
      </w:r>
      <w:r w:rsidR="00EE1F6E">
        <w:t xml:space="preserve"> The letter sought feedback on APRA’s approach to publishing entity</w:t>
      </w:r>
      <w:r w:rsidR="00E431F2">
        <w:t>-</w:t>
      </w:r>
      <w:r w:rsidR="00EE1F6E">
        <w:t>level data.</w:t>
      </w:r>
    </w:p>
    <w:p w14:paraId="43BBDDC0" w14:textId="36BDA931" w:rsidR="00EE1F6E" w:rsidRDefault="00CF6088" w:rsidP="00CF6088">
      <w:pPr>
        <w:widowControl w:val="0"/>
        <w:spacing w:before="120" w:after="60"/>
        <w:jc w:val="both"/>
      </w:pPr>
      <w:r w:rsidRPr="005D1373">
        <w:t xml:space="preserve">Submissions </w:t>
      </w:r>
      <w:r w:rsidR="00EE1F6E">
        <w:t xml:space="preserve">in response to APRA’s 13 August 2020 letter </w:t>
      </w:r>
      <w:r w:rsidRPr="005D1373">
        <w:t xml:space="preserve">were generally supportive of </w:t>
      </w:r>
      <w:r w:rsidR="00EE1F6E">
        <w:t>APRA’s objective to provide the public with greater transparency on loans impacted by COVID-19, and no objections were made to APRA’s proposal to make the data collected under ARS</w:t>
      </w:r>
      <w:r w:rsidR="00796ECC">
        <w:t> </w:t>
      </w:r>
      <w:r w:rsidR="00EE1F6E">
        <w:t xml:space="preserve">923.2 non-confidential. </w:t>
      </w:r>
    </w:p>
    <w:p w14:paraId="1936F82D" w14:textId="37488961" w:rsidR="00CF6088" w:rsidRDefault="00CF6088" w:rsidP="00CF6088">
      <w:pPr>
        <w:widowControl w:val="0"/>
        <w:spacing w:before="120" w:after="60"/>
        <w:jc w:val="both"/>
      </w:pPr>
      <w:r w:rsidRPr="005D1373">
        <w:t xml:space="preserve">APRA considers that greater transparency is beneficial for </w:t>
      </w:r>
      <w:r w:rsidR="00713BA3">
        <w:t xml:space="preserve">the industry and broader public. </w:t>
      </w:r>
      <w:r w:rsidR="00280C2C">
        <w:t>In APRA’s view,</w:t>
      </w:r>
      <w:r w:rsidRPr="005D1373">
        <w:t xml:space="preserve"> the benefit to the public from the disclosure would outweigh any potential detriment to the commercial interests that the disclosure might cause. On that basis, APRA has determined all data colle</w:t>
      </w:r>
      <w:r w:rsidR="00EE1F6E">
        <w:t>cted under ARS</w:t>
      </w:r>
      <w:r w:rsidR="003924DA">
        <w:t> </w:t>
      </w:r>
      <w:r w:rsidR="00EE1F6E">
        <w:t>923.2</w:t>
      </w:r>
      <w:r w:rsidRPr="005D1373">
        <w:t xml:space="preserve"> to be non-confidential.</w:t>
      </w:r>
    </w:p>
    <w:p w14:paraId="6CDB9FA0" w14:textId="77777777" w:rsidR="00CF6088" w:rsidRPr="00BD0C19" w:rsidRDefault="00CF6088" w:rsidP="00713BA3">
      <w:pPr>
        <w:pStyle w:val="Heading"/>
        <w:keepNext/>
        <w:numPr>
          <w:ilvl w:val="0"/>
          <w:numId w:val="11"/>
        </w:numPr>
        <w:spacing w:before="240" w:after="60"/>
        <w:jc w:val="both"/>
        <w:outlineLvl w:val="0"/>
        <w:rPr>
          <w:rFonts w:ascii="Times New Roman" w:hAnsi="Times New Roman"/>
          <w:b/>
          <w:sz w:val="24"/>
        </w:rPr>
      </w:pPr>
      <w:r w:rsidRPr="00BD0C19">
        <w:rPr>
          <w:rFonts w:ascii="Times New Roman" w:hAnsi="Times New Roman"/>
          <w:b/>
          <w:sz w:val="24"/>
        </w:rPr>
        <w:lastRenderedPageBreak/>
        <w:t>Statement of compatibility prepared in accordance with Part 3 of the Human Rights (Parliamentary Scrutiny) Act 2011</w:t>
      </w:r>
    </w:p>
    <w:p w14:paraId="4087AFB1" w14:textId="77777777" w:rsidR="00CF6088" w:rsidRPr="00D45D23" w:rsidRDefault="00CF6088" w:rsidP="00CF6088">
      <w:pPr>
        <w:widowControl w:val="0"/>
        <w:spacing w:before="120" w:after="60"/>
        <w:jc w:val="both"/>
      </w:pPr>
      <w:r w:rsidRPr="00BD0C19">
        <w:t xml:space="preserve">A Statement of compatibility prepared in accordance with Part 3 of the </w:t>
      </w:r>
      <w:r w:rsidRPr="00D45D23">
        <w:rPr>
          <w:i/>
        </w:rPr>
        <w:t>Human Rights (Parliamentary Scrutiny) Act 2011</w:t>
      </w:r>
      <w:r w:rsidRPr="00BD0C19">
        <w:t xml:space="preserve"> is provided at Attachment A to this Explanatory Statement.</w:t>
      </w:r>
    </w:p>
    <w:p w14:paraId="306BE8CD" w14:textId="77777777" w:rsidR="00CF6088" w:rsidRPr="008178C2" w:rsidRDefault="00CF6088" w:rsidP="003924DA">
      <w:pPr>
        <w:spacing w:after="360"/>
        <w:jc w:val="both"/>
        <w:rPr>
          <w:b/>
        </w:rPr>
      </w:pPr>
      <w:r>
        <w:br w:type="page"/>
      </w:r>
      <w:r w:rsidRPr="008178C2">
        <w:rPr>
          <w:b/>
          <w:u w:val="single"/>
          <w:lang w:val="en-GB"/>
        </w:rPr>
        <w:lastRenderedPageBreak/>
        <w:t>ATTACHMENT A</w:t>
      </w:r>
    </w:p>
    <w:p w14:paraId="36CECF99" w14:textId="77777777" w:rsidR="00CF6088" w:rsidRPr="00751835" w:rsidRDefault="00CF6088" w:rsidP="00CF6088">
      <w:pPr>
        <w:spacing w:after="240"/>
        <w:jc w:val="center"/>
        <w:rPr>
          <w:b/>
        </w:rPr>
      </w:pPr>
      <w:r w:rsidRPr="00751835">
        <w:rPr>
          <w:b/>
        </w:rPr>
        <w:t>Statement of Compatibility with Human Rights</w:t>
      </w:r>
    </w:p>
    <w:p w14:paraId="36FEF33B" w14:textId="77777777" w:rsidR="00CF6088" w:rsidRPr="00751835" w:rsidRDefault="00CF6088" w:rsidP="00CF6088">
      <w:pPr>
        <w:keepNext/>
        <w:keepLines/>
        <w:spacing w:after="240"/>
        <w:jc w:val="center"/>
        <w:outlineLvl w:val="0"/>
        <w:rPr>
          <w:bCs/>
          <w:i/>
          <w:color w:val="000000"/>
        </w:rPr>
      </w:pPr>
      <w:r w:rsidRPr="00751835">
        <w:rPr>
          <w:bCs/>
          <w:i/>
          <w:color w:val="000000"/>
        </w:rPr>
        <w:t>Prepared in accordance with Part 3 of the Human Rights (Parliamentary Scrutiny) Act 2011</w:t>
      </w:r>
    </w:p>
    <w:p w14:paraId="6DC5DF52" w14:textId="4207B74D" w:rsidR="00CF6088" w:rsidRPr="00AA19F3" w:rsidRDefault="00CF6088" w:rsidP="003924DA">
      <w:pPr>
        <w:spacing w:after="120"/>
        <w:jc w:val="center"/>
        <w:rPr>
          <w:b/>
        </w:rPr>
      </w:pPr>
      <w:r w:rsidRPr="007E4C14">
        <w:rPr>
          <w:b/>
        </w:rPr>
        <w:t xml:space="preserve">Australian Prudential Regulation </w:t>
      </w:r>
      <w:r w:rsidRPr="00AA19F3">
        <w:rPr>
          <w:b/>
        </w:rPr>
        <w:t>Authority (conf</w:t>
      </w:r>
      <w:r w:rsidR="00185516">
        <w:rPr>
          <w:b/>
        </w:rPr>
        <w:t xml:space="preserve">identiality) determination </w:t>
      </w:r>
      <w:r w:rsidR="00185516" w:rsidRPr="003B5389">
        <w:rPr>
          <w:b/>
        </w:rPr>
        <w:t>No.</w:t>
      </w:r>
      <w:r w:rsidR="003924DA" w:rsidRPr="003B5389">
        <w:rPr>
          <w:b/>
        </w:rPr>
        <w:t> </w:t>
      </w:r>
      <w:r w:rsidR="003B5389" w:rsidRPr="003B5389">
        <w:rPr>
          <w:b/>
        </w:rPr>
        <w:t>2</w:t>
      </w:r>
      <w:r w:rsidRPr="003B5389">
        <w:rPr>
          <w:b/>
        </w:rPr>
        <w:t xml:space="preserve"> of 20</w:t>
      </w:r>
      <w:r w:rsidR="00185516" w:rsidRPr="003B5389">
        <w:rPr>
          <w:b/>
        </w:rPr>
        <w:t>20</w:t>
      </w:r>
    </w:p>
    <w:p w14:paraId="5B15322A" w14:textId="77777777" w:rsidR="00CF6088" w:rsidRPr="003E4293" w:rsidRDefault="00CF6088" w:rsidP="003924DA">
      <w:pPr>
        <w:spacing w:after="240"/>
        <w:jc w:val="center"/>
        <w:rPr>
          <w:b/>
        </w:rPr>
      </w:pPr>
      <w:r w:rsidRPr="00AA19F3">
        <w:rPr>
          <w:b/>
        </w:rPr>
        <w:t xml:space="preserve">Information provided by </w:t>
      </w:r>
      <w:r w:rsidR="000D77EB">
        <w:rPr>
          <w:b/>
        </w:rPr>
        <w:t>authorised deposit-taking institutions</w:t>
      </w:r>
      <w:r w:rsidRPr="003E4293">
        <w:rPr>
          <w:b/>
        </w:rPr>
        <w:t xml:space="preserve"> under Reporting Standard </w:t>
      </w:r>
      <w:r w:rsidR="00185516">
        <w:rPr>
          <w:b/>
        </w:rPr>
        <w:t>ARS</w:t>
      </w:r>
      <w:r w:rsidR="003924DA">
        <w:rPr>
          <w:b/>
        </w:rPr>
        <w:t> </w:t>
      </w:r>
      <w:r w:rsidR="00185516">
        <w:rPr>
          <w:b/>
        </w:rPr>
        <w:t>923</w:t>
      </w:r>
      <w:r>
        <w:rPr>
          <w:b/>
        </w:rPr>
        <w:t>.</w:t>
      </w:r>
      <w:r w:rsidR="00185516">
        <w:rPr>
          <w:b/>
        </w:rPr>
        <w:t>2 Repayment Deferrals</w:t>
      </w:r>
    </w:p>
    <w:p w14:paraId="57326C51" w14:textId="62EA7407" w:rsidR="00CF6088" w:rsidRPr="00751835" w:rsidRDefault="00CF6088" w:rsidP="00CF6088">
      <w:pPr>
        <w:spacing w:after="240"/>
        <w:jc w:val="both"/>
      </w:pPr>
      <w:r w:rsidRPr="00751835">
        <w:t>Th</w:t>
      </w:r>
      <w:r w:rsidR="00EE1F6E">
        <w:t xml:space="preserve">e instrument </w:t>
      </w:r>
      <w:r w:rsidRPr="00751835">
        <w:t>is compatible with the human rights and freedoms recognised or declared in the international instrument</w:t>
      </w:r>
      <w:r w:rsidR="009F19A4">
        <w:t>s</w:t>
      </w:r>
      <w:r w:rsidRPr="00751835">
        <w:t xml:space="preserve"> listed in section 3 of the </w:t>
      </w:r>
      <w:r w:rsidRPr="00751835">
        <w:rPr>
          <w:i/>
        </w:rPr>
        <w:t>Human Rights (Parliamentary Scrutiny) Act 2011</w:t>
      </w:r>
      <w:r w:rsidRPr="00751835">
        <w:t xml:space="preserve"> (HRPS Act).</w:t>
      </w:r>
    </w:p>
    <w:p w14:paraId="44725151" w14:textId="77777777" w:rsidR="00CF6088" w:rsidRPr="00751835" w:rsidRDefault="00CF6088" w:rsidP="00CF6088">
      <w:pPr>
        <w:keepNext/>
        <w:spacing w:after="240"/>
        <w:jc w:val="both"/>
      </w:pPr>
      <w:r w:rsidRPr="00751835">
        <w:rPr>
          <w:b/>
        </w:rPr>
        <w:t>Overview of the legislative instrument</w:t>
      </w:r>
    </w:p>
    <w:p w14:paraId="70A66DDC" w14:textId="77777777" w:rsidR="00CF6088" w:rsidRPr="00751835" w:rsidRDefault="00CF6088" w:rsidP="00CF6088">
      <w:pPr>
        <w:spacing w:after="240"/>
        <w:jc w:val="both"/>
      </w:pPr>
      <w:r w:rsidRPr="004026EC">
        <w:t>The purpose of making th</w:t>
      </w:r>
      <w:r w:rsidR="00EE1F6E">
        <w:t>e instrument</w:t>
      </w:r>
      <w:r>
        <w:t xml:space="preserve"> is to enable APRA to disclose</w:t>
      </w:r>
      <w:r w:rsidRPr="004026EC">
        <w:t xml:space="preserve"> certain information provided to APRA by </w:t>
      </w:r>
      <w:r w:rsidR="00EE1F6E">
        <w:t>ADIs</w:t>
      </w:r>
      <w:r>
        <w:t xml:space="preserve"> </w:t>
      </w:r>
      <w:r w:rsidRPr="004026EC">
        <w:t xml:space="preserve">under </w:t>
      </w:r>
      <w:r w:rsidR="00EE1F6E">
        <w:t>ARS</w:t>
      </w:r>
      <w:r w:rsidR="003924DA">
        <w:t> </w:t>
      </w:r>
      <w:r w:rsidR="00EE1F6E">
        <w:t>923.2</w:t>
      </w:r>
      <w:r w:rsidRPr="004026EC">
        <w:t>. This information will be of use to inter alia, regulators, policymakers, industry, researchers</w:t>
      </w:r>
      <w:r>
        <w:t>,</w:t>
      </w:r>
      <w:r w:rsidRPr="004026EC">
        <w:t xml:space="preserve"> analysts</w:t>
      </w:r>
      <w:r>
        <w:t xml:space="preserve"> and consumers</w:t>
      </w:r>
      <w:r w:rsidRPr="004026EC">
        <w:t>.</w:t>
      </w:r>
    </w:p>
    <w:p w14:paraId="3BD17E2B" w14:textId="77777777" w:rsidR="00CF6088" w:rsidRPr="00751835" w:rsidRDefault="00CF6088" w:rsidP="00CF6088">
      <w:pPr>
        <w:keepNext/>
        <w:spacing w:after="240"/>
        <w:jc w:val="both"/>
      </w:pPr>
      <w:r w:rsidRPr="00751835">
        <w:rPr>
          <w:b/>
        </w:rPr>
        <w:t>Human rights implications</w:t>
      </w:r>
    </w:p>
    <w:p w14:paraId="6EE20B2A" w14:textId="77777777" w:rsidR="00CF6088" w:rsidRPr="004026EC" w:rsidRDefault="00CF6088" w:rsidP="00CF6088">
      <w:pPr>
        <w:spacing w:after="240"/>
        <w:jc w:val="both"/>
      </w:pPr>
      <w:r w:rsidRPr="004026EC">
        <w:t>APRA has assessed the</w:t>
      </w:r>
      <w:r w:rsidR="00DF3A29">
        <w:t xml:space="preserve"> instrument </w:t>
      </w:r>
      <w:r w:rsidRPr="004026EC">
        <w:t>against the international instruments listed in section</w:t>
      </w:r>
      <w:r w:rsidR="003924DA">
        <w:t> </w:t>
      </w:r>
      <w:r w:rsidRPr="004026EC">
        <w:t xml:space="preserve">3 of the HRPS Act and determined that only Article 17 of the International Covenant on Civil and Political Rights (ICCPR) is conceivably of relevance to the </w:t>
      </w:r>
      <w:r w:rsidR="00753BD8">
        <w:t>instrument</w:t>
      </w:r>
      <w:r w:rsidRPr="004026EC">
        <w:t>.</w:t>
      </w:r>
    </w:p>
    <w:p w14:paraId="70D33866" w14:textId="77777777" w:rsidR="00CF6088" w:rsidRPr="004026EC" w:rsidRDefault="00CF6088" w:rsidP="00CF6088">
      <w:pPr>
        <w:spacing w:after="240"/>
        <w:jc w:val="both"/>
      </w:pPr>
      <w:r w:rsidRPr="004026EC">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14:paraId="7227A1DB" w14:textId="77777777" w:rsidR="00CF6088" w:rsidRPr="004026EC" w:rsidRDefault="00EE1F6E" w:rsidP="00CF6088">
      <w:pPr>
        <w:spacing w:after="240"/>
        <w:jc w:val="both"/>
      </w:pPr>
      <w:r>
        <w:t>The instrument</w:t>
      </w:r>
      <w:r w:rsidR="00CF6088" w:rsidRPr="004026EC">
        <w:t xml:space="preserve"> will facilitate the disclosure of specific information provided to APRA </w:t>
      </w:r>
      <w:r>
        <w:t>by ADIs</w:t>
      </w:r>
      <w:r w:rsidR="00CF6088">
        <w:t xml:space="preserve"> </w:t>
      </w:r>
      <w:r w:rsidR="00CF6088" w:rsidRPr="004026EC">
        <w:t xml:space="preserve">in accordance with </w:t>
      </w:r>
      <w:r>
        <w:t>A</w:t>
      </w:r>
      <w:r w:rsidR="00CF6088">
        <w:t>RS</w:t>
      </w:r>
      <w:r w:rsidR="003924DA">
        <w:t> </w:t>
      </w:r>
      <w:r>
        <w:t>923.2</w:t>
      </w:r>
      <w:r w:rsidR="00CF6088" w:rsidRPr="004026EC">
        <w:t xml:space="preserve">. </w:t>
      </w:r>
      <w:r w:rsidR="007C6DB0" w:rsidRPr="007C6DB0">
        <w:t>The information that ADIs are required to report to APRA under ARS 923.2 includes information about the exposures that an ADI has to individual borrowers. This information ultimately supports APRA achieving its mission of ensuring that, under all reasonable circumstances, financial promises made by the institutions that APRA supervises are met within a stable, efficient and competitive financial system</w:t>
      </w:r>
      <w:r w:rsidR="007C6DB0">
        <w:t>.</w:t>
      </w:r>
      <w:r w:rsidR="007C6DB0" w:rsidRPr="007C6DB0">
        <w:t xml:space="preserve"> The instrument does not facilitate the public disclosure of information directly relating to individual persons</w:t>
      </w:r>
      <w:r w:rsidR="007C6DB0">
        <w:t xml:space="preserve">. </w:t>
      </w:r>
      <w:r w:rsidR="00CF6088" w:rsidRPr="004026EC">
        <w:t>Further, APRA reviews all releases of data received under reporting standards to ensure that no information pertaining to an individual person can be deduced from the data.</w:t>
      </w:r>
    </w:p>
    <w:p w14:paraId="757931B0" w14:textId="77777777" w:rsidR="00CF6088" w:rsidRPr="00751835" w:rsidRDefault="00CF6088" w:rsidP="00CF6088">
      <w:pPr>
        <w:keepNext/>
        <w:spacing w:after="240"/>
        <w:jc w:val="both"/>
        <w:rPr>
          <w:b/>
        </w:rPr>
      </w:pPr>
      <w:r w:rsidRPr="00751835">
        <w:rPr>
          <w:b/>
        </w:rPr>
        <w:t>Conclusion</w:t>
      </w:r>
    </w:p>
    <w:p w14:paraId="457412C4" w14:textId="77777777" w:rsidR="00CF6088" w:rsidRPr="00A14F93" w:rsidRDefault="007C6DB0" w:rsidP="007C6DB0">
      <w:pPr>
        <w:spacing w:after="240"/>
        <w:jc w:val="both"/>
        <w:rPr>
          <w:szCs w:val="24"/>
          <w:lang w:val="en-US"/>
        </w:rPr>
      </w:pPr>
      <w:r w:rsidRPr="007C6DB0">
        <w:t>The instrument is compatible with human rights because to the extent that ARS</w:t>
      </w:r>
      <w:r w:rsidR="003924DA">
        <w:t> </w:t>
      </w:r>
      <w:r w:rsidRPr="007C6DB0">
        <w:t>923.2 limits human rights, t</w:t>
      </w:r>
      <w:r w:rsidR="0029769F">
        <w:t>hose limitations are reasonably</w:t>
      </w:r>
      <w:r w:rsidRPr="007C6DB0">
        <w:t xml:space="preserve"> necessary and proportionate</w:t>
      </w:r>
      <w:r w:rsidR="00CF6088" w:rsidRPr="00751835">
        <w:t>.</w:t>
      </w:r>
    </w:p>
    <w:sectPr w:rsidR="00CF6088" w:rsidRPr="00A14F9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7AE9E" w14:textId="77777777" w:rsidR="00713BA3" w:rsidRDefault="00713BA3" w:rsidP="00155515">
      <w:r>
        <w:separator/>
      </w:r>
    </w:p>
  </w:endnote>
  <w:endnote w:type="continuationSeparator" w:id="0">
    <w:p w14:paraId="1E92FA1B" w14:textId="77777777" w:rsidR="00713BA3" w:rsidRDefault="00713BA3" w:rsidP="00155515">
      <w:r>
        <w:continuationSeparator/>
      </w:r>
    </w:p>
  </w:endnote>
  <w:endnote w:type="continuationNotice" w:id="1">
    <w:p w14:paraId="79429DC3" w14:textId="77777777" w:rsidR="00713BA3" w:rsidRDefault="00713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742EF" w14:textId="77777777" w:rsidR="00713BA3" w:rsidRDefault="00713BA3" w:rsidP="00155515">
      <w:r>
        <w:separator/>
      </w:r>
    </w:p>
  </w:footnote>
  <w:footnote w:type="continuationSeparator" w:id="0">
    <w:p w14:paraId="4D5D40DA" w14:textId="77777777" w:rsidR="00713BA3" w:rsidRDefault="00713BA3" w:rsidP="00155515">
      <w:r>
        <w:continuationSeparator/>
      </w:r>
    </w:p>
  </w:footnote>
  <w:footnote w:type="continuationNotice" w:id="1">
    <w:p w14:paraId="13C9B090" w14:textId="77777777" w:rsidR="00713BA3" w:rsidRDefault="00713BA3"/>
  </w:footnote>
  <w:footnote w:id="2">
    <w:p w14:paraId="5E26705D" w14:textId="77777777" w:rsidR="00713BA3" w:rsidRPr="007E4C14" w:rsidRDefault="00713BA3" w:rsidP="00CF6088">
      <w:pPr>
        <w:pStyle w:val="FootnoteText"/>
      </w:pPr>
      <w:r w:rsidRPr="007E4C14">
        <w:rPr>
          <w:rStyle w:val="FootnoteReference"/>
        </w:rPr>
        <w:footnoteRef/>
      </w:r>
      <w:r w:rsidRPr="007E4C14">
        <w:t xml:space="preserve"> Defined in s</w:t>
      </w:r>
      <w:r>
        <w:t xml:space="preserve"> </w:t>
      </w:r>
      <w:r w:rsidRPr="007E4C14">
        <w:t>56(1) of the Act.</w:t>
      </w:r>
    </w:p>
  </w:footnote>
  <w:footnote w:id="3">
    <w:p w14:paraId="03B18C36" w14:textId="77777777" w:rsidR="00713BA3" w:rsidRPr="007E4C14" w:rsidRDefault="00713BA3" w:rsidP="00CF6088">
      <w:pPr>
        <w:pStyle w:val="FootnoteText"/>
      </w:pPr>
      <w:r w:rsidRPr="007E4C14">
        <w:rPr>
          <w:rStyle w:val="FootnoteReference"/>
        </w:rPr>
        <w:footnoteRef/>
      </w:r>
      <w:r w:rsidRPr="007E4C14">
        <w:t xml:space="preserve"> Defined in s</w:t>
      </w:r>
      <w:r>
        <w:t xml:space="preserve"> </w:t>
      </w:r>
      <w:r w:rsidRPr="007E4C14">
        <w:t>56(1) of the Act.</w:t>
      </w:r>
    </w:p>
  </w:footnote>
  <w:footnote w:id="4">
    <w:p w14:paraId="4D5CA0B9" w14:textId="77777777" w:rsidR="00713BA3" w:rsidRDefault="00713BA3" w:rsidP="00CF6088">
      <w:pPr>
        <w:pStyle w:val="FootnoteText"/>
      </w:pPr>
      <w:r w:rsidRPr="007E4C14">
        <w:rPr>
          <w:rStyle w:val="FootnoteReference"/>
        </w:rPr>
        <w:footnoteRef/>
      </w:r>
      <w:r w:rsidRPr="007E4C14">
        <w:t xml:space="preserve"> Defined in s</w:t>
      </w:r>
      <w:r>
        <w:t xml:space="preserve"> </w:t>
      </w:r>
      <w:r w:rsidRPr="007E4C14">
        <w:t>3(1) of the Act.</w:t>
      </w:r>
    </w:p>
  </w:footnote>
  <w:footnote w:id="5">
    <w:p w14:paraId="758EC061" w14:textId="77777777" w:rsidR="00713BA3" w:rsidRDefault="00713BA3">
      <w:pPr>
        <w:pStyle w:val="FootnoteText"/>
      </w:pPr>
      <w:r>
        <w:rPr>
          <w:rStyle w:val="FootnoteReference"/>
        </w:rPr>
        <w:footnoteRef/>
      </w:r>
      <w:r>
        <w:t xml:space="preserve"> </w:t>
      </w:r>
      <w:r w:rsidRPr="008A6D07">
        <w:t>The consultation letter is available on APRA’s website at &lt;https://www.apra.gov.au/treatment-of-loans-impacted-by-covid-19&gt;.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EAEB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D5D71"/>
    <w:multiLevelType w:val="hybridMultilevel"/>
    <w:tmpl w:val="20D61C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E26FF5"/>
    <w:multiLevelType w:val="hybridMultilevel"/>
    <w:tmpl w:val="D52A4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102BEA"/>
    <w:multiLevelType w:val="hybridMultilevel"/>
    <w:tmpl w:val="5AE09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A81249"/>
    <w:multiLevelType w:val="hybridMultilevel"/>
    <w:tmpl w:val="38BA9B32"/>
    <w:lvl w:ilvl="0" w:tplc="9DBA6952">
      <w:start w:val="1"/>
      <w:numFmt w:val="decimal"/>
      <w:lvlText w:val="%1."/>
      <w:lvlJc w:val="left"/>
      <w:pPr>
        <w:tabs>
          <w:tab w:val="num" w:pos="567"/>
        </w:tabs>
        <w:ind w:left="567" w:hanging="567"/>
      </w:pPr>
      <w:rPr>
        <w:rFonts w:cs="Times New Roman" w:hint="default"/>
      </w:rPr>
    </w:lvl>
    <w:lvl w:ilvl="1" w:tplc="D032B5BC">
      <w:start w:val="1"/>
      <w:numFmt w:val="bullet"/>
      <w:lvlText w:val=""/>
      <w:lvlJc w:val="left"/>
      <w:pPr>
        <w:tabs>
          <w:tab w:val="num" w:pos="567"/>
        </w:tabs>
        <w:ind w:left="567" w:hanging="567"/>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622500"/>
    <w:multiLevelType w:val="hybridMultilevel"/>
    <w:tmpl w:val="44AAA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D0544A"/>
    <w:multiLevelType w:val="hybridMultilevel"/>
    <w:tmpl w:val="E10E7C96"/>
    <w:lvl w:ilvl="0" w:tplc="48741406">
      <w:start w:val="1"/>
      <w:numFmt w:val="lowerLetter"/>
      <w:lvlText w:val="(%1)"/>
      <w:lvlJc w:val="left"/>
      <w:pPr>
        <w:tabs>
          <w:tab w:val="num" w:pos="765"/>
        </w:tabs>
        <w:ind w:left="765" w:hanging="405"/>
      </w:pPr>
      <w:rPr>
        <w:rFonts w:hint="default"/>
        <w:b w:val="0"/>
        <w:i w:val="0"/>
        <w:sz w:val="24"/>
      </w:rPr>
    </w:lvl>
    <w:lvl w:ilvl="1" w:tplc="18D03062">
      <w:start w:val="1"/>
      <w:numFmt w:val="bullet"/>
      <w:lvlText w:val=""/>
      <w:lvlJc w:val="left"/>
      <w:pPr>
        <w:tabs>
          <w:tab w:val="num" w:pos="1477"/>
        </w:tabs>
        <w:ind w:left="147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5C156A"/>
    <w:multiLevelType w:val="hybridMultilevel"/>
    <w:tmpl w:val="73223C1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5496400"/>
    <w:multiLevelType w:val="hybridMultilevel"/>
    <w:tmpl w:val="396C5C7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9" w15:restartNumberingAfterBreak="0">
    <w:nsid w:val="671A15C0"/>
    <w:multiLevelType w:val="hybridMultilevel"/>
    <w:tmpl w:val="17C8A21E"/>
    <w:lvl w:ilvl="0" w:tplc="1DFE0F2A">
      <w:start w:val="1"/>
      <w:numFmt w:val="lowerLetter"/>
      <w:lvlText w:val="(%1)"/>
      <w:lvlJc w:val="left"/>
      <w:pPr>
        <w:ind w:left="720" w:hanging="360"/>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014DC3"/>
    <w:multiLevelType w:val="hybridMultilevel"/>
    <w:tmpl w:val="EA38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E254DF"/>
    <w:multiLevelType w:val="hybridMultilevel"/>
    <w:tmpl w:val="32B494CA"/>
    <w:lvl w:ilvl="0" w:tplc="34368410">
      <w:start w:val="28"/>
      <w:numFmt w:val="bullet"/>
      <w:lvlText w:val="-"/>
      <w:lvlJc w:val="left"/>
      <w:pPr>
        <w:tabs>
          <w:tab w:val="num" w:pos="720"/>
        </w:tabs>
        <w:ind w:left="720" w:hanging="360"/>
      </w:pPr>
      <w:rPr>
        <w:rFonts w:ascii="Times New Roman" w:eastAsia="Times New Roman" w:hAnsi="Times New Roman" w:cs="Times New Roman" w:hint="default"/>
      </w:rPr>
    </w:lvl>
    <w:lvl w:ilvl="1" w:tplc="18D03062">
      <w:start w:val="1"/>
      <w:numFmt w:val="bullet"/>
      <w:lvlText w:val=""/>
      <w:lvlJc w:val="left"/>
      <w:pPr>
        <w:tabs>
          <w:tab w:val="num" w:pos="1477"/>
        </w:tabs>
        <w:ind w:left="147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7"/>
  </w:num>
  <w:num w:numId="4">
    <w:abstractNumId w:val="0"/>
  </w:num>
  <w:num w:numId="5">
    <w:abstractNumId w:val="5"/>
  </w:num>
  <w:num w:numId="6">
    <w:abstractNumId w:val="3"/>
  </w:num>
  <w:num w:numId="7">
    <w:abstractNumId w:val="2"/>
  </w:num>
  <w:num w:numId="8">
    <w:abstractNumId w:val="8"/>
  </w:num>
  <w:num w:numId="9">
    <w:abstractNumId w:val="10"/>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75"/>
    <w:rsid w:val="00004032"/>
    <w:rsid w:val="000103AA"/>
    <w:rsid w:val="00013D12"/>
    <w:rsid w:val="00017961"/>
    <w:rsid w:val="00032958"/>
    <w:rsid w:val="00033005"/>
    <w:rsid w:val="00035E48"/>
    <w:rsid w:val="0003683F"/>
    <w:rsid w:val="00047D08"/>
    <w:rsid w:val="000545BB"/>
    <w:rsid w:val="00062EF5"/>
    <w:rsid w:val="00066CD6"/>
    <w:rsid w:val="00071EC0"/>
    <w:rsid w:val="000775A0"/>
    <w:rsid w:val="00081556"/>
    <w:rsid w:val="000874DE"/>
    <w:rsid w:val="000A1FD5"/>
    <w:rsid w:val="000A51FC"/>
    <w:rsid w:val="000B00CF"/>
    <w:rsid w:val="000B37CF"/>
    <w:rsid w:val="000C0FAA"/>
    <w:rsid w:val="000C57BC"/>
    <w:rsid w:val="000D12DF"/>
    <w:rsid w:val="000D4CEC"/>
    <w:rsid w:val="000D77EB"/>
    <w:rsid w:val="000D7BB8"/>
    <w:rsid w:val="000E2341"/>
    <w:rsid w:val="000E275F"/>
    <w:rsid w:val="000F293D"/>
    <w:rsid w:val="00102750"/>
    <w:rsid w:val="001554BE"/>
    <w:rsid w:val="00155515"/>
    <w:rsid w:val="00156E68"/>
    <w:rsid w:val="00160049"/>
    <w:rsid w:val="001606B2"/>
    <w:rsid w:val="00160B8E"/>
    <w:rsid w:val="00172467"/>
    <w:rsid w:val="001726D2"/>
    <w:rsid w:val="00172BD0"/>
    <w:rsid w:val="0018005E"/>
    <w:rsid w:val="00185516"/>
    <w:rsid w:val="00185551"/>
    <w:rsid w:val="00190288"/>
    <w:rsid w:val="001A448F"/>
    <w:rsid w:val="001A6B4B"/>
    <w:rsid w:val="001B3A32"/>
    <w:rsid w:val="001C34D2"/>
    <w:rsid w:val="001C5550"/>
    <w:rsid w:val="001C73D8"/>
    <w:rsid w:val="001D470A"/>
    <w:rsid w:val="001E1F2D"/>
    <w:rsid w:val="001E260F"/>
    <w:rsid w:val="001F66DA"/>
    <w:rsid w:val="00201C00"/>
    <w:rsid w:val="002037B4"/>
    <w:rsid w:val="002043AC"/>
    <w:rsid w:val="0021063A"/>
    <w:rsid w:val="00214F9E"/>
    <w:rsid w:val="002223D2"/>
    <w:rsid w:val="00236F54"/>
    <w:rsid w:val="002443B3"/>
    <w:rsid w:val="002522A3"/>
    <w:rsid w:val="002532B9"/>
    <w:rsid w:val="00253B12"/>
    <w:rsid w:val="0026199C"/>
    <w:rsid w:val="00267000"/>
    <w:rsid w:val="002722B3"/>
    <w:rsid w:val="00274B9E"/>
    <w:rsid w:val="002800FE"/>
    <w:rsid w:val="00280C2C"/>
    <w:rsid w:val="00285ED7"/>
    <w:rsid w:val="0028719A"/>
    <w:rsid w:val="00290797"/>
    <w:rsid w:val="0029098B"/>
    <w:rsid w:val="00292C18"/>
    <w:rsid w:val="002960FB"/>
    <w:rsid w:val="0029769F"/>
    <w:rsid w:val="002B2442"/>
    <w:rsid w:val="002B4DCE"/>
    <w:rsid w:val="002B6F9B"/>
    <w:rsid w:val="002C3AFA"/>
    <w:rsid w:val="002C42B7"/>
    <w:rsid w:val="002C5ABE"/>
    <w:rsid w:val="002D10EB"/>
    <w:rsid w:val="002E1234"/>
    <w:rsid w:val="002F1E42"/>
    <w:rsid w:val="002F3D24"/>
    <w:rsid w:val="003006EF"/>
    <w:rsid w:val="00304599"/>
    <w:rsid w:val="00314257"/>
    <w:rsid w:val="00323588"/>
    <w:rsid w:val="00327F27"/>
    <w:rsid w:val="00332AFC"/>
    <w:rsid w:val="00336961"/>
    <w:rsid w:val="00341B6D"/>
    <w:rsid w:val="003514DA"/>
    <w:rsid w:val="00351BB0"/>
    <w:rsid w:val="0035318B"/>
    <w:rsid w:val="00375DD2"/>
    <w:rsid w:val="00380DA0"/>
    <w:rsid w:val="00385967"/>
    <w:rsid w:val="00386ED2"/>
    <w:rsid w:val="003924DA"/>
    <w:rsid w:val="00392F66"/>
    <w:rsid w:val="003A3F59"/>
    <w:rsid w:val="003B0A64"/>
    <w:rsid w:val="003B1D56"/>
    <w:rsid w:val="003B5389"/>
    <w:rsid w:val="003B767B"/>
    <w:rsid w:val="003B7D69"/>
    <w:rsid w:val="003C4275"/>
    <w:rsid w:val="003E15CF"/>
    <w:rsid w:val="003E3B27"/>
    <w:rsid w:val="003F45DA"/>
    <w:rsid w:val="003F473E"/>
    <w:rsid w:val="003F49DC"/>
    <w:rsid w:val="003F749F"/>
    <w:rsid w:val="003F7842"/>
    <w:rsid w:val="0040119F"/>
    <w:rsid w:val="004035FE"/>
    <w:rsid w:val="0041494C"/>
    <w:rsid w:val="00426205"/>
    <w:rsid w:val="004542B0"/>
    <w:rsid w:val="00471D3E"/>
    <w:rsid w:val="00476B0C"/>
    <w:rsid w:val="00493BA2"/>
    <w:rsid w:val="00495DE4"/>
    <w:rsid w:val="00496A26"/>
    <w:rsid w:val="004A48DE"/>
    <w:rsid w:val="004C6FEA"/>
    <w:rsid w:val="004C7D57"/>
    <w:rsid w:val="004E38A2"/>
    <w:rsid w:val="00500497"/>
    <w:rsid w:val="005170AA"/>
    <w:rsid w:val="00526A4F"/>
    <w:rsid w:val="00526E33"/>
    <w:rsid w:val="00531CCA"/>
    <w:rsid w:val="00535185"/>
    <w:rsid w:val="00535DE7"/>
    <w:rsid w:val="00540ECD"/>
    <w:rsid w:val="005445A3"/>
    <w:rsid w:val="00544AA3"/>
    <w:rsid w:val="0055539D"/>
    <w:rsid w:val="00561218"/>
    <w:rsid w:val="00563E88"/>
    <w:rsid w:val="005729C2"/>
    <w:rsid w:val="00582656"/>
    <w:rsid w:val="00586450"/>
    <w:rsid w:val="00592CF9"/>
    <w:rsid w:val="005A05B3"/>
    <w:rsid w:val="005A2D0F"/>
    <w:rsid w:val="005A5486"/>
    <w:rsid w:val="005A6569"/>
    <w:rsid w:val="005A7902"/>
    <w:rsid w:val="005B30D5"/>
    <w:rsid w:val="005B52A6"/>
    <w:rsid w:val="005E74FD"/>
    <w:rsid w:val="005F694A"/>
    <w:rsid w:val="005F7A53"/>
    <w:rsid w:val="00600807"/>
    <w:rsid w:val="00601E04"/>
    <w:rsid w:val="00602910"/>
    <w:rsid w:val="00611C8E"/>
    <w:rsid w:val="006426E2"/>
    <w:rsid w:val="00643E09"/>
    <w:rsid w:val="006469B0"/>
    <w:rsid w:val="00646CD4"/>
    <w:rsid w:val="00670D23"/>
    <w:rsid w:val="00671E4B"/>
    <w:rsid w:val="00680393"/>
    <w:rsid w:val="0068235D"/>
    <w:rsid w:val="00685BCA"/>
    <w:rsid w:val="00695A2A"/>
    <w:rsid w:val="006A29EA"/>
    <w:rsid w:val="006B5050"/>
    <w:rsid w:val="006B683D"/>
    <w:rsid w:val="006D283C"/>
    <w:rsid w:val="006D565D"/>
    <w:rsid w:val="006F1140"/>
    <w:rsid w:val="0070685A"/>
    <w:rsid w:val="00713BA3"/>
    <w:rsid w:val="00721CC5"/>
    <w:rsid w:val="007268BB"/>
    <w:rsid w:val="00732378"/>
    <w:rsid w:val="007335F6"/>
    <w:rsid w:val="00745693"/>
    <w:rsid w:val="00747ED8"/>
    <w:rsid w:val="00753BD8"/>
    <w:rsid w:val="00753E58"/>
    <w:rsid w:val="00754BA0"/>
    <w:rsid w:val="007560A9"/>
    <w:rsid w:val="007578EC"/>
    <w:rsid w:val="00757D00"/>
    <w:rsid w:val="0076400D"/>
    <w:rsid w:val="00764469"/>
    <w:rsid w:val="007656AD"/>
    <w:rsid w:val="00765870"/>
    <w:rsid w:val="00776B0D"/>
    <w:rsid w:val="00791A4D"/>
    <w:rsid w:val="00795DAE"/>
    <w:rsid w:val="00796ECC"/>
    <w:rsid w:val="007A7F40"/>
    <w:rsid w:val="007C027F"/>
    <w:rsid w:val="007C5F94"/>
    <w:rsid w:val="007C6DB0"/>
    <w:rsid w:val="007D0DB0"/>
    <w:rsid w:val="007D26A9"/>
    <w:rsid w:val="007D2F83"/>
    <w:rsid w:val="007D42DB"/>
    <w:rsid w:val="007D4EB4"/>
    <w:rsid w:val="007D72FE"/>
    <w:rsid w:val="007F085E"/>
    <w:rsid w:val="007F605D"/>
    <w:rsid w:val="00810DED"/>
    <w:rsid w:val="00810F3E"/>
    <w:rsid w:val="00817FC4"/>
    <w:rsid w:val="00830EE8"/>
    <w:rsid w:val="008329A9"/>
    <w:rsid w:val="00841E5D"/>
    <w:rsid w:val="00844EE8"/>
    <w:rsid w:val="00851662"/>
    <w:rsid w:val="00853A42"/>
    <w:rsid w:val="00855DDC"/>
    <w:rsid w:val="00864537"/>
    <w:rsid w:val="00866075"/>
    <w:rsid w:val="008728A0"/>
    <w:rsid w:val="00874739"/>
    <w:rsid w:val="008963B9"/>
    <w:rsid w:val="008A12E1"/>
    <w:rsid w:val="008A37F1"/>
    <w:rsid w:val="008A4B5A"/>
    <w:rsid w:val="008A59BA"/>
    <w:rsid w:val="008B2076"/>
    <w:rsid w:val="008B3670"/>
    <w:rsid w:val="008D0D2B"/>
    <w:rsid w:val="008D143B"/>
    <w:rsid w:val="008D30C5"/>
    <w:rsid w:val="008D5CC1"/>
    <w:rsid w:val="008D6AA2"/>
    <w:rsid w:val="008E2367"/>
    <w:rsid w:val="008E3408"/>
    <w:rsid w:val="008F1049"/>
    <w:rsid w:val="008F1629"/>
    <w:rsid w:val="00904C6E"/>
    <w:rsid w:val="00926316"/>
    <w:rsid w:val="00944364"/>
    <w:rsid w:val="0094567E"/>
    <w:rsid w:val="00945685"/>
    <w:rsid w:val="00951B76"/>
    <w:rsid w:val="009558B0"/>
    <w:rsid w:val="00957D90"/>
    <w:rsid w:val="00962207"/>
    <w:rsid w:val="00966D52"/>
    <w:rsid w:val="0097628C"/>
    <w:rsid w:val="009769BC"/>
    <w:rsid w:val="00976CFE"/>
    <w:rsid w:val="00980155"/>
    <w:rsid w:val="00981EC8"/>
    <w:rsid w:val="0098637C"/>
    <w:rsid w:val="00994662"/>
    <w:rsid w:val="009B228A"/>
    <w:rsid w:val="009C1CFD"/>
    <w:rsid w:val="009C1FB5"/>
    <w:rsid w:val="009C208D"/>
    <w:rsid w:val="009C46CA"/>
    <w:rsid w:val="009C70D3"/>
    <w:rsid w:val="009D0963"/>
    <w:rsid w:val="009D674A"/>
    <w:rsid w:val="009E2086"/>
    <w:rsid w:val="009E3760"/>
    <w:rsid w:val="009F09A1"/>
    <w:rsid w:val="009F19A4"/>
    <w:rsid w:val="009F65FD"/>
    <w:rsid w:val="00A00625"/>
    <w:rsid w:val="00A066E6"/>
    <w:rsid w:val="00A10A73"/>
    <w:rsid w:val="00A14F93"/>
    <w:rsid w:val="00A22B88"/>
    <w:rsid w:val="00A22DD5"/>
    <w:rsid w:val="00A268CC"/>
    <w:rsid w:val="00A3022A"/>
    <w:rsid w:val="00A35C07"/>
    <w:rsid w:val="00A45195"/>
    <w:rsid w:val="00A45C75"/>
    <w:rsid w:val="00A50068"/>
    <w:rsid w:val="00A52C38"/>
    <w:rsid w:val="00A55069"/>
    <w:rsid w:val="00A56499"/>
    <w:rsid w:val="00A565FD"/>
    <w:rsid w:val="00A663F6"/>
    <w:rsid w:val="00A67103"/>
    <w:rsid w:val="00A6790C"/>
    <w:rsid w:val="00A72300"/>
    <w:rsid w:val="00A73F05"/>
    <w:rsid w:val="00A74C10"/>
    <w:rsid w:val="00A8506B"/>
    <w:rsid w:val="00A85AF6"/>
    <w:rsid w:val="00A93C57"/>
    <w:rsid w:val="00A94952"/>
    <w:rsid w:val="00A95DEA"/>
    <w:rsid w:val="00AA1471"/>
    <w:rsid w:val="00AA6031"/>
    <w:rsid w:val="00AB0A0E"/>
    <w:rsid w:val="00AB38C0"/>
    <w:rsid w:val="00AD0EDC"/>
    <w:rsid w:val="00AE4D8D"/>
    <w:rsid w:val="00AE68E1"/>
    <w:rsid w:val="00AF3995"/>
    <w:rsid w:val="00B04840"/>
    <w:rsid w:val="00B1405D"/>
    <w:rsid w:val="00B17D81"/>
    <w:rsid w:val="00B221AB"/>
    <w:rsid w:val="00B32E81"/>
    <w:rsid w:val="00B36B01"/>
    <w:rsid w:val="00B558E5"/>
    <w:rsid w:val="00B560D4"/>
    <w:rsid w:val="00B66845"/>
    <w:rsid w:val="00B81C6D"/>
    <w:rsid w:val="00B915F5"/>
    <w:rsid w:val="00B93A6A"/>
    <w:rsid w:val="00B96C1C"/>
    <w:rsid w:val="00BA74A5"/>
    <w:rsid w:val="00BC49D9"/>
    <w:rsid w:val="00BD378A"/>
    <w:rsid w:val="00BE7BCD"/>
    <w:rsid w:val="00BF2A5C"/>
    <w:rsid w:val="00BF5C61"/>
    <w:rsid w:val="00C00AEA"/>
    <w:rsid w:val="00C0216B"/>
    <w:rsid w:val="00C02192"/>
    <w:rsid w:val="00C11AE3"/>
    <w:rsid w:val="00C206CC"/>
    <w:rsid w:val="00C21574"/>
    <w:rsid w:val="00C21C8E"/>
    <w:rsid w:val="00C228C5"/>
    <w:rsid w:val="00C238F3"/>
    <w:rsid w:val="00C27394"/>
    <w:rsid w:val="00C33343"/>
    <w:rsid w:val="00C42602"/>
    <w:rsid w:val="00C42BD8"/>
    <w:rsid w:val="00C43FC0"/>
    <w:rsid w:val="00C550B9"/>
    <w:rsid w:val="00C5603F"/>
    <w:rsid w:val="00C604E0"/>
    <w:rsid w:val="00C631E6"/>
    <w:rsid w:val="00C6606D"/>
    <w:rsid w:val="00C71D59"/>
    <w:rsid w:val="00C71EF5"/>
    <w:rsid w:val="00C72E54"/>
    <w:rsid w:val="00C821DE"/>
    <w:rsid w:val="00C835C4"/>
    <w:rsid w:val="00C94932"/>
    <w:rsid w:val="00CA3F71"/>
    <w:rsid w:val="00CA5246"/>
    <w:rsid w:val="00CB10D8"/>
    <w:rsid w:val="00CC1CAA"/>
    <w:rsid w:val="00CC6DCB"/>
    <w:rsid w:val="00CD4D6E"/>
    <w:rsid w:val="00CD4ED0"/>
    <w:rsid w:val="00CE0FFF"/>
    <w:rsid w:val="00CE20F4"/>
    <w:rsid w:val="00CE61C6"/>
    <w:rsid w:val="00CF3D1C"/>
    <w:rsid w:val="00CF6088"/>
    <w:rsid w:val="00CF7341"/>
    <w:rsid w:val="00D04436"/>
    <w:rsid w:val="00D0708E"/>
    <w:rsid w:val="00D15EEC"/>
    <w:rsid w:val="00D24517"/>
    <w:rsid w:val="00D24A86"/>
    <w:rsid w:val="00D27749"/>
    <w:rsid w:val="00D41D58"/>
    <w:rsid w:val="00D41E23"/>
    <w:rsid w:val="00D42EC2"/>
    <w:rsid w:val="00D467D5"/>
    <w:rsid w:val="00D47D3A"/>
    <w:rsid w:val="00D553A6"/>
    <w:rsid w:val="00D55A2A"/>
    <w:rsid w:val="00D62EA3"/>
    <w:rsid w:val="00D674E1"/>
    <w:rsid w:val="00D822BE"/>
    <w:rsid w:val="00D826A0"/>
    <w:rsid w:val="00D8347C"/>
    <w:rsid w:val="00D85630"/>
    <w:rsid w:val="00D86BD3"/>
    <w:rsid w:val="00D92CCC"/>
    <w:rsid w:val="00D95EE7"/>
    <w:rsid w:val="00DA694C"/>
    <w:rsid w:val="00DA7304"/>
    <w:rsid w:val="00DB238B"/>
    <w:rsid w:val="00DB32F4"/>
    <w:rsid w:val="00DB5FA6"/>
    <w:rsid w:val="00DC4250"/>
    <w:rsid w:val="00DD6D0D"/>
    <w:rsid w:val="00DE6EED"/>
    <w:rsid w:val="00DF3A29"/>
    <w:rsid w:val="00E00902"/>
    <w:rsid w:val="00E13277"/>
    <w:rsid w:val="00E13476"/>
    <w:rsid w:val="00E136C0"/>
    <w:rsid w:val="00E138FB"/>
    <w:rsid w:val="00E17BB3"/>
    <w:rsid w:val="00E20CDA"/>
    <w:rsid w:val="00E21170"/>
    <w:rsid w:val="00E236C3"/>
    <w:rsid w:val="00E30CD4"/>
    <w:rsid w:val="00E31FEF"/>
    <w:rsid w:val="00E329EA"/>
    <w:rsid w:val="00E364D8"/>
    <w:rsid w:val="00E431F2"/>
    <w:rsid w:val="00E471E9"/>
    <w:rsid w:val="00E51457"/>
    <w:rsid w:val="00E564CB"/>
    <w:rsid w:val="00E602A0"/>
    <w:rsid w:val="00E65394"/>
    <w:rsid w:val="00E72D30"/>
    <w:rsid w:val="00E73244"/>
    <w:rsid w:val="00E73D2D"/>
    <w:rsid w:val="00E757B1"/>
    <w:rsid w:val="00E84F5E"/>
    <w:rsid w:val="00E8796E"/>
    <w:rsid w:val="00EA0917"/>
    <w:rsid w:val="00EA1823"/>
    <w:rsid w:val="00EA1951"/>
    <w:rsid w:val="00EA2080"/>
    <w:rsid w:val="00EA6C5A"/>
    <w:rsid w:val="00EA798F"/>
    <w:rsid w:val="00ED3AE3"/>
    <w:rsid w:val="00EE1F6E"/>
    <w:rsid w:val="00EE2538"/>
    <w:rsid w:val="00EE3F7C"/>
    <w:rsid w:val="00EF322F"/>
    <w:rsid w:val="00EF5B4F"/>
    <w:rsid w:val="00EF5B88"/>
    <w:rsid w:val="00F03DED"/>
    <w:rsid w:val="00F06CDB"/>
    <w:rsid w:val="00F06DAA"/>
    <w:rsid w:val="00F07C2F"/>
    <w:rsid w:val="00F11CC6"/>
    <w:rsid w:val="00F137D0"/>
    <w:rsid w:val="00F23879"/>
    <w:rsid w:val="00F25389"/>
    <w:rsid w:val="00F357BB"/>
    <w:rsid w:val="00F373EE"/>
    <w:rsid w:val="00F41859"/>
    <w:rsid w:val="00F601A9"/>
    <w:rsid w:val="00F603C5"/>
    <w:rsid w:val="00F61DAB"/>
    <w:rsid w:val="00F6246D"/>
    <w:rsid w:val="00F67492"/>
    <w:rsid w:val="00F803F9"/>
    <w:rsid w:val="00FA05DC"/>
    <w:rsid w:val="00FA5A1F"/>
    <w:rsid w:val="00FA648B"/>
    <w:rsid w:val="00FC19F8"/>
    <w:rsid w:val="00FE3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BCBDE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6075"/>
    <w:pPr>
      <w:spacing w:before="360"/>
      <w:jc w:val="center"/>
    </w:pPr>
    <w:rPr>
      <w:b/>
      <w:sz w:val="32"/>
    </w:rPr>
  </w:style>
  <w:style w:type="paragraph" w:customStyle="1" w:styleId="Body">
    <w:name w:val="Body"/>
    <w:basedOn w:val="Normal"/>
    <w:rsid w:val="00866075"/>
    <w:rPr>
      <w:rFonts w:ascii="Times" w:hAnsi="Times"/>
      <w:sz w:val="26"/>
    </w:rPr>
  </w:style>
  <w:style w:type="paragraph" w:customStyle="1" w:styleId="ActTitle">
    <w:name w:val="Act Title"/>
    <w:basedOn w:val="Normal"/>
    <w:next w:val="Normal"/>
    <w:rsid w:val="00866075"/>
    <w:pPr>
      <w:pBdr>
        <w:bottom w:val="single" w:sz="4" w:space="3" w:color="auto"/>
      </w:pBdr>
      <w:spacing w:before="480" w:after="240"/>
    </w:pPr>
    <w:rPr>
      <w:rFonts w:ascii="Arial" w:hAnsi="Arial"/>
      <w:i/>
      <w:iCs/>
      <w:sz w:val="28"/>
    </w:rPr>
  </w:style>
  <w:style w:type="paragraph" w:customStyle="1" w:styleId="Scheduletitle">
    <w:name w:val="Schedule title"/>
    <w:basedOn w:val="Normal"/>
    <w:next w:val="Normal"/>
    <w:rsid w:val="00866075"/>
    <w:pPr>
      <w:pageBreakBefore/>
      <w:spacing w:before="480"/>
      <w:ind w:left="2410" w:hanging="2410"/>
    </w:pPr>
    <w:rPr>
      <w:rFonts w:ascii="Arial" w:hAnsi="Arial"/>
      <w:b/>
      <w:sz w:val="32"/>
      <w:szCs w:val="24"/>
      <w:lang w:eastAsia="en-US"/>
    </w:rPr>
  </w:style>
  <w:style w:type="paragraph" w:styleId="BalloonText">
    <w:name w:val="Balloon Text"/>
    <w:basedOn w:val="Normal"/>
    <w:semiHidden/>
    <w:rsid w:val="008329A9"/>
    <w:rPr>
      <w:rFonts w:ascii="Tahoma" w:hAnsi="Tahoma" w:cs="Tahoma"/>
      <w:sz w:val="16"/>
      <w:szCs w:val="16"/>
    </w:rPr>
  </w:style>
  <w:style w:type="character" w:styleId="CommentReference">
    <w:name w:val="annotation reference"/>
    <w:uiPriority w:val="99"/>
    <w:semiHidden/>
    <w:unhideWhenUsed/>
    <w:rsid w:val="00155515"/>
    <w:rPr>
      <w:sz w:val="16"/>
      <w:szCs w:val="16"/>
    </w:rPr>
  </w:style>
  <w:style w:type="paragraph" w:styleId="CommentText">
    <w:name w:val="annotation text"/>
    <w:basedOn w:val="Normal"/>
    <w:link w:val="CommentTextChar"/>
    <w:uiPriority w:val="99"/>
    <w:semiHidden/>
    <w:unhideWhenUsed/>
    <w:rsid w:val="00155515"/>
    <w:rPr>
      <w:rFonts w:ascii="Trebuchet MS" w:hAnsi="Trebuchet MS"/>
      <w:sz w:val="20"/>
      <w:lang w:eastAsia="en-US"/>
    </w:rPr>
  </w:style>
  <w:style w:type="character" w:customStyle="1" w:styleId="CommentTextChar">
    <w:name w:val="Comment Text Char"/>
    <w:link w:val="CommentText"/>
    <w:uiPriority w:val="99"/>
    <w:semiHidden/>
    <w:rsid w:val="00155515"/>
    <w:rPr>
      <w:rFonts w:ascii="Trebuchet MS" w:hAnsi="Trebuchet MS"/>
      <w:lang w:eastAsia="en-US"/>
    </w:rPr>
  </w:style>
  <w:style w:type="paragraph" w:styleId="ListBullet">
    <w:name w:val="List Bullet"/>
    <w:basedOn w:val="Normal"/>
    <w:uiPriority w:val="99"/>
    <w:unhideWhenUsed/>
    <w:rsid w:val="00155515"/>
    <w:pPr>
      <w:numPr>
        <w:numId w:val="4"/>
      </w:numPr>
      <w:contextualSpacing/>
    </w:pPr>
  </w:style>
  <w:style w:type="paragraph" w:styleId="FootnoteText">
    <w:name w:val="footnote text"/>
    <w:basedOn w:val="Normal"/>
    <w:link w:val="FootnoteTextChar"/>
    <w:uiPriority w:val="99"/>
    <w:semiHidden/>
    <w:unhideWhenUsed/>
    <w:rsid w:val="00155515"/>
    <w:rPr>
      <w:sz w:val="20"/>
    </w:rPr>
  </w:style>
  <w:style w:type="character" w:customStyle="1" w:styleId="FootnoteTextChar">
    <w:name w:val="Footnote Text Char"/>
    <w:basedOn w:val="DefaultParagraphFont"/>
    <w:link w:val="FootnoteText"/>
    <w:uiPriority w:val="99"/>
    <w:semiHidden/>
    <w:rsid w:val="00155515"/>
  </w:style>
  <w:style w:type="character" w:styleId="FootnoteReference">
    <w:name w:val="footnote reference"/>
    <w:uiPriority w:val="99"/>
    <w:semiHidden/>
    <w:unhideWhenUsed/>
    <w:rsid w:val="00155515"/>
    <w:rPr>
      <w:vertAlign w:val="superscript"/>
    </w:rPr>
  </w:style>
  <w:style w:type="paragraph" w:styleId="Header">
    <w:name w:val="header"/>
    <w:basedOn w:val="Normal"/>
    <w:link w:val="HeaderChar"/>
    <w:uiPriority w:val="99"/>
    <w:semiHidden/>
    <w:unhideWhenUsed/>
    <w:rsid w:val="00D24517"/>
    <w:pPr>
      <w:tabs>
        <w:tab w:val="center" w:pos="4513"/>
        <w:tab w:val="right" w:pos="9026"/>
      </w:tabs>
    </w:pPr>
  </w:style>
  <w:style w:type="character" w:customStyle="1" w:styleId="HeaderChar">
    <w:name w:val="Header Char"/>
    <w:link w:val="Header"/>
    <w:uiPriority w:val="99"/>
    <w:semiHidden/>
    <w:rsid w:val="00D24517"/>
    <w:rPr>
      <w:sz w:val="24"/>
    </w:rPr>
  </w:style>
  <w:style w:type="paragraph" w:styleId="Footer">
    <w:name w:val="footer"/>
    <w:basedOn w:val="Normal"/>
    <w:link w:val="FooterChar"/>
    <w:uiPriority w:val="99"/>
    <w:semiHidden/>
    <w:unhideWhenUsed/>
    <w:rsid w:val="00D24517"/>
    <w:pPr>
      <w:tabs>
        <w:tab w:val="center" w:pos="4513"/>
        <w:tab w:val="right" w:pos="9026"/>
      </w:tabs>
    </w:pPr>
  </w:style>
  <w:style w:type="character" w:customStyle="1" w:styleId="FooterChar">
    <w:name w:val="Footer Char"/>
    <w:link w:val="Footer"/>
    <w:uiPriority w:val="99"/>
    <w:semiHidden/>
    <w:rsid w:val="00D24517"/>
    <w:rPr>
      <w:sz w:val="24"/>
    </w:rPr>
  </w:style>
  <w:style w:type="paragraph" w:styleId="CommentSubject">
    <w:name w:val="annotation subject"/>
    <w:basedOn w:val="CommentText"/>
    <w:next w:val="CommentText"/>
    <w:link w:val="CommentSubjectChar"/>
    <w:uiPriority w:val="99"/>
    <w:semiHidden/>
    <w:unhideWhenUsed/>
    <w:rsid w:val="009B228A"/>
    <w:rPr>
      <w:rFonts w:ascii="Times New Roman" w:hAnsi="Times New Roman"/>
      <w:b/>
      <w:bCs/>
      <w:lang w:eastAsia="en-AU"/>
    </w:rPr>
  </w:style>
  <w:style w:type="character" w:customStyle="1" w:styleId="CommentSubjectChar">
    <w:name w:val="Comment Subject Char"/>
    <w:link w:val="CommentSubject"/>
    <w:uiPriority w:val="99"/>
    <w:semiHidden/>
    <w:rsid w:val="009B228A"/>
    <w:rPr>
      <w:rFonts w:ascii="Trebuchet MS" w:hAnsi="Trebuchet MS"/>
      <w:b/>
      <w:bCs/>
      <w:lang w:eastAsia="en-US"/>
    </w:rPr>
  </w:style>
  <w:style w:type="paragraph" w:customStyle="1" w:styleId="apra-rtestyle-listedhyperlinks">
    <w:name w:val="apra-rtestyle-listedhyperlinks"/>
    <w:basedOn w:val="Normal"/>
    <w:rsid w:val="00F11CC6"/>
    <w:pPr>
      <w:ind w:left="193"/>
    </w:pPr>
    <w:rPr>
      <w:color w:val="333333"/>
      <w:szCs w:val="24"/>
    </w:rPr>
  </w:style>
  <w:style w:type="paragraph" w:styleId="ListParagraph">
    <w:name w:val="List Paragraph"/>
    <w:basedOn w:val="Normal"/>
    <w:uiPriority w:val="34"/>
    <w:qFormat/>
    <w:rsid w:val="000A1FD5"/>
    <w:pPr>
      <w:ind w:left="720"/>
    </w:pPr>
    <w:rPr>
      <w:rFonts w:ascii="Calibri" w:eastAsia="Calibri" w:hAnsi="Calibri" w:cs="Calibri"/>
      <w:sz w:val="22"/>
      <w:szCs w:val="22"/>
    </w:rPr>
  </w:style>
  <w:style w:type="paragraph" w:customStyle="1" w:styleId="Heading">
    <w:name w:val="Heading"/>
    <w:basedOn w:val="Normal"/>
    <w:rsid w:val="00CF6088"/>
    <w:rPr>
      <w:rFonts w:ascii="Trebuchet MS" w:hAnsi="Trebuchet M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1732">
      <w:bodyDiv w:val="1"/>
      <w:marLeft w:val="0"/>
      <w:marRight w:val="0"/>
      <w:marTop w:val="0"/>
      <w:marBottom w:val="0"/>
      <w:divBdr>
        <w:top w:val="none" w:sz="0" w:space="0" w:color="auto"/>
        <w:left w:val="none" w:sz="0" w:space="0" w:color="auto"/>
        <w:bottom w:val="none" w:sz="0" w:space="0" w:color="auto"/>
        <w:right w:val="none" w:sz="0" w:space="0" w:color="auto"/>
      </w:divBdr>
      <w:divsChild>
        <w:div w:id="2067557754">
          <w:marLeft w:val="0"/>
          <w:marRight w:val="0"/>
          <w:marTop w:val="0"/>
          <w:marBottom w:val="0"/>
          <w:divBdr>
            <w:top w:val="none" w:sz="0" w:space="0" w:color="auto"/>
            <w:left w:val="none" w:sz="0" w:space="0" w:color="auto"/>
            <w:bottom w:val="none" w:sz="0" w:space="0" w:color="auto"/>
            <w:right w:val="none" w:sz="0" w:space="0" w:color="auto"/>
          </w:divBdr>
          <w:divsChild>
            <w:div w:id="1841118519">
              <w:marLeft w:val="0"/>
              <w:marRight w:val="0"/>
              <w:marTop w:val="0"/>
              <w:marBottom w:val="0"/>
              <w:divBdr>
                <w:top w:val="none" w:sz="0" w:space="0" w:color="auto"/>
                <w:left w:val="none" w:sz="0" w:space="0" w:color="auto"/>
                <w:bottom w:val="none" w:sz="0" w:space="0" w:color="auto"/>
                <w:right w:val="none" w:sz="0" w:space="0" w:color="auto"/>
              </w:divBdr>
              <w:divsChild>
                <w:div w:id="1495612390">
                  <w:marLeft w:val="0"/>
                  <w:marRight w:val="0"/>
                  <w:marTop w:val="0"/>
                  <w:marBottom w:val="0"/>
                  <w:divBdr>
                    <w:top w:val="single" w:sz="48" w:space="0" w:color="FFFFFF"/>
                    <w:left w:val="none" w:sz="0" w:space="0" w:color="auto"/>
                    <w:bottom w:val="none" w:sz="0" w:space="0" w:color="auto"/>
                    <w:right w:val="none" w:sz="0" w:space="0" w:color="auto"/>
                  </w:divBdr>
                  <w:divsChild>
                    <w:div w:id="716706136">
                      <w:marLeft w:val="2257"/>
                      <w:marRight w:val="0"/>
                      <w:marTop w:val="0"/>
                      <w:marBottom w:val="0"/>
                      <w:divBdr>
                        <w:top w:val="none" w:sz="0" w:space="0" w:color="auto"/>
                        <w:left w:val="none" w:sz="0" w:space="0" w:color="auto"/>
                        <w:bottom w:val="none" w:sz="0" w:space="0" w:color="auto"/>
                        <w:right w:val="none" w:sz="0" w:space="0" w:color="auto"/>
                      </w:divBdr>
                      <w:divsChild>
                        <w:div w:id="1571884154">
                          <w:marLeft w:val="0"/>
                          <w:marRight w:val="0"/>
                          <w:marTop w:val="0"/>
                          <w:marBottom w:val="0"/>
                          <w:divBdr>
                            <w:top w:val="none" w:sz="0" w:space="0" w:color="auto"/>
                            <w:left w:val="none" w:sz="0" w:space="0" w:color="auto"/>
                            <w:bottom w:val="none" w:sz="0" w:space="0" w:color="auto"/>
                            <w:right w:val="none" w:sz="0" w:space="0" w:color="auto"/>
                          </w:divBdr>
                          <w:divsChild>
                            <w:div w:id="1855073722">
                              <w:marLeft w:val="0"/>
                              <w:marRight w:val="2096"/>
                              <w:marTop w:val="0"/>
                              <w:marBottom w:val="0"/>
                              <w:divBdr>
                                <w:top w:val="none" w:sz="0" w:space="0" w:color="auto"/>
                                <w:left w:val="none" w:sz="0" w:space="0" w:color="auto"/>
                                <w:bottom w:val="none" w:sz="0" w:space="0" w:color="auto"/>
                                <w:right w:val="none" w:sz="0" w:space="0" w:color="auto"/>
                              </w:divBdr>
                              <w:divsChild>
                                <w:div w:id="535001526">
                                  <w:marLeft w:val="0"/>
                                  <w:marRight w:val="0"/>
                                  <w:marTop w:val="0"/>
                                  <w:marBottom w:val="0"/>
                                  <w:divBdr>
                                    <w:top w:val="none" w:sz="0" w:space="0" w:color="auto"/>
                                    <w:left w:val="none" w:sz="0" w:space="0" w:color="auto"/>
                                    <w:bottom w:val="none" w:sz="0" w:space="0" w:color="auto"/>
                                    <w:right w:val="none" w:sz="0" w:space="0" w:color="auto"/>
                                  </w:divBdr>
                                  <w:divsChild>
                                    <w:div w:id="703947780">
                                      <w:marLeft w:val="0"/>
                                      <w:marRight w:val="0"/>
                                      <w:marTop w:val="0"/>
                                      <w:marBottom w:val="0"/>
                                      <w:divBdr>
                                        <w:top w:val="none" w:sz="0" w:space="0" w:color="auto"/>
                                        <w:left w:val="none" w:sz="0" w:space="0" w:color="auto"/>
                                        <w:bottom w:val="none" w:sz="0" w:space="0" w:color="auto"/>
                                        <w:right w:val="none" w:sz="0" w:space="0" w:color="auto"/>
                                      </w:divBdr>
                                      <w:divsChild>
                                        <w:div w:id="360404549">
                                          <w:marLeft w:val="0"/>
                                          <w:marRight w:val="0"/>
                                          <w:marTop w:val="0"/>
                                          <w:marBottom w:val="0"/>
                                          <w:divBdr>
                                            <w:top w:val="none" w:sz="0" w:space="0" w:color="auto"/>
                                            <w:left w:val="none" w:sz="0" w:space="0" w:color="auto"/>
                                            <w:bottom w:val="none" w:sz="0" w:space="0" w:color="auto"/>
                                            <w:right w:val="none" w:sz="0" w:space="0" w:color="auto"/>
                                          </w:divBdr>
                                          <w:divsChild>
                                            <w:div w:id="1815443041">
                                              <w:marLeft w:val="0"/>
                                              <w:marRight w:val="0"/>
                                              <w:marTop w:val="0"/>
                                              <w:marBottom w:val="0"/>
                                              <w:divBdr>
                                                <w:top w:val="none" w:sz="0" w:space="0" w:color="auto"/>
                                                <w:left w:val="none" w:sz="0" w:space="0" w:color="auto"/>
                                                <w:bottom w:val="none" w:sz="0" w:space="0" w:color="auto"/>
                                                <w:right w:val="none" w:sz="0" w:space="0" w:color="auto"/>
                                              </w:divBdr>
                                              <w:divsChild>
                                                <w:div w:id="432434423">
                                                  <w:marLeft w:val="0"/>
                                                  <w:marRight w:val="0"/>
                                                  <w:marTop w:val="0"/>
                                                  <w:marBottom w:val="0"/>
                                                  <w:divBdr>
                                                    <w:top w:val="none" w:sz="0" w:space="0" w:color="auto"/>
                                                    <w:left w:val="none" w:sz="0" w:space="0" w:color="auto"/>
                                                    <w:bottom w:val="none" w:sz="0" w:space="0" w:color="auto"/>
                                                    <w:right w:val="none" w:sz="0" w:space="0" w:color="auto"/>
                                                  </w:divBdr>
                                                  <w:divsChild>
                                                    <w:div w:id="11027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5266423">
      <w:bodyDiv w:val="1"/>
      <w:marLeft w:val="0"/>
      <w:marRight w:val="0"/>
      <w:marTop w:val="0"/>
      <w:marBottom w:val="0"/>
      <w:divBdr>
        <w:top w:val="none" w:sz="0" w:space="0" w:color="auto"/>
        <w:left w:val="none" w:sz="0" w:space="0" w:color="auto"/>
        <w:bottom w:val="none" w:sz="0" w:space="0" w:color="auto"/>
        <w:right w:val="none" w:sz="0" w:space="0" w:color="auto"/>
      </w:divBdr>
      <w:divsChild>
        <w:div w:id="510143208">
          <w:marLeft w:val="0"/>
          <w:marRight w:val="0"/>
          <w:marTop w:val="0"/>
          <w:marBottom w:val="0"/>
          <w:divBdr>
            <w:top w:val="none" w:sz="0" w:space="0" w:color="auto"/>
            <w:left w:val="none" w:sz="0" w:space="0" w:color="auto"/>
            <w:bottom w:val="none" w:sz="0" w:space="0" w:color="auto"/>
            <w:right w:val="none" w:sz="0" w:space="0" w:color="auto"/>
          </w:divBdr>
          <w:divsChild>
            <w:div w:id="372581656">
              <w:marLeft w:val="0"/>
              <w:marRight w:val="0"/>
              <w:marTop w:val="0"/>
              <w:marBottom w:val="0"/>
              <w:divBdr>
                <w:top w:val="none" w:sz="0" w:space="0" w:color="auto"/>
                <w:left w:val="none" w:sz="0" w:space="0" w:color="auto"/>
                <w:bottom w:val="none" w:sz="0" w:space="0" w:color="auto"/>
                <w:right w:val="none" w:sz="0" w:space="0" w:color="auto"/>
              </w:divBdr>
              <w:divsChild>
                <w:div w:id="809984007">
                  <w:marLeft w:val="0"/>
                  <w:marRight w:val="0"/>
                  <w:marTop w:val="0"/>
                  <w:marBottom w:val="0"/>
                  <w:divBdr>
                    <w:top w:val="single" w:sz="48" w:space="0" w:color="FFFFFF"/>
                    <w:left w:val="none" w:sz="0" w:space="0" w:color="auto"/>
                    <w:bottom w:val="none" w:sz="0" w:space="0" w:color="auto"/>
                    <w:right w:val="none" w:sz="0" w:space="0" w:color="auto"/>
                  </w:divBdr>
                  <w:divsChild>
                    <w:div w:id="1015155487">
                      <w:marLeft w:val="3150"/>
                      <w:marRight w:val="0"/>
                      <w:marTop w:val="0"/>
                      <w:marBottom w:val="0"/>
                      <w:divBdr>
                        <w:top w:val="none" w:sz="0" w:space="0" w:color="auto"/>
                        <w:left w:val="none" w:sz="0" w:space="0" w:color="auto"/>
                        <w:bottom w:val="none" w:sz="0" w:space="0" w:color="auto"/>
                        <w:right w:val="none" w:sz="0" w:space="0" w:color="auto"/>
                      </w:divBdr>
                      <w:divsChild>
                        <w:div w:id="1391613092">
                          <w:marLeft w:val="0"/>
                          <w:marRight w:val="0"/>
                          <w:marTop w:val="0"/>
                          <w:marBottom w:val="0"/>
                          <w:divBdr>
                            <w:top w:val="none" w:sz="0" w:space="0" w:color="auto"/>
                            <w:left w:val="none" w:sz="0" w:space="0" w:color="auto"/>
                            <w:bottom w:val="none" w:sz="0" w:space="0" w:color="auto"/>
                            <w:right w:val="none" w:sz="0" w:space="0" w:color="auto"/>
                          </w:divBdr>
                          <w:divsChild>
                            <w:div w:id="1534273144">
                              <w:marLeft w:val="0"/>
                              <w:marRight w:val="2925"/>
                              <w:marTop w:val="0"/>
                              <w:marBottom w:val="0"/>
                              <w:divBdr>
                                <w:top w:val="none" w:sz="0" w:space="0" w:color="auto"/>
                                <w:left w:val="none" w:sz="0" w:space="0" w:color="auto"/>
                                <w:bottom w:val="none" w:sz="0" w:space="0" w:color="auto"/>
                                <w:right w:val="none" w:sz="0" w:space="0" w:color="auto"/>
                              </w:divBdr>
                              <w:divsChild>
                                <w:div w:id="1391270819">
                                  <w:marLeft w:val="0"/>
                                  <w:marRight w:val="0"/>
                                  <w:marTop w:val="0"/>
                                  <w:marBottom w:val="0"/>
                                  <w:divBdr>
                                    <w:top w:val="none" w:sz="0" w:space="0" w:color="auto"/>
                                    <w:left w:val="none" w:sz="0" w:space="0" w:color="auto"/>
                                    <w:bottom w:val="none" w:sz="0" w:space="0" w:color="auto"/>
                                    <w:right w:val="none" w:sz="0" w:space="0" w:color="auto"/>
                                  </w:divBdr>
                                  <w:divsChild>
                                    <w:div w:id="1487895393">
                                      <w:marLeft w:val="0"/>
                                      <w:marRight w:val="0"/>
                                      <w:marTop w:val="0"/>
                                      <w:marBottom w:val="0"/>
                                      <w:divBdr>
                                        <w:top w:val="none" w:sz="0" w:space="0" w:color="auto"/>
                                        <w:left w:val="none" w:sz="0" w:space="0" w:color="auto"/>
                                        <w:bottom w:val="none" w:sz="0" w:space="0" w:color="auto"/>
                                        <w:right w:val="none" w:sz="0" w:space="0" w:color="auto"/>
                                      </w:divBdr>
                                      <w:divsChild>
                                        <w:div w:id="191916863">
                                          <w:marLeft w:val="0"/>
                                          <w:marRight w:val="0"/>
                                          <w:marTop w:val="0"/>
                                          <w:marBottom w:val="0"/>
                                          <w:divBdr>
                                            <w:top w:val="none" w:sz="0" w:space="0" w:color="auto"/>
                                            <w:left w:val="none" w:sz="0" w:space="0" w:color="auto"/>
                                            <w:bottom w:val="none" w:sz="0" w:space="0" w:color="auto"/>
                                            <w:right w:val="none" w:sz="0" w:space="0" w:color="auto"/>
                                          </w:divBdr>
                                        </w:div>
                                        <w:div w:id="1716201361">
                                          <w:marLeft w:val="0"/>
                                          <w:marRight w:val="0"/>
                                          <w:marTop w:val="0"/>
                                          <w:marBottom w:val="0"/>
                                          <w:divBdr>
                                            <w:top w:val="none" w:sz="0" w:space="0" w:color="auto"/>
                                            <w:left w:val="none" w:sz="0" w:space="0" w:color="auto"/>
                                            <w:bottom w:val="none" w:sz="0" w:space="0" w:color="auto"/>
                                            <w:right w:val="none" w:sz="0" w:space="0" w:color="auto"/>
                                          </w:divBdr>
                                        </w:div>
                                        <w:div w:id="1822501410">
                                          <w:marLeft w:val="0"/>
                                          <w:marRight w:val="0"/>
                                          <w:marTop w:val="0"/>
                                          <w:marBottom w:val="0"/>
                                          <w:divBdr>
                                            <w:top w:val="none" w:sz="0" w:space="0" w:color="auto"/>
                                            <w:left w:val="none" w:sz="0" w:space="0" w:color="auto"/>
                                            <w:bottom w:val="none" w:sz="0" w:space="0" w:color="auto"/>
                                            <w:right w:val="none" w:sz="0" w:space="0" w:color="auto"/>
                                          </w:divBdr>
                                        </w:div>
                                        <w:div w:id="20477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124977">
      <w:bodyDiv w:val="1"/>
      <w:marLeft w:val="0"/>
      <w:marRight w:val="0"/>
      <w:marTop w:val="0"/>
      <w:marBottom w:val="0"/>
      <w:divBdr>
        <w:top w:val="none" w:sz="0" w:space="0" w:color="auto"/>
        <w:left w:val="none" w:sz="0" w:space="0" w:color="auto"/>
        <w:bottom w:val="none" w:sz="0" w:space="0" w:color="auto"/>
        <w:right w:val="none" w:sz="0" w:space="0" w:color="auto"/>
      </w:divBdr>
      <w:divsChild>
        <w:div w:id="178396679">
          <w:marLeft w:val="0"/>
          <w:marRight w:val="0"/>
          <w:marTop w:val="0"/>
          <w:marBottom w:val="0"/>
          <w:divBdr>
            <w:top w:val="none" w:sz="0" w:space="0" w:color="auto"/>
            <w:left w:val="none" w:sz="0" w:space="0" w:color="auto"/>
            <w:bottom w:val="none" w:sz="0" w:space="0" w:color="auto"/>
            <w:right w:val="none" w:sz="0" w:space="0" w:color="auto"/>
          </w:divBdr>
          <w:divsChild>
            <w:div w:id="340737682">
              <w:marLeft w:val="0"/>
              <w:marRight w:val="0"/>
              <w:marTop w:val="0"/>
              <w:marBottom w:val="0"/>
              <w:divBdr>
                <w:top w:val="none" w:sz="0" w:space="0" w:color="auto"/>
                <w:left w:val="none" w:sz="0" w:space="0" w:color="auto"/>
                <w:bottom w:val="none" w:sz="0" w:space="0" w:color="auto"/>
                <w:right w:val="none" w:sz="0" w:space="0" w:color="auto"/>
              </w:divBdr>
              <w:divsChild>
                <w:div w:id="1590233082">
                  <w:marLeft w:val="0"/>
                  <w:marRight w:val="0"/>
                  <w:marTop w:val="0"/>
                  <w:marBottom w:val="0"/>
                  <w:divBdr>
                    <w:top w:val="single" w:sz="48" w:space="0" w:color="FFFFFF"/>
                    <w:left w:val="none" w:sz="0" w:space="0" w:color="auto"/>
                    <w:bottom w:val="none" w:sz="0" w:space="0" w:color="auto"/>
                    <w:right w:val="none" w:sz="0" w:space="0" w:color="auto"/>
                  </w:divBdr>
                  <w:divsChild>
                    <w:div w:id="1096292313">
                      <w:marLeft w:val="2257"/>
                      <w:marRight w:val="0"/>
                      <w:marTop w:val="0"/>
                      <w:marBottom w:val="0"/>
                      <w:divBdr>
                        <w:top w:val="none" w:sz="0" w:space="0" w:color="auto"/>
                        <w:left w:val="none" w:sz="0" w:space="0" w:color="auto"/>
                        <w:bottom w:val="none" w:sz="0" w:space="0" w:color="auto"/>
                        <w:right w:val="none" w:sz="0" w:space="0" w:color="auto"/>
                      </w:divBdr>
                      <w:divsChild>
                        <w:div w:id="1692797130">
                          <w:marLeft w:val="0"/>
                          <w:marRight w:val="0"/>
                          <w:marTop w:val="0"/>
                          <w:marBottom w:val="0"/>
                          <w:divBdr>
                            <w:top w:val="none" w:sz="0" w:space="0" w:color="auto"/>
                            <w:left w:val="none" w:sz="0" w:space="0" w:color="auto"/>
                            <w:bottom w:val="none" w:sz="0" w:space="0" w:color="auto"/>
                            <w:right w:val="none" w:sz="0" w:space="0" w:color="auto"/>
                          </w:divBdr>
                          <w:divsChild>
                            <w:div w:id="1562329502">
                              <w:marLeft w:val="0"/>
                              <w:marRight w:val="2096"/>
                              <w:marTop w:val="0"/>
                              <w:marBottom w:val="0"/>
                              <w:divBdr>
                                <w:top w:val="none" w:sz="0" w:space="0" w:color="auto"/>
                                <w:left w:val="none" w:sz="0" w:space="0" w:color="auto"/>
                                <w:bottom w:val="none" w:sz="0" w:space="0" w:color="auto"/>
                                <w:right w:val="none" w:sz="0" w:space="0" w:color="auto"/>
                              </w:divBdr>
                              <w:divsChild>
                                <w:div w:id="77754021">
                                  <w:marLeft w:val="0"/>
                                  <w:marRight w:val="0"/>
                                  <w:marTop w:val="0"/>
                                  <w:marBottom w:val="0"/>
                                  <w:divBdr>
                                    <w:top w:val="none" w:sz="0" w:space="0" w:color="auto"/>
                                    <w:left w:val="none" w:sz="0" w:space="0" w:color="auto"/>
                                    <w:bottom w:val="none" w:sz="0" w:space="0" w:color="auto"/>
                                    <w:right w:val="none" w:sz="0" w:space="0" w:color="auto"/>
                                  </w:divBdr>
                                  <w:divsChild>
                                    <w:div w:id="666251387">
                                      <w:marLeft w:val="0"/>
                                      <w:marRight w:val="0"/>
                                      <w:marTop w:val="0"/>
                                      <w:marBottom w:val="0"/>
                                      <w:divBdr>
                                        <w:top w:val="none" w:sz="0" w:space="0" w:color="auto"/>
                                        <w:left w:val="none" w:sz="0" w:space="0" w:color="auto"/>
                                        <w:bottom w:val="none" w:sz="0" w:space="0" w:color="auto"/>
                                        <w:right w:val="none" w:sz="0" w:space="0" w:color="auto"/>
                                      </w:divBdr>
                                      <w:divsChild>
                                        <w:div w:id="1144271910">
                                          <w:marLeft w:val="0"/>
                                          <w:marRight w:val="0"/>
                                          <w:marTop w:val="0"/>
                                          <w:marBottom w:val="0"/>
                                          <w:divBdr>
                                            <w:top w:val="none" w:sz="0" w:space="0" w:color="auto"/>
                                            <w:left w:val="none" w:sz="0" w:space="0" w:color="auto"/>
                                            <w:bottom w:val="none" w:sz="0" w:space="0" w:color="auto"/>
                                            <w:right w:val="none" w:sz="0" w:space="0" w:color="auto"/>
                                          </w:divBdr>
                                          <w:divsChild>
                                            <w:div w:id="2054117807">
                                              <w:marLeft w:val="0"/>
                                              <w:marRight w:val="0"/>
                                              <w:marTop w:val="0"/>
                                              <w:marBottom w:val="0"/>
                                              <w:divBdr>
                                                <w:top w:val="none" w:sz="0" w:space="0" w:color="auto"/>
                                                <w:left w:val="none" w:sz="0" w:space="0" w:color="auto"/>
                                                <w:bottom w:val="none" w:sz="0" w:space="0" w:color="auto"/>
                                                <w:right w:val="none" w:sz="0" w:space="0" w:color="auto"/>
                                              </w:divBdr>
                                              <w:divsChild>
                                                <w:div w:id="958992995">
                                                  <w:marLeft w:val="0"/>
                                                  <w:marRight w:val="0"/>
                                                  <w:marTop w:val="0"/>
                                                  <w:marBottom w:val="0"/>
                                                  <w:divBdr>
                                                    <w:top w:val="none" w:sz="0" w:space="0" w:color="auto"/>
                                                    <w:left w:val="none" w:sz="0" w:space="0" w:color="auto"/>
                                                    <w:bottom w:val="none" w:sz="0" w:space="0" w:color="auto"/>
                                                    <w:right w:val="none" w:sz="0" w:space="0" w:color="auto"/>
                                                  </w:divBdr>
                                                  <w:divsChild>
                                                    <w:div w:id="9295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093602">
      <w:bodyDiv w:val="1"/>
      <w:marLeft w:val="0"/>
      <w:marRight w:val="0"/>
      <w:marTop w:val="0"/>
      <w:marBottom w:val="0"/>
      <w:divBdr>
        <w:top w:val="none" w:sz="0" w:space="0" w:color="auto"/>
        <w:left w:val="none" w:sz="0" w:space="0" w:color="auto"/>
        <w:bottom w:val="none" w:sz="0" w:space="0" w:color="auto"/>
        <w:right w:val="none" w:sz="0" w:space="0" w:color="auto"/>
      </w:divBdr>
    </w:div>
    <w:div w:id="1791432252">
      <w:bodyDiv w:val="1"/>
      <w:marLeft w:val="0"/>
      <w:marRight w:val="0"/>
      <w:marTop w:val="0"/>
      <w:marBottom w:val="0"/>
      <w:divBdr>
        <w:top w:val="none" w:sz="0" w:space="0" w:color="auto"/>
        <w:left w:val="none" w:sz="0" w:space="0" w:color="auto"/>
        <w:bottom w:val="none" w:sz="0" w:space="0" w:color="auto"/>
        <w:right w:val="none" w:sz="0" w:space="0" w:color="auto"/>
      </w:divBdr>
      <w:divsChild>
        <w:div w:id="569538324">
          <w:marLeft w:val="0"/>
          <w:marRight w:val="0"/>
          <w:marTop w:val="0"/>
          <w:marBottom w:val="0"/>
          <w:divBdr>
            <w:top w:val="none" w:sz="0" w:space="0" w:color="auto"/>
            <w:left w:val="none" w:sz="0" w:space="0" w:color="auto"/>
            <w:bottom w:val="none" w:sz="0" w:space="0" w:color="auto"/>
            <w:right w:val="none" w:sz="0" w:space="0" w:color="auto"/>
          </w:divBdr>
          <w:divsChild>
            <w:div w:id="32006889">
              <w:marLeft w:val="0"/>
              <w:marRight w:val="0"/>
              <w:marTop w:val="0"/>
              <w:marBottom w:val="0"/>
              <w:divBdr>
                <w:top w:val="none" w:sz="0" w:space="0" w:color="auto"/>
                <w:left w:val="none" w:sz="0" w:space="0" w:color="auto"/>
                <w:bottom w:val="none" w:sz="0" w:space="0" w:color="auto"/>
                <w:right w:val="none" w:sz="0" w:space="0" w:color="auto"/>
              </w:divBdr>
              <w:divsChild>
                <w:div w:id="1954828063">
                  <w:marLeft w:val="0"/>
                  <w:marRight w:val="0"/>
                  <w:marTop w:val="0"/>
                  <w:marBottom w:val="0"/>
                  <w:divBdr>
                    <w:top w:val="single" w:sz="48" w:space="0" w:color="FFFFFF"/>
                    <w:left w:val="none" w:sz="0" w:space="0" w:color="auto"/>
                    <w:bottom w:val="none" w:sz="0" w:space="0" w:color="auto"/>
                    <w:right w:val="none" w:sz="0" w:space="0" w:color="auto"/>
                  </w:divBdr>
                  <w:divsChild>
                    <w:div w:id="872495768">
                      <w:marLeft w:val="2257"/>
                      <w:marRight w:val="0"/>
                      <w:marTop w:val="0"/>
                      <w:marBottom w:val="0"/>
                      <w:divBdr>
                        <w:top w:val="none" w:sz="0" w:space="0" w:color="auto"/>
                        <w:left w:val="none" w:sz="0" w:space="0" w:color="auto"/>
                        <w:bottom w:val="none" w:sz="0" w:space="0" w:color="auto"/>
                        <w:right w:val="none" w:sz="0" w:space="0" w:color="auto"/>
                      </w:divBdr>
                      <w:divsChild>
                        <w:div w:id="1312445444">
                          <w:marLeft w:val="0"/>
                          <w:marRight w:val="0"/>
                          <w:marTop w:val="0"/>
                          <w:marBottom w:val="0"/>
                          <w:divBdr>
                            <w:top w:val="none" w:sz="0" w:space="0" w:color="auto"/>
                            <w:left w:val="none" w:sz="0" w:space="0" w:color="auto"/>
                            <w:bottom w:val="none" w:sz="0" w:space="0" w:color="auto"/>
                            <w:right w:val="none" w:sz="0" w:space="0" w:color="auto"/>
                          </w:divBdr>
                          <w:divsChild>
                            <w:div w:id="244268131">
                              <w:marLeft w:val="0"/>
                              <w:marRight w:val="2096"/>
                              <w:marTop w:val="0"/>
                              <w:marBottom w:val="0"/>
                              <w:divBdr>
                                <w:top w:val="none" w:sz="0" w:space="0" w:color="auto"/>
                                <w:left w:val="none" w:sz="0" w:space="0" w:color="auto"/>
                                <w:bottom w:val="none" w:sz="0" w:space="0" w:color="auto"/>
                                <w:right w:val="none" w:sz="0" w:space="0" w:color="auto"/>
                              </w:divBdr>
                              <w:divsChild>
                                <w:div w:id="2024280903">
                                  <w:marLeft w:val="0"/>
                                  <w:marRight w:val="0"/>
                                  <w:marTop w:val="0"/>
                                  <w:marBottom w:val="0"/>
                                  <w:divBdr>
                                    <w:top w:val="none" w:sz="0" w:space="0" w:color="auto"/>
                                    <w:left w:val="none" w:sz="0" w:space="0" w:color="auto"/>
                                    <w:bottom w:val="none" w:sz="0" w:space="0" w:color="auto"/>
                                    <w:right w:val="none" w:sz="0" w:space="0" w:color="auto"/>
                                  </w:divBdr>
                                  <w:divsChild>
                                    <w:div w:id="17202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287808">
      <w:bodyDiv w:val="1"/>
      <w:marLeft w:val="0"/>
      <w:marRight w:val="0"/>
      <w:marTop w:val="0"/>
      <w:marBottom w:val="0"/>
      <w:divBdr>
        <w:top w:val="none" w:sz="0" w:space="0" w:color="auto"/>
        <w:left w:val="none" w:sz="0" w:space="0" w:color="auto"/>
        <w:bottom w:val="none" w:sz="0" w:space="0" w:color="auto"/>
        <w:right w:val="none" w:sz="0" w:space="0" w:color="auto"/>
      </w:divBdr>
      <w:divsChild>
        <w:div w:id="1219323244">
          <w:marLeft w:val="0"/>
          <w:marRight w:val="0"/>
          <w:marTop w:val="0"/>
          <w:marBottom w:val="0"/>
          <w:divBdr>
            <w:top w:val="none" w:sz="0" w:space="0" w:color="auto"/>
            <w:left w:val="none" w:sz="0" w:space="0" w:color="auto"/>
            <w:bottom w:val="none" w:sz="0" w:space="0" w:color="auto"/>
            <w:right w:val="none" w:sz="0" w:space="0" w:color="auto"/>
          </w:divBdr>
          <w:divsChild>
            <w:div w:id="885068816">
              <w:marLeft w:val="0"/>
              <w:marRight w:val="0"/>
              <w:marTop w:val="0"/>
              <w:marBottom w:val="0"/>
              <w:divBdr>
                <w:top w:val="none" w:sz="0" w:space="0" w:color="auto"/>
                <w:left w:val="none" w:sz="0" w:space="0" w:color="auto"/>
                <w:bottom w:val="none" w:sz="0" w:space="0" w:color="auto"/>
                <w:right w:val="none" w:sz="0" w:space="0" w:color="auto"/>
              </w:divBdr>
              <w:divsChild>
                <w:div w:id="2000883828">
                  <w:marLeft w:val="0"/>
                  <w:marRight w:val="0"/>
                  <w:marTop w:val="0"/>
                  <w:marBottom w:val="0"/>
                  <w:divBdr>
                    <w:top w:val="none" w:sz="0" w:space="0" w:color="auto"/>
                    <w:left w:val="none" w:sz="0" w:space="0" w:color="auto"/>
                    <w:bottom w:val="none" w:sz="0" w:space="0" w:color="auto"/>
                    <w:right w:val="none" w:sz="0" w:space="0" w:color="auto"/>
                  </w:divBdr>
                  <w:divsChild>
                    <w:div w:id="37975979">
                      <w:marLeft w:val="0"/>
                      <w:marRight w:val="0"/>
                      <w:marTop w:val="0"/>
                      <w:marBottom w:val="0"/>
                      <w:divBdr>
                        <w:top w:val="none" w:sz="0" w:space="0" w:color="auto"/>
                        <w:left w:val="none" w:sz="0" w:space="0" w:color="auto"/>
                        <w:bottom w:val="none" w:sz="0" w:space="0" w:color="auto"/>
                        <w:right w:val="none" w:sz="0" w:space="0" w:color="auto"/>
                      </w:divBdr>
                      <w:divsChild>
                        <w:div w:id="1387677344">
                          <w:marLeft w:val="0"/>
                          <w:marRight w:val="0"/>
                          <w:marTop w:val="0"/>
                          <w:marBottom w:val="0"/>
                          <w:divBdr>
                            <w:top w:val="none" w:sz="0" w:space="0" w:color="auto"/>
                            <w:left w:val="none" w:sz="0" w:space="0" w:color="auto"/>
                            <w:bottom w:val="none" w:sz="0" w:space="0" w:color="auto"/>
                            <w:right w:val="none" w:sz="0" w:space="0" w:color="auto"/>
                          </w:divBdr>
                          <w:divsChild>
                            <w:div w:id="1327633752">
                              <w:marLeft w:val="0"/>
                              <w:marRight w:val="0"/>
                              <w:marTop w:val="0"/>
                              <w:marBottom w:val="0"/>
                              <w:divBdr>
                                <w:top w:val="none" w:sz="0" w:space="0" w:color="auto"/>
                                <w:left w:val="none" w:sz="0" w:space="0" w:color="auto"/>
                                <w:bottom w:val="none" w:sz="0" w:space="0" w:color="auto"/>
                                <w:right w:val="none" w:sz="0" w:space="0" w:color="auto"/>
                              </w:divBdr>
                              <w:divsChild>
                                <w:div w:id="554313322">
                                  <w:marLeft w:val="0"/>
                                  <w:marRight w:val="0"/>
                                  <w:marTop w:val="0"/>
                                  <w:marBottom w:val="0"/>
                                  <w:divBdr>
                                    <w:top w:val="none" w:sz="0" w:space="0" w:color="auto"/>
                                    <w:left w:val="none" w:sz="0" w:space="0" w:color="auto"/>
                                    <w:bottom w:val="none" w:sz="0" w:space="0" w:color="auto"/>
                                    <w:right w:val="none" w:sz="0" w:space="0" w:color="auto"/>
                                  </w:divBdr>
                                  <w:divsChild>
                                    <w:div w:id="1752854236">
                                      <w:marLeft w:val="0"/>
                                      <w:marRight w:val="0"/>
                                      <w:marTop w:val="0"/>
                                      <w:marBottom w:val="0"/>
                                      <w:divBdr>
                                        <w:top w:val="none" w:sz="0" w:space="0" w:color="auto"/>
                                        <w:left w:val="none" w:sz="0" w:space="0" w:color="auto"/>
                                        <w:bottom w:val="none" w:sz="0" w:space="0" w:color="auto"/>
                                        <w:right w:val="none" w:sz="0" w:space="0" w:color="auto"/>
                                      </w:divBdr>
                                      <w:divsChild>
                                        <w:div w:id="250091731">
                                          <w:marLeft w:val="0"/>
                                          <w:marRight w:val="0"/>
                                          <w:marTop w:val="0"/>
                                          <w:marBottom w:val="0"/>
                                          <w:divBdr>
                                            <w:top w:val="none" w:sz="0" w:space="0" w:color="auto"/>
                                            <w:left w:val="none" w:sz="0" w:space="0" w:color="auto"/>
                                            <w:bottom w:val="none" w:sz="0" w:space="0" w:color="auto"/>
                                            <w:right w:val="none" w:sz="0" w:space="0" w:color="auto"/>
                                          </w:divBdr>
                                          <w:divsChild>
                                            <w:div w:id="1839269328">
                                              <w:marLeft w:val="0"/>
                                              <w:marRight w:val="0"/>
                                              <w:marTop w:val="0"/>
                                              <w:marBottom w:val="0"/>
                                              <w:divBdr>
                                                <w:top w:val="none" w:sz="0" w:space="0" w:color="auto"/>
                                                <w:left w:val="none" w:sz="0" w:space="0" w:color="auto"/>
                                                <w:bottom w:val="none" w:sz="0" w:space="0" w:color="auto"/>
                                                <w:right w:val="none" w:sz="0" w:space="0" w:color="auto"/>
                                              </w:divBdr>
                                              <w:divsChild>
                                                <w:div w:id="2093356356">
                                                  <w:marLeft w:val="0"/>
                                                  <w:marRight w:val="0"/>
                                                  <w:marTop w:val="0"/>
                                                  <w:marBottom w:val="0"/>
                                                  <w:divBdr>
                                                    <w:top w:val="none" w:sz="0" w:space="0" w:color="auto"/>
                                                    <w:left w:val="none" w:sz="0" w:space="0" w:color="auto"/>
                                                    <w:bottom w:val="none" w:sz="0" w:space="0" w:color="auto"/>
                                                    <w:right w:val="none" w:sz="0" w:space="0" w:color="auto"/>
                                                  </w:divBdr>
                                                  <w:divsChild>
                                                    <w:div w:id="2080513553">
                                                      <w:marLeft w:val="0"/>
                                                      <w:marRight w:val="0"/>
                                                      <w:marTop w:val="0"/>
                                                      <w:marBottom w:val="0"/>
                                                      <w:divBdr>
                                                        <w:top w:val="none" w:sz="0" w:space="0" w:color="auto"/>
                                                        <w:left w:val="none" w:sz="0" w:space="0" w:color="auto"/>
                                                        <w:bottom w:val="none" w:sz="0" w:space="0" w:color="auto"/>
                                                        <w:right w:val="none" w:sz="0" w:space="0" w:color="auto"/>
                                                      </w:divBdr>
                                                      <w:divsChild>
                                                        <w:div w:id="10868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66A5C421D8AD4F439F9FF2A1FED828D5" ma:contentTypeVersion="47" ma:contentTypeDescription="Create a new document." ma:contentTypeScope="" ma:versionID="4b1d6799ef8bad31a28aafe1a41441cd">
  <xsd:schema xmlns:xsd="http://www.w3.org/2001/XMLSchema" xmlns:xs="http://www.w3.org/2001/XMLSchema" xmlns:p="http://schemas.microsoft.com/office/2006/metadata/properties" xmlns:ns1="814d62cb-2db6-4c25-ab62-b9075facbc11" targetNamespace="http://schemas.microsoft.com/office/2006/metadata/properties" ma:root="true" ma:fieldsID="a05f14724fb02f6efb0e5679a7af7c2e"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nillable="true"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39d06302-02ef-4e2e-abab-b971cd9d1b12}" ma:internalName="TaxCatchAll" ma:showField="CatchAllData"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39d06302-02ef-4e2e-abab-b971cd9d1b12}" ma:internalName="TaxCatchAllLabel" ma:readOnly="true" ma:showField="CatchAllDataLabel"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APRACostCentre"><![CDATA[167;#PAD300|98bbdbe4-d019-48eb-87c4-aa31a7f2f98f;#191;#Legal - ADI|652d8d2a-ab45-47b4-ac6e-fe6ac9299b39;#192;#Legal - Insurance: General|8229dc1a-d7f2-47b2-844a-b026fed0c13d;#187;#Legal - Insurance: Life|56f18b50-6605-4f3f-97e3-cad1cb5394e0;#193;#Legal - Superannuation|cce3181d-fd23-4eee-94d3-c66abc2350cf;#194;#Legal - Corporate and Resolution|696624b1-19f4-47b2-a07b-57868a922a96]]></LongProp>
  <LongProp xmlns="" name="TaxCatchAll"><![CDATA[133;#Management of insurance risk (LI)|028ed8b1-49e1-40e5-a699-3adc81098243;#132;#Industry analysis|cdd91846-fd3b-4f2a-8719-bb6a420c4a65;#193;#Legal - Superannuation|cce3181d-fd23-4eee-94d3-c66abc2350cf;#194;#Legal - Corporate and Resolution|696624b1-19f4-47b2-a07b-57868a922a96;#111;#Legal instrument|71fd6ed3-d6d6-4975-ba99-bfe45802e734;#192;#Legal - Insurance: General|8229dc1a-d7f2-47b2-844a-b026fed0c13d;#6;#LI|aa6b8d6f-8851-e311-9e2e-005056b54f10;#5;#Final|84d6b2d0-8498-4d62-bf46-bab38babbe9e;#191;#Legal - ADI|652d8d2a-ab45-47b4-ac6e-fe6ac9299b39;#167;#PAD300|98bbdbe4-d019-48eb-87c4-aa31a7f2f98f;#187;#Legal - Insurance: Life|56f18b50-6605-4f3f-97e3-cad1cb5394e0]]></LongProp>
  <LongProp xmlns="" name="p10c80fc2da942ae8f2ea9b33b6ea0ba"><![CDATA[PAD300|98bbdbe4-d019-48eb-87c4-aa31a7f2f98f;Legal - ADI|652d8d2a-ab45-47b4-ac6e-fe6ac9299b39;Legal - Insurance: General|8229dc1a-d7f2-47b2-844a-b026fed0c13d;Legal - Insurance: Life|56f18b50-6605-4f3f-97e3-cad1cb5394e0;Legal - Superannuation|cce3181d-fd23-4eee-94d3-c66abc2350cf;Legal - Corporate and Resolution|696624b1-19f4-47b2-a07b-57868a922a96]]></LongProp>
</LongPropertie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19</Value>
      <Value>312</Value>
      <Value>8</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5PCYMS3VTAUD-626204655-7794</_dlc_DocId>
    <_dlc_DocIdUrl xmlns="814d62cb-2db6-4c25-ab62-b9075facbc11">
      <Url>https://im/teams/POLICYADI/_layouts/15/DocIdRedir.aspx?ID=5PCYMS3VTAUD-626204655-7794</Url>
      <Description>5PCYMS3VTAUD-626204655-7794</Description>
    </_dlc_DocIdUrl>
  </documentManagement>
</p:properties>
</file>

<file path=customXml/item6.xml><?xml version="1.0" encoding="utf-8"?>
<?mso-contentType ?>
<SharedContentType xmlns="Microsoft.SharePoint.Taxonomy.ContentTypeSync" SourceId="8aef97a4-ded2-4e4a-9fbc-e666dae3ecd2" ContentTypeId="0x0101008CA7A4F8331B45C7B0D3158B4994D0CA02" PreviousValue="false"/>
</file>

<file path=customXml/item7.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B7D04C8-0432-4EF9-BA03-E011E394256A}">
  <ds:schemaRefs>
    <ds:schemaRef ds:uri="http://schemas.microsoft.com/sharepoint/events"/>
  </ds:schemaRefs>
</ds:datastoreItem>
</file>

<file path=customXml/itemProps2.xml><?xml version="1.0" encoding="utf-8"?>
<ds:datastoreItem xmlns:ds="http://schemas.openxmlformats.org/officeDocument/2006/customXml" ds:itemID="{9F605F96-41C5-4FBB-A8D7-741F4CDCDB01}">
  <ds:schemaRefs>
    <ds:schemaRef ds:uri="http://schemas.microsoft.com/sharepoint/v3/contenttype/forms"/>
  </ds:schemaRefs>
</ds:datastoreItem>
</file>

<file path=customXml/itemProps3.xml><?xml version="1.0" encoding="utf-8"?>
<ds:datastoreItem xmlns:ds="http://schemas.openxmlformats.org/officeDocument/2006/customXml" ds:itemID="{5F14C712-8045-47C9-8E09-6BB85F1FD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31B6D-B1A0-40F9-876F-5107D296B3B5}">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9205010D-730D-4C72-9D92-A471BE9B1303}">
  <ds:schemaRefs>
    <ds:schemaRef ds:uri="http://purl.org/dc/dcmitype/"/>
    <ds:schemaRef ds:uri="814d62cb-2db6-4c25-ab62-b9075facbc11"/>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microsoft.com/office/2006/metadata/properties"/>
  </ds:schemaRefs>
</ds:datastoreItem>
</file>

<file path=customXml/itemProps6.xml><?xml version="1.0" encoding="utf-8"?>
<ds:datastoreItem xmlns:ds="http://schemas.openxmlformats.org/officeDocument/2006/customXml" ds:itemID="{34EB56FE-E37A-4FFA-856D-11C3D071BE9F}">
  <ds:schemaRefs>
    <ds:schemaRef ds:uri="Microsoft.SharePoint.Taxonomy.ContentTypeSync"/>
  </ds:schemaRefs>
</ds:datastoreItem>
</file>

<file path=customXml/itemProps7.xml><?xml version="1.0" encoding="utf-8"?>
<ds:datastoreItem xmlns:ds="http://schemas.openxmlformats.org/officeDocument/2006/customXml" ds:itemID="{D85572E7-005B-4C92-8348-2EDC3807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6558</Characters>
  <Application>Microsoft Office Word</Application>
  <DocSecurity>0</DocSecurity>
  <Lines>119</Lines>
  <Paragraphs>45</Paragraphs>
  <ScaleCrop>false</ScaleCrop>
  <HeadingPairs>
    <vt:vector size="2" baseType="variant">
      <vt:variant>
        <vt:lpstr>Title</vt:lpstr>
      </vt:variant>
      <vt:variant>
        <vt:i4>1</vt:i4>
      </vt:variant>
    </vt:vector>
  </HeadingPairs>
  <TitlesOfParts>
    <vt:vector size="1" baseType="lpstr">
      <vt:lpstr>Confidentiality Determination ARS 923.2 - Explanatory Statement</vt:lpstr>
    </vt:vector>
  </TitlesOfParts>
  <Manager/>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Determination ARS 923.2 - Explanatory Statement</dc:title>
  <dc:subject/>
  <dc:creator/>
  <cp:keywords>[SEC=UNCLASSIFIED]</cp:keywords>
  <dc:description/>
  <cp:lastModifiedBy/>
  <cp:revision>1</cp:revision>
  <cp:lastPrinted>2009-07-23T05:14:00Z</cp:lastPrinted>
  <dcterms:created xsi:type="dcterms:W3CDTF">2020-09-07T07:55:00Z</dcterms:created>
  <dcterms:modified xsi:type="dcterms:W3CDTF">2020-09-07T07:55:00Z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
  </property>
  <property fmtid="{D5CDD505-2E9C-101B-9397-08002B2CF9AE}" pid="3" name="PM_ProtectiveMarkingValue_Footer">
    <vt:lpwstr>UNCLASSIFIED</vt:lpwstr>
  </property>
  <property fmtid="{D5CDD505-2E9C-101B-9397-08002B2CF9AE}" pid="4" name="PM_Caveats_Count">
    <vt:lpwstr>0</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InsertionValue">
    <vt:lpwstr>UNCLASSIFIED</vt:lpwstr>
  </property>
  <property fmtid="{D5CDD505-2E9C-101B-9397-08002B2CF9AE}" pid="9" name="PM_ProtectiveMarkingValue_Header">
    <vt:lpwstr>UNCLASSIFIED</vt:lpwstr>
  </property>
  <property fmtid="{D5CDD505-2E9C-101B-9397-08002B2CF9AE}" pid="10" name="PM_ProtectiveMarkingImage_Header">
    <vt:lpwstr>C:\Program Files\Common Files\janusNET Shared\janusSEAL\Images\DocumentSlashBlue.png</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2012.3</vt:lpwstr>
  </property>
  <property fmtid="{D5CDD505-2E9C-101B-9397-08002B2CF9AE}" pid="14" name="PM_Originating_FileId">
    <vt:lpwstr>7F5B32EB07384FF695C88B500CBCF840</vt:lpwstr>
  </property>
  <property fmtid="{D5CDD505-2E9C-101B-9397-08002B2CF9AE}" pid="15" name="PM_Hash_Version">
    <vt:lpwstr>2018.0</vt:lpwstr>
  </property>
  <property fmtid="{D5CDD505-2E9C-101B-9397-08002B2CF9AE}" pid="16" name="PM_Hash_Salt_Prev">
    <vt:lpwstr>99DA57397A259EDABDAF36DE8DD27261</vt:lpwstr>
  </property>
  <property fmtid="{D5CDD505-2E9C-101B-9397-08002B2CF9AE}" pid="17" name="APRAPeriod">
    <vt:lpwstr/>
  </property>
  <property fmtid="{D5CDD505-2E9C-101B-9397-08002B2CF9AE}" pid="18" name="APRAPRSG">
    <vt:lpwstr/>
  </property>
  <property fmtid="{D5CDD505-2E9C-101B-9397-08002B2CF9AE}" pid="19" name="APRAActivity">
    <vt:lpwstr>19;#Prudential policy development|4cf81ba0-32a2-4f8f-8216-9e632903331b</vt:lpwstr>
  </property>
  <property fmtid="{D5CDD505-2E9C-101B-9397-08002B2CF9AE}" pid="20" name="APRAYear">
    <vt:lpwstr/>
  </property>
  <property fmtid="{D5CDD505-2E9C-101B-9397-08002B2CF9AE}" pid="21" name="APRAIndustry">
    <vt:lpwstr/>
  </property>
  <property fmtid="{D5CDD505-2E9C-101B-9397-08002B2CF9AE}" pid="22" name="_dlc_DocId">
    <vt:lpwstr>WP5AJ56JFQTV-44125397-961</vt:lpwstr>
  </property>
  <property fmtid="{D5CDD505-2E9C-101B-9397-08002B2CF9AE}" pid="23" name="_dlc_DocIdItemGuid">
    <vt:lpwstr>0d83bb0a-bbcd-457f-aaa5-11fb3dcfbf4d</vt:lpwstr>
  </property>
  <property fmtid="{D5CDD505-2E9C-101B-9397-08002B2CF9AE}" pid="24" name="_dlc_DocIdUrl">
    <vt:lpwstr>https://im/teams/POLICYINS/_layouts/15/DocIdRedir.aspx?ID=WP5AJ56JFQTV-44125397-961, WP5AJ56JFQTV-44125397-961</vt:lpwstr>
  </property>
  <property fmtid="{D5CDD505-2E9C-101B-9397-08002B2CF9AE}" pid="25" name="IsLocked">
    <vt:lpwstr>False</vt:lpwstr>
  </property>
  <property fmtid="{D5CDD505-2E9C-101B-9397-08002B2CF9AE}" pid="26" name="APRACostCentre">
    <vt:lpwstr/>
  </property>
  <property fmtid="{D5CDD505-2E9C-101B-9397-08002B2CF9AE}" pid="27" name="APRAEntityAdviceSupport">
    <vt:lpwstr/>
  </property>
  <property fmtid="{D5CDD505-2E9C-101B-9397-08002B2CF9AE}" pid="28" name="APRAExternalOrganisation">
    <vt:lpwstr/>
  </property>
  <property fmtid="{D5CDD505-2E9C-101B-9397-08002B2CF9AE}" pid="29" name="APRALegislation">
    <vt:lpwstr/>
  </property>
  <property fmtid="{D5CDD505-2E9C-101B-9397-08002B2CF9AE}" pid="30" name="APRAIRTR">
    <vt:lpwstr/>
  </property>
  <property fmtid="{D5CDD505-2E9C-101B-9397-08002B2CF9AE}" pid="31" name="APRACategory">
    <vt:lpwstr/>
  </property>
  <property fmtid="{D5CDD505-2E9C-101B-9397-08002B2CF9AE}" pid="32" name="APRADocumentType">
    <vt:lpwstr>312;#Legal instrument|71fd6ed3-d6d6-4975-ba99-bfe45802e734</vt:lpwstr>
  </property>
  <property fmtid="{D5CDD505-2E9C-101B-9397-08002B2CF9AE}" pid="33" name="APRAStatus">
    <vt:lpwstr>8;#Final|84d6b2d0-8498-4d62-bf46-bab38babbe9e</vt:lpwstr>
  </property>
  <property fmtid="{D5CDD505-2E9C-101B-9397-08002B2CF9AE}" pid="34" name="RecordPoint_WorkflowType">
    <vt:lpwstr>ActiveSubmitStub</vt:lpwstr>
  </property>
  <property fmtid="{D5CDD505-2E9C-101B-9397-08002B2CF9AE}" pid="35" name="RecordPoint_ActiveItemSiteId">
    <vt:lpwstr>{673c3c09-c2de-4447-b34a-12048cb74e15}</vt:lpwstr>
  </property>
  <property fmtid="{D5CDD505-2E9C-101B-9397-08002B2CF9AE}" pid="36" name="RecordPoint_ActiveItemListId">
    <vt:lpwstr>{54723745-d72c-4003-be6c-0dd489a7c0f4}</vt:lpwstr>
  </property>
  <property fmtid="{D5CDD505-2E9C-101B-9397-08002B2CF9AE}" pid="37" name="RecordPoint_ActiveItemUniqueId">
    <vt:lpwstr>{0d83bb0a-bbcd-457f-aaa5-11fb3dcfbf4d}</vt:lpwstr>
  </property>
  <property fmtid="{D5CDD505-2E9C-101B-9397-08002B2CF9AE}" pid="38" name="RecordPoint_ActiveItemWebId">
    <vt:lpwstr>{6cf21f76-089f-49aa-b976-a2f63c0fa512}</vt:lpwstr>
  </property>
  <property fmtid="{D5CDD505-2E9C-101B-9397-08002B2CF9AE}" pid="39" name="RecordPoint_RecordNumberSubmitted">
    <vt:lpwstr>R0001164527</vt:lpwstr>
  </property>
  <property fmtid="{D5CDD505-2E9C-101B-9397-08002B2CF9AE}" pid="40" name="PM_SecurityClassification_Prev">
    <vt:lpwstr>UNCLASSIFIED</vt:lpwstr>
  </property>
  <property fmtid="{D5CDD505-2E9C-101B-9397-08002B2CF9AE}" pid="41" name="PM_Qualifier_Prev">
    <vt:lpwstr/>
  </property>
  <property fmtid="{D5CDD505-2E9C-101B-9397-08002B2CF9AE}" pid="42" name="IT system type">
    <vt:lpwstr/>
  </property>
  <property fmtid="{D5CDD505-2E9C-101B-9397-08002B2CF9AE}" pid="43" name="_docset_NoMedatataSyncRequired">
    <vt:lpwstr>False</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ContentTypeId">
    <vt:lpwstr>0x0101008CA7A4F8331B45C7B0D3158B4994D0CA020066A5C421D8AD4F439F9FF2A1FED828D5</vt:lpwstr>
  </property>
  <property fmtid="{D5CDD505-2E9C-101B-9397-08002B2CF9AE}" pid="48" name="PM_Note">
    <vt:lpwstr/>
  </property>
  <property fmtid="{D5CDD505-2E9C-101B-9397-08002B2CF9AE}" pid="49" name="PM_Markers">
    <vt:lpwstr/>
  </property>
  <property fmtid="{D5CDD505-2E9C-101B-9397-08002B2CF9AE}" pid="50" name="PM_Originator_Hash_SHA1">
    <vt:lpwstr>DBF2C23E4BADD8D7D0B29BB6B332033121013C98</vt:lpwstr>
  </property>
  <property fmtid="{D5CDD505-2E9C-101B-9397-08002B2CF9AE}" pid="51" name="PM_Hash_SHA1">
    <vt:lpwstr>B54814003C4B851464F14EEBDAF9E678520A3BBE</vt:lpwstr>
  </property>
  <property fmtid="{D5CDD505-2E9C-101B-9397-08002B2CF9AE}" pid="52" name="PM_OriginationTimeStamp">
    <vt:lpwstr>2020-09-07T07:55:22Z</vt:lpwstr>
  </property>
  <property fmtid="{D5CDD505-2E9C-101B-9397-08002B2CF9AE}" pid="53" name="PM_Hash_Salt">
    <vt:lpwstr>3B636DE6786AEDF1E2548CA648F69DCD</vt:lpwstr>
  </property>
  <property fmtid="{D5CDD505-2E9C-101B-9397-08002B2CF9AE}" pid="54" name="RecordPoint_SubmissionCompleted">
    <vt:lpwstr>2020-09-07T13:20:50.1731840+10:00</vt:lpwstr>
  </property>
</Properties>
</file>