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C2C7" w14:textId="77777777" w:rsidR="00105161" w:rsidRPr="000A2EFF" w:rsidRDefault="00105161" w:rsidP="00105161">
      <w:pPr>
        <w:jc w:val="center"/>
        <w:rPr>
          <w:b/>
        </w:rPr>
      </w:pPr>
      <w:bookmarkStart w:id="0" w:name="_GoBack"/>
      <w:bookmarkEnd w:id="0"/>
      <w:r w:rsidRPr="000A2EFF">
        <w:rPr>
          <w:b/>
        </w:rPr>
        <w:t>EXPLANATORY STATEMENT</w:t>
      </w:r>
    </w:p>
    <w:p w14:paraId="04A314AD" w14:textId="77777777" w:rsidR="00105161" w:rsidRDefault="00105161" w:rsidP="00105161">
      <w:pPr>
        <w:jc w:val="center"/>
        <w:rPr>
          <w:b/>
          <w:i/>
        </w:rPr>
      </w:pPr>
    </w:p>
    <w:p w14:paraId="7F5CF627" w14:textId="77777777" w:rsidR="00105161" w:rsidRPr="000A2EFF" w:rsidRDefault="00105161" w:rsidP="00105161">
      <w:pPr>
        <w:jc w:val="center"/>
        <w:rPr>
          <w:b/>
          <w:i/>
        </w:rPr>
      </w:pPr>
      <w:r w:rsidRPr="000A2EFF">
        <w:rPr>
          <w:b/>
          <w:i/>
        </w:rPr>
        <w:t>National Health Act 1953</w:t>
      </w:r>
    </w:p>
    <w:p w14:paraId="2C5C370C" w14:textId="77777777" w:rsidR="00105161" w:rsidRDefault="00105161" w:rsidP="0040449F">
      <w:pPr>
        <w:jc w:val="center"/>
        <w:rPr>
          <w:bCs/>
          <w:i/>
        </w:rPr>
      </w:pPr>
    </w:p>
    <w:p w14:paraId="68B88B04" w14:textId="77777777" w:rsidR="0040449F" w:rsidRPr="00891D83" w:rsidRDefault="0040449F" w:rsidP="0040449F">
      <w:pPr>
        <w:jc w:val="center"/>
        <w:rPr>
          <w:bCs/>
          <w:i/>
        </w:rPr>
      </w:pPr>
      <w:r w:rsidRPr="00891D83">
        <w:rPr>
          <w:bCs/>
          <w:i/>
        </w:rPr>
        <w:t xml:space="preserve">National Health (Immunisation Program – Designated Vaccines) Amendment Determination (No. </w:t>
      </w:r>
      <w:r w:rsidR="003E66D4">
        <w:rPr>
          <w:bCs/>
          <w:i/>
        </w:rPr>
        <w:t>3</w:t>
      </w:r>
      <w:r w:rsidRPr="00891D83">
        <w:rPr>
          <w:bCs/>
          <w:i/>
        </w:rPr>
        <w:t xml:space="preserve">) 2020 </w:t>
      </w:r>
    </w:p>
    <w:p w14:paraId="0ABA197C" w14:textId="77777777" w:rsidR="0040449F" w:rsidRPr="000A2EFF" w:rsidRDefault="0040449F" w:rsidP="0040449F">
      <w:pPr>
        <w:jc w:val="center"/>
        <w:rPr>
          <w:sz w:val="28"/>
          <w:szCs w:val="28"/>
        </w:rPr>
      </w:pPr>
    </w:p>
    <w:p w14:paraId="20705548" w14:textId="77777777" w:rsidR="0040449F" w:rsidRPr="000A2EFF" w:rsidRDefault="0040449F" w:rsidP="0040449F">
      <w:pPr>
        <w:pStyle w:val="Header"/>
        <w:tabs>
          <w:tab w:val="left" w:pos="720"/>
        </w:tabs>
      </w:pPr>
      <w:r w:rsidRPr="000A2EFF">
        <w:rPr>
          <w:b/>
          <w:bCs/>
        </w:rPr>
        <w:t>Authority</w:t>
      </w:r>
    </w:p>
    <w:p w14:paraId="10847D95" w14:textId="77777777" w:rsidR="0040449F" w:rsidRPr="009B566D" w:rsidRDefault="0040449F" w:rsidP="0040449F">
      <w:pPr>
        <w:spacing w:after="240"/>
        <w:rPr>
          <w:color w:val="000000"/>
          <w:szCs w:val="22"/>
        </w:rPr>
      </w:pPr>
      <w:r w:rsidRPr="009B566D">
        <w:rPr>
          <w:color w:val="000000"/>
          <w:szCs w:val="22"/>
        </w:rPr>
        <w:t xml:space="preserve">Subsection 9B(1) of the </w:t>
      </w:r>
      <w:r w:rsidRPr="00BA3837">
        <w:rPr>
          <w:i/>
          <w:color w:val="000000"/>
          <w:szCs w:val="22"/>
        </w:rPr>
        <w:t>National Health Act 1953</w:t>
      </w:r>
      <w:r w:rsidRPr="009B566D">
        <w:rPr>
          <w:color w:val="000000"/>
          <w:szCs w:val="22"/>
        </w:rPr>
        <w:t xml:space="preserve"> (the Act) provides that the Minister may provide, or arrange for the provision of, designated vaccines and goods or services that are associated with, or incidental to, the provision or administ</w:t>
      </w:r>
      <w:r>
        <w:rPr>
          <w:color w:val="000000"/>
          <w:szCs w:val="22"/>
        </w:rPr>
        <w:t xml:space="preserve">ration of designated vaccines. </w:t>
      </w:r>
      <w:r w:rsidRPr="009B566D">
        <w:rPr>
          <w:color w:val="000000"/>
          <w:szCs w:val="22"/>
        </w:rPr>
        <w:t>Subsection 9B(2) provides that the Minister may, by legislative instrument, determine that a specified vaccine is a designated vaccin</w:t>
      </w:r>
      <w:r>
        <w:rPr>
          <w:color w:val="000000"/>
          <w:szCs w:val="22"/>
        </w:rPr>
        <w:t xml:space="preserve">e for the purposes of the Act. </w:t>
      </w:r>
      <w:r w:rsidRPr="009B566D">
        <w:rPr>
          <w:color w:val="000000"/>
          <w:szCs w:val="22"/>
        </w:rPr>
        <w:t>Subsection 9B(5) provides that in addition to specifying a vaccine, a determination may specify the circumstances in which the vaccine may be provided.</w:t>
      </w:r>
    </w:p>
    <w:p w14:paraId="45D2691D" w14:textId="77777777" w:rsidR="0040449F" w:rsidRPr="009B566D" w:rsidRDefault="0040449F" w:rsidP="0040449F">
      <w:pPr>
        <w:spacing w:after="240"/>
        <w:rPr>
          <w:color w:val="000000"/>
          <w:szCs w:val="22"/>
        </w:rPr>
      </w:pPr>
      <w:r w:rsidRPr="009B566D">
        <w:rPr>
          <w:color w:val="000000"/>
          <w:szCs w:val="22"/>
        </w:rPr>
        <w:t xml:space="preserve">In addition to the power to make this instrument under section 9B of the Act, subsection 33(3) of the </w:t>
      </w:r>
      <w:r w:rsidRPr="009B566D">
        <w:rPr>
          <w:i/>
          <w:iCs/>
          <w:color w:val="000000"/>
          <w:szCs w:val="22"/>
        </w:rPr>
        <w:t>Acts Interpretation Act 1901</w:t>
      </w:r>
      <w:r w:rsidRPr="009B566D">
        <w:rPr>
          <w:color w:val="000000"/>
          <w:szCs w:val="22"/>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41748EA" w14:textId="77777777" w:rsidR="0040449F" w:rsidRPr="00F8490A" w:rsidRDefault="0040449F" w:rsidP="00390905">
      <w:pPr>
        <w:pStyle w:val="Header"/>
        <w:tabs>
          <w:tab w:val="clear" w:pos="4153"/>
          <w:tab w:val="clear" w:pos="8306"/>
          <w:tab w:val="left" w:pos="720"/>
          <w:tab w:val="left" w:pos="8115"/>
        </w:tabs>
      </w:pPr>
      <w:r w:rsidRPr="00F8490A">
        <w:rPr>
          <w:b/>
          <w:bCs/>
        </w:rPr>
        <w:t>Purpose</w:t>
      </w:r>
      <w:r w:rsidR="00390905">
        <w:rPr>
          <w:b/>
          <w:bCs/>
        </w:rPr>
        <w:tab/>
      </w:r>
    </w:p>
    <w:p w14:paraId="7C550881" w14:textId="77777777" w:rsidR="003E66D4" w:rsidRDefault="0040449F" w:rsidP="0040449F">
      <w:pPr>
        <w:rPr>
          <w:bCs/>
        </w:rPr>
      </w:pPr>
      <w:r>
        <w:rPr>
          <w:bCs/>
        </w:rPr>
        <w:t>T</w:t>
      </w:r>
      <w:r w:rsidRPr="0026014B">
        <w:rPr>
          <w:bCs/>
        </w:rPr>
        <w:t>he</w:t>
      </w:r>
      <w:r w:rsidRPr="0026014B">
        <w:rPr>
          <w:bCs/>
          <w:i/>
        </w:rPr>
        <w:t xml:space="preserve"> National Health (Immunisation Program – Designated Vaccines) Amendment </w:t>
      </w:r>
      <w:r>
        <w:rPr>
          <w:bCs/>
          <w:i/>
        </w:rPr>
        <w:t>Determination (No.</w:t>
      </w:r>
      <w:r w:rsidR="003E66D4">
        <w:rPr>
          <w:bCs/>
          <w:i/>
        </w:rPr>
        <w:t>3</w:t>
      </w:r>
      <w:r>
        <w:rPr>
          <w:bCs/>
          <w:i/>
        </w:rPr>
        <w:t>) 2020</w:t>
      </w:r>
      <w:r w:rsidRPr="0026014B">
        <w:rPr>
          <w:bCs/>
          <w:i/>
        </w:rPr>
        <w:t xml:space="preserve"> </w:t>
      </w:r>
      <w:r w:rsidRPr="0026014B">
        <w:rPr>
          <w:bCs/>
        </w:rPr>
        <w:t xml:space="preserve">(the Amendment Determination) </w:t>
      </w:r>
      <w:r>
        <w:rPr>
          <w:bCs/>
        </w:rPr>
        <w:t xml:space="preserve">amends the </w:t>
      </w:r>
      <w:r w:rsidRPr="00A4602F">
        <w:rPr>
          <w:bCs/>
          <w:i/>
        </w:rPr>
        <w:t>National Health (</w:t>
      </w:r>
      <w:r w:rsidRPr="00AE7A2A">
        <w:rPr>
          <w:bCs/>
          <w:i/>
        </w:rPr>
        <w:t>Immunisation Program – Designated Vaccines) Determination 2014 (No. 1)</w:t>
      </w:r>
      <w:r>
        <w:rPr>
          <w:bCs/>
        </w:rPr>
        <w:t xml:space="preserve"> (the Determination) to</w:t>
      </w:r>
      <w:r w:rsidR="003E66D4">
        <w:rPr>
          <w:bCs/>
        </w:rPr>
        <w:t>:</w:t>
      </w:r>
    </w:p>
    <w:p w14:paraId="65343259" w14:textId="36E7ECA3" w:rsidR="003E66D4" w:rsidRDefault="003E66D4" w:rsidP="003E66D4">
      <w:pPr>
        <w:pStyle w:val="ListParagraph"/>
        <w:numPr>
          <w:ilvl w:val="0"/>
          <w:numId w:val="30"/>
        </w:numPr>
      </w:pPr>
      <w:r>
        <w:t>expand the circumstances in which</w:t>
      </w:r>
      <w:r w:rsidR="00F85601">
        <w:t xml:space="preserve"> quadrivalent inactivated influenza vaccine (QIV),</w:t>
      </w:r>
      <w:r>
        <w:t xml:space="preserve"> </w:t>
      </w:r>
      <w:r w:rsidR="00C843BD" w:rsidRPr="00504B9D">
        <w:rPr>
          <w:rFonts w:cstheme="minorHAnsi"/>
        </w:rPr>
        <w:t>Fluarix Tetra</w:t>
      </w:r>
      <w:r w:rsidR="004931B6">
        <w:rPr>
          <w:rFonts w:cstheme="minorHAnsi"/>
        </w:rPr>
        <w:t xml:space="preserve"> (Fluarix Tetra)</w:t>
      </w:r>
      <w:r>
        <w:t xml:space="preserve"> (a designated vaccine under existing item 207A of Part 2 of Schedule 1 of the Determination) may be provided; and</w:t>
      </w:r>
    </w:p>
    <w:p w14:paraId="1E7C7958" w14:textId="40328592" w:rsidR="0040449F" w:rsidRDefault="0040449F" w:rsidP="003E66D4">
      <w:pPr>
        <w:pStyle w:val="ListParagraph"/>
        <w:numPr>
          <w:ilvl w:val="0"/>
          <w:numId w:val="30"/>
        </w:numPr>
      </w:pPr>
      <w:r>
        <w:t xml:space="preserve">add </w:t>
      </w:r>
      <w:r w:rsidR="003E35AA" w:rsidRPr="00DB7A65">
        <w:t>meningococcal serogroups A, C, W</w:t>
      </w:r>
      <w:r w:rsidR="003E35AA">
        <w:t>-</w:t>
      </w:r>
      <w:r w:rsidR="003E35AA" w:rsidRPr="00DB7A65">
        <w:t xml:space="preserve">135 and Y oligosaccharides conjugate </w:t>
      </w:r>
      <w:r w:rsidR="003E35AA">
        <w:t>(</w:t>
      </w:r>
      <w:r w:rsidR="00FE07B0" w:rsidRPr="00DB7A65">
        <w:rPr>
          <w:bCs/>
        </w:rPr>
        <w:t>Menveo</w:t>
      </w:r>
      <w:r w:rsidR="003E35AA">
        <w:rPr>
          <w:bCs/>
        </w:rPr>
        <w:t>)</w:t>
      </w:r>
      <w:r w:rsidR="00C51B99">
        <w:t>,</w:t>
      </w:r>
      <w:r w:rsidR="003E66D4">
        <w:t xml:space="preserve"> </w:t>
      </w:r>
      <w:r>
        <w:t xml:space="preserve">to the list of designated vaccines. </w:t>
      </w:r>
    </w:p>
    <w:p w14:paraId="2847E5DC" w14:textId="77777777" w:rsidR="0040449F" w:rsidRDefault="0040449F" w:rsidP="0040449F"/>
    <w:p w14:paraId="6949E7EF" w14:textId="7D261A5C" w:rsidR="0072639C" w:rsidRDefault="003E66D4" w:rsidP="0040449F">
      <w:r>
        <w:t xml:space="preserve">The </w:t>
      </w:r>
      <w:r w:rsidR="00F85601">
        <w:t>A</w:t>
      </w:r>
      <w:r>
        <w:t xml:space="preserve">mendment </w:t>
      </w:r>
      <w:r w:rsidR="00F85601">
        <w:t>D</w:t>
      </w:r>
      <w:r>
        <w:t>etermination</w:t>
      </w:r>
      <w:r w:rsidR="00F85601">
        <w:t xml:space="preserve"> further extends the</w:t>
      </w:r>
      <w:r w:rsidR="00C51B99">
        <w:t xml:space="preserve"> current listing of </w:t>
      </w:r>
      <w:r w:rsidR="00C843BD" w:rsidRPr="00504B9D">
        <w:rPr>
          <w:rFonts w:cstheme="minorHAnsi"/>
        </w:rPr>
        <w:t>FluarixTetra</w:t>
      </w:r>
      <w:r w:rsidR="00C51B99">
        <w:t>,</w:t>
      </w:r>
      <w:r w:rsidR="00F85601">
        <w:t xml:space="preserve"> for the prevention of seasonal influenza to include children aged</w:t>
      </w:r>
      <w:r w:rsidR="00D8467E">
        <w:t xml:space="preserve"> at least </w:t>
      </w:r>
      <w:r w:rsidR="00F85601">
        <w:t xml:space="preserve">6 months </w:t>
      </w:r>
      <w:r w:rsidR="00D8467E">
        <w:t xml:space="preserve">old but less than </w:t>
      </w:r>
      <w:r w:rsidR="00F85601">
        <w:t>5</w:t>
      </w:r>
      <w:r w:rsidR="00D8467E">
        <w:t xml:space="preserve"> </w:t>
      </w:r>
      <w:r w:rsidR="00F85601">
        <w:t>years</w:t>
      </w:r>
      <w:r w:rsidR="00D8467E">
        <w:t xml:space="preserve"> old</w:t>
      </w:r>
      <w:r w:rsidR="00F85601">
        <w:t xml:space="preserve"> who are currently eligible for influenza vaccination under the National Immunisation</w:t>
      </w:r>
      <w:r w:rsidR="0072639C">
        <w:t xml:space="preserve"> Program (NIP). </w:t>
      </w:r>
      <w:r w:rsidR="00DA5DD6">
        <w:t xml:space="preserve"> </w:t>
      </w:r>
      <w:r w:rsidR="0072639C" w:rsidRPr="0083490E">
        <w:t>Th</w:t>
      </w:r>
      <w:r w:rsidR="0083490E">
        <w:t xml:space="preserve">e circumstances in which this vaccine may be provided </w:t>
      </w:r>
      <w:r w:rsidR="0072639C" w:rsidRPr="0083490E">
        <w:t>aligns with the current NIP listings for Vaxigrip Tetra</w:t>
      </w:r>
      <w:r w:rsidR="00045C94">
        <w:t xml:space="preserve"> (item 207F)</w:t>
      </w:r>
      <w:r w:rsidR="0072639C" w:rsidRPr="0083490E">
        <w:t xml:space="preserve"> and FluQuadri </w:t>
      </w:r>
      <w:r w:rsidR="00045C94">
        <w:t>(item 207B)</w:t>
      </w:r>
      <w:r w:rsidR="008C1354">
        <w:t xml:space="preserve"> </w:t>
      </w:r>
      <w:r w:rsidR="0072639C" w:rsidRPr="0083490E">
        <w:t xml:space="preserve">QIVs </w:t>
      </w:r>
      <w:r w:rsidR="00045C94">
        <w:t>and as a result repetitive subsections have been repealed to reflect this.</w:t>
      </w:r>
    </w:p>
    <w:p w14:paraId="5353B2CF" w14:textId="77777777" w:rsidR="003E66D4" w:rsidRDefault="00F85601" w:rsidP="0040449F">
      <w:r>
        <w:t xml:space="preserve">  </w:t>
      </w:r>
    </w:p>
    <w:p w14:paraId="4CFF9A1F" w14:textId="1A3BEDC6" w:rsidR="0040449F" w:rsidRPr="00390905" w:rsidRDefault="007D5A2C" w:rsidP="0040449F">
      <w:pPr>
        <w:rPr>
          <w:bCs/>
        </w:rPr>
      </w:pPr>
      <w:r w:rsidRPr="00390905">
        <w:t xml:space="preserve">The Amendment Determination adds </w:t>
      </w:r>
      <w:r w:rsidR="00FE07B0" w:rsidRPr="00390905">
        <w:rPr>
          <w:bCs/>
        </w:rPr>
        <w:t>Menveo</w:t>
      </w:r>
      <w:r w:rsidR="00F855BC" w:rsidRPr="00390905">
        <w:t xml:space="preserve"> as a </w:t>
      </w:r>
      <w:r w:rsidR="0040449F" w:rsidRPr="00390905">
        <w:t xml:space="preserve">designated vaccine for the prevention of Invasive Meningococcal Disease (IMD) caused by </w:t>
      </w:r>
      <w:r w:rsidR="0040449F" w:rsidRPr="00390905">
        <w:rPr>
          <w:i/>
        </w:rPr>
        <w:t xml:space="preserve">Neisseria meningitidis </w:t>
      </w:r>
      <w:r w:rsidR="00F855BC" w:rsidRPr="00390905">
        <w:t>sero</w:t>
      </w:r>
      <w:r w:rsidR="0040449F" w:rsidRPr="00390905">
        <w:t>group</w:t>
      </w:r>
      <w:r w:rsidR="00F855BC" w:rsidRPr="00390905">
        <w:t>s A, C,</w:t>
      </w:r>
      <w:r w:rsidR="008C1354">
        <w:t xml:space="preserve"> </w:t>
      </w:r>
      <w:r w:rsidR="00F855BC" w:rsidRPr="00390905">
        <w:t>W</w:t>
      </w:r>
      <w:r w:rsidR="00FE07B0" w:rsidRPr="00390905">
        <w:t>-</w:t>
      </w:r>
      <w:r w:rsidR="00F855BC" w:rsidRPr="00390905">
        <w:t>135 and Y</w:t>
      </w:r>
      <w:r w:rsidR="00DB7A65" w:rsidRPr="00390905">
        <w:t xml:space="preserve"> in adolescents</w:t>
      </w:r>
      <w:r w:rsidR="00390905" w:rsidRPr="00390905">
        <w:t xml:space="preserve"> as part of a school based immunisation program for year 10 students (aged </w:t>
      </w:r>
      <w:r w:rsidR="00225518">
        <w:t>at least</w:t>
      </w:r>
      <w:r w:rsidR="005C7B39">
        <w:t xml:space="preserve"> </w:t>
      </w:r>
      <w:r w:rsidR="00390905" w:rsidRPr="00390905">
        <w:t>14</w:t>
      </w:r>
      <w:r w:rsidR="00225518">
        <w:t xml:space="preserve"> years old, but less than</w:t>
      </w:r>
      <w:r w:rsidR="007E2DE6">
        <w:t xml:space="preserve"> </w:t>
      </w:r>
      <w:r w:rsidR="00225518" w:rsidRPr="00390905">
        <w:t>1</w:t>
      </w:r>
      <w:r w:rsidR="00225518">
        <w:t xml:space="preserve">7 </w:t>
      </w:r>
      <w:r w:rsidR="005C7B39">
        <w:t>years old</w:t>
      </w:r>
      <w:r w:rsidR="00390905" w:rsidRPr="00390905">
        <w:t>) and via a catch-up program for adolescents aged</w:t>
      </w:r>
      <w:r w:rsidR="003F1E60">
        <w:t xml:space="preserve"> at least 1</w:t>
      </w:r>
      <w:r w:rsidR="00225518">
        <w:t>4</w:t>
      </w:r>
      <w:r w:rsidR="003F1E60">
        <w:t xml:space="preserve"> years old</w:t>
      </w:r>
      <w:r w:rsidR="008C1354">
        <w:t>,</w:t>
      </w:r>
      <w:r w:rsidR="003F1E60">
        <w:t xml:space="preserve"> but</w:t>
      </w:r>
      <w:r w:rsidR="00390905" w:rsidRPr="00390905">
        <w:t xml:space="preserve"> </w:t>
      </w:r>
      <w:r w:rsidR="005C7B39">
        <w:t>less than</w:t>
      </w:r>
      <w:r w:rsidR="00390905" w:rsidRPr="00390905">
        <w:t xml:space="preserve"> 19 years old.</w:t>
      </w:r>
    </w:p>
    <w:p w14:paraId="04C878D3" w14:textId="77777777" w:rsidR="00F855BC" w:rsidRPr="00390905" w:rsidRDefault="00F855BC" w:rsidP="0040449F">
      <w:pPr>
        <w:rPr>
          <w:color w:val="000000"/>
          <w:szCs w:val="22"/>
        </w:rPr>
      </w:pPr>
    </w:p>
    <w:p w14:paraId="19CFD6CD" w14:textId="77777777" w:rsidR="0040449F" w:rsidRDefault="0040449F" w:rsidP="0040449F">
      <w:pPr>
        <w:rPr>
          <w:rStyle w:val="normalchar"/>
          <w:b/>
        </w:rPr>
      </w:pPr>
      <w:r w:rsidRPr="00C76F28">
        <w:rPr>
          <w:color w:val="000000"/>
          <w:szCs w:val="22"/>
        </w:rPr>
        <w:t xml:space="preserve">These amendments are acting on recommendations from the Australian Technical Advisory Group on Immunisation </w:t>
      </w:r>
      <w:r>
        <w:rPr>
          <w:color w:val="000000"/>
          <w:szCs w:val="22"/>
        </w:rPr>
        <w:t xml:space="preserve">(ATAGI) </w:t>
      </w:r>
      <w:r w:rsidRPr="00C76F28">
        <w:rPr>
          <w:color w:val="000000"/>
          <w:szCs w:val="22"/>
        </w:rPr>
        <w:t xml:space="preserve">and Pharmaceutical Benefits Advisory Committee </w:t>
      </w:r>
      <w:r>
        <w:rPr>
          <w:color w:val="000000"/>
          <w:szCs w:val="22"/>
        </w:rPr>
        <w:t>(PBAC)</w:t>
      </w:r>
      <w:r w:rsidRPr="00C76F28">
        <w:rPr>
          <w:color w:val="000000"/>
          <w:szCs w:val="22"/>
        </w:rPr>
        <w:t>.</w:t>
      </w:r>
    </w:p>
    <w:p w14:paraId="55702706" w14:textId="77777777" w:rsidR="0040449F" w:rsidRDefault="0040449F" w:rsidP="0040449F">
      <w:pPr>
        <w:autoSpaceDE w:val="0"/>
        <w:autoSpaceDN w:val="0"/>
        <w:adjustRightInd w:val="0"/>
        <w:rPr>
          <w:rStyle w:val="normalchar"/>
          <w:b/>
        </w:rPr>
      </w:pPr>
    </w:p>
    <w:p w14:paraId="4A9605FE" w14:textId="77777777" w:rsidR="0040449F" w:rsidRDefault="0040449F" w:rsidP="0040449F">
      <w:pPr>
        <w:autoSpaceDE w:val="0"/>
        <w:autoSpaceDN w:val="0"/>
        <w:adjustRightInd w:val="0"/>
        <w:rPr>
          <w:rStyle w:val="normalchar"/>
          <w:b/>
        </w:rPr>
      </w:pPr>
      <w:r w:rsidRPr="00AE7A2A">
        <w:rPr>
          <w:rStyle w:val="normalchar"/>
          <w:b/>
        </w:rPr>
        <w:t>Ba</w:t>
      </w:r>
      <w:r>
        <w:rPr>
          <w:rStyle w:val="normalchar"/>
          <w:b/>
        </w:rPr>
        <w:t>ckground</w:t>
      </w:r>
    </w:p>
    <w:p w14:paraId="7870C1EE" w14:textId="77777777" w:rsidR="0040449F" w:rsidRDefault="0040449F" w:rsidP="0040449F">
      <w:pPr>
        <w:autoSpaceDE w:val="0"/>
        <w:autoSpaceDN w:val="0"/>
        <w:adjustRightInd w:val="0"/>
        <w:rPr>
          <w:rStyle w:val="normalchar"/>
          <w:b/>
        </w:rPr>
      </w:pPr>
      <w:r w:rsidRPr="00680657">
        <w:rPr>
          <w:i/>
          <w:u w:val="single"/>
        </w:rPr>
        <w:t xml:space="preserve">The National Immunisation Program </w:t>
      </w:r>
    </w:p>
    <w:p w14:paraId="18CCAD71" w14:textId="77777777" w:rsidR="0040449F" w:rsidRPr="00680657" w:rsidRDefault="0040449F" w:rsidP="0040449F">
      <w:pPr>
        <w:autoSpaceDE w:val="0"/>
        <w:autoSpaceDN w:val="0"/>
        <w:adjustRightInd w:val="0"/>
        <w:rPr>
          <w:color w:val="000000"/>
          <w:szCs w:val="22"/>
        </w:rPr>
      </w:pPr>
      <w:r w:rsidRPr="00680657">
        <w:rPr>
          <w:color w:val="000000"/>
          <w:szCs w:val="22"/>
        </w:rPr>
        <w:lastRenderedPageBreak/>
        <w:t xml:space="preserve">The NIP is a joint initiative of the Commonwealth and state and territory governments and is funded through a National Partnership on Essential Vaccines. The NIP provides free vaccines to eligible people to protect </w:t>
      </w:r>
      <w:r w:rsidRPr="0095417A">
        <w:rPr>
          <w:color w:val="000000"/>
          <w:szCs w:val="22"/>
        </w:rPr>
        <w:t>against 1</w:t>
      </w:r>
      <w:r>
        <w:rPr>
          <w:color w:val="000000"/>
          <w:szCs w:val="22"/>
        </w:rPr>
        <w:t>8</w:t>
      </w:r>
      <w:r w:rsidRPr="00680657">
        <w:rPr>
          <w:color w:val="000000"/>
          <w:szCs w:val="22"/>
        </w:rPr>
        <w:t> disease groups, including children, adolescents, the elderly, pregnant women and Aboriginal and Torres Strait Islander people.</w:t>
      </w:r>
    </w:p>
    <w:p w14:paraId="1FEF0381" w14:textId="77777777" w:rsidR="00F855BC" w:rsidRDefault="00F855BC" w:rsidP="0040449F">
      <w:pPr>
        <w:rPr>
          <w:i/>
          <w:u w:val="single"/>
        </w:rPr>
      </w:pPr>
    </w:p>
    <w:p w14:paraId="2F6634C5" w14:textId="77777777" w:rsidR="0040449F" w:rsidRPr="00AE7A2A" w:rsidRDefault="0040449F" w:rsidP="0040449F">
      <w:pPr>
        <w:rPr>
          <w:i/>
          <w:u w:val="single"/>
        </w:rPr>
      </w:pPr>
      <w:r w:rsidRPr="00AE7A2A">
        <w:rPr>
          <w:i/>
          <w:u w:val="single"/>
        </w:rPr>
        <w:t>Pharmaceutical Benefits Advisory Committee (PBAC) recommendations</w:t>
      </w:r>
    </w:p>
    <w:p w14:paraId="7F033949" w14:textId="77777777" w:rsidR="0040449F" w:rsidRDefault="0040449F" w:rsidP="0040449F">
      <w:pPr>
        <w:spacing w:after="240"/>
      </w:pPr>
      <w:r w:rsidRPr="00AE7A2A">
        <w:t>Subsection 9B(7) of the Act relevantly provides that a vaccine must not be specified in a determination under subsection 9B(2) unless the PBAC has recommended to the Minister that the vaccine be a designated vaccine.</w:t>
      </w:r>
    </w:p>
    <w:p w14:paraId="39B9AFEA" w14:textId="081D8359" w:rsidR="00C843BD" w:rsidRPr="00C843BD" w:rsidRDefault="00C843BD" w:rsidP="00C51B99">
      <w:pPr>
        <w:rPr>
          <w:i/>
        </w:rPr>
      </w:pPr>
      <w:r w:rsidRPr="00C843BD">
        <w:rPr>
          <w:rFonts w:cstheme="minorHAnsi"/>
          <w:i/>
        </w:rPr>
        <w:t>Fluarix Tetra</w:t>
      </w:r>
      <w:r w:rsidRPr="00C843BD">
        <w:rPr>
          <w:i/>
        </w:rPr>
        <w:t xml:space="preserve"> </w:t>
      </w:r>
    </w:p>
    <w:p w14:paraId="239E6A5E" w14:textId="07B48F39" w:rsidR="00C51B99" w:rsidRDefault="009C4C6F" w:rsidP="00C51B99">
      <w:r w:rsidRPr="009C4C6F">
        <w:t>In July 2020</w:t>
      </w:r>
      <w:r w:rsidR="004C5640">
        <w:t>,</w:t>
      </w:r>
      <w:r w:rsidRPr="009C4C6F">
        <w:t xml:space="preserve"> the PBAC recommended a further extension to the listing of the </w:t>
      </w:r>
      <w:r w:rsidR="00C843BD" w:rsidRPr="00504B9D">
        <w:rPr>
          <w:rFonts w:cstheme="minorHAnsi"/>
        </w:rPr>
        <w:t>Fluarix</w:t>
      </w:r>
      <w:r w:rsidR="008C1354">
        <w:rPr>
          <w:rFonts w:cstheme="minorHAnsi"/>
        </w:rPr>
        <w:t xml:space="preserve"> </w:t>
      </w:r>
      <w:r w:rsidR="00C843BD" w:rsidRPr="00504B9D">
        <w:rPr>
          <w:rFonts w:cstheme="minorHAnsi"/>
        </w:rPr>
        <w:t>Tetra</w:t>
      </w:r>
      <w:r w:rsidR="00C843BD" w:rsidRPr="009C4C6F">
        <w:t xml:space="preserve"> </w:t>
      </w:r>
      <w:r w:rsidRPr="009C4C6F">
        <w:t xml:space="preserve">on the Determination, for the prevention of seasonal influenza, to include vaccination of children aged </w:t>
      </w:r>
      <w:r w:rsidR="004C5640">
        <w:t xml:space="preserve">at least </w:t>
      </w:r>
      <w:r w:rsidRPr="009C4C6F">
        <w:t>6 months</w:t>
      </w:r>
      <w:r w:rsidR="004C5640">
        <w:t xml:space="preserve"> old</w:t>
      </w:r>
      <w:r w:rsidR="008C1354">
        <w:t>,</w:t>
      </w:r>
      <w:r w:rsidR="004C5640">
        <w:t xml:space="preserve"> but less than</w:t>
      </w:r>
      <w:r w:rsidRPr="009C4C6F">
        <w:t xml:space="preserve"> 5</w:t>
      </w:r>
      <w:r w:rsidR="004C5640">
        <w:t xml:space="preserve"> </w:t>
      </w:r>
      <w:r w:rsidRPr="009C4C6F">
        <w:t>years</w:t>
      </w:r>
      <w:r w:rsidR="004C5640">
        <w:t xml:space="preserve"> old</w:t>
      </w:r>
      <w:r w:rsidRPr="009C4C6F">
        <w:t>.</w:t>
      </w:r>
    </w:p>
    <w:p w14:paraId="0F636122" w14:textId="77777777" w:rsidR="00C51B99" w:rsidRDefault="00C51B99" w:rsidP="00C51B99"/>
    <w:p w14:paraId="729205AD" w14:textId="77777777" w:rsidR="0040449F" w:rsidRDefault="0040449F" w:rsidP="00C51B99">
      <w:pPr>
        <w:rPr>
          <w:rFonts w:cs="Calibri"/>
        </w:rPr>
      </w:pPr>
      <w:r>
        <w:rPr>
          <w:rFonts w:cs="Calibri"/>
        </w:rPr>
        <w:t>Based on PBAC recommendations the NIP will provide</w:t>
      </w:r>
      <w:r w:rsidR="00DF0FD9">
        <w:rPr>
          <w:rFonts w:cs="Calibri"/>
        </w:rPr>
        <w:t xml:space="preserve"> the designated vaccine to the following</w:t>
      </w:r>
      <w:r w:rsidR="00C51B99">
        <w:rPr>
          <w:rFonts w:cs="Calibri"/>
        </w:rPr>
        <w:t xml:space="preserve"> eligible groups</w:t>
      </w:r>
      <w:r>
        <w:rPr>
          <w:rFonts w:cs="Calibri"/>
        </w:rPr>
        <w:t>:</w:t>
      </w:r>
    </w:p>
    <w:p w14:paraId="66F0C41E" w14:textId="77777777" w:rsidR="00195420" w:rsidRPr="009C19C3" w:rsidRDefault="00195420" w:rsidP="00195420">
      <w:pPr>
        <w:shd w:val="clear" w:color="auto" w:fill="FFFFFF"/>
        <w:spacing w:before="60"/>
        <w:ind w:left="1418" w:hanging="484"/>
        <w:jc w:val="both"/>
        <w:rPr>
          <w:szCs w:val="22"/>
          <w:lang w:val="en-US"/>
        </w:rPr>
      </w:pPr>
      <w:r>
        <w:rPr>
          <w:szCs w:val="22"/>
        </w:rPr>
        <w:t xml:space="preserve">(a)   </w:t>
      </w:r>
      <w:r w:rsidRPr="009C19C3">
        <w:rPr>
          <w:szCs w:val="22"/>
        </w:rPr>
        <w:t xml:space="preserve"> a person who is at least 65 years old or</w:t>
      </w:r>
    </w:p>
    <w:p w14:paraId="3DA09FEB" w14:textId="77777777" w:rsidR="00195420" w:rsidRPr="009C19C3" w:rsidRDefault="00195420" w:rsidP="00195420">
      <w:pPr>
        <w:shd w:val="clear" w:color="auto" w:fill="FFFFFF"/>
        <w:spacing w:before="60"/>
        <w:ind w:left="1418" w:hanging="484"/>
        <w:jc w:val="both"/>
        <w:rPr>
          <w:szCs w:val="22"/>
          <w:lang w:val="en-US"/>
        </w:rPr>
      </w:pPr>
      <w:r w:rsidRPr="009C19C3">
        <w:rPr>
          <w:szCs w:val="22"/>
        </w:rPr>
        <w:t>(b)    an Aboriginal or Torres Strait Islander person who is at least 6 months old; or</w:t>
      </w:r>
    </w:p>
    <w:p w14:paraId="5623DF39" w14:textId="77777777" w:rsidR="00195420" w:rsidRPr="009C19C3" w:rsidRDefault="00195420" w:rsidP="00195420">
      <w:pPr>
        <w:shd w:val="clear" w:color="auto" w:fill="FFFFFF"/>
        <w:spacing w:before="60"/>
        <w:ind w:left="1418" w:hanging="482"/>
        <w:jc w:val="both"/>
        <w:rPr>
          <w:szCs w:val="22"/>
          <w:lang w:val="en-US"/>
        </w:rPr>
      </w:pPr>
      <w:r w:rsidRPr="009C19C3">
        <w:rPr>
          <w:szCs w:val="22"/>
        </w:rPr>
        <w:t>(c)    a child who is at least 6 months old but less than 5 years old; or</w:t>
      </w:r>
    </w:p>
    <w:p w14:paraId="39377A47" w14:textId="77777777" w:rsidR="00195420" w:rsidRPr="009C19C3" w:rsidRDefault="00195420" w:rsidP="00195420">
      <w:pPr>
        <w:shd w:val="clear" w:color="auto" w:fill="FFFFFF"/>
        <w:spacing w:before="60"/>
        <w:ind w:left="1418" w:hanging="482"/>
        <w:jc w:val="both"/>
        <w:rPr>
          <w:szCs w:val="22"/>
          <w:lang w:val="en-US"/>
        </w:rPr>
      </w:pPr>
      <w:r w:rsidRPr="009C19C3">
        <w:rPr>
          <w:szCs w:val="22"/>
        </w:rPr>
        <w:t>(d)    a person who is at least 6 months old and who:</w:t>
      </w:r>
    </w:p>
    <w:p w14:paraId="205AD734" w14:textId="34E73D06" w:rsidR="00195420" w:rsidRPr="009C19C3" w:rsidRDefault="00195420" w:rsidP="00195420">
      <w:pPr>
        <w:shd w:val="clear" w:color="auto" w:fill="FFFFFF"/>
        <w:spacing w:before="144"/>
        <w:ind w:left="1985" w:hanging="482"/>
        <w:jc w:val="both"/>
        <w:rPr>
          <w:szCs w:val="22"/>
          <w:lang w:val="en-US"/>
        </w:rPr>
      </w:pPr>
      <w:r w:rsidRPr="009C19C3">
        <w:rPr>
          <w:szCs w:val="22"/>
        </w:rPr>
        <w:t>(i)    has cardiac disease including cyanotic congenital heart disease, coronary artery disease and congestive heart failure; or</w:t>
      </w:r>
    </w:p>
    <w:p w14:paraId="57FE9E76" w14:textId="261CD551" w:rsidR="00195420" w:rsidRPr="009C19C3" w:rsidRDefault="00195420" w:rsidP="00195420">
      <w:pPr>
        <w:shd w:val="clear" w:color="auto" w:fill="FFFFFF"/>
        <w:spacing w:before="144"/>
        <w:ind w:left="1985" w:hanging="482"/>
        <w:jc w:val="both"/>
        <w:rPr>
          <w:szCs w:val="22"/>
          <w:lang w:val="en-US"/>
        </w:rPr>
      </w:pPr>
      <w:r w:rsidRPr="009C19C3">
        <w:rPr>
          <w:szCs w:val="22"/>
        </w:rPr>
        <w:t>(ii)   has a chronic respiratory condition including suppurative lung disease, bronchiectasis, cystic fibrosis, chronic obstructive pulmonary disease, chronic emphysema and severe asthma; or</w:t>
      </w:r>
    </w:p>
    <w:p w14:paraId="5E11F406" w14:textId="3B303880" w:rsidR="00195420" w:rsidRPr="009C19C3" w:rsidRDefault="00195420" w:rsidP="00195420">
      <w:pPr>
        <w:shd w:val="clear" w:color="auto" w:fill="FFFFFF"/>
        <w:spacing w:before="144"/>
        <w:ind w:left="1985" w:hanging="482"/>
        <w:jc w:val="both"/>
        <w:rPr>
          <w:szCs w:val="22"/>
          <w:lang w:val="en-US"/>
        </w:rPr>
      </w:pPr>
      <w:r w:rsidRPr="009C19C3">
        <w:rPr>
          <w:szCs w:val="22"/>
        </w:rPr>
        <w:t>(iii)  has another chronic illness requiring regular medical follow</w:t>
      </w:r>
      <w:r w:rsidRPr="009C19C3">
        <w:rPr>
          <w:szCs w:val="22"/>
        </w:rPr>
        <w:noBreakHyphen/>
        <w:t>up or hospitalisation in the preceding year, including diabetes mellitus, chronic metabolic diseases, chronic renal failure, haemoglobinopathies and impaired immunity (including drug</w:t>
      </w:r>
      <w:r w:rsidRPr="009C19C3">
        <w:rPr>
          <w:szCs w:val="22"/>
        </w:rPr>
        <w:noBreakHyphen/>
        <w:t>induced immune impairment); or</w:t>
      </w:r>
    </w:p>
    <w:p w14:paraId="71CB7E3E" w14:textId="43F4698E" w:rsidR="00195420" w:rsidRPr="009C19C3" w:rsidRDefault="00195420" w:rsidP="00195420">
      <w:pPr>
        <w:shd w:val="clear" w:color="auto" w:fill="FFFFFF"/>
        <w:spacing w:before="144"/>
        <w:ind w:left="1985" w:hanging="482"/>
        <w:jc w:val="both"/>
        <w:rPr>
          <w:szCs w:val="22"/>
          <w:lang w:val="en-US"/>
        </w:rPr>
      </w:pPr>
      <w:r w:rsidRPr="009C19C3">
        <w:rPr>
          <w:szCs w:val="22"/>
        </w:rPr>
        <w:t>(iv)  has a chronic neurological condition, including multiple sclerosis, spinal cord injuries, seizure disorders or other neuromuscular disorders; or</w:t>
      </w:r>
    </w:p>
    <w:p w14:paraId="26B6F83A" w14:textId="12824B60" w:rsidR="00195420" w:rsidRPr="009C19C3" w:rsidRDefault="00195420" w:rsidP="00195420">
      <w:pPr>
        <w:shd w:val="clear" w:color="auto" w:fill="FFFFFF"/>
        <w:spacing w:before="144"/>
        <w:ind w:left="1985" w:hanging="482"/>
        <w:jc w:val="both"/>
        <w:rPr>
          <w:szCs w:val="22"/>
          <w:lang w:val="en-US"/>
        </w:rPr>
      </w:pPr>
      <w:r w:rsidRPr="009C19C3">
        <w:rPr>
          <w:szCs w:val="22"/>
        </w:rPr>
        <w:t>(v)   has impaired immunity, including HIV infection; or</w:t>
      </w:r>
    </w:p>
    <w:p w14:paraId="545D8B88" w14:textId="77777777" w:rsidR="00195420" w:rsidRPr="009C19C3" w:rsidRDefault="00195420" w:rsidP="00195420">
      <w:pPr>
        <w:shd w:val="clear" w:color="auto" w:fill="FFFFFF"/>
        <w:spacing w:before="144"/>
        <w:ind w:left="1418" w:hanging="482"/>
        <w:jc w:val="both"/>
        <w:rPr>
          <w:szCs w:val="22"/>
          <w:lang w:val="en-US"/>
        </w:rPr>
      </w:pPr>
      <w:r w:rsidRPr="009C19C3">
        <w:rPr>
          <w:szCs w:val="22"/>
        </w:rPr>
        <w:t>(e)    a person who is at least 6 months old but is less than 11 years old and is receiving long</w:t>
      </w:r>
      <w:r w:rsidRPr="009C19C3">
        <w:rPr>
          <w:szCs w:val="22"/>
        </w:rPr>
        <w:noBreakHyphen/>
        <w:t>term aspirin therapy; or</w:t>
      </w:r>
    </w:p>
    <w:p w14:paraId="23BEBEAB" w14:textId="77777777" w:rsidR="00195420" w:rsidRPr="009C19C3" w:rsidRDefault="00195420" w:rsidP="00195420">
      <w:pPr>
        <w:shd w:val="clear" w:color="auto" w:fill="FFFFFF"/>
        <w:spacing w:before="144"/>
        <w:ind w:left="1418" w:hanging="482"/>
        <w:jc w:val="both"/>
        <w:rPr>
          <w:szCs w:val="22"/>
        </w:rPr>
      </w:pPr>
      <w:r w:rsidRPr="009C19C3">
        <w:rPr>
          <w:szCs w:val="22"/>
        </w:rPr>
        <w:t>(f)    a woman who is pregnant.</w:t>
      </w:r>
    </w:p>
    <w:p w14:paraId="5050B2E3" w14:textId="2B924CBC" w:rsidR="00FE07B0" w:rsidRPr="00FE07B0" w:rsidRDefault="00FE07B0" w:rsidP="00DB7A65">
      <w:pPr>
        <w:rPr>
          <w:bCs/>
          <w:i/>
        </w:rPr>
      </w:pPr>
      <w:r w:rsidRPr="00FE07B0">
        <w:rPr>
          <w:bCs/>
          <w:i/>
        </w:rPr>
        <w:t>Menveo</w:t>
      </w:r>
    </w:p>
    <w:p w14:paraId="42EB92CB" w14:textId="53138C70" w:rsidR="00C51B99" w:rsidRPr="00DB7A65" w:rsidRDefault="00DA5DD6" w:rsidP="00DB7A65">
      <w:pPr>
        <w:rPr>
          <w:i/>
          <w:u w:val="single"/>
        </w:rPr>
      </w:pPr>
      <w:r>
        <w:t>In</w:t>
      </w:r>
      <w:r w:rsidR="00DB7A65" w:rsidRPr="00DB7A65">
        <w:t xml:space="preserve"> July 2018</w:t>
      </w:r>
      <w:r>
        <w:t>,</w:t>
      </w:r>
      <w:r w:rsidR="00DB7A65" w:rsidRPr="00DB7A65">
        <w:t xml:space="preserve"> PBAC recommended that </w:t>
      </w:r>
      <w:r w:rsidR="00DB7A65" w:rsidRPr="00DB7A65">
        <w:rPr>
          <w:bCs/>
        </w:rPr>
        <w:t>Menveo</w:t>
      </w:r>
      <w:r w:rsidR="00DB7A65" w:rsidRPr="00DB7A65">
        <w:t xml:space="preserve"> vaccine </w:t>
      </w:r>
      <w:r w:rsidR="00060E1F">
        <w:t xml:space="preserve">should be a designated vaccine </w:t>
      </w:r>
      <w:r w:rsidR="00DB7A65" w:rsidRPr="00DB7A65">
        <w:t xml:space="preserve">for the prevention of IMD caused by </w:t>
      </w:r>
      <w:r w:rsidR="00DB7A65" w:rsidRPr="00BE0A6E">
        <w:rPr>
          <w:i/>
        </w:rPr>
        <w:t>Neisseria meningitid</w:t>
      </w:r>
      <w:r w:rsidR="001B1538" w:rsidRPr="00BE0A6E">
        <w:rPr>
          <w:i/>
        </w:rPr>
        <w:t>i</w:t>
      </w:r>
      <w:r w:rsidR="00DB7A65" w:rsidRPr="00BE0A6E">
        <w:rPr>
          <w:i/>
        </w:rPr>
        <w:t>s</w:t>
      </w:r>
      <w:r w:rsidR="00DB7A65" w:rsidRPr="00DB7A65">
        <w:t xml:space="preserve"> serogroups A, C, W</w:t>
      </w:r>
      <w:r w:rsidR="00FE07B0">
        <w:t>-</w:t>
      </w:r>
      <w:r w:rsidR="00DB7A65" w:rsidRPr="00DB7A65">
        <w:t xml:space="preserve">135 and Y as a single dose for adolescents as part of a school based immunisation program for year 10 students (aged </w:t>
      </w:r>
      <w:r w:rsidR="00225518">
        <w:t xml:space="preserve">at least </w:t>
      </w:r>
      <w:r w:rsidR="00DB7A65" w:rsidRPr="00DB7A65">
        <w:t>14</w:t>
      </w:r>
      <w:r w:rsidR="006651BA">
        <w:t xml:space="preserve"> </w:t>
      </w:r>
      <w:r w:rsidR="00225518">
        <w:t xml:space="preserve">years old, but less than </w:t>
      </w:r>
      <w:r w:rsidR="00DB7A65" w:rsidRPr="00DB7A65">
        <w:t>1</w:t>
      </w:r>
      <w:r w:rsidR="00225518">
        <w:t>7</w:t>
      </w:r>
      <w:r w:rsidR="006651BA">
        <w:t xml:space="preserve"> years old</w:t>
      </w:r>
      <w:r w:rsidR="00DB7A65" w:rsidRPr="00DB7A65">
        <w:t xml:space="preserve">) and via a catch-up program for a single dose for adolescents aged </w:t>
      </w:r>
      <w:r w:rsidR="006651BA">
        <w:t>at least 1</w:t>
      </w:r>
      <w:r w:rsidR="00225518">
        <w:t>4</w:t>
      </w:r>
      <w:r w:rsidR="006651BA">
        <w:t xml:space="preserve"> years old</w:t>
      </w:r>
      <w:r w:rsidR="008C1354">
        <w:t>,</w:t>
      </w:r>
      <w:r w:rsidR="006651BA">
        <w:t xml:space="preserve"> but less than </w:t>
      </w:r>
      <w:r w:rsidR="00DB7A65" w:rsidRPr="00DB7A65">
        <w:t>19 years old.</w:t>
      </w:r>
    </w:p>
    <w:p w14:paraId="626B57E6" w14:textId="77777777" w:rsidR="00DB7A65" w:rsidRDefault="00DB7A65" w:rsidP="0040449F"/>
    <w:p w14:paraId="4B1810CF" w14:textId="77777777" w:rsidR="0040449F" w:rsidRDefault="0040449F" w:rsidP="0040449F">
      <w:pPr>
        <w:rPr>
          <w:rStyle w:val="normalchar"/>
          <w:b/>
        </w:rPr>
      </w:pPr>
      <w:r w:rsidRPr="000A2EFF">
        <w:t>Once a vaccine is listed in the Determination, the supplier of that vaccine is eligible to participate in any procurement processes undertaken by the Department of Health for the</w:t>
      </w:r>
      <w:r>
        <w:t xml:space="preserve"> supply of vaccines on the NIP.</w:t>
      </w:r>
    </w:p>
    <w:p w14:paraId="7549B182" w14:textId="77777777" w:rsidR="0040449F" w:rsidRDefault="0040449F" w:rsidP="0040449F">
      <w:pPr>
        <w:autoSpaceDE w:val="0"/>
        <w:autoSpaceDN w:val="0"/>
        <w:adjustRightInd w:val="0"/>
        <w:rPr>
          <w:rStyle w:val="normalchar"/>
          <w:b/>
        </w:rPr>
      </w:pPr>
    </w:p>
    <w:p w14:paraId="272BC00A" w14:textId="77777777" w:rsidR="0040449F" w:rsidRPr="000A2EFF" w:rsidRDefault="0040449F" w:rsidP="0040449F">
      <w:pPr>
        <w:autoSpaceDE w:val="0"/>
        <w:autoSpaceDN w:val="0"/>
        <w:adjustRightInd w:val="0"/>
        <w:rPr>
          <w:b/>
        </w:rPr>
      </w:pPr>
      <w:r w:rsidRPr="000A2EFF">
        <w:rPr>
          <w:rStyle w:val="normalchar"/>
          <w:b/>
        </w:rPr>
        <w:t>Consultation</w:t>
      </w:r>
    </w:p>
    <w:p w14:paraId="54730431" w14:textId="77777777" w:rsidR="0040449F" w:rsidRPr="009B566D" w:rsidRDefault="0040449F" w:rsidP="0040449F">
      <w:pPr>
        <w:spacing w:after="240"/>
        <w:rPr>
          <w:color w:val="000000"/>
          <w:szCs w:val="22"/>
        </w:rPr>
      </w:pPr>
      <w:r w:rsidRPr="009B566D">
        <w:rPr>
          <w:color w:val="000000"/>
          <w:szCs w:val="22"/>
        </w:rPr>
        <w:t>The involvement of interested parties through the membership of the PBAC constitutes a formal and ongoing process of consultation. The PBAC is</w:t>
      </w:r>
      <w:r>
        <w:rPr>
          <w:color w:val="000000"/>
          <w:szCs w:val="22"/>
        </w:rPr>
        <w:t xml:space="preserve"> </w:t>
      </w:r>
      <w:r w:rsidRPr="009B566D">
        <w:rPr>
          <w:color w:val="000000"/>
          <w:szCs w:val="22"/>
        </w:rPr>
        <w:t xml:space="preserve">an independent expert body </w:t>
      </w:r>
      <w:r w:rsidRPr="009B566D">
        <w:rPr>
          <w:color w:val="000000"/>
          <w:szCs w:val="22"/>
        </w:rPr>
        <w:lastRenderedPageBreak/>
        <w:t xml:space="preserve">established by section 100A of the Act, which makes recommendations to, and advises the Minister about, the determination of specified vaccines as designated vaccines under section 9B, for the NIP. </w:t>
      </w:r>
      <w:r>
        <w:rPr>
          <w:color w:val="000000"/>
          <w:szCs w:val="22"/>
        </w:rPr>
        <w:t xml:space="preserve">The </w:t>
      </w:r>
      <w:r w:rsidRPr="009B566D">
        <w:rPr>
          <w:color w:val="000000"/>
          <w:szCs w:val="22"/>
        </w:rPr>
        <w:t>PBAC members are appointed from nominations by organisations and associations representing industry,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or experience in a field relevant to the functions of the PBAC that would enable them to contribute meaningfully to the deliberations of the PBAC.</w:t>
      </w:r>
    </w:p>
    <w:p w14:paraId="5B74AD5B" w14:textId="77777777" w:rsidR="0040449F" w:rsidRPr="009B566D" w:rsidRDefault="0040449F" w:rsidP="0040449F">
      <w:pPr>
        <w:spacing w:after="240"/>
        <w:rPr>
          <w:color w:val="000000"/>
          <w:szCs w:val="22"/>
        </w:rPr>
      </w:pPr>
      <w:r w:rsidRPr="009B566D">
        <w:rPr>
          <w:color w:val="000000"/>
          <w:szCs w:val="22"/>
        </w:rPr>
        <w:t xml:space="preserve">When recommending the listing of a vaccine on the NIP and the circumstances in which a designated vaccine should be provided, PBAC takes into account the target population for which the vaccine has been approved for use in Australia and its clinical effectiveness, safety and cost-effectiveness. </w:t>
      </w:r>
      <w:r>
        <w:rPr>
          <w:color w:val="000000"/>
          <w:szCs w:val="22"/>
        </w:rPr>
        <w:t xml:space="preserve">The </w:t>
      </w:r>
      <w:r w:rsidRPr="009B566D">
        <w:rPr>
          <w:color w:val="000000"/>
          <w:szCs w:val="22"/>
        </w:rPr>
        <w:t>PBAC also receive</w:t>
      </w:r>
      <w:r>
        <w:rPr>
          <w:color w:val="000000"/>
          <w:szCs w:val="22"/>
        </w:rPr>
        <w:t>d</w:t>
      </w:r>
      <w:r w:rsidRPr="009B566D">
        <w:rPr>
          <w:color w:val="000000"/>
          <w:szCs w:val="22"/>
        </w:rPr>
        <w:t xml:space="preserve"> advice from the </w:t>
      </w:r>
      <w:r>
        <w:rPr>
          <w:color w:val="000000"/>
          <w:szCs w:val="22"/>
        </w:rPr>
        <w:t>ATAGI</w:t>
      </w:r>
      <w:r w:rsidRPr="009B566D">
        <w:rPr>
          <w:color w:val="000000"/>
          <w:szCs w:val="22"/>
        </w:rPr>
        <w:t xml:space="preserve"> regarding the clinical aspects of the disease and the vaccine.</w:t>
      </w:r>
    </w:p>
    <w:p w14:paraId="262B68EE" w14:textId="77777777" w:rsidR="0040449F" w:rsidRPr="009B566D" w:rsidRDefault="0040449F" w:rsidP="0040449F">
      <w:pPr>
        <w:spacing w:after="240"/>
        <w:rPr>
          <w:color w:val="000000"/>
          <w:szCs w:val="22"/>
        </w:rPr>
      </w:pPr>
      <w:r w:rsidRPr="009B566D">
        <w:rPr>
          <w:color w:val="000000"/>
          <w:szCs w:val="22"/>
        </w:rPr>
        <w:t>Pharmaceutical companies are consulted throughout the process of the listing of their vaccine on the NIP and in relation to changes to those listings. This includes the company submission to the PBAC and involvement throughout the PBAC process.</w:t>
      </w:r>
    </w:p>
    <w:p w14:paraId="6A654960" w14:textId="77777777" w:rsidR="0040449F" w:rsidRPr="009B566D" w:rsidRDefault="0040449F" w:rsidP="0040449F">
      <w:pPr>
        <w:spacing w:after="240"/>
        <w:rPr>
          <w:color w:val="000000"/>
          <w:szCs w:val="22"/>
        </w:rPr>
      </w:pPr>
      <w:r w:rsidRPr="009B566D">
        <w:rPr>
          <w:color w:val="000000"/>
          <w:szCs w:val="22"/>
        </w:rPr>
        <w:t>As part of the PBAC process, patients, carers, members of the public, health professionals or members of consumer interest groups may provide comments and feedback on vaccines being considered by the PBAC via a web interface or in writing over a period of six weeks prior to PBAC meetings. These are provided to the PBAC in a de-identified form for consideration alongside the company submission.</w:t>
      </w:r>
    </w:p>
    <w:p w14:paraId="4ABCDCB0" w14:textId="77777777" w:rsidR="0040449F" w:rsidRPr="009B566D" w:rsidRDefault="0040449F" w:rsidP="0040449F">
      <w:pPr>
        <w:spacing w:after="240"/>
        <w:rPr>
          <w:color w:val="000000"/>
          <w:szCs w:val="22"/>
        </w:rPr>
      </w:pPr>
      <w:r w:rsidRPr="009B566D">
        <w:rPr>
          <w:color w:val="000000"/>
          <w:szCs w:val="22"/>
        </w:rPr>
        <w:t xml:space="preserve">It was considered that further consultation for this </w:t>
      </w:r>
      <w:r>
        <w:rPr>
          <w:color w:val="000000"/>
          <w:szCs w:val="22"/>
        </w:rPr>
        <w:t>Amendment Determination</w:t>
      </w:r>
      <w:r w:rsidRPr="009B566D">
        <w:rPr>
          <w:color w:val="000000"/>
          <w:szCs w:val="22"/>
        </w:rPr>
        <w:t xml:space="preserve"> was unnecessary due to the nature of the consultation that had already taken place.</w:t>
      </w:r>
    </w:p>
    <w:p w14:paraId="4A6B2C98" w14:textId="77777777" w:rsidR="0040449F" w:rsidRPr="009B566D" w:rsidRDefault="0040449F" w:rsidP="0040449F">
      <w:pPr>
        <w:spacing w:after="240"/>
        <w:rPr>
          <w:color w:val="000000"/>
          <w:szCs w:val="22"/>
        </w:rPr>
      </w:pPr>
      <w:r w:rsidRPr="009B566D">
        <w:rPr>
          <w:color w:val="000000"/>
          <w:szCs w:val="22"/>
        </w:rPr>
        <w:t>Details of the Amendment Determination are set out in Attachment</w:t>
      </w:r>
      <w:r>
        <w:rPr>
          <w:color w:val="000000"/>
          <w:szCs w:val="22"/>
        </w:rPr>
        <w:t xml:space="preserve"> 1</w:t>
      </w:r>
      <w:r w:rsidRPr="009B566D">
        <w:rPr>
          <w:color w:val="000000"/>
          <w:szCs w:val="22"/>
        </w:rPr>
        <w:t>.</w:t>
      </w:r>
    </w:p>
    <w:p w14:paraId="0C9AA933" w14:textId="77777777" w:rsidR="0040449F" w:rsidRPr="009B566D" w:rsidRDefault="0040449F" w:rsidP="0040449F">
      <w:pPr>
        <w:spacing w:after="240"/>
        <w:rPr>
          <w:color w:val="000000"/>
          <w:szCs w:val="22"/>
        </w:rPr>
      </w:pPr>
      <w:r w:rsidRPr="009B566D">
        <w:rPr>
          <w:color w:val="000000"/>
          <w:szCs w:val="22"/>
        </w:rPr>
        <w:t>The Amendment Determination commences on the day after registratio</w:t>
      </w:r>
      <w:r>
        <w:rPr>
          <w:color w:val="000000"/>
          <w:szCs w:val="22"/>
        </w:rPr>
        <w:t>n.</w:t>
      </w:r>
    </w:p>
    <w:p w14:paraId="2459C52C" w14:textId="77777777" w:rsidR="0040449F" w:rsidRPr="009B566D" w:rsidRDefault="0040449F" w:rsidP="0040449F">
      <w:pPr>
        <w:spacing w:after="240"/>
        <w:rPr>
          <w:color w:val="000000"/>
          <w:szCs w:val="22"/>
        </w:rPr>
      </w:pPr>
      <w:r w:rsidRPr="009B566D">
        <w:rPr>
          <w:color w:val="000000"/>
          <w:szCs w:val="22"/>
        </w:rPr>
        <w:t xml:space="preserve">The Amendment Determination is a legislative instrument for the purposes of the </w:t>
      </w:r>
      <w:r w:rsidRPr="00F55A35">
        <w:rPr>
          <w:i/>
          <w:color w:val="000000"/>
          <w:szCs w:val="22"/>
        </w:rPr>
        <w:t>Legislation Act 2003</w:t>
      </w:r>
      <w:r w:rsidRPr="009B566D">
        <w:rPr>
          <w:color w:val="000000"/>
          <w:szCs w:val="22"/>
        </w:rPr>
        <w:t>.</w:t>
      </w:r>
    </w:p>
    <w:p w14:paraId="22EDF2F1" w14:textId="77777777" w:rsidR="0040449F" w:rsidRDefault="0040449F" w:rsidP="0040449F">
      <w:pPr>
        <w:spacing w:after="200" w:line="276" w:lineRule="auto"/>
        <w:rPr>
          <w:b/>
        </w:rPr>
      </w:pPr>
    </w:p>
    <w:p w14:paraId="1D8DC5BE" w14:textId="77777777" w:rsidR="0040449F" w:rsidRDefault="0040449F" w:rsidP="0040449F">
      <w:pPr>
        <w:spacing w:after="200" w:line="276" w:lineRule="auto"/>
        <w:rPr>
          <w:b/>
        </w:rPr>
      </w:pPr>
    </w:p>
    <w:p w14:paraId="62E7DAB8" w14:textId="77777777" w:rsidR="0040449F" w:rsidRDefault="0040449F" w:rsidP="0040449F">
      <w:pPr>
        <w:spacing w:after="200" w:line="276" w:lineRule="auto"/>
        <w:rPr>
          <w:b/>
        </w:rPr>
      </w:pPr>
      <w:r>
        <w:rPr>
          <w:b/>
        </w:rPr>
        <w:br w:type="page"/>
      </w:r>
    </w:p>
    <w:p w14:paraId="73BEB6BB" w14:textId="77777777" w:rsidR="0040449F" w:rsidRPr="000A2EFF" w:rsidRDefault="0040449F" w:rsidP="0040449F">
      <w:pPr>
        <w:spacing w:after="200" w:line="276" w:lineRule="auto"/>
        <w:rPr>
          <w:b/>
          <w:i/>
        </w:rPr>
      </w:pPr>
      <w:r w:rsidRPr="000A2EFF">
        <w:rPr>
          <w:b/>
        </w:rPr>
        <w:t>ATTACHMENT</w:t>
      </w:r>
      <w:r>
        <w:rPr>
          <w:b/>
        </w:rPr>
        <w:t xml:space="preserve"> 1</w:t>
      </w:r>
    </w:p>
    <w:p w14:paraId="767527BB" w14:textId="77777777" w:rsidR="0040449F" w:rsidRPr="000A2EFF" w:rsidRDefault="0040449F" w:rsidP="0040449F">
      <w:pPr>
        <w:jc w:val="both"/>
        <w:rPr>
          <w:b/>
        </w:rPr>
      </w:pPr>
    </w:p>
    <w:p w14:paraId="07821E42" w14:textId="77777777" w:rsidR="0040449F" w:rsidRPr="000A2EFF" w:rsidRDefault="0040449F" w:rsidP="0040449F">
      <w:pPr>
        <w:rPr>
          <w:b/>
          <w:i/>
        </w:rPr>
      </w:pPr>
      <w:r w:rsidRPr="000A2EFF">
        <w:rPr>
          <w:b/>
        </w:rPr>
        <w:t>Details o</w:t>
      </w:r>
      <w:r>
        <w:rPr>
          <w:b/>
        </w:rPr>
        <w:t>f</w:t>
      </w:r>
      <w:r w:rsidRPr="000A2EFF">
        <w:rPr>
          <w:b/>
        </w:rPr>
        <w:t xml:space="preserve"> the </w:t>
      </w:r>
      <w:r>
        <w:rPr>
          <w:b/>
          <w:i/>
        </w:rPr>
        <w:t>N</w:t>
      </w:r>
      <w:r w:rsidRPr="000A2EFF">
        <w:rPr>
          <w:b/>
          <w:i/>
        </w:rPr>
        <w:t xml:space="preserve">ational </w:t>
      </w:r>
      <w:r>
        <w:rPr>
          <w:b/>
          <w:i/>
        </w:rPr>
        <w:t>H</w:t>
      </w:r>
      <w:r w:rsidRPr="000A2EFF">
        <w:rPr>
          <w:b/>
          <w:i/>
        </w:rPr>
        <w:t>ealth (</w:t>
      </w:r>
      <w:r>
        <w:rPr>
          <w:b/>
          <w:i/>
        </w:rPr>
        <w:t>I</w:t>
      </w:r>
      <w:r w:rsidRPr="000A2EFF">
        <w:rPr>
          <w:b/>
          <w:i/>
        </w:rPr>
        <w:t xml:space="preserve">mmunisation </w:t>
      </w:r>
      <w:r>
        <w:rPr>
          <w:b/>
          <w:i/>
        </w:rPr>
        <w:t>P</w:t>
      </w:r>
      <w:r w:rsidRPr="000A2EFF">
        <w:rPr>
          <w:b/>
          <w:i/>
        </w:rPr>
        <w:t>rogram –</w:t>
      </w:r>
      <w:r>
        <w:rPr>
          <w:b/>
          <w:i/>
        </w:rPr>
        <w:t xml:space="preserve"> D</w:t>
      </w:r>
      <w:r w:rsidRPr="000A2EFF">
        <w:rPr>
          <w:b/>
          <w:i/>
        </w:rPr>
        <w:t xml:space="preserve">esignated </w:t>
      </w:r>
      <w:r>
        <w:rPr>
          <w:b/>
          <w:i/>
        </w:rPr>
        <w:t>V</w:t>
      </w:r>
      <w:r w:rsidRPr="000A2EFF">
        <w:rPr>
          <w:b/>
          <w:i/>
        </w:rPr>
        <w:t xml:space="preserve">accines) </w:t>
      </w:r>
      <w:r>
        <w:rPr>
          <w:b/>
          <w:i/>
        </w:rPr>
        <w:t>Amendment</w:t>
      </w:r>
      <w:r w:rsidRPr="000A2EFF">
        <w:rPr>
          <w:b/>
          <w:i/>
        </w:rPr>
        <w:t xml:space="preserve"> </w:t>
      </w:r>
      <w:r>
        <w:rPr>
          <w:b/>
          <w:i/>
        </w:rPr>
        <w:t xml:space="preserve">Determination (No. </w:t>
      </w:r>
      <w:r w:rsidR="00147911">
        <w:rPr>
          <w:b/>
          <w:i/>
        </w:rPr>
        <w:t>3</w:t>
      </w:r>
      <w:r>
        <w:rPr>
          <w:b/>
          <w:i/>
        </w:rPr>
        <w:t>) 2020</w:t>
      </w:r>
      <w:r w:rsidRPr="000A2EFF">
        <w:rPr>
          <w:b/>
          <w:i/>
        </w:rPr>
        <w:t xml:space="preserve"> </w:t>
      </w:r>
    </w:p>
    <w:p w14:paraId="25CF7E0E" w14:textId="77777777" w:rsidR="0040449F" w:rsidRPr="000A2EFF" w:rsidRDefault="0040449F" w:rsidP="0040449F">
      <w:pPr>
        <w:jc w:val="both"/>
        <w:rPr>
          <w:b/>
        </w:rPr>
      </w:pPr>
    </w:p>
    <w:p w14:paraId="24239BC8" w14:textId="77777777" w:rsidR="0040449F" w:rsidRPr="009D1FC4" w:rsidRDefault="0040449F" w:rsidP="0040449F">
      <w:pPr>
        <w:jc w:val="both"/>
        <w:rPr>
          <w:u w:val="single"/>
        </w:rPr>
      </w:pPr>
      <w:r w:rsidRPr="009D1FC4">
        <w:rPr>
          <w:u w:val="single"/>
        </w:rPr>
        <w:t>Section 1 – Name</w:t>
      </w:r>
    </w:p>
    <w:p w14:paraId="051C0015" w14:textId="77777777" w:rsidR="0040449F" w:rsidRPr="007072CD" w:rsidRDefault="0040449F" w:rsidP="0040449F">
      <w:pPr>
        <w:jc w:val="both"/>
        <w:rPr>
          <w:u w:val="single"/>
        </w:rPr>
      </w:pPr>
    </w:p>
    <w:p w14:paraId="1E3BD07E" w14:textId="77777777" w:rsidR="0040449F" w:rsidRPr="000A2EFF" w:rsidRDefault="0040449F" w:rsidP="0040449F">
      <w:pPr>
        <w:rPr>
          <w:i/>
        </w:rPr>
      </w:pPr>
      <w:r w:rsidRPr="000A2EFF">
        <w:t xml:space="preserve">Section 1 provides that the </w:t>
      </w:r>
      <w:r>
        <w:t>name</w:t>
      </w:r>
      <w:r w:rsidRPr="000A2EFF">
        <w:t xml:space="preserve"> of the </w:t>
      </w:r>
      <w:r>
        <w:t>instrument</w:t>
      </w:r>
      <w:r w:rsidRPr="000A2EFF">
        <w:t xml:space="preserve"> is the </w:t>
      </w:r>
      <w:r w:rsidRPr="00D52D0A">
        <w:rPr>
          <w:i/>
        </w:rPr>
        <w:t>National Health (Immunisation Program – Designated Vaccines) Amendment Determination (No</w:t>
      </w:r>
      <w:r w:rsidR="0072639C">
        <w:rPr>
          <w:i/>
        </w:rPr>
        <w:t>.3</w:t>
      </w:r>
      <w:r>
        <w:rPr>
          <w:i/>
        </w:rPr>
        <w:t>) 2020.</w:t>
      </w:r>
    </w:p>
    <w:p w14:paraId="77BA215A" w14:textId="77777777" w:rsidR="0040449F" w:rsidRPr="000A2EFF" w:rsidRDefault="0040449F" w:rsidP="0040449F"/>
    <w:p w14:paraId="3A9E60A6" w14:textId="77777777" w:rsidR="0040449F" w:rsidRPr="009D1FC4" w:rsidRDefault="0040449F" w:rsidP="0040449F">
      <w:pPr>
        <w:rPr>
          <w:u w:val="single"/>
        </w:rPr>
      </w:pPr>
      <w:r w:rsidRPr="009D1FC4">
        <w:rPr>
          <w:u w:val="single"/>
        </w:rPr>
        <w:t>Section 2 - Commencement</w:t>
      </w:r>
    </w:p>
    <w:p w14:paraId="68EE89F5" w14:textId="77777777" w:rsidR="0040449F" w:rsidRPr="000A2EFF" w:rsidRDefault="0040449F" w:rsidP="0040449F">
      <w:pPr>
        <w:rPr>
          <w:b/>
        </w:rPr>
      </w:pPr>
    </w:p>
    <w:p w14:paraId="222F6B0D" w14:textId="77777777" w:rsidR="0040449F" w:rsidRPr="000A2EFF" w:rsidRDefault="0040449F" w:rsidP="0040449F">
      <w:r w:rsidRPr="000A2EFF">
        <w:t xml:space="preserve">Section 2 provides that the </w:t>
      </w:r>
      <w:r>
        <w:t xml:space="preserve">Amendment </w:t>
      </w:r>
      <w:r w:rsidRPr="000A2EFF">
        <w:t>Determination commence</w:t>
      </w:r>
      <w:r>
        <w:t>s</w:t>
      </w:r>
      <w:r w:rsidRPr="000A2EFF">
        <w:t xml:space="preserve"> on the day after</w:t>
      </w:r>
      <w:r>
        <w:t xml:space="preserve"> its</w:t>
      </w:r>
      <w:r w:rsidRPr="000A2EFF">
        <w:t xml:space="preserve"> registration.</w:t>
      </w:r>
    </w:p>
    <w:p w14:paraId="102A8C8B" w14:textId="77777777" w:rsidR="0040449F" w:rsidRPr="000A2EFF" w:rsidRDefault="0040449F" w:rsidP="0040449F"/>
    <w:p w14:paraId="4B5E7A86" w14:textId="77777777" w:rsidR="0040449F" w:rsidRPr="009D1FC4" w:rsidRDefault="0040449F" w:rsidP="0040449F">
      <w:pPr>
        <w:rPr>
          <w:u w:val="single"/>
        </w:rPr>
      </w:pPr>
      <w:r w:rsidRPr="009D1FC4">
        <w:rPr>
          <w:u w:val="single"/>
        </w:rPr>
        <w:t>Section 3</w:t>
      </w:r>
      <w:r>
        <w:rPr>
          <w:u w:val="single"/>
        </w:rPr>
        <w:t xml:space="preserve"> </w:t>
      </w:r>
      <w:r w:rsidRPr="009D1FC4">
        <w:rPr>
          <w:u w:val="single"/>
        </w:rPr>
        <w:t>- Authority</w:t>
      </w:r>
    </w:p>
    <w:p w14:paraId="028F5235" w14:textId="77777777" w:rsidR="0040449F" w:rsidRPr="000A2EFF" w:rsidRDefault="0040449F" w:rsidP="0040449F">
      <w:pPr>
        <w:rPr>
          <w:b/>
        </w:rPr>
      </w:pPr>
    </w:p>
    <w:p w14:paraId="4F516177" w14:textId="77777777" w:rsidR="0040449F" w:rsidRPr="000A2EFF" w:rsidRDefault="0040449F" w:rsidP="0040449F">
      <w:pPr>
        <w:rPr>
          <w:b/>
        </w:rPr>
      </w:pPr>
      <w:r w:rsidRPr="000A2EFF">
        <w:rPr>
          <w:sz w:val="23"/>
          <w:szCs w:val="23"/>
        </w:rPr>
        <w:t xml:space="preserve">Section 3 provides that the </w:t>
      </w:r>
      <w:r>
        <w:rPr>
          <w:sz w:val="23"/>
          <w:szCs w:val="23"/>
        </w:rPr>
        <w:t xml:space="preserve">Amendment </w:t>
      </w:r>
      <w:r w:rsidRPr="000A2EFF">
        <w:rPr>
          <w:sz w:val="23"/>
          <w:szCs w:val="23"/>
        </w:rPr>
        <w:t xml:space="preserve">Determination is made under </w:t>
      </w:r>
      <w:r>
        <w:rPr>
          <w:sz w:val="23"/>
          <w:szCs w:val="23"/>
        </w:rPr>
        <w:t>sub</w:t>
      </w:r>
      <w:r w:rsidRPr="000A2EFF">
        <w:rPr>
          <w:sz w:val="23"/>
          <w:szCs w:val="23"/>
        </w:rPr>
        <w:t>section</w:t>
      </w:r>
      <w:r>
        <w:rPr>
          <w:sz w:val="23"/>
          <w:szCs w:val="23"/>
        </w:rPr>
        <w:t>s</w:t>
      </w:r>
      <w:r w:rsidRPr="000A2EFF">
        <w:rPr>
          <w:sz w:val="23"/>
          <w:szCs w:val="23"/>
        </w:rPr>
        <w:t xml:space="preserve"> 9B</w:t>
      </w:r>
      <w:r>
        <w:rPr>
          <w:sz w:val="23"/>
          <w:szCs w:val="23"/>
        </w:rPr>
        <w:t>(2) and (5)</w:t>
      </w:r>
      <w:r w:rsidRPr="000A2EFF">
        <w:rPr>
          <w:sz w:val="23"/>
          <w:szCs w:val="23"/>
        </w:rPr>
        <w:t xml:space="preserve"> of the </w:t>
      </w:r>
      <w:r w:rsidRPr="000A2EFF">
        <w:rPr>
          <w:i/>
          <w:iCs/>
          <w:sz w:val="23"/>
          <w:szCs w:val="23"/>
        </w:rPr>
        <w:t>National Health Act 1953</w:t>
      </w:r>
      <w:r w:rsidRPr="000A2EFF">
        <w:rPr>
          <w:sz w:val="23"/>
          <w:szCs w:val="23"/>
        </w:rPr>
        <w:t>.</w:t>
      </w:r>
    </w:p>
    <w:p w14:paraId="00150481" w14:textId="77777777" w:rsidR="0040449F" w:rsidRPr="000A2EFF" w:rsidRDefault="0040449F" w:rsidP="0040449F">
      <w:pPr>
        <w:rPr>
          <w:b/>
        </w:rPr>
      </w:pPr>
    </w:p>
    <w:p w14:paraId="415A6D0E" w14:textId="77777777" w:rsidR="0040449F" w:rsidRPr="009D1FC4" w:rsidRDefault="0040449F" w:rsidP="0040449F">
      <w:pPr>
        <w:rPr>
          <w:u w:val="single"/>
        </w:rPr>
      </w:pPr>
      <w:r w:rsidRPr="009D1FC4">
        <w:rPr>
          <w:u w:val="single"/>
        </w:rPr>
        <w:t>Section 4</w:t>
      </w:r>
      <w:r>
        <w:rPr>
          <w:u w:val="single"/>
        </w:rPr>
        <w:t xml:space="preserve"> </w:t>
      </w:r>
      <w:r w:rsidRPr="009D1FC4">
        <w:rPr>
          <w:u w:val="single"/>
        </w:rPr>
        <w:t>- Schedules</w:t>
      </w:r>
    </w:p>
    <w:p w14:paraId="451681A9" w14:textId="77777777" w:rsidR="0040449F" w:rsidRDefault="0040449F" w:rsidP="0040449F">
      <w:pPr>
        <w:rPr>
          <w:b/>
        </w:rPr>
      </w:pPr>
    </w:p>
    <w:p w14:paraId="0B791421" w14:textId="77777777" w:rsidR="0040449F" w:rsidRPr="00BC6A5B" w:rsidRDefault="0040449F" w:rsidP="0040449F">
      <w:r w:rsidRPr="00A4602F">
        <w:t>Section 4 provides</w:t>
      </w:r>
      <w:r>
        <w:t xml:space="preserve"> that the Amendment Determination amends the instrument specified in a schedule to the Amendment Determination, and any other item in a Schedule to the instrument has effect according to its terms.</w:t>
      </w:r>
    </w:p>
    <w:p w14:paraId="3F05E066" w14:textId="77777777" w:rsidR="0040449F" w:rsidRPr="000A2EFF" w:rsidRDefault="0040449F" w:rsidP="0040449F"/>
    <w:p w14:paraId="5F7E7B8D" w14:textId="77777777" w:rsidR="0040449F" w:rsidRPr="009D1FC4" w:rsidRDefault="0040449F" w:rsidP="0040449F">
      <w:pPr>
        <w:rPr>
          <w:u w:val="single"/>
        </w:rPr>
      </w:pPr>
      <w:r w:rsidRPr="009D1FC4">
        <w:rPr>
          <w:u w:val="single"/>
        </w:rPr>
        <w:t>Schedule</w:t>
      </w:r>
      <w:r>
        <w:rPr>
          <w:u w:val="single"/>
        </w:rPr>
        <w:t xml:space="preserve"> 1</w:t>
      </w:r>
      <w:r w:rsidRPr="009D1FC4">
        <w:rPr>
          <w:u w:val="single"/>
        </w:rPr>
        <w:t xml:space="preserve"> - Amendments</w:t>
      </w:r>
    </w:p>
    <w:p w14:paraId="1256A98A" w14:textId="77777777" w:rsidR="0040449F" w:rsidRPr="007072CD" w:rsidRDefault="0040449F" w:rsidP="0040449F">
      <w:pPr>
        <w:rPr>
          <w:u w:val="single"/>
        </w:rPr>
      </w:pPr>
    </w:p>
    <w:p w14:paraId="21B2DA64" w14:textId="77777777" w:rsidR="0040449F" w:rsidRPr="000A2EFF" w:rsidRDefault="0040449F" w:rsidP="0040449F">
      <w:r w:rsidRPr="000A2EFF">
        <w:t xml:space="preserve">Schedule 1 varies the </w:t>
      </w:r>
      <w:r w:rsidRPr="000A2EFF">
        <w:rPr>
          <w:i/>
        </w:rPr>
        <w:t xml:space="preserve">National Health (Immunisation Program – Designated Vaccines) Determination </w:t>
      </w:r>
      <w:r w:rsidRPr="00D52D0A">
        <w:rPr>
          <w:i/>
        </w:rPr>
        <w:t>2014 (No. 1)</w:t>
      </w:r>
      <w:r>
        <w:rPr>
          <w:i/>
        </w:rPr>
        <w:t xml:space="preserve"> </w:t>
      </w:r>
      <w:r>
        <w:t>(the Determination).</w:t>
      </w:r>
    </w:p>
    <w:p w14:paraId="6570FE33" w14:textId="77777777" w:rsidR="0040449F" w:rsidRPr="000A2EFF" w:rsidRDefault="0040449F" w:rsidP="0040449F">
      <w:pPr>
        <w:rPr>
          <w:b/>
          <w:i/>
        </w:rPr>
      </w:pPr>
    </w:p>
    <w:p w14:paraId="3AD4DC7E" w14:textId="77777777" w:rsidR="0040449F" w:rsidRPr="00DE1BE1" w:rsidRDefault="0040449F" w:rsidP="0040449F">
      <w:pPr>
        <w:rPr>
          <w:b/>
          <w:color w:val="000000" w:themeColor="text1"/>
        </w:rPr>
      </w:pPr>
      <w:r w:rsidRPr="00DE1BE1">
        <w:rPr>
          <w:b/>
          <w:color w:val="000000" w:themeColor="text1"/>
        </w:rPr>
        <w:t>Item 1 –</w:t>
      </w:r>
      <w:r w:rsidR="00DB7A65">
        <w:rPr>
          <w:b/>
          <w:color w:val="000000" w:themeColor="text1"/>
        </w:rPr>
        <w:t xml:space="preserve"> S</w:t>
      </w:r>
      <w:r w:rsidRPr="00DE1BE1">
        <w:rPr>
          <w:b/>
          <w:color w:val="000000" w:themeColor="text1"/>
        </w:rPr>
        <w:t>ubsection 7(</w:t>
      </w:r>
      <w:r w:rsidR="00DB7A65">
        <w:rPr>
          <w:b/>
          <w:color w:val="000000" w:themeColor="text1"/>
        </w:rPr>
        <w:t>7A</w:t>
      </w:r>
      <w:r w:rsidRPr="00DE1BE1">
        <w:rPr>
          <w:b/>
          <w:color w:val="000000" w:themeColor="text1"/>
        </w:rPr>
        <w:t xml:space="preserve">) </w:t>
      </w:r>
    </w:p>
    <w:p w14:paraId="131BB22E" w14:textId="77777777" w:rsidR="0040449F" w:rsidRDefault="0040449F" w:rsidP="0040449F">
      <w:pPr>
        <w:rPr>
          <w:color w:val="000000" w:themeColor="text1"/>
        </w:rPr>
      </w:pPr>
    </w:p>
    <w:p w14:paraId="288F5179" w14:textId="2FFF918F" w:rsidR="00DB7A65" w:rsidRDefault="0040449F" w:rsidP="0040449F">
      <w:pPr>
        <w:rPr>
          <w:color w:val="000000" w:themeColor="text1"/>
        </w:rPr>
      </w:pPr>
      <w:r w:rsidRPr="00DE1BE1">
        <w:rPr>
          <w:color w:val="000000" w:themeColor="text1"/>
        </w:rPr>
        <w:t xml:space="preserve">Item 1 </w:t>
      </w:r>
      <w:r w:rsidR="00DB7A65">
        <w:rPr>
          <w:color w:val="000000" w:themeColor="text1"/>
        </w:rPr>
        <w:t>repeals</w:t>
      </w:r>
      <w:r w:rsidRPr="00DE1BE1">
        <w:rPr>
          <w:color w:val="000000" w:themeColor="text1"/>
        </w:rPr>
        <w:t xml:space="preserve"> subsection 7(</w:t>
      </w:r>
      <w:r w:rsidR="00DB7A65">
        <w:rPr>
          <w:color w:val="000000" w:themeColor="text1"/>
        </w:rPr>
        <w:t>7A</w:t>
      </w:r>
      <w:r w:rsidRPr="00DE1BE1">
        <w:rPr>
          <w:color w:val="000000" w:themeColor="text1"/>
        </w:rPr>
        <w:t>)</w:t>
      </w:r>
      <w:r w:rsidR="00073178">
        <w:rPr>
          <w:color w:val="000000" w:themeColor="text1"/>
        </w:rPr>
        <w:t xml:space="preserve"> in the Determination</w:t>
      </w:r>
      <w:r w:rsidR="00DB7A65">
        <w:rPr>
          <w:color w:val="000000" w:themeColor="text1"/>
        </w:rPr>
        <w:t>.</w:t>
      </w:r>
    </w:p>
    <w:p w14:paraId="1D3562BB" w14:textId="77777777" w:rsidR="006A2F91" w:rsidRPr="006A2F91" w:rsidRDefault="006A2F91" w:rsidP="006A2F91">
      <w:pPr>
        <w:pStyle w:val="ItemHead"/>
        <w:rPr>
          <w:rFonts w:ascii="Times New Roman" w:hAnsi="Times New Roman"/>
          <w:szCs w:val="24"/>
        </w:rPr>
      </w:pPr>
      <w:r w:rsidRPr="006A2F91">
        <w:rPr>
          <w:rFonts w:ascii="Times New Roman" w:hAnsi="Times New Roman"/>
          <w:color w:val="000000" w:themeColor="text1"/>
          <w:szCs w:val="24"/>
        </w:rPr>
        <w:t xml:space="preserve">Item 2 - </w:t>
      </w:r>
      <w:r w:rsidRPr="006A2F91">
        <w:rPr>
          <w:rFonts w:ascii="Times New Roman" w:hAnsi="Times New Roman"/>
          <w:szCs w:val="24"/>
        </w:rPr>
        <w:t>Subsection 7(8)</w:t>
      </w:r>
    </w:p>
    <w:p w14:paraId="24195642" w14:textId="77777777" w:rsidR="006A2F91" w:rsidRPr="006A2F91" w:rsidRDefault="006A2F91" w:rsidP="0040449F">
      <w:pPr>
        <w:rPr>
          <w:b/>
          <w:color w:val="000000" w:themeColor="text1"/>
        </w:rPr>
      </w:pPr>
    </w:p>
    <w:p w14:paraId="7B0EEFE6" w14:textId="32470864" w:rsidR="006A2F91" w:rsidRDefault="006A2F91" w:rsidP="006A2F91">
      <w:pPr>
        <w:rPr>
          <w:color w:val="000000" w:themeColor="text1"/>
        </w:rPr>
      </w:pPr>
      <w:r w:rsidRPr="006A2F91">
        <w:rPr>
          <w:color w:val="000000" w:themeColor="text1"/>
        </w:rPr>
        <w:t xml:space="preserve">Item 2 </w:t>
      </w:r>
      <w:r w:rsidR="006927AE">
        <w:t xml:space="preserve">omits “207B” </w:t>
      </w:r>
      <w:r w:rsidRPr="006A2F91">
        <w:t>and substitutes</w:t>
      </w:r>
      <w:r>
        <w:t xml:space="preserve"> </w:t>
      </w:r>
      <w:r w:rsidR="00170758">
        <w:t xml:space="preserve">it with </w:t>
      </w:r>
      <w:r w:rsidR="006927AE">
        <w:t>“</w:t>
      </w:r>
      <w:r w:rsidR="006927AE" w:rsidRPr="00F512E7">
        <w:rPr>
          <w:szCs w:val="22"/>
        </w:rPr>
        <w:t>207A</w:t>
      </w:r>
      <w:r w:rsidR="006927AE" w:rsidRPr="009C19C3">
        <w:rPr>
          <w:szCs w:val="22"/>
        </w:rPr>
        <w:t xml:space="preserve">, </w:t>
      </w:r>
      <w:r w:rsidR="006927AE" w:rsidRPr="00594F93">
        <w:rPr>
          <w:szCs w:val="22"/>
        </w:rPr>
        <w:t>207B</w:t>
      </w:r>
      <w:r w:rsidR="006927AE" w:rsidRPr="009C19C3">
        <w:rPr>
          <w:szCs w:val="22"/>
        </w:rPr>
        <w:t xml:space="preserve"> and 207F</w:t>
      </w:r>
      <w:r w:rsidR="006927AE">
        <w:rPr>
          <w:szCs w:val="22"/>
        </w:rPr>
        <w:t xml:space="preserve">”. </w:t>
      </w:r>
      <w:r w:rsidR="006927AE">
        <w:t>S</w:t>
      </w:r>
      <w:r>
        <w:t xml:space="preserve">ubsection 7(8) </w:t>
      </w:r>
      <w:r>
        <w:rPr>
          <w:color w:val="000000" w:themeColor="text1"/>
        </w:rPr>
        <w:t xml:space="preserve">specifies </w:t>
      </w:r>
      <w:r w:rsidRPr="00DE1BE1">
        <w:rPr>
          <w:color w:val="000000" w:themeColor="text1"/>
        </w:rPr>
        <w:t xml:space="preserve">the circumstances in which </w:t>
      </w:r>
      <w:r>
        <w:rPr>
          <w:color w:val="000000" w:themeColor="text1"/>
        </w:rPr>
        <w:t xml:space="preserve">the </w:t>
      </w:r>
      <w:r w:rsidRPr="00DE1BE1">
        <w:rPr>
          <w:color w:val="000000" w:themeColor="text1"/>
        </w:rPr>
        <w:t>designated vaccine</w:t>
      </w:r>
      <w:r>
        <w:rPr>
          <w:color w:val="000000" w:themeColor="text1"/>
        </w:rPr>
        <w:t>s listed in</w:t>
      </w:r>
      <w:r w:rsidRPr="00DE1BE1">
        <w:rPr>
          <w:color w:val="000000" w:themeColor="text1"/>
        </w:rPr>
        <w:t xml:space="preserve"> item</w:t>
      </w:r>
      <w:r w:rsidR="00F31BF4">
        <w:rPr>
          <w:color w:val="000000" w:themeColor="text1"/>
        </w:rPr>
        <w:t>s</w:t>
      </w:r>
      <w:r w:rsidRPr="00DE1BE1">
        <w:rPr>
          <w:color w:val="000000" w:themeColor="text1"/>
        </w:rPr>
        <w:t xml:space="preserve"> </w:t>
      </w:r>
      <w:r w:rsidRPr="009C19C3">
        <w:rPr>
          <w:szCs w:val="22"/>
        </w:rPr>
        <w:t>207A, 207B and 207F</w:t>
      </w:r>
      <w:r w:rsidRPr="00DE1BE1">
        <w:rPr>
          <w:color w:val="000000" w:themeColor="text1"/>
        </w:rPr>
        <w:t xml:space="preserve"> of Schedule 1 of the Determination may be provided</w:t>
      </w:r>
      <w:r>
        <w:rPr>
          <w:color w:val="000000" w:themeColor="text1"/>
        </w:rPr>
        <w:t xml:space="preserve"> </w:t>
      </w:r>
      <w:r w:rsidRPr="00DE1BE1">
        <w:rPr>
          <w:color w:val="000000" w:themeColor="text1"/>
        </w:rPr>
        <w:t>under the NIP.</w:t>
      </w:r>
    </w:p>
    <w:p w14:paraId="0716472A" w14:textId="77777777" w:rsidR="006A2F91" w:rsidRPr="006A2F91" w:rsidRDefault="006A2F91" w:rsidP="0040449F">
      <w:pPr>
        <w:rPr>
          <w:color w:val="000000" w:themeColor="text1"/>
        </w:rPr>
      </w:pPr>
    </w:p>
    <w:p w14:paraId="7CB4CC6D" w14:textId="77777777" w:rsidR="0040449F" w:rsidRPr="006A2F91" w:rsidRDefault="00DB7A65" w:rsidP="005D57B1">
      <w:pPr>
        <w:rPr>
          <w:b/>
        </w:rPr>
      </w:pPr>
      <w:r>
        <w:rPr>
          <w:b/>
        </w:rPr>
        <w:t xml:space="preserve">Item 3 </w:t>
      </w:r>
      <w:r w:rsidR="006A2F91" w:rsidRPr="006A2F91">
        <w:rPr>
          <w:b/>
        </w:rPr>
        <w:t>– Subsection 7(8B)</w:t>
      </w:r>
    </w:p>
    <w:p w14:paraId="3F137E50" w14:textId="77777777" w:rsidR="005D57B1" w:rsidRDefault="005D57B1" w:rsidP="005D57B1">
      <w:pPr>
        <w:pStyle w:val="Item"/>
        <w:spacing w:before="0"/>
        <w:ind w:left="0"/>
        <w:rPr>
          <w:sz w:val="24"/>
          <w:szCs w:val="24"/>
        </w:rPr>
      </w:pPr>
    </w:p>
    <w:p w14:paraId="69E1A1B2" w14:textId="77777777" w:rsidR="006A2F91" w:rsidRPr="005D57B1" w:rsidRDefault="006A2F91" w:rsidP="005D57B1">
      <w:pPr>
        <w:pStyle w:val="Item"/>
        <w:spacing w:before="0"/>
        <w:ind w:left="0"/>
        <w:rPr>
          <w:sz w:val="24"/>
          <w:szCs w:val="24"/>
        </w:rPr>
      </w:pPr>
      <w:r w:rsidRPr="005D57B1">
        <w:rPr>
          <w:sz w:val="24"/>
          <w:szCs w:val="24"/>
        </w:rPr>
        <w:t>Item 3 repeals subsection 7(8B)</w:t>
      </w:r>
      <w:r w:rsidR="00073178">
        <w:rPr>
          <w:sz w:val="24"/>
          <w:szCs w:val="24"/>
        </w:rPr>
        <w:t xml:space="preserve"> in the Determination</w:t>
      </w:r>
      <w:r w:rsidRPr="005D57B1">
        <w:rPr>
          <w:sz w:val="24"/>
          <w:szCs w:val="24"/>
        </w:rPr>
        <w:t>.</w:t>
      </w:r>
    </w:p>
    <w:p w14:paraId="10051351" w14:textId="77777777" w:rsidR="006A2F91" w:rsidRPr="00DE1BE1" w:rsidRDefault="006A2F91" w:rsidP="0040449F">
      <w:pPr>
        <w:rPr>
          <w:b/>
        </w:rPr>
      </w:pPr>
    </w:p>
    <w:p w14:paraId="2DC2C240" w14:textId="77777777" w:rsidR="0040449F" w:rsidRPr="00DE1BE1" w:rsidRDefault="0040449F" w:rsidP="0040449F">
      <w:pPr>
        <w:rPr>
          <w:b/>
        </w:rPr>
      </w:pPr>
      <w:r w:rsidRPr="00DE1BE1">
        <w:rPr>
          <w:b/>
        </w:rPr>
        <w:t xml:space="preserve">Item </w:t>
      </w:r>
      <w:r w:rsidR="00DB7A65">
        <w:rPr>
          <w:b/>
        </w:rPr>
        <w:t>4</w:t>
      </w:r>
      <w:r w:rsidRPr="00DE1BE1">
        <w:rPr>
          <w:b/>
        </w:rPr>
        <w:t xml:space="preserve"> – </w:t>
      </w:r>
      <w:r w:rsidRPr="00DE1BE1">
        <w:rPr>
          <w:b/>
          <w:color w:val="000000"/>
          <w:szCs w:val="22"/>
        </w:rPr>
        <w:t>Part 1 of Schedule 1 (</w:t>
      </w:r>
      <w:r>
        <w:rPr>
          <w:b/>
          <w:color w:val="000000"/>
          <w:szCs w:val="22"/>
        </w:rPr>
        <w:t xml:space="preserve">after table item </w:t>
      </w:r>
      <w:r w:rsidR="005D57B1">
        <w:rPr>
          <w:b/>
          <w:color w:val="000000"/>
          <w:szCs w:val="22"/>
        </w:rPr>
        <w:t>108A</w:t>
      </w:r>
      <w:r w:rsidRPr="00DE1BE1">
        <w:rPr>
          <w:b/>
          <w:color w:val="000000"/>
          <w:szCs w:val="22"/>
        </w:rPr>
        <w:t>)</w:t>
      </w:r>
    </w:p>
    <w:p w14:paraId="23A2D117" w14:textId="6945CCA4" w:rsidR="0040449F" w:rsidRPr="005D57B1" w:rsidRDefault="0040449F" w:rsidP="005D57B1">
      <w:pPr>
        <w:spacing w:before="100" w:beforeAutospacing="1" w:after="100" w:afterAutospacing="1"/>
      </w:pPr>
      <w:r w:rsidRPr="005D57B1">
        <w:t xml:space="preserve">Item </w:t>
      </w:r>
      <w:r w:rsidR="005D57B1" w:rsidRPr="005D57B1">
        <w:t>4</w:t>
      </w:r>
      <w:r w:rsidRPr="005D57B1">
        <w:t xml:space="preserve"> inserts a new item </w:t>
      </w:r>
      <w:r w:rsidR="005D57B1" w:rsidRPr="005D57B1">
        <w:t>108B</w:t>
      </w:r>
      <w:r w:rsidRPr="005D57B1">
        <w:t xml:space="preserve"> in Part 1 of Schedule 1 (after table item </w:t>
      </w:r>
      <w:r w:rsidR="003072EA">
        <w:t>108A</w:t>
      </w:r>
      <w:r w:rsidRPr="005D57B1">
        <w:t xml:space="preserve">). Item </w:t>
      </w:r>
      <w:r w:rsidR="005D57B1" w:rsidRPr="005D57B1">
        <w:t>108B</w:t>
      </w:r>
      <w:r w:rsidRPr="005D57B1">
        <w:t xml:space="preserve"> in Part 1 of Schedule 1 determines that the </w:t>
      </w:r>
      <w:r w:rsidR="005D57B1" w:rsidRPr="005D57B1">
        <w:rPr>
          <w:szCs w:val="22"/>
        </w:rPr>
        <w:t>Meningococcal (Groups A,</w:t>
      </w:r>
      <w:r w:rsidR="00CB5C71">
        <w:rPr>
          <w:szCs w:val="22"/>
        </w:rPr>
        <w:t xml:space="preserve"> </w:t>
      </w:r>
      <w:r w:rsidR="005D57B1" w:rsidRPr="005D57B1">
        <w:rPr>
          <w:szCs w:val="22"/>
        </w:rPr>
        <w:t>C,</w:t>
      </w:r>
      <w:r w:rsidR="00CB5C71">
        <w:rPr>
          <w:szCs w:val="22"/>
        </w:rPr>
        <w:t xml:space="preserve"> </w:t>
      </w:r>
      <w:r w:rsidR="005D57B1" w:rsidRPr="005D57B1">
        <w:rPr>
          <w:szCs w:val="22"/>
        </w:rPr>
        <w:t>W-135 and Y) Oligosaccharide CRM197 Conjugate Vaccine (</w:t>
      </w:r>
      <w:r w:rsidR="008C1354" w:rsidRPr="00DB7A65">
        <w:rPr>
          <w:bCs/>
        </w:rPr>
        <w:t>Menveo</w:t>
      </w:r>
      <w:r w:rsidR="005D57B1" w:rsidRPr="005D57B1">
        <w:rPr>
          <w:szCs w:val="22"/>
        </w:rPr>
        <w:t>)</w:t>
      </w:r>
      <w:r w:rsidR="005D57B1">
        <w:rPr>
          <w:szCs w:val="22"/>
        </w:rPr>
        <w:t xml:space="preserve"> </w:t>
      </w:r>
      <w:r w:rsidRPr="005D57B1">
        <w:t xml:space="preserve">is a designated vaccine for the purposes of the Act. Additionally, it specifies the circumstances in which the vaccine can be provided. </w:t>
      </w:r>
    </w:p>
    <w:p w14:paraId="383C2FE7" w14:textId="77777777" w:rsidR="0040449F" w:rsidRDefault="0040449F" w:rsidP="0040449F">
      <w:pPr>
        <w:spacing w:line="276" w:lineRule="auto"/>
        <w:rPr>
          <w:b/>
        </w:rPr>
      </w:pPr>
    </w:p>
    <w:p w14:paraId="780694DF" w14:textId="77777777" w:rsidR="005D57B1" w:rsidRPr="005D57B1" w:rsidRDefault="005D57B1" w:rsidP="0040449F">
      <w:pPr>
        <w:spacing w:after="200" w:line="276" w:lineRule="auto"/>
        <w:rPr>
          <w:b/>
          <w:color w:val="000000"/>
          <w:szCs w:val="22"/>
        </w:rPr>
      </w:pPr>
      <w:r w:rsidRPr="00DE1BE1">
        <w:rPr>
          <w:b/>
        </w:rPr>
        <w:t xml:space="preserve">Item </w:t>
      </w:r>
      <w:r>
        <w:rPr>
          <w:b/>
        </w:rPr>
        <w:t>5</w:t>
      </w:r>
      <w:r w:rsidRPr="00DE1BE1">
        <w:rPr>
          <w:b/>
        </w:rPr>
        <w:t xml:space="preserve"> –</w:t>
      </w:r>
      <w:r w:rsidR="00935DF6">
        <w:rPr>
          <w:b/>
        </w:rPr>
        <w:t xml:space="preserve"> </w:t>
      </w:r>
      <w:r w:rsidRPr="005D57B1">
        <w:rPr>
          <w:rFonts w:cs="Arial"/>
          <w:b/>
        </w:rPr>
        <w:t>Part 2 of Schedule 1 (table item 207A, column headed “</w:t>
      </w:r>
      <w:r w:rsidRPr="005D57B1">
        <w:rPr>
          <w:b/>
        </w:rPr>
        <w:t>Vaccine and the circumstances in which vaccine may be provided”</w:t>
      </w:r>
      <w:r w:rsidR="00935DF6">
        <w:rPr>
          <w:b/>
        </w:rPr>
        <w:t>, under the subheading “Circumstances”</w:t>
      </w:r>
      <w:r w:rsidRPr="005D57B1">
        <w:rPr>
          <w:b/>
        </w:rPr>
        <w:t>)</w:t>
      </w:r>
    </w:p>
    <w:p w14:paraId="2F8A14B1" w14:textId="6C9F7943" w:rsidR="005D57B1" w:rsidRDefault="002614DC" w:rsidP="00073178">
      <w:pPr>
        <w:rPr>
          <w:color w:val="000000"/>
          <w:szCs w:val="22"/>
        </w:rPr>
      </w:pPr>
      <w:r w:rsidRPr="00073178">
        <w:rPr>
          <w:color w:val="000000"/>
          <w:szCs w:val="22"/>
        </w:rPr>
        <w:t xml:space="preserve">Item 5 </w:t>
      </w:r>
      <w:r w:rsidR="00935DF6">
        <w:rPr>
          <w:color w:val="000000"/>
          <w:szCs w:val="22"/>
        </w:rPr>
        <w:t xml:space="preserve">amends </w:t>
      </w:r>
      <w:r w:rsidRPr="00073178">
        <w:rPr>
          <w:color w:val="000000"/>
          <w:szCs w:val="22"/>
        </w:rPr>
        <w:t>the circumstance</w:t>
      </w:r>
      <w:r w:rsidR="00935DF6">
        <w:rPr>
          <w:color w:val="000000"/>
          <w:szCs w:val="22"/>
        </w:rPr>
        <w:t>s</w:t>
      </w:r>
      <w:r w:rsidRPr="00073178">
        <w:rPr>
          <w:color w:val="000000"/>
          <w:szCs w:val="22"/>
        </w:rPr>
        <w:t xml:space="preserve"> in Part </w:t>
      </w:r>
      <w:r w:rsidR="00073178" w:rsidRPr="00073178">
        <w:rPr>
          <w:color w:val="000000"/>
          <w:szCs w:val="22"/>
        </w:rPr>
        <w:t>2</w:t>
      </w:r>
      <w:r w:rsidRPr="00073178">
        <w:rPr>
          <w:color w:val="000000"/>
          <w:szCs w:val="22"/>
        </w:rPr>
        <w:t xml:space="preserve"> of Schedule 1 (</w:t>
      </w:r>
      <w:r w:rsidR="00073178" w:rsidRPr="00073178">
        <w:rPr>
          <w:color w:val="000000"/>
          <w:szCs w:val="22"/>
        </w:rPr>
        <w:t xml:space="preserve">table </w:t>
      </w:r>
      <w:r w:rsidRPr="00073178">
        <w:rPr>
          <w:color w:val="000000"/>
          <w:szCs w:val="22"/>
        </w:rPr>
        <w:t xml:space="preserve">item </w:t>
      </w:r>
      <w:r w:rsidR="00073178" w:rsidRPr="00073178">
        <w:rPr>
          <w:color w:val="000000"/>
          <w:szCs w:val="22"/>
        </w:rPr>
        <w:t>207A</w:t>
      </w:r>
      <w:r w:rsidRPr="00073178">
        <w:rPr>
          <w:color w:val="000000"/>
          <w:szCs w:val="22"/>
        </w:rPr>
        <w:t>, column headed “Vaccine and the circumstances in which vaccine may be provided”</w:t>
      </w:r>
      <w:r w:rsidR="00935DF6" w:rsidRPr="00935DF6">
        <w:rPr>
          <w:color w:val="000000"/>
          <w:szCs w:val="22"/>
        </w:rPr>
        <w:t>, under the subheading “Circumstances”</w:t>
      </w:r>
      <w:r w:rsidRPr="00073178">
        <w:rPr>
          <w:color w:val="000000"/>
          <w:szCs w:val="22"/>
        </w:rPr>
        <w:t>) and substitutes it with</w:t>
      </w:r>
      <w:r w:rsidR="00935DF6">
        <w:rPr>
          <w:color w:val="000000"/>
          <w:szCs w:val="22"/>
        </w:rPr>
        <w:t xml:space="preserve"> the new subsection 7(8) which provides for the</w:t>
      </w:r>
      <w:r w:rsidRPr="00073178">
        <w:rPr>
          <w:color w:val="000000"/>
          <w:szCs w:val="22"/>
        </w:rPr>
        <w:t xml:space="preserve"> revised circumstances in which</w:t>
      </w:r>
      <w:r w:rsidR="00073178" w:rsidRPr="00073178">
        <w:rPr>
          <w:color w:val="000000"/>
          <w:szCs w:val="22"/>
        </w:rPr>
        <w:t xml:space="preserve"> </w:t>
      </w:r>
      <w:r w:rsidR="00C843BD" w:rsidRPr="00504B9D">
        <w:rPr>
          <w:rFonts w:cstheme="minorHAnsi"/>
        </w:rPr>
        <w:t>Fluarix Tetra</w:t>
      </w:r>
      <w:r w:rsidR="00C843BD" w:rsidRPr="00073178">
        <w:rPr>
          <w:color w:val="000000"/>
          <w:szCs w:val="22"/>
        </w:rPr>
        <w:t xml:space="preserve"> </w:t>
      </w:r>
      <w:r w:rsidRPr="00073178">
        <w:rPr>
          <w:color w:val="000000"/>
          <w:szCs w:val="22"/>
        </w:rPr>
        <w:t>may be provided under the NIP.</w:t>
      </w:r>
    </w:p>
    <w:p w14:paraId="5F489082" w14:textId="77777777" w:rsidR="00073178" w:rsidRPr="00073178" w:rsidRDefault="00073178" w:rsidP="00073178">
      <w:pPr>
        <w:rPr>
          <w:color w:val="000000"/>
          <w:szCs w:val="22"/>
        </w:rPr>
      </w:pPr>
    </w:p>
    <w:p w14:paraId="7DDCACA1" w14:textId="77777777" w:rsidR="005D57B1" w:rsidRPr="005D57B1" w:rsidRDefault="005D57B1" w:rsidP="00073178">
      <w:pPr>
        <w:pStyle w:val="ItemHead"/>
        <w:spacing w:before="0"/>
        <w:ind w:left="0" w:firstLine="0"/>
        <w:rPr>
          <w:rFonts w:ascii="Times New Roman" w:hAnsi="Times New Roman"/>
        </w:rPr>
      </w:pPr>
      <w:r w:rsidRPr="005D57B1">
        <w:rPr>
          <w:rFonts w:ascii="Times New Roman" w:hAnsi="Times New Roman"/>
        </w:rPr>
        <w:t>Item 6 – Part 2 of Schedule 1 (table item 207F, column headed “Vaccine and the circumstances in which vaccine may be provided”</w:t>
      </w:r>
      <w:r w:rsidR="00935DF6">
        <w:t xml:space="preserve">, </w:t>
      </w:r>
      <w:r w:rsidR="00935DF6" w:rsidRPr="00935DF6">
        <w:rPr>
          <w:rFonts w:ascii="Times New Roman" w:hAnsi="Times New Roman"/>
        </w:rPr>
        <w:t>under the subheading “Circumstances”</w:t>
      </w:r>
      <w:r w:rsidRPr="005D57B1">
        <w:rPr>
          <w:rFonts w:ascii="Times New Roman" w:hAnsi="Times New Roman"/>
        </w:rPr>
        <w:t>)</w:t>
      </w:r>
    </w:p>
    <w:p w14:paraId="15D7A1CA" w14:textId="77777777" w:rsidR="00073178" w:rsidRDefault="00073178" w:rsidP="00073178">
      <w:pPr>
        <w:rPr>
          <w:color w:val="000000"/>
          <w:szCs w:val="22"/>
        </w:rPr>
      </w:pPr>
    </w:p>
    <w:p w14:paraId="0C667B42" w14:textId="4D327125" w:rsidR="00073178" w:rsidRDefault="00073178" w:rsidP="00073178">
      <w:pPr>
        <w:rPr>
          <w:color w:val="000000"/>
          <w:szCs w:val="22"/>
        </w:rPr>
      </w:pPr>
      <w:r>
        <w:rPr>
          <w:color w:val="000000"/>
          <w:szCs w:val="22"/>
        </w:rPr>
        <w:t xml:space="preserve">Item 6 </w:t>
      </w:r>
      <w:r w:rsidR="00602DE3">
        <w:rPr>
          <w:color w:val="000000"/>
          <w:szCs w:val="22"/>
        </w:rPr>
        <w:t xml:space="preserve">amends </w:t>
      </w:r>
      <w:r w:rsidRPr="003A0A47">
        <w:rPr>
          <w:color w:val="000000"/>
          <w:szCs w:val="22"/>
        </w:rPr>
        <w:t>the circumstance</w:t>
      </w:r>
      <w:r w:rsidR="00602DE3">
        <w:rPr>
          <w:color w:val="000000"/>
          <w:szCs w:val="22"/>
        </w:rPr>
        <w:t>s</w:t>
      </w:r>
      <w:r w:rsidRPr="003A0A47">
        <w:rPr>
          <w:color w:val="000000"/>
          <w:szCs w:val="22"/>
        </w:rPr>
        <w:t xml:space="preserve"> in Part </w:t>
      </w:r>
      <w:r>
        <w:rPr>
          <w:color w:val="000000"/>
          <w:szCs w:val="22"/>
        </w:rPr>
        <w:t>2</w:t>
      </w:r>
      <w:r w:rsidRPr="003A0A47">
        <w:rPr>
          <w:color w:val="000000"/>
          <w:szCs w:val="22"/>
        </w:rPr>
        <w:t xml:space="preserve"> of Schedule 1 (</w:t>
      </w:r>
      <w:r>
        <w:rPr>
          <w:color w:val="000000"/>
          <w:szCs w:val="22"/>
        </w:rPr>
        <w:t xml:space="preserve">table </w:t>
      </w:r>
      <w:r w:rsidRPr="003A0A47">
        <w:rPr>
          <w:color w:val="000000"/>
          <w:szCs w:val="22"/>
        </w:rPr>
        <w:t xml:space="preserve">item </w:t>
      </w:r>
      <w:r>
        <w:rPr>
          <w:color w:val="000000"/>
          <w:szCs w:val="22"/>
        </w:rPr>
        <w:t>207F</w:t>
      </w:r>
      <w:r w:rsidRPr="003A0A47">
        <w:rPr>
          <w:color w:val="000000"/>
          <w:szCs w:val="22"/>
        </w:rPr>
        <w:t>, column headed “Vaccine and the circumstances in which vaccine may be provided”</w:t>
      </w:r>
      <w:r w:rsidR="00935DF6" w:rsidRPr="00935DF6">
        <w:rPr>
          <w:color w:val="000000"/>
          <w:szCs w:val="22"/>
        </w:rPr>
        <w:t>, under the subheading “Circumstances”</w:t>
      </w:r>
      <w:r w:rsidRPr="003A0A47">
        <w:rPr>
          <w:color w:val="000000"/>
          <w:szCs w:val="22"/>
        </w:rPr>
        <w:t xml:space="preserve">) and substitute it with </w:t>
      </w:r>
      <w:r w:rsidR="00935DF6">
        <w:rPr>
          <w:color w:val="000000"/>
          <w:szCs w:val="22"/>
        </w:rPr>
        <w:t xml:space="preserve">the new subsection 7(8) which provides for the </w:t>
      </w:r>
      <w:r w:rsidRPr="003A0A47">
        <w:rPr>
          <w:color w:val="000000"/>
          <w:szCs w:val="22"/>
        </w:rPr>
        <w:t>circumstances in which</w:t>
      </w:r>
      <w:r>
        <w:rPr>
          <w:color w:val="000000"/>
          <w:szCs w:val="22"/>
        </w:rPr>
        <w:t xml:space="preserve"> VaxiGrip Tetra</w:t>
      </w:r>
      <w:r w:rsidRPr="003A0A47">
        <w:rPr>
          <w:color w:val="000000"/>
          <w:szCs w:val="22"/>
        </w:rPr>
        <w:t xml:space="preserve"> </w:t>
      </w:r>
      <w:r>
        <w:rPr>
          <w:color w:val="000000"/>
          <w:szCs w:val="22"/>
        </w:rPr>
        <w:t>may be provided under the NIP.</w:t>
      </w:r>
    </w:p>
    <w:p w14:paraId="52934148" w14:textId="77777777" w:rsidR="005D57B1" w:rsidRPr="005D57B1" w:rsidRDefault="005D57B1" w:rsidP="00073178">
      <w:pPr>
        <w:rPr>
          <w:b/>
          <w:color w:val="000000"/>
          <w:szCs w:val="22"/>
        </w:rPr>
      </w:pPr>
    </w:p>
    <w:p w14:paraId="763C4ABC" w14:textId="77777777" w:rsidR="0040449F" w:rsidRDefault="0040449F" w:rsidP="0040449F">
      <w:pPr>
        <w:spacing w:after="200" w:line="276" w:lineRule="auto"/>
        <w:rPr>
          <w:color w:val="000000"/>
          <w:szCs w:val="22"/>
        </w:rPr>
      </w:pPr>
      <w:r>
        <w:rPr>
          <w:color w:val="000000"/>
          <w:szCs w:val="22"/>
        </w:rPr>
        <w:br w:type="page"/>
      </w:r>
    </w:p>
    <w:p w14:paraId="020BF780" w14:textId="77777777" w:rsidR="0040449F" w:rsidRPr="000A2EFF" w:rsidRDefault="0040449F" w:rsidP="0040449F">
      <w:pPr>
        <w:spacing w:after="200" w:line="276" w:lineRule="auto"/>
        <w:jc w:val="center"/>
        <w:rPr>
          <w:b/>
          <w:sz w:val="28"/>
          <w:szCs w:val="28"/>
        </w:rPr>
      </w:pPr>
      <w:r w:rsidRPr="000A2EFF">
        <w:rPr>
          <w:b/>
          <w:sz w:val="28"/>
          <w:szCs w:val="28"/>
        </w:rPr>
        <w:t>Statement of Compatibility with Human Rights</w:t>
      </w:r>
    </w:p>
    <w:p w14:paraId="20229DE1" w14:textId="77777777" w:rsidR="0040449F" w:rsidRPr="000A2EFF" w:rsidRDefault="0040449F" w:rsidP="0040449F">
      <w:pPr>
        <w:keepNext/>
        <w:keepLines/>
        <w:jc w:val="center"/>
        <w:rPr>
          <w:i/>
        </w:rPr>
      </w:pPr>
      <w:r w:rsidRPr="000A2EFF">
        <w:rPr>
          <w:i/>
        </w:rPr>
        <w:t>Prepared in accordance with Part 3 of the Human Rights (Parliamentary Scrutiny) Act 2011</w:t>
      </w:r>
    </w:p>
    <w:p w14:paraId="6B0F72F1" w14:textId="77777777" w:rsidR="0040449F" w:rsidRPr="000A2EFF" w:rsidRDefault="0040449F" w:rsidP="0040449F">
      <w:pPr>
        <w:keepNext/>
        <w:keepLines/>
        <w:ind w:right="45"/>
        <w:jc w:val="center"/>
        <w:rPr>
          <w:b/>
          <w:iCs/>
        </w:rPr>
      </w:pPr>
    </w:p>
    <w:p w14:paraId="4AB96CDA" w14:textId="77777777" w:rsidR="0040449F" w:rsidRPr="000A2EFF" w:rsidRDefault="0040449F" w:rsidP="0040449F">
      <w:pPr>
        <w:jc w:val="center"/>
        <w:rPr>
          <w:b/>
          <w:bCs/>
          <w:i/>
        </w:rPr>
      </w:pPr>
      <w:r w:rsidRPr="000A2EFF">
        <w:rPr>
          <w:b/>
          <w:bCs/>
          <w:i/>
        </w:rPr>
        <w:t xml:space="preserve">National Health (Immunisation Program – Designated Vaccines) </w:t>
      </w:r>
      <w:r>
        <w:rPr>
          <w:b/>
          <w:bCs/>
          <w:i/>
        </w:rPr>
        <w:t>Amendment</w:t>
      </w:r>
      <w:r w:rsidRPr="000A2EFF">
        <w:rPr>
          <w:b/>
          <w:bCs/>
          <w:i/>
        </w:rPr>
        <w:br/>
        <w:t>Determination (</w:t>
      </w:r>
      <w:r>
        <w:rPr>
          <w:b/>
          <w:bCs/>
          <w:i/>
        </w:rPr>
        <w:t>No.</w:t>
      </w:r>
      <w:r w:rsidR="005D57B1">
        <w:rPr>
          <w:b/>
          <w:bCs/>
          <w:i/>
        </w:rPr>
        <w:t>3</w:t>
      </w:r>
      <w:r>
        <w:rPr>
          <w:b/>
          <w:bCs/>
          <w:i/>
        </w:rPr>
        <w:t>) 2020</w:t>
      </w:r>
      <w:r w:rsidRPr="000A2EFF">
        <w:rPr>
          <w:b/>
          <w:bCs/>
          <w:i/>
        </w:rPr>
        <w:t xml:space="preserve"> </w:t>
      </w:r>
    </w:p>
    <w:p w14:paraId="4691D737" w14:textId="77777777" w:rsidR="0040449F" w:rsidRPr="000A2EFF" w:rsidRDefault="0040449F" w:rsidP="0040449F">
      <w:pPr>
        <w:keepNext/>
        <w:keepLines/>
        <w:ind w:right="45"/>
        <w:jc w:val="center"/>
        <w:rPr>
          <w:b/>
          <w:iCs/>
        </w:rPr>
      </w:pPr>
    </w:p>
    <w:p w14:paraId="63FA21A9" w14:textId="77777777" w:rsidR="0040449F" w:rsidRPr="000A2EFF" w:rsidRDefault="0040449F" w:rsidP="0040449F">
      <w:pPr>
        <w:spacing w:after="240"/>
        <w:ind w:right="-136"/>
      </w:pPr>
      <w:r w:rsidRPr="000A2EFF">
        <w:t xml:space="preserve">This Legislative Instrument is compatible with the human rights and freedoms recognised or declared in the international instruments listed in section 3 of the </w:t>
      </w:r>
      <w:r w:rsidRPr="000A2EFF">
        <w:rPr>
          <w:i/>
        </w:rPr>
        <w:t>Human Rights (Parliamentary Scrutiny) Act 2011</w:t>
      </w:r>
      <w:r w:rsidRPr="000A2EFF">
        <w:t>.</w:t>
      </w:r>
    </w:p>
    <w:p w14:paraId="0DEA3194" w14:textId="77777777" w:rsidR="0040449F" w:rsidRPr="000A2EFF" w:rsidRDefault="0040449F" w:rsidP="0040449F">
      <w:pPr>
        <w:keepNext/>
        <w:keepLines/>
        <w:spacing w:after="120"/>
        <w:ind w:right="91"/>
      </w:pPr>
      <w:r w:rsidRPr="000A2EFF">
        <w:rPr>
          <w:b/>
        </w:rPr>
        <w:t>Overview of the Legislative Instrument</w:t>
      </w:r>
    </w:p>
    <w:p w14:paraId="6C7CC4CB" w14:textId="77777777" w:rsidR="00BE3812" w:rsidRDefault="00BE3812" w:rsidP="00BE3812">
      <w:pPr>
        <w:keepNext/>
        <w:keepLines/>
        <w:spacing w:after="120"/>
        <w:ind w:right="-136"/>
      </w:pPr>
      <w:r w:rsidRPr="000A2EFF">
        <w:t xml:space="preserve">The </w:t>
      </w:r>
      <w:r w:rsidRPr="000A2EFF">
        <w:rPr>
          <w:i/>
        </w:rPr>
        <w:t xml:space="preserve">National Health (Immunisation Program – Designated Vaccines) </w:t>
      </w:r>
      <w:r>
        <w:rPr>
          <w:i/>
        </w:rPr>
        <w:t>Amendment</w:t>
      </w:r>
      <w:r w:rsidRPr="000A2EFF">
        <w:rPr>
          <w:i/>
        </w:rPr>
        <w:t xml:space="preserve"> Determination (No. </w:t>
      </w:r>
      <w:r>
        <w:rPr>
          <w:i/>
        </w:rPr>
        <w:t>3) 2020</w:t>
      </w:r>
      <w:r w:rsidRPr="000A2EFF">
        <w:rPr>
          <w:i/>
        </w:rPr>
        <w:t xml:space="preserve"> </w:t>
      </w:r>
      <w:r w:rsidRPr="000A2EFF">
        <w:t xml:space="preserve">(the </w:t>
      </w:r>
      <w:r>
        <w:t xml:space="preserve">Amendment </w:t>
      </w:r>
      <w:r w:rsidRPr="000A2EFF">
        <w:t xml:space="preserve">Determination) varies the </w:t>
      </w:r>
      <w:r w:rsidRPr="000A2EFF">
        <w:rPr>
          <w:bCs/>
          <w:i/>
        </w:rPr>
        <w:t>National Health (Immunisation Program – Designated Vaccines) Determination 2014 (No.1</w:t>
      </w:r>
      <w:r w:rsidRPr="000A2EFF">
        <w:t xml:space="preserve">) (the </w:t>
      </w:r>
      <w:r>
        <w:t>D</w:t>
      </w:r>
      <w:r w:rsidRPr="000A2EFF">
        <w:t>etermination), which determines</w:t>
      </w:r>
      <w:r>
        <w:t>, under</w:t>
      </w:r>
      <w:r w:rsidRPr="000A2EFF">
        <w:t xml:space="preserve"> subsection 9B(2) of the</w:t>
      </w:r>
      <w:r w:rsidRPr="000A2EFF">
        <w:rPr>
          <w:i/>
        </w:rPr>
        <w:t xml:space="preserve"> National Health Act 1953</w:t>
      </w:r>
      <w:r w:rsidRPr="000A2EFF">
        <w:t xml:space="preserve"> (the Act)</w:t>
      </w:r>
      <w:r>
        <w:t xml:space="preserve">, </w:t>
      </w:r>
      <w:r w:rsidRPr="000A2EFF">
        <w:t xml:space="preserve">that a specified vaccine </w:t>
      </w:r>
      <w:r>
        <w:t xml:space="preserve">in the instrument </w:t>
      </w:r>
      <w:r w:rsidRPr="000A2EFF">
        <w:t>is a designated vaccine for the purposes of the Act</w:t>
      </w:r>
      <w:r>
        <w:t>.</w:t>
      </w:r>
      <w:r w:rsidR="00717F88">
        <w:t xml:space="preserve"> Additionally the Amendment Determination specifies under subsection 9B(5) of the A</w:t>
      </w:r>
      <w:r w:rsidR="007F3924">
        <w:t>ct</w:t>
      </w:r>
      <w:r w:rsidR="00717F88">
        <w:t>, the circumstances in which the vaccine can be provided.</w:t>
      </w:r>
    </w:p>
    <w:p w14:paraId="09968B46" w14:textId="27CB8149" w:rsidR="00BE3812" w:rsidRPr="00C90A6F" w:rsidRDefault="00BE3812" w:rsidP="00BE3812">
      <w:pPr>
        <w:keepNext/>
        <w:keepLines/>
        <w:spacing w:after="120"/>
        <w:ind w:right="-136"/>
      </w:pPr>
      <w:r w:rsidRPr="00C90A6F">
        <w:t xml:space="preserve">The Amendment Determination </w:t>
      </w:r>
      <w:r w:rsidR="00717F88">
        <w:t xml:space="preserve">expands </w:t>
      </w:r>
      <w:r>
        <w:t xml:space="preserve">the circumstances </w:t>
      </w:r>
      <w:r w:rsidR="00717F88">
        <w:t xml:space="preserve">in </w:t>
      </w:r>
      <w:r>
        <w:t xml:space="preserve">which </w:t>
      </w:r>
      <w:r w:rsidR="00C843BD" w:rsidRPr="00504B9D">
        <w:rPr>
          <w:rFonts w:cstheme="minorHAnsi"/>
        </w:rPr>
        <w:t>Fluarix</w:t>
      </w:r>
      <w:r w:rsidR="008C1354">
        <w:rPr>
          <w:rFonts w:cstheme="minorHAnsi"/>
        </w:rPr>
        <w:t xml:space="preserve"> </w:t>
      </w:r>
      <w:r w:rsidR="00C843BD" w:rsidRPr="00504B9D">
        <w:rPr>
          <w:rFonts w:cstheme="minorHAnsi"/>
        </w:rPr>
        <w:t>Tetra</w:t>
      </w:r>
      <w:r w:rsidR="00C843BD">
        <w:t xml:space="preserve"> </w:t>
      </w:r>
      <w:r w:rsidR="00717F88">
        <w:t>can be provided</w:t>
      </w:r>
      <w:r>
        <w:t xml:space="preserve"> for the </w:t>
      </w:r>
      <w:r w:rsidR="00FE07B0">
        <w:t>prevention</w:t>
      </w:r>
      <w:r>
        <w:t xml:space="preserve"> of seasonal influenza under the N</w:t>
      </w:r>
      <w:r w:rsidR="00FE07B0">
        <w:t xml:space="preserve">ational </w:t>
      </w:r>
      <w:r w:rsidR="00717F88">
        <w:t>Immunisation</w:t>
      </w:r>
      <w:r w:rsidR="00FE07B0">
        <w:t xml:space="preserve"> Program (N</w:t>
      </w:r>
      <w:r>
        <w:t>IP</w:t>
      </w:r>
      <w:r w:rsidR="00FE07B0">
        <w:t xml:space="preserve">) </w:t>
      </w:r>
      <w:r w:rsidR="00FE07B0" w:rsidRPr="009C4C6F">
        <w:t>to include vaccination of children aged</w:t>
      </w:r>
      <w:r w:rsidR="00717F88">
        <w:t xml:space="preserve"> at least</w:t>
      </w:r>
      <w:r w:rsidR="00FE07B0" w:rsidRPr="009C4C6F">
        <w:t xml:space="preserve"> 6 months </w:t>
      </w:r>
      <w:r w:rsidR="00717F88">
        <w:t>old</w:t>
      </w:r>
      <w:r w:rsidR="00BE0A6E">
        <w:t>,</w:t>
      </w:r>
      <w:r w:rsidR="00717F88">
        <w:t xml:space="preserve"> but less than </w:t>
      </w:r>
      <w:r w:rsidR="00FE07B0" w:rsidRPr="009C4C6F">
        <w:t>5</w:t>
      </w:r>
      <w:r w:rsidR="00717F88">
        <w:t xml:space="preserve"> </w:t>
      </w:r>
      <w:r w:rsidR="00FE07B0" w:rsidRPr="009C4C6F">
        <w:t>years</w:t>
      </w:r>
      <w:r w:rsidR="00717F88">
        <w:t xml:space="preserve"> old</w:t>
      </w:r>
      <w:r w:rsidRPr="00C90A6F">
        <w:t>.</w:t>
      </w:r>
    </w:p>
    <w:p w14:paraId="6F69A2B7" w14:textId="7B8D0208" w:rsidR="00BE3812" w:rsidRPr="002B0880" w:rsidRDefault="00BE3812" w:rsidP="00BE3812">
      <w:r w:rsidRPr="0026068B">
        <w:rPr>
          <w:lang w:eastAsia="en-US"/>
        </w:rPr>
        <w:t>T</w:t>
      </w:r>
      <w:r w:rsidRPr="002B0880">
        <w:rPr>
          <w:lang w:eastAsia="en-US"/>
        </w:rPr>
        <w:t xml:space="preserve">he Amendment Determination </w:t>
      </w:r>
      <w:r w:rsidRPr="002B0880">
        <w:t xml:space="preserve">will list </w:t>
      </w:r>
      <w:r w:rsidRPr="002B0880">
        <w:rPr>
          <w:bCs/>
        </w:rPr>
        <w:t>Menveo</w:t>
      </w:r>
      <w:r w:rsidR="00C843BD">
        <w:t xml:space="preserve"> </w:t>
      </w:r>
      <w:r w:rsidRPr="002B0880">
        <w:t>on</w:t>
      </w:r>
      <w:r w:rsidR="00FE07B0">
        <w:t xml:space="preserve"> </w:t>
      </w:r>
      <w:r w:rsidRPr="002B0880">
        <w:t xml:space="preserve">the NIP, for the prevention of Invasive Meningococcal Disease caused by </w:t>
      </w:r>
      <w:r w:rsidRPr="00BE0A6E">
        <w:rPr>
          <w:i/>
        </w:rPr>
        <w:t>Neisseria meningitidis</w:t>
      </w:r>
      <w:r w:rsidRPr="002B0880">
        <w:t xml:space="preserve"> serogroups A, C, W</w:t>
      </w:r>
      <w:r w:rsidR="00FE07B0">
        <w:t>-</w:t>
      </w:r>
      <w:r w:rsidRPr="002B0880">
        <w:t xml:space="preserve">135 and Y as a single dose for adolescents as part of a school based immunisation program for year 10 students (aged </w:t>
      </w:r>
      <w:r w:rsidR="006F4140">
        <w:t>at least</w:t>
      </w:r>
      <w:r w:rsidR="007E2DE6">
        <w:t xml:space="preserve"> </w:t>
      </w:r>
      <w:r w:rsidRPr="002B0880">
        <w:t>14</w:t>
      </w:r>
      <w:r w:rsidR="00717F88">
        <w:t xml:space="preserve"> </w:t>
      </w:r>
      <w:r w:rsidR="006F4140">
        <w:t xml:space="preserve">years old, but less than </w:t>
      </w:r>
      <w:r w:rsidRPr="002B0880">
        <w:t>1</w:t>
      </w:r>
      <w:r w:rsidR="006F4140">
        <w:t>7</w:t>
      </w:r>
      <w:r w:rsidR="00717F88">
        <w:t xml:space="preserve"> years old</w:t>
      </w:r>
      <w:r w:rsidRPr="002B0880">
        <w:t>) and via a catch-up program for a single dose for adolescents aged</w:t>
      </w:r>
      <w:r w:rsidR="009078DA">
        <w:t xml:space="preserve"> at least 1</w:t>
      </w:r>
      <w:r w:rsidR="006F4140">
        <w:t>4</w:t>
      </w:r>
      <w:r w:rsidR="009078DA">
        <w:t xml:space="preserve"> years old</w:t>
      </w:r>
      <w:r w:rsidR="008C1354">
        <w:t>,</w:t>
      </w:r>
      <w:r w:rsidR="009078DA">
        <w:t xml:space="preserve"> but less than</w:t>
      </w:r>
      <w:r w:rsidRPr="002B0880">
        <w:t xml:space="preserve"> 19 years old. </w:t>
      </w:r>
    </w:p>
    <w:p w14:paraId="42943FB7" w14:textId="77777777" w:rsidR="00BE3812" w:rsidRDefault="00BE3812" w:rsidP="00BE3812">
      <w:pPr>
        <w:rPr>
          <w:lang w:eastAsia="en-US"/>
        </w:rPr>
      </w:pPr>
    </w:p>
    <w:p w14:paraId="4C5D256C" w14:textId="77777777" w:rsidR="0040449F" w:rsidRPr="000A2EFF" w:rsidRDefault="0040449F" w:rsidP="0040449F">
      <w:pPr>
        <w:keepNext/>
        <w:keepLines/>
        <w:spacing w:after="120"/>
        <w:jc w:val="both"/>
        <w:rPr>
          <w:b/>
        </w:rPr>
      </w:pPr>
      <w:r w:rsidRPr="000A2EFF">
        <w:rPr>
          <w:b/>
        </w:rPr>
        <w:t>Human Rights Implications</w:t>
      </w:r>
    </w:p>
    <w:p w14:paraId="2C718730" w14:textId="77777777" w:rsidR="0040449F" w:rsidRPr="000A2EFF" w:rsidRDefault="0040449F" w:rsidP="0040449F">
      <w:pPr>
        <w:spacing w:before="120" w:after="120"/>
      </w:pPr>
      <w:r w:rsidRPr="000A2EFF">
        <w:t xml:space="preserve">This </w:t>
      </w:r>
      <w:r>
        <w:t>Amendment</w:t>
      </w:r>
      <w:r w:rsidRPr="000A2EFF">
        <w:t xml:space="preserve"> Determination engages the right to health as set out in Article</w:t>
      </w:r>
      <w:r>
        <w:t xml:space="preserve"> </w:t>
      </w:r>
      <w:r w:rsidRPr="000A2EFF">
        <w:t>12 of the International Covenant on Economic, Social and Cultural Rights by assisting with the progressive realisation by all appropriate means of the right of everyone to the enjoyment of the highest attainable standard of physical and mental health.</w:t>
      </w:r>
      <w:r>
        <w:t xml:space="preserve"> </w:t>
      </w:r>
      <w:r w:rsidRPr="000A2EFF">
        <w:t xml:space="preserve">The </w:t>
      </w:r>
      <w:r>
        <w:t>Amendment</w:t>
      </w:r>
      <w:r w:rsidRPr="000A2EFF">
        <w:t xml:space="preserve"> Determination </w:t>
      </w:r>
      <w:r>
        <w:t xml:space="preserve">supports the right to the attainment of </w:t>
      </w:r>
      <w:r w:rsidRPr="000A2EFF">
        <w:t>the highest standard of health</w:t>
      </w:r>
      <w:r>
        <w:t>,</w:t>
      </w:r>
      <w:r w:rsidRPr="000A2EFF">
        <w:t xml:space="preserve"> by provid</w:t>
      </w:r>
      <w:r>
        <w:t>ing</w:t>
      </w:r>
      <w:r w:rsidRPr="000A2EFF">
        <w:t xml:space="preserve"> free access for eligible people to </w:t>
      </w:r>
      <w:r>
        <w:t>a designated vaccine, and</w:t>
      </w:r>
      <w:r w:rsidRPr="000A2EFF">
        <w:t xml:space="preserve"> protecting individuals and the community against vaccine preventable disease.</w:t>
      </w:r>
    </w:p>
    <w:p w14:paraId="1A5C05F2" w14:textId="77777777" w:rsidR="0040449F" w:rsidRPr="000A2EFF" w:rsidRDefault="0040449F" w:rsidP="0040449F">
      <w:pPr>
        <w:spacing w:after="240"/>
        <w:ind w:right="-136"/>
        <w:rPr>
          <w:b/>
        </w:rPr>
      </w:pPr>
      <w:r w:rsidRPr="000A2EFF">
        <w:rPr>
          <w:b/>
        </w:rPr>
        <w:t>Conclusion</w:t>
      </w:r>
    </w:p>
    <w:p w14:paraId="575CCFA8" w14:textId="77777777" w:rsidR="0040449F" w:rsidRPr="000A2EFF" w:rsidRDefault="0040449F" w:rsidP="0040449F">
      <w:pPr>
        <w:spacing w:after="240"/>
        <w:ind w:right="-136"/>
      </w:pPr>
      <w:r w:rsidRPr="000A2EFF">
        <w:t xml:space="preserve">The </w:t>
      </w:r>
      <w:r>
        <w:t>Amendment</w:t>
      </w:r>
      <w:r w:rsidRPr="000A2EFF">
        <w:t xml:space="preserve"> Determination is compatible with human rights as it promote</w:t>
      </w:r>
      <w:r>
        <w:t>s</w:t>
      </w:r>
      <w:r w:rsidRPr="000A2EFF">
        <w:t xml:space="preserve"> the right to health.</w:t>
      </w:r>
    </w:p>
    <w:p w14:paraId="1E974975" w14:textId="319A87CD" w:rsidR="0040449F" w:rsidRDefault="00E43680" w:rsidP="0040449F">
      <w:pPr>
        <w:ind w:right="-136"/>
        <w:jc w:val="center"/>
        <w:rPr>
          <w:b/>
        </w:rPr>
      </w:pPr>
      <w:r>
        <w:rPr>
          <w:b/>
        </w:rPr>
        <w:t>Tania Rishniw</w:t>
      </w:r>
    </w:p>
    <w:p w14:paraId="2CE9D6C9" w14:textId="105899F1" w:rsidR="0040449F" w:rsidRPr="000A2EFF" w:rsidRDefault="00E43680" w:rsidP="0040449F">
      <w:pPr>
        <w:keepNext/>
        <w:keepLines/>
        <w:jc w:val="center"/>
        <w:rPr>
          <w:b/>
        </w:rPr>
      </w:pPr>
      <w:r>
        <w:rPr>
          <w:b/>
        </w:rPr>
        <w:t xml:space="preserve">Deputy </w:t>
      </w:r>
      <w:r w:rsidR="0040449F">
        <w:rPr>
          <w:b/>
        </w:rPr>
        <w:t>Secretary</w:t>
      </w:r>
    </w:p>
    <w:p w14:paraId="21E1A939" w14:textId="32167D8E" w:rsidR="0040449F" w:rsidRPr="000A2EFF" w:rsidRDefault="00E43680" w:rsidP="0040449F">
      <w:pPr>
        <w:keepNext/>
        <w:keepLines/>
        <w:jc w:val="center"/>
        <w:rPr>
          <w:b/>
        </w:rPr>
      </w:pPr>
      <w:r>
        <w:rPr>
          <w:b/>
        </w:rPr>
        <w:t>Primary and Community Care Group</w:t>
      </w:r>
    </w:p>
    <w:p w14:paraId="6925BF21" w14:textId="77777777" w:rsidR="0040449F" w:rsidRPr="000A2EFF" w:rsidRDefault="0040449F" w:rsidP="0040449F">
      <w:pPr>
        <w:keepNext/>
        <w:keepLines/>
        <w:jc w:val="center"/>
        <w:rPr>
          <w:u w:val="single"/>
        </w:rPr>
      </w:pPr>
      <w:r w:rsidRPr="000A2EFF">
        <w:rPr>
          <w:b/>
        </w:rPr>
        <w:t>Department of Health</w:t>
      </w:r>
    </w:p>
    <w:p w14:paraId="68224381" w14:textId="77777777" w:rsidR="002D225E" w:rsidRPr="0040449F" w:rsidRDefault="002D225E" w:rsidP="0040449F"/>
    <w:sectPr w:rsidR="002D225E" w:rsidRPr="0040449F" w:rsidSect="003E35AA">
      <w:footerReference w:type="default" r:id="rId8"/>
      <w:pgSz w:w="11906" w:h="16838"/>
      <w:pgMar w:top="567" w:right="1440" w:bottom="426"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02F9D" w14:textId="77777777" w:rsidR="00E85331" w:rsidRDefault="00E85331" w:rsidP="00A96A1B">
      <w:r>
        <w:separator/>
      </w:r>
    </w:p>
  </w:endnote>
  <w:endnote w:type="continuationSeparator" w:id="0">
    <w:p w14:paraId="3D332C01" w14:textId="77777777" w:rsidR="00E85331" w:rsidRDefault="00E85331" w:rsidP="00A96A1B">
      <w:r>
        <w:continuationSeparator/>
      </w:r>
    </w:p>
  </w:endnote>
  <w:endnote w:type="continuationNotice" w:id="1">
    <w:p w14:paraId="0429B791" w14:textId="77777777" w:rsidR="00E85331" w:rsidRDefault="00E85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580240"/>
      <w:docPartObj>
        <w:docPartGallery w:val="Page Numbers (Bottom of Page)"/>
        <w:docPartUnique/>
      </w:docPartObj>
    </w:sdtPr>
    <w:sdtEndPr>
      <w:rPr>
        <w:noProof/>
      </w:rPr>
    </w:sdtEndPr>
    <w:sdtContent>
      <w:p w14:paraId="2F5F30D6" w14:textId="396A453D" w:rsidR="008627C9" w:rsidRDefault="008627C9">
        <w:pPr>
          <w:pStyle w:val="Footer"/>
          <w:jc w:val="center"/>
        </w:pPr>
        <w:r>
          <w:fldChar w:fldCharType="begin"/>
        </w:r>
        <w:r>
          <w:instrText xml:space="preserve"> PAGE   \* MERGEFORMAT </w:instrText>
        </w:r>
        <w:r>
          <w:fldChar w:fldCharType="separate"/>
        </w:r>
        <w:r w:rsidR="002334F0">
          <w:rPr>
            <w:noProof/>
          </w:rPr>
          <w:t>2</w:t>
        </w:r>
        <w:r>
          <w:rPr>
            <w:noProof/>
          </w:rPr>
          <w:fldChar w:fldCharType="end"/>
        </w:r>
      </w:p>
    </w:sdtContent>
  </w:sdt>
  <w:p w14:paraId="71E15E20" w14:textId="77777777" w:rsidR="008627C9" w:rsidRDefault="0086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FFFE1" w14:textId="77777777" w:rsidR="00E85331" w:rsidRDefault="00E85331" w:rsidP="00A96A1B">
      <w:r>
        <w:separator/>
      </w:r>
    </w:p>
  </w:footnote>
  <w:footnote w:type="continuationSeparator" w:id="0">
    <w:p w14:paraId="2A997BC1" w14:textId="77777777" w:rsidR="00E85331" w:rsidRDefault="00E85331" w:rsidP="00A96A1B">
      <w:r>
        <w:continuationSeparator/>
      </w:r>
    </w:p>
  </w:footnote>
  <w:footnote w:type="continuationNotice" w:id="1">
    <w:p w14:paraId="2F3AFC5F" w14:textId="77777777" w:rsidR="00E85331" w:rsidRDefault="00E8533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2A9"/>
    <w:multiLevelType w:val="hybridMultilevel"/>
    <w:tmpl w:val="57B43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73F67"/>
    <w:multiLevelType w:val="hybridMultilevel"/>
    <w:tmpl w:val="2214B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82E12"/>
    <w:multiLevelType w:val="hybridMultilevel"/>
    <w:tmpl w:val="51742048"/>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16D32"/>
    <w:multiLevelType w:val="hybridMultilevel"/>
    <w:tmpl w:val="D948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61E56"/>
    <w:multiLevelType w:val="hybridMultilevel"/>
    <w:tmpl w:val="FD5A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B3EE5"/>
    <w:multiLevelType w:val="hybridMultilevel"/>
    <w:tmpl w:val="5672A69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173C065E"/>
    <w:multiLevelType w:val="hybridMultilevel"/>
    <w:tmpl w:val="020CC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222DF"/>
    <w:multiLevelType w:val="hybridMultilevel"/>
    <w:tmpl w:val="DF2EA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47E3C"/>
    <w:multiLevelType w:val="hybridMultilevel"/>
    <w:tmpl w:val="5426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B45F2D"/>
    <w:multiLevelType w:val="hybridMultilevel"/>
    <w:tmpl w:val="2A229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1962376"/>
    <w:multiLevelType w:val="hybridMultilevel"/>
    <w:tmpl w:val="334C3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B24E57"/>
    <w:multiLevelType w:val="hybridMultilevel"/>
    <w:tmpl w:val="42F2B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937D23"/>
    <w:multiLevelType w:val="hybridMultilevel"/>
    <w:tmpl w:val="92567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F06BF7"/>
    <w:multiLevelType w:val="hybridMultilevel"/>
    <w:tmpl w:val="AFB0896E"/>
    <w:lvl w:ilvl="0" w:tplc="AA8C62E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171371"/>
    <w:multiLevelType w:val="hybridMultilevel"/>
    <w:tmpl w:val="3A8EB0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DA1036C"/>
    <w:multiLevelType w:val="hybridMultilevel"/>
    <w:tmpl w:val="0C1E5350"/>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60E56B7"/>
    <w:multiLevelType w:val="hybridMultilevel"/>
    <w:tmpl w:val="FAFAE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0F5BEE"/>
    <w:multiLevelType w:val="hybridMultilevel"/>
    <w:tmpl w:val="E0C808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093439"/>
    <w:multiLevelType w:val="hybridMultilevel"/>
    <w:tmpl w:val="71E8309A"/>
    <w:lvl w:ilvl="0" w:tplc="0C09000F">
      <w:start w:val="1"/>
      <w:numFmt w:val="decimal"/>
      <w:lvlText w:val="%1."/>
      <w:lvlJc w:val="left"/>
      <w:pPr>
        <w:tabs>
          <w:tab w:val="num" w:pos="780"/>
        </w:tabs>
        <w:ind w:left="780" w:hanging="360"/>
      </w:pPr>
    </w:lvl>
    <w:lvl w:ilvl="1" w:tplc="0C090019">
      <w:start w:val="1"/>
      <w:numFmt w:val="lowerLetter"/>
      <w:lvlText w:val="%2."/>
      <w:lvlJc w:val="left"/>
      <w:pPr>
        <w:tabs>
          <w:tab w:val="num" w:pos="1500"/>
        </w:tabs>
        <w:ind w:left="1500" w:hanging="360"/>
      </w:pPr>
    </w:lvl>
    <w:lvl w:ilvl="2" w:tplc="0C09001B">
      <w:start w:val="1"/>
      <w:numFmt w:val="lowerRoman"/>
      <w:lvlText w:val="%3."/>
      <w:lvlJc w:val="right"/>
      <w:pPr>
        <w:tabs>
          <w:tab w:val="num" w:pos="2220"/>
        </w:tabs>
        <w:ind w:left="2220" w:hanging="180"/>
      </w:pPr>
    </w:lvl>
    <w:lvl w:ilvl="3" w:tplc="0C09000F">
      <w:start w:val="1"/>
      <w:numFmt w:val="decimal"/>
      <w:lvlText w:val="%4."/>
      <w:lvlJc w:val="left"/>
      <w:pPr>
        <w:tabs>
          <w:tab w:val="num" w:pos="2940"/>
        </w:tabs>
        <w:ind w:left="2940" w:hanging="360"/>
      </w:pPr>
    </w:lvl>
    <w:lvl w:ilvl="4" w:tplc="0C090019">
      <w:start w:val="1"/>
      <w:numFmt w:val="lowerLetter"/>
      <w:lvlText w:val="%5."/>
      <w:lvlJc w:val="left"/>
      <w:pPr>
        <w:tabs>
          <w:tab w:val="num" w:pos="3660"/>
        </w:tabs>
        <w:ind w:left="3660" w:hanging="360"/>
      </w:pPr>
    </w:lvl>
    <w:lvl w:ilvl="5" w:tplc="0C09001B">
      <w:start w:val="1"/>
      <w:numFmt w:val="lowerRoman"/>
      <w:lvlText w:val="%6."/>
      <w:lvlJc w:val="right"/>
      <w:pPr>
        <w:tabs>
          <w:tab w:val="num" w:pos="4380"/>
        </w:tabs>
        <w:ind w:left="4380" w:hanging="180"/>
      </w:pPr>
    </w:lvl>
    <w:lvl w:ilvl="6" w:tplc="0C09000F">
      <w:start w:val="1"/>
      <w:numFmt w:val="decimal"/>
      <w:lvlText w:val="%7."/>
      <w:lvlJc w:val="left"/>
      <w:pPr>
        <w:tabs>
          <w:tab w:val="num" w:pos="5100"/>
        </w:tabs>
        <w:ind w:left="5100" w:hanging="360"/>
      </w:pPr>
    </w:lvl>
    <w:lvl w:ilvl="7" w:tplc="0C090019">
      <w:start w:val="1"/>
      <w:numFmt w:val="lowerLetter"/>
      <w:lvlText w:val="%8."/>
      <w:lvlJc w:val="left"/>
      <w:pPr>
        <w:tabs>
          <w:tab w:val="num" w:pos="5820"/>
        </w:tabs>
        <w:ind w:left="5820" w:hanging="360"/>
      </w:pPr>
    </w:lvl>
    <w:lvl w:ilvl="8" w:tplc="0C09001B">
      <w:start w:val="1"/>
      <w:numFmt w:val="lowerRoman"/>
      <w:lvlText w:val="%9."/>
      <w:lvlJc w:val="right"/>
      <w:pPr>
        <w:tabs>
          <w:tab w:val="num" w:pos="6540"/>
        </w:tabs>
        <w:ind w:left="6540" w:hanging="180"/>
      </w:pPr>
    </w:lvl>
  </w:abstractNum>
  <w:abstractNum w:abstractNumId="20" w15:restartNumberingAfterBreak="0">
    <w:nsid w:val="4D8C3B1D"/>
    <w:multiLevelType w:val="hybridMultilevel"/>
    <w:tmpl w:val="A92ED136"/>
    <w:lvl w:ilvl="0" w:tplc="1F6830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A711F2"/>
    <w:multiLevelType w:val="hybridMultilevel"/>
    <w:tmpl w:val="2E9EB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E71FA4"/>
    <w:multiLevelType w:val="hybridMultilevel"/>
    <w:tmpl w:val="209A1D6A"/>
    <w:lvl w:ilvl="0" w:tplc="0C090003">
      <w:start w:val="1"/>
      <w:numFmt w:val="bullet"/>
      <w:lvlText w:val="o"/>
      <w:lvlJc w:val="left"/>
      <w:pPr>
        <w:ind w:left="840" w:hanging="360"/>
      </w:pPr>
      <w:rPr>
        <w:rFonts w:ascii="Courier New" w:hAnsi="Courier New" w:cs="Courier New"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3"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DF001E"/>
    <w:multiLevelType w:val="hybridMultilevel"/>
    <w:tmpl w:val="3BCC8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610F85"/>
    <w:multiLevelType w:val="hybridMultilevel"/>
    <w:tmpl w:val="4C747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965AC7"/>
    <w:multiLevelType w:val="hybridMultilevel"/>
    <w:tmpl w:val="979A644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7" w15:restartNumberingAfterBreak="0">
    <w:nsid w:val="6C007FE3"/>
    <w:multiLevelType w:val="hybridMultilevel"/>
    <w:tmpl w:val="FEFA57CA"/>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A904B27"/>
    <w:multiLevelType w:val="hybridMultilevel"/>
    <w:tmpl w:val="ECC25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num>
  <w:num w:numId="4">
    <w:abstractNumId w:val="17"/>
  </w:num>
  <w:num w:numId="5">
    <w:abstractNumId w:val="26"/>
  </w:num>
  <w:num w:numId="6">
    <w:abstractNumId w:val="12"/>
  </w:num>
  <w:num w:numId="7">
    <w:abstractNumId w:val="11"/>
  </w:num>
  <w:num w:numId="8">
    <w:abstractNumId w:val="1"/>
  </w:num>
  <w:num w:numId="9">
    <w:abstractNumId w:val="7"/>
  </w:num>
  <w:num w:numId="10">
    <w:abstractNumId w:val="9"/>
  </w:num>
  <w:num w:numId="11">
    <w:abstractNumId w:val="6"/>
  </w:num>
  <w:num w:numId="12">
    <w:abstractNumId w:val="3"/>
  </w:num>
  <w:num w:numId="13">
    <w:abstractNumId w:val="5"/>
  </w:num>
  <w:num w:numId="14">
    <w:abstractNumId w:val="21"/>
  </w:num>
  <w:num w:numId="15">
    <w:abstractNumId w:val="20"/>
  </w:num>
  <w:num w:numId="16">
    <w:abstractNumId w:val="13"/>
  </w:num>
  <w:num w:numId="17">
    <w:abstractNumId w:val="25"/>
  </w:num>
  <w:num w:numId="18">
    <w:abstractNumId w:val="23"/>
  </w:num>
  <w:num w:numId="19">
    <w:abstractNumId w:val="4"/>
  </w:num>
  <w:num w:numId="20">
    <w:abstractNumId w:val="14"/>
  </w:num>
  <w:num w:numId="21">
    <w:abstractNumId w:val="28"/>
  </w:num>
  <w:num w:numId="22">
    <w:abstractNumId w:val="18"/>
  </w:num>
  <w:num w:numId="23">
    <w:abstractNumId w:val="27"/>
  </w:num>
  <w:num w:numId="24">
    <w:abstractNumId w:val="16"/>
  </w:num>
  <w:num w:numId="25">
    <w:abstractNumId w:val="2"/>
  </w:num>
  <w:num w:numId="26">
    <w:abstractNumId w:val="22"/>
  </w:num>
  <w:num w:numId="27">
    <w:abstractNumId w:val="24"/>
  </w:num>
  <w:num w:numId="28">
    <w:abstractNumId w:val="10"/>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0A"/>
    <w:rsid w:val="00003124"/>
    <w:rsid w:val="000067D7"/>
    <w:rsid w:val="00007E7A"/>
    <w:rsid w:val="000103BF"/>
    <w:rsid w:val="00012628"/>
    <w:rsid w:val="0001265F"/>
    <w:rsid w:val="000126B2"/>
    <w:rsid w:val="0001299F"/>
    <w:rsid w:val="00015A2C"/>
    <w:rsid w:val="00020881"/>
    <w:rsid w:val="0003595B"/>
    <w:rsid w:val="00042B02"/>
    <w:rsid w:val="00045C94"/>
    <w:rsid w:val="00046478"/>
    <w:rsid w:val="0005207F"/>
    <w:rsid w:val="00054A5F"/>
    <w:rsid w:val="000564D3"/>
    <w:rsid w:val="00060E1F"/>
    <w:rsid w:val="00065AC3"/>
    <w:rsid w:val="0006795E"/>
    <w:rsid w:val="00073178"/>
    <w:rsid w:val="000741F8"/>
    <w:rsid w:val="0007524A"/>
    <w:rsid w:val="000758A2"/>
    <w:rsid w:val="00076B31"/>
    <w:rsid w:val="000A2EFF"/>
    <w:rsid w:val="000A4307"/>
    <w:rsid w:val="000A7A81"/>
    <w:rsid w:val="000B0633"/>
    <w:rsid w:val="000B6B6F"/>
    <w:rsid w:val="000B75C5"/>
    <w:rsid w:val="000C06B3"/>
    <w:rsid w:val="000C0E81"/>
    <w:rsid w:val="000C1B6C"/>
    <w:rsid w:val="000C4C79"/>
    <w:rsid w:val="000D2F5C"/>
    <w:rsid w:val="000D6178"/>
    <w:rsid w:val="000E2C8D"/>
    <w:rsid w:val="000E43CC"/>
    <w:rsid w:val="000F112E"/>
    <w:rsid w:val="000F4BEC"/>
    <w:rsid w:val="00101452"/>
    <w:rsid w:val="001045FF"/>
    <w:rsid w:val="00105161"/>
    <w:rsid w:val="00105B0E"/>
    <w:rsid w:val="00107615"/>
    <w:rsid w:val="00112F81"/>
    <w:rsid w:val="001161F2"/>
    <w:rsid w:val="00117752"/>
    <w:rsid w:val="001178A9"/>
    <w:rsid w:val="00123BC4"/>
    <w:rsid w:val="001315A6"/>
    <w:rsid w:val="00136E7B"/>
    <w:rsid w:val="00143DA0"/>
    <w:rsid w:val="00143F9E"/>
    <w:rsid w:val="00147911"/>
    <w:rsid w:val="00147F34"/>
    <w:rsid w:val="001509BA"/>
    <w:rsid w:val="00151760"/>
    <w:rsid w:val="0015424F"/>
    <w:rsid w:val="001555C9"/>
    <w:rsid w:val="00162E15"/>
    <w:rsid w:val="00170758"/>
    <w:rsid w:val="001721C1"/>
    <w:rsid w:val="001734D7"/>
    <w:rsid w:val="00174B64"/>
    <w:rsid w:val="00177A08"/>
    <w:rsid w:val="00177EEA"/>
    <w:rsid w:val="0018000F"/>
    <w:rsid w:val="00184A7F"/>
    <w:rsid w:val="00190FC6"/>
    <w:rsid w:val="00195420"/>
    <w:rsid w:val="001A6D75"/>
    <w:rsid w:val="001A7BE1"/>
    <w:rsid w:val="001B00F9"/>
    <w:rsid w:val="001B07E6"/>
    <w:rsid w:val="001B1538"/>
    <w:rsid w:val="001B1667"/>
    <w:rsid w:val="001B2AFC"/>
    <w:rsid w:val="001B3204"/>
    <w:rsid w:val="001B5F7B"/>
    <w:rsid w:val="001D631C"/>
    <w:rsid w:val="001D6A15"/>
    <w:rsid w:val="001D7AFB"/>
    <w:rsid w:val="001E0F83"/>
    <w:rsid w:val="001F22F0"/>
    <w:rsid w:val="001F4800"/>
    <w:rsid w:val="001F6600"/>
    <w:rsid w:val="0020064C"/>
    <w:rsid w:val="0020077A"/>
    <w:rsid w:val="0020340D"/>
    <w:rsid w:val="00204EC3"/>
    <w:rsid w:val="00205500"/>
    <w:rsid w:val="0021440F"/>
    <w:rsid w:val="0021476E"/>
    <w:rsid w:val="00215420"/>
    <w:rsid w:val="0021556F"/>
    <w:rsid w:val="00225518"/>
    <w:rsid w:val="002311A8"/>
    <w:rsid w:val="00231F9D"/>
    <w:rsid w:val="00232329"/>
    <w:rsid w:val="00232E4D"/>
    <w:rsid w:val="002334F0"/>
    <w:rsid w:val="00244275"/>
    <w:rsid w:val="00246B5C"/>
    <w:rsid w:val="00246EBD"/>
    <w:rsid w:val="0025015A"/>
    <w:rsid w:val="00252CB6"/>
    <w:rsid w:val="0025349D"/>
    <w:rsid w:val="00253B15"/>
    <w:rsid w:val="00254D4E"/>
    <w:rsid w:val="0026014B"/>
    <w:rsid w:val="0026064A"/>
    <w:rsid w:val="0026068B"/>
    <w:rsid w:val="002614DC"/>
    <w:rsid w:val="00265B08"/>
    <w:rsid w:val="002734A1"/>
    <w:rsid w:val="00275FFF"/>
    <w:rsid w:val="00276277"/>
    <w:rsid w:val="002775BC"/>
    <w:rsid w:val="00280BA4"/>
    <w:rsid w:val="00280E2D"/>
    <w:rsid w:val="00284AF6"/>
    <w:rsid w:val="002872F1"/>
    <w:rsid w:val="00287BD6"/>
    <w:rsid w:val="00290ACD"/>
    <w:rsid w:val="00291208"/>
    <w:rsid w:val="0029310E"/>
    <w:rsid w:val="002A0B84"/>
    <w:rsid w:val="002A1F08"/>
    <w:rsid w:val="002A35BF"/>
    <w:rsid w:val="002A3BAA"/>
    <w:rsid w:val="002A46D7"/>
    <w:rsid w:val="002B0880"/>
    <w:rsid w:val="002B4810"/>
    <w:rsid w:val="002B5B34"/>
    <w:rsid w:val="002C556B"/>
    <w:rsid w:val="002C653D"/>
    <w:rsid w:val="002D225E"/>
    <w:rsid w:val="002D36FC"/>
    <w:rsid w:val="002D6033"/>
    <w:rsid w:val="002E0D2A"/>
    <w:rsid w:val="002E2D52"/>
    <w:rsid w:val="002E37D2"/>
    <w:rsid w:val="002E7798"/>
    <w:rsid w:val="002F2E09"/>
    <w:rsid w:val="003072EA"/>
    <w:rsid w:val="00310444"/>
    <w:rsid w:val="003142C7"/>
    <w:rsid w:val="00315848"/>
    <w:rsid w:val="00322BC6"/>
    <w:rsid w:val="003250D6"/>
    <w:rsid w:val="003259AA"/>
    <w:rsid w:val="003324AC"/>
    <w:rsid w:val="0034148E"/>
    <w:rsid w:val="00344AEB"/>
    <w:rsid w:val="00344B83"/>
    <w:rsid w:val="00355F20"/>
    <w:rsid w:val="003562B9"/>
    <w:rsid w:val="003576EB"/>
    <w:rsid w:val="0036189F"/>
    <w:rsid w:val="00363A03"/>
    <w:rsid w:val="003640E1"/>
    <w:rsid w:val="00366069"/>
    <w:rsid w:val="003671F4"/>
    <w:rsid w:val="003673DA"/>
    <w:rsid w:val="003679B9"/>
    <w:rsid w:val="00371484"/>
    <w:rsid w:val="00371857"/>
    <w:rsid w:val="003748AA"/>
    <w:rsid w:val="0038293A"/>
    <w:rsid w:val="003833BE"/>
    <w:rsid w:val="00384FD2"/>
    <w:rsid w:val="003852B4"/>
    <w:rsid w:val="00390905"/>
    <w:rsid w:val="003923C6"/>
    <w:rsid w:val="00396266"/>
    <w:rsid w:val="00396D93"/>
    <w:rsid w:val="00397D68"/>
    <w:rsid w:val="003A0A47"/>
    <w:rsid w:val="003A5459"/>
    <w:rsid w:val="003A6A2D"/>
    <w:rsid w:val="003A7C55"/>
    <w:rsid w:val="003B029D"/>
    <w:rsid w:val="003B0599"/>
    <w:rsid w:val="003B405A"/>
    <w:rsid w:val="003C0E22"/>
    <w:rsid w:val="003C602E"/>
    <w:rsid w:val="003C7CC3"/>
    <w:rsid w:val="003D4FEF"/>
    <w:rsid w:val="003E0614"/>
    <w:rsid w:val="003E2226"/>
    <w:rsid w:val="003E35AA"/>
    <w:rsid w:val="003E3CF6"/>
    <w:rsid w:val="003E41FB"/>
    <w:rsid w:val="003E4617"/>
    <w:rsid w:val="003E532D"/>
    <w:rsid w:val="003E66D4"/>
    <w:rsid w:val="003E7086"/>
    <w:rsid w:val="003F06D3"/>
    <w:rsid w:val="003F14C6"/>
    <w:rsid w:val="003F1BF7"/>
    <w:rsid w:val="003F1E60"/>
    <w:rsid w:val="003F256E"/>
    <w:rsid w:val="003F3714"/>
    <w:rsid w:val="0040449F"/>
    <w:rsid w:val="00411DA3"/>
    <w:rsid w:val="004125B1"/>
    <w:rsid w:val="0041373A"/>
    <w:rsid w:val="00414964"/>
    <w:rsid w:val="00415DCD"/>
    <w:rsid w:val="00422AF9"/>
    <w:rsid w:val="0043377A"/>
    <w:rsid w:val="004337C7"/>
    <w:rsid w:val="0043419D"/>
    <w:rsid w:val="004341D7"/>
    <w:rsid w:val="00436232"/>
    <w:rsid w:val="0043652C"/>
    <w:rsid w:val="0043740B"/>
    <w:rsid w:val="00437F49"/>
    <w:rsid w:val="00447025"/>
    <w:rsid w:val="004527BB"/>
    <w:rsid w:val="0045318E"/>
    <w:rsid w:val="00466096"/>
    <w:rsid w:val="00470E55"/>
    <w:rsid w:val="00475327"/>
    <w:rsid w:val="00477E4C"/>
    <w:rsid w:val="00480857"/>
    <w:rsid w:val="00483786"/>
    <w:rsid w:val="004904B2"/>
    <w:rsid w:val="004904C1"/>
    <w:rsid w:val="0049081B"/>
    <w:rsid w:val="004910AE"/>
    <w:rsid w:val="00491848"/>
    <w:rsid w:val="004931B6"/>
    <w:rsid w:val="0049509A"/>
    <w:rsid w:val="00497458"/>
    <w:rsid w:val="004979A1"/>
    <w:rsid w:val="004A601C"/>
    <w:rsid w:val="004A78E5"/>
    <w:rsid w:val="004B0136"/>
    <w:rsid w:val="004B2B6E"/>
    <w:rsid w:val="004B3D9D"/>
    <w:rsid w:val="004B63B0"/>
    <w:rsid w:val="004B6DD4"/>
    <w:rsid w:val="004B7BE2"/>
    <w:rsid w:val="004C0913"/>
    <w:rsid w:val="004C1163"/>
    <w:rsid w:val="004C1C16"/>
    <w:rsid w:val="004C39F7"/>
    <w:rsid w:val="004C4232"/>
    <w:rsid w:val="004C5640"/>
    <w:rsid w:val="004C7BF2"/>
    <w:rsid w:val="004C7E48"/>
    <w:rsid w:val="004D0D36"/>
    <w:rsid w:val="004D637B"/>
    <w:rsid w:val="004E03B0"/>
    <w:rsid w:val="004E150A"/>
    <w:rsid w:val="004E7ABA"/>
    <w:rsid w:val="004F030B"/>
    <w:rsid w:val="004F0CB1"/>
    <w:rsid w:val="004F0E86"/>
    <w:rsid w:val="00507F23"/>
    <w:rsid w:val="00511085"/>
    <w:rsid w:val="00511DF5"/>
    <w:rsid w:val="00512CC6"/>
    <w:rsid w:val="0051340D"/>
    <w:rsid w:val="00513903"/>
    <w:rsid w:val="00513A42"/>
    <w:rsid w:val="0051408A"/>
    <w:rsid w:val="00514AA6"/>
    <w:rsid w:val="00520B14"/>
    <w:rsid w:val="0052166E"/>
    <w:rsid w:val="00526484"/>
    <w:rsid w:val="00530B5D"/>
    <w:rsid w:val="0053301E"/>
    <w:rsid w:val="005363B1"/>
    <w:rsid w:val="005373B7"/>
    <w:rsid w:val="00537410"/>
    <w:rsid w:val="00545688"/>
    <w:rsid w:val="00545BFB"/>
    <w:rsid w:val="00547F5F"/>
    <w:rsid w:val="00550F63"/>
    <w:rsid w:val="00556D57"/>
    <w:rsid w:val="00561F46"/>
    <w:rsid w:val="005659BB"/>
    <w:rsid w:val="00570F60"/>
    <w:rsid w:val="00573931"/>
    <w:rsid w:val="00575181"/>
    <w:rsid w:val="00576EA5"/>
    <w:rsid w:val="00577B0D"/>
    <w:rsid w:val="00581F4D"/>
    <w:rsid w:val="00584ECC"/>
    <w:rsid w:val="0059372B"/>
    <w:rsid w:val="0059669C"/>
    <w:rsid w:val="0059753C"/>
    <w:rsid w:val="005A465F"/>
    <w:rsid w:val="005A4686"/>
    <w:rsid w:val="005A4BBB"/>
    <w:rsid w:val="005A6E6C"/>
    <w:rsid w:val="005A79F1"/>
    <w:rsid w:val="005B0CD9"/>
    <w:rsid w:val="005B1B9E"/>
    <w:rsid w:val="005B33A8"/>
    <w:rsid w:val="005B42B4"/>
    <w:rsid w:val="005B5E6A"/>
    <w:rsid w:val="005B7807"/>
    <w:rsid w:val="005C2B82"/>
    <w:rsid w:val="005C3F0E"/>
    <w:rsid w:val="005C6651"/>
    <w:rsid w:val="005C7B39"/>
    <w:rsid w:val="005D2C78"/>
    <w:rsid w:val="005D5057"/>
    <w:rsid w:val="005D57B1"/>
    <w:rsid w:val="005E2AF0"/>
    <w:rsid w:val="005E7E29"/>
    <w:rsid w:val="005F18DC"/>
    <w:rsid w:val="005F23BA"/>
    <w:rsid w:val="00600033"/>
    <w:rsid w:val="00602DE3"/>
    <w:rsid w:val="0060348D"/>
    <w:rsid w:val="00603F7F"/>
    <w:rsid w:val="00615918"/>
    <w:rsid w:val="00615A77"/>
    <w:rsid w:val="0061748A"/>
    <w:rsid w:val="00625A0A"/>
    <w:rsid w:val="006302EA"/>
    <w:rsid w:val="006313FE"/>
    <w:rsid w:val="00631665"/>
    <w:rsid w:val="00633C6B"/>
    <w:rsid w:val="00640685"/>
    <w:rsid w:val="006442C6"/>
    <w:rsid w:val="006451A2"/>
    <w:rsid w:val="0064555A"/>
    <w:rsid w:val="0065139F"/>
    <w:rsid w:val="00655346"/>
    <w:rsid w:val="00656CFE"/>
    <w:rsid w:val="0066000C"/>
    <w:rsid w:val="00660B9D"/>
    <w:rsid w:val="006645DE"/>
    <w:rsid w:val="006651BA"/>
    <w:rsid w:val="00676C3B"/>
    <w:rsid w:val="00683690"/>
    <w:rsid w:val="00683CD2"/>
    <w:rsid w:val="0069235E"/>
    <w:rsid w:val="006927AE"/>
    <w:rsid w:val="00697CCF"/>
    <w:rsid w:val="006A2F91"/>
    <w:rsid w:val="006B21B7"/>
    <w:rsid w:val="006B714B"/>
    <w:rsid w:val="006C280C"/>
    <w:rsid w:val="006C7ADF"/>
    <w:rsid w:val="006C7D61"/>
    <w:rsid w:val="006D1594"/>
    <w:rsid w:val="006D1EF7"/>
    <w:rsid w:val="006D2473"/>
    <w:rsid w:val="006E0BD0"/>
    <w:rsid w:val="006E25F3"/>
    <w:rsid w:val="006E2C81"/>
    <w:rsid w:val="006E53C1"/>
    <w:rsid w:val="006F1CC2"/>
    <w:rsid w:val="006F36E2"/>
    <w:rsid w:val="006F4140"/>
    <w:rsid w:val="00701DCD"/>
    <w:rsid w:val="007022BD"/>
    <w:rsid w:val="00702C5B"/>
    <w:rsid w:val="00704616"/>
    <w:rsid w:val="00707830"/>
    <w:rsid w:val="007148EC"/>
    <w:rsid w:val="00716F4D"/>
    <w:rsid w:val="00717F88"/>
    <w:rsid w:val="007200FE"/>
    <w:rsid w:val="0072639C"/>
    <w:rsid w:val="00736285"/>
    <w:rsid w:val="007362DB"/>
    <w:rsid w:val="00741281"/>
    <w:rsid w:val="00744454"/>
    <w:rsid w:val="00744C8E"/>
    <w:rsid w:val="007466F2"/>
    <w:rsid w:val="00751141"/>
    <w:rsid w:val="007518EF"/>
    <w:rsid w:val="00754F2A"/>
    <w:rsid w:val="00755897"/>
    <w:rsid w:val="00755E9C"/>
    <w:rsid w:val="007608BC"/>
    <w:rsid w:val="00760DF2"/>
    <w:rsid w:val="00762496"/>
    <w:rsid w:val="007626ED"/>
    <w:rsid w:val="00776269"/>
    <w:rsid w:val="00780F84"/>
    <w:rsid w:val="00781661"/>
    <w:rsid w:val="00783606"/>
    <w:rsid w:val="00787C19"/>
    <w:rsid w:val="00796D28"/>
    <w:rsid w:val="007975EE"/>
    <w:rsid w:val="007A1411"/>
    <w:rsid w:val="007A19AB"/>
    <w:rsid w:val="007A3D4A"/>
    <w:rsid w:val="007A4456"/>
    <w:rsid w:val="007A647C"/>
    <w:rsid w:val="007B04C7"/>
    <w:rsid w:val="007B0A15"/>
    <w:rsid w:val="007B1255"/>
    <w:rsid w:val="007B190A"/>
    <w:rsid w:val="007C674F"/>
    <w:rsid w:val="007C6AE9"/>
    <w:rsid w:val="007C6D32"/>
    <w:rsid w:val="007D0E91"/>
    <w:rsid w:val="007D1D6C"/>
    <w:rsid w:val="007D407A"/>
    <w:rsid w:val="007D5A2C"/>
    <w:rsid w:val="007E2DE6"/>
    <w:rsid w:val="007E550F"/>
    <w:rsid w:val="007E6449"/>
    <w:rsid w:val="007F0DD6"/>
    <w:rsid w:val="007F3924"/>
    <w:rsid w:val="007F4E20"/>
    <w:rsid w:val="00801BA4"/>
    <w:rsid w:val="0080280E"/>
    <w:rsid w:val="00802E18"/>
    <w:rsid w:val="00810462"/>
    <w:rsid w:val="00813023"/>
    <w:rsid w:val="00815DBE"/>
    <w:rsid w:val="00816DD5"/>
    <w:rsid w:val="008261B2"/>
    <w:rsid w:val="0083490E"/>
    <w:rsid w:val="00835135"/>
    <w:rsid w:val="00837D4D"/>
    <w:rsid w:val="00846741"/>
    <w:rsid w:val="00852FFE"/>
    <w:rsid w:val="008627C9"/>
    <w:rsid w:val="00863FD6"/>
    <w:rsid w:val="00870867"/>
    <w:rsid w:val="00870DA6"/>
    <w:rsid w:val="0087170A"/>
    <w:rsid w:val="00872317"/>
    <w:rsid w:val="00874E21"/>
    <w:rsid w:val="00880E54"/>
    <w:rsid w:val="00886593"/>
    <w:rsid w:val="00890971"/>
    <w:rsid w:val="0089152A"/>
    <w:rsid w:val="00891D83"/>
    <w:rsid w:val="00893074"/>
    <w:rsid w:val="00895645"/>
    <w:rsid w:val="00895897"/>
    <w:rsid w:val="008A502A"/>
    <w:rsid w:val="008B37DE"/>
    <w:rsid w:val="008B3CF1"/>
    <w:rsid w:val="008C1354"/>
    <w:rsid w:val="008C49E2"/>
    <w:rsid w:val="008D0CE8"/>
    <w:rsid w:val="008D2223"/>
    <w:rsid w:val="008D2255"/>
    <w:rsid w:val="008D2AE7"/>
    <w:rsid w:val="008D35AB"/>
    <w:rsid w:val="008D36E3"/>
    <w:rsid w:val="008E01C6"/>
    <w:rsid w:val="008E0376"/>
    <w:rsid w:val="008E04E8"/>
    <w:rsid w:val="008E24DE"/>
    <w:rsid w:val="008F6DAE"/>
    <w:rsid w:val="00902847"/>
    <w:rsid w:val="009071A8"/>
    <w:rsid w:val="009078DA"/>
    <w:rsid w:val="00917FD6"/>
    <w:rsid w:val="0092397E"/>
    <w:rsid w:val="009266FD"/>
    <w:rsid w:val="009275D8"/>
    <w:rsid w:val="0093037D"/>
    <w:rsid w:val="0093470F"/>
    <w:rsid w:val="00934B07"/>
    <w:rsid w:val="00935DF6"/>
    <w:rsid w:val="0093600D"/>
    <w:rsid w:val="00941881"/>
    <w:rsid w:val="00951463"/>
    <w:rsid w:val="0095417A"/>
    <w:rsid w:val="00954925"/>
    <w:rsid w:val="00955452"/>
    <w:rsid w:val="0096582B"/>
    <w:rsid w:val="009658C7"/>
    <w:rsid w:val="00971F6E"/>
    <w:rsid w:val="0097487C"/>
    <w:rsid w:val="0098364A"/>
    <w:rsid w:val="00983735"/>
    <w:rsid w:val="00986944"/>
    <w:rsid w:val="009912C8"/>
    <w:rsid w:val="0099290C"/>
    <w:rsid w:val="00992E54"/>
    <w:rsid w:val="00993660"/>
    <w:rsid w:val="00996B99"/>
    <w:rsid w:val="009A1A50"/>
    <w:rsid w:val="009A4146"/>
    <w:rsid w:val="009A72CF"/>
    <w:rsid w:val="009A7C9E"/>
    <w:rsid w:val="009B49D7"/>
    <w:rsid w:val="009B5412"/>
    <w:rsid w:val="009B566D"/>
    <w:rsid w:val="009C0CFF"/>
    <w:rsid w:val="009C2528"/>
    <w:rsid w:val="009C2D75"/>
    <w:rsid w:val="009C403E"/>
    <w:rsid w:val="009C432A"/>
    <w:rsid w:val="009C4C6F"/>
    <w:rsid w:val="009C52F0"/>
    <w:rsid w:val="009C5912"/>
    <w:rsid w:val="009D182F"/>
    <w:rsid w:val="009D1FC4"/>
    <w:rsid w:val="009D20E9"/>
    <w:rsid w:val="009D2DCF"/>
    <w:rsid w:val="009D4900"/>
    <w:rsid w:val="009D5A5E"/>
    <w:rsid w:val="009E18ED"/>
    <w:rsid w:val="009E4B47"/>
    <w:rsid w:val="009E7728"/>
    <w:rsid w:val="009F0A50"/>
    <w:rsid w:val="009F15EB"/>
    <w:rsid w:val="009F1AF7"/>
    <w:rsid w:val="009F23AB"/>
    <w:rsid w:val="009F2E6A"/>
    <w:rsid w:val="009F602E"/>
    <w:rsid w:val="00A069E1"/>
    <w:rsid w:val="00A11DD4"/>
    <w:rsid w:val="00A1713B"/>
    <w:rsid w:val="00A176F3"/>
    <w:rsid w:val="00A17EDB"/>
    <w:rsid w:val="00A2129E"/>
    <w:rsid w:val="00A23081"/>
    <w:rsid w:val="00A2490E"/>
    <w:rsid w:val="00A269B8"/>
    <w:rsid w:val="00A2718C"/>
    <w:rsid w:val="00A34E1E"/>
    <w:rsid w:val="00A36360"/>
    <w:rsid w:val="00A375B8"/>
    <w:rsid w:val="00A37984"/>
    <w:rsid w:val="00A37DFE"/>
    <w:rsid w:val="00A4277E"/>
    <w:rsid w:val="00A4602F"/>
    <w:rsid w:val="00A46B62"/>
    <w:rsid w:val="00A52E69"/>
    <w:rsid w:val="00A53B3E"/>
    <w:rsid w:val="00A5405B"/>
    <w:rsid w:val="00A61379"/>
    <w:rsid w:val="00A67478"/>
    <w:rsid w:val="00A77183"/>
    <w:rsid w:val="00A85721"/>
    <w:rsid w:val="00A87F9A"/>
    <w:rsid w:val="00A91B71"/>
    <w:rsid w:val="00A94DBD"/>
    <w:rsid w:val="00A96A1B"/>
    <w:rsid w:val="00AA01D8"/>
    <w:rsid w:val="00AA0CBB"/>
    <w:rsid w:val="00AB65A5"/>
    <w:rsid w:val="00AC5B48"/>
    <w:rsid w:val="00AC77FB"/>
    <w:rsid w:val="00AD091E"/>
    <w:rsid w:val="00AD14FC"/>
    <w:rsid w:val="00AD1552"/>
    <w:rsid w:val="00AE16C5"/>
    <w:rsid w:val="00AE4BBC"/>
    <w:rsid w:val="00AE5568"/>
    <w:rsid w:val="00AE7A2A"/>
    <w:rsid w:val="00AF267D"/>
    <w:rsid w:val="00B0197D"/>
    <w:rsid w:val="00B02C18"/>
    <w:rsid w:val="00B047FD"/>
    <w:rsid w:val="00B06631"/>
    <w:rsid w:val="00B16B9F"/>
    <w:rsid w:val="00B16C3C"/>
    <w:rsid w:val="00B17780"/>
    <w:rsid w:val="00B218C5"/>
    <w:rsid w:val="00B236B2"/>
    <w:rsid w:val="00B25673"/>
    <w:rsid w:val="00B32110"/>
    <w:rsid w:val="00B33933"/>
    <w:rsid w:val="00B34F94"/>
    <w:rsid w:val="00B37257"/>
    <w:rsid w:val="00B43959"/>
    <w:rsid w:val="00B445D6"/>
    <w:rsid w:val="00B468EE"/>
    <w:rsid w:val="00B46A4E"/>
    <w:rsid w:val="00B533F0"/>
    <w:rsid w:val="00B54FB0"/>
    <w:rsid w:val="00B616B4"/>
    <w:rsid w:val="00B642AA"/>
    <w:rsid w:val="00B642CE"/>
    <w:rsid w:val="00B6440F"/>
    <w:rsid w:val="00B73F95"/>
    <w:rsid w:val="00B745E4"/>
    <w:rsid w:val="00B7685A"/>
    <w:rsid w:val="00B777D8"/>
    <w:rsid w:val="00B80816"/>
    <w:rsid w:val="00B81C18"/>
    <w:rsid w:val="00B82789"/>
    <w:rsid w:val="00B852CB"/>
    <w:rsid w:val="00B86873"/>
    <w:rsid w:val="00B9284E"/>
    <w:rsid w:val="00B958C7"/>
    <w:rsid w:val="00B974FD"/>
    <w:rsid w:val="00BA23AE"/>
    <w:rsid w:val="00BA3837"/>
    <w:rsid w:val="00BA3B32"/>
    <w:rsid w:val="00BA60F1"/>
    <w:rsid w:val="00BB015F"/>
    <w:rsid w:val="00BB0232"/>
    <w:rsid w:val="00BB5C2B"/>
    <w:rsid w:val="00BB7D36"/>
    <w:rsid w:val="00BC0533"/>
    <w:rsid w:val="00BC1E81"/>
    <w:rsid w:val="00BC6A5B"/>
    <w:rsid w:val="00BC7D90"/>
    <w:rsid w:val="00BD0292"/>
    <w:rsid w:val="00BD1AB8"/>
    <w:rsid w:val="00BD2364"/>
    <w:rsid w:val="00BD5986"/>
    <w:rsid w:val="00BD7D1B"/>
    <w:rsid w:val="00BE0A6E"/>
    <w:rsid w:val="00BE3812"/>
    <w:rsid w:val="00BE7766"/>
    <w:rsid w:val="00BF27E5"/>
    <w:rsid w:val="00BF2B94"/>
    <w:rsid w:val="00BF3FE6"/>
    <w:rsid w:val="00BF532C"/>
    <w:rsid w:val="00BF580C"/>
    <w:rsid w:val="00C000AC"/>
    <w:rsid w:val="00C05B0D"/>
    <w:rsid w:val="00C12805"/>
    <w:rsid w:val="00C134A8"/>
    <w:rsid w:val="00C15210"/>
    <w:rsid w:val="00C23057"/>
    <w:rsid w:val="00C23B1D"/>
    <w:rsid w:val="00C2512E"/>
    <w:rsid w:val="00C25D0A"/>
    <w:rsid w:val="00C3067E"/>
    <w:rsid w:val="00C30873"/>
    <w:rsid w:val="00C320BA"/>
    <w:rsid w:val="00C321BD"/>
    <w:rsid w:val="00C33EB5"/>
    <w:rsid w:val="00C342FC"/>
    <w:rsid w:val="00C36021"/>
    <w:rsid w:val="00C37CEF"/>
    <w:rsid w:val="00C37FD6"/>
    <w:rsid w:val="00C41ACE"/>
    <w:rsid w:val="00C424F0"/>
    <w:rsid w:val="00C4327D"/>
    <w:rsid w:val="00C4372A"/>
    <w:rsid w:val="00C44A12"/>
    <w:rsid w:val="00C44C48"/>
    <w:rsid w:val="00C51B99"/>
    <w:rsid w:val="00C53C97"/>
    <w:rsid w:val="00C6227E"/>
    <w:rsid w:val="00C63E21"/>
    <w:rsid w:val="00C652A8"/>
    <w:rsid w:val="00C65EC3"/>
    <w:rsid w:val="00C71423"/>
    <w:rsid w:val="00C71EBC"/>
    <w:rsid w:val="00C72C7F"/>
    <w:rsid w:val="00C77449"/>
    <w:rsid w:val="00C779EE"/>
    <w:rsid w:val="00C77C43"/>
    <w:rsid w:val="00C8197E"/>
    <w:rsid w:val="00C82EEC"/>
    <w:rsid w:val="00C84059"/>
    <w:rsid w:val="00C843BD"/>
    <w:rsid w:val="00C84C13"/>
    <w:rsid w:val="00C85D89"/>
    <w:rsid w:val="00C90A6F"/>
    <w:rsid w:val="00C92D3E"/>
    <w:rsid w:val="00CA023C"/>
    <w:rsid w:val="00CA0D59"/>
    <w:rsid w:val="00CA7CE0"/>
    <w:rsid w:val="00CB2C24"/>
    <w:rsid w:val="00CB570F"/>
    <w:rsid w:val="00CB5795"/>
    <w:rsid w:val="00CB5C71"/>
    <w:rsid w:val="00CB6459"/>
    <w:rsid w:val="00CC5722"/>
    <w:rsid w:val="00CC7512"/>
    <w:rsid w:val="00CD19BC"/>
    <w:rsid w:val="00CD6DB9"/>
    <w:rsid w:val="00CE0901"/>
    <w:rsid w:val="00CE1D6B"/>
    <w:rsid w:val="00CE2FFF"/>
    <w:rsid w:val="00CE3F77"/>
    <w:rsid w:val="00CE62D0"/>
    <w:rsid w:val="00CF31AC"/>
    <w:rsid w:val="00D02B0A"/>
    <w:rsid w:val="00D02D8D"/>
    <w:rsid w:val="00D03C8E"/>
    <w:rsid w:val="00D1519D"/>
    <w:rsid w:val="00D15D44"/>
    <w:rsid w:val="00D15F0F"/>
    <w:rsid w:val="00D17DFB"/>
    <w:rsid w:val="00D21AA6"/>
    <w:rsid w:val="00D27B18"/>
    <w:rsid w:val="00D40984"/>
    <w:rsid w:val="00D44BA9"/>
    <w:rsid w:val="00D510DF"/>
    <w:rsid w:val="00D51538"/>
    <w:rsid w:val="00D523B7"/>
    <w:rsid w:val="00D53335"/>
    <w:rsid w:val="00D53F48"/>
    <w:rsid w:val="00D611A0"/>
    <w:rsid w:val="00D72A8E"/>
    <w:rsid w:val="00D7769C"/>
    <w:rsid w:val="00D77F01"/>
    <w:rsid w:val="00D80311"/>
    <w:rsid w:val="00D81848"/>
    <w:rsid w:val="00D8467E"/>
    <w:rsid w:val="00D853D9"/>
    <w:rsid w:val="00D91DD2"/>
    <w:rsid w:val="00D97AA9"/>
    <w:rsid w:val="00DA5520"/>
    <w:rsid w:val="00DA5DD6"/>
    <w:rsid w:val="00DB10E7"/>
    <w:rsid w:val="00DB2577"/>
    <w:rsid w:val="00DB3A1D"/>
    <w:rsid w:val="00DB598B"/>
    <w:rsid w:val="00DB6C9B"/>
    <w:rsid w:val="00DB7A65"/>
    <w:rsid w:val="00DC288E"/>
    <w:rsid w:val="00DC3C1D"/>
    <w:rsid w:val="00DD402C"/>
    <w:rsid w:val="00DD6EF0"/>
    <w:rsid w:val="00DE1BE1"/>
    <w:rsid w:val="00DE2ACD"/>
    <w:rsid w:val="00DE3097"/>
    <w:rsid w:val="00DE4872"/>
    <w:rsid w:val="00DF0FD9"/>
    <w:rsid w:val="00E003BF"/>
    <w:rsid w:val="00E00FD2"/>
    <w:rsid w:val="00E0213A"/>
    <w:rsid w:val="00E06C6C"/>
    <w:rsid w:val="00E10A75"/>
    <w:rsid w:val="00E1145A"/>
    <w:rsid w:val="00E12D46"/>
    <w:rsid w:val="00E14083"/>
    <w:rsid w:val="00E149EA"/>
    <w:rsid w:val="00E15385"/>
    <w:rsid w:val="00E21352"/>
    <w:rsid w:val="00E312DC"/>
    <w:rsid w:val="00E319CD"/>
    <w:rsid w:val="00E36962"/>
    <w:rsid w:val="00E4012C"/>
    <w:rsid w:val="00E423FE"/>
    <w:rsid w:val="00E43680"/>
    <w:rsid w:val="00E44D5B"/>
    <w:rsid w:val="00E44EB7"/>
    <w:rsid w:val="00E46ABD"/>
    <w:rsid w:val="00E46FE9"/>
    <w:rsid w:val="00E610C6"/>
    <w:rsid w:val="00E67B52"/>
    <w:rsid w:val="00E71CFF"/>
    <w:rsid w:val="00E72886"/>
    <w:rsid w:val="00E738DA"/>
    <w:rsid w:val="00E85331"/>
    <w:rsid w:val="00E871FD"/>
    <w:rsid w:val="00E8774E"/>
    <w:rsid w:val="00E92216"/>
    <w:rsid w:val="00E9485D"/>
    <w:rsid w:val="00E97DAE"/>
    <w:rsid w:val="00EA1615"/>
    <w:rsid w:val="00EA69C0"/>
    <w:rsid w:val="00EA6C57"/>
    <w:rsid w:val="00EB310F"/>
    <w:rsid w:val="00EB6391"/>
    <w:rsid w:val="00EB7D2F"/>
    <w:rsid w:val="00EC2415"/>
    <w:rsid w:val="00EC29AF"/>
    <w:rsid w:val="00EC477D"/>
    <w:rsid w:val="00ED349A"/>
    <w:rsid w:val="00ED6584"/>
    <w:rsid w:val="00ED75B0"/>
    <w:rsid w:val="00ED7BBA"/>
    <w:rsid w:val="00EE09C9"/>
    <w:rsid w:val="00EE0B17"/>
    <w:rsid w:val="00EE2A47"/>
    <w:rsid w:val="00EE7F77"/>
    <w:rsid w:val="00EF2EB0"/>
    <w:rsid w:val="00EF3006"/>
    <w:rsid w:val="00EF4D2D"/>
    <w:rsid w:val="00EF6CA4"/>
    <w:rsid w:val="00F007DC"/>
    <w:rsid w:val="00F12D91"/>
    <w:rsid w:val="00F14CAC"/>
    <w:rsid w:val="00F14F4A"/>
    <w:rsid w:val="00F2105A"/>
    <w:rsid w:val="00F21CB4"/>
    <w:rsid w:val="00F25138"/>
    <w:rsid w:val="00F262C5"/>
    <w:rsid w:val="00F31211"/>
    <w:rsid w:val="00F31BF4"/>
    <w:rsid w:val="00F36245"/>
    <w:rsid w:val="00F364D0"/>
    <w:rsid w:val="00F3729B"/>
    <w:rsid w:val="00F4066D"/>
    <w:rsid w:val="00F4075C"/>
    <w:rsid w:val="00F55806"/>
    <w:rsid w:val="00F55A35"/>
    <w:rsid w:val="00F62F33"/>
    <w:rsid w:val="00F67DC9"/>
    <w:rsid w:val="00F67DF9"/>
    <w:rsid w:val="00F67FAD"/>
    <w:rsid w:val="00F71BE1"/>
    <w:rsid w:val="00F735BA"/>
    <w:rsid w:val="00F73ECF"/>
    <w:rsid w:val="00F74B9F"/>
    <w:rsid w:val="00F80792"/>
    <w:rsid w:val="00F8490A"/>
    <w:rsid w:val="00F852AD"/>
    <w:rsid w:val="00F855BC"/>
    <w:rsid w:val="00F85601"/>
    <w:rsid w:val="00F8578F"/>
    <w:rsid w:val="00F91062"/>
    <w:rsid w:val="00F97362"/>
    <w:rsid w:val="00FA5921"/>
    <w:rsid w:val="00FB1BD7"/>
    <w:rsid w:val="00FB48F6"/>
    <w:rsid w:val="00FB6465"/>
    <w:rsid w:val="00FC1438"/>
    <w:rsid w:val="00FC3C42"/>
    <w:rsid w:val="00FC53EE"/>
    <w:rsid w:val="00FC5882"/>
    <w:rsid w:val="00FC79D1"/>
    <w:rsid w:val="00FD2B9E"/>
    <w:rsid w:val="00FD5223"/>
    <w:rsid w:val="00FE01C5"/>
    <w:rsid w:val="00FE07B0"/>
    <w:rsid w:val="00FE0C41"/>
    <w:rsid w:val="00FE2D27"/>
    <w:rsid w:val="00FE6156"/>
    <w:rsid w:val="00FE6EF1"/>
    <w:rsid w:val="00FE7D29"/>
    <w:rsid w:val="00FF0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A880C3"/>
  <w15:docId w15:val="{BBAEA251-1022-494E-A098-6E77F7FC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E1"/>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70A"/>
    <w:pPr>
      <w:tabs>
        <w:tab w:val="center" w:pos="4153"/>
        <w:tab w:val="right" w:pos="8306"/>
      </w:tabs>
    </w:pPr>
  </w:style>
  <w:style w:type="character" w:customStyle="1" w:styleId="HeaderChar">
    <w:name w:val="Header Char"/>
    <w:basedOn w:val="DefaultParagraphFont"/>
    <w:link w:val="Header"/>
    <w:uiPriority w:val="99"/>
    <w:rsid w:val="0087170A"/>
    <w:rPr>
      <w:rFonts w:eastAsia="Times New Roman" w:cs="Times New Roman"/>
      <w:szCs w:val="24"/>
      <w:lang w:eastAsia="en-AU"/>
    </w:rPr>
  </w:style>
  <w:style w:type="character" w:customStyle="1" w:styleId="normalchar">
    <w:name w:val="normal_char"/>
    <w:basedOn w:val="DefaultParagraphFont"/>
    <w:rsid w:val="0087170A"/>
    <w:rPr>
      <w:color w:val="auto"/>
    </w:rPr>
  </w:style>
  <w:style w:type="paragraph" w:styleId="BalloonText">
    <w:name w:val="Balloon Text"/>
    <w:basedOn w:val="Normal"/>
    <w:link w:val="BalloonTextChar"/>
    <w:uiPriority w:val="99"/>
    <w:semiHidden/>
    <w:unhideWhenUsed/>
    <w:rsid w:val="00371857"/>
    <w:rPr>
      <w:rFonts w:ascii="Tahoma" w:hAnsi="Tahoma" w:cs="Tahoma"/>
      <w:sz w:val="16"/>
      <w:szCs w:val="16"/>
    </w:rPr>
  </w:style>
  <w:style w:type="character" w:customStyle="1" w:styleId="BalloonTextChar">
    <w:name w:val="Balloon Text Char"/>
    <w:basedOn w:val="DefaultParagraphFont"/>
    <w:link w:val="BalloonText"/>
    <w:uiPriority w:val="99"/>
    <w:semiHidden/>
    <w:rsid w:val="0037185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B37257"/>
    <w:rPr>
      <w:sz w:val="16"/>
      <w:szCs w:val="16"/>
    </w:rPr>
  </w:style>
  <w:style w:type="paragraph" w:styleId="CommentText">
    <w:name w:val="annotation text"/>
    <w:basedOn w:val="Normal"/>
    <w:link w:val="CommentTextChar"/>
    <w:uiPriority w:val="99"/>
    <w:unhideWhenUsed/>
    <w:rsid w:val="00B37257"/>
    <w:rPr>
      <w:sz w:val="20"/>
      <w:szCs w:val="20"/>
    </w:rPr>
  </w:style>
  <w:style w:type="character" w:customStyle="1" w:styleId="CommentTextChar">
    <w:name w:val="Comment Text Char"/>
    <w:basedOn w:val="DefaultParagraphFont"/>
    <w:link w:val="CommentText"/>
    <w:uiPriority w:val="99"/>
    <w:semiHidden/>
    <w:rsid w:val="00B37257"/>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37257"/>
    <w:rPr>
      <w:b/>
      <w:bCs/>
    </w:rPr>
  </w:style>
  <w:style w:type="character" w:customStyle="1" w:styleId="CommentSubjectChar">
    <w:name w:val="Comment Subject Char"/>
    <w:basedOn w:val="CommentTextChar"/>
    <w:link w:val="CommentSubject"/>
    <w:uiPriority w:val="99"/>
    <w:semiHidden/>
    <w:rsid w:val="00B37257"/>
    <w:rPr>
      <w:rFonts w:eastAsia="Times New Roman" w:cs="Times New Roman"/>
      <w:b/>
      <w:bCs/>
      <w:sz w:val="20"/>
      <w:szCs w:val="20"/>
      <w:lang w:eastAsia="en-AU"/>
    </w:rPr>
  </w:style>
  <w:style w:type="paragraph" w:styleId="Footer">
    <w:name w:val="footer"/>
    <w:basedOn w:val="Normal"/>
    <w:link w:val="FooterChar"/>
    <w:uiPriority w:val="99"/>
    <w:unhideWhenUsed/>
    <w:rsid w:val="00A96A1B"/>
    <w:pPr>
      <w:tabs>
        <w:tab w:val="center" w:pos="4513"/>
        <w:tab w:val="right" w:pos="9026"/>
      </w:tabs>
    </w:pPr>
  </w:style>
  <w:style w:type="character" w:customStyle="1" w:styleId="FooterChar">
    <w:name w:val="Footer Char"/>
    <w:basedOn w:val="DefaultParagraphFont"/>
    <w:link w:val="Footer"/>
    <w:uiPriority w:val="99"/>
    <w:rsid w:val="00A96A1B"/>
    <w:rPr>
      <w:rFonts w:eastAsia="Times New Roman" w:cs="Times New Roman"/>
      <w:szCs w:val="24"/>
      <w:lang w:eastAsia="en-AU"/>
    </w:rPr>
  </w:style>
  <w:style w:type="paragraph" w:styleId="ListParagraph">
    <w:name w:val="List Paragraph"/>
    <w:basedOn w:val="Normal"/>
    <w:link w:val="ListParagraphChar"/>
    <w:uiPriority w:val="34"/>
    <w:qFormat/>
    <w:rsid w:val="00C23057"/>
    <w:pPr>
      <w:ind w:left="720"/>
      <w:contextualSpacing/>
    </w:pPr>
  </w:style>
  <w:style w:type="paragraph" w:customStyle="1" w:styleId="subsection">
    <w:name w:val="subsection"/>
    <w:basedOn w:val="Normal"/>
    <w:rsid w:val="000103BF"/>
    <w:pPr>
      <w:spacing w:before="100" w:beforeAutospacing="1" w:after="100" w:afterAutospacing="1"/>
    </w:pPr>
  </w:style>
  <w:style w:type="paragraph" w:customStyle="1" w:styleId="notetext">
    <w:name w:val="notetext"/>
    <w:basedOn w:val="Normal"/>
    <w:rsid w:val="000103BF"/>
    <w:pPr>
      <w:spacing w:before="100" w:beforeAutospacing="1" w:after="100" w:afterAutospacing="1"/>
    </w:pPr>
  </w:style>
  <w:style w:type="character" w:customStyle="1" w:styleId="ListParagraphChar">
    <w:name w:val="List Paragraph Char"/>
    <w:link w:val="ListParagraph"/>
    <w:uiPriority w:val="34"/>
    <w:locked/>
    <w:rsid w:val="00F852AD"/>
    <w:rPr>
      <w:rFonts w:eastAsia="Times New Roman" w:cs="Times New Roman"/>
      <w:szCs w:val="24"/>
      <w:lang w:eastAsia="en-AU"/>
    </w:rPr>
  </w:style>
  <w:style w:type="paragraph" w:customStyle="1" w:styleId="TableText">
    <w:name w:val="TableText"/>
    <w:basedOn w:val="Normal"/>
    <w:rsid w:val="00C36021"/>
    <w:pPr>
      <w:spacing w:before="60" w:after="60" w:line="240" w:lineRule="exact"/>
    </w:pPr>
    <w:rPr>
      <w:sz w:val="22"/>
    </w:rPr>
  </w:style>
  <w:style w:type="paragraph" w:styleId="Revision">
    <w:name w:val="Revision"/>
    <w:hidden/>
    <w:uiPriority w:val="99"/>
    <w:semiHidden/>
    <w:rsid w:val="0026014B"/>
    <w:pPr>
      <w:spacing w:after="0" w:line="240" w:lineRule="auto"/>
    </w:pPr>
    <w:rPr>
      <w:rFonts w:eastAsia="Times New Roman" w:cs="Times New Roman"/>
      <w:szCs w:val="24"/>
      <w:lang w:eastAsia="en-AU"/>
    </w:rPr>
  </w:style>
  <w:style w:type="character" w:styleId="Emphasis">
    <w:name w:val="Emphasis"/>
    <w:basedOn w:val="DefaultParagraphFont"/>
    <w:uiPriority w:val="20"/>
    <w:qFormat/>
    <w:rsid w:val="00E003BF"/>
    <w:rPr>
      <w:i/>
      <w:iCs/>
    </w:rPr>
  </w:style>
  <w:style w:type="paragraph" w:customStyle="1" w:styleId="Item">
    <w:name w:val="Item"/>
    <w:aliases w:val="i"/>
    <w:basedOn w:val="Normal"/>
    <w:next w:val="ItemHead"/>
    <w:rsid w:val="00003124"/>
    <w:pPr>
      <w:keepLines/>
      <w:spacing w:before="80"/>
      <w:ind w:left="709"/>
    </w:pPr>
    <w:rPr>
      <w:sz w:val="22"/>
      <w:szCs w:val="20"/>
    </w:rPr>
  </w:style>
  <w:style w:type="paragraph" w:customStyle="1" w:styleId="ItemHead">
    <w:name w:val="ItemHead"/>
    <w:aliases w:val="ih"/>
    <w:basedOn w:val="Normal"/>
    <w:next w:val="Item"/>
    <w:rsid w:val="00003124"/>
    <w:pPr>
      <w:keepNext/>
      <w:keepLines/>
      <w:spacing w:before="220"/>
      <w:ind w:left="709" w:hanging="709"/>
    </w:pPr>
    <w:rPr>
      <w:rFonts w:ascii="Arial" w:hAnsi="Arial"/>
      <w:b/>
      <w:kern w:val="28"/>
      <w:szCs w:val="20"/>
    </w:rPr>
  </w:style>
  <w:style w:type="paragraph" w:customStyle="1" w:styleId="notetext0">
    <w:name w:val="note(text)"/>
    <w:aliases w:val="n"/>
    <w:basedOn w:val="Normal"/>
    <w:rsid w:val="00003124"/>
    <w:pPr>
      <w:spacing w:before="122" w:line="198" w:lineRule="exact"/>
      <w:ind w:left="1985" w:hanging="851"/>
    </w:pPr>
    <w:rPr>
      <w:sz w:val="18"/>
      <w:szCs w:val="20"/>
    </w:rPr>
  </w:style>
  <w:style w:type="paragraph" w:customStyle="1" w:styleId="Tabletext0">
    <w:name w:val="Table text"/>
    <w:basedOn w:val="Normal"/>
    <w:link w:val="TabletextChar"/>
    <w:uiPriority w:val="2"/>
    <w:qFormat/>
    <w:rsid w:val="00B82789"/>
    <w:rPr>
      <w:rFonts w:ascii="Arial Narrow" w:hAnsi="Arial Narrow"/>
      <w:snapToGrid w:val="0"/>
      <w:sz w:val="20"/>
    </w:rPr>
  </w:style>
  <w:style w:type="character" w:customStyle="1" w:styleId="TabletextChar">
    <w:name w:val="Table text Char"/>
    <w:link w:val="Tabletext0"/>
    <w:uiPriority w:val="2"/>
    <w:rsid w:val="00B82789"/>
    <w:rPr>
      <w:rFonts w:ascii="Arial Narrow" w:eastAsia="Times New Roman" w:hAnsi="Arial Narrow" w:cs="Times New Roman"/>
      <w:snapToGrid w:val="0"/>
      <w:sz w:val="20"/>
      <w:szCs w:val="24"/>
      <w:lang w:eastAsia="en-AU"/>
    </w:rPr>
  </w:style>
  <w:style w:type="paragraph" w:customStyle="1" w:styleId="zr1">
    <w:name w:val="zr1"/>
    <w:basedOn w:val="Normal"/>
    <w:rsid w:val="00DE1B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5938">
      <w:bodyDiv w:val="1"/>
      <w:marLeft w:val="0"/>
      <w:marRight w:val="0"/>
      <w:marTop w:val="0"/>
      <w:marBottom w:val="0"/>
      <w:divBdr>
        <w:top w:val="none" w:sz="0" w:space="0" w:color="auto"/>
        <w:left w:val="none" w:sz="0" w:space="0" w:color="auto"/>
        <w:bottom w:val="none" w:sz="0" w:space="0" w:color="auto"/>
        <w:right w:val="none" w:sz="0" w:space="0" w:color="auto"/>
      </w:divBdr>
    </w:div>
    <w:div w:id="603877382">
      <w:bodyDiv w:val="1"/>
      <w:marLeft w:val="0"/>
      <w:marRight w:val="0"/>
      <w:marTop w:val="0"/>
      <w:marBottom w:val="0"/>
      <w:divBdr>
        <w:top w:val="none" w:sz="0" w:space="0" w:color="auto"/>
        <w:left w:val="none" w:sz="0" w:space="0" w:color="auto"/>
        <w:bottom w:val="none" w:sz="0" w:space="0" w:color="auto"/>
        <w:right w:val="none" w:sz="0" w:space="0" w:color="auto"/>
      </w:divBdr>
    </w:div>
    <w:div w:id="991837429">
      <w:bodyDiv w:val="1"/>
      <w:marLeft w:val="0"/>
      <w:marRight w:val="0"/>
      <w:marTop w:val="0"/>
      <w:marBottom w:val="0"/>
      <w:divBdr>
        <w:top w:val="none" w:sz="0" w:space="0" w:color="auto"/>
        <w:left w:val="none" w:sz="0" w:space="0" w:color="auto"/>
        <w:bottom w:val="none" w:sz="0" w:space="0" w:color="auto"/>
        <w:right w:val="none" w:sz="0" w:space="0" w:color="auto"/>
      </w:divBdr>
    </w:div>
    <w:div w:id="1024596833">
      <w:bodyDiv w:val="1"/>
      <w:marLeft w:val="0"/>
      <w:marRight w:val="0"/>
      <w:marTop w:val="0"/>
      <w:marBottom w:val="0"/>
      <w:divBdr>
        <w:top w:val="none" w:sz="0" w:space="0" w:color="auto"/>
        <w:left w:val="none" w:sz="0" w:space="0" w:color="auto"/>
        <w:bottom w:val="none" w:sz="0" w:space="0" w:color="auto"/>
        <w:right w:val="none" w:sz="0" w:space="0" w:color="auto"/>
      </w:divBdr>
    </w:div>
    <w:div w:id="1058820450">
      <w:bodyDiv w:val="1"/>
      <w:marLeft w:val="0"/>
      <w:marRight w:val="0"/>
      <w:marTop w:val="0"/>
      <w:marBottom w:val="0"/>
      <w:divBdr>
        <w:top w:val="none" w:sz="0" w:space="0" w:color="auto"/>
        <w:left w:val="none" w:sz="0" w:space="0" w:color="auto"/>
        <w:bottom w:val="none" w:sz="0" w:space="0" w:color="auto"/>
        <w:right w:val="none" w:sz="0" w:space="0" w:color="auto"/>
      </w:divBdr>
      <w:divsChild>
        <w:div w:id="2130926633">
          <w:marLeft w:val="0"/>
          <w:marRight w:val="0"/>
          <w:marTop w:val="0"/>
          <w:marBottom w:val="0"/>
          <w:divBdr>
            <w:top w:val="none" w:sz="0" w:space="0" w:color="auto"/>
            <w:left w:val="none" w:sz="0" w:space="0" w:color="auto"/>
            <w:bottom w:val="none" w:sz="0" w:space="0" w:color="auto"/>
            <w:right w:val="none" w:sz="0" w:space="0" w:color="auto"/>
          </w:divBdr>
          <w:divsChild>
            <w:div w:id="1104032541">
              <w:marLeft w:val="0"/>
              <w:marRight w:val="0"/>
              <w:marTop w:val="0"/>
              <w:marBottom w:val="0"/>
              <w:divBdr>
                <w:top w:val="none" w:sz="0" w:space="0" w:color="auto"/>
                <w:left w:val="none" w:sz="0" w:space="0" w:color="auto"/>
                <w:bottom w:val="none" w:sz="0" w:space="0" w:color="auto"/>
                <w:right w:val="none" w:sz="0" w:space="0" w:color="auto"/>
              </w:divBdr>
              <w:divsChild>
                <w:div w:id="137890331">
                  <w:marLeft w:val="0"/>
                  <w:marRight w:val="0"/>
                  <w:marTop w:val="0"/>
                  <w:marBottom w:val="0"/>
                  <w:divBdr>
                    <w:top w:val="none" w:sz="0" w:space="0" w:color="auto"/>
                    <w:left w:val="none" w:sz="0" w:space="0" w:color="auto"/>
                    <w:bottom w:val="none" w:sz="0" w:space="0" w:color="auto"/>
                    <w:right w:val="none" w:sz="0" w:space="0" w:color="auto"/>
                  </w:divBdr>
                  <w:divsChild>
                    <w:div w:id="1030452626">
                      <w:marLeft w:val="0"/>
                      <w:marRight w:val="0"/>
                      <w:marTop w:val="0"/>
                      <w:marBottom w:val="0"/>
                      <w:divBdr>
                        <w:top w:val="none" w:sz="0" w:space="0" w:color="auto"/>
                        <w:left w:val="none" w:sz="0" w:space="0" w:color="auto"/>
                        <w:bottom w:val="none" w:sz="0" w:space="0" w:color="auto"/>
                        <w:right w:val="none" w:sz="0" w:space="0" w:color="auto"/>
                      </w:divBdr>
                      <w:divsChild>
                        <w:div w:id="927033046">
                          <w:marLeft w:val="0"/>
                          <w:marRight w:val="0"/>
                          <w:marTop w:val="0"/>
                          <w:marBottom w:val="0"/>
                          <w:divBdr>
                            <w:top w:val="none" w:sz="0" w:space="0" w:color="auto"/>
                            <w:left w:val="none" w:sz="0" w:space="0" w:color="auto"/>
                            <w:bottom w:val="none" w:sz="0" w:space="0" w:color="auto"/>
                            <w:right w:val="none" w:sz="0" w:space="0" w:color="auto"/>
                          </w:divBdr>
                          <w:divsChild>
                            <w:div w:id="1363901694">
                              <w:marLeft w:val="0"/>
                              <w:marRight w:val="0"/>
                              <w:marTop w:val="0"/>
                              <w:marBottom w:val="0"/>
                              <w:divBdr>
                                <w:top w:val="single" w:sz="6" w:space="0" w:color="828282"/>
                                <w:left w:val="single" w:sz="6" w:space="0" w:color="828282"/>
                                <w:bottom w:val="single" w:sz="6" w:space="0" w:color="828282"/>
                                <w:right w:val="single" w:sz="6" w:space="0" w:color="828282"/>
                              </w:divBdr>
                              <w:divsChild>
                                <w:div w:id="1954631891">
                                  <w:marLeft w:val="0"/>
                                  <w:marRight w:val="0"/>
                                  <w:marTop w:val="0"/>
                                  <w:marBottom w:val="0"/>
                                  <w:divBdr>
                                    <w:top w:val="none" w:sz="0" w:space="0" w:color="auto"/>
                                    <w:left w:val="none" w:sz="0" w:space="0" w:color="auto"/>
                                    <w:bottom w:val="none" w:sz="0" w:space="0" w:color="auto"/>
                                    <w:right w:val="none" w:sz="0" w:space="0" w:color="auto"/>
                                  </w:divBdr>
                                  <w:divsChild>
                                    <w:div w:id="1854681161">
                                      <w:marLeft w:val="0"/>
                                      <w:marRight w:val="0"/>
                                      <w:marTop w:val="0"/>
                                      <w:marBottom w:val="0"/>
                                      <w:divBdr>
                                        <w:top w:val="none" w:sz="0" w:space="0" w:color="auto"/>
                                        <w:left w:val="none" w:sz="0" w:space="0" w:color="auto"/>
                                        <w:bottom w:val="none" w:sz="0" w:space="0" w:color="auto"/>
                                        <w:right w:val="none" w:sz="0" w:space="0" w:color="auto"/>
                                      </w:divBdr>
                                      <w:divsChild>
                                        <w:div w:id="2143383642">
                                          <w:marLeft w:val="0"/>
                                          <w:marRight w:val="0"/>
                                          <w:marTop w:val="0"/>
                                          <w:marBottom w:val="0"/>
                                          <w:divBdr>
                                            <w:top w:val="none" w:sz="0" w:space="0" w:color="auto"/>
                                            <w:left w:val="none" w:sz="0" w:space="0" w:color="auto"/>
                                            <w:bottom w:val="none" w:sz="0" w:space="0" w:color="auto"/>
                                            <w:right w:val="none" w:sz="0" w:space="0" w:color="auto"/>
                                          </w:divBdr>
                                          <w:divsChild>
                                            <w:div w:id="1472288430">
                                              <w:marLeft w:val="0"/>
                                              <w:marRight w:val="0"/>
                                              <w:marTop w:val="0"/>
                                              <w:marBottom w:val="0"/>
                                              <w:divBdr>
                                                <w:top w:val="none" w:sz="0" w:space="0" w:color="auto"/>
                                                <w:left w:val="none" w:sz="0" w:space="0" w:color="auto"/>
                                                <w:bottom w:val="none" w:sz="0" w:space="0" w:color="auto"/>
                                                <w:right w:val="none" w:sz="0" w:space="0" w:color="auto"/>
                                              </w:divBdr>
                                              <w:divsChild>
                                                <w:div w:id="2073307221">
                                                  <w:marLeft w:val="0"/>
                                                  <w:marRight w:val="0"/>
                                                  <w:marTop w:val="0"/>
                                                  <w:marBottom w:val="0"/>
                                                  <w:divBdr>
                                                    <w:top w:val="none" w:sz="0" w:space="0" w:color="auto"/>
                                                    <w:left w:val="none" w:sz="0" w:space="0" w:color="auto"/>
                                                    <w:bottom w:val="none" w:sz="0" w:space="0" w:color="auto"/>
                                                    <w:right w:val="none" w:sz="0" w:space="0" w:color="auto"/>
                                                  </w:divBdr>
                                                  <w:divsChild>
                                                    <w:div w:id="4965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960424">
      <w:bodyDiv w:val="1"/>
      <w:marLeft w:val="0"/>
      <w:marRight w:val="0"/>
      <w:marTop w:val="0"/>
      <w:marBottom w:val="0"/>
      <w:divBdr>
        <w:top w:val="none" w:sz="0" w:space="0" w:color="auto"/>
        <w:left w:val="none" w:sz="0" w:space="0" w:color="auto"/>
        <w:bottom w:val="none" w:sz="0" w:space="0" w:color="auto"/>
        <w:right w:val="none" w:sz="0" w:space="0" w:color="auto"/>
      </w:divBdr>
    </w:div>
    <w:div w:id="1157108180">
      <w:bodyDiv w:val="1"/>
      <w:marLeft w:val="0"/>
      <w:marRight w:val="0"/>
      <w:marTop w:val="0"/>
      <w:marBottom w:val="0"/>
      <w:divBdr>
        <w:top w:val="none" w:sz="0" w:space="0" w:color="auto"/>
        <w:left w:val="none" w:sz="0" w:space="0" w:color="auto"/>
        <w:bottom w:val="none" w:sz="0" w:space="0" w:color="auto"/>
        <w:right w:val="none" w:sz="0" w:space="0" w:color="auto"/>
      </w:divBdr>
    </w:div>
    <w:div w:id="1316034537">
      <w:bodyDiv w:val="1"/>
      <w:marLeft w:val="0"/>
      <w:marRight w:val="0"/>
      <w:marTop w:val="0"/>
      <w:marBottom w:val="0"/>
      <w:divBdr>
        <w:top w:val="none" w:sz="0" w:space="0" w:color="auto"/>
        <w:left w:val="none" w:sz="0" w:space="0" w:color="auto"/>
        <w:bottom w:val="none" w:sz="0" w:space="0" w:color="auto"/>
        <w:right w:val="none" w:sz="0" w:space="0" w:color="auto"/>
      </w:divBdr>
      <w:divsChild>
        <w:div w:id="90009096">
          <w:marLeft w:val="0"/>
          <w:marRight w:val="0"/>
          <w:marTop w:val="0"/>
          <w:marBottom w:val="0"/>
          <w:divBdr>
            <w:top w:val="none" w:sz="0" w:space="0" w:color="auto"/>
            <w:left w:val="none" w:sz="0" w:space="0" w:color="auto"/>
            <w:bottom w:val="none" w:sz="0" w:space="0" w:color="auto"/>
            <w:right w:val="none" w:sz="0" w:space="0" w:color="auto"/>
          </w:divBdr>
          <w:divsChild>
            <w:div w:id="1167671300">
              <w:marLeft w:val="0"/>
              <w:marRight w:val="0"/>
              <w:marTop w:val="0"/>
              <w:marBottom w:val="0"/>
              <w:divBdr>
                <w:top w:val="none" w:sz="0" w:space="0" w:color="auto"/>
                <w:left w:val="none" w:sz="0" w:space="0" w:color="auto"/>
                <w:bottom w:val="none" w:sz="0" w:space="0" w:color="auto"/>
                <w:right w:val="none" w:sz="0" w:space="0" w:color="auto"/>
              </w:divBdr>
              <w:divsChild>
                <w:div w:id="1093933860">
                  <w:marLeft w:val="0"/>
                  <w:marRight w:val="0"/>
                  <w:marTop w:val="0"/>
                  <w:marBottom w:val="0"/>
                  <w:divBdr>
                    <w:top w:val="none" w:sz="0" w:space="0" w:color="auto"/>
                    <w:left w:val="none" w:sz="0" w:space="0" w:color="auto"/>
                    <w:bottom w:val="none" w:sz="0" w:space="0" w:color="auto"/>
                    <w:right w:val="none" w:sz="0" w:space="0" w:color="auto"/>
                  </w:divBdr>
                  <w:divsChild>
                    <w:div w:id="1986886940">
                      <w:marLeft w:val="0"/>
                      <w:marRight w:val="0"/>
                      <w:marTop w:val="0"/>
                      <w:marBottom w:val="0"/>
                      <w:divBdr>
                        <w:top w:val="none" w:sz="0" w:space="0" w:color="auto"/>
                        <w:left w:val="none" w:sz="0" w:space="0" w:color="auto"/>
                        <w:bottom w:val="none" w:sz="0" w:space="0" w:color="auto"/>
                        <w:right w:val="none" w:sz="0" w:space="0" w:color="auto"/>
                      </w:divBdr>
                      <w:divsChild>
                        <w:div w:id="834996828">
                          <w:marLeft w:val="0"/>
                          <w:marRight w:val="0"/>
                          <w:marTop w:val="0"/>
                          <w:marBottom w:val="0"/>
                          <w:divBdr>
                            <w:top w:val="single" w:sz="6" w:space="0" w:color="828282"/>
                            <w:left w:val="single" w:sz="6" w:space="0" w:color="828282"/>
                            <w:bottom w:val="single" w:sz="6" w:space="0" w:color="828282"/>
                            <w:right w:val="single" w:sz="6" w:space="0" w:color="828282"/>
                          </w:divBdr>
                          <w:divsChild>
                            <w:div w:id="1590652336">
                              <w:marLeft w:val="0"/>
                              <w:marRight w:val="0"/>
                              <w:marTop w:val="0"/>
                              <w:marBottom w:val="0"/>
                              <w:divBdr>
                                <w:top w:val="none" w:sz="0" w:space="0" w:color="auto"/>
                                <w:left w:val="none" w:sz="0" w:space="0" w:color="auto"/>
                                <w:bottom w:val="none" w:sz="0" w:space="0" w:color="auto"/>
                                <w:right w:val="none" w:sz="0" w:space="0" w:color="auto"/>
                              </w:divBdr>
                              <w:divsChild>
                                <w:div w:id="1953785348">
                                  <w:marLeft w:val="0"/>
                                  <w:marRight w:val="0"/>
                                  <w:marTop w:val="0"/>
                                  <w:marBottom w:val="0"/>
                                  <w:divBdr>
                                    <w:top w:val="none" w:sz="0" w:space="0" w:color="auto"/>
                                    <w:left w:val="none" w:sz="0" w:space="0" w:color="auto"/>
                                    <w:bottom w:val="none" w:sz="0" w:space="0" w:color="auto"/>
                                    <w:right w:val="none" w:sz="0" w:space="0" w:color="auto"/>
                                  </w:divBdr>
                                  <w:divsChild>
                                    <w:div w:id="409232700">
                                      <w:marLeft w:val="0"/>
                                      <w:marRight w:val="0"/>
                                      <w:marTop w:val="0"/>
                                      <w:marBottom w:val="0"/>
                                      <w:divBdr>
                                        <w:top w:val="none" w:sz="0" w:space="0" w:color="auto"/>
                                        <w:left w:val="none" w:sz="0" w:space="0" w:color="auto"/>
                                        <w:bottom w:val="none" w:sz="0" w:space="0" w:color="auto"/>
                                        <w:right w:val="none" w:sz="0" w:space="0" w:color="auto"/>
                                      </w:divBdr>
                                      <w:divsChild>
                                        <w:div w:id="1620721872">
                                          <w:marLeft w:val="0"/>
                                          <w:marRight w:val="0"/>
                                          <w:marTop w:val="0"/>
                                          <w:marBottom w:val="0"/>
                                          <w:divBdr>
                                            <w:top w:val="none" w:sz="0" w:space="0" w:color="auto"/>
                                            <w:left w:val="none" w:sz="0" w:space="0" w:color="auto"/>
                                            <w:bottom w:val="none" w:sz="0" w:space="0" w:color="auto"/>
                                            <w:right w:val="none" w:sz="0" w:space="0" w:color="auto"/>
                                          </w:divBdr>
                                          <w:divsChild>
                                            <w:div w:id="1421097036">
                                              <w:marLeft w:val="0"/>
                                              <w:marRight w:val="0"/>
                                              <w:marTop w:val="0"/>
                                              <w:marBottom w:val="0"/>
                                              <w:divBdr>
                                                <w:top w:val="none" w:sz="0" w:space="0" w:color="auto"/>
                                                <w:left w:val="none" w:sz="0" w:space="0" w:color="auto"/>
                                                <w:bottom w:val="none" w:sz="0" w:space="0" w:color="auto"/>
                                                <w:right w:val="none" w:sz="0" w:space="0" w:color="auto"/>
                                              </w:divBdr>
                                              <w:divsChild>
                                                <w:div w:id="14584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188802">
      <w:bodyDiv w:val="1"/>
      <w:marLeft w:val="0"/>
      <w:marRight w:val="0"/>
      <w:marTop w:val="0"/>
      <w:marBottom w:val="0"/>
      <w:divBdr>
        <w:top w:val="none" w:sz="0" w:space="0" w:color="auto"/>
        <w:left w:val="none" w:sz="0" w:space="0" w:color="auto"/>
        <w:bottom w:val="none" w:sz="0" w:space="0" w:color="auto"/>
        <w:right w:val="none" w:sz="0" w:space="0" w:color="auto"/>
      </w:divBdr>
    </w:div>
    <w:div w:id="1691909875">
      <w:bodyDiv w:val="1"/>
      <w:marLeft w:val="0"/>
      <w:marRight w:val="0"/>
      <w:marTop w:val="0"/>
      <w:marBottom w:val="0"/>
      <w:divBdr>
        <w:top w:val="none" w:sz="0" w:space="0" w:color="auto"/>
        <w:left w:val="none" w:sz="0" w:space="0" w:color="auto"/>
        <w:bottom w:val="none" w:sz="0" w:space="0" w:color="auto"/>
        <w:right w:val="none" w:sz="0" w:space="0" w:color="auto"/>
      </w:divBdr>
    </w:div>
    <w:div w:id="1783069968">
      <w:bodyDiv w:val="1"/>
      <w:marLeft w:val="0"/>
      <w:marRight w:val="0"/>
      <w:marTop w:val="0"/>
      <w:marBottom w:val="0"/>
      <w:divBdr>
        <w:top w:val="none" w:sz="0" w:space="0" w:color="auto"/>
        <w:left w:val="none" w:sz="0" w:space="0" w:color="auto"/>
        <w:bottom w:val="none" w:sz="0" w:space="0" w:color="auto"/>
        <w:right w:val="none" w:sz="0" w:space="0" w:color="auto"/>
      </w:divBdr>
      <w:divsChild>
        <w:div w:id="35158084">
          <w:marLeft w:val="0"/>
          <w:marRight w:val="0"/>
          <w:marTop w:val="0"/>
          <w:marBottom w:val="0"/>
          <w:divBdr>
            <w:top w:val="none" w:sz="0" w:space="0" w:color="auto"/>
            <w:left w:val="none" w:sz="0" w:space="0" w:color="auto"/>
            <w:bottom w:val="none" w:sz="0" w:space="0" w:color="auto"/>
            <w:right w:val="none" w:sz="0" w:space="0" w:color="auto"/>
          </w:divBdr>
          <w:divsChild>
            <w:div w:id="1872065724">
              <w:marLeft w:val="0"/>
              <w:marRight w:val="0"/>
              <w:marTop w:val="0"/>
              <w:marBottom w:val="0"/>
              <w:divBdr>
                <w:top w:val="none" w:sz="0" w:space="0" w:color="auto"/>
                <w:left w:val="none" w:sz="0" w:space="0" w:color="auto"/>
                <w:bottom w:val="none" w:sz="0" w:space="0" w:color="auto"/>
                <w:right w:val="none" w:sz="0" w:space="0" w:color="auto"/>
              </w:divBdr>
              <w:divsChild>
                <w:div w:id="44959634">
                  <w:marLeft w:val="0"/>
                  <w:marRight w:val="0"/>
                  <w:marTop w:val="0"/>
                  <w:marBottom w:val="0"/>
                  <w:divBdr>
                    <w:top w:val="none" w:sz="0" w:space="0" w:color="auto"/>
                    <w:left w:val="none" w:sz="0" w:space="0" w:color="auto"/>
                    <w:bottom w:val="none" w:sz="0" w:space="0" w:color="auto"/>
                    <w:right w:val="none" w:sz="0" w:space="0" w:color="auto"/>
                  </w:divBdr>
                  <w:divsChild>
                    <w:div w:id="48772810">
                      <w:marLeft w:val="0"/>
                      <w:marRight w:val="0"/>
                      <w:marTop w:val="0"/>
                      <w:marBottom w:val="0"/>
                      <w:divBdr>
                        <w:top w:val="none" w:sz="0" w:space="0" w:color="auto"/>
                        <w:left w:val="none" w:sz="0" w:space="0" w:color="auto"/>
                        <w:bottom w:val="none" w:sz="0" w:space="0" w:color="auto"/>
                        <w:right w:val="none" w:sz="0" w:space="0" w:color="auto"/>
                      </w:divBdr>
                      <w:divsChild>
                        <w:div w:id="1830946756">
                          <w:marLeft w:val="0"/>
                          <w:marRight w:val="0"/>
                          <w:marTop w:val="0"/>
                          <w:marBottom w:val="0"/>
                          <w:divBdr>
                            <w:top w:val="single" w:sz="6" w:space="0" w:color="828282"/>
                            <w:left w:val="single" w:sz="6" w:space="0" w:color="828282"/>
                            <w:bottom w:val="single" w:sz="6" w:space="0" w:color="828282"/>
                            <w:right w:val="single" w:sz="6" w:space="0" w:color="828282"/>
                          </w:divBdr>
                          <w:divsChild>
                            <w:div w:id="1207257119">
                              <w:marLeft w:val="0"/>
                              <w:marRight w:val="0"/>
                              <w:marTop w:val="0"/>
                              <w:marBottom w:val="0"/>
                              <w:divBdr>
                                <w:top w:val="none" w:sz="0" w:space="0" w:color="auto"/>
                                <w:left w:val="none" w:sz="0" w:space="0" w:color="auto"/>
                                <w:bottom w:val="none" w:sz="0" w:space="0" w:color="auto"/>
                                <w:right w:val="none" w:sz="0" w:space="0" w:color="auto"/>
                              </w:divBdr>
                              <w:divsChild>
                                <w:div w:id="455874170">
                                  <w:marLeft w:val="0"/>
                                  <w:marRight w:val="0"/>
                                  <w:marTop w:val="0"/>
                                  <w:marBottom w:val="0"/>
                                  <w:divBdr>
                                    <w:top w:val="none" w:sz="0" w:space="0" w:color="auto"/>
                                    <w:left w:val="none" w:sz="0" w:space="0" w:color="auto"/>
                                    <w:bottom w:val="none" w:sz="0" w:space="0" w:color="auto"/>
                                    <w:right w:val="none" w:sz="0" w:space="0" w:color="auto"/>
                                  </w:divBdr>
                                  <w:divsChild>
                                    <w:div w:id="752358334">
                                      <w:marLeft w:val="0"/>
                                      <w:marRight w:val="0"/>
                                      <w:marTop w:val="0"/>
                                      <w:marBottom w:val="0"/>
                                      <w:divBdr>
                                        <w:top w:val="none" w:sz="0" w:space="0" w:color="auto"/>
                                        <w:left w:val="none" w:sz="0" w:space="0" w:color="auto"/>
                                        <w:bottom w:val="none" w:sz="0" w:space="0" w:color="auto"/>
                                        <w:right w:val="none" w:sz="0" w:space="0" w:color="auto"/>
                                      </w:divBdr>
                                      <w:divsChild>
                                        <w:div w:id="1386641294">
                                          <w:marLeft w:val="0"/>
                                          <w:marRight w:val="0"/>
                                          <w:marTop w:val="0"/>
                                          <w:marBottom w:val="0"/>
                                          <w:divBdr>
                                            <w:top w:val="none" w:sz="0" w:space="0" w:color="auto"/>
                                            <w:left w:val="none" w:sz="0" w:space="0" w:color="auto"/>
                                            <w:bottom w:val="none" w:sz="0" w:space="0" w:color="auto"/>
                                            <w:right w:val="none" w:sz="0" w:space="0" w:color="auto"/>
                                          </w:divBdr>
                                          <w:divsChild>
                                            <w:div w:id="2126851544">
                                              <w:marLeft w:val="0"/>
                                              <w:marRight w:val="0"/>
                                              <w:marTop w:val="0"/>
                                              <w:marBottom w:val="0"/>
                                              <w:divBdr>
                                                <w:top w:val="none" w:sz="0" w:space="0" w:color="auto"/>
                                                <w:left w:val="none" w:sz="0" w:space="0" w:color="auto"/>
                                                <w:bottom w:val="none" w:sz="0" w:space="0" w:color="auto"/>
                                                <w:right w:val="none" w:sz="0" w:space="0" w:color="auto"/>
                                              </w:divBdr>
                                              <w:divsChild>
                                                <w:div w:id="440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606190">
      <w:bodyDiv w:val="1"/>
      <w:marLeft w:val="0"/>
      <w:marRight w:val="0"/>
      <w:marTop w:val="0"/>
      <w:marBottom w:val="0"/>
      <w:divBdr>
        <w:top w:val="none" w:sz="0" w:space="0" w:color="auto"/>
        <w:left w:val="none" w:sz="0" w:space="0" w:color="auto"/>
        <w:bottom w:val="none" w:sz="0" w:space="0" w:color="auto"/>
        <w:right w:val="none" w:sz="0" w:space="0" w:color="auto"/>
      </w:divBdr>
    </w:div>
    <w:div w:id="2045012986">
      <w:bodyDiv w:val="1"/>
      <w:marLeft w:val="0"/>
      <w:marRight w:val="0"/>
      <w:marTop w:val="0"/>
      <w:marBottom w:val="0"/>
      <w:divBdr>
        <w:top w:val="none" w:sz="0" w:space="0" w:color="auto"/>
        <w:left w:val="none" w:sz="0" w:space="0" w:color="auto"/>
        <w:bottom w:val="none" w:sz="0" w:space="0" w:color="auto"/>
        <w:right w:val="none" w:sz="0" w:space="0" w:color="auto"/>
      </w:divBdr>
      <w:divsChild>
        <w:div w:id="1885555704">
          <w:marLeft w:val="0"/>
          <w:marRight w:val="0"/>
          <w:marTop w:val="0"/>
          <w:marBottom w:val="0"/>
          <w:divBdr>
            <w:top w:val="none" w:sz="0" w:space="0" w:color="auto"/>
            <w:left w:val="none" w:sz="0" w:space="0" w:color="auto"/>
            <w:bottom w:val="none" w:sz="0" w:space="0" w:color="auto"/>
            <w:right w:val="none" w:sz="0" w:space="0" w:color="auto"/>
          </w:divBdr>
          <w:divsChild>
            <w:div w:id="1384980742">
              <w:marLeft w:val="0"/>
              <w:marRight w:val="0"/>
              <w:marTop w:val="0"/>
              <w:marBottom w:val="0"/>
              <w:divBdr>
                <w:top w:val="none" w:sz="0" w:space="0" w:color="auto"/>
                <w:left w:val="none" w:sz="0" w:space="0" w:color="auto"/>
                <w:bottom w:val="none" w:sz="0" w:space="0" w:color="auto"/>
                <w:right w:val="none" w:sz="0" w:space="0" w:color="auto"/>
              </w:divBdr>
              <w:divsChild>
                <w:div w:id="1411152503">
                  <w:marLeft w:val="0"/>
                  <w:marRight w:val="0"/>
                  <w:marTop w:val="0"/>
                  <w:marBottom w:val="0"/>
                  <w:divBdr>
                    <w:top w:val="none" w:sz="0" w:space="0" w:color="auto"/>
                    <w:left w:val="none" w:sz="0" w:space="0" w:color="auto"/>
                    <w:bottom w:val="none" w:sz="0" w:space="0" w:color="auto"/>
                    <w:right w:val="none" w:sz="0" w:space="0" w:color="auto"/>
                  </w:divBdr>
                  <w:divsChild>
                    <w:div w:id="670064462">
                      <w:marLeft w:val="0"/>
                      <w:marRight w:val="0"/>
                      <w:marTop w:val="0"/>
                      <w:marBottom w:val="0"/>
                      <w:divBdr>
                        <w:top w:val="none" w:sz="0" w:space="0" w:color="auto"/>
                        <w:left w:val="none" w:sz="0" w:space="0" w:color="auto"/>
                        <w:bottom w:val="none" w:sz="0" w:space="0" w:color="auto"/>
                        <w:right w:val="none" w:sz="0" w:space="0" w:color="auto"/>
                      </w:divBdr>
                      <w:divsChild>
                        <w:div w:id="359286683">
                          <w:marLeft w:val="0"/>
                          <w:marRight w:val="0"/>
                          <w:marTop w:val="0"/>
                          <w:marBottom w:val="0"/>
                          <w:divBdr>
                            <w:top w:val="none" w:sz="0" w:space="0" w:color="auto"/>
                            <w:left w:val="none" w:sz="0" w:space="0" w:color="auto"/>
                            <w:bottom w:val="none" w:sz="0" w:space="0" w:color="auto"/>
                            <w:right w:val="none" w:sz="0" w:space="0" w:color="auto"/>
                          </w:divBdr>
                          <w:divsChild>
                            <w:div w:id="1625843359">
                              <w:marLeft w:val="0"/>
                              <w:marRight w:val="0"/>
                              <w:marTop w:val="0"/>
                              <w:marBottom w:val="0"/>
                              <w:divBdr>
                                <w:top w:val="none" w:sz="0" w:space="0" w:color="auto"/>
                                <w:left w:val="none" w:sz="0" w:space="0" w:color="auto"/>
                                <w:bottom w:val="none" w:sz="0" w:space="0" w:color="auto"/>
                                <w:right w:val="none" w:sz="0" w:space="0" w:color="auto"/>
                              </w:divBdr>
                              <w:divsChild>
                                <w:div w:id="1440104158">
                                  <w:marLeft w:val="0"/>
                                  <w:marRight w:val="0"/>
                                  <w:marTop w:val="0"/>
                                  <w:marBottom w:val="0"/>
                                  <w:divBdr>
                                    <w:top w:val="none" w:sz="0" w:space="0" w:color="auto"/>
                                    <w:left w:val="none" w:sz="0" w:space="0" w:color="auto"/>
                                    <w:bottom w:val="none" w:sz="0" w:space="0" w:color="auto"/>
                                    <w:right w:val="none" w:sz="0" w:space="0" w:color="auto"/>
                                  </w:divBdr>
                                  <w:divsChild>
                                    <w:div w:id="1194076372">
                                      <w:marLeft w:val="0"/>
                                      <w:marRight w:val="0"/>
                                      <w:marTop w:val="0"/>
                                      <w:marBottom w:val="0"/>
                                      <w:divBdr>
                                        <w:top w:val="none" w:sz="0" w:space="0" w:color="auto"/>
                                        <w:left w:val="none" w:sz="0" w:space="0" w:color="auto"/>
                                        <w:bottom w:val="none" w:sz="0" w:space="0" w:color="auto"/>
                                        <w:right w:val="none" w:sz="0" w:space="0" w:color="auto"/>
                                      </w:divBdr>
                                      <w:divsChild>
                                        <w:div w:id="2046252347">
                                          <w:marLeft w:val="0"/>
                                          <w:marRight w:val="0"/>
                                          <w:marTop w:val="0"/>
                                          <w:marBottom w:val="0"/>
                                          <w:divBdr>
                                            <w:top w:val="none" w:sz="0" w:space="0" w:color="auto"/>
                                            <w:left w:val="none" w:sz="0" w:space="0" w:color="auto"/>
                                            <w:bottom w:val="none" w:sz="0" w:space="0" w:color="auto"/>
                                            <w:right w:val="none" w:sz="0" w:space="0" w:color="auto"/>
                                          </w:divBdr>
                                          <w:divsChild>
                                            <w:div w:id="758674583">
                                              <w:marLeft w:val="0"/>
                                              <w:marRight w:val="0"/>
                                              <w:marTop w:val="0"/>
                                              <w:marBottom w:val="0"/>
                                              <w:divBdr>
                                                <w:top w:val="none" w:sz="0" w:space="0" w:color="auto"/>
                                                <w:left w:val="none" w:sz="0" w:space="0" w:color="auto"/>
                                                <w:bottom w:val="none" w:sz="0" w:space="0" w:color="auto"/>
                                                <w:right w:val="none" w:sz="0" w:space="0" w:color="auto"/>
                                              </w:divBdr>
                                              <w:divsChild>
                                                <w:div w:id="495000632">
                                                  <w:marLeft w:val="0"/>
                                                  <w:marRight w:val="0"/>
                                                  <w:marTop w:val="0"/>
                                                  <w:marBottom w:val="0"/>
                                                  <w:divBdr>
                                                    <w:top w:val="none" w:sz="0" w:space="0" w:color="auto"/>
                                                    <w:left w:val="none" w:sz="0" w:space="0" w:color="auto"/>
                                                    <w:bottom w:val="none" w:sz="0" w:space="0" w:color="auto"/>
                                                    <w:right w:val="none" w:sz="0" w:space="0" w:color="auto"/>
                                                  </w:divBdr>
                                                  <w:divsChild>
                                                    <w:div w:id="238637413">
                                                      <w:marLeft w:val="0"/>
                                                      <w:marRight w:val="0"/>
                                                      <w:marTop w:val="0"/>
                                                      <w:marBottom w:val="0"/>
                                                      <w:divBdr>
                                                        <w:top w:val="none" w:sz="0" w:space="0" w:color="auto"/>
                                                        <w:left w:val="none" w:sz="0" w:space="0" w:color="auto"/>
                                                        <w:bottom w:val="none" w:sz="0" w:space="0" w:color="auto"/>
                                                        <w:right w:val="none" w:sz="0" w:space="0" w:color="auto"/>
                                                      </w:divBdr>
                                                      <w:divsChild>
                                                        <w:div w:id="19912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2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01757-2FB4-4638-97A6-FC2FBF01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2045</Words>
  <Characters>11658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Burford</dc:creator>
  <cp:lastModifiedBy>Brettargh, Julianne</cp:lastModifiedBy>
  <cp:revision>2</cp:revision>
  <cp:lastPrinted>2018-09-05T00:15:00Z</cp:lastPrinted>
  <dcterms:created xsi:type="dcterms:W3CDTF">2020-08-19T23:22:00Z</dcterms:created>
  <dcterms:modified xsi:type="dcterms:W3CDTF">2020-08-19T23:22:00Z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