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717AB4" w14:textId="41391F75" w:rsidR="004D51FA" w:rsidRPr="002C6D26" w:rsidRDefault="004D51FA" w:rsidP="00DF7DA0">
      <w:pPr>
        <w:pStyle w:val="Heading"/>
        <w:spacing w:after="240"/>
        <w:jc w:val="center"/>
        <w:rPr>
          <w:rFonts w:ascii="Times New Roman" w:hAnsi="Times New Roman"/>
          <w:sz w:val="24"/>
          <w:szCs w:val="24"/>
        </w:rPr>
      </w:pPr>
      <w:bookmarkStart w:id="0" w:name="_GoBack"/>
      <w:bookmarkEnd w:id="0"/>
      <w:r w:rsidRPr="004D51FA">
        <w:rPr>
          <w:rFonts w:ascii="Times New Roman" w:hAnsi="Times New Roman"/>
          <w:sz w:val="24"/>
          <w:szCs w:val="24"/>
        </w:rPr>
        <w:t xml:space="preserve">Banking, Insurance, Life Insurance and </w:t>
      </w:r>
      <w:r>
        <w:rPr>
          <w:rFonts w:ascii="Times New Roman" w:hAnsi="Times New Roman"/>
          <w:sz w:val="24"/>
          <w:szCs w:val="24"/>
        </w:rPr>
        <w:t>Superannuation</w:t>
      </w:r>
      <w:r w:rsidRPr="004D51FA">
        <w:rPr>
          <w:rFonts w:ascii="Times New Roman" w:hAnsi="Times New Roman"/>
          <w:sz w:val="24"/>
          <w:szCs w:val="24"/>
        </w:rPr>
        <w:t xml:space="preserve"> (prudential standard) determination </w:t>
      </w:r>
      <w:r w:rsidRPr="00163FA0">
        <w:rPr>
          <w:rFonts w:ascii="Times New Roman" w:hAnsi="Times New Roman"/>
          <w:sz w:val="24"/>
          <w:szCs w:val="24"/>
        </w:rPr>
        <w:t xml:space="preserve">No. </w:t>
      </w:r>
      <w:r w:rsidR="00163FA0" w:rsidRPr="00163FA0">
        <w:rPr>
          <w:rFonts w:ascii="Times New Roman" w:hAnsi="Times New Roman"/>
          <w:sz w:val="24"/>
          <w:szCs w:val="24"/>
        </w:rPr>
        <w:t>1</w:t>
      </w:r>
      <w:r w:rsidRPr="00163FA0">
        <w:rPr>
          <w:rFonts w:ascii="Times New Roman" w:hAnsi="Times New Roman"/>
          <w:sz w:val="24"/>
          <w:szCs w:val="24"/>
        </w:rPr>
        <w:t xml:space="preserve"> of 2020</w:t>
      </w:r>
    </w:p>
    <w:p w14:paraId="070AD857" w14:textId="77777777" w:rsidR="002436BD" w:rsidRPr="002C6D26" w:rsidRDefault="002436BD" w:rsidP="00DF7DA0">
      <w:pPr>
        <w:pStyle w:val="Heading"/>
        <w:tabs>
          <w:tab w:val="left" w:pos="360"/>
        </w:tabs>
        <w:spacing w:after="240"/>
        <w:jc w:val="center"/>
        <w:rPr>
          <w:rFonts w:ascii="Times New Roman" w:hAnsi="Times New Roman"/>
          <w:sz w:val="24"/>
          <w:szCs w:val="24"/>
          <w:u w:val="single"/>
        </w:rPr>
      </w:pPr>
      <w:bookmarkStart w:id="1" w:name="bkInstrumentSubTitle"/>
      <w:bookmarkEnd w:id="1"/>
      <w:r w:rsidRPr="002C6D26">
        <w:rPr>
          <w:rFonts w:ascii="Times New Roman" w:hAnsi="Times New Roman"/>
          <w:sz w:val="24"/>
          <w:szCs w:val="24"/>
          <w:u w:val="single"/>
        </w:rPr>
        <w:t>EXPLANATORY STATEMENT</w:t>
      </w:r>
    </w:p>
    <w:p w14:paraId="461A28DE" w14:textId="77777777" w:rsidR="002436BD" w:rsidRPr="002C6D26" w:rsidRDefault="002436BD" w:rsidP="00DF7DA0">
      <w:pPr>
        <w:pStyle w:val="Heading"/>
        <w:spacing w:after="240"/>
        <w:jc w:val="center"/>
        <w:rPr>
          <w:rFonts w:ascii="Times New Roman" w:hAnsi="Times New Roman"/>
          <w:sz w:val="24"/>
          <w:szCs w:val="24"/>
        </w:rPr>
      </w:pPr>
      <w:r w:rsidRPr="002C6D26">
        <w:rPr>
          <w:rFonts w:ascii="Times New Roman" w:hAnsi="Times New Roman"/>
          <w:sz w:val="24"/>
          <w:szCs w:val="24"/>
        </w:rPr>
        <w:t>Prepared by the Australian Prudential Regulation Authority (APRA)</w:t>
      </w:r>
    </w:p>
    <w:p w14:paraId="749EAD61" w14:textId="77777777" w:rsidR="002436BD" w:rsidRDefault="002436BD" w:rsidP="00DF7DA0">
      <w:pPr>
        <w:pStyle w:val="Heading"/>
        <w:tabs>
          <w:tab w:val="left" w:pos="360"/>
        </w:tabs>
        <w:spacing w:after="240"/>
        <w:jc w:val="center"/>
        <w:rPr>
          <w:rFonts w:ascii="Times New Roman" w:hAnsi="Times New Roman"/>
          <w:b w:val="0"/>
          <w:color w:val="000000"/>
          <w:sz w:val="24"/>
          <w:szCs w:val="24"/>
        </w:rPr>
      </w:pPr>
      <w:r w:rsidRPr="002C6D26">
        <w:rPr>
          <w:rFonts w:ascii="Times New Roman" w:hAnsi="Times New Roman"/>
          <w:b w:val="0"/>
          <w:i/>
          <w:sz w:val="24"/>
          <w:szCs w:val="24"/>
        </w:rPr>
        <w:t>Banking Act 1959</w:t>
      </w:r>
      <w:r w:rsidRPr="002C6D26">
        <w:rPr>
          <w:rFonts w:ascii="Times New Roman" w:hAnsi="Times New Roman"/>
          <w:b w:val="0"/>
          <w:sz w:val="24"/>
          <w:szCs w:val="24"/>
        </w:rPr>
        <w:t xml:space="preserve">, </w:t>
      </w:r>
      <w:r w:rsidRPr="002C6D26">
        <w:rPr>
          <w:rFonts w:ascii="Times New Roman" w:hAnsi="Times New Roman"/>
          <w:b w:val="0"/>
          <w:color w:val="000000"/>
          <w:sz w:val="24"/>
          <w:szCs w:val="24"/>
        </w:rPr>
        <w:t>section 11AF</w:t>
      </w:r>
    </w:p>
    <w:p w14:paraId="37C1635F" w14:textId="62C14BC3" w:rsidR="003B385B" w:rsidRDefault="003B385B" w:rsidP="00DF7DA0">
      <w:pPr>
        <w:pStyle w:val="Heading"/>
        <w:tabs>
          <w:tab w:val="left" w:pos="360"/>
        </w:tabs>
        <w:spacing w:after="240"/>
        <w:jc w:val="center"/>
        <w:rPr>
          <w:rFonts w:ascii="Times New Roman" w:hAnsi="Times New Roman"/>
          <w:b w:val="0"/>
          <w:color w:val="000000"/>
          <w:sz w:val="24"/>
          <w:szCs w:val="24"/>
        </w:rPr>
      </w:pPr>
      <w:r w:rsidRPr="003B385B">
        <w:rPr>
          <w:rFonts w:ascii="Times New Roman" w:hAnsi="Times New Roman"/>
          <w:b w:val="0"/>
          <w:i/>
          <w:color w:val="000000"/>
          <w:sz w:val="24"/>
          <w:szCs w:val="24"/>
        </w:rPr>
        <w:t>Insurance Act 1973</w:t>
      </w:r>
      <w:r>
        <w:rPr>
          <w:rFonts w:ascii="Times New Roman" w:hAnsi="Times New Roman"/>
          <w:b w:val="0"/>
          <w:color w:val="000000"/>
          <w:sz w:val="24"/>
          <w:szCs w:val="24"/>
        </w:rPr>
        <w:t>, section 32</w:t>
      </w:r>
    </w:p>
    <w:p w14:paraId="110E0ACE" w14:textId="6EED2776" w:rsidR="003B385B" w:rsidRDefault="003B385B" w:rsidP="00DF7DA0">
      <w:pPr>
        <w:pStyle w:val="Heading"/>
        <w:tabs>
          <w:tab w:val="left" w:pos="360"/>
        </w:tabs>
        <w:spacing w:after="240"/>
        <w:jc w:val="center"/>
        <w:rPr>
          <w:rFonts w:ascii="Times New Roman" w:hAnsi="Times New Roman"/>
          <w:b w:val="0"/>
          <w:color w:val="000000"/>
          <w:sz w:val="24"/>
          <w:szCs w:val="24"/>
        </w:rPr>
      </w:pPr>
      <w:r w:rsidRPr="003B385B">
        <w:rPr>
          <w:rFonts w:ascii="Times New Roman" w:hAnsi="Times New Roman"/>
          <w:b w:val="0"/>
          <w:i/>
          <w:color w:val="000000"/>
          <w:sz w:val="24"/>
          <w:szCs w:val="24"/>
        </w:rPr>
        <w:t>Life Insurance Act 1995</w:t>
      </w:r>
      <w:r>
        <w:rPr>
          <w:rFonts w:ascii="Times New Roman" w:hAnsi="Times New Roman"/>
          <w:b w:val="0"/>
          <w:color w:val="000000"/>
          <w:sz w:val="24"/>
          <w:szCs w:val="24"/>
        </w:rPr>
        <w:t>, section 230A</w:t>
      </w:r>
    </w:p>
    <w:p w14:paraId="2C846A42" w14:textId="1B0FD0A2" w:rsidR="003B385B" w:rsidRPr="002C6D26" w:rsidRDefault="003B385B" w:rsidP="00DF7DA0">
      <w:pPr>
        <w:pStyle w:val="Heading"/>
        <w:tabs>
          <w:tab w:val="left" w:pos="360"/>
        </w:tabs>
        <w:spacing w:after="240"/>
        <w:jc w:val="center"/>
        <w:rPr>
          <w:rFonts w:ascii="Times New Roman" w:hAnsi="Times New Roman"/>
          <w:b w:val="0"/>
          <w:sz w:val="24"/>
          <w:szCs w:val="24"/>
        </w:rPr>
      </w:pPr>
      <w:r w:rsidRPr="003B385B">
        <w:rPr>
          <w:rFonts w:ascii="Times New Roman" w:hAnsi="Times New Roman"/>
          <w:b w:val="0"/>
          <w:i/>
          <w:color w:val="000000"/>
          <w:sz w:val="24"/>
          <w:szCs w:val="24"/>
        </w:rPr>
        <w:t>Superannuation Industry (Supervision) Act 1993</w:t>
      </w:r>
      <w:r>
        <w:rPr>
          <w:rFonts w:ascii="Times New Roman" w:hAnsi="Times New Roman"/>
          <w:b w:val="0"/>
          <w:color w:val="000000"/>
          <w:sz w:val="24"/>
          <w:szCs w:val="24"/>
        </w:rPr>
        <w:t>, section 34C</w:t>
      </w:r>
    </w:p>
    <w:p w14:paraId="48C38695" w14:textId="23677E4C" w:rsidR="003B385B" w:rsidRDefault="003B385B" w:rsidP="00DF7DA0">
      <w:pPr>
        <w:widowControl w:val="0"/>
        <w:spacing w:after="240"/>
        <w:jc w:val="both"/>
        <w:rPr>
          <w:rFonts w:ascii="Times New Roman" w:hAnsi="Times New Roman"/>
          <w:sz w:val="24"/>
          <w:szCs w:val="24"/>
        </w:rPr>
      </w:pPr>
      <w:bookmarkStart w:id="2" w:name="bkAct"/>
      <w:bookmarkStart w:id="3" w:name="bkExplanatory"/>
      <w:bookmarkEnd w:id="2"/>
      <w:bookmarkEnd w:id="3"/>
      <w:r>
        <w:rPr>
          <w:rFonts w:ascii="Times New Roman" w:hAnsi="Times New Roman"/>
          <w:sz w:val="24"/>
          <w:szCs w:val="24"/>
        </w:rPr>
        <w:t>APRA may, in writing, determine a prudential standard that applies to an APRA-regulated institution under:</w:t>
      </w:r>
    </w:p>
    <w:p w14:paraId="066E4F30" w14:textId="45BCAD1C" w:rsidR="002436BD" w:rsidRDefault="002436BD" w:rsidP="00DF7DA0">
      <w:pPr>
        <w:pStyle w:val="ListParagraph"/>
        <w:widowControl w:val="0"/>
        <w:numPr>
          <w:ilvl w:val="0"/>
          <w:numId w:val="13"/>
        </w:numPr>
        <w:spacing w:after="240"/>
        <w:jc w:val="both"/>
        <w:rPr>
          <w:rFonts w:ascii="Times New Roman" w:hAnsi="Times New Roman"/>
          <w:sz w:val="24"/>
          <w:szCs w:val="24"/>
        </w:rPr>
      </w:pPr>
      <w:r w:rsidRPr="003B385B">
        <w:rPr>
          <w:rFonts w:ascii="Times New Roman" w:hAnsi="Times New Roman"/>
          <w:sz w:val="24"/>
          <w:szCs w:val="24"/>
        </w:rPr>
        <w:t xml:space="preserve">subsection 11AF(1) of the </w:t>
      </w:r>
      <w:r w:rsidRPr="003B385B">
        <w:rPr>
          <w:rFonts w:ascii="Times New Roman" w:hAnsi="Times New Roman"/>
          <w:i/>
          <w:sz w:val="24"/>
          <w:szCs w:val="24"/>
        </w:rPr>
        <w:t>Banking Act 1959</w:t>
      </w:r>
      <w:r w:rsidRPr="003B385B">
        <w:rPr>
          <w:rFonts w:ascii="Times New Roman" w:hAnsi="Times New Roman"/>
          <w:sz w:val="24"/>
          <w:szCs w:val="24"/>
        </w:rPr>
        <w:t xml:space="preserve"> (</w:t>
      </w:r>
      <w:r w:rsidR="003B385B">
        <w:rPr>
          <w:rFonts w:ascii="Times New Roman" w:hAnsi="Times New Roman"/>
          <w:sz w:val="24"/>
          <w:szCs w:val="24"/>
        </w:rPr>
        <w:t>Banking</w:t>
      </w:r>
      <w:r w:rsidRPr="003B385B">
        <w:rPr>
          <w:rFonts w:ascii="Times New Roman" w:hAnsi="Times New Roman"/>
          <w:sz w:val="24"/>
          <w:szCs w:val="24"/>
        </w:rPr>
        <w:t xml:space="preserve"> Act), </w:t>
      </w:r>
      <w:r w:rsidR="00564B46">
        <w:rPr>
          <w:rFonts w:ascii="Times New Roman" w:hAnsi="Times New Roman"/>
          <w:sz w:val="24"/>
          <w:szCs w:val="24"/>
        </w:rPr>
        <w:t xml:space="preserve">in relation to </w:t>
      </w:r>
      <w:r w:rsidRPr="003B385B">
        <w:rPr>
          <w:rFonts w:ascii="Times New Roman" w:hAnsi="Times New Roman"/>
          <w:sz w:val="24"/>
          <w:szCs w:val="24"/>
        </w:rPr>
        <w:t xml:space="preserve">authorised deposit-taking institutions (ADIs) and authorised non-operating holding companies </w:t>
      </w:r>
      <w:r w:rsidR="00564B46">
        <w:rPr>
          <w:rFonts w:ascii="Times New Roman" w:hAnsi="Times New Roman"/>
          <w:sz w:val="24"/>
          <w:szCs w:val="24"/>
        </w:rPr>
        <w:t>(authorised NOHCs);</w:t>
      </w:r>
    </w:p>
    <w:p w14:paraId="7249DF9D" w14:textId="5897C830" w:rsidR="00564B46" w:rsidRDefault="00564B46" w:rsidP="00DF7DA0">
      <w:pPr>
        <w:pStyle w:val="ListParagraph"/>
        <w:widowControl w:val="0"/>
        <w:numPr>
          <w:ilvl w:val="0"/>
          <w:numId w:val="13"/>
        </w:numPr>
        <w:spacing w:after="240"/>
        <w:jc w:val="both"/>
        <w:rPr>
          <w:rFonts w:ascii="Times New Roman" w:hAnsi="Times New Roman"/>
          <w:sz w:val="24"/>
          <w:szCs w:val="24"/>
        </w:rPr>
      </w:pPr>
      <w:r>
        <w:rPr>
          <w:rFonts w:ascii="Times New Roman" w:hAnsi="Times New Roman"/>
          <w:sz w:val="24"/>
          <w:szCs w:val="24"/>
        </w:rPr>
        <w:t xml:space="preserve">subsection 32(1) of the </w:t>
      </w:r>
      <w:r w:rsidRPr="00564B46">
        <w:rPr>
          <w:rFonts w:ascii="Times New Roman" w:hAnsi="Times New Roman"/>
          <w:i/>
          <w:sz w:val="24"/>
          <w:szCs w:val="24"/>
        </w:rPr>
        <w:t>Insurance Act 1973</w:t>
      </w:r>
      <w:r>
        <w:rPr>
          <w:rFonts w:ascii="Times New Roman" w:hAnsi="Times New Roman"/>
          <w:sz w:val="24"/>
          <w:szCs w:val="24"/>
        </w:rPr>
        <w:t xml:space="preserve"> (Insurance Act), in relation to general insurers and authorised non-operating holding companies (authorised insurance NOHCs);</w:t>
      </w:r>
    </w:p>
    <w:p w14:paraId="44A066E2" w14:textId="785CC763" w:rsidR="00564B46" w:rsidRDefault="00564B46" w:rsidP="00DF7DA0">
      <w:pPr>
        <w:pStyle w:val="ListParagraph"/>
        <w:widowControl w:val="0"/>
        <w:numPr>
          <w:ilvl w:val="0"/>
          <w:numId w:val="13"/>
        </w:numPr>
        <w:spacing w:after="240"/>
        <w:jc w:val="both"/>
        <w:rPr>
          <w:rFonts w:ascii="Times New Roman" w:hAnsi="Times New Roman"/>
          <w:sz w:val="24"/>
          <w:szCs w:val="24"/>
        </w:rPr>
      </w:pPr>
      <w:r>
        <w:rPr>
          <w:rFonts w:ascii="Times New Roman" w:hAnsi="Times New Roman"/>
          <w:sz w:val="24"/>
          <w:szCs w:val="24"/>
        </w:rPr>
        <w:t xml:space="preserve">subsection 230A(1) of the </w:t>
      </w:r>
      <w:r w:rsidRPr="00564B46">
        <w:rPr>
          <w:rFonts w:ascii="Times New Roman" w:hAnsi="Times New Roman"/>
          <w:i/>
          <w:sz w:val="24"/>
          <w:szCs w:val="24"/>
        </w:rPr>
        <w:t>Life Insurance Act 1995</w:t>
      </w:r>
      <w:r>
        <w:rPr>
          <w:rFonts w:ascii="Times New Roman" w:hAnsi="Times New Roman"/>
          <w:sz w:val="24"/>
          <w:szCs w:val="24"/>
        </w:rPr>
        <w:t xml:space="preserve"> (Life Insurance Act), in relation to life companies (including friendly societies) and registered non-operating holding companies (registered life NOHCs); and</w:t>
      </w:r>
    </w:p>
    <w:p w14:paraId="42314CD1" w14:textId="446083FD" w:rsidR="00564B46" w:rsidRPr="003B385B" w:rsidRDefault="007624D6" w:rsidP="00DF7DA0">
      <w:pPr>
        <w:pStyle w:val="ListParagraph"/>
        <w:widowControl w:val="0"/>
        <w:numPr>
          <w:ilvl w:val="0"/>
          <w:numId w:val="13"/>
        </w:numPr>
        <w:spacing w:after="240"/>
        <w:jc w:val="both"/>
        <w:rPr>
          <w:rFonts w:ascii="Times New Roman" w:hAnsi="Times New Roman"/>
          <w:sz w:val="24"/>
          <w:szCs w:val="24"/>
        </w:rPr>
      </w:pPr>
      <w:r>
        <w:rPr>
          <w:rFonts w:ascii="Times New Roman" w:hAnsi="Times New Roman"/>
          <w:sz w:val="24"/>
          <w:szCs w:val="24"/>
        </w:rPr>
        <w:t>subsection 34C(1)</w:t>
      </w:r>
      <w:r w:rsidR="00564B46">
        <w:rPr>
          <w:rFonts w:ascii="Times New Roman" w:hAnsi="Times New Roman"/>
          <w:sz w:val="24"/>
          <w:szCs w:val="24"/>
        </w:rPr>
        <w:t xml:space="preserve"> of the </w:t>
      </w:r>
      <w:r w:rsidR="00564B46" w:rsidRPr="00564B46">
        <w:rPr>
          <w:rFonts w:ascii="Times New Roman" w:hAnsi="Times New Roman"/>
          <w:i/>
          <w:sz w:val="24"/>
          <w:szCs w:val="24"/>
        </w:rPr>
        <w:t>Superannuation Industry (Supervision) Act 1993</w:t>
      </w:r>
      <w:r w:rsidR="00564B46">
        <w:rPr>
          <w:rFonts w:ascii="Times New Roman" w:hAnsi="Times New Roman"/>
          <w:sz w:val="24"/>
          <w:szCs w:val="24"/>
        </w:rPr>
        <w:t xml:space="preserve"> (SIS Act), in relation to Registered Superannuation Entity Licensees (RSELs).</w:t>
      </w:r>
    </w:p>
    <w:p w14:paraId="7E60D848" w14:textId="1234E809" w:rsidR="00C30E88" w:rsidRDefault="00C30E88" w:rsidP="00DF7DA0">
      <w:pPr>
        <w:widowControl w:val="0"/>
        <w:spacing w:after="240"/>
        <w:jc w:val="both"/>
        <w:rPr>
          <w:rFonts w:ascii="Times New Roman" w:hAnsi="Times New Roman"/>
          <w:sz w:val="24"/>
          <w:szCs w:val="24"/>
        </w:rPr>
      </w:pPr>
      <w:r>
        <w:rPr>
          <w:rFonts w:ascii="Times New Roman" w:hAnsi="Times New Roman"/>
          <w:sz w:val="24"/>
          <w:szCs w:val="24"/>
        </w:rPr>
        <w:t>APRA may, in writing, vary or revoke a prudential standard that applies to an APRA-regulated institution under:</w:t>
      </w:r>
    </w:p>
    <w:p w14:paraId="3138B267" w14:textId="262B7F0F" w:rsidR="00C30E88" w:rsidRDefault="00C30E88" w:rsidP="007624D6">
      <w:pPr>
        <w:pStyle w:val="ListParagraph"/>
        <w:widowControl w:val="0"/>
        <w:numPr>
          <w:ilvl w:val="0"/>
          <w:numId w:val="14"/>
        </w:numPr>
        <w:spacing w:after="240"/>
        <w:jc w:val="both"/>
        <w:rPr>
          <w:rFonts w:ascii="Times New Roman" w:hAnsi="Times New Roman"/>
          <w:sz w:val="24"/>
          <w:szCs w:val="24"/>
        </w:rPr>
      </w:pPr>
      <w:r w:rsidRPr="003B385B">
        <w:rPr>
          <w:rFonts w:ascii="Times New Roman" w:hAnsi="Times New Roman"/>
          <w:sz w:val="24"/>
          <w:szCs w:val="24"/>
        </w:rPr>
        <w:t>subsection 11AF(</w:t>
      </w:r>
      <w:r w:rsidR="007624D6">
        <w:rPr>
          <w:rFonts w:ascii="Times New Roman" w:hAnsi="Times New Roman"/>
          <w:sz w:val="24"/>
          <w:szCs w:val="24"/>
        </w:rPr>
        <w:t>3</w:t>
      </w:r>
      <w:r w:rsidRPr="003B385B">
        <w:rPr>
          <w:rFonts w:ascii="Times New Roman" w:hAnsi="Times New Roman"/>
          <w:sz w:val="24"/>
          <w:szCs w:val="24"/>
        </w:rPr>
        <w:t xml:space="preserve">) </w:t>
      </w:r>
      <w:r>
        <w:rPr>
          <w:rFonts w:ascii="Times New Roman" w:hAnsi="Times New Roman"/>
          <w:sz w:val="24"/>
          <w:szCs w:val="24"/>
        </w:rPr>
        <w:t>Banking</w:t>
      </w:r>
      <w:r w:rsidRPr="003B385B">
        <w:rPr>
          <w:rFonts w:ascii="Times New Roman" w:hAnsi="Times New Roman"/>
          <w:sz w:val="24"/>
          <w:szCs w:val="24"/>
        </w:rPr>
        <w:t xml:space="preserve"> Act, </w:t>
      </w:r>
      <w:r>
        <w:rPr>
          <w:rFonts w:ascii="Times New Roman" w:hAnsi="Times New Roman"/>
          <w:sz w:val="24"/>
          <w:szCs w:val="24"/>
        </w:rPr>
        <w:t xml:space="preserve">in relation to </w:t>
      </w:r>
      <w:r w:rsidR="007624D6">
        <w:rPr>
          <w:rFonts w:ascii="Times New Roman" w:hAnsi="Times New Roman"/>
          <w:sz w:val="24"/>
          <w:szCs w:val="24"/>
        </w:rPr>
        <w:t>ADIs</w:t>
      </w:r>
      <w:r w:rsidRPr="003B385B">
        <w:rPr>
          <w:rFonts w:ascii="Times New Roman" w:hAnsi="Times New Roman"/>
          <w:sz w:val="24"/>
          <w:szCs w:val="24"/>
        </w:rPr>
        <w:t xml:space="preserve"> and </w:t>
      </w:r>
      <w:r w:rsidR="007624D6">
        <w:rPr>
          <w:rFonts w:ascii="Times New Roman" w:hAnsi="Times New Roman"/>
          <w:sz w:val="24"/>
          <w:szCs w:val="24"/>
        </w:rPr>
        <w:t>authorised NOHCs</w:t>
      </w:r>
      <w:r>
        <w:rPr>
          <w:rFonts w:ascii="Times New Roman" w:hAnsi="Times New Roman"/>
          <w:sz w:val="24"/>
          <w:szCs w:val="24"/>
        </w:rPr>
        <w:t>;</w:t>
      </w:r>
    </w:p>
    <w:p w14:paraId="6720DD87" w14:textId="0DAA7A3B" w:rsidR="00C30E88" w:rsidRDefault="007624D6" w:rsidP="007624D6">
      <w:pPr>
        <w:pStyle w:val="ListParagraph"/>
        <w:widowControl w:val="0"/>
        <w:numPr>
          <w:ilvl w:val="0"/>
          <w:numId w:val="14"/>
        </w:numPr>
        <w:spacing w:after="240"/>
        <w:jc w:val="both"/>
        <w:rPr>
          <w:rFonts w:ascii="Times New Roman" w:hAnsi="Times New Roman"/>
          <w:sz w:val="24"/>
          <w:szCs w:val="24"/>
        </w:rPr>
      </w:pPr>
      <w:r>
        <w:rPr>
          <w:rFonts w:ascii="Times New Roman" w:hAnsi="Times New Roman"/>
          <w:sz w:val="24"/>
          <w:szCs w:val="24"/>
        </w:rPr>
        <w:t>subsection 32(4</w:t>
      </w:r>
      <w:r w:rsidR="00C30E88">
        <w:rPr>
          <w:rFonts w:ascii="Times New Roman" w:hAnsi="Times New Roman"/>
          <w:sz w:val="24"/>
          <w:szCs w:val="24"/>
        </w:rPr>
        <w:t xml:space="preserve">) of the </w:t>
      </w:r>
      <w:r>
        <w:rPr>
          <w:rFonts w:ascii="Times New Roman" w:hAnsi="Times New Roman"/>
          <w:sz w:val="24"/>
          <w:szCs w:val="24"/>
        </w:rPr>
        <w:t>Insurance Act</w:t>
      </w:r>
      <w:r w:rsidR="00C30E88">
        <w:rPr>
          <w:rFonts w:ascii="Times New Roman" w:hAnsi="Times New Roman"/>
          <w:sz w:val="24"/>
          <w:szCs w:val="24"/>
        </w:rPr>
        <w:t xml:space="preserve">, in relation to general insurers and </w:t>
      </w:r>
      <w:r>
        <w:rPr>
          <w:rFonts w:ascii="Times New Roman" w:hAnsi="Times New Roman"/>
          <w:sz w:val="24"/>
          <w:szCs w:val="24"/>
        </w:rPr>
        <w:t>authorised insurance NOHCs</w:t>
      </w:r>
      <w:r w:rsidR="00C30E88">
        <w:rPr>
          <w:rFonts w:ascii="Times New Roman" w:hAnsi="Times New Roman"/>
          <w:sz w:val="24"/>
          <w:szCs w:val="24"/>
        </w:rPr>
        <w:t>;</w:t>
      </w:r>
    </w:p>
    <w:p w14:paraId="72DF6226" w14:textId="6CA37229" w:rsidR="00C30E88" w:rsidRDefault="007624D6" w:rsidP="007624D6">
      <w:pPr>
        <w:pStyle w:val="ListParagraph"/>
        <w:widowControl w:val="0"/>
        <w:numPr>
          <w:ilvl w:val="0"/>
          <w:numId w:val="14"/>
        </w:numPr>
        <w:spacing w:after="240"/>
        <w:jc w:val="both"/>
        <w:rPr>
          <w:rFonts w:ascii="Times New Roman" w:hAnsi="Times New Roman"/>
          <w:sz w:val="24"/>
          <w:szCs w:val="24"/>
        </w:rPr>
      </w:pPr>
      <w:r>
        <w:rPr>
          <w:rFonts w:ascii="Times New Roman" w:hAnsi="Times New Roman"/>
          <w:sz w:val="24"/>
          <w:szCs w:val="24"/>
        </w:rPr>
        <w:t>subsection 230A(5</w:t>
      </w:r>
      <w:r w:rsidR="00C30E88">
        <w:rPr>
          <w:rFonts w:ascii="Times New Roman" w:hAnsi="Times New Roman"/>
          <w:sz w:val="24"/>
          <w:szCs w:val="24"/>
        </w:rPr>
        <w:t xml:space="preserve">) of the </w:t>
      </w:r>
      <w:r>
        <w:rPr>
          <w:rFonts w:ascii="Times New Roman" w:hAnsi="Times New Roman"/>
          <w:sz w:val="24"/>
          <w:szCs w:val="24"/>
        </w:rPr>
        <w:t>Life Insurance Act</w:t>
      </w:r>
      <w:r w:rsidR="00C30E88">
        <w:rPr>
          <w:rFonts w:ascii="Times New Roman" w:hAnsi="Times New Roman"/>
          <w:sz w:val="24"/>
          <w:szCs w:val="24"/>
        </w:rPr>
        <w:t xml:space="preserve">, in relation to life companies (including friendly societies) and </w:t>
      </w:r>
      <w:r>
        <w:rPr>
          <w:rFonts w:ascii="Times New Roman" w:hAnsi="Times New Roman"/>
          <w:sz w:val="24"/>
          <w:szCs w:val="24"/>
        </w:rPr>
        <w:t>registered life NOHCs</w:t>
      </w:r>
      <w:r w:rsidR="00C30E88">
        <w:rPr>
          <w:rFonts w:ascii="Times New Roman" w:hAnsi="Times New Roman"/>
          <w:sz w:val="24"/>
          <w:szCs w:val="24"/>
        </w:rPr>
        <w:t>; and</w:t>
      </w:r>
    </w:p>
    <w:p w14:paraId="7EC55166" w14:textId="280657B2" w:rsidR="00C30E88" w:rsidRPr="003B385B" w:rsidRDefault="007624D6" w:rsidP="007624D6">
      <w:pPr>
        <w:pStyle w:val="ListParagraph"/>
        <w:widowControl w:val="0"/>
        <w:numPr>
          <w:ilvl w:val="0"/>
          <w:numId w:val="14"/>
        </w:numPr>
        <w:spacing w:after="240"/>
        <w:jc w:val="both"/>
        <w:rPr>
          <w:rFonts w:ascii="Times New Roman" w:hAnsi="Times New Roman"/>
          <w:sz w:val="24"/>
          <w:szCs w:val="24"/>
        </w:rPr>
      </w:pPr>
      <w:r>
        <w:rPr>
          <w:rFonts w:ascii="Times New Roman" w:hAnsi="Times New Roman"/>
          <w:sz w:val="24"/>
          <w:szCs w:val="24"/>
        </w:rPr>
        <w:t>subsection 34C(6</w:t>
      </w:r>
      <w:r w:rsidR="00C30E88">
        <w:rPr>
          <w:rFonts w:ascii="Times New Roman" w:hAnsi="Times New Roman"/>
          <w:sz w:val="24"/>
          <w:szCs w:val="24"/>
        </w:rPr>
        <w:t xml:space="preserve">) of the </w:t>
      </w:r>
      <w:r>
        <w:rPr>
          <w:rFonts w:ascii="Times New Roman" w:hAnsi="Times New Roman"/>
          <w:sz w:val="24"/>
          <w:szCs w:val="24"/>
        </w:rPr>
        <w:t>SIS Act</w:t>
      </w:r>
      <w:r w:rsidR="00C30E88">
        <w:rPr>
          <w:rFonts w:ascii="Times New Roman" w:hAnsi="Times New Roman"/>
          <w:sz w:val="24"/>
          <w:szCs w:val="24"/>
        </w:rPr>
        <w:t xml:space="preserve">, in relation to </w:t>
      </w:r>
      <w:r>
        <w:rPr>
          <w:rFonts w:ascii="Times New Roman" w:hAnsi="Times New Roman"/>
          <w:sz w:val="24"/>
          <w:szCs w:val="24"/>
        </w:rPr>
        <w:t>RSELs</w:t>
      </w:r>
      <w:r w:rsidR="00C30E88">
        <w:rPr>
          <w:rFonts w:ascii="Times New Roman" w:hAnsi="Times New Roman"/>
          <w:sz w:val="24"/>
          <w:szCs w:val="24"/>
        </w:rPr>
        <w:t>.</w:t>
      </w:r>
    </w:p>
    <w:p w14:paraId="15A5119B" w14:textId="5E829A08" w:rsidR="00155C7D" w:rsidRDefault="002436BD" w:rsidP="006D0EF5">
      <w:pPr>
        <w:spacing w:after="240"/>
        <w:jc w:val="both"/>
        <w:rPr>
          <w:rFonts w:ascii="Times New Roman" w:hAnsi="Times New Roman"/>
          <w:i/>
          <w:sz w:val="24"/>
          <w:szCs w:val="24"/>
        </w:rPr>
      </w:pPr>
      <w:r>
        <w:rPr>
          <w:rFonts w:ascii="Times New Roman" w:hAnsi="Times New Roman"/>
          <w:sz w:val="24"/>
          <w:szCs w:val="24"/>
        </w:rPr>
        <w:t xml:space="preserve">On </w:t>
      </w:r>
      <w:r w:rsidR="00B16685">
        <w:rPr>
          <w:rFonts w:ascii="Times New Roman" w:hAnsi="Times New Roman"/>
          <w:sz w:val="24"/>
          <w:szCs w:val="24"/>
        </w:rPr>
        <w:t xml:space="preserve">25 </w:t>
      </w:r>
      <w:r w:rsidR="00155C7D" w:rsidRPr="00163FA0">
        <w:rPr>
          <w:rFonts w:ascii="Times New Roman" w:hAnsi="Times New Roman"/>
          <w:sz w:val="24"/>
          <w:szCs w:val="24"/>
        </w:rPr>
        <w:t>August</w:t>
      </w:r>
      <w:r w:rsidR="007624D6" w:rsidRPr="007624D6">
        <w:rPr>
          <w:rFonts w:ascii="Times New Roman" w:hAnsi="Times New Roman"/>
          <w:sz w:val="24"/>
          <w:szCs w:val="24"/>
        </w:rPr>
        <w:t xml:space="preserve"> </w:t>
      </w:r>
      <w:r w:rsidR="00AA530F" w:rsidRPr="007624D6">
        <w:rPr>
          <w:rFonts w:ascii="Times New Roman" w:hAnsi="Times New Roman"/>
          <w:sz w:val="24"/>
          <w:szCs w:val="24"/>
        </w:rPr>
        <w:t>2020</w:t>
      </w:r>
      <w:r w:rsidRPr="007624D6">
        <w:rPr>
          <w:rFonts w:ascii="Times New Roman" w:hAnsi="Times New Roman"/>
          <w:sz w:val="24"/>
          <w:szCs w:val="24"/>
        </w:rPr>
        <w:t>, APRA made</w:t>
      </w:r>
      <w:r w:rsidR="00155C7D">
        <w:rPr>
          <w:rFonts w:ascii="Times New Roman" w:hAnsi="Times New Roman"/>
          <w:sz w:val="24"/>
          <w:szCs w:val="24"/>
        </w:rPr>
        <w:t xml:space="preserve"> Banking, Insurance, Life Insurance and Superannuation (prudential standard) determination </w:t>
      </w:r>
      <w:r w:rsidR="00155C7D" w:rsidRPr="00163FA0">
        <w:rPr>
          <w:rFonts w:ascii="Times New Roman" w:hAnsi="Times New Roman"/>
          <w:sz w:val="24"/>
          <w:szCs w:val="24"/>
        </w:rPr>
        <w:t xml:space="preserve">No </w:t>
      </w:r>
      <w:r w:rsidR="00163FA0" w:rsidRPr="00163FA0">
        <w:rPr>
          <w:rFonts w:ascii="Times New Roman" w:hAnsi="Times New Roman"/>
          <w:sz w:val="24"/>
          <w:szCs w:val="24"/>
        </w:rPr>
        <w:t>1</w:t>
      </w:r>
      <w:r w:rsidR="00155C7D" w:rsidRPr="00163FA0">
        <w:rPr>
          <w:rFonts w:ascii="Times New Roman" w:hAnsi="Times New Roman"/>
          <w:sz w:val="24"/>
          <w:szCs w:val="24"/>
        </w:rPr>
        <w:t xml:space="preserve"> of 2020</w:t>
      </w:r>
      <w:r w:rsidR="00340D2E">
        <w:rPr>
          <w:rFonts w:ascii="Times New Roman" w:hAnsi="Times New Roman"/>
          <w:sz w:val="24"/>
          <w:szCs w:val="24"/>
        </w:rPr>
        <w:t xml:space="preserve"> (the instrument)</w:t>
      </w:r>
      <w:r w:rsidR="00155C7D">
        <w:rPr>
          <w:rFonts w:ascii="Times New Roman" w:hAnsi="Times New Roman"/>
          <w:sz w:val="24"/>
          <w:szCs w:val="24"/>
        </w:rPr>
        <w:t>, which revokes</w:t>
      </w:r>
      <w:r w:rsidR="00340D2E">
        <w:rPr>
          <w:rFonts w:ascii="Times New Roman" w:hAnsi="Times New Roman"/>
          <w:sz w:val="24"/>
          <w:szCs w:val="24"/>
        </w:rPr>
        <w:t xml:space="preserve"> </w:t>
      </w:r>
      <w:r w:rsidR="00155C7D" w:rsidRPr="001204F5">
        <w:rPr>
          <w:rFonts w:ascii="Times New Roman" w:hAnsi="Times New Roman"/>
          <w:i/>
          <w:sz w:val="24"/>
          <w:szCs w:val="24"/>
        </w:rPr>
        <w:t xml:space="preserve">Prudential Standard CPS 226 Margining and Risk Mitigation for Non-Centrally Cleared Derivatives </w:t>
      </w:r>
      <w:r w:rsidR="00155C7D">
        <w:rPr>
          <w:rFonts w:ascii="Times New Roman" w:hAnsi="Times New Roman"/>
          <w:sz w:val="24"/>
          <w:szCs w:val="24"/>
        </w:rPr>
        <w:t>made under Banking, Insurance, Life Insurance and Superannuation (prudential standard) determination No 1 of 2019</w:t>
      </w:r>
      <w:r w:rsidR="00D10961">
        <w:rPr>
          <w:rFonts w:ascii="Times New Roman" w:hAnsi="Times New Roman"/>
          <w:sz w:val="24"/>
          <w:szCs w:val="24"/>
        </w:rPr>
        <w:t>,</w:t>
      </w:r>
      <w:r w:rsidR="00155C7D">
        <w:rPr>
          <w:rFonts w:ascii="Times New Roman" w:hAnsi="Times New Roman"/>
          <w:sz w:val="24"/>
          <w:szCs w:val="24"/>
        </w:rPr>
        <w:t xml:space="preserve"> and determines a </w:t>
      </w:r>
      <w:r w:rsidR="00155C7D">
        <w:rPr>
          <w:rFonts w:ascii="Times New Roman" w:hAnsi="Times New Roman"/>
          <w:sz w:val="24"/>
          <w:szCs w:val="24"/>
        </w:rPr>
        <w:lastRenderedPageBreak/>
        <w:t xml:space="preserve">new </w:t>
      </w:r>
      <w:r w:rsidR="00155C7D" w:rsidRPr="001204F5">
        <w:rPr>
          <w:rFonts w:ascii="Times New Roman" w:hAnsi="Times New Roman"/>
          <w:i/>
          <w:sz w:val="24"/>
          <w:szCs w:val="24"/>
        </w:rPr>
        <w:t>Prudential Standard CPS 226 Margining and Risk Mitigation for Non-Centrally Cleared Derivatives</w:t>
      </w:r>
      <w:r w:rsidR="00340D2E">
        <w:rPr>
          <w:rFonts w:ascii="Times New Roman" w:hAnsi="Times New Roman"/>
          <w:i/>
          <w:sz w:val="24"/>
          <w:szCs w:val="24"/>
        </w:rPr>
        <w:t xml:space="preserve"> </w:t>
      </w:r>
      <w:r w:rsidR="00340D2E" w:rsidRPr="00340D2E">
        <w:rPr>
          <w:rFonts w:ascii="Times New Roman" w:hAnsi="Times New Roman"/>
          <w:sz w:val="24"/>
          <w:szCs w:val="24"/>
        </w:rPr>
        <w:t>(CPS 226)</w:t>
      </w:r>
      <w:r w:rsidR="00155C7D">
        <w:rPr>
          <w:rFonts w:ascii="Times New Roman" w:hAnsi="Times New Roman"/>
          <w:i/>
          <w:sz w:val="24"/>
          <w:szCs w:val="24"/>
        </w:rPr>
        <w:t>.</w:t>
      </w:r>
    </w:p>
    <w:p w14:paraId="11344BD8" w14:textId="3495EF78" w:rsidR="00340D2E" w:rsidRPr="005D57D5" w:rsidRDefault="00340D2E" w:rsidP="00155C7D">
      <w:pPr>
        <w:widowControl w:val="0"/>
        <w:spacing w:after="240"/>
        <w:jc w:val="both"/>
        <w:rPr>
          <w:rFonts w:ascii="Times New Roman" w:hAnsi="Times New Roman"/>
          <w:sz w:val="24"/>
          <w:szCs w:val="24"/>
        </w:rPr>
      </w:pPr>
      <w:r>
        <w:rPr>
          <w:rFonts w:ascii="Times New Roman" w:hAnsi="Times New Roman"/>
          <w:sz w:val="24"/>
          <w:szCs w:val="24"/>
        </w:rPr>
        <w:t xml:space="preserve">The instrument commences on 1 September 2020. </w:t>
      </w:r>
    </w:p>
    <w:p w14:paraId="25ABAD4C" w14:textId="77777777" w:rsidR="002436BD" w:rsidRDefault="002436BD" w:rsidP="00DF7DA0">
      <w:pPr>
        <w:pStyle w:val="Heading"/>
        <w:keepNext/>
        <w:numPr>
          <w:ilvl w:val="0"/>
          <w:numId w:val="2"/>
        </w:numPr>
        <w:spacing w:after="240"/>
        <w:ind w:left="0" w:firstLine="0"/>
        <w:outlineLvl w:val="0"/>
        <w:rPr>
          <w:rFonts w:ascii="Times New Roman" w:hAnsi="Times New Roman"/>
          <w:sz w:val="24"/>
          <w:szCs w:val="24"/>
        </w:rPr>
      </w:pPr>
      <w:r w:rsidRPr="002C6D26">
        <w:rPr>
          <w:rFonts w:ascii="Times New Roman" w:hAnsi="Times New Roman"/>
          <w:sz w:val="24"/>
          <w:szCs w:val="24"/>
        </w:rPr>
        <w:t>Background</w:t>
      </w:r>
    </w:p>
    <w:p w14:paraId="14FD033D" w14:textId="6CB96718" w:rsidR="00A71EDF" w:rsidRDefault="000D5862" w:rsidP="00663606">
      <w:pPr>
        <w:pStyle w:val="Heading"/>
        <w:spacing w:after="240"/>
        <w:rPr>
          <w:rFonts w:ascii="Times New Roman" w:hAnsi="Times New Roman"/>
          <w:b w:val="0"/>
          <w:sz w:val="24"/>
          <w:szCs w:val="24"/>
        </w:rPr>
      </w:pPr>
      <w:r w:rsidRPr="00663606">
        <w:rPr>
          <w:rFonts w:ascii="Times New Roman" w:hAnsi="Times New Roman"/>
          <w:b w:val="0"/>
          <w:sz w:val="24"/>
          <w:szCs w:val="24"/>
        </w:rPr>
        <w:t>APRA’s mandate is to ensure the safety and soundness of prudentially regulated financial institutions so that they can meet their financial promises to depositors, policyholders and fund members within a stable, efficient and competitive financial system.</w:t>
      </w:r>
      <w:r w:rsidR="0015432B">
        <w:rPr>
          <w:rFonts w:ascii="Times New Roman" w:hAnsi="Times New Roman"/>
          <w:b w:val="0"/>
          <w:sz w:val="24"/>
          <w:szCs w:val="24"/>
        </w:rPr>
        <w:t xml:space="preserve"> APRA give</w:t>
      </w:r>
      <w:r w:rsidR="005837F8">
        <w:rPr>
          <w:rFonts w:ascii="Times New Roman" w:hAnsi="Times New Roman"/>
          <w:b w:val="0"/>
          <w:sz w:val="24"/>
          <w:szCs w:val="24"/>
        </w:rPr>
        <w:t xml:space="preserve">s effect to its mandate by </w:t>
      </w:r>
      <w:r w:rsidR="00CF7D89">
        <w:rPr>
          <w:rFonts w:ascii="Times New Roman" w:hAnsi="Times New Roman"/>
          <w:b w:val="0"/>
          <w:sz w:val="24"/>
          <w:szCs w:val="24"/>
        </w:rPr>
        <w:t xml:space="preserve">establishing </w:t>
      </w:r>
      <w:r w:rsidR="005837F8">
        <w:rPr>
          <w:rFonts w:ascii="Times New Roman" w:hAnsi="Times New Roman"/>
          <w:b w:val="0"/>
          <w:sz w:val="24"/>
          <w:szCs w:val="24"/>
        </w:rPr>
        <w:t xml:space="preserve">minimum expectations for prudentially regulated financial institutions. The Banking Act, Insurance Act, Life Insurance Act and SIS Act </w:t>
      </w:r>
      <w:r w:rsidR="00CF7D89">
        <w:rPr>
          <w:rFonts w:ascii="Times New Roman" w:hAnsi="Times New Roman"/>
          <w:b w:val="0"/>
          <w:sz w:val="24"/>
          <w:szCs w:val="24"/>
        </w:rPr>
        <w:t>allow</w:t>
      </w:r>
      <w:r w:rsidR="005837F8">
        <w:rPr>
          <w:rFonts w:ascii="Times New Roman" w:hAnsi="Times New Roman"/>
          <w:b w:val="0"/>
          <w:sz w:val="24"/>
          <w:szCs w:val="24"/>
        </w:rPr>
        <w:t xml:space="preserve"> APRA to issue legally binding prudential standards that set out specific prudential requirements with which APRA-regulated entities must comply.</w:t>
      </w:r>
    </w:p>
    <w:p w14:paraId="60302EFA" w14:textId="72A7D56F" w:rsidR="009566F2" w:rsidRDefault="00A25ED5" w:rsidP="009566F2">
      <w:pPr>
        <w:pStyle w:val="Heading"/>
        <w:spacing w:after="240"/>
        <w:rPr>
          <w:rFonts w:ascii="Times New Roman" w:hAnsi="Times New Roman"/>
          <w:b w:val="0"/>
          <w:sz w:val="24"/>
          <w:szCs w:val="24"/>
        </w:rPr>
      </w:pPr>
      <w:r w:rsidRPr="009566F2">
        <w:rPr>
          <w:rFonts w:ascii="Times New Roman" w:hAnsi="Times New Roman"/>
          <w:b w:val="0"/>
          <w:sz w:val="24"/>
          <w:szCs w:val="24"/>
        </w:rPr>
        <w:t xml:space="preserve">APRA’s prudential standards </w:t>
      </w:r>
      <w:r w:rsidR="00607931" w:rsidRPr="009566F2">
        <w:rPr>
          <w:rFonts w:ascii="Times New Roman" w:hAnsi="Times New Roman"/>
          <w:b w:val="0"/>
          <w:sz w:val="24"/>
          <w:szCs w:val="24"/>
        </w:rPr>
        <w:t xml:space="preserve">are often informed by developments in international standards. </w:t>
      </w:r>
      <w:r w:rsidR="009566F2" w:rsidRPr="009566F2">
        <w:rPr>
          <w:rFonts w:ascii="Times New Roman" w:hAnsi="Times New Roman"/>
          <w:b w:val="0"/>
          <w:sz w:val="24"/>
          <w:szCs w:val="24"/>
        </w:rPr>
        <w:t xml:space="preserve">APRA’s prudential requirements are expected to be consistent with those set by </w:t>
      </w:r>
      <w:r w:rsidR="009566F2">
        <w:rPr>
          <w:rFonts w:ascii="Times New Roman" w:hAnsi="Times New Roman"/>
          <w:b w:val="0"/>
          <w:sz w:val="24"/>
          <w:szCs w:val="24"/>
        </w:rPr>
        <w:t xml:space="preserve">international standard setting bodies, such as the </w:t>
      </w:r>
      <w:r w:rsidR="009566F2" w:rsidRPr="009566F2">
        <w:rPr>
          <w:rFonts w:ascii="Times New Roman" w:hAnsi="Times New Roman"/>
          <w:b w:val="0"/>
          <w:sz w:val="24"/>
          <w:szCs w:val="24"/>
        </w:rPr>
        <w:t>Basel Committee on Banking Supervision (Basel Committee) and International Organisation of Securities Commissions (IOSCO)</w:t>
      </w:r>
      <w:r w:rsidR="009566F2">
        <w:rPr>
          <w:rFonts w:ascii="Times New Roman" w:hAnsi="Times New Roman"/>
          <w:b w:val="0"/>
          <w:sz w:val="24"/>
          <w:szCs w:val="24"/>
        </w:rPr>
        <w:t>.</w:t>
      </w:r>
      <w:r w:rsidR="009566F2" w:rsidRPr="009566F2">
        <w:rPr>
          <w:rFonts w:ascii="Times New Roman" w:hAnsi="Times New Roman"/>
          <w:b w:val="0"/>
          <w:sz w:val="24"/>
          <w:szCs w:val="24"/>
        </w:rPr>
        <w:t xml:space="preserve"> To facilitate an international level playing-field, APRA is also expected to align its domestic implementation of prudential requirements with the internationally agreed timetables.</w:t>
      </w:r>
    </w:p>
    <w:p w14:paraId="2CBE8F02" w14:textId="145F0D60" w:rsidR="00D40662" w:rsidRDefault="009566F2" w:rsidP="009566F2">
      <w:pPr>
        <w:pStyle w:val="Heading"/>
        <w:spacing w:after="240"/>
        <w:rPr>
          <w:rFonts w:ascii="Times New Roman" w:hAnsi="Times New Roman"/>
          <w:b w:val="0"/>
          <w:sz w:val="24"/>
          <w:szCs w:val="24"/>
          <w:highlight w:val="yellow"/>
        </w:rPr>
      </w:pPr>
      <w:r w:rsidRPr="009566F2">
        <w:rPr>
          <w:rFonts w:ascii="Times New Roman" w:hAnsi="Times New Roman"/>
          <w:b w:val="0"/>
          <w:sz w:val="24"/>
          <w:szCs w:val="24"/>
        </w:rPr>
        <w:t xml:space="preserve">In 2015, the Basel Committee and IOSCO finalised minimum standards for margin requirements for non-centrally cleared derivatives transactions (‘the BCBS-IOSCO framework’). </w:t>
      </w:r>
      <w:r>
        <w:rPr>
          <w:rFonts w:ascii="Times New Roman" w:hAnsi="Times New Roman"/>
          <w:b w:val="0"/>
          <w:sz w:val="24"/>
          <w:szCs w:val="24"/>
        </w:rPr>
        <w:t xml:space="preserve">The </w:t>
      </w:r>
      <w:r w:rsidRPr="009566F2">
        <w:rPr>
          <w:rFonts w:ascii="Times New Roman" w:hAnsi="Times New Roman"/>
          <w:b w:val="0"/>
          <w:sz w:val="24"/>
          <w:szCs w:val="24"/>
        </w:rPr>
        <w:t>BCBS-IOSCO framework requires the exchange of initial margin. Initial margin protects against the potential future exposure that may arise from future changes in the mark-to-markets value of a non-centrally cleared derivative during the period of time that is assumed to be required to close-out and replace the position following a counterparty default. In December 2016, APRA implemented margin requirements for non-centrally cleared derivatives based on the BCBS-IOSCO framework, which commenced in March 2017 and under which the initial margin requirements were subject to a multi-year phase-in timetable.</w:t>
      </w:r>
    </w:p>
    <w:p w14:paraId="50FADCCD" w14:textId="10FE5D16" w:rsidR="00A25ED5" w:rsidRDefault="00B14899" w:rsidP="00663606">
      <w:pPr>
        <w:pStyle w:val="Heading"/>
        <w:spacing w:after="240"/>
        <w:rPr>
          <w:rFonts w:ascii="Times New Roman" w:hAnsi="Times New Roman"/>
          <w:b w:val="0"/>
          <w:sz w:val="24"/>
          <w:szCs w:val="24"/>
        </w:rPr>
      </w:pPr>
      <w:r>
        <w:rPr>
          <w:rFonts w:ascii="Times New Roman" w:hAnsi="Times New Roman"/>
          <w:b w:val="0"/>
          <w:sz w:val="24"/>
          <w:szCs w:val="24"/>
        </w:rPr>
        <w:t>In</w:t>
      </w:r>
      <w:r w:rsidR="00896F90">
        <w:rPr>
          <w:rFonts w:ascii="Times New Roman" w:hAnsi="Times New Roman"/>
          <w:b w:val="0"/>
          <w:sz w:val="24"/>
          <w:szCs w:val="24"/>
        </w:rPr>
        <w:t xml:space="preserve"> </w:t>
      </w:r>
      <w:r w:rsidR="00A25ED5">
        <w:rPr>
          <w:rFonts w:ascii="Times New Roman" w:hAnsi="Times New Roman"/>
          <w:b w:val="0"/>
          <w:sz w:val="24"/>
          <w:szCs w:val="24"/>
        </w:rPr>
        <w:t>April 2020</w:t>
      </w:r>
      <w:r w:rsidR="00896F90">
        <w:rPr>
          <w:rFonts w:ascii="Times New Roman" w:hAnsi="Times New Roman"/>
          <w:b w:val="0"/>
          <w:sz w:val="24"/>
          <w:szCs w:val="24"/>
        </w:rPr>
        <w:t xml:space="preserve"> in response to COVID-19</w:t>
      </w:r>
      <w:r w:rsidR="00A25ED5">
        <w:rPr>
          <w:rFonts w:ascii="Times New Roman" w:hAnsi="Times New Roman"/>
          <w:b w:val="0"/>
          <w:sz w:val="24"/>
          <w:szCs w:val="24"/>
        </w:rPr>
        <w:t xml:space="preserve">, the Basel Committee and </w:t>
      </w:r>
      <w:r w:rsidR="00D66255">
        <w:rPr>
          <w:rFonts w:ascii="Times New Roman" w:hAnsi="Times New Roman"/>
          <w:b w:val="0"/>
          <w:sz w:val="24"/>
          <w:szCs w:val="24"/>
        </w:rPr>
        <w:t>IOSCO</w:t>
      </w:r>
      <w:r w:rsidR="00A25ED5" w:rsidRPr="00A25ED5">
        <w:rPr>
          <w:rFonts w:ascii="Times New Roman" w:hAnsi="Times New Roman"/>
          <w:b w:val="0"/>
          <w:sz w:val="24"/>
          <w:szCs w:val="24"/>
        </w:rPr>
        <w:t xml:space="preserve"> </w:t>
      </w:r>
      <w:r w:rsidR="00607931">
        <w:rPr>
          <w:rFonts w:ascii="Times New Roman" w:hAnsi="Times New Roman"/>
          <w:b w:val="0"/>
          <w:sz w:val="24"/>
          <w:szCs w:val="24"/>
        </w:rPr>
        <w:t xml:space="preserve">jointly announced the deferral by 12 months of the next two stages of the phase-in of initial margin requirements for non-centrally </w:t>
      </w:r>
      <w:r w:rsidR="0058163B">
        <w:rPr>
          <w:rFonts w:ascii="Times New Roman" w:hAnsi="Times New Roman"/>
          <w:b w:val="0"/>
          <w:sz w:val="24"/>
          <w:szCs w:val="24"/>
        </w:rPr>
        <w:t>cleared derivatives.</w:t>
      </w:r>
      <w:r w:rsidR="00FA0B81">
        <w:rPr>
          <w:rFonts w:ascii="Times New Roman" w:hAnsi="Times New Roman"/>
          <w:b w:val="0"/>
          <w:sz w:val="24"/>
          <w:szCs w:val="24"/>
        </w:rPr>
        <w:t xml:space="preserve"> The next phase-in period will now commence on 1</w:t>
      </w:r>
      <w:r>
        <w:rPr>
          <w:rFonts w:ascii="Times New Roman" w:hAnsi="Times New Roman"/>
          <w:b w:val="0"/>
          <w:sz w:val="24"/>
          <w:szCs w:val="24"/>
        </w:rPr>
        <w:t> </w:t>
      </w:r>
      <w:r w:rsidR="00FA0B81">
        <w:rPr>
          <w:rFonts w:ascii="Times New Roman" w:hAnsi="Times New Roman"/>
          <w:b w:val="0"/>
          <w:sz w:val="24"/>
          <w:szCs w:val="24"/>
        </w:rPr>
        <w:t>September 2021.</w:t>
      </w:r>
      <w:r w:rsidR="0058163B">
        <w:rPr>
          <w:rFonts w:ascii="Times New Roman" w:hAnsi="Times New Roman"/>
          <w:b w:val="0"/>
          <w:sz w:val="24"/>
          <w:szCs w:val="24"/>
        </w:rPr>
        <w:t xml:space="preserve"> </w:t>
      </w:r>
      <w:r w:rsidR="00607931">
        <w:rPr>
          <w:rFonts w:ascii="Times New Roman" w:hAnsi="Times New Roman"/>
          <w:b w:val="0"/>
          <w:sz w:val="24"/>
          <w:szCs w:val="24"/>
        </w:rPr>
        <w:t xml:space="preserve">APRA gives effect to margin requirements for non-centrally cleared derivatives through </w:t>
      </w:r>
      <w:r w:rsidR="0058163B">
        <w:rPr>
          <w:rFonts w:ascii="Times New Roman" w:hAnsi="Times New Roman"/>
          <w:b w:val="0"/>
          <w:sz w:val="24"/>
          <w:szCs w:val="24"/>
        </w:rPr>
        <w:t xml:space="preserve">CPS 226. </w:t>
      </w:r>
      <w:r w:rsidR="00D66255">
        <w:rPr>
          <w:rFonts w:ascii="Times New Roman" w:hAnsi="Times New Roman"/>
          <w:b w:val="0"/>
          <w:sz w:val="24"/>
          <w:szCs w:val="24"/>
        </w:rPr>
        <w:t>CPS</w:t>
      </w:r>
      <w:r w:rsidR="00F570B3">
        <w:rPr>
          <w:rFonts w:ascii="Times New Roman" w:hAnsi="Times New Roman"/>
          <w:b w:val="0"/>
          <w:sz w:val="24"/>
          <w:szCs w:val="24"/>
        </w:rPr>
        <w:t> </w:t>
      </w:r>
      <w:r w:rsidR="00D66255">
        <w:rPr>
          <w:rFonts w:ascii="Times New Roman" w:hAnsi="Times New Roman"/>
          <w:b w:val="0"/>
          <w:sz w:val="24"/>
          <w:szCs w:val="24"/>
        </w:rPr>
        <w:t xml:space="preserve">226 </w:t>
      </w:r>
      <w:r w:rsidR="005D57D5">
        <w:rPr>
          <w:rFonts w:ascii="Times New Roman" w:hAnsi="Times New Roman"/>
          <w:b w:val="0"/>
          <w:sz w:val="24"/>
          <w:szCs w:val="24"/>
        </w:rPr>
        <w:t xml:space="preserve">applies to </w:t>
      </w:r>
      <w:r w:rsidR="00D66255">
        <w:rPr>
          <w:rFonts w:ascii="Times New Roman" w:hAnsi="Times New Roman"/>
          <w:b w:val="0"/>
          <w:sz w:val="24"/>
          <w:szCs w:val="24"/>
        </w:rPr>
        <w:t>APRA-regulated entities that actively transact in non-centrally cleared derivatives</w:t>
      </w:r>
      <w:r w:rsidR="005D57D5">
        <w:rPr>
          <w:rFonts w:ascii="Times New Roman" w:hAnsi="Times New Roman"/>
          <w:b w:val="0"/>
          <w:sz w:val="24"/>
          <w:szCs w:val="24"/>
        </w:rPr>
        <w:t>. APRA-regulated entities are required to exchange</w:t>
      </w:r>
      <w:r w:rsidR="00D66255">
        <w:rPr>
          <w:rFonts w:ascii="Times New Roman" w:hAnsi="Times New Roman"/>
          <w:b w:val="0"/>
          <w:sz w:val="24"/>
          <w:szCs w:val="24"/>
        </w:rPr>
        <w:t xml:space="preserve"> collateral to manage the risk of counterparty default, and to have policies and procedures to manage </w:t>
      </w:r>
      <w:r w:rsidR="005D57D5">
        <w:rPr>
          <w:rFonts w:ascii="Times New Roman" w:hAnsi="Times New Roman"/>
          <w:b w:val="0"/>
          <w:sz w:val="24"/>
          <w:szCs w:val="24"/>
        </w:rPr>
        <w:t xml:space="preserve">the </w:t>
      </w:r>
      <w:r w:rsidR="00D66255">
        <w:rPr>
          <w:rFonts w:ascii="Times New Roman" w:hAnsi="Times New Roman"/>
          <w:b w:val="0"/>
          <w:sz w:val="24"/>
          <w:szCs w:val="24"/>
        </w:rPr>
        <w:t xml:space="preserve">risks associated with derivatives activity. </w:t>
      </w:r>
    </w:p>
    <w:p w14:paraId="6E9E2C8E" w14:textId="4B33E2BB" w:rsidR="002436BD" w:rsidRDefault="002436BD" w:rsidP="00DF7DA0">
      <w:pPr>
        <w:pStyle w:val="Heading"/>
        <w:keepNext/>
        <w:numPr>
          <w:ilvl w:val="0"/>
          <w:numId w:val="2"/>
        </w:numPr>
        <w:spacing w:after="240"/>
        <w:ind w:left="0" w:firstLine="0"/>
        <w:outlineLvl w:val="0"/>
        <w:rPr>
          <w:rFonts w:ascii="Times New Roman" w:hAnsi="Times New Roman"/>
          <w:sz w:val="24"/>
          <w:szCs w:val="24"/>
        </w:rPr>
      </w:pPr>
      <w:bookmarkStart w:id="4" w:name="bkBackground"/>
      <w:bookmarkEnd w:id="4"/>
      <w:r w:rsidRPr="002C6D26">
        <w:rPr>
          <w:rFonts w:ascii="Times New Roman" w:hAnsi="Times New Roman"/>
          <w:sz w:val="24"/>
          <w:szCs w:val="24"/>
        </w:rPr>
        <w:t xml:space="preserve">Purpose </w:t>
      </w:r>
      <w:r w:rsidR="00DF524E">
        <w:rPr>
          <w:rFonts w:ascii="Times New Roman" w:hAnsi="Times New Roman"/>
          <w:sz w:val="24"/>
          <w:szCs w:val="24"/>
        </w:rPr>
        <w:t xml:space="preserve">and operation </w:t>
      </w:r>
      <w:r w:rsidRPr="002C6D26">
        <w:rPr>
          <w:rFonts w:ascii="Times New Roman" w:hAnsi="Times New Roman"/>
          <w:sz w:val="24"/>
          <w:szCs w:val="24"/>
        </w:rPr>
        <w:t>of the instrument</w:t>
      </w:r>
      <w:r w:rsidR="00A71EDF">
        <w:rPr>
          <w:rFonts w:ascii="Times New Roman" w:hAnsi="Times New Roman"/>
          <w:sz w:val="24"/>
          <w:szCs w:val="24"/>
        </w:rPr>
        <w:t>s</w:t>
      </w:r>
    </w:p>
    <w:p w14:paraId="4EB34270" w14:textId="3A94518E" w:rsidR="00481543" w:rsidRDefault="00A71EDF" w:rsidP="00A71EDF">
      <w:pPr>
        <w:spacing w:after="240"/>
        <w:jc w:val="both"/>
        <w:rPr>
          <w:rFonts w:ascii="Times New Roman" w:hAnsi="Times New Roman"/>
          <w:sz w:val="24"/>
          <w:szCs w:val="24"/>
        </w:rPr>
      </w:pPr>
      <w:r>
        <w:rPr>
          <w:rFonts w:ascii="Times New Roman" w:hAnsi="Times New Roman"/>
          <w:sz w:val="24"/>
          <w:szCs w:val="24"/>
        </w:rPr>
        <w:t xml:space="preserve">The purpose of Banking, Insurance, Life Insurance and Superannuation (prudential standard) determination </w:t>
      </w:r>
      <w:r w:rsidRPr="00163FA0">
        <w:rPr>
          <w:rFonts w:ascii="Times New Roman" w:hAnsi="Times New Roman"/>
          <w:sz w:val="24"/>
          <w:szCs w:val="24"/>
        </w:rPr>
        <w:t xml:space="preserve">No </w:t>
      </w:r>
      <w:r w:rsidR="00163FA0" w:rsidRPr="00163FA0">
        <w:rPr>
          <w:rFonts w:ascii="Times New Roman" w:hAnsi="Times New Roman"/>
          <w:sz w:val="24"/>
          <w:szCs w:val="24"/>
        </w:rPr>
        <w:t>1</w:t>
      </w:r>
      <w:r w:rsidRPr="00163FA0">
        <w:rPr>
          <w:rFonts w:ascii="Times New Roman" w:hAnsi="Times New Roman"/>
          <w:sz w:val="24"/>
          <w:szCs w:val="24"/>
        </w:rPr>
        <w:t xml:space="preserve"> of 2020</w:t>
      </w:r>
      <w:r>
        <w:rPr>
          <w:rFonts w:ascii="Times New Roman" w:hAnsi="Times New Roman"/>
          <w:sz w:val="24"/>
          <w:szCs w:val="24"/>
        </w:rPr>
        <w:t xml:space="preserve"> is to revoke CPS 226 and replace it with a new version of CPS 226. The changes to CPS 226 </w:t>
      </w:r>
      <w:r w:rsidR="00A97698">
        <w:rPr>
          <w:rFonts w:ascii="Times New Roman" w:hAnsi="Times New Roman"/>
          <w:sz w:val="24"/>
          <w:szCs w:val="24"/>
        </w:rPr>
        <w:t>are limited solely to the deferral of</w:t>
      </w:r>
      <w:r>
        <w:rPr>
          <w:rFonts w:ascii="Times New Roman" w:hAnsi="Times New Roman"/>
          <w:sz w:val="24"/>
          <w:szCs w:val="24"/>
        </w:rPr>
        <w:t xml:space="preserve"> the commencement of the</w:t>
      </w:r>
      <w:r w:rsidR="004C3512">
        <w:rPr>
          <w:rFonts w:ascii="Times New Roman" w:hAnsi="Times New Roman"/>
          <w:sz w:val="24"/>
          <w:szCs w:val="24"/>
        </w:rPr>
        <w:t xml:space="preserve"> next two phase-in periods of</w:t>
      </w:r>
      <w:r>
        <w:rPr>
          <w:rFonts w:ascii="Times New Roman" w:hAnsi="Times New Roman"/>
          <w:sz w:val="24"/>
          <w:szCs w:val="24"/>
        </w:rPr>
        <w:t xml:space="preserve"> initial margin requirements for non-</w:t>
      </w:r>
      <w:r>
        <w:rPr>
          <w:rFonts w:ascii="Times New Roman" w:hAnsi="Times New Roman"/>
          <w:sz w:val="24"/>
          <w:szCs w:val="24"/>
        </w:rPr>
        <w:lastRenderedPageBreak/>
        <w:t>centrally cleared derivatives by 12 months</w:t>
      </w:r>
      <w:r w:rsidR="00225DA1">
        <w:rPr>
          <w:rFonts w:ascii="Times New Roman" w:hAnsi="Times New Roman"/>
          <w:sz w:val="24"/>
          <w:szCs w:val="24"/>
        </w:rPr>
        <w:t>, consistent with the revised international timetable.</w:t>
      </w:r>
      <w:r w:rsidR="00A97698">
        <w:rPr>
          <w:rFonts w:ascii="Times New Roman" w:hAnsi="Times New Roman"/>
          <w:sz w:val="24"/>
          <w:szCs w:val="24"/>
        </w:rPr>
        <w:t xml:space="preserve"> This is achieved by </w:t>
      </w:r>
      <w:r w:rsidR="00481543">
        <w:rPr>
          <w:rFonts w:ascii="Times New Roman" w:hAnsi="Times New Roman"/>
          <w:sz w:val="24"/>
          <w:szCs w:val="24"/>
        </w:rPr>
        <w:t>amend</w:t>
      </w:r>
      <w:r w:rsidR="002B4366">
        <w:rPr>
          <w:rFonts w:ascii="Times New Roman" w:hAnsi="Times New Roman"/>
          <w:sz w:val="24"/>
          <w:szCs w:val="24"/>
        </w:rPr>
        <w:t>ing the dates in Table 2 at paragraph 20 of CPS</w:t>
      </w:r>
      <w:r w:rsidR="00631A18">
        <w:rPr>
          <w:rFonts w:ascii="Times New Roman" w:hAnsi="Times New Roman"/>
          <w:sz w:val="24"/>
          <w:szCs w:val="24"/>
        </w:rPr>
        <w:t> </w:t>
      </w:r>
      <w:r w:rsidR="002B4366">
        <w:rPr>
          <w:rFonts w:ascii="Times New Roman" w:hAnsi="Times New Roman"/>
          <w:sz w:val="24"/>
          <w:szCs w:val="24"/>
        </w:rPr>
        <w:t>226</w:t>
      </w:r>
      <w:r w:rsidR="00481543">
        <w:rPr>
          <w:rFonts w:ascii="Times New Roman" w:hAnsi="Times New Roman"/>
          <w:sz w:val="24"/>
          <w:szCs w:val="24"/>
        </w:rPr>
        <w:t xml:space="preserve"> so that</w:t>
      </w:r>
      <w:r w:rsidR="009918FF">
        <w:rPr>
          <w:rFonts w:ascii="Times New Roman" w:hAnsi="Times New Roman"/>
          <w:sz w:val="24"/>
          <w:szCs w:val="24"/>
        </w:rPr>
        <w:t>:</w:t>
      </w:r>
    </w:p>
    <w:p w14:paraId="546C04CC" w14:textId="7F96EE3A" w:rsidR="004A0256" w:rsidRDefault="004A0256" w:rsidP="006D0EF5">
      <w:pPr>
        <w:pStyle w:val="ListParagraph"/>
        <w:numPr>
          <w:ilvl w:val="0"/>
          <w:numId w:val="19"/>
        </w:numPr>
        <w:spacing w:after="240"/>
        <w:jc w:val="both"/>
        <w:rPr>
          <w:rFonts w:ascii="Times New Roman" w:hAnsi="Times New Roman"/>
          <w:sz w:val="24"/>
          <w:szCs w:val="24"/>
        </w:rPr>
      </w:pPr>
      <w:r>
        <w:rPr>
          <w:rFonts w:ascii="Times New Roman" w:hAnsi="Times New Roman"/>
          <w:sz w:val="24"/>
          <w:szCs w:val="24"/>
        </w:rPr>
        <w:t xml:space="preserve">the Margining </w:t>
      </w:r>
      <w:r w:rsidR="00021289">
        <w:rPr>
          <w:rFonts w:ascii="Times New Roman" w:hAnsi="Times New Roman"/>
          <w:sz w:val="24"/>
          <w:szCs w:val="24"/>
        </w:rPr>
        <w:t xml:space="preserve">period 1 September 2019 to 31 August 2020 in the fourth row, becomes 1 September 2019 to 31 August 2021; </w:t>
      </w:r>
    </w:p>
    <w:p w14:paraId="3F24505E" w14:textId="6DF232E2" w:rsidR="00A71EDF" w:rsidRDefault="00481543" w:rsidP="006D0EF5">
      <w:pPr>
        <w:pStyle w:val="ListParagraph"/>
        <w:numPr>
          <w:ilvl w:val="0"/>
          <w:numId w:val="19"/>
        </w:numPr>
        <w:spacing w:after="240"/>
        <w:jc w:val="both"/>
        <w:rPr>
          <w:rFonts w:ascii="Times New Roman" w:hAnsi="Times New Roman"/>
          <w:sz w:val="24"/>
          <w:szCs w:val="24"/>
        </w:rPr>
      </w:pPr>
      <w:r w:rsidRPr="006D0EF5">
        <w:rPr>
          <w:rFonts w:ascii="Times New Roman" w:hAnsi="Times New Roman"/>
          <w:sz w:val="24"/>
          <w:szCs w:val="24"/>
        </w:rPr>
        <w:t>the Referenc</w:t>
      </w:r>
      <w:r>
        <w:rPr>
          <w:rFonts w:ascii="Times New Roman" w:hAnsi="Times New Roman"/>
          <w:sz w:val="24"/>
          <w:szCs w:val="24"/>
        </w:rPr>
        <w:t>e period March, April and May 2020</w:t>
      </w:r>
      <w:r w:rsidR="00021289">
        <w:rPr>
          <w:rFonts w:ascii="Times New Roman" w:hAnsi="Times New Roman"/>
          <w:sz w:val="24"/>
          <w:szCs w:val="24"/>
        </w:rPr>
        <w:t xml:space="preserve"> in the fifth row</w:t>
      </w:r>
      <w:r>
        <w:rPr>
          <w:rFonts w:ascii="Times New Roman" w:hAnsi="Times New Roman"/>
          <w:sz w:val="24"/>
          <w:szCs w:val="24"/>
        </w:rPr>
        <w:t xml:space="preserve"> becomes March, April and May 2021; and</w:t>
      </w:r>
    </w:p>
    <w:p w14:paraId="6348AF31" w14:textId="4D4438F9" w:rsidR="00481543" w:rsidRDefault="00481543" w:rsidP="006D0EF5">
      <w:pPr>
        <w:pStyle w:val="ListParagraph"/>
        <w:numPr>
          <w:ilvl w:val="0"/>
          <w:numId w:val="19"/>
        </w:numPr>
        <w:spacing w:after="240"/>
        <w:jc w:val="both"/>
        <w:rPr>
          <w:rFonts w:ascii="Times New Roman" w:hAnsi="Times New Roman"/>
          <w:sz w:val="24"/>
          <w:szCs w:val="24"/>
        </w:rPr>
      </w:pPr>
      <w:r>
        <w:rPr>
          <w:rFonts w:ascii="Times New Roman" w:hAnsi="Times New Roman"/>
          <w:sz w:val="24"/>
          <w:szCs w:val="24"/>
        </w:rPr>
        <w:t>the Margining period 1 September 2020 to 31 August 2021</w:t>
      </w:r>
      <w:r w:rsidR="00021289">
        <w:rPr>
          <w:rFonts w:ascii="Times New Roman" w:hAnsi="Times New Roman"/>
          <w:sz w:val="24"/>
          <w:szCs w:val="24"/>
        </w:rPr>
        <w:t xml:space="preserve"> in the fifth row</w:t>
      </w:r>
      <w:r>
        <w:rPr>
          <w:rFonts w:ascii="Times New Roman" w:hAnsi="Times New Roman"/>
          <w:sz w:val="24"/>
          <w:szCs w:val="24"/>
        </w:rPr>
        <w:t xml:space="preserve"> becomes 1 September 2021 to 31 August 2022.</w:t>
      </w:r>
    </w:p>
    <w:p w14:paraId="3CE6F182" w14:textId="6BAC5E3D" w:rsidR="00E93631" w:rsidRPr="006D0EF5" w:rsidRDefault="00E93631" w:rsidP="00E93631">
      <w:pPr>
        <w:spacing w:after="240"/>
        <w:jc w:val="both"/>
        <w:rPr>
          <w:rFonts w:ascii="Times New Roman" w:hAnsi="Times New Roman"/>
          <w:sz w:val="24"/>
          <w:szCs w:val="24"/>
        </w:rPr>
      </w:pPr>
      <w:r w:rsidRPr="006D0EF5">
        <w:rPr>
          <w:rFonts w:ascii="Times New Roman" w:hAnsi="Times New Roman"/>
          <w:sz w:val="24"/>
          <w:szCs w:val="24"/>
        </w:rPr>
        <w:t xml:space="preserve">The amendment will have the flow-on effect of deferring the items in the </w:t>
      </w:r>
      <w:r w:rsidR="00021289" w:rsidRPr="006D0EF5">
        <w:rPr>
          <w:rFonts w:ascii="Times New Roman" w:hAnsi="Times New Roman"/>
          <w:sz w:val="24"/>
          <w:szCs w:val="24"/>
        </w:rPr>
        <w:t>s</w:t>
      </w:r>
      <w:r w:rsidR="00021289">
        <w:rPr>
          <w:rFonts w:ascii="Times New Roman" w:hAnsi="Times New Roman"/>
          <w:sz w:val="24"/>
          <w:szCs w:val="24"/>
        </w:rPr>
        <w:t xml:space="preserve">ixth </w:t>
      </w:r>
      <w:r w:rsidRPr="006D0EF5">
        <w:rPr>
          <w:rFonts w:ascii="Times New Roman" w:hAnsi="Times New Roman"/>
          <w:sz w:val="24"/>
          <w:szCs w:val="24"/>
        </w:rPr>
        <w:t>row of Table 2 by 12 months.</w:t>
      </w:r>
    </w:p>
    <w:p w14:paraId="2F78D765" w14:textId="3556FDAC" w:rsidR="004C3512" w:rsidRDefault="00230508" w:rsidP="00A71EDF">
      <w:pPr>
        <w:spacing w:after="240"/>
        <w:jc w:val="both"/>
        <w:rPr>
          <w:rFonts w:ascii="Times New Roman" w:hAnsi="Times New Roman"/>
          <w:sz w:val="24"/>
          <w:szCs w:val="24"/>
        </w:rPr>
      </w:pPr>
      <w:r>
        <w:rPr>
          <w:rFonts w:ascii="Times New Roman" w:hAnsi="Times New Roman"/>
          <w:sz w:val="24"/>
          <w:szCs w:val="24"/>
        </w:rPr>
        <w:t xml:space="preserve">The deferral of </w:t>
      </w:r>
      <w:r w:rsidR="00B14899">
        <w:rPr>
          <w:rFonts w:ascii="Times New Roman" w:hAnsi="Times New Roman"/>
          <w:sz w:val="24"/>
          <w:szCs w:val="24"/>
        </w:rPr>
        <w:t>the next CPS</w:t>
      </w:r>
      <w:r w:rsidR="00EA739F">
        <w:rPr>
          <w:rFonts w:ascii="Times New Roman" w:hAnsi="Times New Roman"/>
          <w:sz w:val="24"/>
          <w:szCs w:val="24"/>
        </w:rPr>
        <w:t> </w:t>
      </w:r>
      <w:r w:rsidR="00B14899">
        <w:rPr>
          <w:rFonts w:ascii="Times New Roman" w:hAnsi="Times New Roman"/>
          <w:sz w:val="24"/>
          <w:szCs w:val="24"/>
        </w:rPr>
        <w:t xml:space="preserve">226 phase-in period for initial margin requirements </w:t>
      </w:r>
      <w:r w:rsidR="00024376">
        <w:rPr>
          <w:rFonts w:ascii="Times New Roman" w:hAnsi="Times New Roman"/>
          <w:sz w:val="24"/>
          <w:szCs w:val="24"/>
        </w:rPr>
        <w:t xml:space="preserve">by 12 months is intended to </w:t>
      </w:r>
      <w:r w:rsidR="00585AAA">
        <w:rPr>
          <w:rFonts w:ascii="Times New Roman" w:hAnsi="Times New Roman"/>
          <w:sz w:val="24"/>
          <w:szCs w:val="24"/>
        </w:rPr>
        <w:t>enable</w:t>
      </w:r>
      <w:r w:rsidR="00024376">
        <w:rPr>
          <w:rFonts w:ascii="Times New Roman" w:hAnsi="Times New Roman"/>
          <w:sz w:val="24"/>
          <w:szCs w:val="24"/>
        </w:rPr>
        <w:t xml:space="preserve"> APRA-regulated entities </w:t>
      </w:r>
      <w:r w:rsidR="00585AAA">
        <w:rPr>
          <w:rFonts w:ascii="Times New Roman" w:hAnsi="Times New Roman"/>
          <w:sz w:val="24"/>
          <w:szCs w:val="24"/>
        </w:rPr>
        <w:t>to focus their time and resources on dealing with the impact of COVID-19.</w:t>
      </w:r>
      <w:r w:rsidR="004110B6">
        <w:rPr>
          <w:rFonts w:ascii="Times New Roman" w:hAnsi="Times New Roman"/>
          <w:sz w:val="24"/>
          <w:szCs w:val="24"/>
        </w:rPr>
        <w:t xml:space="preserve"> </w:t>
      </w:r>
      <w:r w:rsidR="004110B6" w:rsidRPr="004110B6">
        <w:rPr>
          <w:rFonts w:ascii="Times New Roman" w:hAnsi="Times New Roman"/>
          <w:sz w:val="24"/>
          <w:szCs w:val="24"/>
        </w:rPr>
        <w:t>The instruments do not trespass on personal rights or liberties, or amend or modify the operation of primary legislation.</w:t>
      </w:r>
    </w:p>
    <w:p w14:paraId="5CAA7D20" w14:textId="53CB98B3" w:rsidR="000B4113" w:rsidRDefault="000B4113" w:rsidP="000B4113">
      <w:pPr>
        <w:pStyle w:val="Heading"/>
        <w:spacing w:after="240"/>
        <w:rPr>
          <w:rFonts w:ascii="Times New Roman" w:hAnsi="Times New Roman"/>
          <w:b w:val="0"/>
          <w:sz w:val="24"/>
          <w:szCs w:val="24"/>
        </w:rPr>
      </w:pPr>
      <w:r>
        <w:rPr>
          <w:rFonts w:ascii="Times New Roman" w:hAnsi="Times New Roman"/>
          <w:b w:val="0"/>
          <w:sz w:val="24"/>
          <w:szCs w:val="24"/>
        </w:rPr>
        <w:t xml:space="preserve">Where </w:t>
      </w:r>
      <w:r w:rsidR="0016033A">
        <w:rPr>
          <w:rFonts w:ascii="Times New Roman" w:hAnsi="Times New Roman"/>
          <w:b w:val="0"/>
          <w:sz w:val="24"/>
          <w:szCs w:val="24"/>
        </w:rPr>
        <w:t xml:space="preserve">CPS 226 </w:t>
      </w:r>
      <w:r>
        <w:rPr>
          <w:rFonts w:ascii="Times New Roman" w:hAnsi="Times New Roman"/>
          <w:b w:val="0"/>
          <w:sz w:val="24"/>
          <w:szCs w:val="24"/>
        </w:rPr>
        <w:t>refer</w:t>
      </w:r>
      <w:r w:rsidR="00B14899">
        <w:rPr>
          <w:rFonts w:ascii="Times New Roman" w:hAnsi="Times New Roman"/>
          <w:b w:val="0"/>
          <w:sz w:val="24"/>
          <w:szCs w:val="24"/>
        </w:rPr>
        <w:t>s</w:t>
      </w:r>
      <w:r w:rsidR="00692825">
        <w:rPr>
          <w:rFonts w:ascii="Times New Roman" w:hAnsi="Times New Roman"/>
          <w:b w:val="0"/>
          <w:sz w:val="24"/>
          <w:szCs w:val="24"/>
        </w:rPr>
        <w:t xml:space="preserve"> to an Act, Regulation, </w:t>
      </w:r>
      <w:r w:rsidRPr="00195547">
        <w:rPr>
          <w:rFonts w:ascii="Times New Roman" w:hAnsi="Times New Roman"/>
          <w:b w:val="0"/>
          <w:sz w:val="24"/>
          <w:szCs w:val="24"/>
        </w:rPr>
        <w:t>prudential standard</w:t>
      </w:r>
      <w:r w:rsidR="00692825">
        <w:rPr>
          <w:rFonts w:ascii="Times New Roman" w:hAnsi="Times New Roman"/>
          <w:b w:val="0"/>
          <w:sz w:val="24"/>
          <w:szCs w:val="24"/>
        </w:rPr>
        <w:t xml:space="preserve"> or Australian Accounting Standard</w:t>
      </w:r>
      <w:r w:rsidRPr="00195547">
        <w:rPr>
          <w:rFonts w:ascii="Times New Roman" w:hAnsi="Times New Roman"/>
          <w:b w:val="0"/>
          <w:sz w:val="24"/>
          <w:szCs w:val="24"/>
        </w:rPr>
        <w:t>,</w:t>
      </w:r>
      <w:r w:rsidR="00A824C6">
        <w:rPr>
          <w:rStyle w:val="FootnoteReference"/>
          <w:rFonts w:ascii="Times New Roman" w:hAnsi="Times New Roman"/>
          <w:b w:val="0"/>
          <w:sz w:val="24"/>
          <w:szCs w:val="24"/>
        </w:rPr>
        <w:footnoteReference w:id="1"/>
      </w:r>
      <w:r w:rsidRPr="00195547">
        <w:rPr>
          <w:rFonts w:ascii="Times New Roman" w:hAnsi="Times New Roman"/>
          <w:b w:val="0"/>
          <w:sz w:val="24"/>
          <w:szCs w:val="24"/>
        </w:rPr>
        <w:t xml:space="preserve"> this is a reference to the document as it exists from time to time</w:t>
      </w:r>
      <w:r>
        <w:rPr>
          <w:rFonts w:ascii="Times New Roman" w:hAnsi="Times New Roman"/>
          <w:b w:val="0"/>
          <w:sz w:val="24"/>
          <w:szCs w:val="24"/>
        </w:rPr>
        <w:t>,</w:t>
      </w:r>
      <w:r w:rsidRPr="00C97AB3">
        <w:rPr>
          <w:b w:val="0"/>
          <w:sz w:val="22"/>
          <w:szCs w:val="20"/>
        </w:rPr>
        <w:t xml:space="preserve"> </w:t>
      </w:r>
      <w:r w:rsidRPr="00C97AB3">
        <w:rPr>
          <w:rFonts w:ascii="Times New Roman" w:hAnsi="Times New Roman"/>
          <w:b w:val="0"/>
          <w:sz w:val="24"/>
          <w:szCs w:val="24"/>
        </w:rPr>
        <w:t xml:space="preserve">and </w:t>
      </w:r>
      <w:r>
        <w:rPr>
          <w:rFonts w:ascii="Times New Roman" w:hAnsi="Times New Roman"/>
          <w:b w:val="0"/>
          <w:sz w:val="24"/>
          <w:szCs w:val="24"/>
        </w:rPr>
        <w:t>which is</w:t>
      </w:r>
      <w:r w:rsidRPr="00C97AB3">
        <w:rPr>
          <w:rFonts w:ascii="Times New Roman" w:hAnsi="Times New Roman"/>
          <w:b w:val="0"/>
          <w:sz w:val="24"/>
          <w:szCs w:val="24"/>
        </w:rPr>
        <w:t xml:space="preserve"> available on the Federal Register of Legislation at </w:t>
      </w:r>
      <w:hyperlink r:id="rId13" w:history="1">
        <w:r w:rsidRPr="00C97AB3">
          <w:rPr>
            <w:rStyle w:val="Hyperlink"/>
            <w:rFonts w:ascii="Times New Roman" w:hAnsi="Times New Roman"/>
            <w:b w:val="0"/>
            <w:sz w:val="24"/>
            <w:szCs w:val="24"/>
          </w:rPr>
          <w:t>www.legislation.gov.au</w:t>
        </w:r>
      </w:hyperlink>
      <w:r>
        <w:rPr>
          <w:rFonts w:ascii="Times New Roman" w:hAnsi="Times New Roman"/>
          <w:b w:val="0"/>
          <w:sz w:val="24"/>
          <w:szCs w:val="24"/>
        </w:rPr>
        <w:t xml:space="preserve">. </w:t>
      </w:r>
    </w:p>
    <w:p w14:paraId="4A8F8EB5" w14:textId="5E180B7C" w:rsidR="00D66255" w:rsidRDefault="00D66255" w:rsidP="000B4113">
      <w:pPr>
        <w:pStyle w:val="Heading"/>
        <w:spacing w:after="240"/>
        <w:rPr>
          <w:rFonts w:ascii="Times New Roman" w:hAnsi="Times New Roman"/>
          <w:b w:val="0"/>
          <w:sz w:val="24"/>
          <w:szCs w:val="24"/>
        </w:rPr>
      </w:pPr>
      <w:r w:rsidRPr="00D66255">
        <w:rPr>
          <w:rFonts w:ascii="Times New Roman" w:hAnsi="Times New Roman"/>
          <w:b w:val="0"/>
          <w:sz w:val="24"/>
          <w:szCs w:val="24"/>
        </w:rPr>
        <w:t>CPS</w:t>
      </w:r>
      <w:r w:rsidR="003F5A8B">
        <w:rPr>
          <w:rFonts w:ascii="Times New Roman" w:hAnsi="Times New Roman"/>
          <w:b w:val="0"/>
          <w:sz w:val="24"/>
          <w:szCs w:val="24"/>
        </w:rPr>
        <w:t> </w:t>
      </w:r>
      <w:r w:rsidRPr="00D66255">
        <w:rPr>
          <w:rFonts w:ascii="Times New Roman" w:hAnsi="Times New Roman"/>
          <w:b w:val="0"/>
          <w:sz w:val="24"/>
          <w:szCs w:val="24"/>
        </w:rPr>
        <w:t>226 also incorporates by reference the BCBS-IOSCO framework as it exists at 23</w:t>
      </w:r>
      <w:r w:rsidR="00B14899">
        <w:rPr>
          <w:rFonts w:ascii="Times New Roman" w:hAnsi="Times New Roman"/>
          <w:b w:val="0"/>
          <w:sz w:val="24"/>
          <w:szCs w:val="24"/>
        </w:rPr>
        <w:t> </w:t>
      </w:r>
      <w:r w:rsidRPr="00D66255">
        <w:rPr>
          <w:rFonts w:ascii="Times New Roman" w:hAnsi="Times New Roman"/>
          <w:b w:val="0"/>
          <w:sz w:val="24"/>
          <w:szCs w:val="24"/>
        </w:rPr>
        <w:t xml:space="preserve">July 2019 and the IOSCO Risk Mitigation Standards as they exist at 28 January 2015. These documents are available at: BCBS-IOSCO framework: </w:t>
      </w:r>
      <w:hyperlink r:id="rId14" w:history="1">
        <w:r w:rsidRPr="003257BE">
          <w:rPr>
            <w:rStyle w:val="Hyperlink"/>
            <w:rFonts w:ascii="Times New Roman" w:hAnsi="Times New Roman"/>
            <w:b w:val="0"/>
            <w:sz w:val="24"/>
            <w:szCs w:val="24"/>
          </w:rPr>
          <w:t>https://www.bis.org/bcbs/publ/d475.pdf</w:t>
        </w:r>
      </w:hyperlink>
      <w:r>
        <w:rPr>
          <w:rFonts w:ascii="Times New Roman" w:hAnsi="Times New Roman"/>
          <w:b w:val="0"/>
          <w:sz w:val="24"/>
          <w:szCs w:val="24"/>
        </w:rPr>
        <w:t>;</w:t>
      </w:r>
      <w:r w:rsidRPr="00D66255">
        <w:rPr>
          <w:rFonts w:ascii="Times New Roman" w:hAnsi="Times New Roman"/>
          <w:b w:val="0"/>
          <w:sz w:val="24"/>
          <w:szCs w:val="24"/>
        </w:rPr>
        <w:t xml:space="preserve"> and IOSCO Risk Mitigation Standards: </w:t>
      </w:r>
      <w:hyperlink r:id="rId15" w:history="1">
        <w:r w:rsidR="003F5A8B" w:rsidRPr="003257BE">
          <w:rPr>
            <w:rStyle w:val="Hyperlink"/>
            <w:rFonts w:ascii="Times New Roman" w:hAnsi="Times New Roman"/>
            <w:b w:val="0"/>
            <w:sz w:val="24"/>
            <w:szCs w:val="24"/>
          </w:rPr>
          <w:t>https://www.iosco.org/library/pubdocs/pdf/IOSCOPD469.pdf</w:t>
        </w:r>
      </w:hyperlink>
      <w:r w:rsidR="003F5A8B">
        <w:rPr>
          <w:rFonts w:ascii="Times New Roman" w:hAnsi="Times New Roman"/>
          <w:b w:val="0"/>
          <w:sz w:val="24"/>
          <w:szCs w:val="24"/>
        </w:rPr>
        <w:t xml:space="preserve">. </w:t>
      </w:r>
    </w:p>
    <w:p w14:paraId="752CFDF8" w14:textId="4879E79E" w:rsidR="00A71EDF" w:rsidRDefault="0016033A" w:rsidP="00A71EDF">
      <w:pPr>
        <w:spacing w:after="240"/>
        <w:jc w:val="both"/>
        <w:rPr>
          <w:rFonts w:ascii="Times New Roman" w:hAnsi="Times New Roman"/>
          <w:sz w:val="24"/>
          <w:szCs w:val="24"/>
        </w:rPr>
      </w:pPr>
      <w:r>
        <w:rPr>
          <w:rFonts w:ascii="Times New Roman" w:hAnsi="Times New Roman"/>
          <w:sz w:val="24"/>
          <w:szCs w:val="24"/>
        </w:rPr>
        <w:t xml:space="preserve">CPS 226 </w:t>
      </w:r>
      <w:r w:rsidR="004A0949">
        <w:rPr>
          <w:rFonts w:ascii="Times New Roman" w:hAnsi="Times New Roman"/>
          <w:sz w:val="24"/>
          <w:szCs w:val="24"/>
        </w:rPr>
        <w:t>provide</w:t>
      </w:r>
      <w:r w:rsidR="00B14899">
        <w:rPr>
          <w:rFonts w:ascii="Times New Roman" w:hAnsi="Times New Roman"/>
          <w:sz w:val="24"/>
          <w:szCs w:val="24"/>
        </w:rPr>
        <w:t>s</w:t>
      </w:r>
      <w:r w:rsidR="004A0949">
        <w:rPr>
          <w:rFonts w:ascii="Times New Roman" w:hAnsi="Times New Roman"/>
          <w:sz w:val="24"/>
          <w:szCs w:val="24"/>
        </w:rPr>
        <w:t xml:space="preserve"> for APRA to exercise various discretions. </w:t>
      </w:r>
      <w:r w:rsidR="004A0949" w:rsidRPr="004A0949">
        <w:rPr>
          <w:rFonts w:ascii="Times New Roman" w:hAnsi="Times New Roman"/>
          <w:sz w:val="24"/>
          <w:szCs w:val="24"/>
        </w:rPr>
        <w:t>Decisions made by APRA exercising those discretions are not subject to merits review. This is because these decisions are preliminary decisions that may facilitate or lead to substantive decisions which are subject to merits review.</w:t>
      </w:r>
    </w:p>
    <w:p w14:paraId="008D8EC3" w14:textId="110B3BBC" w:rsidR="00D14060" w:rsidRDefault="00D14060" w:rsidP="00D14060">
      <w:pPr>
        <w:spacing w:after="240"/>
        <w:jc w:val="both"/>
        <w:rPr>
          <w:rFonts w:ascii="Times New Roman" w:hAnsi="Times New Roman"/>
          <w:sz w:val="24"/>
          <w:szCs w:val="24"/>
        </w:rPr>
      </w:pPr>
      <w:r w:rsidRPr="00D14060">
        <w:rPr>
          <w:rFonts w:ascii="Times New Roman" w:hAnsi="Times New Roman"/>
          <w:sz w:val="24"/>
          <w:szCs w:val="24"/>
        </w:rPr>
        <w:t>Under the Banking Act, Insurance Act and Life Insurance Act, a breach of a prudential standard is a breach of the enabling legislation, as each enabling Act provides that regulated entities must comply with the standard. Under the SIS Act, it is a condition on all RSE licences that the RSE licensee must comply with the RSE licensee law, which includes prudential standards. However there are no penalties prescribed for breach of the prudential standards under any of these Acts. Instead an entity’s breach of the enabling legislation or RSE licence condition is grounds for APRA to make further, substantive decisions under the relevant enabling legislation in relation to the entity. Those decisions are:</w:t>
      </w:r>
    </w:p>
    <w:p w14:paraId="028AB76D" w14:textId="52E5C537" w:rsidR="00D14060" w:rsidRDefault="00D14060" w:rsidP="00D14060">
      <w:pPr>
        <w:pStyle w:val="Heading"/>
        <w:numPr>
          <w:ilvl w:val="0"/>
          <w:numId w:val="8"/>
        </w:numPr>
        <w:spacing w:after="240"/>
        <w:ind w:left="360"/>
        <w:rPr>
          <w:rFonts w:ascii="Times New Roman" w:hAnsi="Times New Roman"/>
          <w:b w:val="0"/>
          <w:sz w:val="24"/>
          <w:szCs w:val="24"/>
        </w:rPr>
      </w:pPr>
      <w:r>
        <w:rPr>
          <w:rFonts w:ascii="Times New Roman" w:hAnsi="Times New Roman"/>
          <w:b w:val="0"/>
          <w:sz w:val="24"/>
          <w:szCs w:val="24"/>
        </w:rPr>
        <w:lastRenderedPageBreak/>
        <w:t>to revoke an authority to carry on banking business (section 9A of the Banking Act), insurance business (section 15 of the Insurance Act), or life insurance business (section 26 of the Life Insurance Act), or to revoke an authority to operate an APRA-regulated superannuation fund (section 29G of the SIS Act); and</w:t>
      </w:r>
    </w:p>
    <w:p w14:paraId="1EAB7E62" w14:textId="4BC62C85" w:rsidR="00D14060" w:rsidRDefault="00D14060" w:rsidP="00D14060">
      <w:pPr>
        <w:pStyle w:val="Heading"/>
        <w:numPr>
          <w:ilvl w:val="0"/>
          <w:numId w:val="8"/>
        </w:numPr>
        <w:spacing w:after="240"/>
        <w:ind w:left="360"/>
        <w:rPr>
          <w:rFonts w:ascii="Times New Roman" w:hAnsi="Times New Roman"/>
          <w:b w:val="0"/>
          <w:sz w:val="24"/>
          <w:szCs w:val="24"/>
        </w:rPr>
      </w:pPr>
      <w:r>
        <w:rPr>
          <w:rFonts w:ascii="Times New Roman" w:hAnsi="Times New Roman"/>
          <w:b w:val="0"/>
          <w:sz w:val="24"/>
          <w:szCs w:val="24"/>
        </w:rPr>
        <w:t>to issue a direction to the</w:t>
      </w:r>
      <w:r w:rsidR="00550E24">
        <w:rPr>
          <w:rFonts w:ascii="Times New Roman" w:hAnsi="Times New Roman"/>
          <w:b w:val="0"/>
          <w:sz w:val="24"/>
          <w:szCs w:val="24"/>
        </w:rPr>
        <w:t xml:space="preserve"> regulated entity</w:t>
      </w:r>
      <w:r>
        <w:rPr>
          <w:rFonts w:ascii="Times New Roman" w:hAnsi="Times New Roman"/>
          <w:b w:val="0"/>
          <w:sz w:val="24"/>
          <w:szCs w:val="24"/>
        </w:rPr>
        <w:t xml:space="preserve">, including a direction to comply with the whole or part of a prudential standard (section 11CA of the </w:t>
      </w:r>
      <w:r w:rsidR="00550E24">
        <w:rPr>
          <w:rFonts w:ascii="Times New Roman" w:hAnsi="Times New Roman"/>
          <w:b w:val="0"/>
          <w:sz w:val="24"/>
          <w:szCs w:val="24"/>
        </w:rPr>
        <w:t xml:space="preserve">Banking </w:t>
      </w:r>
      <w:r>
        <w:rPr>
          <w:rFonts w:ascii="Times New Roman" w:hAnsi="Times New Roman"/>
          <w:b w:val="0"/>
          <w:sz w:val="24"/>
          <w:szCs w:val="24"/>
        </w:rPr>
        <w:t>Act</w:t>
      </w:r>
      <w:r w:rsidR="00550E24">
        <w:rPr>
          <w:rFonts w:ascii="Times New Roman" w:hAnsi="Times New Roman"/>
          <w:b w:val="0"/>
          <w:sz w:val="24"/>
          <w:szCs w:val="24"/>
        </w:rPr>
        <w:t>, section 104 of the Insurance Act, section 230B of the Life Insurance Act or section 131D of the SIS Act</w:t>
      </w:r>
      <w:r>
        <w:rPr>
          <w:rFonts w:ascii="Times New Roman" w:hAnsi="Times New Roman"/>
          <w:b w:val="0"/>
          <w:sz w:val="24"/>
          <w:szCs w:val="24"/>
        </w:rPr>
        <w:t>).</w:t>
      </w:r>
    </w:p>
    <w:p w14:paraId="5E2C4E5D" w14:textId="3C247A29" w:rsidR="00D14060" w:rsidRDefault="00D14060" w:rsidP="00D14060">
      <w:pPr>
        <w:spacing w:after="240"/>
        <w:jc w:val="both"/>
        <w:rPr>
          <w:rFonts w:ascii="Times New Roman" w:hAnsi="Times New Roman"/>
          <w:sz w:val="24"/>
          <w:szCs w:val="24"/>
        </w:rPr>
      </w:pPr>
      <w:r w:rsidRPr="00D14060">
        <w:rPr>
          <w:rFonts w:ascii="Times New Roman" w:hAnsi="Times New Roman"/>
          <w:sz w:val="24"/>
          <w:szCs w:val="24"/>
        </w:rPr>
        <w:t>It is only at this stage that an entity is exposed to a penalty: loss of licence or imposition of a penalty if it breaches the direction (50</w:t>
      </w:r>
      <w:r w:rsidR="00550E24">
        <w:rPr>
          <w:rFonts w:ascii="Times New Roman" w:hAnsi="Times New Roman"/>
          <w:sz w:val="24"/>
          <w:szCs w:val="24"/>
        </w:rPr>
        <w:t xml:space="preserve"> penalty units each day under section </w:t>
      </w:r>
      <w:r w:rsidRPr="00D14060">
        <w:rPr>
          <w:rFonts w:ascii="Times New Roman" w:hAnsi="Times New Roman"/>
          <w:sz w:val="24"/>
          <w:szCs w:val="24"/>
        </w:rPr>
        <w:t>11CG</w:t>
      </w:r>
      <w:r w:rsidR="00550E24">
        <w:rPr>
          <w:rFonts w:ascii="Times New Roman" w:hAnsi="Times New Roman"/>
          <w:sz w:val="24"/>
          <w:szCs w:val="24"/>
        </w:rPr>
        <w:t xml:space="preserve"> of the Banking Act, section </w:t>
      </w:r>
      <w:r w:rsidRPr="00D14060">
        <w:rPr>
          <w:rFonts w:ascii="Times New Roman" w:hAnsi="Times New Roman"/>
          <w:sz w:val="24"/>
          <w:szCs w:val="24"/>
        </w:rPr>
        <w:t>108</w:t>
      </w:r>
      <w:r w:rsidR="00550E24">
        <w:rPr>
          <w:rFonts w:ascii="Times New Roman" w:hAnsi="Times New Roman"/>
          <w:sz w:val="24"/>
          <w:szCs w:val="24"/>
        </w:rPr>
        <w:t xml:space="preserve"> of the Insurance Act and section </w:t>
      </w:r>
      <w:r w:rsidRPr="00D14060">
        <w:rPr>
          <w:rFonts w:ascii="Times New Roman" w:hAnsi="Times New Roman"/>
          <w:sz w:val="24"/>
          <w:szCs w:val="24"/>
        </w:rPr>
        <w:t>230F</w:t>
      </w:r>
      <w:r w:rsidR="00550E24">
        <w:rPr>
          <w:rFonts w:ascii="Times New Roman" w:hAnsi="Times New Roman"/>
          <w:sz w:val="24"/>
          <w:szCs w:val="24"/>
        </w:rPr>
        <w:t xml:space="preserve"> of the</w:t>
      </w:r>
      <w:r w:rsidRPr="00D14060">
        <w:rPr>
          <w:rFonts w:ascii="Times New Roman" w:hAnsi="Times New Roman"/>
          <w:sz w:val="24"/>
          <w:szCs w:val="24"/>
        </w:rPr>
        <w:t xml:space="preserve"> Life Insurance Act, 100</w:t>
      </w:r>
      <w:r w:rsidR="00550E24">
        <w:rPr>
          <w:rFonts w:ascii="Times New Roman" w:hAnsi="Times New Roman"/>
          <w:sz w:val="24"/>
          <w:szCs w:val="24"/>
        </w:rPr>
        <w:t xml:space="preserve"> penalty units each day under section </w:t>
      </w:r>
      <w:r w:rsidRPr="00D14060">
        <w:rPr>
          <w:rFonts w:ascii="Times New Roman" w:hAnsi="Times New Roman"/>
          <w:sz w:val="24"/>
          <w:szCs w:val="24"/>
        </w:rPr>
        <w:t>131DD</w:t>
      </w:r>
      <w:r w:rsidR="00550E24">
        <w:rPr>
          <w:rFonts w:ascii="Times New Roman" w:hAnsi="Times New Roman"/>
          <w:sz w:val="24"/>
          <w:szCs w:val="24"/>
        </w:rPr>
        <w:t xml:space="preserve"> of the SIS Act)</w:t>
      </w:r>
      <w:r w:rsidRPr="00D14060">
        <w:rPr>
          <w:rFonts w:ascii="Times New Roman" w:hAnsi="Times New Roman"/>
          <w:sz w:val="24"/>
          <w:szCs w:val="24"/>
        </w:rPr>
        <w:t>.</w:t>
      </w:r>
      <w:r w:rsidR="00550E24">
        <w:rPr>
          <w:rStyle w:val="FootnoteReference"/>
          <w:rFonts w:ascii="Times New Roman" w:hAnsi="Times New Roman"/>
          <w:sz w:val="24"/>
          <w:szCs w:val="24"/>
        </w:rPr>
        <w:footnoteReference w:id="2"/>
      </w:r>
      <w:r w:rsidRPr="00D14060">
        <w:rPr>
          <w:rFonts w:ascii="Times New Roman" w:hAnsi="Times New Roman"/>
          <w:sz w:val="24"/>
          <w:szCs w:val="24"/>
        </w:rPr>
        <w:t xml:space="preserve"> The subsequent substantive decisions of APRA to impose a direction or revoke a licence are subject to merits review. In nearly all cases</w:t>
      </w:r>
      <w:r w:rsidR="00550E24">
        <w:rPr>
          <w:rFonts w:ascii="Times New Roman" w:hAnsi="Times New Roman"/>
          <w:sz w:val="24"/>
          <w:szCs w:val="24"/>
        </w:rPr>
        <w:t>,</w:t>
      </w:r>
      <w:r w:rsidR="00550E24">
        <w:rPr>
          <w:rStyle w:val="FootnoteReference"/>
          <w:rFonts w:ascii="Times New Roman" w:hAnsi="Times New Roman"/>
          <w:sz w:val="24"/>
          <w:szCs w:val="24"/>
        </w:rPr>
        <w:footnoteReference w:id="3"/>
      </w:r>
      <w:r w:rsidRPr="00D14060">
        <w:rPr>
          <w:rFonts w:ascii="Times New Roman" w:hAnsi="Times New Roman"/>
          <w:sz w:val="24"/>
          <w:szCs w:val="24"/>
        </w:rPr>
        <w:t xml:space="preserve"> the decisions are preceded by a full consultation with the regulated entity to raise any concerns they may have in relation to the decision.</w:t>
      </w:r>
    </w:p>
    <w:p w14:paraId="03BE545C" w14:textId="77777777" w:rsidR="002436BD" w:rsidRDefault="002436BD" w:rsidP="00DF7DA0">
      <w:pPr>
        <w:pStyle w:val="Heading"/>
        <w:numPr>
          <w:ilvl w:val="0"/>
          <w:numId w:val="2"/>
        </w:numPr>
        <w:spacing w:after="240"/>
        <w:rPr>
          <w:rFonts w:ascii="Times New Roman" w:hAnsi="Times New Roman"/>
          <w:sz w:val="24"/>
          <w:szCs w:val="24"/>
        </w:rPr>
      </w:pPr>
      <w:bookmarkStart w:id="5" w:name="bkPurpose"/>
      <w:bookmarkStart w:id="6" w:name="bkoperation"/>
      <w:bookmarkStart w:id="7" w:name="bkConsultationNo"/>
      <w:bookmarkEnd w:id="5"/>
      <w:bookmarkEnd w:id="6"/>
      <w:bookmarkEnd w:id="7"/>
      <w:r w:rsidRPr="002C6D26">
        <w:rPr>
          <w:rFonts w:ascii="Times New Roman" w:hAnsi="Times New Roman"/>
          <w:sz w:val="24"/>
          <w:szCs w:val="24"/>
        </w:rPr>
        <w:t>Consultation</w:t>
      </w:r>
    </w:p>
    <w:p w14:paraId="013CFFD9" w14:textId="4FE029D0" w:rsidR="00A4704C" w:rsidRDefault="002436BD" w:rsidP="003E22BA">
      <w:pPr>
        <w:pStyle w:val="Heading"/>
        <w:tabs>
          <w:tab w:val="left" w:pos="360"/>
        </w:tabs>
        <w:spacing w:after="240"/>
        <w:rPr>
          <w:rFonts w:ascii="Times New Roman" w:hAnsi="Times New Roman"/>
          <w:b w:val="0"/>
          <w:sz w:val="24"/>
          <w:szCs w:val="24"/>
        </w:rPr>
      </w:pPr>
      <w:r>
        <w:rPr>
          <w:rFonts w:ascii="Times New Roman" w:hAnsi="Times New Roman"/>
          <w:b w:val="0"/>
          <w:sz w:val="24"/>
          <w:szCs w:val="24"/>
        </w:rPr>
        <w:t xml:space="preserve">APRA </w:t>
      </w:r>
      <w:r w:rsidR="00774922">
        <w:rPr>
          <w:rFonts w:ascii="Times New Roman" w:hAnsi="Times New Roman"/>
          <w:b w:val="0"/>
          <w:sz w:val="24"/>
          <w:szCs w:val="24"/>
        </w:rPr>
        <w:t xml:space="preserve">did not engage in any formal public consultation prior to amending </w:t>
      </w:r>
      <w:r w:rsidR="009566F2">
        <w:rPr>
          <w:rFonts w:ascii="Times New Roman" w:hAnsi="Times New Roman"/>
          <w:b w:val="0"/>
          <w:sz w:val="24"/>
          <w:szCs w:val="24"/>
        </w:rPr>
        <w:t>CPS 226</w:t>
      </w:r>
      <w:r w:rsidR="00774922" w:rsidRPr="008744AE">
        <w:rPr>
          <w:rFonts w:ascii="Times New Roman" w:hAnsi="Times New Roman"/>
          <w:b w:val="0"/>
          <w:sz w:val="24"/>
          <w:szCs w:val="24"/>
        </w:rPr>
        <w:t>.</w:t>
      </w:r>
      <w:r w:rsidR="00D670CB" w:rsidRPr="008744AE">
        <w:rPr>
          <w:rFonts w:ascii="Times New Roman" w:hAnsi="Times New Roman"/>
          <w:b w:val="0"/>
          <w:sz w:val="24"/>
          <w:szCs w:val="24"/>
        </w:rPr>
        <w:t xml:space="preserve"> </w:t>
      </w:r>
      <w:r w:rsidR="00D670CB" w:rsidRPr="0026634D">
        <w:rPr>
          <w:rFonts w:ascii="Times New Roman" w:hAnsi="Times New Roman"/>
          <w:b w:val="0"/>
          <w:sz w:val="24"/>
          <w:szCs w:val="24"/>
        </w:rPr>
        <w:t xml:space="preserve">The decision-maker is satisfied that no public consultation in this instance was appropriate, given the changes </w:t>
      </w:r>
      <w:r w:rsidR="008744AE">
        <w:rPr>
          <w:rFonts w:ascii="Times New Roman" w:hAnsi="Times New Roman"/>
          <w:b w:val="0"/>
          <w:sz w:val="24"/>
          <w:szCs w:val="24"/>
        </w:rPr>
        <w:t xml:space="preserve">are intended to provide relief to APRA-regulated entities at a time when their resources are more appropriately directed to dealing with the impact of the </w:t>
      </w:r>
      <w:r w:rsidR="0026634D">
        <w:rPr>
          <w:rFonts w:ascii="Times New Roman" w:hAnsi="Times New Roman"/>
          <w:b w:val="0"/>
          <w:sz w:val="24"/>
          <w:szCs w:val="24"/>
        </w:rPr>
        <w:t>COVID</w:t>
      </w:r>
      <w:r w:rsidR="008744AE">
        <w:rPr>
          <w:rFonts w:ascii="Times New Roman" w:hAnsi="Times New Roman"/>
          <w:b w:val="0"/>
          <w:sz w:val="24"/>
          <w:szCs w:val="24"/>
        </w:rPr>
        <w:t>-19 pandemic on their businesses and on the Australian financial system. Furthermore, the deferral</w:t>
      </w:r>
      <w:r w:rsidR="00D670CB" w:rsidRPr="0026634D">
        <w:rPr>
          <w:rFonts w:ascii="Times New Roman" w:hAnsi="Times New Roman"/>
          <w:b w:val="0"/>
          <w:sz w:val="24"/>
          <w:szCs w:val="24"/>
        </w:rPr>
        <w:t xml:space="preserve"> to </w:t>
      </w:r>
      <w:r w:rsidR="0030341C">
        <w:rPr>
          <w:rFonts w:ascii="Times New Roman" w:hAnsi="Times New Roman"/>
          <w:b w:val="0"/>
          <w:sz w:val="24"/>
          <w:szCs w:val="24"/>
        </w:rPr>
        <w:t>the phase-in periods</w:t>
      </w:r>
      <w:r w:rsidR="00D670CB" w:rsidRPr="0026634D">
        <w:rPr>
          <w:rFonts w:ascii="Times New Roman" w:hAnsi="Times New Roman"/>
          <w:b w:val="0"/>
          <w:sz w:val="24"/>
          <w:szCs w:val="24"/>
        </w:rPr>
        <w:t xml:space="preserve"> had been requested by a number of APRA-regulated entities and industry bodies.</w:t>
      </w:r>
      <w:r w:rsidR="007D0D50">
        <w:rPr>
          <w:rFonts w:ascii="Times New Roman" w:hAnsi="Times New Roman"/>
          <w:b w:val="0"/>
          <w:sz w:val="24"/>
          <w:szCs w:val="24"/>
        </w:rPr>
        <w:t xml:space="preserve"> APRA publicly announced its intention to defer the commencement of the next two phase-in periods of CPS</w:t>
      </w:r>
      <w:r w:rsidR="008958DE">
        <w:rPr>
          <w:rFonts w:ascii="Times New Roman" w:hAnsi="Times New Roman"/>
          <w:b w:val="0"/>
          <w:sz w:val="24"/>
          <w:szCs w:val="24"/>
        </w:rPr>
        <w:t> </w:t>
      </w:r>
      <w:r w:rsidR="007D0D50">
        <w:rPr>
          <w:rFonts w:ascii="Times New Roman" w:hAnsi="Times New Roman"/>
          <w:b w:val="0"/>
          <w:sz w:val="24"/>
          <w:szCs w:val="24"/>
        </w:rPr>
        <w:t>226 in April 2020.</w:t>
      </w:r>
    </w:p>
    <w:p w14:paraId="7214CE46" w14:textId="77777777" w:rsidR="002436BD" w:rsidRDefault="00DF524E" w:rsidP="00DF7DA0">
      <w:pPr>
        <w:pStyle w:val="Heading"/>
        <w:tabs>
          <w:tab w:val="left" w:pos="360"/>
        </w:tabs>
        <w:spacing w:after="240"/>
        <w:rPr>
          <w:rFonts w:ascii="Times New Roman" w:hAnsi="Times New Roman"/>
          <w:sz w:val="24"/>
          <w:szCs w:val="24"/>
        </w:rPr>
      </w:pPr>
      <w:bookmarkStart w:id="8" w:name="bkConsultation"/>
      <w:bookmarkStart w:id="9" w:name="bkRISNO"/>
      <w:bookmarkStart w:id="10" w:name="bkRIS"/>
      <w:bookmarkEnd w:id="8"/>
      <w:bookmarkEnd w:id="9"/>
      <w:r>
        <w:rPr>
          <w:rFonts w:ascii="Times New Roman" w:hAnsi="Times New Roman"/>
          <w:sz w:val="24"/>
          <w:szCs w:val="24"/>
        </w:rPr>
        <w:t>4</w:t>
      </w:r>
      <w:r w:rsidR="002436BD" w:rsidRPr="002C6D26">
        <w:rPr>
          <w:rFonts w:ascii="Times New Roman" w:hAnsi="Times New Roman"/>
          <w:sz w:val="24"/>
          <w:szCs w:val="24"/>
        </w:rPr>
        <w:t xml:space="preserve">. </w:t>
      </w:r>
      <w:r w:rsidR="002436BD" w:rsidRPr="002C6D26">
        <w:rPr>
          <w:rFonts w:ascii="Times New Roman" w:hAnsi="Times New Roman"/>
          <w:sz w:val="24"/>
          <w:szCs w:val="24"/>
        </w:rPr>
        <w:tab/>
        <w:t>R</w:t>
      </w:r>
      <w:r w:rsidR="002436BD">
        <w:rPr>
          <w:rFonts w:ascii="Times New Roman" w:hAnsi="Times New Roman"/>
          <w:sz w:val="24"/>
          <w:szCs w:val="24"/>
        </w:rPr>
        <w:t xml:space="preserve">egulation </w:t>
      </w:r>
      <w:r w:rsidR="002436BD" w:rsidRPr="002C6D26">
        <w:rPr>
          <w:rFonts w:ascii="Times New Roman" w:hAnsi="Times New Roman"/>
          <w:sz w:val="24"/>
          <w:szCs w:val="24"/>
        </w:rPr>
        <w:t>I</w:t>
      </w:r>
      <w:r w:rsidR="002436BD">
        <w:rPr>
          <w:rFonts w:ascii="Times New Roman" w:hAnsi="Times New Roman"/>
          <w:sz w:val="24"/>
          <w:szCs w:val="24"/>
        </w:rPr>
        <w:t xml:space="preserve">mpact </w:t>
      </w:r>
      <w:r w:rsidR="002436BD" w:rsidRPr="002C6D26">
        <w:rPr>
          <w:rFonts w:ascii="Times New Roman" w:hAnsi="Times New Roman"/>
          <w:sz w:val="24"/>
          <w:szCs w:val="24"/>
        </w:rPr>
        <w:t>S</w:t>
      </w:r>
      <w:r w:rsidR="002436BD">
        <w:rPr>
          <w:rFonts w:ascii="Times New Roman" w:hAnsi="Times New Roman"/>
          <w:sz w:val="24"/>
          <w:szCs w:val="24"/>
        </w:rPr>
        <w:t>tatement</w:t>
      </w:r>
    </w:p>
    <w:bookmarkEnd w:id="10"/>
    <w:p w14:paraId="233A3A3C" w14:textId="344CDC79" w:rsidR="002436BD" w:rsidRDefault="00334DD1" w:rsidP="00DF7DA0">
      <w:pPr>
        <w:pStyle w:val="Heading"/>
        <w:spacing w:after="240"/>
        <w:rPr>
          <w:rFonts w:ascii="Times New Roman" w:hAnsi="Times New Roman"/>
          <w:b w:val="0"/>
          <w:sz w:val="24"/>
          <w:szCs w:val="24"/>
        </w:rPr>
      </w:pPr>
      <w:r w:rsidRPr="0026634D">
        <w:rPr>
          <w:rFonts w:ascii="Times New Roman" w:hAnsi="Times New Roman"/>
          <w:b w:val="0"/>
          <w:sz w:val="24"/>
          <w:szCs w:val="24"/>
        </w:rPr>
        <w:t>The Office of Best Practice Regulation has advised that no Regulat</w:t>
      </w:r>
      <w:r w:rsidR="009918FF">
        <w:rPr>
          <w:rFonts w:ascii="Times New Roman" w:hAnsi="Times New Roman"/>
          <w:b w:val="0"/>
          <w:sz w:val="24"/>
          <w:szCs w:val="24"/>
        </w:rPr>
        <w:t>ion</w:t>
      </w:r>
      <w:r w:rsidRPr="0026634D">
        <w:rPr>
          <w:rFonts w:ascii="Times New Roman" w:hAnsi="Times New Roman"/>
          <w:b w:val="0"/>
          <w:sz w:val="24"/>
          <w:szCs w:val="24"/>
        </w:rPr>
        <w:t xml:space="preserve"> Impact statement is required as the changes</w:t>
      </w:r>
      <w:r w:rsidR="00340D2E">
        <w:rPr>
          <w:rFonts w:ascii="Times New Roman" w:hAnsi="Times New Roman"/>
          <w:b w:val="0"/>
          <w:sz w:val="24"/>
          <w:szCs w:val="24"/>
        </w:rPr>
        <w:t xml:space="preserve"> to CPS 226</w:t>
      </w:r>
      <w:r w:rsidRPr="0026634D">
        <w:rPr>
          <w:rFonts w:ascii="Times New Roman" w:hAnsi="Times New Roman"/>
          <w:b w:val="0"/>
          <w:sz w:val="24"/>
          <w:szCs w:val="24"/>
        </w:rPr>
        <w:t xml:space="preserve"> are minor and machinery.</w:t>
      </w:r>
    </w:p>
    <w:p w14:paraId="401F3907" w14:textId="77777777" w:rsidR="002436BD" w:rsidRPr="00B3165F" w:rsidRDefault="00DF524E" w:rsidP="00163FA0">
      <w:pPr>
        <w:pStyle w:val="Heading"/>
        <w:keepNext/>
        <w:tabs>
          <w:tab w:val="left" w:pos="360"/>
        </w:tabs>
        <w:spacing w:after="240"/>
        <w:rPr>
          <w:rFonts w:ascii="Times New Roman" w:hAnsi="Times New Roman"/>
          <w:sz w:val="24"/>
          <w:szCs w:val="24"/>
        </w:rPr>
      </w:pPr>
      <w:r>
        <w:rPr>
          <w:rFonts w:ascii="Times New Roman" w:hAnsi="Times New Roman"/>
          <w:sz w:val="24"/>
          <w:szCs w:val="24"/>
        </w:rPr>
        <w:lastRenderedPageBreak/>
        <w:t>5</w:t>
      </w:r>
      <w:r w:rsidR="002436BD" w:rsidRPr="00B3165F">
        <w:rPr>
          <w:rFonts w:ascii="Times New Roman" w:hAnsi="Times New Roman"/>
          <w:sz w:val="24"/>
          <w:szCs w:val="24"/>
        </w:rPr>
        <w:t>.</w:t>
      </w:r>
      <w:r w:rsidR="002436BD" w:rsidRPr="00B3165F">
        <w:rPr>
          <w:rFonts w:ascii="Times New Roman" w:hAnsi="Times New Roman"/>
          <w:sz w:val="24"/>
          <w:szCs w:val="24"/>
        </w:rPr>
        <w:tab/>
        <w:t>Statement of compatibility prepared in accordance with Part 3 of the Human Rights (Parliamentary Scrutiny) Act 2011</w:t>
      </w:r>
    </w:p>
    <w:p w14:paraId="08DB91DF" w14:textId="0387E923" w:rsidR="001D2931" w:rsidRDefault="0030506B" w:rsidP="00DF7DA0">
      <w:pPr>
        <w:pStyle w:val="Heading"/>
        <w:spacing w:after="240"/>
        <w:rPr>
          <w:rFonts w:ascii="Times New Roman" w:hAnsi="Times New Roman"/>
          <w:b w:val="0"/>
          <w:sz w:val="24"/>
          <w:szCs w:val="24"/>
        </w:rPr>
      </w:pPr>
      <w:r w:rsidRPr="0030506B">
        <w:rPr>
          <w:rFonts w:ascii="Times New Roman" w:hAnsi="Times New Roman"/>
          <w:b w:val="0"/>
          <w:sz w:val="24"/>
          <w:szCs w:val="24"/>
        </w:rPr>
        <w:t xml:space="preserve">A Statement of compatibility prepared in accordance with Part 3 of the </w:t>
      </w:r>
      <w:r w:rsidRPr="0030506B">
        <w:rPr>
          <w:rFonts w:ascii="Times New Roman" w:hAnsi="Times New Roman"/>
          <w:b w:val="0"/>
          <w:i/>
          <w:sz w:val="24"/>
          <w:szCs w:val="24"/>
        </w:rPr>
        <w:t>Human Rights (Parliamentary Scrutiny) Act 2011</w:t>
      </w:r>
      <w:r w:rsidRPr="0030506B">
        <w:rPr>
          <w:rFonts w:ascii="Times New Roman" w:hAnsi="Times New Roman"/>
          <w:b w:val="0"/>
          <w:sz w:val="24"/>
          <w:szCs w:val="24"/>
        </w:rPr>
        <w:t xml:space="preserve"> is provided at Attachment A to this Explanatory Statement.</w:t>
      </w:r>
    </w:p>
    <w:p w14:paraId="100791F3" w14:textId="77777777" w:rsidR="001D2931" w:rsidRDefault="001D2931">
      <w:pPr>
        <w:rPr>
          <w:rFonts w:ascii="Times New Roman" w:hAnsi="Times New Roman"/>
          <w:sz w:val="24"/>
          <w:szCs w:val="24"/>
        </w:rPr>
      </w:pPr>
      <w:r>
        <w:rPr>
          <w:rFonts w:ascii="Times New Roman" w:hAnsi="Times New Roman"/>
          <w:b/>
          <w:sz w:val="24"/>
          <w:szCs w:val="24"/>
        </w:rPr>
        <w:br w:type="page"/>
      </w:r>
    </w:p>
    <w:p w14:paraId="0CB42133" w14:textId="77777777" w:rsidR="00C96F89" w:rsidRDefault="00C96F89" w:rsidP="00C96F89">
      <w:pPr>
        <w:spacing w:after="360"/>
        <w:outlineLvl w:val="0"/>
        <w:rPr>
          <w:rFonts w:ascii="Times New Roman" w:hAnsi="Times New Roman"/>
          <w:sz w:val="24"/>
          <w:szCs w:val="24"/>
          <w:u w:val="single"/>
        </w:rPr>
      </w:pPr>
      <w:r>
        <w:rPr>
          <w:rFonts w:ascii="Times New Roman" w:hAnsi="Times New Roman"/>
          <w:sz w:val="24"/>
          <w:szCs w:val="24"/>
          <w:u w:val="single"/>
        </w:rPr>
        <w:lastRenderedPageBreak/>
        <w:t>ATTACHMENT A</w:t>
      </w:r>
    </w:p>
    <w:p w14:paraId="756A5753" w14:textId="77777777" w:rsidR="00C96F89" w:rsidRDefault="00C96F89" w:rsidP="00C96F89">
      <w:pPr>
        <w:shd w:val="clear" w:color="auto" w:fill="FFFFFF"/>
        <w:spacing w:before="100" w:beforeAutospacing="1" w:after="240"/>
        <w:jc w:val="center"/>
        <w:rPr>
          <w:rFonts w:ascii="Times New Roman" w:hAnsi="Times New Roman"/>
          <w:sz w:val="24"/>
          <w:szCs w:val="24"/>
          <w:lang w:val="en-US"/>
        </w:rPr>
      </w:pPr>
      <w:r>
        <w:rPr>
          <w:rFonts w:ascii="Times New Roman" w:hAnsi="Times New Roman"/>
          <w:b/>
          <w:bCs/>
          <w:sz w:val="24"/>
          <w:szCs w:val="24"/>
        </w:rPr>
        <w:t>Statement of Compatibility with Human Rights</w:t>
      </w:r>
    </w:p>
    <w:p w14:paraId="0BA4F508" w14:textId="4ECC930D" w:rsidR="00C96F89" w:rsidRDefault="00C96F89" w:rsidP="00C96F89">
      <w:pPr>
        <w:shd w:val="clear" w:color="auto" w:fill="FFFFFF"/>
        <w:spacing w:before="100" w:beforeAutospacing="1" w:after="240"/>
        <w:jc w:val="center"/>
        <w:rPr>
          <w:rFonts w:ascii="Times New Roman" w:hAnsi="Times New Roman"/>
          <w:sz w:val="24"/>
          <w:szCs w:val="24"/>
          <w:lang w:val="en-US"/>
        </w:rPr>
      </w:pPr>
      <w:r>
        <w:rPr>
          <w:rFonts w:ascii="Times New Roman" w:hAnsi="Times New Roman"/>
          <w:sz w:val="24"/>
          <w:szCs w:val="24"/>
        </w:rPr>
        <w:t xml:space="preserve">Prepared in accordance with Part 3 of the </w:t>
      </w:r>
      <w:r>
        <w:rPr>
          <w:rFonts w:ascii="Times New Roman" w:hAnsi="Times New Roman"/>
          <w:i/>
          <w:iCs/>
          <w:sz w:val="24"/>
          <w:szCs w:val="24"/>
        </w:rPr>
        <w:t>Human Rights (Parliamentary Scrutiny) Act 2011</w:t>
      </w:r>
    </w:p>
    <w:p w14:paraId="5258DA58" w14:textId="1FD5FDC0" w:rsidR="00C96F89" w:rsidRDefault="00A71EDF" w:rsidP="00FD566F">
      <w:pPr>
        <w:shd w:val="clear" w:color="auto" w:fill="FFFFFF"/>
        <w:spacing w:before="100" w:beforeAutospacing="1" w:after="240"/>
        <w:jc w:val="center"/>
        <w:rPr>
          <w:rFonts w:ascii="Times New Roman" w:hAnsi="Times New Roman"/>
          <w:b/>
          <w:bCs/>
          <w:sz w:val="24"/>
          <w:szCs w:val="24"/>
        </w:rPr>
      </w:pPr>
      <w:r>
        <w:rPr>
          <w:rFonts w:ascii="Times New Roman" w:hAnsi="Times New Roman"/>
          <w:b/>
          <w:bCs/>
          <w:sz w:val="24"/>
          <w:szCs w:val="24"/>
        </w:rPr>
        <w:t xml:space="preserve">Banking, Insurance, Life Insurance and Superannuation (prudential standard) </w:t>
      </w:r>
      <w:r w:rsidRPr="00163FA0">
        <w:rPr>
          <w:rFonts w:ascii="Times New Roman" w:hAnsi="Times New Roman"/>
          <w:b/>
          <w:bCs/>
          <w:sz w:val="24"/>
          <w:szCs w:val="24"/>
        </w:rPr>
        <w:t xml:space="preserve">determination No. </w:t>
      </w:r>
      <w:r w:rsidR="00163FA0" w:rsidRPr="00163FA0">
        <w:rPr>
          <w:rFonts w:ascii="Times New Roman" w:hAnsi="Times New Roman"/>
          <w:b/>
          <w:bCs/>
          <w:sz w:val="24"/>
          <w:szCs w:val="24"/>
        </w:rPr>
        <w:t>1</w:t>
      </w:r>
      <w:r w:rsidRPr="00163FA0">
        <w:rPr>
          <w:rFonts w:ascii="Times New Roman" w:hAnsi="Times New Roman"/>
          <w:b/>
          <w:bCs/>
          <w:sz w:val="24"/>
          <w:szCs w:val="24"/>
        </w:rPr>
        <w:t xml:space="preserve"> of 2020</w:t>
      </w:r>
    </w:p>
    <w:p w14:paraId="35BD42C7" w14:textId="1A72A0B4" w:rsidR="00C96F89" w:rsidRDefault="00C96F89" w:rsidP="00C96F89">
      <w:pPr>
        <w:shd w:val="clear" w:color="auto" w:fill="FFFFFF"/>
        <w:spacing w:before="100" w:beforeAutospacing="1" w:after="240"/>
        <w:jc w:val="both"/>
        <w:rPr>
          <w:rFonts w:ascii="Times New Roman" w:hAnsi="Times New Roman"/>
          <w:sz w:val="24"/>
          <w:szCs w:val="24"/>
          <w:lang w:val="en-US"/>
        </w:rPr>
      </w:pPr>
      <w:r>
        <w:rPr>
          <w:rFonts w:ascii="Times New Roman" w:hAnsi="Times New Roman"/>
          <w:sz w:val="24"/>
          <w:szCs w:val="24"/>
        </w:rPr>
        <w:t xml:space="preserve">The legislative instrument </w:t>
      </w:r>
      <w:r w:rsidR="00340D2E">
        <w:rPr>
          <w:rFonts w:ascii="Times New Roman" w:hAnsi="Times New Roman"/>
          <w:sz w:val="24"/>
          <w:szCs w:val="24"/>
        </w:rPr>
        <w:t>is</w:t>
      </w:r>
      <w:r>
        <w:rPr>
          <w:rFonts w:ascii="Times New Roman" w:hAnsi="Times New Roman"/>
          <w:sz w:val="24"/>
          <w:szCs w:val="24"/>
        </w:rPr>
        <w:t xml:space="preserve"> compatible with the human rights and freedoms recognised or declared in the international instruments listed in section 3 of the </w:t>
      </w:r>
      <w:r>
        <w:rPr>
          <w:rFonts w:ascii="Times New Roman" w:hAnsi="Times New Roman"/>
          <w:i/>
          <w:iCs/>
          <w:sz w:val="24"/>
          <w:szCs w:val="24"/>
        </w:rPr>
        <w:t>Human Rights (Parliamentary Scrutiny) Act 2011</w:t>
      </w:r>
      <w:r>
        <w:rPr>
          <w:rFonts w:ascii="Times New Roman" w:hAnsi="Times New Roman"/>
          <w:sz w:val="24"/>
          <w:szCs w:val="24"/>
        </w:rPr>
        <w:t xml:space="preserve"> (HRPS Act).</w:t>
      </w:r>
    </w:p>
    <w:p w14:paraId="38B799D8" w14:textId="5D4A2C52" w:rsidR="00C96F89" w:rsidRDefault="00C96F89" w:rsidP="00C96F89">
      <w:pPr>
        <w:shd w:val="clear" w:color="auto" w:fill="FFFFFF"/>
        <w:spacing w:before="100" w:beforeAutospacing="1" w:after="240"/>
        <w:jc w:val="both"/>
        <w:rPr>
          <w:rFonts w:ascii="Times New Roman" w:hAnsi="Times New Roman"/>
          <w:sz w:val="24"/>
          <w:szCs w:val="24"/>
          <w:lang w:val="en-US"/>
        </w:rPr>
      </w:pPr>
      <w:r>
        <w:rPr>
          <w:rFonts w:ascii="Times New Roman" w:hAnsi="Times New Roman"/>
          <w:b/>
          <w:bCs/>
          <w:sz w:val="24"/>
          <w:szCs w:val="24"/>
        </w:rPr>
        <w:t>Overview of the Legislative Instruments</w:t>
      </w:r>
    </w:p>
    <w:p w14:paraId="26AE7E43" w14:textId="2F45CFC6" w:rsidR="003F5A8B" w:rsidRDefault="003F5A8B" w:rsidP="003F5A8B">
      <w:pPr>
        <w:spacing w:after="240"/>
        <w:jc w:val="both"/>
        <w:rPr>
          <w:rFonts w:ascii="Times New Roman" w:hAnsi="Times New Roman"/>
          <w:sz w:val="24"/>
          <w:szCs w:val="24"/>
        </w:rPr>
      </w:pPr>
      <w:r>
        <w:rPr>
          <w:rFonts w:ascii="Times New Roman" w:hAnsi="Times New Roman"/>
          <w:sz w:val="24"/>
          <w:szCs w:val="24"/>
        </w:rPr>
        <w:t xml:space="preserve">The purpose of Banking, Insurance, Life Insurance and Superannuation (prudential standard) determination </w:t>
      </w:r>
      <w:r w:rsidRPr="00163FA0">
        <w:rPr>
          <w:rFonts w:ascii="Times New Roman" w:hAnsi="Times New Roman"/>
          <w:sz w:val="24"/>
          <w:szCs w:val="24"/>
        </w:rPr>
        <w:t>No</w:t>
      </w:r>
      <w:r w:rsidR="00163FA0" w:rsidRPr="00163FA0">
        <w:rPr>
          <w:rFonts w:ascii="Times New Roman" w:hAnsi="Times New Roman"/>
          <w:sz w:val="24"/>
          <w:szCs w:val="24"/>
        </w:rPr>
        <w:t>.</w:t>
      </w:r>
      <w:r w:rsidRPr="00163FA0">
        <w:rPr>
          <w:rFonts w:ascii="Times New Roman" w:hAnsi="Times New Roman"/>
          <w:sz w:val="24"/>
          <w:szCs w:val="24"/>
        </w:rPr>
        <w:t xml:space="preserve"> </w:t>
      </w:r>
      <w:r w:rsidR="00163FA0" w:rsidRPr="00163FA0">
        <w:rPr>
          <w:rFonts w:ascii="Times New Roman" w:hAnsi="Times New Roman"/>
          <w:sz w:val="24"/>
          <w:szCs w:val="24"/>
        </w:rPr>
        <w:t>1</w:t>
      </w:r>
      <w:r w:rsidRPr="00163FA0">
        <w:rPr>
          <w:rFonts w:ascii="Times New Roman" w:hAnsi="Times New Roman"/>
          <w:sz w:val="24"/>
          <w:szCs w:val="24"/>
        </w:rPr>
        <w:t xml:space="preserve"> of 2020</w:t>
      </w:r>
      <w:r>
        <w:rPr>
          <w:rFonts w:ascii="Times New Roman" w:hAnsi="Times New Roman"/>
          <w:sz w:val="24"/>
          <w:szCs w:val="24"/>
        </w:rPr>
        <w:t xml:space="preserve"> is to revoke CPS 226 and replace it with a new version of CPS 226. The changes to CPS 226 defer the commencement of the next two phase-in periods of initial margin requirements for non-centrally cleared derivatives by 12 months, consistent with the revised international timetable.</w:t>
      </w:r>
      <w:r w:rsidR="00EA739F">
        <w:rPr>
          <w:rFonts w:ascii="Times New Roman" w:hAnsi="Times New Roman"/>
          <w:sz w:val="24"/>
          <w:szCs w:val="24"/>
        </w:rPr>
        <w:t xml:space="preserve"> The deferral relates to a prudential standard that is concerned only with imposing financial obligations on APRA-regulated institutions. </w:t>
      </w:r>
    </w:p>
    <w:p w14:paraId="185385E4" w14:textId="5329C08F" w:rsidR="00C96F89" w:rsidRDefault="00C96F89" w:rsidP="004262B9">
      <w:pPr>
        <w:keepNext/>
        <w:shd w:val="clear" w:color="auto" w:fill="FFFFFF"/>
        <w:spacing w:before="100" w:beforeAutospacing="1" w:after="240"/>
        <w:jc w:val="both"/>
        <w:rPr>
          <w:rFonts w:ascii="Times New Roman" w:hAnsi="Times New Roman"/>
          <w:sz w:val="24"/>
          <w:szCs w:val="24"/>
          <w:lang w:val="en-US"/>
        </w:rPr>
      </w:pPr>
      <w:r>
        <w:rPr>
          <w:rFonts w:ascii="Times New Roman" w:hAnsi="Times New Roman"/>
          <w:b/>
          <w:bCs/>
          <w:sz w:val="24"/>
          <w:szCs w:val="24"/>
        </w:rPr>
        <w:t>Human rights implications</w:t>
      </w:r>
    </w:p>
    <w:p w14:paraId="15EF2C39" w14:textId="77777777" w:rsidR="00EA739F" w:rsidRDefault="00C96F89" w:rsidP="00EA739F">
      <w:pPr>
        <w:shd w:val="clear" w:color="auto" w:fill="FFFFFF"/>
        <w:spacing w:before="100" w:beforeAutospacing="1" w:after="240"/>
        <w:jc w:val="both"/>
        <w:rPr>
          <w:rFonts w:ascii="Times New Roman" w:hAnsi="Times New Roman"/>
          <w:sz w:val="24"/>
          <w:szCs w:val="24"/>
        </w:rPr>
      </w:pPr>
      <w:r>
        <w:rPr>
          <w:rFonts w:ascii="Times New Roman" w:hAnsi="Times New Roman"/>
          <w:sz w:val="24"/>
          <w:szCs w:val="24"/>
        </w:rPr>
        <w:t>APRA has assessed the instrument</w:t>
      </w:r>
      <w:r w:rsidR="00EF5E30">
        <w:rPr>
          <w:rFonts w:ascii="Times New Roman" w:hAnsi="Times New Roman"/>
          <w:sz w:val="24"/>
          <w:szCs w:val="24"/>
        </w:rPr>
        <w:t>s</w:t>
      </w:r>
      <w:r>
        <w:rPr>
          <w:rFonts w:ascii="Times New Roman" w:hAnsi="Times New Roman"/>
          <w:sz w:val="24"/>
          <w:szCs w:val="24"/>
        </w:rPr>
        <w:t xml:space="preserve"> and is of the view that </w:t>
      </w:r>
      <w:r w:rsidR="00EF5E30">
        <w:rPr>
          <w:rFonts w:ascii="Times New Roman" w:hAnsi="Times New Roman"/>
          <w:sz w:val="24"/>
          <w:szCs w:val="24"/>
        </w:rPr>
        <w:t>they</w:t>
      </w:r>
      <w:r>
        <w:rPr>
          <w:rFonts w:ascii="Times New Roman" w:hAnsi="Times New Roman"/>
          <w:sz w:val="24"/>
          <w:szCs w:val="24"/>
        </w:rPr>
        <w:t xml:space="preserve"> do not engage any of the applicable rights or freedoms recognised or declared in the international instruments listed in section 3 of the HRPS Act. Accordingly, in APRA’s assessment, the instrument</w:t>
      </w:r>
      <w:r w:rsidR="00D93654">
        <w:rPr>
          <w:rFonts w:ascii="Times New Roman" w:hAnsi="Times New Roman"/>
          <w:sz w:val="24"/>
          <w:szCs w:val="24"/>
        </w:rPr>
        <w:t>s</w:t>
      </w:r>
      <w:r>
        <w:rPr>
          <w:rFonts w:ascii="Times New Roman" w:hAnsi="Times New Roman"/>
          <w:sz w:val="24"/>
          <w:szCs w:val="24"/>
        </w:rPr>
        <w:t xml:space="preserve"> </w:t>
      </w:r>
      <w:r w:rsidR="00D93654">
        <w:rPr>
          <w:rFonts w:ascii="Times New Roman" w:hAnsi="Times New Roman"/>
          <w:sz w:val="24"/>
          <w:szCs w:val="24"/>
        </w:rPr>
        <w:t>are</w:t>
      </w:r>
      <w:r>
        <w:rPr>
          <w:rFonts w:ascii="Times New Roman" w:hAnsi="Times New Roman"/>
          <w:sz w:val="24"/>
          <w:szCs w:val="24"/>
        </w:rPr>
        <w:t xml:space="preserve"> compatible with human rights.</w:t>
      </w:r>
    </w:p>
    <w:p w14:paraId="6CAF8253" w14:textId="4938750C" w:rsidR="00C96F89" w:rsidRPr="00EA739F" w:rsidRDefault="00EA739F" w:rsidP="00EA739F">
      <w:pPr>
        <w:keepNext/>
        <w:shd w:val="clear" w:color="auto" w:fill="FFFFFF"/>
        <w:spacing w:before="100" w:beforeAutospacing="1" w:after="240"/>
        <w:jc w:val="both"/>
        <w:rPr>
          <w:rFonts w:ascii="Times New Roman" w:hAnsi="Times New Roman"/>
          <w:sz w:val="24"/>
          <w:szCs w:val="24"/>
        </w:rPr>
      </w:pPr>
      <w:r>
        <w:rPr>
          <w:rFonts w:ascii="Times New Roman" w:hAnsi="Times New Roman"/>
          <w:b/>
          <w:bCs/>
          <w:sz w:val="24"/>
          <w:szCs w:val="24"/>
        </w:rPr>
        <w:t>C</w:t>
      </w:r>
      <w:r w:rsidR="00C96F89">
        <w:rPr>
          <w:rFonts w:ascii="Times New Roman" w:hAnsi="Times New Roman"/>
          <w:b/>
          <w:bCs/>
          <w:sz w:val="24"/>
          <w:szCs w:val="24"/>
        </w:rPr>
        <w:t>onclusion</w:t>
      </w:r>
    </w:p>
    <w:p w14:paraId="2427AC61" w14:textId="7B9F1B13" w:rsidR="00C96F89" w:rsidRDefault="00C96F89" w:rsidP="00C96F89">
      <w:pPr>
        <w:spacing w:after="240"/>
        <w:jc w:val="both"/>
        <w:rPr>
          <w:rFonts w:ascii="Times New Roman" w:hAnsi="Times New Roman"/>
          <w:sz w:val="24"/>
          <w:szCs w:val="24"/>
        </w:rPr>
      </w:pPr>
      <w:r>
        <w:rPr>
          <w:rFonts w:ascii="Times New Roman" w:hAnsi="Times New Roman"/>
          <w:sz w:val="24"/>
          <w:szCs w:val="24"/>
        </w:rPr>
        <w:t xml:space="preserve">The instrument </w:t>
      </w:r>
      <w:r w:rsidR="00EA739F">
        <w:rPr>
          <w:rFonts w:ascii="Times New Roman" w:hAnsi="Times New Roman"/>
          <w:sz w:val="24"/>
          <w:szCs w:val="24"/>
        </w:rPr>
        <w:t>is</w:t>
      </w:r>
      <w:r>
        <w:rPr>
          <w:rFonts w:ascii="Times New Roman" w:hAnsi="Times New Roman"/>
          <w:sz w:val="24"/>
          <w:szCs w:val="24"/>
        </w:rPr>
        <w:t xml:space="preserve"> compatible with human rights as </w:t>
      </w:r>
      <w:r w:rsidR="00EA739F">
        <w:rPr>
          <w:rFonts w:ascii="Times New Roman" w:hAnsi="Times New Roman"/>
          <w:sz w:val="24"/>
          <w:szCs w:val="24"/>
        </w:rPr>
        <w:t>it does</w:t>
      </w:r>
      <w:r>
        <w:rPr>
          <w:rFonts w:ascii="Times New Roman" w:hAnsi="Times New Roman"/>
          <w:sz w:val="24"/>
          <w:szCs w:val="24"/>
        </w:rPr>
        <w:t xml:space="preserve"> not raise any human rights issues.</w:t>
      </w:r>
    </w:p>
    <w:sectPr w:rsidR="00C96F89" w:rsidSect="003D5032">
      <w:footerReference w:type="default" r:id="rId16"/>
      <w:pgSz w:w="11906" w:h="16838" w:code="9"/>
      <w:pgMar w:top="1440" w:right="1800" w:bottom="1440" w:left="18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99C698" w14:textId="77777777" w:rsidR="00F5607A" w:rsidRDefault="00F5607A" w:rsidP="00DF7DA0">
      <w:r>
        <w:separator/>
      </w:r>
    </w:p>
  </w:endnote>
  <w:endnote w:type="continuationSeparator" w:id="0">
    <w:p w14:paraId="4C7EACEE" w14:textId="77777777" w:rsidR="00F5607A" w:rsidRDefault="00F5607A" w:rsidP="00DF7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0082579"/>
      <w:docPartObj>
        <w:docPartGallery w:val="Page Numbers (Top of Page)"/>
        <w:docPartUnique/>
      </w:docPartObj>
    </w:sdtPr>
    <w:sdtEndPr>
      <w:rPr>
        <w:rFonts w:ascii="Times New Roman" w:hAnsi="Times New Roman"/>
        <w:sz w:val="24"/>
        <w:szCs w:val="24"/>
      </w:rPr>
    </w:sdtEndPr>
    <w:sdtContent>
      <w:p w14:paraId="1A705CBD" w14:textId="77777777" w:rsidR="00DF7DA0" w:rsidRPr="00DF7DA0" w:rsidRDefault="00DF7DA0" w:rsidP="00DF7DA0">
        <w:pPr>
          <w:pStyle w:val="Footer"/>
          <w:jc w:val="center"/>
          <w:rPr>
            <w:rFonts w:ascii="Times New Roman" w:hAnsi="Times New Roman"/>
            <w:sz w:val="24"/>
            <w:szCs w:val="24"/>
          </w:rPr>
        </w:pPr>
        <w:r w:rsidRPr="00DF7DA0">
          <w:rPr>
            <w:rFonts w:ascii="Times New Roman" w:hAnsi="Times New Roman"/>
            <w:bCs/>
            <w:sz w:val="24"/>
            <w:szCs w:val="24"/>
          </w:rPr>
          <w:fldChar w:fldCharType="begin"/>
        </w:r>
        <w:r w:rsidRPr="00DF7DA0">
          <w:rPr>
            <w:rFonts w:ascii="Times New Roman" w:hAnsi="Times New Roman"/>
            <w:bCs/>
            <w:sz w:val="24"/>
            <w:szCs w:val="24"/>
          </w:rPr>
          <w:instrText xml:space="preserve"> PAGE </w:instrText>
        </w:r>
        <w:r w:rsidRPr="00DF7DA0">
          <w:rPr>
            <w:rFonts w:ascii="Times New Roman" w:hAnsi="Times New Roman"/>
            <w:bCs/>
            <w:sz w:val="24"/>
            <w:szCs w:val="24"/>
          </w:rPr>
          <w:fldChar w:fldCharType="separate"/>
        </w:r>
        <w:r w:rsidR="00E93631">
          <w:rPr>
            <w:rFonts w:ascii="Times New Roman" w:hAnsi="Times New Roman"/>
            <w:bCs/>
            <w:noProof/>
            <w:sz w:val="24"/>
            <w:szCs w:val="24"/>
          </w:rPr>
          <w:t>5</w:t>
        </w:r>
        <w:r w:rsidRPr="00DF7DA0">
          <w:rPr>
            <w:rFonts w:ascii="Times New Roman" w:hAnsi="Times New Roman"/>
            <w:bCs/>
            <w:sz w:val="24"/>
            <w:szCs w:val="24"/>
          </w:rPr>
          <w:fldChar w:fldCharType="end"/>
        </w:r>
      </w:p>
    </w:sdtContent>
  </w:sdt>
  <w:p w14:paraId="63A27E33" w14:textId="77777777" w:rsidR="00DF7DA0" w:rsidRDefault="00DF7D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0103F4" w14:textId="77777777" w:rsidR="00F5607A" w:rsidRDefault="00F5607A" w:rsidP="00DF7DA0">
      <w:r>
        <w:separator/>
      </w:r>
    </w:p>
  </w:footnote>
  <w:footnote w:type="continuationSeparator" w:id="0">
    <w:p w14:paraId="66747387" w14:textId="77777777" w:rsidR="00F5607A" w:rsidRDefault="00F5607A" w:rsidP="00DF7DA0">
      <w:r>
        <w:continuationSeparator/>
      </w:r>
    </w:p>
  </w:footnote>
  <w:footnote w:id="1">
    <w:p w14:paraId="4F4B7E3D" w14:textId="76A75CC2" w:rsidR="00A824C6" w:rsidRPr="00A824C6" w:rsidRDefault="00A824C6">
      <w:pPr>
        <w:pStyle w:val="FootnoteText"/>
        <w:rPr>
          <w:rFonts w:ascii="Times New Roman" w:hAnsi="Times New Roman"/>
        </w:rPr>
      </w:pPr>
      <w:r w:rsidRPr="00A824C6">
        <w:rPr>
          <w:rStyle w:val="FootnoteReference"/>
          <w:rFonts w:ascii="Times New Roman" w:hAnsi="Times New Roman"/>
        </w:rPr>
        <w:footnoteRef/>
      </w:r>
      <w:r w:rsidRPr="00A824C6">
        <w:rPr>
          <w:rFonts w:ascii="Times New Roman" w:hAnsi="Times New Roman"/>
        </w:rPr>
        <w:t xml:space="preserve"> Australian </w:t>
      </w:r>
      <w:r>
        <w:rPr>
          <w:rFonts w:ascii="Times New Roman" w:hAnsi="Times New Roman"/>
        </w:rPr>
        <w:t xml:space="preserve">Accounting Standards is defined in </w:t>
      </w:r>
      <w:r w:rsidRPr="00A824C6">
        <w:rPr>
          <w:rFonts w:ascii="Times New Roman" w:hAnsi="Times New Roman"/>
          <w:i/>
        </w:rPr>
        <w:t>Prudential Standard APS</w:t>
      </w:r>
      <w:r w:rsidR="00EA739F">
        <w:rPr>
          <w:rFonts w:ascii="Times New Roman" w:hAnsi="Times New Roman"/>
          <w:i/>
        </w:rPr>
        <w:t> </w:t>
      </w:r>
      <w:r w:rsidRPr="00A824C6">
        <w:rPr>
          <w:rFonts w:ascii="Times New Roman" w:hAnsi="Times New Roman"/>
          <w:i/>
        </w:rPr>
        <w:t>001 Definitions</w:t>
      </w:r>
      <w:r>
        <w:rPr>
          <w:rFonts w:ascii="Times New Roman" w:hAnsi="Times New Roman"/>
        </w:rPr>
        <w:t xml:space="preserve"> as the Australian Accounting Standards issued by the Australian Accounting Standards Board as may be amended from time to time. </w:t>
      </w:r>
    </w:p>
  </w:footnote>
  <w:footnote w:id="2">
    <w:p w14:paraId="2D5F3DD9" w14:textId="2663C047" w:rsidR="00550E24" w:rsidRPr="00550E24" w:rsidRDefault="00550E24" w:rsidP="00550E24">
      <w:pPr>
        <w:pStyle w:val="FootnoteText"/>
        <w:spacing w:after="120"/>
        <w:jc w:val="both"/>
        <w:rPr>
          <w:rFonts w:ascii="Times New Roman" w:hAnsi="Times New Roman"/>
        </w:rPr>
      </w:pPr>
      <w:r w:rsidRPr="00550E24">
        <w:rPr>
          <w:rStyle w:val="FootnoteReference"/>
          <w:rFonts w:ascii="Times New Roman" w:hAnsi="Times New Roman"/>
        </w:rPr>
        <w:footnoteRef/>
      </w:r>
      <w:r w:rsidRPr="00550E24">
        <w:rPr>
          <w:rFonts w:ascii="Times New Roman" w:hAnsi="Times New Roman"/>
        </w:rPr>
        <w:t xml:space="preserve"> The exception is section 54B of the SIS Act, which provides that breach of a covenant under sections 52 or 52A is a civil penalty provision. The covenants include a requirement to comply with prudential standards in relation to specified topics (conflicts, capital requirements for operational risk, My</w:t>
      </w:r>
      <w:r w:rsidR="00B14899">
        <w:rPr>
          <w:rFonts w:ascii="Times New Roman" w:hAnsi="Times New Roman"/>
        </w:rPr>
        <w:t>S</w:t>
      </w:r>
      <w:r w:rsidRPr="00550E24">
        <w:rPr>
          <w:rFonts w:ascii="Times New Roman" w:hAnsi="Times New Roman"/>
        </w:rPr>
        <w:t>uper and choice products). CPS 226 is not a standard in relation to any of these topics.</w:t>
      </w:r>
    </w:p>
  </w:footnote>
  <w:footnote w:id="3">
    <w:p w14:paraId="5E6F47BE" w14:textId="29CAB5E8" w:rsidR="00550E24" w:rsidRDefault="00550E24" w:rsidP="00550E24">
      <w:pPr>
        <w:pStyle w:val="FootnoteText"/>
        <w:jc w:val="both"/>
      </w:pPr>
      <w:r w:rsidRPr="00550E24">
        <w:rPr>
          <w:rStyle w:val="FootnoteReference"/>
          <w:rFonts w:ascii="Times New Roman" w:hAnsi="Times New Roman"/>
        </w:rPr>
        <w:footnoteRef/>
      </w:r>
      <w:r w:rsidRPr="00550E24">
        <w:rPr>
          <w:rFonts w:ascii="Times New Roman" w:hAnsi="Times New Roman"/>
        </w:rPr>
        <w:t xml:space="preserve"> The Banking Act, Insurance Act and Life Insurance Act specifically provide that APRA does not need to consult where APRA is satisfied that doing so could result in a delay in revocation that would be contrary to the national interest or the interests of depositors with the body corporate (</w:t>
      </w:r>
      <w:r w:rsidR="00DF6815">
        <w:rPr>
          <w:rFonts w:ascii="Times New Roman" w:hAnsi="Times New Roman"/>
        </w:rPr>
        <w:t xml:space="preserve">subsection </w:t>
      </w:r>
      <w:r w:rsidRPr="00550E24">
        <w:rPr>
          <w:rFonts w:ascii="Times New Roman" w:hAnsi="Times New Roman"/>
        </w:rPr>
        <w:t xml:space="preserve">9A(4) </w:t>
      </w:r>
      <w:r w:rsidR="00DF6815">
        <w:rPr>
          <w:rFonts w:ascii="Times New Roman" w:hAnsi="Times New Roman"/>
        </w:rPr>
        <w:t xml:space="preserve">of the </w:t>
      </w:r>
      <w:r w:rsidRPr="00550E24">
        <w:rPr>
          <w:rFonts w:ascii="Times New Roman" w:hAnsi="Times New Roman"/>
        </w:rPr>
        <w:t>Banking Act), contr</w:t>
      </w:r>
      <w:r w:rsidR="00DF6815">
        <w:rPr>
          <w:rFonts w:ascii="Times New Roman" w:hAnsi="Times New Roman"/>
        </w:rPr>
        <w:t xml:space="preserve">ary to the national interest (subsection </w:t>
      </w:r>
      <w:r w:rsidRPr="00550E24">
        <w:rPr>
          <w:rFonts w:ascii="Times New Roman" w:hAnsi="Times New Roman"/>
        </w:rPr>
        <w:t>15(4)</w:t>
      </w:r>
      <w:r w:rsidR="00DF6815">
        <w:rPr>
          <w:rFonts w:ascii="Times New Roman" w:hAnsi="Times New Roman"/>
        </w:rPr>
        <w:t xml:space="preserve"> of the</w:t>
      </w:r>
      <w:r w:rsidRPr="00550E24">
        <w:rPr>
          <w:rFonts w:ascii="Times New Roman" w:hAnsi="Times New Roman"/>
        </w:rPr>
        <w:t xml:space="preserve"> Insurance Act), or contrary to the public interest (s</w:t>
      </w:r>
      <w:r w:rsidR="00DF6815">
        <w:rPr>
          <w:rFonts w:ascii="Times New Roman" w:hAnsi="Times New Roman"/>
        </w:rPr>
        <w:t xml:space="preserve">ubsection </w:t>
      </w:r>
      <w:r w:rsidRPr="00550E24">
        <w:rPr>
          <w:rFonts w:ascii="Times New Roman" w:hAnsi="Times New Roman"/>
        </w:rPr>
        <w:t>26(5)</w:t>
      </w:r>
      <w:r w:rsidR="00DF6815">
        <w:rPr>
          <w:rFonts w:ascii="Times New Roman" w:hAnsi="Times New Roman"/>
        </w:rPr>
        <w:t xml:space="preserve"> of the</w:t>
      </w:r>
      <w:r w:rsidRPr="00550E24">
        <w:rPr>
          <w:rFonts w:ascii="Times New Roman" w:hAnsi="Times New Roman"/>
        </w:rPr>
        <w:t xml:space="preserve"> Life Insurance Act), respectively. Consultation is not specifically required under the SIS 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D76A0"/>
    <w:multiLevelType w:val="hybridMultilevel"/>
    <w:tmpl w:val="5C583790"/>
    <w:lvl w:ilvl="0" w:tplc="6FFEE86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C70CEC"/>
    <w:multiLevelType w:val="hybridMultilevel"/>
    <w:tmpl w:val="34225274"/>
    <w:lvl w:ilvl="0" w:tplc="87AAF206">
      <w:start w:val="1"/>
      <w:numFmt w:val="lowerLetter"/>
      <w:lvlText w:val="(%1)"/>
      <w:lvlJc w:val="left"/>
      <w:pPr>
        <w:ind w:left="720" w:hanging="360"/>
      </w:pPr>
      <w:rPr>
        <w:rFonts w:ascii="Times New Roman" w:hAnsi="Times New Roman" w:cs="Times New Roman" w:hint="default"/>
        <w:sz w:val="20"/>
        <w:szCs w:val="2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09176AE5"/>
    <w:multiLevelType w:val="hybridMultilevel"/>
    <w:tmpl w:val="B02C0E6A"/>
    <w:lvl w:ilvl="0" w:tplc="66DC6712">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1AB0C95"/>
    <w:multiLevelType w:val="hybridMultilevel"/>
    <w:tmpl w:val="A97A5A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A81249"/>
    <w:multiLevelType w:val="hybridMultilevel"/>
    <w:tmpl w:val="98903850"/>
    <w:lvl w:ilvl="0" w:tplc="0C09000F">
      <w:start w:val="1"/>
      <w:numFmt w:val="decimal"/>
      <w:lvlText w:val="%1."/>
      <w:lvlJc w:val="left"/>
      <w:pPr>
        <w:tabs>
          <w:tab w:val="num" w:pos="360"/>
        </w:tabs>
        <w:ind w:left="36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1A655C01"/>
    <w:multiLevelType w:val="hybridMultilevel"/>
    <w:tmpl w:val="6D782998"/>
    <w:lvl w:ilvl="0" w:tplc="2E54C9E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4AB6A33"/>
    <w:multiLevelType w:val="hybridMultilevel"/>
    <w:tmpl w:val="58B80BDA"/>
    <w:lvl w:ilvl="0" w:tplc="7A30FE90">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2C8D46C0"/>
    <w:multiLevelType w:val="hybridMultilevel"/>
    <w:tmpl w:val="E996CF6E"/>
    <w:lvl w:ilvl="0" w:tplc="AAC61D6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E24677E"/>
    <w:multiLevelType w:val="hybridMultilevel"/>
    <w:tmpl w:val="2700AD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8C92DB8"/>
    <w:multiLevelType w:val="hybridMultilevel"/>
    <w:tmpl w:val="1C62591C"/>
    <w:lvl w:ilvl="0" w:tplc="6E86A16A">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15:restartNumberingAfterBreak="0">
    <w:nsid w:val="3AEC3F2B"/>
    <w:multiLevelType w:val="hybridMultilevel"/>
    <w:tmpl w:val="3E663EDE"/>
    <w:lvl w:ilvl="0" w:tplc="2E54C9E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E7C6E49"/>
    <w:multiLevelType w:val="hybridMultilevel"/>
    <w:tmpl w:val="F70A06DA"/>
    <w:lvl w:ilvl="0" w:tplc="771E19CC">
      <w:start w:val="1"/>
      <w:numFmt w:val="decimal"/>
      <w:lvlText w:val="(%1)"/>
      <w:lvlJc w:val="left"/>
      <w:pPr>
        <w:tabs>
          <w:tab w:val="num" w:pos="567"/>
        </w:tabs>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21F640B"/>
    <w:multiLevelType w:val="hybridMultilevel"/>
    <w:tmpl w:val="9990CC86"/>
    <w:lvl w:ilvl="0" w:tplc="0C090001">
      <w:numFmt w:val="bullet"/>
      <w:lvlText w:val=""/>
      <w:lvlJc w:val="left"/>
      <w:pPr>
        <w:ind w:left="720" w:hanging="360"/>
      </w:pPr>
      <w:rPr>
        <w:rFonts w:ascii="Symbol" w:eastAsia="Times New Roman" w:hAnsi="Symbol" w:cs="Times New Roman" w:hint="default"/>
      </w:rPr>
    </w:lvl>
    <w:lvl w:ilvl="1" w:tplc="0C09000F">
      <w:start w:val="1"/>
      <w:numFmt w:val="decimal"/>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321138C"/>
    <w:multiLevelType w:val="hybridMultilevel"/>
    <w:tmpl w:val="1BB085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6DC3A91"/>
    <w:multiLevelType w:val="hybridMultilevel"/>
    <w:tmpl w:val="B02C0E6A"/>
    <w:lvl w:ilvl="0" w:tplc="66DC6712">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61DA3D61"/>
    <w:multiLevelType w:val="hybridMultilevel"/>
    <w:tmpl w:val="EE8C0C78"/>
    <w:lvl w:ilvl="0" w:tplc="7DCEE3A6">
      <w:start w:val="1"/>
      <w:numFmt w:val="bullet"/>
      <w:lvlText w:val=""/>
      <w:lvlJc w:val="left"/>
      <w:pPr>
        <w:tabs>
          <w:tab w:val="num" w:pos="567"/>
        </w:tabs>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DBA4E99"/>
    <w:multiLevelType w:val="hybridMultilevel"/>
    <w:tmpl w:val="67B4EBF0"/>
    <w:lvl w:ilvl="0" w:tplc="446420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2"/>
  </w:num>
  <w:num w:numId="2">
    <w:abstractNumId w:val="4"/>
  </w:num>
  <w:num w:numId="3">
    <w:abstractNumId w:val="15"/>
  </w:num>
  <w:num w:numId="4">
    <w:abstractNumId w:val="8"/>
  </w:num>
  <w:num w:numId="5">
    <w:abstractNumId w:val="11"/>
  </w:num>
  <w:num w:numId="6">
    <w:abstractNumId w:val="6"/>
  </w:num>
  <w:num w:numId="7">
    <w:abstractNumId w:val="3"/>
  </w:num>
  <w:num w:numId="8">
    <w:abstractNumId w:val="9"/>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
  </w:num>
  <w:num w:numId="12">
    <w:abstractNumId w:val="13"/>
  </w:num>
  <w:num w:numId="13">
    <w:abstractNumId w:val="2"/>
  </w:num>
  <w:num w:numId="14">
    <w:abstractNumId w:val="14"/>
  </w:num>
  <w:num w:numId="15">
    <w:abstractNumId w:val="7"/>
  </w:num>
  <w:num w:numId="16">
    <w:abstractNumId w:val="0"/>
  </w:num>
  <w:num w:numId="17">
    <w:abstractNumId w:val="10"/>
  </w:num>
  <w:num w:numId="18">
    <w:abstractNumId w:val="5"/>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drawingGridHorizontalSpacing w:val="110"/>
  <w:displayHorizontalDrawingGridEvery w:val="2"/>
  <w:displayVerticalDrawingGridEvery w:val="2"/>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07A"/>
    <w:rsid w:val="00000D68"/>
    <w:rsid w:val="00003D3A"/>
    <w:rsid w:val="000163DA"/>
    <w:rsid w:val="00021289"/>
    <w:rsid w:val="00024376"/>
    <w:rsid w:val="000253FE"/>
    <w:rsid w:val="000401FC"/>
    <w:rsid w:val="00046A6F"/>
    <w:rsid w:val="000603CD"/>
    <w:rsid w:val="00082F34"/>
    <w:rsid w:val="000A1056"/>
    <w:rsid w:val="000B4113"/>
    <w:rsid w:val="000B6A84"/>
    <w:rsid w:val="000D5862"/>
    <w:rsid w:val="000D6E3B"/>
    <w:rsid w:val="000E0D8E"/>
    <w:rsid w:val="000E20E2"/>
    <w:rsid w:val="000E369C"/>
    <w:rsid w:val="000E6CBC"/>
    <w:rsid w:val="00100E9E"/>
    <w:rsid w:val="001204F5"/>
    <w:rsid w:val="001214C9"/>
    <w:rsid w:val="001316D4"/>
    <w:rsid w:val="0015432B"/>
    <w:rsid w:val="00155C61"/>
    <w:rsid w:val="00155C7D"/>
    <w:rsid w:val="0016033A"/>
    <w:rsid w:val="0016350D"/>
    <w:rsid w:val="00163FA0"/>
    <w:rsid w:val="00176C66"/>
    <w:rsid w:val="00181B0B"/>
    <w:rsid w:val="00182FA1"/>
    <w:rsid w:val="0019411E"/>
    <w:rsid w:val="00195547"/>
    <w:rsid w:val="001A34FC"/>
    <w:rsid w:val="001A5C6E"/>
    <w:rsid w:val="001C1476"/>
    <w:rsid w:val="001C4686"/>
    <w:rsid w:val="001C768E"/>
    <w:rsid w:val="001D2931"/>
    <w:rsid w:val="001D450C"/>
    <w:rsid w:val="001F1893"/>
    <w:rsid w:val="00200775"/>
    <w:rsid w:val="002065D8"/>
    <w:rsid w:val="002074F6"/>
    <w:rsid w:val="00210223"/>
    <w:rsid w:val="00223ADB"/>
    <w:rsid w:val="00225B2B"/>
    <w:rsid w:val="00225DA1"/>
    <w:rsid w:val="00230508"/>
    <w:rsid w:val="00236383"/>
    <w:rsid w:val="002436BD"/>
    <w:rsid w:val="00246723"/>
    <w:rsid w:val="00246D8E"/>
    <w:rsid w:val="002510AD"/>
    <w:rsid w:val="00260347"/>
    <w:rsid w:val="0026634D"/>
    <w:rsid w:val="002717A9"/>
    <w:rsid w:val="002718E3"/>
    <w:rsid w:val="00293739"/>
    <w:rsid w:val="002A66B3"/>
    <w:rsid w:val="002A73BD"/>
    <w:rsid w:val="002B19D6"/>
    <w:rsid w:val="002B4366"/>
    <w:rsid w:val="002B4F91"/>
    <w:rsid w:val="002C322D"/>
    <w:rsid w:val="002D2F9E"/>
    <w:rsid w:val="002E0198"/>
    <w:rsid w:val="00302E64"/>
    <w:rsid w:val="0030341C"/>
    <w:rsid w:val="0030506B"/>
    <w:rsid w:val="0031077C"/>
    <w:rsid w:val="00331B77"/>
    <w:rsid w:val="00334842"/>
    <w:rsid w:val="00334DD1"/>
    <w:rsid w:val="00340D2E"/>
    <w:rsid w:val="00354CB8"/>
    <w:rsid w:val="00360F60"/>
    <w:rsid w:val="003811BB"/>
    <w:rsid w:val="00381AC2"/>
    <w:rsid w:val="003866AD"/>
    <w:rsid w:val="003B12B6"/>
    <w:rsid w:val="003B385B"/>
    <w:rsid w:val="003D5032"/>
    <w:rsid w:val="003E22BA"/>
    <w:rsid w:val="003F5A8B"/>
    <w:rsid w:val="003F6F5E"/>
    <w:rsid w:val="0040175E"/>
    <w:rsid w:val="00406A52"/>
    <w:rsid w:val="004110B6"/>
    <w:rsid w:val="00415E6F"/>
    <w:rsid w:val="00422164"/>
    <w:rsid w:val="004262B9"/>
    <w:rsid w:val="00443A02"/>
    <w:rsid w:val="0045565C"/>
    <w:rsid w:val="00457C57"/>
    <w:rsid w:val="00462C7E"/>
    <w:rsid w:val="00470375"/>
    <w:rsid w:val="00475042"/>
    <w:rsid w:val="00481543"/>
    <w:rsid w:val="004A0256"/>
    <w:rsid w:val="004A0949"/>
    <w:rsid w:val="004B762D"/>
    <w:rsid w:val="004C0AA9"/>
    <w:rsid w:val="004C3512"/>
    <w:rsid w:val="004C3D07"/>
    <w:rsid w:val="004C48D5"/>
    <w:rsid w:val="004C6CCA"/>
    <w:rsid w:val="004D4579"/>
    <w:rsid w:val="004D51FA"/>
    <w:rsid w:val="004D55F9"/>
    <w:rsid w:val="004E0023"/>
    <w:rsid w:val="004E2008"/>
    <w:rsid w:val="00527BF9"/>
    <w:rsid w:val="00550E24"/>
    <w:rsid w:val="0056141D"/>
    <w:rsid w:val="00563DEC"/>
    <w:rsid w:val="00564B46"/>
    <w:rsid w:val="005774C2"/>
    <w:rsid w:val="0058163B"/>
    <w:rsid w:val="005837F8"/>
    <w:rsid w:val="00585AAA"/>
    <w:rsid w:val="005865C9"/>
    <w:rsid w:val="005B616F"/>
    <w:rsid w:val="005B6265"/>
    <w:rsid w:val="005D57D5"/>
    <w:rsid w:val="005D6A67"/>
    <w:rsid w:val="005E4984"/>
    <w:rsid w:val="005E5910"/>
    <w:rsid w:val="005F13AB"/>
    <w:rsid w:val="005F1EA0"/>
    <w:rsid w:val="005F1FCB"/>
    <w:rsid w:val="005F5F48"/>
    <w:rsid w:val="00607931"/>
    <w:rsid w:val="00613CBF"/>
    <w:rsid w:val="00616A26"/>
    <w:rsid w:val="00622480"/>
    <w:rsid w:val="006315F1"/>
    <w:rsid w:val="00631A18"/>
    <w:rsid w:val="00647D58"/>
    <w:rsid w:val="00653754"/>
    <w:rsid w:val="00657678"/>
    <w:rsid w:val="00660970"/>
    <w:rsid w:val="00663606"/>
    <w:rsid w:val="00682504"/>
    <w:rsid w:val="00682865"/>
    <w:rsid w:val="0068499E"/>
    <w:rsid w:val="00684F73"/>
    <w:rsid w:val="00692825"/>
    <w:rsid w:val="00694691"/>
    <w:rsid w:val="00697007"/>
    <w:rsid w:val="006A307C"/>
    <w:rsid w:val="006A3972"/>
    <w:rsid w:val="006B093F"/>
    <w:rsid w:val="006B7141"/>
    <w:rsid w:val="006C051B"/>
    <w:rsid w:val="006D0EF5"/>
    <w:rsid w:val="006D3918"/>
    <w:rsid w:val="006E1027"/>
    <w:rsid w:val="006F74E9"/>
    <w:rsid w:val="007031F4"/>
    <w:rsid w:val="007049CF"/>
    <w:rsid w:val="00707E47"/>
    <w:rsid w:val="00725FBD"/>
    <w:rsid w:val="007368AD"/>
    <w:rsid w:val="007428D4"/>
    <w:rsid w:val="007470AC"/>
    <w:rsid w:val="00747A74"/>
    <w:rsid w:val="00747AFF"/>
    <w:rsid w:val="007518EF"/>
    <w:rsid w:val="0075455C"/>
    <w:rsid w:val="007548D7"/>
    <w:rsid w:val="007624D6"/>
    <w:rsid w:val="00774922"/>
    <w:rsid w:val="00785CDC"/>
    <w:rsid w:val="00795B00"/>
    <w:rsid w:val="00796561"/>
    <w:rsid w:val="007A16FA"/>
    <w:rsid w:val="007D0D50"/>
    <w:rsid w:val="007D436D"/>
    <w:rsid w:val="007D54D3"/>
    <w:rsid w:val="007E260A"/>
    <w:rsid w:val="007E3847"/>
    <w:rsid w:val="007E4B2A"/>
    <w:rsid w:val="00810661"/>
    <w:rsid w:val="00814176"/>
    <w:rsid w:val="00824626"/>
    <w:rsid w:val="00830F66"/>
    <w:rsid w:val="008346CE"/>
    <w:rsid w:val="00836187"/>
    <w:rsid w:val="00843A5A"/>
    <w:rsid w:val="00867F26"/>
    <w:rsid w:val="008744AE"/>
    <w:rsid w:val="00876BA0"/>
    <w:rsid w:val="00885F41"/>
    <w:rsid w:val="008958DE"/>
    <w:rsid w:val="00896F90"/>
    <w:rsid w:val="008A16E2"/>
    <w:rsid w:val="008B5649"/>
    <w:rsid w:val="008C0C2E"/>
    <w:rsid w:val="008C7C30"/>
    <w:rsid w:val="008C7C92"/>
    <w:rsid w:val="008D367D"/>
    <w:rsid w:val="008D41FF"/>
    <w:rsid w:val="008E033E"/>
    <w:rsid w:val="008E767D"/>
    <w:rsid w:val="008F78A6"/>
    <w:rsid w:val="00914714"/>
    <w:rsid w:val="00927091"/>
    <w:rsid w:val="00932EFA"/>
    <w:rsid w:val="00935C58"/>
    <w:rsid w:val="009566F2"/>
    <w:rsid w:val="00957291"/>
    <w:rsid w:val="009669EA"/>
    <w:rsid w:val="00967D16"/>
    <w:rsid w:val="00970F2F"/>
    <w:rsid w:val="00985082"/>
    <w:rsid w:val="009918FF"/>
    <w:rsid w:val="009927BF"/>
    <w:rsid w:val="00995B88"/>
    <w:rsid w:val="0099752A"/>
    <w:rsid w:val="009A2C39"/>
    <w:rsid w:val="009B35A0"/>
    <w:rsid w:val="009C0CF5"/>
    <w:rsid w:val="009C1DC7"/>
    <w:rsid w:val="009C5368"/>
    <w:rsid w:val="009D7882"/>
    <w:rsid w:val="009E0B92"/>
    <w:rsid w:val="009E5FC9"/>
    <w:rsid w:val="00A00614"/>
    <w:rsid w:val="00A14B46"/>
    <w:rsid w:val="00A16420"/>
    <w:rsid w:val="00A25ED5"/>
    <w:rsid w:val="00A279AF"/>
    <w:rsid w:val="00A32010"/>
    <w:rsid w:val="00A334AA"/>
    <w:rsid w:val="00A338DC"/>
    <w:rsid w:val="00A4133B"/>
    <w:rsid w:val="00A46ADB"/>
    <w:rsid w:val="00A4704C"/>
    <w:rsid w:val="00A573C7"/>
    <w:rsid w:val="00A6325C"/>
    <w:rsid w:val="00A63A2B"/>
    <w:rsid w:val="00A71EDF"/>
    <w:rsid w:val="00A824C6"/>
    <w:rsid w:val="00A84C3C"/>
    <w:rsid w:val="00A871FD"/>
    <w:rsid w:val="00A9040D"/>
    <w:rsid w:val="00A91DB5"/>
    <w:rsid w:val="00A94110"/>
    <w:rsid w:val="00A97698"/>
    <w:rsid w:val="00AA1C32"/>
    <w:rsid w:val="00AA530F"/>
    <w:rsid w:val="00AC2517"/>
    <w:rsid w:val="00AC61D6"/>
    <w:rsid w:val="00AC7A56"/>
    <w:rsid w:val="00AE4B9E"/>
    <w:rsid w:val="00B04B20"/>
    <w:rsid w:val="00B14899"/>
    <w:rsid w:val="00B16685"/>
    <w:rsid w:val="00B16B16"/>
    <w:rsid w:val="00B3289E"/>
    <w:rsid w:val="00B52ACD"/>
    <w:rsid w:val="00B53143"/>
    <w:rsid w:val="00B53BF2"/>
    <w:rsid w:val="00B64B2E"/>
    <w:rsid w:val="00B66C55"/>
    <w:rsid w:val="00B7057F"/>
    <w:rsid w:val="00B76505"/>
    <w:rsid w:val="00B841F1"/>
    <w:rsid w:val="00B85B6E"/>
    <w:rsid w:val="00B93FA3"/>
    <w:rsid w:val="00BB1678"/>
    <w:rsid w:val="00BB37AD"/>
    <w:rsid w:val="00BC0CE7"/>
    <w:rsid w:val="00BF2953"/>
    <w:rsid w:val="00C1226A"/>
    <w:rsid w:val="00C148E1"/>
    <w:rsid w:val="00C16C41"/>
    <w:rsid w:val="00C302FA"/>
    <w:rsid w:val="00C30E88"/>
    <w:rsid w:val="00C40731"/>
    <w:rsid w:val="00C61AFD"/>
    <w:rsid w:val="00C63563"/>
    <w:rsid w:val="00C8253A"/>
    <w:rsid w:val="00C91041"/>
    <w:rsid w:val="00C94088"/>
    <w:rsid w:val="00C948AA"/>
    <w:rsid w:val="00C96F89"/>
    <w:rsid w:val="00C97AB3"/>
    <w:rsid w:val="00CA6CB3"/>
    <w:rsid w:val="00CB384A"/>
    <w:rsid w:val="00CB7B07"/>
    <w:rsid w:val="00CC4A3B"/>
    <w:rsid w:val="00CD1947"/>
    <w:rsid w:val="00CD432A"/>
    <w:rsid w:val="00CE1BB4"/>
    <w:rsid w:val="00CF1D43"/>
    <w:rsid w:val="00CF7D89"/>
    <w:rsid w:val="00D05FA9"/>
    <w:rsid w:val="00D1077E"/>
    <w:rsid w:val="00D10961"/>
    <w:rsid w:val="00D14060"/>
    <w:rsid w:val="00D17ABC"/>
    <w:rsid w:val="00D249EB"/>
    <w:rsid w:val="00D40662"/>
    <w:rsid w:val="00D4126D"/>
    <w:rsid w:val="00D413ED"/>
    <w:rsid w:val="00D4263D"/>
    <w:rsid w:val="00D57590"/>
    <w:rsid w:val="00D64906"/>
    <w:rsid w:val="00D66255"/>
    <w:rsid w:val="00D670CB"/>
    <w:rsid w:val="00D81CC2"/>
    <w:rsid w:val="00D87E36"/>
    <w:rsid w:val="00D918F4"/>
    <w:rsid w:val="00D93654"/>
    <w:rsid w:val="00DA3888"/>
    <w:rsid w:val="00DA54B4"/>
    <w:rsid w:val="00DE1130"/>
    <w:rsid w:val="00DE6ED3"/>
    <w:rsid w:val="00DF524E"/>
    <w:rsid w:val="00DF6815"/>
    <w:rsid w:val="00DF7DA0"/>
    <w:rsid w:val="00E014C5"/>
    <w:rsid w:val="00E051C6"/>
    <w:rsid w:val="00E0553E"/>
    <w:rsid w:val="00E1150C"/>
    <w:rsid w:val="00E15497"/>
    <w:rsid w:val="00E16789"/>
    <w:rsid w:val="00E179FF"/>
    <w:rsid w:val="00E201A8"/>
    <w:rsid w:val="00E22458"/>
    <w:rsid w:val="00E333F0"/>
    <w:rsid w:val="00E36930"/>
    <w:rsid w:val="00E378A0"/>
    <w:rsid w:val="00E50299"/>
    <w:rsid w:val="00E52DFE"/>
    <w:rsid w:val="00E74E53"/>
    <w:rsid w:val="00E754E3"/>
    <w:rsid w:val="00E758B5"/>
    <w:rsid w:val="00E83E80"/>
    <w:rsid w:val="00E90C89"/>
    <w:rsid w:val="00E91CB2"/>
    <w:rsid w:val="00E93631"/>
    <w:rsid w:val="00E978ED"/>
    <w:rsid w:val="00EA7309"/>
    <w:rsid w:val="00EA739F"/>
    <w:rsid w:val="00EA770D"/>
    <w:rsid w:val="00EB4963"/>
    <w:rsid w:val="00EC5653"/>
    <w:rsid w:val="00EC5C25"/>
    <w:rsid w:val="00ED59AE"/>
    <w:rsid w:val="00ED5DAD"/>
    <w:rsid w:val="00EF1CBC"/>
    <w:rsid w:val="00EF5E30"/>
    <w:rsid w:val="00F04E07"/>
    <w:rsid w:val="00F05681"/>
    <w:rsid w:val="00F30C81"/>
    <w:rsid w:val="00F436BC"/>
    <w:rsid w:val="00F5607A"/>
    <w:rsid w:val="00F570B3"/>
    <w:rsid w:val="00F73CEF"/>
    <w:rsid w:val="00F763C8"/>
    <w:rsid w:val="00F7706D"/>
    <w:rsid w:val="00F87C4C"/>
    <w:rsid w:val="00FA0B81"/>
    <w:rsid w:val="00FA37B6"/>
    <w:rsid w:val="00FA5345"/>
    <w:rsid w:val="00FB0521"/>
    <w:rsid w:val="00FC76F2"/>
    <w:rsid w:val="00FD5004"/>
    <w:rsid w:val="00FD566F"/>
    <w:rsid w:val="00FD728F"/>
    <w:rsid w:val="00FE6E9D"/>
    <w:rsid w:val="00FF321F"/>
    <w:rsid w:val="00FF49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72A69A6A"/>
  <w15:docId w15:val="{639DA553-8A30-4A57-B94F-F536F2A95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4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36BD"/>
    <w:rPr>
      <w:rFonts w:ascii="Trebuchet MS" w:eastAsia="Times New Roman" w:hAnsi="Trebuchet MS"/>
      <w:sz w:val="22"/>
    </w:rPr>
  </w:style>
  <w:style w:type="paragraph" w:styleId="Heading1">
    <w:name w:val="heading 1"/>
    <w:basedOn w:val="Normal"/>
    <w:next w:val="Normal"/>
    <w:link w:val="Heading1Char"/>
    <w:uiPriority w:val="5"/>
    <w:qFormat/>
    <w:rsid w:val="009C5368"/>
    <w:pPr>
      <w:keepNext/>
      <w:keepLines/>
      <w:outlineLvl w:val="0"/>
    </w:pPr>
    <w:rPr>
      <w:b/>
      <w:bCs/>
      <w:color w:val="000000"/>
      <w:sz w:val="26"/>
      <w:szCs w:val="26"/>
    </w:rPr>
  </w:style>
  <w:style w:type="paragraph" w:styleId="Heading2">
    <w:name w:val="heading 2"/>
    <w:basedOn w:val="Normal"/>
    <w:next w:val="Normal"/>
    <w:link w:val="Heading2Char"/>
    <w:uiPriority w:val="6"/>
    <w:unhideWhenUsed/>
    <w:qFormat/>
    <w:rsid w:val="009C5368"/>
    <w:pPr>
      <w:keepNext/>
      <w:keepLines/>
      <w:outlineLvl w:val="1"/>
    </w:pPr>
    <w:rPr>
      <w:b/>
      <w:bCs/>
      <w:color w:val="000000"/>
    </w:rPr>
  </w:style>
  <w:style w:type="paragraph" w:styleId="Heading3">
    <w:name w:val="heading 3"/>
    <w:basedOn w:val="Normal"/>
    <w:next w:val="Normal"/>
    <w:link w:val="Heading3Char"/>
    <w:uiPriority w:val="7"/>
    <w:unhideWhenUsed/>
    <w:qFormat/>
    <w:rsid w:val="00F7706D"/>
    <w:pPr>
      <w:keepNext/>
      <w:keepLines/>
      <w:outlineLvl w:val="2"/>
    </w:pPr>
    <w:rPr>
      <w:bCs/>
      <w:i/>
      <w:color w:val="000000"/>
    </w:rPr>
  </w:style>
  <w:style w:type="paragraph" w:styleId="Heading4">
    <w:name w:val="heading 4"/>
    <w:aliases w:val="General Heading"/>
    <w:basedOn w:val="Normal"/>
    <w:next w:val="Normal"/>
    <w:link w:val="Heading4Char"/>
    <w:uiPriority w:val="3"/>
    <w:unhideWhenUsed/>
    <w:qFormat/>
    <w:rsid w:val="005E5910"/>
    <w:pPr>
      <w:outlineLvl w:val="3"/>
    </w:pPr>
    <w:rPr>
      <w:color w:val="0C2577"/>
      <w:sz w:val="60"/>
    </w:rPr>
  </w:style>
  <w:style w:type="paragraph" w:styleId="Heading5">
    <w:name w:val="heading 5"/>
    <w:aliases w:val="Chapter Heading"/>
    <w:basedOn w:val="Normal"/>
    <w:next w:val="Normal"/>
    <w:link w:val="Heading5Char"/>
    <w:uiPriority w:val="4"/>
    <w:unhideWhenUsed/>
    <w:qFormat/>
    <w:rsid w:val="005E5910"/>
    <w:pPr>
      <w:outlineLvl w:val="4"/>
    </w:pPr>
    <w:rPr>
      <w:b/>
      <w:sz w:val="32"/>
    </w:rPr>
  </w:style>
  <w:style w:type="paragraph" w:styleId="Heading6">
    <w:name w:val="heading 6"/>
    <w:aliases w:val="Cover Page Heading"/>
    <w:basedOn w:val="Normal"/>
    <w:next w:val="Normal"/>
    <w:link w:val="Heading6Char"/>
    <w:uiPriority w:val="8"/>
    <w:unhideWhenUsed/>
    <w:qFormat/>
    <w:rsid w:val="00F7706D"/>
    <w:pPr>
      <w:keepNext/>
      <w:keepLines/>
      <w:spacing w:before="200"/>
      <w:outlineLvl w:val="5"/>
    </w:pPr>
    <w:rPr>
      <w:iCs/>
      <w:color w:val="0C2577"/>
      <w:sz w:val="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5"/>
    <w:rsid w:val="00F7706D"/>
    <w:rPr>
      <w:rFonts w:ascii="Trebuchet MS" w:eastAsia="Times New Roman" w:hAnsi="Trebuchet MS" w:cs="Times New Roman"/>
      <w:b/>
      <w:bCs/>
      <w:color w:val="000000"/>
      <w:sz w:val="26"/>
      <w:szCs w:val="26"/>
    </w:rPr>
  </w:style>
  <w:style w:type="character" w:customStyle="1" w:styleId="Heading2Char">
    <w:name w:val="Heading 2 Char"/>
    <w:link w:val="Heading2"/>
    <w:uiPriority w:val="6"/>
    <w:rsid w:val="00F7706D"/>
    <w:rPr>
      <w:rFonts w:ascii="Trebuchet MS" w:eastAsia="Times New Roman" w:hAnsi="Trebuchet MS" w:cs="Times New Roman"/>
      <w:b/>
      <w:bCs/>
      <w:color w:val="000000"/>
    </w:rPr>
  </w:style>
  <w:style w:type="character" w:styleId="PlaceholderText">
    <w:name w:val="Placeholder Text"/>
    <w:uiPriority w:val="99"/>
    <w:semiHidden/>
    <w:rsid w:val="00B04B20"/>
    <w:rPr>
      <w:color w:val="808080"/>
    </w:rPr>
  </w:style>
  <w:style w:type="paragraph" w:styleId="BalloonText">
    <w:name w:val="Balloon Text"/>
    <w:basedOn w:val="Normal"/>
    <w:link w:val="BalloonTextChar"/>
    <w:uiPriority w:val="99"/>
    <w:semiHidden/>
    <w:unhideWhenUsed/>
    <w:rsid w:val="00B04B20"/>
    <w:rPr>
      <w:rFonts w:ascii="Tahoma" w:hAnsi="Tahoma" w:cs="Tahoma"/>
      <w:sz w:val="16"/>
      <w:szCs w:val="16"/>
    </w:rPr>
  </w:style>
  <w:style w:type="character" w:customStyle="1" w:styleId="BalloonTextChar">
    <w:name w:val="Balloon Text Char"/>
    <w:link w:val="BalloonText"/>
    <w:uiPriority w:val="99"/>
    <w:semiHidden/>
    <w:rsid w:val="00B04B20"/>
    <w:rPr>
      <w:rFonts w:ascii="Tahoma" w:hAnsi="Tahoma" w:cs="Tahoma"/>
      <w:sz w:val="16"/>
      <w:szCs w:val="16"/>
    </w:rPr>
  </w:style>
  <w:style w:type="character" w:customStyle="1" w:styleId="Heading3Char">
    <w:name w:val="Heading 3 Char"/>
    <w:link w:val="Heading3"/>
    <w:uiPriority w:val="7"/>
    <w:rsid w:val="00F7706D"/>
    <w:rPr>
      <w:rFonts w:ascii="Trebuchet MS" w:eastAsia="Times New Roman" w:hAnsi="Trebuchet MS" w:cs="Times New Roman"/>
      <w:bCs/>
      <w:i/>
      <w:color w:val="000000"/>
    </w:rPr>
  </w:style>
  <w:style w:type="character" w:customStyle="1" w:styleId="Heading4Char">
    <w:name w:val="Heading 4 Char"/>
    <w:aliases w:val="General Heading Char"/>
    <w:link w:val="Heading4"/>
    <w:uiPriority w:val="3"/>
    <w:rsid w:val="00F7706D"/>
    <w:rPr>
      <w:rFonts w:ascii="Trebuchet MS" w:hAnsi="Trebuchet MS"/>
      <w:color w:val="0C2577"/>
      <w:sz w:val="60"/>
    </w:rPr>
  </w:style>
  <w:style w:type="character" w:customStyle="1" w:styleId="Heading5Char">
    <w:name w:val="Heading 5 Char"/>
    <w:aliases w:val="Chapter Heading Char"/>
    <w:link w:val="Heading5"/>
    <w:uiPriority w:val="4"/>
    <w:rsid w:val="00F7706D"/>
    <w:rPr>
      <w:rFonts w:ascii="Trebuchet MS" w:hAnsi="Trebuchet MS"/>
      <w:b/>
      <w:sz w:val="32"/>
    </w:rPr>
  </w:style>
  <w:style w:type="character" w:customStyle="1" w:styleId="Heading6Char">
    <w:name w:val="Heading 6 Char"/>
    <w:aliases w:val="Cover Page Heading Char"/>
    <w:link w:val="Heading6"/>
    <w:uiPriority w:val="8"/>
    <w:rsid w:val="00F7706D"/>
    <w:rPr>
      <w:rFonts w:ascii="Trebuchet MS" w:eastAsia="Times New Roman" w:hAnsi="Trebuchet MS" w:cs="Times New Roman"/>
      <w:iCs/>
      <w:color w:val="0C2577"/>
      <w:sz w:val="90"/>
    </w:rPr>
  </w:style>
  <w:style w:type="paragraph" w:styleId="EnvelopeAddress">
    <w:name w:val="envelope address"/>
    <w:basedOn w:val="Normal"/>
    <w:uiPriority w:val="99"/>
    <w:semiHidden/>
    <w:unhideWhenUsed/>
    <w:rsid w:val="007031F4"/>
    <w:pPr>
      <w:framePr w:w="7920" w:h="1980" w:hRule="exact" w:hSpace="180" w:wrap="auto" w:hAnchor="page" w:xAlign="center" w:yAlign="bottom"/>
      <w:ind w:left="2880"/>
    </w:pPr>
    <w:rPr>
      <w:szCs w:val="24"/>
    </w:rPr>
  </w:style>
  <w:style w:type="paragraph" w:styleId="EnvelopeReturn">
    <w:name w:val="envelope return"/>
    <w:basedOn w:val="Normal"/>
    <w:uiPriority w:val="99"/>
    <w:semiHidden/>
    <w:unhideWhenUsed/>
    <w:rsid w:val="007031F4"/>
    <w:rPr>
      <w:sz w:val="20"/>
    </w:rPr>
  </w:style>
  <w:style w:type="paragraph" w:customStyle="1" w:styleId="Heading">
    <w:name w:val="Heading"/>
    <w:basedOn w:val="Normal"/>
    <w:rsid w:val="002436BD"/>
    <w:pPr>
      <w:jc w:val="both"/>
    </w:pPr>
    <w:rPr>
      <w:b/>
      <w:sz w:val="26"/>
      <w:szCs w:val="22"/>
    </w:rPr>
  </w:style>
  <w:style w:type="character" w:styleId="Hyperlink">
    <w:name w:val="Hyperlink"/>
    <w:uiPriority w:val="99"/>
    <w:unhideWhenUsed/>
    <w:rsid w:val="002436BD"/>
    <w:rPr>
      <w:color w:val="0000FF"/>
      <w:u w:val="single"/>
    </w:rPr>
  </w:style>
  <w:style w:type="paragraph" w:styleId="ListParagraph">
    <w:name w:val="List Paragraph"/>
    <w:basedOn w:val="Normal"/>
    <w:uiPriority w:val="34"/>
    <w:qFormat/>
    <w:rsid w:val="002436BD"/>
    <w:pPr>
      <w:ind w:left="720"/>
    </w:pPr>
  </w:style>
  <w:style w:type="character" w:styleId="CommentReference">
    <w:name w:val="annotation reference"/>
    <w:uiPriority w:val="49"/>
    <w:semiHidden/>
    <w:unhideWhenUsed/>
    <w:rsid w:val="002436BD"/>
    <w:rPr>
      <w:sz w:val="16"/>
      <w:szCs w:val="16"/>
    </w:rPr>
  </w:style>
  <w:style w:type="paragraph" w:styleId="CommentText">
    <w:name w:val="annotation text"/>
    <w:basedOn w:val="Normal"/>
    <w:link w:val="CommentTextChar"/>
    <w:uiPriority w:val="99"/>
    <w:unhideWhenUsed/>
    <w:rsid w:val="002436BD"/>
    <w:rPr>
      <w:sz w:val="20"/>
    </w:rPr>
  </w:style>
  <w:style w:type="character" w:customStyle="1" w:styleId="CommentTextChar">
    <w:name w:val="Comment Text Char"/>
    <w:link w:val="CommentText"/>
    <w:uiPriority w:val="99"/>
    <w:rsid w:val="002436BD"/>
    <w:rPr>
      <w:rFonts w:ascii="Trebuchet MS" w:eastAsia="Times New Roman" w:hAnsi="Trebuchet MS"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64B2E"/>
    <w:rPr>
      <w:b/>
      <w:bCs/>
    </w:rPr>
  </w:style>
  <w:style w:type="character" w:customStyle="1" w:styleId="CommentSubjectChar">
    <w:name w:val="Comment Subject Char"/>
    <w:link w:val="CommentSubject"/>
    <w:uiPriority w:val="99"/>
    <w:semiHidden/>
    <w:rsid w:val="00B64B2E"/>
    <w:rPr>
      <w:rFonts w:ascii="Trebuchet MS" w:eastAsia="Times New Roman" w:hAnsi="Trebuchet MS" w:cs="Times New Roman"/>
      <w:b/>
      <w:bCs/>
      <w:sz w:val="20"/>
      <w:szCs w:val="20"/>
      <w:lang w:eastAsia="en-AU"/>
    </w:rPr>
  </w:style>
  <w:style w:type="paragraph" w:styleId="Header">
    <w:name w:val="header"/>
    <w:basedOn w:val="Normal"/>
    <w:link w:val="HeaderChar"/>
    <w:uiPriority w:val="99"/>
    <w:unhideWhenUsed/>
    <w:rsid w:val="00DF7DA0"/>
    <w:pPr>
      <w:tabs>
        <w:tab w:val="center" w:pos="4513"/>
        <w:tab w:val="right" w:pos="9026"/>
      </w:tabs>
    </w:pPr>
  </w:style>
  <w:style w:type="character" w:customStyle="1" w:styleId="HeaderChar">
    <w:name w:val="Header Char"/>
    <w:basedOn w:val="DefaultParagraphFont"/>
    <w:link w:val="Header"/>
    <w:uiPriority w:val="99"/>
    <w:rsid w:val="00DF7DA0"/>
    <w:rPr>
      <w:rFonts w:ascii="Trebuchet MS" w:eastAsia="Times New Roman" w:hAnsi="Trebuchet MS"/>
      <w:sz w:val="22"/>
    </w:rPr>
  </w:style>
  <w:style w:type="paragraph" w:styleId="Footer">
    <w:name w:val="footer"/>
    <w:basedOn w:val="Normal"/>
    <w:link w:val="FooterChar"/>
    <w:uiPriority w:val="99"/>
    <w:unhideWhenUsed/>
    <w:rsid w:val="00DF7DA0"/>
    <w:pPr>
      <w:tabs>
        <w:tab w:val="center" w:pos="4513"/>
        <w:tab w:val="right" w:pos="9026"/>
      </w:tabs>
    </w:pPr>
  </w:style>
  <w:style w:type="character" w:customStyle="1" w:styleId="FooterChar">
    <w:name w:val="Footer Char"/>
    <w:basedOn w:val="DefaultParagraphFont"/>
    <w:link w:val="Footer"/>
    <w:uiPriority w:val="99"/>
    <w:rsid w:val="00DF7DA0"/>
    <w:rPr>
      <w:rFonts w:ascii="Trebuchet MS" w:eastAsia="Times New Roman" w:hAnsi="Trebuchet MS"/>
      <w:sz w:val="22"/>
    </w:rPr>
  </w:style>
  <w:style w:type="paragraph" w:styleId="FootnoteText">
    <w:name w:val="footnote text"/>
    <w:aliases w:val="Char"/>
    <w:basedOn w:val="Normal"/>
    <w:link w:val="FootnoteTextChar"/>
    <w:uiPriority w:val="99"/>
    <w:semiHidden/>
    <w:unhideWhenUsed/>
    <w:rsid w:val="000B6A84"/>
    <w:rPr>
      <w:sz w:val="20"/>
    </w:rPr>
  </w:style>
  <w:style w:type="character" w:customStyle="1" w:styleId="FootnoteTextChar">
    <w:name w:val="Footnote Text Char"/>
    <w:aliases w:val="Char Char"/>
    <w:basedOn w:val="DefaultParagraphFont"/>
    <w:link w:val="FootnoteText"/>
    <w:uiPriority w:val="99"/>
    <w:semiHidden/>
    <w:rsid w:val="000B6A84"/>
    <w:rPr>
      <w:rFonts w:ascii="Trebuchet MS" w:eastAsia="Times New Roman" w:hAnsi="Trebuchet MS"/>
    </w:rPr>
  </w:style>
  <w:style w:type="character" w:styleId="FootnoteReference">
    <w:name w:val="footnote reference"/>
    <w:basedOn w:val="DefaultParagraphFont"/>
    <w:uiPriority w:val="99"/>
    <w:semiHidden/>
    <w:unhideWhenUsed/>
    <w:qFormat/>
    <w:rsid w:val="000B6A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922957">
      <w:bodyDiv w:val="1"/>
      <w:marLeft w:val="0"/>
      <w:marRight w:val="0"/>
      <w:marTop w:val="0"/>
      <w:marBottom w:val="0"/>
      <w:divBdr>
        <w:top w:val="none" w:sz="0" w:space="0" w:color="auto"/>
        <w:left w:val="none" w:sz="0" w:space="0" w:color="auto"/>
        <w:bottom w:val="none" w:sz="0" w:space="0" w:color="auto"/>
        <w:right w:val="none" w:sz="0" w:space="0" w:color="auto"/>
      </w:divBdr>
    </w:div>
    <w:div w:id="780609569">
      <w:bodyDiv w:val="1"/>
      <w:marLeft w:val="0"/>
      <w:marRight w:val="0"/>
      <w:marTop w:val="0"/>
      <w:marBottom w:val="0"/>
      <w:divBdr>
        <w:top w:val="none" w:sz="0" w:space="0" w:color="auto"/>
        <w:left w:val="none" w:sz="0" w:space="0" w:color="auto"/>
        <w:bottom w:val="none" w:sz="0" w:space="0" w:color="auto"/>
        <w:right w:val="none" w:sz="0" w:space="0" w:color="auto"/>
      </w:divBdr>
    </w:div>
    <w:div w:id="1404178510">
      <w:bodyDiv w:val="1"/>
      <w:marLeft w:val="0"/>
      <w:marRight w:val="0"/>
      <w:marTop w:val="0"/>
      <w:marBottom w:val="0"/>
      <w:divBdr>
        <w:top w:val="none" w:sz="0" w:space="0" w:color="auto"/>
        <w:left w:val="none" w:sz="0" w:space="0" w:color="auto"/>
        <w:bottom w:val="none" w:sz="0" w:space="0" w:color="auto"/>
        <w:right w:val="none" w:sz="0" w:space="0" w:color="auto"/>
      </w:divBdr>
    </w:div>
    <w:div w:id="1519077713">
      <w:bodyDiv w:val="1"/>
      <w:marLeft w:val="0"/>
      <w:marRight w:val="0"/>
      <w:marTop w:val="0"/>
      <w:marBottom w:val="0"/>
      <w:divBdr>
        <w:top w:val="none" w:sz="0" w:space="0" w:color="auto"/>
        <w:left w:val="none" w:sz="0" w:space="0" w:color="auto"/>
        <w:bottom w:val="none" w:sz="0" w:space="0" w:color="auto"/>
        <w:right w:val="none" w:sz="0" w:space="0" w:color="auto"/>
      </w:divBdr>
    </w:div>
    <w:div w:id="1908418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legislation.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iosco.org/library/pubdocs/pdf/IOSCOPD469.pdf"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bis.org/bcbs/publ/d475.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apra.gov.au\national\Sydney\PAD\Public\Policy%20Development\Policy%20Templates\ES%20templates\Template%20-%20ES%20for%20revoke%20and%20remake%20prudential%20standard%20(April%20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aef97a4-ded2-4e4a-9fbc-e666dae3ecd2" ContentTypeId="0x0101008CA7A4F8331B45C7B0D3158B4994D0CA02"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Explanatory statement</TermName>
          <TermId xmlns="http://schemas.microsoft.com/office/infopath/2007/PartnerControls">b22f2e2f-3f73-411b-9a7c-34264d26fa25</TermId>
        </TermInfo>
      </Terms>
    </h67caa35a4114acd8e15fe89b3f29f9e>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Owner xmlns="814d62cb-2db6-4c25-ab62-b9075facbc11">
      <UserInfo>
        <DisplayName/>
        <AccountId xsi:nil="true"/>
        <AccountType/>
      </UserInfo>
    </APRAOwner>
    <ic4067bd02f14cf3a95ad35878404a71 xmlns="814d62cb-2db6-4c25-ab62-b9075facbc11">
      <Terms xmlns="http://schemas.microsoft.com/office/infopath/2007/PartnerControls"/>
    </ic4067bd02f14cf3a95ad35878404a71>
    <APRASecurityClassification xmlns="814d62cb-2db6-4c25-ab62-b9075facbc11">UNCLASSIFIED</APRASecurityClassification>
    <j724204a644741eb9f777fcb03fe8840 xmlns="814d62cb-2db6-4c25-ab62-b9075facbc11">
      <Terms xmlns="http://schemas.microsoft.com/office/infopath/2007/PartnerControls"/>
    </j724204a644741eb9f777fcb03fe8840>
    <APRAApprovalDate xmlns="814d62cb-2db6-4c25-ab62-b9075facbc11" xsi:nil="true"/>
    <k4bcc0d734474fea9fb713d9c415b4b0 xmlns="814d62cb-2db6-4c25-ab62-b9075facbc11">
      <Terms xmlns="http://schemas.microsoft.com/office/infopath/2007/PartnerControls"/>
    </k4bcc0d734474fea9fb713d9c415b4b0>
    <APRAKeywords xmlns="814d62cb-2db6-4c25-ab62-b9075facbc11">Explanatory statement; revoke and replace; prudential standard; precedent; example</APRAKeywords>
    <APRAApprovedBy xmlns="814d62cb-2db6-4c25-ab62-b9075facbc11">
      <UserInfo>
        <DisplayName/>
        <AccountId xsi:nil="true"/>
        <AccountType/>
      </UserInfo>
    </APRAApprovedBy>
    <APRADate xmlns="814d62cb-2db6-4c25-ab62-b9075facbc11" xsi:nil="true"/>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TaxCatchAll xmlns="814d62cb-2db6-4c25-ab62-b9075facbc11">
      <Value>24</Value>
      <Value>83</Value>
      <Value>234</Value>
      <Value>134</Value>
      <Value>10</Value>
      <Value>26</Value>
      <Value>93</Value>
      <Value>109</Value>
      <Value>158</Value>
      <Value>4</Value>
      <Value>19</Value>
      <Value>229</Value>
    </TaxCatchAll>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l003ee8eff60461aa1bd0027aba92ea4 xmlns="814d62cb-2db6-4c25-ab62-b9075facbc11">
      <Terms xmlns="http://schemas.microsoft.com/office/infopath/2007/PartnerControls"/>
    </l003ee8eff60461aa1bd0027aba92ea4>
    <APRADescription xmlns="814d62cb-2db6-4c25-ab62-b9075facbc11">Explanatory Statement (ES) Banking, Insurance, Life Insurance and Superannuation (prudential standards) determination No. 1 of 2020</APRADescription>
    <APRAActivityID xmlns="814d62cb-2db6-4c25-ab62-b9075facbc11" xsi:nil="true"/>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PAD300</TermName>
          <TermId xmlns="http://schemas.microsoft.com/office/infopath/2007/PartnerControls">98bbdbe4-d019-48eb-87c4-aa31a7f2f98f</TermId>
        </TermInfo>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Health</TermName>
          <TermId xmlns="http://schemas.microsoft.com/office/infopath/2007/PartnerControls">21611e62-d688-4f0d-8807-02701cc43699</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Info xmlns="http://schemas.microsoft.com/office/infopath/2007/PartnerControls">
          <TermName xmlns="http://schemas.microsoft.com/office/infopath/2007/PartnerControls">Legal - Resolution ＆ Corporate</TermName>
          <TermId xmlns="http://schemas.microsoft.com/office/infopath/2007/PartnerControls">696624b1-19f4-47b2-a07b-57868a922a96</TermId>
        </TermInfo>
      </Terms>
    </p10c80fc2da942ae8f2ea9b33b6ea0ba>
    <i08e72d8ce2b4ffa9361f9f4e0a63abc xmlns="814d62cb-2db6-4c25-ab62-b9075facbc11">
      <Terms xmlns="http://schemas.microsoft.com/office/infopath/2007/PartnerControls">
        <TermInfo xmlns="http://schemas.microsoft.com/office/infopath/2007/PartnerControls">
          <TermName xmlns="http://schemas.microsoft.com/office/infopath/2007/PartnerControls">2020</TermName>
          <TermId xmlns="http://schemas.microsoft.com/office/infopath/2007/PartnerControls">29ca90e3-c619-4296-b1bf-6e33e4d24a28</TermId>
        </TermInfo>
      </Terms>
    </i08e72d8ce2b4ffa9361f9f4e0a63abc>
    <APRADocScanCheck xmlns="814d62cb-2db6-4c25-ab62-b9075facbc11">false</APRADocScanCheck>
    <aa36a5a650d54f768f171f4d17b8b238 xmlns="814d62cb-2db6-4c25-ab62-b9075facbc11">
      <Terms xmlns="http://schemas.microsoft.com/office/infopath/2007/PartnerControls"/>
    </aa36a5a650d54f768f171f4d17b8b238>
    <_dlc_DocId xmlns="814d62cb-2db6-4c25-ab62-b9075facbc11">5JENXJJSCC7A-445999044-11197</_dlc_DocId>
    <_dlc_DocIdUrl xmlns="814d62cb-2db6-4c25-ab62-b9075facbc11">
      <Url>https://im/teams/LEGAL/_layouts/15/DocIdRedir.aspx?ID=5JENXJJSCC7A-445999044-11197</Url>
      <Description>5JENXJJSCC7A-445999044-11197</Description>
    </_dlc_DocIdUrl>
    <APRAMeetingDate xmlns="814d62cb-2db6-4c25-ab62-b9075facbc11" xsi:nil="true"/>
    <APRAMeetingNumber xmlns="814d62cb-2db6-4c25-ab62-b9075facbc11" xsi:nil="true"/>
  </documentManagement>
</p:properties>
</file>

<file path=customXml/item5.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49" ma:contentTypeDescription="Create a new document." ma:contentTypeScope="" ma:versionID="294f2abc41bb7dd035804e5b1d716973">
  <xsd:schema xmlns:xsd="http://www.w3.org/2001/XMLSchema" xmlns:xs="http://www.w3.org/2001/XMLSchema" xmlns:p="http://schemas.microsoft.com/office/2006/metadata/properties" xmlns:ns1="814d62cb-2db6-4c25-ab62-b9075facbc11" targetNamespace="http://schemas.microsoft.com/office/2006/metadata/properties" ma:root="true" ma:fieldsID="f09e4a90de645c7ef264041fb58de94c"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DLM: For Official Use Only" ma:hidden="true" ma:internalName="APRASecurityClassification" ma:readOnly="false">
      <xsd:simpleType>
        <xsd:restriction base="dms:Choice">
          <xsd:enumeration value="UNCLASSIFIED"/>
          <xsd:enumeration value="DLM: For Official Use Only"/>
          <xsd:enumeration value="DLM: Sensitive"/>
          <xsd:enumeration value="DLM: Sensitive: Legal"/>
          <xsd:enumeration value="DLM: Sensitive: Personal"/>
          <xsd:enumeration value="PROTECTED"/>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42FB3-745E-4AE1-8F1C-9D29C17E2A97}">
  <ds:schemaRefs>
    <ds:schemaRef ds:uri="Microsoft.SharePoint.Taxonomy.ContentTypeSync"/>
  </ds:schemaRefs>
</ds:datastoreItem>
</file>

<file path=customXml/itemProps2.xml><?xml version="1.0" encoding="utf-8"?>
<ds:datastoreItem xmlns:ds="http://schemas.openxmlformats.org/officeDocument/2006/customXml" ds:itemID="{B76EAF7C-C054-456D-BB6F-9A71CE16A5D9}">
  <ds:schemaRefs>
    <ds:schemaRef ds:uri="http://schemas.microsoft.com/sharepoint/events"/>
  </ds:schemaRefs>
</ds:datastoreItem>
</file>

<file path=customXml/itemProps3.xml><?xml version="1.0" encoding="utf-8"?>
<ds:datastoreItem xmlns:ds="http://schemas.openxmlformats.org/officeDocument/2006/customXml" ds:itemID="{DEBBE7FF-85D3-4545-BC77-4BFD36BC3B67}">
  <ds:schemaRefs>
    <ds:schemaRef ds:uri="http://schemas.microsoft.com/sharepoint/v3/contenttype/forms"/>
  </ds:schemaRefs>
</ds:datastoreItem>
</file>

<file path=customXml/itemProps4.xml><?xml version="1.0" encoding="utf-8"?>
<ds:datastoreItem xmlns:ds="http://schemas.openxmlformats.org/officeDocument/2006/customXml" ds:itemID="{6AD1B70D-A6A8-4556-B7C1-F94206C4A61B}">
  <ds:schemaRefs>
    <ds:schemaRef ds:uri="814d62cb-2db6-4c25-ab62-b9075facbc11"/>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purl.org/dc/dcmitype/"/>
    <ds:schemaRef ds:uri="http://www.w3.org/XML/1998/namespace"/>
    <ds:schemaRef ds:uri="http://purl.org/dc/elements/1.1/"/>
    <ds:schemaRef ds:uri="http://schemas.microsoft.com/office/2006/metadata/properties"/>
  </ds:schemaRefs>
</ds:datastoreItem>
</file>

<file path=customXml/itemProps5.xml><?xml version="1.0" encoding="utf-8"?>
<ds:datastoreItem xmlns:ds="http://schemas.openxmlformats.org/officeDocument/2006/customXml" ds:itemID="{DCCA0A66-7420-4E79-A3CF-EE0BB7B17D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113BAA4-8F10-4912-8167-B73B1D803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ES for revoke and remake prudential standard (April 2016).dotx</Template>
  <TotalTime>0</TotalTime>
  <Pages>6</Pages>
  <Words>1778</Words>
  <Characters>10014</Characters>
  <Application>Microsoft Office Word</Application>
  <DocSecurity>0</DocSecurity>
  <Lines>178</Lines>
  <Paragraphs>65</Paragraphs>
  <ScaleCrop>false</ScaleCrop>
  <HeadingPairs>
    <vt:vector size="2" baseType="variant">
      <vt:variant>
        <vt:lpstr>Title</vt:lpstr>
      </vt:variant>
      <vt:variant>
        <vt:i4>1</vt:i4>
      </vt:variant>
    </vt:vector>
  </HeadingPairs>
  <TitlesOfParts>
    <vt:vector size="1" baseType="lpstr">
      <vt:lpstr>Consolidated ES - prudential standard deferral</vt:lpstr>
    </vt:vector>
  </TitlesOfParts>
  <Company>APRA</Company>
  <LinksUpToDate>false</LinksUpToDate>
  <CharactersWithSpaces>11727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 - Banking, Insurance, Life Insurance and Superannuation (prudential standards) determination No. 1 of 2020</dc:title>
  <dc:creator>Sullivan, David</dc:creator>
  <cp:keywords>[SEC=UNCLASSIFIED]</cp:keywords>
  <cp:lastModifiedBy>Michalis, Toni</cp:lastModifiedBy>
  <cp:revision>2</cp:revision>
  <cp:lastPrinted>2020-01-09T02:14:00Z</cp:lastPrinted>
  <dcterms:created xsi:type="dcterms:W3CDTF">2020-08-25T11:17:00Z</dcterms:created>
  <dcterms:modified xsi:type="dcterms:W3CDTF">2020-08-25T11:17:00Z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Value_Footer">
    <vt:lpwstr>UNCLASSIFIED</vt:lpwstr>
  </property>
  <property fmtid="{D5CDD505-2E9C-101B-9397-08002B2CF9AE}" pid="3" name="PM_Caveats_Count">
    <vt:lpwstr>0</vt:lpwstr>
  </property>
  <property fmtid="{D5CDD505-2E9C-101B-9397-08002B2CF9AE}" pid="4" name="PM_Originator_Hash_SHA1">
    <vt:lpwstr>C3AD57350F36D8E1BD75F8F67CB06D435C9C43CA</vt:lpwstr>
  </property>
  <property fmtid="{D5CDD505-2E9C-101B-9397-08002B2CF9AE}" pid="5" name="PM_SecurityClassification">
    <vt:lpwstr>UNCLASSIFIED</vt:lpwstr>
  </property>
  <property fmtid="{D5CDD505-2E9C-101B-9397-08002B2CF9AE}" pid="6" name="PM_DisplayValueSecClassificationWithQualifier">
    <vt:lpwstr>UNCLASSIFIED</vt:lpwstr>
  </property>
  <property fmtid="{D5CDD505-2E9C-101B-9397-08002B2CF9AE}" pid="7" name="PM_Qualifier">
    <vt:lpwstr/>
  </property>
  <property fmtid="{D5CDD505-2E9C-101B-9397-08002B2CF9AE}" pid="8" name="PM_Hash_SHA1">
    <vt:lpwstr>921262E99BA91E4B0C0CB2F7D507A1511582E6F8</vt:lpwstr>
  </property>
  <property fmtid="{D5CDD505-2E9C-101B-9397-08002B2CF9AE}" pid="9" name="PM_ProtectiveMarkingImage_Header">
    <vt:lpwstr>C:\Program Files\Common Files\janusNET Shared\janusSEAL\Images\DocumentSlashBlue.png</vt:lpwstr>
  </property>
  <property fmtid="{D5CDD505-2E9C-101B-9397-08002B2CF9AE}" pid="10" name="PM_InsertionValue">
    <vt:lpwstr>UNCLASSIFIED</vt:lpwstr>
  </property>
  <property fmtid="{D5CDD505-2E9C-101B-9397-08002B2CF9AE}" pid="11" name="PM_ProtectiveMarkingValue_Header">
    <vt:lpwstr>UNCLASSIFIED</vt:lpwstr>
  </property>
  <property fmtid="{D5CDD505-2E9C-101B-9397-08002B2CF9AE}" pid="12" name="PM_ProtectiveMarkingImage_Footer">
    <vt:lpwstr>C:\Program Files\Common Files\janusNET Shared\janusSEAL\Images\DocumentSlashBlue.png</vt:lpwstr>
  </property>
  <property fmtid="{D5CDD505-2E9C-101B-9397-08002B2CF9AE}" pid="13" name="PM_Namespace">
    <vt:lpwstr>gov.au</vt:lpwstr>
  </property>
  <property fmtid="{D5CDD505-2E9C-101B-9397-08002B2CF9AE}" pid="14" name="PM_Version">
    <vt:lpwstr>2012.3</vt:lpwstr>
  </property>
  <property fmtid="{D5CDD505-2E9C-101B-9397-08002B2CF9AE}" pid="15" name="PM_Originating_FileId">
    <vt:lpwstr>21ED1FDBCD7D4344A20D6AFD8053454A</vt:lpwstr>
  </property>
  <property fmtid="{D5CDD505-2E9C-101B-9397-08002B2CF9AE}" pid="16" name="PM_OriginationTimeStamp">
    <vt:lpwstr>2020-08-25T11:17:02Z</vt:lpwstr>
  </property>
  <property fmtid="{D5CDD505-2E9C-101B-9397-08002B2CF9AE}" pid="17" name="PM_Hash_Version">
    <vt:lpwstr>2018.0</vt:lpwstr>
  </property>
  <property fmtid="{D5CDD505-2E9C-101B-9397-08002B2CF9AE}" pid="18" name="PM_Hash_Salt_Prev">
    <vt:lpwstr>C80552E8ED6B19D9AA28F14D3C9140C0</vt:lpwstr>
  </property>
  <property fmtid="{D5CDD505-2E9C-101B-9397-08002B2CF9AE}" pid="19" name="PM_Hash_Salt">
    <vt:lpwstr>F78562D8348A3F9EDAF16E0E68D36093</vt:lpwstr>
  </property>
  <property fmtid="{D5CDD505-2E9C-101B-9397-08002B2CF9AE}" pid="20" name="PM_MinimumSecurityClassification">
    <vt:lpwstr/>
  </property>
  <property fmtid="{D5CDD505-2E9C-101B-9397-08002B2CF9AE}" pid="21" name="ContentTypeId">
    <vt:lpwstr>0x0101008CA7A4F8331B45C7B0D3158B4994D0CA0200577EC0F5A1FBFC498F9A8436B963F8A6</vt:lpwstr>
  </property>
  <property fmtid="{D5CDD505-2E9C-101B-9397-08002B2CF9AE}" pid="22" name="APRAPeriod">
    <vt:lpwstr/>
  </property>
  <property fmtid="{D5CDD505-2E9C-101B-9397-08002B2CF9AE}" pid="23" name="APRACostCentre">
    <vt:lpwstr>158;#PAD300|98bbdbe4-d019-48eb-87c4-aa31a7f2f98f;#24;#Legal - ADI|652d8d2a-ab45-47b4-ac6e-fe6ac9299b39;#26;#Legal - Insurance: General|8229dc1a-d7f2-47b2-844a-b026fed0c13d;#93;#Legal - Insurance: Health|21611e62-d688-4f0d-8807-02701cc43699;#83;#Legal - Insurance: Life|56f18b50-6605-4f3f-97e3-cad1cb5394e0;#134;#Legal - Superannuation|cce3181d-fd23-4eee-94d3-c66abc2350cf;#4;#Legal - Resolution ＆ Corporate|696624b1-19f4-47b2-a07b-57868a922a96</vt:lpwstr>
  </property>
  <property fmtid="{D5CDD505-2E9C-101B-9397-08002B2CF9AE}" pid="24" name="APRAYear">
    <vt:lpwstr>229;#2020|29ca90e3-c619-4296-b1bf-6e33e4d24a28</vt:lpwstr>
  </property>
  <property fmtid="{D5CDD505-2E9C-101B-9397-08002B2CF9AE}" pid="25" name="APRAIndustry">
    <vt:lpwstr/>
  </property>
  <property fmtid="{D5CDD505-2E9C-101B-9397-08002B2CF9AE}" pid="26" name="APRAPRSG">
    <vt:lpwstr/>
  </property>
  <property fmtid="{D5CDD505-2E9C-101B-9397-08002B2CF9AE}" pid="27" name="_dlc_DocIdItemGuid">
    <vt:lpwstr>faa8055c-412b-4481-8231-8d35ed7bb581</vt:lpwstr>
  </property>
  <property fmtid="{D5CDD505-2E9C-101B-9397-08002B2CF9AE}" pid="28" name="IsLocked">
    <vt:lpwstr>False</vt:lpwstr>
  </property>
  <property fmtid="{D5CDD505-2E9C-101B-9397-08002B2CF9AE}" pid="29" name="IT system type">
    <vt:lpwstr/>
  </property>
  <property fmtid="{D5CDD505-2E9C-101B-9397-08002B2CF9AE}" pid="30" name="APRACategory">
    <vt:lpwstr/>
  </property>
  <property fmtid="{D5CDD505-2E9C-101B-9397-08002B2CF9AE}" pid="31" name="APRADocumentType">
    <vt:lpwstr>234;#Explanatory statement|b22f2e2f-3f73-411b-9a7c-34264d26fa25</vt:lpwstr>
  </property>
  <property fmtid="{D5CDD505-2E9C-101B-9397-08002B2CF9AE}" pid="32" name="APRAStatus">
    <vt:lpwstr>19;#Final|84d6b2d0-8498-4d62-bf46-bab38babbe9e</vt:lpwstr>
  </property>
  <property fmtid="{D5CDD505-2E9C-101B-9397-08002B2CF9AE}" pid="33" name="APRAActivity">
    <vt:lpwstr>10;#Registration|390476ce-d76d-4e8d-905f-28e32d2df127;#109;#Statutory instrument|fe68928c-5a9c-4caf-bc8c-6c18cedcb17f</vt:lpwstr>
  </property>
  <property fmtid="{D5CDD505-2E9C-101B-9397-08002B2CF9AE}" pid="34" name="APRAEntityAdviceSupport">
    <vt:lpwstr/>
  </property>
  <property fmtid="{D5CDD505-2E9C-101B-9397-08002B2CF9AE}" pid="35" name="APRALegislation">
    <vt:lpwstr/>
  </property>
  <property fmtid="{D5CDD505-2E9C-101B-9397-08002B2CF9AE}" pid="36" name="APRAExternalOrganisation">
    <vt:lpwstr/>
  </property>
  <property fmtid="{D5CDD505-2E9C-101B-9397-08002B2CF9AE}" pid="37" name="APRAIRTR">
    <vt:lpwstr/>
  </property>
  <property fmtid="{D5CDD505-2E9C-101B-9397-08002B2CF9AE}" pid="38" name="RecordPoint_WorkflowType">
    <vt:lpwstr>ActiveSubmitStub</vt:lpwstr>
  </property>
  <property fmtid="{D5CDD505-2E9C-101B-9397-08002B2CF9AE}" pid="39" name="RecordPoint_ActiveItemWebId">
    <vt:lpwstr>{75a71c27-8d66-4282-ae60-1bfc22a83be1}</vt:lpwstr>
  </property>
  <property fmtid="{D5CDD505-2E9C-101B-9397-08002B2CF9AE}" pid="40" name="RecordPoint_ActiveItemSiteId">
    <vt:lpwstr>{88691c01-5bbb-4215-adc0-66cb7065b0af}</vt:lpwstr>
  </property>
  <property fmtid="{D5CDD505-2E9C-101B-9397-08002B2CF9AE}" pid="41" name="RecordPoint_ActiveItemListId">
    <vt:lpwstr>{0e59e171-09d8-4401-800a-327154450cb3}</vt:lpwstr>
  </property>
  <property fmtid="{D5CDD505-2E9C-101B-9397-08002B2CF9AE}" pid="42" name="RecordPoint_ActiveItemUniqueId">
    <vt:lpwstr>{faa8055c-412b-4481-8231-8d35ed7bb581}</vt:lpwstr>
  </property>
  <property fmtid="{D5CDD505-2E9C-101B-9397-08002B2CF9AE}" pid="43" name="RecordPoint_RecordNumberSubmitted">
    <vt:lpwstr/>
  </property>
  <property fmtid="{D5CDD505-2E9C-101B-9397-08002B2CF9AE}" pid="44" name="RecordPoint_SubmissionCompleted">
    <vt:lpwstr/>
  </property>
  <property fmtid="{D5CDD505-2E9C-101B-9397-08002B2CF9AE}" pid="45" name="RecordPoint_SubmissionDate">
    <vt:lpwstr/>
  </property>
  <property fmtid="{D5CDD505-2E9C-101B-9397-08002B2CF9AE}" pid="46" name="RecordPoint_ActiveItemMoved">
    <vt:lpwstr/>
  </property>
  <property fmtid="{D5CDD505-2E9C-101B-9397-08002B2CF9AE}" pid="47" name="RecordPoint_RecordFormat">
    <vt:lpwstr/>
  </property>
  <property fmtid="{D5CDD505-2E9C-101B-9397-08002B2CF9AE}" pid="48" name="PM_SecurityClassification_Prev">
    <vt:lpwstr>UNCLASSIFIED</vt:lpwstr>
  </property>
  <property fmtid="{D5CDD505-2E9C-101B-9397-08002B2CF9AE}" pid="49" name="PM_Qualifier_Prev">
    <vt:lpwstr/>
  </property>
  <property fmtid="{D5CDD505-2E9C-101B-9397-08002B2CF9AE}" pid="50" name="PM_Note">
    <vt:lpwstr/>
  </property>
  <property fmtid="{D5CDD505-2E9C-101B-9397-08002B2CF9AE}" pid="51" name="PM_Markers">
    <vt:lpwstr/>
  </property>
</Properties>
</file>