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F8F76" w14:textId="77777777" w:rsidR="00273E35" w:rsidRPr="002E3959" w:rsidRDefault="00273E35">
      <w:pPr>
        <w:pStyle w:val="Title"/>
        <w:spacing w:after="240"/>
        <w:rPr>
          <w:b/>
          <w:bCs/>
        </w:rPr>
      </w:pPr>
      <w:r w:rsidRPr="002E3959">
        <w:rPr>
          <w:b/>
          <w:bCs/>
        </w:rPr>
        <w:t>EXPLANATORY STATEMENT</w:t>
      </w:r>
    </w:p>
    <w:p w14:paraId="2FEF8B84" w14:textId="77777777" w:rsidR="00273E35" w:rsidRPr="002E3959" w:rsidRDefault="00273E35" w:rsidP="00C74A16">
      <w:pPr>
        <w:spacing w:before="120" w:after="120"/>
        <w:jc w:val="center"/>
        <w:rPr>
          <w:sz w:val="24"/>
        </w:rPr>
      </w:pPr>
      <w:r w:rsidRPr="002E3959">
        <w:rPr>
          <w:sz w:val="24"/>
        </w:rPr>
        <w:t xml:space="preserve">Issued by the authority of the Minister for Finance </w:t>
      </w:r>
    </w:p>
    <w:p w14:paraId="13C82524" w14:textId="77777777" w:rsidR="00C74A16" w:rsidRPr="002E3959" w:rsidRDefault="003A7F0E" w:rsidP="00C74A16">
      <w:pPr>
        <w:spacing w:before="120" w:after="120"/>
        <w:jc w:val="center"/>
        <w:rPr>
          <w:i/>
          <w:sz w:val="24"/>
        </w:rPr>
      </w:pPr>
      <w:r w:rsidRPr="002E3959">
        <w:rPr>
          <w:i/>
          <w:sz w:val="24"/>
        </w:rPr>
        <w:t>Public Governance, Performance and Accountability Act 2013</w:t>
      </w:r>
    </w:p>
    <w:p w14:paraId="004595EC" w14:textId="7ABF13D8" w:rsidR="00E82AAF" w:rsidRPr="002E3959" w:rsidRDefault="000F3345">
      <w:pPr>
        <w:spacing w:before="120"/>
        <w:jc w:val="center"/>
        <w:rPr>
          <w:i/>
          <w:sz w:val="24"/>
        </w:rPr>
      </w:pPr>
      <w:bookmarkStart w:id="0" w:name="Determination_Title"/>
      <w:bookmarkStart w:id="1" w:name="Citation"/>
      <w:r w:rsidRPr="002E3959">
        <w:rPr>
          <w:i/>
          <w:sz w:val="24"/>
          <w:szCs w:val="24"/>
        </w:rPr>
        <w:t>PGPA Act Determination (</w:t>
      </w:r>
      <w:r w:rsidR="002F3CE6" w:rsidRPr="002E3959">
        <w:rPr>
          <w:i/>
          <w:sz w:val="24"/>
          <w:szCs w:val="24"/>
        </w:rPr>
        <w:t>Biosecurity, Imported Food and Export Certification</w:t>
      </w:r>
      <w:r w:rsidR="00C82233" w:rsidRPr="002E3959">
        <w:rPr>
          <w:i/>
          <w:sz w:val="24"/>
          <w:szCs w:val="24"/>
        </w:rPr>
        <w:t xml:space="preserve"> </w:t>
      </w:r>
      <w:r w:rsidRPr="002E3959">
        <w:rPr>
          <w:i/>
          <w:sz w:val="24"/>
          <w:szCs w:val="24"/>
        </w:rPr>
        <w:t>Special Account 20</w:t>
      </w:r>
      <w:r w:rsidR="008C4A8C" w:rsidRPr="002E3959">
        <w:rPr>
          <w:i/>
          <w:sz w:val="24"/>
          <w:szCs w:val="24"/>
        </w:rPr>
        <w:t>20</w:t>
      </w:r>
      <w:r w:rsidRPr="002E3959">
        <w:rPr>
          <w:i/>
          <w:sz w:val="24"/>
          <w:szCs w:val="24"/>
        </w:rPr>
        <w:t>)</w:t>
      </w:r>
    </w:p>
    <w:bookmarkEnd w:id="0"/>
    <w:bookmarkEnd w:id="1"/>
    <w:p w14:paraId="089528EC" w14:textId="77777777" w:rsidR="00273E35" w:rsidRPr="002E3959" w:rsidRDefault="00273E35" w:rsidP="006C7716">
      <w:pPr>
        <w:pStyle w:val="Heading3"/>
        <w:spacing w:before="360"/>
        <w:jc w:val="both"/>
        <w:rPr>
          <w:i/>
        </w:rPr>
      </w:pPr>
      <w:r w:rsidRPr="002E3959">
        <w:rPr>
          <w:i/>
        </w:rPr>
        <w:t xml:space="preserve">Purpose of </w:t>
      </w:r>
      <w:r w:rsidR="00D919A6" w:rsidRPr="002E3959">
        <w:rPr>
          <w:i/>
        </w:rPr>
        <w:t>th</w:t>
      </w:r>
      <w:r w:rsidR="00F0563C" w:rsidRPr="002E3959">
        <w:rPr>
          <w:i/>
        </w:rPr>
        <w:t>is</w:t>
      </w:r>
      <w:r w:rsidR="00D919A6" w:rsidRPr="002E3959">
        <w:rPr>
          <w:i/>
        </w:rPr>
        <w:t xml:space="preserve"> </w:t>
      </w:r>
      <w:r w:rsidR="00F0563C" w:rsidRPr="002E3959">
        <w:rPr>
          <w:i/>
        </w:rPr>
        <w:t>d</w:t>
      </w:r>
      <w:r w:rsidRPr="002E3959">
        <w:rPr>
          <w:i/>
        </w:rPr>
        <w:t>etermination</w:t>
      </w:r>
    </w:p>
    <w:p w14:paraId="5D4FA353" w14:textId="72748747" w:rsidR="0060562B" w:rsidRPr="002E3959" w:rsidRDefault="00633F46" w:rsidP="0060562B">
      <w:pPr>
        <w:pStyle w:val="BodyText"/>
        <w:spacing w:after="120"/>
        <w:jc w:val="both"/>
      </w:pPr>
      <w:r w:rsidRPr="002E3959">
        <w:t>Th</w:t>
      </w:r>
      <w:r w:rsidR="00F0563C" w:rsidRPr="002E3959">
        <w:t>is</w:t>
      </w:r>
      <w:r w:rsidR="00CE00FE" w:rsidRPr="002E3959">
        <w:t xml:space="preserve"> </w:t>
      </w:r>
      <w:r w:rsidR="00F0563C" w:rsidRPr="002E3959">
        <w:t>d</w:t>
      </w:r>
      <w:r w:rsidRPr="002E3959">
        <w:t>etermination</w:t>
      </w:r>
      <w:r w:rsidR="006E53C2" w:rsidRPr="002E3959">
        <w:t xml:space="preserve"> is</w:t>
      </w:r>
      <w:r w:rsidR="00887A0A" w:rsidRPr="002E3959">
        <w:t xml:space="preserve"> made </w:t>
      </w:r>
      <w:r w:rsidRPr="002E3959">
        <w:t xml:space="preserve">under </w:t>
      </w:r>
      <w:r w:rsidR="00805FA7" w:rsidRPr="002E3959">
        <w:t>sub</w:t>
      </w:r>
      <w:r w:rsidR="00D92000" w:rsidRPr="002E3959">
        <w:t>section</w:t>
      </w:r>
      <w:r w:rsidR="00D5023A" w:rsidRPr="002E3959">
        <w:t>s</w:t>
      </w:r>
      <w:r w:rsidR="008A26C4" w:rsidRPr="002E3959">
        <w:t> </w:t>
      </w:r>
      <w:r w:rsidR="00590036" w:rsidRPr="002E3959">
        <w:t>78(1)</w:t>
      </w:r>
      <w:r w:rsidR="00D5023A" w:rsidRPr="002E3959">
        <w:t xml:space="preserve"> and 78(3)</w:t>
      </w:r>
      <w:r w:rsidR="00590036" w:rsidRPr="002E3959">
        <w:t xml:space="preserve"> of the </w:t>
      </w:r>
      <w:r w:rsidR="00590036" w:rsidRPr="002E3959">
        <w:rPr>
          <w:i/>
        </w:rPr>
        <w:t>Public Governance, Performance and Accountability Act 2013</w:t>
      </w:r>
      <w:r w:rsidR="00590036" w:rsidRPr="002E3959">
        <w:t xml:space="preserve"> (PGPA Act) </w:t>
      </w:r>
      <w:r w:rsidR="008A26C4" w:rsidRPr="002E3959">
        <w:t xml:space="preserve">to </w:t>
      </w:r>
      <w:r w:rsidR="0068716F" w:rsidRPr="002E3959">
        <w:t xml:space="preserve">establish </w:t>
      </w:r>
      <w:r w:rsidR="0066293D" w:rsidRPr="002E3959">
        <w:rPr>
          <w:szCs w:val="24"/>
        </w:rPr>
        <w:t>the</w:t>
      </w:r>
      <w:r w:rsidR="002D4968" w:rsidRPr="002E3959">
        <w:rPr>
          <w:szCs w:val="24"/>
        </w:rPr>
        <w:t xml:space="preserve"> </w:t>
      </w:r>
      <w:r w:rsidR="002F3CE6" w:rsidRPr="002E3959">
        <w:rPr>
          <w:i/>
          <w:szCs w:val="22"/>
        </w:rPr>
        <w:t>Biosecurity, Imported Food and Export Certification</w:t>
      </w:r>
      <w:r w:rsidR="000D1F44" w:rsidRPr="002E3959">
        <w:rPr>
          <w:i/>
          <w:szCs w:val="24"/>
        </w:rPr>
        <w:t xml:space="preserve"> </w:t>
      </w:r>
      <w:r w:rsidR="00262038" w:rsidRPr="002E3959">
        <w:rPr>
          <w:i/>
          <w:szCs w:val="24"/>
        </w:rPr>
        <w:t xml:space="preserve">Special Account </w:t>
      </w:r>
      <w:r w:rsidR="008C4A8C" w:rsidRPr="002E3959">
        <w:rPr>
          <w:i/>
          <w:szCs w:val="24"/>
        </w:rPr>
        <w:t>2020</w:t>
      </w:r>
      <w:r w:rsidR="00262038" w:rsidRPr="002E3959">
        <w:t xml:space="preserve"> (</w:t>
      </w:r>
      <w:r w:rsidR="00B745E0" w:rsidRPr="002E3959">
        <w:t>the special account</w:t>
      </w:r>
      <w:r w:rsidR="000C18CF" w:rsidRPr="002E3959">
        <w:t>)</w:t>
      </w:r>
      <w:r w:rsidR="00F70B91" w:rsidRPr="002E3959">
        <w:t>.</w:t>
      </w:r>
      <w:r w:rsidR="00615013" w:rsidRPr="002E3959">
        <w:t xml:space="preserve"> </w:t>
      </w:r>
    </w:p>
    <w:p w14:paraId="2D399F38" w14:textId="16AB711A" w:rsidR="00E76C0B" w:rsidRPr="002E3959" w:rsidRDefault="00492B04" w:rsidP="0060562B">
      <w:pPr>
        <w:pStyle w:val="BodyText"/>
        <w:spacing w:after="120"/>
        <w:jc w:val="both"/>
        <w:rPr>
          <w:szCs w:val="24"/>
        </w:rPr>
      </w:pPr>
      <w:r w:rsidRPr="002E3959">
        <w:t>The purpose of this s</w:t>
      </w:r>
      <w:r w:rsidR="0032677B" w:rsidRPr="002E3959">
        <w:t xml:space="preserve">pecial </w:t>
      </w:r>
      <w:r w:rsidRPr="002E3959">
        <w:t>account</w:t>
      </w:r>
      <w:r w:rsidR="00594E2D" w:rsidRPr="002E3959">
        <w:t xml:space="preserve"> </w:t>
      </w:r>
      <w:r w:rsidRPr="002E3959">
        <w:t>is</w:t>
      </w:r>
      <w:r w:rsidR="0032677B" w:rsidRPr="002E3959">
        <w:t xml:space="preserve"> to manage </w:t>
      </w:r>
      <w:r w:rsidR="0050371A" w:rsidRPr="002E3959">
        <w:t>cost-recovered</w:t>
      </w:r>
      <w:r w:rsidR="007E0913" w:rsidRPr="002E3959">
        <w:t xml:space="preserve"> </w:t>
      </w:r>
      <w:r w:rsidR="0050371A" w:rsidRPr="002E3959">
        <w:t>fees, levies and charges</w:t>
      </w:r>
      <w:r w:rsidR="0032677B" w:rsidRPr="002E3959">
        <w:t xml:space="preserve"> </w:t>
      </w:r>
      <w:r w:rsidR="007E0913" w:rsidRPr="002E3959">
        <w:t>associated with</w:t>
      </w:r>
      <w:r w:rsidR="00661FB6" w:rsidRPr="002E3959">
        <w:t xml:space="preserve"> </w:t>
      </w:r>
      <w:r w:rsidR="0017099E" w:rsidRPr="002E3959">
        <w:t>biosecurity</w:t>
      </w:r>
      <w:r w:rsidR="0032677B" w:rsidRPr="002E3959">
        <w:t xml:space="preserve">, import and export inspection and </w:t>
      </w:r>
      <w:r w:rsidR="0032677B" w:rsidRPr="002E3959">
        <w:rPr>
          <w:szCs w:val="24"/>
        </w:rPr>
        <w:t>certification services</w:t>
      </w:r>
      <w:r w:rsidR="00661FB6" w:rsidRPr="002E3959">
        <w:rPr>
          <w:szCs w:val="24"/>
        </w:rPr>
        <w:t xml:space="preserve"> provided by the Department of </w:t>
      </w:r>
      <w:r w:rsidR="00661FB6" w:rsidRPr="002E3959">
        <w:t>Agriculture, Water and the Environment</w:t>
      </w:r>
      <w:r w:rsidR="000E6EC0" w:rsidRPr="002E3959">
        <w:t xml:space="preserve"> (the Department)</w:t>
      </w:r>
      <w:r w:rsidR="00BB1EA9" w:rsidRPr="002E3959">
        <w:t xml:space="preserve"> under legislative framework which includes the </w:t>
      </w:r>
      <w:r w:rsidR="00BB1EA9" w:rsidRPr="002E3959">
        <w:rPr>
          <w:i/>
          <w:iCs/>
          <w:szCs w:val="24"/>
          <w:shd w:val="clear" w:color="auto" w:fill="FFFFFF"/>
        </w:rPr>
        <w:t xml:space="preserve">Imported Food Control Act 1992, Export Control Act 1982 </w:t>
      </w:r>
      <w:r w:rsidR="00BB1EA9" w:rsidRPr="002E3959">
        <w:rPr>
          <w:iCs/>
          <w:szCs w:val="24"/>
          <w:shd w:val="clear" w:color="auto" w:fill="FFFFFF"/>
        </w:rPr>
        <w:t>and</w:t>
      </w:r>
      <w:r w:rsidR="00BB1EA9" w:rsidRPr="002E3959">
        <w:rPr>
          <w:i/>
          <w:iCs/>
          <w:szCs w:val="24"/>
          <w:shd w:val="clear" w:color="auto" w:fill="FFFFFF"/>
        </w:rPr>
        <w:t xml:space="preserve"> </w:t>
      </w:r>
      <w:r w:rsidR="00BB1EA9" w:rsidRPr="002E3959">
        <w:rPr>
          <w:iCs/>
          <w:szCs w:val="24"/>
          <w:shd w:val="clear" w:color="auto" w:fill="FFFFFF"/>
        </w:rPr>
        <w:t xml:space="preserve">the </w:t>
      </w:r>
      <w:r w:rsidR="00BB1EA9" w:rsidRPr="002E3959">
        <w:rPr>
          <w:i/>
          <w:iCs/>
          <w:szCs w:val="24"/>
          <w:shd w:val="clear" w:color="auto" w:fill="FFFFFF"/>
        </w:rPr>
        <w:t>Biosecur</w:t>
      </w:r>
      <w:bookmarkStart w:id="2" w:name="_GoBack"/>
      <w:bookmarkEnd w:id="2"/>
      <w:r w:rsidR="00BB1EA9" w:rsidRPr="002E3959">
        <w:rPr>
          <w:i/>
          <w:iCs/>
          <w:szCs w:val="24"/>
          <w:shd w:val="clear" w:color="auto" w:fill="FFFFFF"/>
        </w:rPr>
        <w:t>ity Act 2015</w:t>
      </w:r>
      <w:r w:rsidR="00661FB6" w:rsidRPr="002E3959">
        <w:rPr>
          <w:szCs w:val="24"/>
        </w:rPr>
        <w:t xml:space="preserve">. </w:t>
      </w:r>
    </w:p>
    <w:p w14:paraId="6D5B6280" w14:textId="022C9696" w:rsidR="00E76C0B" w:rsidRPr="002E3959" w:rsidRDefault="00E76C0B" w:rsidP="00E76C0B">
      <w:pPr>
        <w:pStyle w:val="BodyText"/>
        <w:spacing w:after="120"/>
        <w:jc w:val="both"/>
        <w:rPr>
          <w:szCs w:val="24"/>
        </w:rPr>
      </w:pPr>
      <w:r w:rsidRPr="002E3959">
        <w:rPr>
          <w:szCs w:val="24"/>
        </w:rPr>
        <w:t xml:space="preserve">The </w:t>
      </w:r>
      <w:r w:rsidRPr="002E3959">
        <w:rPr>
          <w:i/>
          <w:iCs/>
          <w:szCs w:val="24"/>
        </w:rPr>
        <w:t>Biosecurity Regulations 2016</w:t>
      </w:r>
      <w:r w:rsidRPr="002E3959">
        <w:rPr>
          <w:szCs w:val="24"/>
        </w:rPr>
        <w:t xml:space="preserve"> provide fees for different biosecurity activities. Similarly, the </w:t>
      </w:r>
      <w:r w:rsidRPr="002E3959">
        <w:rPr>
          <w:i/>
          <w:iCs/>
          <w:szCs w:val="24"/>
        </w:rPr>
        <w:t>Imported Food Control Regulations 2019</w:t>
      </w:r>
      <w:r w:rsidRPr="002E3959">
        <w:rPr>
          <w:szCs w:val="24"/>
        </w:rPr>
        <w:t xml:space="preserve"> provide the basis for fees that are imposed for imported food control activities.</w:t>
      </w:r>
    </w:p>
    <w:p w14:paraId="0D120F66" w14:textId="7DCDD54D" w:rsidR="00E76C0B" w:rsidRPr="002E3959" w:rsidRDefault="00E76C0B" w:rsidP="00E76C0B">
      <w:pPr>
        <w:pStyle w:val="BodyText"/>
        <w:spacing w:after="120"/>
        <w:jc w:val="both"/>
        <w:rPr>
          <w:szCs w:val="24"/>
        </w:rPr>
      </w:pPr>
      <w:r w:rsidRPr="002E3959">
        <w:rPr>
          <w:szCs w:val="24"/>
        </w:rPr>
        <w:t xml:space="preserve">Biosecurity and imported food cost recovery charges are implemented through the biosecurity and imported food charging </w:t>
      </w:r>
      <w:r w:rsidR="005C5CCB" w:rsidRPr="002E3959">
        <w:rPr>
          <w:szCs w:val="24"/>
        </w:rPr>
        <w:t>A</w:t>
      </w:r>
      <w:r w:rsidRPr="002E3959">
        <w:rPr>
          <w:szCs w:val="24"/>
        </w:rPr>
        <w:t>cts and associated delegated legislation, which provide powers to impose and collect charges for biosecurity and imported food compliance-related activities</w:t>
      </w:r>
      <w:r w:rsidR="005C5CCB" w:rsidRPr="002E3959">
        <w:rPr>
          <w:szCs w:val="24"/>
        </w:rPr>
        <w:t>. These include the</w:t>
      </w:r>
      <w:r w:rsidRPr="002E3959">
        <w:rPr>
          <w:szCs w:val="24"/>
        </w:rPr>
        <w:t>:</w:t>
      </w:r>
    </w:p>
    <w:p w14:paraId="08E5675E" w14:textId="77777777" w:rsidR="00E76C0B" w:rsidRPr="002E3959" w:rsidRDefault="00E76C0B" w:rsidP="00E76C0B">
      <w:pPr>
        <w:pStyle w:val="BodyText"/>
        <w:spacing w:after="120"/>
        <w:jc w:val="both"/>
        <w:rPr>
          <w:i/>
          <w:iCs/>
          <w:szCs w:val="24"/>
        </w:rPr>
      </w:pPr>
      <w:r w:rsidRPr="002E3959">
        <w:rPr>
          <w:szCs w:val="24"/>
        </w:rPr>
        <w:t>•</w:t>
      </w:r>
      <w:r w:rsidRPr="002E3959">
        <w:rPr>
          <w:szCs w:val="24"/>
        </w:rPr>
        <w:tab/>
      </w:r>
      <w:r w:rsidRPr="002E3959">
        <w:rPr>
          <w:i/>
          <w:iCs/>
          <w:szCs w:val="24"/>
        </w:rPr>
        <w:t>Biosecurity Charges Imposition (Customs) Act 2015</w:t>
      </w:r>
    </w:p>
    <w:p w14:paraId="63BB342C" w14:textId="77777777" w:rsidR="00E76C0B" w:rsidRPr="002E3959" w:rsidRDefault="00E76C0B" w:rsidP="00E76C0B">
      <w:pPr>
        <w:pStyle w:val="BodyText"/>
        <w:spacing w:after="120"/>
        <w:jc w:val="both"/>
        <w:rPr>
          <w:i/>
          <w:iCs/>
          <w:szCs w:val="24"/>
        </w:rPr>
      </w:pPr>
      <w:r w:rsidRPr="002E3959">
        <w:rPr>
          <w:i/>
          <w:iCs/>
          <w:szCs w:val="24"/>
        </w:rPr>
        <w:t>•</w:t>
      </w:r>
      <w:r w:rsidRPr="002E3959">
        <w:rPr>
          <w:i/>
          <w:iCs/>
          <w:szCs w:val="24"/>
        </w:rPr>
        <w:tab/>
        <w:t>Biosecurity Charges Imposition (Excise) Act 2015</w:t>
      </w:r>
    </w:p>
    <w:p w14:paraId="1FCD7093" w14:textId="77777777" w:rsidR="00E76C0B" w:rsidRPr="002E3959" w:rsidRDefault="00E76C0B" w:rsidP="00E76C0B">
      <w:pPr>
        <w:pStyle w:val="BodyText"/>
        <w:spacing w:after="120"/>
        <w:jc w:val="both"/>
        <w:rPr>
          <w:i/>
          <w:iCs/>
          <w:szCs w:val="24"/>
        </w:rPr>
      </w:pPr>
      <w:r w:rsidRPr="002E3959">
        <w:rPr>
          <w:i/>
          <w:iCs/>
          <w:szCs w:val="24"/>
        </w:rPr>
        <w:t>•</w:t>
      </w:r>
      <w:r w:rsidRPr="002E3959">
        <w:rPr>
          <w:i/>
          <w:iCs/>
          <w:szCs w:val="24"/>
        </w:rPr>
        <w:tab/>
        <w:t>Biosecurity Charges Imposition (General) Act 2015</w:t>
      </w:r>
    </w:p>
    <w:p w14:paraId="27648328" w14:textId="77777777" w:rsidR="00E76C0B" w:rsidRPr="002E3959" w:rsidRDefault="00E76C0B" w:rsidP="00E76C0B">
      <w:pPr>
        <w:pStyle w:val="BodyText"/>
        <w:spacing w:after="120"/>
        <w:jc w:val="both"/>
        <w:rPr>
          <w:i/>
          <w:iCs/>
          <w:szCs w:val="24"/>
        </w:rPr>
      </w:pPr>
      <w:r w:rsidRPr="002E3959">
        <w:rPr>
          <w:i/>
          <w:iCs/>
          <w:szCs w:val="24"/>
        </w:rPr>
        <w:t>•</w:t>
      </w:r>
      <w:r w:rsidRPr="002E3959">
        <w:rPr>
          <w:i/>
          <w:iCs/>
          <w:szCs w:val="24"/>
        </w:rPr>
        <w:tab/>
        <w:t>Imported Food Charges (Imposition—Customs) Act 2015</w:t>
      </w:r>
    </w:p>
    <w:p w14:paraId="56086182" w14:textId="77777777" w:rsidR="00E76C0B" w:rsidRPr="002E3959" w:rsidRDefault="00E76C0B" w:rsidP="00E76C0B">
      <w:pPr>
        <w:pStyle w:val="BodyText"/>
        <w:spacing w:after="120"/>
        <w:jc w:val="both"/>
        <w:rPr>
          <w:i/>
          <w:iCs/>
          <w:szCs w:val="24"/>
        </w:rPr>
      </w:pPr>
      <w:r w:rsidRPr="002E3959">
        <w:rPr>
          <w:i/>
          <w:iCs/>
          <w:szCs w:val="24"/>
        </w:rPr>
        <w:t>•</w:t>
      </w:r>
      <w:r w:rsidRPr="002E3959">
        <w:rPr>
          <w:i/>
          <w:iCs/>
          <w:szCs w:val="24"/>
        </w:rPr>
        <w:tab/>
        <w:t>Imported Food Charges (Imposition—Excise) Act 2015</w:t>
      </w:r>
    </w:p>
    <w:p w14:paraId="1A91991D" w14:textId="77777777" w:rsidR="00E76C0B" w:rsidRPr="002E3959" w:rsidRDefault="00E76C0B" w:rsidP="00E76C0B">
      <w:pPr>
        <w:pStyle w:val="BodyText"/>
        <w:spacing w:after="120"/>
        <w:jc w:val="both"/>
        <w:rPr>
          <w:i/>
          <w:iCs/>
          <w:szCs w:val="24"/>
        </w:rPr>
      </w:pPr>
      <w:r w:rsidRPr="002E3959">
        <w:rPr>
          <w:i/>
          <w:iCs/>
          <w:szCs w:val="24"/>
        </w:rPr>
        <w:t>•</w:t>
      </w:r>
      <w:r w:rsidRPr="002E3959">
        <w:rPr>
          <w:i/>
          <w:iCs/>
          <w:szCs w:val="24"/>
        </w:rPr>
        <w:tab/>
        <w:t>Imported Food Charges (Imposition—General) Act 2015</w:t>
      </w:r>
    </w:p>
    <w:p w14:paraId="5EAB9BB0" w14:textId="77777777" w:rsidR="00E76C0B" w:rsidRPr="002E3959" w:rsidRDefault="00E76C0B" w:rsidP="00E76C0B">
      <w:pPr>
        <w:pStyle w:val="BodyText"/>
        <w:spacing w:after="120"/>
        <w:jc w:val="both"/>
        <w:rPr>
          <w:i/>
          <w:iCs/>
          <w:szCs w:val="24"/>
        </w:rPr>
      </w:pPr>
      <w:r w:rsidRPr="002E3959">
        <w:rPr>
          <w:i/>
          <w:iCs/>
          <w:szCs w:val="24"/>
        </w:rPr>
        <w:t>•</w:t>
      </w:r>
      <w:r w:rsidRPr="002E3959">
        <w:rPr>
          <w:i/>
          <w:iCs/>
          <w:szCs w:val="24"/>
        </w:rPr>
        <w:tab/>
        <w:t>Imported Food Charges (Collection) Act 2015</w:t>
      </w:r>
    </w:p>
    <w:p w14:paraId="7880AAF1" w14:textId="77777777" w:rsidR="00E76C0B" w:rsidRPr="002E3959" w:rsidRDefault="00E76C0B" w:rsidP="00E76C0B">
      <w:pPr>
        <w:pStyle w:val="BodyText"/>
        <w:spacing w:after="120"/>
        <w:jc w:val="both"/>
        <w:rPr>
          <w:i/>
          <w:iCs/>
          <w:szCs w:val="24"/>
        </w:rPr>
      </w:pPr>
      <w:r w:rsidRPr="002E3959">
        <w:rPr>
          <w:i/>
          <w:iCs/>
          <w:szCs w:val="24"/>
        </w:rPr>
        <w:t>•</w:t>
      </w:r>
      <w:r w:rsidRPr="002E3959">
        <w:rPr>
          <w:i/>
          <w:iCs/>
          <w:szCs w:val="24"/>
        </w:rPr>
        <w:tab/>
        <w:t>Biosecurity Charges Imposition (Customs) Regulation 2016</w:t>
      </w:r>
    </w:p>
    <w:p w14:paraId="7FC3765E" w14:textId="7B2AD0FD" w:rsidR="00BB1EA9" w:rsidRPr="002E3959" w:rsidRDefault="00E76C0B" w:rsidP="00E76C0B">
      <w:pPr>
        <w:pStyle w:val="BodyText"/>
        <w:spacing w:after="120"/>
        <w:jc w:val="both"/>
        <w:rPr>
          <w:i/>
          <w:iCs/>
          <w:szCs w:val="24"/>
        </w:rPr>
      </w:pPr>
      <w:r w:rsidRPr="002E3959">
        <w:rPr>
          <w:i/>
          <w:iCs/>
          <w:szCs w:val="24"/>
        </w:rPr>
        <w:t>•</w:t>
      </w:r>
      <w:r w:rsidRPr="002E3959">
        <w:rPr>
          <w:i/>
          <w:iCs/>
          <w:szCs w:val="24"/>
        </w:rPr>
        <w:tab/>
        <w:t xml:space="preserve">Biosecurity Charges Imposition (General) Regulation 2016 </w:t>
      </w:r>
    </w:p>
    <w:p w14:paraId="383F0817" w14:textId="1848F9E5" w:rsidR="00E76C0B" w:rsidRPr="002E3959" w:rsidRDefault="00E9562E" w:rsidP="0060562B">
      <w:pPr>
        <w:pStyle w:val="BodyText"/>
        <w:spacing w:after="120"/>
        <w:jc w:val="both"/>
        <w:rPr>
          <w:szCs w:val="24"/>
        </w:rPr>
      </w:pPr>
      <w:r w:rsidRPr="002E3959">
        <w:rPr>
          <w:szCs w:val="24"/>
        </w:rPr>
        <w:t xml:space="preserve">Section 25 of the </w:t>
      </w:r>
      <w:r w:rsidRPr="002E3959">
        <w:rPr>
          <w:i/>
          <w:iCs/>
          <w:szCs w:val="24"/>
        </w:rPr>
        <w:t>Export Control Act 1982</w:t>
      </w:r>
      <w:r w:rsidRPr="002E3959">
        <w:rPr>
          <w:szCs w:val="24"/>
        </w:rPr>
        <w:t xml:space="preserve"> provides the power to impose fees in relation to a range of export certification activities. The specific amounts are set out in the </w:t>
      </w:r>
      <w:r w:rsidRPr="002E3959">
        <w:rPr>
          <w:i/>
          <w:iCs/>
          <w:szCs w:val="24"/>
        </w:rPr>
        <w:t>Export Control (Fees) Orders 2015</w:t>
      </w:r>
      <w:r w:rsidRPr="002E3959">
        <w:rPr>
          <w:szCs w:val="24"/>
        </w:rPr>
        <w:t xml:space="preserve">. </w:t>
      </w:r>
    </w:p>
    <w:p w14:paraId="42A77792" w14:textId="25B33FBA" w:rsidR="00E9562E" w:rsidRPr="002E3959" w:rsidRDefault="00E9562E" w:rsidP="0060562B">
      <w:pPr>
        <w:pStyle w:val="BodyText"/>
        <w:spacing w:after="120"/>
        <w:jc w:val="both"/>
        <w:rPr>
          <w:szCs w:val="24"/>
        </w:rPr>
      </w:pPr>
      <w:r w:rsidRPr="002E3959">
        <w:rPr>
          <w:szCs w:val="24"/>
        </w:rPr>
        <w:t xml:space="preserve">Export cost recovery charges are implemented through the export charging </w:t>
      </w:r>
      <w:r w:rsidR="005C5CCB" w:rsidRPr="002E3959">
        <w:rPr>
          <w:szCs w:val="24"/>
        </w:rPr>
        <w:t>A</w:t>
      </w:r>
      <w:r w:rsidRPr="002E3959">
        <w:rPr>
          <w:szCs w:val="24"/>
        </w:rPr>
        <w:t>cts and associated delegated legislation, which provide powers to impose and collect charges for export related functions.</w:t>
      </w:r>
      <w:r w:rsidR="005C5CCB" w:rsidRPr="002E3959">
        <w:rPr>
          <w:szCs w:val="24"/>
        </w:rPr>
        <w:t xml:space="preserve"> These include the:</w:t>
      </w:r>
    </w:p>
    <w:p w14:paraId="25BCFA77" w14:textId="77777777" w:rsidR="00E9562E" w:rsidRPr="002E3959" w:rsidRDefault="00E9562E" w:rsidP="00E9562E">
      <w:pPr>
        <w:pStyle w:val="BodyText"/>
        <w:spacing w:after="120"/>
        <w:jc w:val="both"/>
        <w:rPr>
          <w:szCs w:val="24"/>
        </w:rPr>
      </w:pPr>
      <w:r w:rsidRPr="002E3959">
        <w:rPr>
          <w:szCs w:val="24"/>
        </w:rPr>
        <w:t>•</w:t>
      </w:r>
      <w:r w:rsidRPr="002E3959">
        <w:rPr>
          <w:szCs w:val="24"/>
        </w:rPr>
        <w:tab/>
      </w:r>
      <w:r w:rsidRPr="002E3959">
        <w:rPr>
          <w:i/>
          <w:szCs w:val="24"/>
        </w:rPr>
        <w:t>Export Charges (Collection) Act 2015</w:t>
      </w:r>
    </w:p>
    <w:p w14:paraId="5DE17CA6" w14:textId="77777777" w:rsidR="00E9562E" w:rsidRPr="002E3959" w:rsidRDefault="00E9562E" w:rsidP="00E9562E">
      <w:pPr>
        <w:pStyle w:val="BodyText"/>
        <w:spacing w:after="120"/>
        <w:jc w:val="both"/>
        <w:rPr>
          <w:szCs w:val="24"/>
        </w:rPr>
      </w:pPr>
      <w:r w:rsidRPr="002E3959">
        <w:rPr>
          <w:szCs w:val="24"/>
        </w:rPr>
        <w:t>•</w:t>
      </w:r>
      <w:r w:rsidRPr="002E3959">
        <w:rPr>
          <w:szCs w:val="24"/>
        </w:rPr>
        <w:tab/>
      </w:r>
      <w:r w:rsidRPr="002E3959">
        <w:rPr>
          <w:i/>
          <w:szCs w:val="24"/>
        </w:rPr>
        <w:t>Export Charges (Imposition—Customs) Act 2015</w:t>
      </w:r>
    </w:p>
    <w:p w14:paraId="2E77C8D8" w14:textId="77777777" w:rsidR="00E9562E" w:rsidRPr="002E3959" w:rsidRDefault="00E9562E" w:rsidP="00E9562E">
      <w:pPr>
        <w:pStyle w:val="BodyText"/>
        <w:spacing w:after="120"/>
        <w:jc w:val="both"/>
        <w:rPr>
          <w:szCs w:val="24"/>
        </w:rPr>
      </w:pPr>
      <w:r w:rsidRPr="002E3959">
        <w:rPr>
          <w:szCs w:val="24"/>
        </w:rPr>
        <w:t>•</w:t>
      </w:r>
      <w:r w:rsidRPr="002E3959">
        <w:rPr>
          <w:szCs w:val="24"/>
        </w:rPr>
        <w:tab/>
      </w:r>
      <w:r w:rsidRPr="002E3959">
        <w:rPr>
          <w:i/>
          <w:szCs w:val="24"/>
        </w:rPr>
        <w:t>Export Charges (Imposition—Excise) Act 2015</w:t>
      </w:r>
    </w:p>
    <w:p w14:paraId="4460C675" w14:textId="77777777" w:rsidR="00E9562E" w:rsidRPr="002E3959" w:rsidRDefault="00E9562E" w:rsidP="00E9562E">
      <w:pPr>
        <w:pStyle w:val="BodyText"/>
        <w:spacing w:after="120"/>
        <w:jc w:val="both"/>
        <w:rPr>
          <w:szCs w:val="24"/>
        </w:rPr>
      </w:pPr>
      <w:r w:rsidRPr="002E3959">
        <w:rPr>
          <w:szCs w:val="24"/>
        </w:rPr>
        <w:t>•</w:t>
      </w:r>
      <w:r w:rsidRPr="002E3959">
        <w:rPr>
          <w:szCs w:val="24"/>
        </w:rPr>
        <w:tab/>
      </w:r>
      <w:r w:rsidRPr="002E3959">
        <w:rPr>
          <w:i/>
          <w:szCs w:val="24"/>
        </w:rPr>
        <w:t>Export Charges (Imposition—General) Act 2015</w:t>
      </w:r>
    </w:p>
    <w:p w14:paraId="4FAA54FD" w14:textId="77777777" w:rsidR="00E9562E" w:rsidRPr="002E3959" w:rsidRDefault="00E9562E" w:rsidP="00E9562E">
      <w:pPr>
        <w:pStyle w:val="BodyText"/>
        <w:spacing w:after="120"/>
        <w:jc w:val="both"/>
        <w:rPr>
          <w:szCs w:val="24"/>
        </w:rPr>
      </w:pPr>
      <w:r w:rsidRPr="002E3959">
        <w:rPr>
          <w:szCs w:val="24"/>
        </w:rPr>
        <w:lastRenderedPageBreak/>
        <w:t>•</w:t>
      </w:r>
      <w:r w:rsidRPr="002E3959">
        <w:rPr>
          <w:szCs w:val="24"/>
        </w:rPr>
        <w:tab/>
      </w:r>
      <w:r w:rsidRPr="002E3959">
        <w:rPr>
          <w:i/>
          <w:szCs w:val="24"/>
        </w:rPr>
        <w:t>Export Charges (Imposition—Customs) Regulation 2015</w:t>
      </w:r>
    </w:p>
    <w:p w14:paraId="048A8D42" w14:textId="548B499F" w:rsidR="00E9562E" w:rsidRPr="002E3959" w:rsidRDefault="00E9562E" w:rsidP="00E9562E">
      <w:pPr>
        <w:pStyle w:val="BodyText"/>
        <w:spacing w:after="120"/>
        <w:jc w:val="both"/>
        <w:rPr>
          <w:szCs w:val="24"/>
        </w:rPr>
      </w:pPr>
      <w:r w:rsidRPr="002E3959">
        <w:rPr>
          <w:szCs w:val="24"/>
        </w:rPr>
        <w:t>•</w:t>
      </w:r>
      <w:r w:rsidRPr="002E3959">
        <w:rPr>
          <w:szCs w:val="24"/>
        </w:rPr>
        <w:tab/>
      </w:r>
      <w:r w:rsidRPr="002E3959">
        <w:rPr>
          <w:i/>
          <w:szCs w:val="24"/>
        </w:rPr>
        <w:t>Export Charges (Imposition—General) Regulation 2015</w:t>
      </w:r>
    </w:p>
    <w:p w14:paraId="34942CDF" w14:textId="0399A441" w:rsidR="00E76C0B" w:rsidRPr="002E3959" w:rsidRDefault="00E76C0B" w:rsidP="0060562B">
      <w:pPr>
        <w:pStyle w:val="BodyText"/>
        <w:spacing w:after="120"/>
        <w:jc w:val="both"/>
        <w:rPr>
          <w:szCs w:val="24"/>
        </w:rPr>
      </w:pPr>
      <w:r w:rsidRPr="002E3959">
        <w:rPr>
          <w:szCs w:val="24"/>
        </w:rPr>
        <w:t>For the avoidance of any doubt as to the technical classification of the charge in the customs and taxation context, all charges appear in identical form in regulations made under each of the Acts.</w:t>
      </w:r>
    </w:p>
    <w:p w14:paraId="7AF83948" w14:textId="66D8F428" w:rsidR="0032677B" w:rsidRPr="002E3959" w:rsidRDefault="00661FB6" w:rsidP="0060562B">
      <w:pPr>
        <w:pStyle w:val="BodyText"/>
        <w:spacing w:after="120"/>
        <w:jc w:val="both"/>
      </w:pPr>
      <w:r w:rsidRPr="002E3959">
        <w:rPr>
          <w:szCs w:val="24"/>
        </w:rPr>
        <w:t>These activities s</w:t>
      </w:r>
      <w:r w:rsidR="00492B04" w:rsidRPr="002E3959">
        <w:rPr>
          <w:szCs w:val="24"/>
          <w:lang w:eastAsia="en-AU"/>
        </w:rPr>
        <w:t>afeguard Australia’s animal and plant health status to maintain overseas markets and protect the economy and environment from the impact of exotic pests and diseases</w:t>
      </w:r>
      <w:r w:rsidR="005277F1" w:rsidRPr="002E3959">
        <w:rPr>
          <w:szCs w:val="24"/>
          <w:lang w:eastAsia="en-AU"/>
        </w:rPr>
        <w:t>.</w:t>
      </w:r>
    </w:p>
    <w:p w14:paraId="00273F15" w14:textId="30CB25D2" w:rsidR="00AD12EE" w:rsidRPr="002E3959" w:rsidRDefault="00C24269" w:rsidP="00D70D16">
      <w:pPr>
        <w:pStyle w:val="BodyText"/>
        <w:spacing w:after="120"/>
        <w:jc w:val="both"/>
      </w:pPr>
      <w:r w:rsidRPr="002E3959">
        <w:t>The</w:t>
      </w:r>
      <w:r w:rsidR="00AD12EE" w:rsidRPr="002E3959">
        <w:t>re</w:t>
      </w:r>
      <w:r w:rsidRPr="002E3959">
        <w:t xml:space="preserve"> </w:t>
      </w:r>
      <w:r w:rsidR="00AD12EE" w:rsidRPr="002E3959">
        <w:t>is currently a</w:t>
      </w:r>
      <w:r w:rsidR="00594E2D" w:rsidRPr="002E3959">
        <w:t>n</w:t>
      </w:r>
      <w:r w:rsidR="00AD12EE" w:rsidRPr="002E3959">
        <w:t xml:space="preserve"> </w:t>
      </w:r>
      <w:r w:rsidR="00594E2D" w:rsidRPr="002E3959">
        <w:rPr>
          <w:i/>
        </w:rPr>
        <w:t>Australian Quarantine and Inspection Servic</w:t>
      </w:r>
      <w:r w:rsidR="00600A5E" w:rsidRPr="002E3959">
        <w:rPr>
          <w:i/>
        </w:rPr>
        <w:t>e</w:t>
      </w:r>
      <w:r w:rsidR="00AD12EE" w:rsidRPr="002E3959">
        <w:rPr>
          <w:i/>
        </w:rPr>
        <w:t xml:space="preserve"> Special Account</w:t>
      </w:r>
      <w:r w:rsidR="00F52EC2" w:rsidRPr="002E3959">
        <w:rPr>
          <w:i/>
        </w:rPr>
        <w:t xml:space="preserve"> </w:t>
      </w:r>
      <w:r w:rsidR="00F52EC2" w:rsidRPr="002E3959">
        <w:t>(</w:t>
      </w:r>
      <w:r w:rsidR="00BB1EA9" w:rsidRPr="002E3959">
        <w:t>AQIS</w:t>
      </w:r>
      <w:r w:rsidR="00F52EC2" w:rsidRPr="002E3959">
        <w:t xml:space="preserve"> special account)</w:t>
      </w:r>
      <w:r w:rsidR="00AD12EE" w:rsidRPr="002E3959">
        <w:rPr>
          <w:i/>
        </w:rPr>
        <w:t xml:space="preserve">, </w:t>
      </w:r>
      <w:r w:rsidR="00AD12EE" w:rsidRPr="002E3959">
        <w:t>established by</w:t>
      </w:r>
      <w:r w:rsidR="000A22A4" w:rsidRPr="002E3959">
        <w:t xml:space="preserve"> the</w:t>
      </w:r>
      <w:r w:rsidR="00AD12EE" w:rsidRPr="002E3959">
        <w:t xml:space="preserve"> </w:t>
      </w:r>
      <w:r w:rsidR="00594E2D" w:rsidRPr="002E3959">
        <w:rPr>
          <w:i/>
        </w:rPr>
        <w:t>Financial Management and Accountability Determination 2010/11 – Australian Quarantine and Inspection Service Special Account Establishment 2010</w:t>
      </w:r>
      <w:r w:rsidR="00AD12EE" w:rsidRPr="002E3959">
        <w:rPr>
          <w:i/>
        </w:rPr>
        <w:t xml:space="preserve">, </w:t>
      </w:r>
      <w:r w:rsidR="00AD12EE" w:rsidRPr="002E3959">
        <w:t>which is due to sunset on</w:t>
      </w:r>
      <w:r w:rsidR="009B32CA" w:rsidRPr="002E3959">
        <w:t xml:space="preserve"> 1 October </w:t>
      </w:r>
      <w:r w:rsidR="000A22A4" w:rsidRPr="002E3959">
        <w:t>2020 under section 50</w:t>
      </w:r>
      <w:r w:rsidR="00AD12EE" w:rsidRPr="002E3959">
        <w:t xml:space="preserve"> of the </w:t>
      </w:r>
      <w:r w:rsidR="00AD12EE" w:rsidRPr="002E3959">
        <w:rPr>
          <w:i/>
        </w:rPr>
        <w:t xml:space="preserve">Legislation Act 2003. </w:t>
      </w:r>
      <w:r w:rsidR="00AD12EE" w:rsidRPr="002E3959">
        <w:t xml:space="preserve">The special account </w:t>
      </w:r>
      <w:r w:rsidR="007E0913" w:rsidRPr="002E3959">
        <w:t xml:space="preserve">will </w:t>
      </w:r>
      <w:r w:rsidR="00F52EC2" w:rsidRPr="002E3959">
        <w:t xml:space="preserve">replace the </w:t>
      </w:r>
      <w:r w:rsidR="000E6EC0" w:rsidRPr="002E3959">
        <w:t>AQIS</w:t>
      </w:r>
      <w:r w:rsidR="00F52EC2" w:rsidRPr="002E3959">
        <w:t xml:space="preserve"> special account</w:t>
      </w:r>
      <w:r w:rsidR="00AD12EE" w:rsidRPr="002E3959">
        <w:t xml:space="preserve">, and allow the </w:t>
      </w:r>
      <w:r w:rsidR="007E0913" w:rsidRPr="002E3959">
        <w:t xml:space="preserve">Department </w:t>
      </w:r>
      <w:r w:rsidR="00AD12EE" w:rsidRPr="002E3959">
        <w:t xml:space="preserve">to continue to administer </w:t>
      </w:r>
      <w:r w:rsidR="000E6EC0" w:rsidRPr="002E3959">
        <w:t xml:space="preserve">biosecurity, import and export inspection and </w:t>
      </w:r>
      <w:r w:rsidR="000E6EC0" w:rsidRPr="002E3959">
        <w:rPr>
          <w:szCs w:val="24"/>
        </w:rPr>
        <w:t>certification services</w:t>
      </w:r>
      <w:r w:rsidR="00AD12EE" w:rsidRPr="002E3959">
        <w:t xml:space="preserve">. </w:t>
      </w:r>
    </w:p>
    <w:p w14:paraId="6D0AC600" w14:textId="549D1B55" w:rsidR="00DC085D" w:rsidRPr="002E3959" w:rsidRDefault="00094553" w:rsidP="00615013">
      <w:pPr>
        <w:pStyle w:val="BodyText"/>
        <w:spacing w:after="120"/>
        <w:jc w:val="both"/>
      </w:pPr>
      <w:r w:rsidRPr="002E3959">
        <w:t xml:space="preserve">Once the special account is established, the </w:t>
      </w:r>
      <w:r w:rsidR="00396BFE" w:rsidRPr="002E3959">
        <w:t xml:space="preserve">determination that established the </w:t>
      </w:r>
      <w:r w:rsidR="000E6EC0" w:rsidRPr="002E3959">
        <w:t>AQIS</w:t>
      </w:r>
      <w:r w:rsidR="00F52EC2" w:rsidRPr="002E3959">
        <w:t xml:space="preserve"> special account </w:t>
      </w:r>
      <w:r w:rsidR="00396BFE" w:rsidRPr="002E3959">
        <w:t xml:space="preserve">will be revoked and </w:t>
      </w:r>
      <w:r w:rsidRPr="002E3959">
        <w:t xml:space="preserve">an amount equivalent to the amount standing to the credit of the </w:t>
      </w:r>
      <w:r w:rsidR="000E6EC0" w:rsidRPr="002E3959">
        <w:t xml:space="preserve">AQIS </w:t>
      </w:r>
      <w:r w:rsidR="00F52EC2" w:rsidRPr="002E3959">
        <w:t>special account</w:t>
      </w:r>
      <w:r w:rsidRPr="002E3959">
        <w:t xml:space="preserve"> immediately before its repeal will be credited to the special account as its opening balance.</w:t>
      </w:r>
    </w:p>
    <w:p w14:paraId="515AD1BB" w14:textId="77777777" w:rsidR="00273E35" w:rsidRPr="002E3959" w:rsidRDefault="00737093" w:rsidP="006C7716">
      <w:pPr>
        <w:pStyle w:val="Heading3"/>
        <w:spacing w:before="360"/>
        <w:jc w:val="both"/>
        <w:rPr>
          <w:i/>
          <w:iCs/>
        </w:rPr>
      </w:pPr>
      <w:r w:rsidRPr="002E3959">
        <w:rPr>
          <w:i/>
          <w:iCs/>
        </w:rPr>
        <w:t xml:space="preserve">The </w:t>
      </w:r>
      <w:r w:rsidR="007536F2" w:rsidRPr="002E3959">
        <w:rPr>
          <w:i/>
          <w:iCs/>
        </w:rPr>
        <w:t xml:space="preserve">operating </w:t>
      </w:r>
      <w:r w:rsidRPr="002E3959">
        <w:rPr>
          <w:i/>
          <w:iCs/>
        </w:rPr>
        <w:t>context of s</w:t>
      </w:r>
      <w:r w:rsidR="00273E35" w:rsidRPr="002E3959">
        <w:rPr>
          <w:i/>
          <w:iCs/>
        </w:rPr>
        <w:t xml:space="preserve">pecial </w:t>
      </w:r>
      <w:r w:rsidR="00652257" w:rsidRPr="002E3959">
        <w:rPr>
          <w:i/>
          <w:iCs/>
        </w:rPr>
        <w:t>a</w:t>
      </w:r>
      <w:r w:rsidR="00273E35" w:rsidRPr="002E3959">
        <w:rPr>
          <w:i/>
          <w:iCs/>
        </w:rPr>
        <w:t>ccount</w:t>
      </w:r>
      <w:r w:rsidR="00D252D2" w:rsidRPr="002E3959">
        <w:rPr>
          <w:i/>
          <w:iCs/>
        </w:rPr>
        <w:t>s</w:t>
      </w:r>
    </w:p>
    <w:p w14:paraId="242CC3C9" w14:textId="77777777" w:rsidR="00B2599A" w:rsidRPr="002E3959" w:rsidRDefault="00B2599A" w:rsidP="00B2599A">
      <w:pPr>
        <w:pStyle w:val="BodyText"/>
        <w:spacing w:before="120" w:after="120"/>
        <w:jc w:val="both"/>
      </w:pPr>
      <w:r w:rsidRPr="002E3959">
        <w:t>A special account may be established</w:t>
      </w:r>
      <w:r w:rsidR="00D5023A" w:rsidRPr="002E3959">
        <w:t xml:space="preserve"> </w:t>
      </w:r>
      <w:r w:rsidRPr="002E3959">
        <w:t>by a determination made by the Minister for Finance (</w:t>
      </w:r>
      <w:r w:rsidR="007C5812" w:rsidRPr="002E3959">
        <w:t>under</w:t>
      </w:r>
      <w:r w:rsidRPr="002E3959">
        <w:t xml:space="preserve"> section </w:t>
      </w:r>
      <w:r w:rsidR="004F69A4" w:rsidRPr="002E3959">
        <w:t>78</w:t>
      </w:r>
      <w:r w:rsidR="00D5023A" w:rsidRPr="002E3959">
        <w:t xml:space="preserve"> of the PGPA Act</w:t>
      </w:r>
      <w:r w:rsidR="002A7FD7" w:rsidRPr="002E3959">
        <w:t xml:space="preserve">) or by </w:t>
      </w:r>
      <w:r w:rsidRPr="002E3959">
        <w:t xml:space="preserve">an Act </w:t>
      </w:r>
      <w:r w:rsidR="002A7FD7" w:rsidRPr="002E3959">
        <w:t>(</w:t>
      </w:r>
      <w:r w:rsidR="00CA5542" w:rsidRPr="002E3959">
        <w:t xml:space="preserve">see </w:t>
      </w:r>
      <w:r w:rsidRPr="002E3959">
        <w:t xml:space="preserve">section </w:t>
      </w:r>
      <w:r w:rsidR="004F69A4" w:rsidRPr="002E3959">
        <w:t>80</w:t>
      </w:r>
      <w:r w:rsidR="00D5023A" w:rsidRPr="002E3959">
        <w:t xml:space="preserve"> of the PGPA Act</w:t>
      </w:r>
      <w:r w:rsidR="002A7FD7" w:rsidRPr="002E3959">
        <w:t>).</w:t>
      </w:r>
      <w:r w:rsidRPr="002E3959">
        <w:t xml:space="preserve"> </w:t>
      </w:r>
    </w:p>
    <w:p w14:paraId="645FA91E" w14:textId="77777777" w:rsidR="00AA4A0C" w:rsidRPr="002E3959" w:rsidRDefault="00AA4A0C" w:rsidP="00AA4A0C">
      <w:pPr>
        <w:pStyle w:val="BodyText"/>
        <w:spacing w:before="120" w:after="120"/>
        <w:jc w:val="both"/>
      </w:pPr>
      <w:r w:rsidRPr="002E3959">
        <w:t>A special account is an appropriation mechanism that sets aside amounts within the Consolidated Revenue Fund (</w:t>
      </w:r>
      <w:r w:rsidRPr="002E3959">
        <w:rPr>
          <w:b/>
        </w:rPr>
        <w:t>CRF</w:t>
      </w:r>
      <w:r w:rsidRPr="002E3959">
        <w:t>) for spending on specified purposes. The purposes of a special account are set out in the establishing determination or Act.</w:t>
      </w:r>
    </w:p>
    <w:p w14:paraId="44E7DF75" w14:textId="77777777" w:rsidR="00AA4A0C" w:rsidRPr="002E3959" w:rsidRDefault="00AA4A0C" w:rsidP="00AA4A0C">
      <w:pPr>
        <w:pStyle w:val="BodyText"/>
        <w:spacing w:before="120" w:after="120"/>
        <w:jc w:val="both"/>
      </w:pPr>
      <w:r w:rsidRPr="002E3959">
        <w:t xml:space="preserve">In accordance with section </w:t>
      </w:r>
      <w:r w:rsidR="004F69A4" w:rsidRPr="002E3959">
        <w:t>81</w:t>
      </w:r>
      <w:r w:rsidRPr="002E3959">
        <w:t xml:space="preserve"> of the Constitution, all revenues or moneys raised or received by the Commonwealth Executive Government form one CRF. Section </w:t>
      </w:r>
      <w:r w:rsidR="004F69A4" w:rsidRPr="002E3959">
        <w:t>83</w:t>
      </w:r>
      <w:r w:rsidRPr="002E3959">
        <w:t xml:space="preserve"> of the Constitution provides that such money may not be </w:t>
      </w:r>
      <w:r w:rsidR="006722E8" w:rsidRPr="002E3959">
        <w:t xml:space="preserve">drawn from the Treasury </w:t>
      </w:r>
      <w:r w:rsidRPr="002E3959">
        <w:t>except unde</w:t>
      </w:r>
      <w:r w:rsidR="007536F2" w:rsidRPr="002E3959">
        <w:t>r an appropriation made by law.</w:t>
      </w:r>
    </w:p>
    <w:p w14:paraId="0E745324" w14:textId="77777777" w:rsidR="002F1CCE" w:rsidRPr="002E3959" w:rsidRDefault="002F1CCE" w:rsidP="0047260E">
      <w:pPr>
        <w:pStyle w:val="BodyText"/>
        <w:numPr>
          <w:ilvl w:val="0"/>
          <w:numId w:val="32"/>
        </w:numPr>
        <w:spacing w:before="120" w:after="120"/>
        <w:jc w:val="both"/>
      </w:pPr>
      <w:r w:rsidRPr="002E3959">
        <w:t xml:space="preserve">A special account enables </w:t>
      </w:r>
      <w:r w:rsidR="002A7FD7" w:rsidRPr="002E3959">
        <w:t xml:space="preserve">revenues or </w:t>
      </w:r>
      <w:r w:rsidRPr="002E3959">
        <w:t xml:space="preserve">moneys raised or received to be set aside for the purposes of </w:t>
      </w:r>
      <w:r w:rsidR="003255CF" w:rsidRPr="002E3959">
        <w:t>that</w:t>
      </w:r>
      <w:r w:rsidRPr="002E3959">
        <w:t xml:space="preserve"> special account.</w:t>
      </w:r>
    </w:p>
    <w:p w14:paraId="1FA63212" w14:textId="77777777" w:rsidR="00370479" w:rsidRPr="002E3959" w:rsidRDefault="00D5023A" w:rsidP="0047260E">
      <w:pPr>
        <w:pStyle w:val="BodyText"/>
        <w:numPr>
          <w:ilvl w:val="0"/>
          <w:numId w:val="32"/>
        </w:numPr>
        <w:spacing w:before="120" w:after="120"/>
        <w:jc w:val="both"/>
        <w:rPr>
          <w:b/>
          <w:bCs/>
          <w:i/>
          <w:iCs/>
        </w:rPr>
      </w:pPr>
      <w:r w:rsidRPr="002E3959">
        <w:t>Expenditure</w:t>
      </w:r>
      <w:r w:rsidR="002A7FD7" w:rsidRPr="002E3959">
        <w:t xml:space="preserve"> </w:t>
      </w:r>
      <w:r w:rsidR="00AA4A0C" w:rsidRPr="002E3959">
        <w:t>for the purpose</w:t>
      </w:r>
      <w:r w:rsidR="002A7FD7" w:rsidRPr="002E3959">
        <w:t>s</w:t>
      </w:r>
      <w:r w:rsidR="00AA4A0C" w:rsidRPr="002E3959">
        <w:t xml:space="preserve"> of a special account </w:t>
      </w:r>
      <w:r w:rsidRPr="002E3959">
        <w:t xml:space="preserve">is </w:t>
      </w:r>
      <w:r w:rsidR="00AA4A0C" w:rsidRPr="002E3959">
        <w:t xml:space="preserve">supported by an appropriation </w:t>
      </w:r>
      <w:r w:rsidR="002A7FD7" w:rsidRPr="002E3959">
        <w:t>in the PGPA Act</w:t>
      </w:r>
      <w:r w:rsidRPr="002E3959">
        <w:t>:</w:t>
      </w:r>
      <w:r w:rsidR="002A7FD7" w:rsidRPr="002E3959">
        <w:t xml:space="preserve"> </w:t>
      </w:r>
      <w:r w:rsidR="007C5812" w:rsidRPr="002E3959">
        <w:t>sub</w:t>
      </w:r>
      <w:r w:rsidR="00AA4A0C" w:rsidRPr="002E3959">
        <w:t>section </w:t>
      </w:r>
      <w:r w:rsidR="004F69A4" w:rsidRPr="002E3959">
        <w:t>78(4)</w:t>
      </w:r>
      <w:r w:rsidR="00AA4A0C" w:rsidRPr="002E3959">
        <w:t xml:space="preserve"> </w:t>
      </w:r>
      <w:r w:rsidR="002A7FD7" w:rsidRPr="002E3959">
        <w:t xml:space="preserve">for a special account </w:t>
      </w:r>
      <w:r w:rsidR="00816C19" w:rsidRPr="002E3959">
        <w:t xml:space="preserve">established by a determination </w:t>
      </w:r>
      <w:r w:rsidR="002A7FD7" w:rsidRPr="002E3959">
        <w:t xml:space="preserve">or </w:t>
      </w:r>
      <w:r w:rsidR="007C5812" w:rsidRPr="002E3959">
        <w:t>sub</w:t>
      </w:r>
      <w:r w:rsidR="00AA4A0C" w:rsidRPr="002E3959">
        <w:t xml:space="preserve">section </w:t>
      </w:r>
      <w:r w:rsidR="004F69A4" w:rsidRPr="002E3959">
        <w:t>80(1)</w:t>
      </w:r>
      <w:r w:rsidR="00AA4A0C" w:rsidRPr="002E3959">
        <w:t xml:space="preserve"> </w:t>
      </w:r>
      <w:r w:rsidR="002A7FD7" w:rsidRPr="002E3959">
        <w:t>for a</w:t>
      </w:r>
      <w:r w:rsidR="004920D0" w:rsidRPr="002E3959">
        <w:t xml:space="preserve"> </w:t>
      </w:r>
      <w:r w:rsidR="00AA4A0C" w:rsidRPr="002E3959">
        <w:t>special account</w:t>
      </w:r>
      <w:r w:rsidR="00816C19" w:rsidRPr="002E3959">
        <w:t xml:space="preserve"> established</w:t>
      </w:r>
      <w:r w:rsidR="00FB49B0" w:rsidRPr="002E3959">
        <w:t xml:space="preserve"> by an Act</w:t>
      </w:r>
      <w:r w:rsidR="00AA4A0C" w:rsidRPr="002E3959">
        <w:t>.</w:t>
      </w:r>
    </w:p>
    <w:p w14:paraId="45DB9389" w14:textId="77777777" w:rsidR="00B2599A" w:rsidRPr="002E3959" w:rsidRDefault="00B2599A" w:rsidP="00B2599A">
      <w:pPr>
        <w:pStyle w:val="Heading3"/>
        <w:spacing w:before="360"/>
        <w:jc w:val="both"/>
        <w:rPr>
          <w:i/>
          <w:iCs/>
        </w:rPr>
      </w:pPr>
      <w:r w:rsidRPr="002E3959">
        <w:rPr>
          <w:i/>
          <w:iCs/>
        </w:rPr>
        <w:t>Special account determinations</w:t>
      </w:r>
    </w:p>
    <w:p w14:paraId="13B7D50D" w14:textId="77777777" w:rsidR="0060562B" w:rsidRPr="002E3959" w:rsidRDefault="002A7FD7" w:rsidP="0060562B">
      <w:pPr>
        <w:pStyle w:val="BodyText"/>
        <w:spacing w:before="120" w:after="120"/>
        <w:jc w:val="both"/>
        <w:rPr>
          <w:szCs w:val="24"/>
        </w:rPr>
      </w:pPr>
      <w:r w:rsidRPr="002E3959">
        <w:rPr>
          <w:szCs w:val="24"/>
        </w:rPr>
        <w:t>Special account determinations are legislative instruments</w:t>
      </w:r>
      <w:r w:rsidR="00D5023A" w:rsidRPr="002E3959">
        <w:rPr>
          <w:szCs w:val="24"/>
        </w:rPr>
        <w:t xml:space="preserve"> for the purposes of</w:t>
      </w:r>
      <w:r w:rsidRPr="002E3959">
        <w:rPr>
          <w:szCs w:val="24"/>
        </w:rPr>
        <w:t xml:space="preserve"> the </w:t>
      </w:r>
      <w:r w:rsidR="002834DA" w:rsidRPr="002E3959">
        <w:rPr>
          <w:i/>
          <w:szCs w:val="24"/>
        </w:rPr>
        <w:t>Legislation Act </w:t>
      </w:r>
      <w:r w:rsidR="0060562B" w:rsidRPr="002E3959">
        <w:rPr>
          <w:i/>
          <w:szCs w:val="24"/>
        </w:rPr>
        <w:t>2003</w:t>
      </w:r>
      <w:r w:rsidRPr="002E3959">
        <w:rPr>
          <w:szCs w:val="24"/>
        </w:rPr>
        <w:t>. Special account determinations may be v</w:t>
      </w:r>
      <w:r w:rsidR="000C18CF" w:rsidRPr="002E3959">
        <w:rPr>
          <w:szCs w:val="24"/>
        </w:rPr>
        <w:t>aried or revoked by a subsequent de</w:t>
      </w:r>
      <w:r w:rsidR="00AE7BD1" w:rsidRPr="002E3959">
        <w:rPr>
          <w:szCs w:val="24"/>
        </w:rPr>
        <w:t xml:space="preserve">termination </w:t>
      </w:r>
      <w:r w:rsidR="000C18CF" w:rsidRPr="002E3959">
        <w:rPr>
          <w:szCs w:val="24"/>
        </w:rPr>
        <w:t xml:space="preserve">made </w:t>
      </w:r>
      <w:r w:rsidR="005A2DAF" w:rsidRPr="002E3959">
        <w:rPr>
          <w:szCs w:val="24"/>
        </w:rPr>
        <w:t>under</w:t>
      </w:r>
      <w:r w:rsidR="000C18CF" w:rsidRPr="002E3959">
        <w:rPr>
          <w:szCs w:val="24"/>
        </w:rPr>
        <w:t xml:space="preserve"> subsection</w:t>
      </w:r>
      <w:r w:rsidR="004920D0" w:rsidRPr="002E3959">
        <w:rPr>
          <w:szCs w:val="24"/>
        </w:rPr>
        <w:t> </w:t>
      </w:r>
      <w:r w:rsidR="004F69A4" w:rsidRPr="002E3959">
        <w:rPr>
          <w:szCs w:val="24"/>
        </w:rPr>
        <w:t>78(3)</w:t>
      </w:r>
      <w:r w:rsidR="000C18CF" w:rsidRPr="002E3959">
        <w:rPr>
          <w:szCs w:val="24"/>
        </w:rPr>
        <w:t xml:space="preserve"> of the PGPA Act.</w:t>
      </w:r>
    </w:p>
    <w:p w14:paraId="0E7504E1" w14:textId="77777777" w:rsidR="00DC085D" w:rsidRPr="002E3959" w:rsidRDefault="00370E0A" w:rsidP="00370E0A">
      <w:pPr>
        <w:spacing w:before="120" w:after="120"/>
        <w:jc w:val="both"/>
        <w:rPr>
          <w:sz w:val="24"/>
          <w:szCs w:val="24"/>
        </w:rPr>
      </w:pPr>
      <w:r w:rsidRPr="002E3959">
        <w:rPr>
          <w:sz w:val="24"/>
          <w:szCs w:val="24"/>
        </w:rPr>
        <w:t>In accordance with subsection</w:t>
      </w:r>
      <w:r w:rsidR="004920D0" w:rsidRPr="002E3959">
        <w:rPr>
          <w:sz w:val="24"/>
          <w:szCs w:val="24"/>
        </w:rPr>
        <w:t> </w:t>
      </w:r>
      <w:r w:rsidR="004F69A4" w:rsidRPr="002E3959">
        <w:rPr>
          <w:sz w:val="24"/>
          <w:szCs w:val="24"/>
        </w:rPr>
        <w:t>79(3)</w:t>
      </w:r>
      <w:r w:rsidRPr="002E3959">
        <w:rPr>
          <w:sz w:val="24"/>
          <w:szCs w:val="24"/>
        </w:rPr>
        <w:t xml:space="preserve"> of the PGPA Act, the Finance Minister must table a copy of such determinations in each House of the Parliament. Subsection</w:t>
      </w:r>
      <w:r w:rsidR="00325C98" w:rsidRPr="002E3959">
        <w:rPr>
          <w:sz w:val="24"/>
          <w:szCs w:val="24"/>
        </w:rPr>
        <w:t> </w:t>
      </w:r>
      <w:r w:rsidR="004F69A4" w:rsidRPr="002E3959">
        <w:rPr>
          <w:sz w:val="24"/>
          <w:szCs w:val="24"/>
        </w:rPr>
        <w:t>79(4)</w:t>
      </w:r>
      <w:r w:rsidRPr="002E3959">
        <w:rPr>
          <w:sz w:val="24"/>
          <w:szCs w:val="24"/>
        </w:rPr>
        <w:t xml:space="preserve"> of the PGPA Act provides that special account determinations are subject to disallowance by either House of the Parliament. </w:t>
      </w:r>
    </w:p>
    <w:p w14:paraId="3A48E535" w14:textId="77777777" w:rsidR="00B2599A" w:rsidRPr="002E3959" w:rsidRDefault="00B2599A" w:rsidP="00370E0A">
      <w:pPr>
        <w:spacing w:before="120" w:after="120"/>
        <w:jc w:val="both"/>
        <w:rPr>
          <w:sz w:val="24"/>
          <w:szCs w:val="24"/>
        </w:rPr>
      </w:pPr>
      <w:r w:rsidRPr="002E3959">
        <w:rPr>
          <w:sz w:val="24"/>
          <w:szCs w:val="24"/>
        </w:rPr>
        <w:t>The disallowanc</w:t>
      </w:r>
      <w:r w:rsidR="00F0563C" w:rsidRPr="002E3959">
        <w:rPr>
          <w:sz w:val="24"/>
          <w:szCs w:val="24"/>
        </w:rPr>
        <w:t>e period starts on the day a special account d</w:t>
      </w:r>
      <w:r w:rsidRPr="002E3959">
        <w:rPr>
          <w:sz w:val="24"/>
          <w:szCs w:val="24"/>
        </w:rPr>
        <w:t>etermination is tabled in the House and ends on t</w:t>
      </w:r>
      <w:r w:rsidR="00F0563C" w:rsidRPr="002E3959">
        <w:rPr>
          <w:sz w:val="24"/>
          <w:szCs w:val="24"/>
        </w:rPr>
        <w:t>he fifth sitting day</w:t>
      </w:r>
      <w:r w:rsidR="00D5023A" w:rsidRPr="002E3959">
        <w:rPr>
          <w:sz w:val="24"/>
          <w:szCs w:val="24"/>
        </w:rPr>
        <w:t xml:space="preserve"> of the House</w:t>
      </w:r>
      <w:r w:rsidR="00F0563C" w:rsidRPr="002E3959">
        <w:rPr>
          <w:sz w:val="24"/>
          <w:szCs w:val="24"/>
        </w:rPr>
        <w:t xml:space="preserve"> after the d</w:t>
      </w:r>
      <w:r w:rsidRPr="002E3959">
        <w:rPr>
          <w:sz w:val="24"/>
          <w:szCs w:val="24"/>
        </w:rPr>
        <w:t xml:space="preserve">etermination was tabled in that House. </w:t>
      </w:r>
    </w:p>
    <w:p w14:paraId="198E084F" w14:textId="73C2724D" w:rsidR="00094553" w:rsidRPr="002E3959" w:rsidRDefault="00B2599A" w:rsidP="00094553">
      <w:pPr>
        <w:spacing w:before="120" w:after="120"/>
        <w:jc w:val="both"/>
        <w:rPr>
          <w:sz w:val="24"/>
          <w:szCs w:val="24"/>
        </w:rPr>
      </w:pPr>
      <w:r w:rsidRPr="002E3959">
        <w:rPr>
          <w:sz w:val="24"/>
          <w:szCs w:val="24"/>
        </w:rPr>
        <w:t>I</w:t>
      </w:r>
      <w:r w:rsidR="00105514" w:rsidRPr="002E3959">
        <w:rPr>
          <w:sz w:val="24"/>
          <w:szCs w:val="24"/>
        </w:rPr>
        <w:t>f</w:t>
      </w:r>
      <w:r w:rsidRPr="002E3959">
        <w:rPr>
          <w:sz w:val="24"/>
          <w:szCs w:val="24"/>
        </w:rPr>
        <w:t xml:space="preserve"> n</w:t>
      </w:r>
      <w:r w:rsidR="00370E0A" w:rsidRPr="002E3959">
        <w:rPr>
          <w:sz w:val="24"/>
          <w:szCs w:val="24"/>
        </w:rPr>
        <w:t>either House pass</w:t>
      </w:r>
      <w:r w:rsidR="00105514" w:rsidRPr="002E3959">
        <w:rPr>
          <w:sz w:val="24"/>
          <w:szCs w:val="24"/>
        </w:rPr>
        <w:t>es</w:t>
      </w:r>
      <w:r w:rsidR="00370E0A" w:rsidRPr="002E3959">
        <w:rPr>
          <w:sz w:val="24"/>
          <w:szCs w:val="24"/>
        </w:rPr>
        <w:t xml:space="preserve"> a resolution to disallow </w:t>
      </w:r>
      <w:r w:rsidR="00F0563C" w:rsidRPr="002E3959">
        <w:rPr>
          <w:sz w:val="24"/>
          <w:szCs w:val="24"/>
        </w:rPr>
        <w:t>a special account d</w:t>
      </w:r>
      <w:r w:rsidR="00370E0A" w:rsidRPr="002E3959">
        <w:rPr>
          <w:sz w:val="24"/>
          <w:szCs w:val="24"/>
        </w:rPr>
        <w:t xml:space="preserve">etermination, </w:t>
      </w:r>
      <w:r w:rsidR="002A7FD7" w:rsidRPr="002E3959">
        <w:rPr>
          <w:sz w:val="24"/>
          <w:szCs w:val="24"/>
        </w:rPr>
        <w:t>under subsection</w:t>
      </w:r>
      <w:r w:rsidR="004920D0" w:rsidRPr="002E3959">
        <w:rPr>
          <w:sz w:val="24"/>
          <w:szCs w:val="24"/>
        </w:rPr>
        <w:t> </w:t>
      </w:r>
      <w:r w:rsidR="002A7FD7" w:rsidRPr="002E3959">
        <w:rPr>
          <w:sz w:val="24"/>
          <w:szCs w:val="24"/>
        </w:rPr>
        <w:t xml:space="preserve">79(5) </w:t>
      </w:r>
      <w:r w:rsidR="00370E0A" w:rsidRPr="002E3959">
        <w:rPr>
          <w:sz w:val="24"/>
          <w:szCs w:val="24"/>
        </w:rPr>
        <w:t xml:space="preserve">it </w:t>
      </w:r>
      <w:r w:rsidR="00D5023A" w:rsidRPr="002E3959">
        <w:rPr>
          <w:sz w:val="24"/>
          <w:szCs w:val="24"/>
        </w:rPr>
        <w:t>commences</w:t>
      </w:r>
      <w:r w:rsidR="00370E0A" w:rsidRPr="002E3959">
        <w:rPr>
          <w:sz w:val="24"/>
          <w:szCs w:val="24"/>
        </w:rPr>
        <w:t xml:space="preserve"> on the day immediately after the last day on which it could have been disallowed, or on a later day if specified in the determination.</w:t>
      </w:r>
      <w:r w:rsidR="00D5023A" w:rsidRPr="002E3959">
        <w:rPr>
          <w:sz w:val="24"/>
          <w:szCs w:val="24"/>
        </w:rPr>
        <w:t xml:space="preserve"> This determination will </w:t>
      </w:r>
      <w:r w:rsidR="00D5023A" w:rsidRPr="002E3959">
        <w:rPr>
          <w:sz w:val="24"/>
          <w:szCs w:val="24"/>
        </w:rPr>
        <w:lastRenderedPageBreak/>
        <w:t>commence on the day immediately after the last day on which it could have been disallowed.</w:t>
      </w:r>
      <w:r w:rsidR="00094553" w:rsidRPr="002E3959">
        <w:rPr>
          <w:sz w:val="24"/>
          <w:szCs w:val="24"/>
        </w:rPr>
        <w:t xml:space="preserve"> </w:t>
      </w:r>
      <w:r w:rsidR="00BD16F4" w:rsidRPr="002E3959">
        <w:rPr>
          <w:sz w:val="24"/>
          <w:szCs w:val="24"/>
        </w:rPr>
        <w:t xml:space="preserve">The </w:t>
      </w:r>
      <w:r w:rsidR="00F34E78" w:rsidRPr="002E3959">
        <w:rPr>
          <w:sz w:val="24"/>
          <w:szCs w:val="24"/>
        </w:rPr>
        <w:t xml:space="preserve">Secretary of the Department of Agriculture, Water and the Environment </w:t>
      </w:r>
      <w:r w:rsidR="00BD16F4" w:rsidRPr="002E3959">
        <w:rPr>
          <w:sz w:val="24"/>
          <w:szCs w:val="24"/>
        </w:rPr>
        <w:t xml:space="preserve">will be the accountable authority responsible for the special account on commencement of this determination.  </w:t>
      </w:r>
    </w:p>
    <w:p w14:paraId="78E1814F" w14:textId="77777777" w:rsidR="002C1B86" w:rsidRPr="002E3959" w:rsidRDefault="002C1B86" w:rsidP="000F675C">
      <w:pPr>
        <w:pStyle w:val="Heading3"/>
        <w:keepLines/>
        <w:spacing w:before="360"/>
        <w:jc w:val="both"/>
        <w:rPr>
          <w:i/>
          <w:iCs/>
        </w:rPr>
      </w:pPr>
      <w:r w:rsidRPr="002E3959">
        <w:rPr>
          <w:i/>
          <w:iCs/>
        </w:rPr>
        <w:t>Human Rights</w:t>
      </w:r>
    </w:p>
    <w:p w14:paraId="7E2A9FE4" w14:textId="77777777" w:rsidR="00844922" w:rsidRPr="002E3959" w:rsidRDefault="00844922" w:rsidP="000F675C">
      <w:pPr>
        <w:keepNext/>
        <w:keepLines/>
        <w:spacing w:before="120" w:after="120"/>
        <w:jc w:val="both"/>
        <w:rPr>
          <w:b/>
          <w:bCs/>
          <w:sz w:val="24"/>
        </w:rPr>
      </w:pPr>
      <w:r w:rsidRPr="002E3959">
        <w:rPr>
          <w:sz w:val="24"/>
          <w:szCs w:val="24"/>
        </w:rPr>
        <w:t>A Statement of Compatibility with Human Rights is not required for this determination.  Subsection</w:t>
      </w:r>
      <w:r w:rsidR="003F7998" w:rsidRPr="002E3959">
        <w:rPr>
          <w:sz w:val="24"/>
          <w:szCs w:val="24"/>
        </w:rPr>
        <w:t> </w:t>
      </w:r>
      <w:r w:rsidR="004F69A4" w:rsidRPr="002E3959">
        <w:rPr>
          <w:sz w:val="24"/>
          <w:szCs w:val="24"/>
        </w:rPr>
        <w:t>9(1)</w:t>
      </w:r>
      <w:r w:rsidRPr="002E3959">
        <w:rPr>
          <w:sz w:val="24"/>
          <w:szCs w:val="24"/>
        </w:rPr>
        <w:t xml:space="preserve"> of the</w:t>
      </w:r>
      <w:r w:rsidRPr="002E3959">
        <w:rPr>
          <w:i/>
          <w:iCs/>
          <w:sz w:val="24"/>
          <w:szCs w:val="24"/>
        </w:rPr>
        <w:t xml:space="preserve"> Human Rights (Parliamentary Scrutiny) Act 2011 </w:t>
      </w:r>
      <w:r w:rsidRPr="002E3959">
        <w:rPr>
          <w:sz w:val="24"/>
          <w:szCs w:val="24"/>
        </w:rPr>
        <w:t xml:space="preserve">requires a Statement of Compatibility with Human Rights for all legislative instruments subject to disallowance under section </w:t>
      </w:r>
      <w:r w:rsidR="004F69A4" w:rsidRPr="002E3959">
        <w:rPr>
          <w:sz w:val="24"/>
          <w:szCs w:val="24"/>
        </w:rPr>
        <w:t>42</w:t>
      </w:r>
      <w:r w:rsidRPr="002E3959">
        <w:rPr>
          <w:sz w:val="24"/>
          <w:szCs w:val="24"/>
        </w:rPr>
        <w:t xml:space="preserve"> of the</w:t>
      </w:r>
      <w:r w:rsidR="007C31AC" w:rsidRPr="002E3959">
        <w:rPr>
          <w:i/>
          <w:iCs/>
          <w:sz w:val="24"/>
          <w:szCs w:val="24"/>
        </w:rPr>
        <w:t xml:space="preserve"> Legislation </w:t>
      </w:r>
      <w:r w:rsidRPr="002E3959">
        <w:rPr>
          <w:i/>
          <w:iCs/>
          <w:sz w:val="24"/>
          <w:szCs w:val="24"/>
        </w:rPr>
        <w:t xml:space="preserve">Act 2003. </w:t>
      </w:r>
      <w:r w:rsidRPr="002E3959">
        <w:rPr>
          <w:sz w:val="24"/>
          <w:szCs w:val="24"/>
        </w:rPr>
        <w:t>While determinations made or varied under subsections</w:t>
      </w:r>
      <w:r w:rsidR="00325C98" w:rsidRPr="002E3959">
        <w:rPr>
          <w:sz w:val="24"/>
          <w:szCs w:val="24"/>
        </w:rPr>
        <w:t> </w:t>
      </w:r>
      <w:r w:rsidR="004F69A4" w:rsidRPr="002E3959">
        <w:rPr>
          <w:sz w:val="24"/>
          <w:szCs w:val="24"/>
        </w:rPr>
        <w:t>78(1)</w:t>
      </w:r>
      <w:r w:rsidR="0098602D" w:rsidRPr="002E3959">
        <w:rPr>
          <w:sz w:val="24"/>
          <w:szCs w:val="24"/>
        </w:rPr>
        <w:t xml:space="preserve"> or </w:t>
      </w:r>
      <w:r w:rsidR="004F69A4" w:rsidRPr="002E3959">
        <w:rPr>
          <w:sz w:val="24"/>
          <w:szCs w:val="24"/>
        </w:rPr>
        <w:t>78(3)</w:t>
      </w:r>
      <w:r w:rsidRPr="002E3959">
        <w:rPr>
          <w:sz w:val="24"/>
          <w:szCs w:val="24"/>
        </w:rPr>
        <w:t xml:space="preserve"> of the </w:t>
      </w:r>
      <w:r w:rsidR="0098602D" w:rsidRPr="002E3959">
        <w:rPr>
          <w:sz w:val="24"/>
          <w:szCs w:val="24"/>
        </w:rPr>
        <w:t>PGP</w:t>
      </w:r>
      <w:r w:rsidRPr="002E3959">
        <w:rPr>
          <w:sz w:val="24"/>
          <w:szCs w:val="24"/>
        </w:rPr>
        <w:t>A Act are subject to disallowance under section</w:t>
      </w:r>
      <w:r w:rsidR="00325C98" w:rsidRPr="002E3959">
        <w:rPr>
          <w:sz w:val="24"/>
          <w:szCs w:val="24"/>
        </w:rPr>
        <w:t> </w:t>
      </w:r>
      <w:r w:rsidR="004F69A4" w:rsidRPr="002E3959">
        <w:rPr>
          <w:sz w:val="24"/>
          <w:szCs w:val="24"/>
        </w:rPr>
        <w:t>79</w:t>
      </w:r>
      <w:r w:rsidRPr="002E3959">
        <w:rPr>
          <w:sz w:val="24"/>
          <w:szCs w:val="24"/>
        </w:rPr>
        <w:t xml:space="preserve"> of the </w:t>
      </w:r>
      <w:r w:rsidR="0098602D" w:rsidRPr="002E3959">
        <w:rPr>
          <w:sz w:val="24"/>
          <w:szCs w:val="24"/>
        </w:rPr>
        <w:t>PGP</w:t>
      </w:r>
      <w:r w:rsidRPr="002E3959">
        <w:rPr>
          <w:sz w:val="24"/>
          <w:szCs w:val="24"/>
        </w:rPr>
        <w:t>A Act</w:t>
      </w:r>
      <w:r w:rsidR="0098602D" w:rsidRPr="002E3959">
        <w:rPr>
          <w:sz w:val="24"/>
          <w:szCs w:val="24"/>
        </w:rPr>
        <w:t>,</w:t>
      </w:r>
      <w:r w:rsidRPr="002E3959">
        <w:rPr>
          <w:i/>
          <w:iCs/>
          <w:sz w:val="24"/>
          <w:szCs w:val="24"/>
        </w:rPr>
        <w:t xml:space="preserve"> </w:t>
      </w:r>
      <w:r w:rsidR="006722E8" w:rsidRPr="002E3959">
        <w:rPr>
          <w:iCs/>
          <w:sz w:val="24"/>
          <w:szCs w:val="24"/>
        </w:rPr>
        <w:t>subsection</w:t>
      </w:r>
      <w:r w:rsidR="00325C98" w:rsidRPr="002E3959">
        <w:rPr>
          <w:iCs/>
          <w:sz w:val="24"/>
          <w:szCs w:val="24"/>
        </w:rPr>
        <w:t> </w:t>
      </w:r>
      <w:r w:rsidR="006722E8" w:rsidRPr="002E3959">
        <w:rPr>
          <w:iCs/>
          <w:sz w:val="24"/>
          <w:szCs w:val="24"/>
        </w:rPr>
        <w:t xml:space="preserve">79(2) provides that </w:t>
      </w:r>
      <w:r w:rsidRPr="002E3959">
        <w:rPr>
          <w:sz w:val="24"/>
          <w:szCs w:val="24"/>
        </w:rPr>
        <w:t>they are not subject to disallowance under section</w:t>
      </w:r>
      <w:r w:rsidR="00325C98" w:rsidRPr="002E3959">
        <w:rPr>
          <w:sz w:val="24"/>
          <w:szCs w:val="24"/>
        </w:rPr>
        <w:t> </w:t>
      </w:r>
      <w:r w:rsidR="004F69A4" w:rsidRPr="002E3959">
        <w:rPr>
          <w:sz w:val="24"/>
          <w:szCs w:val="24"/>
        </w:rPr>
        <w:t>42</w:t>
      </w:r>
      <w:r w:rsidRPr="002E3959">
        <w:rPr>
          <w:sz w:val="24"/>
          <w:szCs w:val="24"/>
        </w:rPr>
        <w:t xml:space="preserve"> of the</w:t>
      </w:r>
      <w:r w:rsidRPr="002E3959">
        <w:rPr>
          <w:i/>
          <w:iCs/>
          <w:sz w:val="24"/>
          <w:szCs w:val="24"/>
        </w:rPr>
        <w:t xml:space="preserve"> </w:t>
      </w:r>
      <w:r w:rsidR="007A6852" w:rsidRPr="002E3959">
        <w:rPr>
          <w:i/>
          <w:iCs/>
          <w:sz w:val="24"/>
          <w:szCs w:val="24"/>
        </w:rPr>
        <w:t>Legislation</w:t>
      </w:r>
      <w:r w:rsidRPr="002E3959">
        <w:rPr>
          <w:i/>
          <w:iCs/>
          <w:sz w:val="24"/>
          <w:szCs w:val="24"/>
        </w:rPr>
        <w:t xml:space="preserve"> Act 2003</w:t>
      </w:r>
      <w:r w:rsidR="0098602D" w:rsidRPr="002E3959">
        <w:rPr>
          <w:sz w:val="24"/>
          <w:szCs w:val="24"/>
        </w:rPr>
        <w:t>. </w:t>
      </w:r>
      <w:r w:rsidR="00046C10" w:rsidRPr="002E3959">
        <w:rPr>
          <w:sz w:val="24"/>
          <w:szCs w:val="24"/>
        </w:rPr>
        <w:t>A</w:t>
      </w:r>
      <w:r w:rsidRPr="002E3959">
        <w:rPr>
          <w:sz w:val="24"/>
          <w:szCs w:val="24"/>
        </w:rPr>
        <w:t>s such</w:t>
      </w:r>
      <w:r w:rsidR="00046C10" w:rsidRPr="002E3959">
        <w:rPr>
          <w:sz w:val="24"/>
          <w:szCs w:val="24"/>
        </w:rPr>
        <w:t xml:space="preserve">, </w:t>
      </w:r>
      <w:r w:rsidRPr="002E3959">
        <w:rPr>
          <w:sz w:val="24"/>
          <w:szCs w:val="24"/>
        </w:rPr>
        <w:t>a Statement of Compatibility with Human Rights is not required.</w:t>
      </w:r>
    </w:p>
    <w:p w14:paraId="4444F91F" w14:textId="77777777" w:rsidR="00FA62D0" w:rsidRPr="002E3959" w:rsidRDefault="00FA62D0" w:rsidP="006C7716">
      <w:pPr>
        <w:pStyle w:val="Heading3"/>
        <w:spacing w:before="360"/>
        <w:jc w:val="both"/>
        <w:rPr>
          <w:i/>
        </w:rPr>
      </w:pPr>
      <w:r w:rsidRPr="002E3959">
        <w:rPr>
          <w:i/>
        </w:rPr>
        <w:t>Consultation</w:t>
      </w:r>
    </w:p>
    <w:p w14:paraId="2515E784" w14:textId="36FDE79A" w:rsidR="0068716F" w:rsidRDefault="004C4EEB" w:rsidP="00564126">
      <w:pPr>
        <w:pStyle w:val="BodyText"/>
        <w:spacing w:after="240"/>
        <w:jc w:val="both"/>
      </w:pPr>
      <w:r w:rsidRPr="002E3959">
        <w:t>T</w:t>
      </w:r>
      <w:r w:rsidR="00AD12EE" w:rsidRPr="002E3959">
        <w:t xml:space="preserve">he </w:t>
      </w:r>
      <w:r w:rsidR="00460FB8" w:rsidRPr="002E3959">
        <w:rPr>
          <w:szCs w:val="24"/>
        </w:rPr>
        <w:t xml:space="preserve">Department of </w:t>
      </w:r>
      <w:r w:rsidR="00460FB8" w:rsidRPr="002E3959">
        <w:t>Agriculture, Water and the Environment</w:t>
      </w:r>
      <w:r w:rsidRPr="002E3959">
        <w:t xml:space="preserve"> </w:t>
      </w:r>
      <w:r w:rsidR="00B25AE0" w:rsidRPr="002E3959">
        <w:t>was</w:t>
      </w:r>
      <w:r w:rsidR="00AD12EE" w:rsidRPr="002E3959">
        <w:t xml:space="preserve"> consulted in the preparation of this determination.</w:t>
      </w:r>
      <w:r w:rsidR="00AD12EE">
        <w:t xml:space="preserve"> </w:t>
      </w:r>
      <w:r w:rsidR="00564126" w:rsidRPr="00D951A5">
        <w:t xml:space="preserve"> </w:t>
      </w:r>
    </w:p>
    <w:sectPr w:rsidR="0068716F" w:rsidSect="0098602D">
      <w:headerReference w:type="even" r:id="rId8"/>
      <w:headerReference w:type="default" r:id="rId9"/>
      <w:footerReference w:type="even" r:id="rId10"/>
      <w:footerReference w:type="default" r:id="rId11"/>
      <w:headerReference w:type="first" r:id="rId12"/>
      <w:footerReference w:type="first" r:id="rId13"/>
      <w:type w:val="continuous"/>
      <w:pgSz w:w="11906" w:h="16838"/>
      <w:pgMar w:top="1276" w:right="1274" w:bottom="993" w:left="1276" w:header="720" w:footer="1016"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29F3D" w16cex:dateUtc="2020-07-22T01:19:00Z"/>
  <w16cex:commentExtensible w16cex:durableId="22C29F38" w16cex:dateUtc="2020-07-22T01:19:00Z"/>
  <w16cex:commentExtensible w16cex:durableId="22C2A0E3" w16cex:dateUtc="2020-07-22T01:26:00Z"/>
  <w16cex:commentExtensible w16cex:durableId="22C2A023" w16cex:dateUtc="2020-07-22T01:23:00Z"/>
  <w16cex:commentExtensible w16cex:durableId="22C2A036" w16cex:dateUtc="2020-07-22T0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071F70" w16cid:durableId="22C29F2D"/>
  <w16cid:commentId w16cid:paraId="4AF4A5FB" w16cid:durableId="22C29F3D"/>
  <w16cid:commentId w16cid:paraId="2A59DAD4" w16cid:durableId="22C29F2E"/>
  <w16cid:commentId w16cid:paraId="74E8F3F3" w16cid:durableId="22C29F38"/>
  <w16cid:commentId w16cid:paraId="77209AAC" w16cid:durableId="22C29F2F"/>
  <w16cid:commentId w16cid:paraId="4B8E1A95" w16cid:durableId="22C2A0E3"/>
  <w16cid:commentId w16cid:paraId="080C62BE" w16cid:durableId="22C29F30"/>
  <w16cid:commentId w16cid:paraId="18561E9A" w16cid:durableId="22C2A023"/>
  <w16cid:commentId w16cid:paraId="6DDA12F7" w16cid:durableId="22C29F31"/>
  <w16cid:commentId w16cid:paraId="34C496A5" w16cid:durableId="22C2A03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E285A" w14:textId="77777777" w:rsidR="00A864C8" w:rsidRDefault="00A864C8">
      <w:r>
        <w:separator/>
      </w:r>
    </w:p>
  </w:endnote>
  <w:endnote w:type="continuationSeparator" w:id="0">
    <w:p w14:paraId="2BC69CDF" w14:textId="77777777" w:rsidR="00A864C8" w:rsidRDefault="00A86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B2B5F" w14:textId="77777777" w:rsidR="00EF7824" w:rsidRDefault="00EF78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F266" w14:textId="77777777" w:rsidR="00CE0AB2" w:rsidRDefault="00CE0AB2" w:rsidP="00853F16">
    <w:pPr>
      <w:pStyle w:val="Footer"/>
      <w:pBdr>
        <w:top w:val="single" w:sz="4" w:space="1" w:color="auto"/>
      </w:pBdr>
      <w:jc w:val="center"/>
    </w:pPr>
  </w:p>
  <w:p w14:paraId="68CC0A0B" w14:textId="3A16A198" w:rsidR="00CE0AB2" w:rsidRPr="006D49FD" w:rsidRDefault="00CD18DF" w:rsidP="006D49FD">
    <w:pPr>
      <w:pStyle w:val="Footer"/>
      <w:jc w:val="center"/>
    </w:pPr>
    <w:sdt>
      <w:sdtPr>
        <w:id w:val="265387395"/>
        <w:docPartObj>
          <w:docPartGallery w:val="Page Numbers (Bottom of Page)"/>
          <w:docPartUnique/>
        </w:docPartObj>
      </w:sdtPr>
      <w:sdtEndPr/>
      <w:sdtContent>
        <w:sdt>
          <w:sdtPr>
            <w:id w:val="565050477"/>
            <w:docPartObj>
              <w:docPartGallery w:val="Page Numbers (Top of Page)"/>
              <w:docPartUnique/>
            </w:docPartObj>
          </w:sdtPr>
          <w:sdtEndPr/>
          <w:sdtContent>
            <w:r w:rsidR="00CE0AB2">
              <w:t xml:space="preserve">Page </w:t>
            </w:r>
            <w:r w:rsidR="00CE0AB2">
              <w:rPr>
                <w:b/>
                <w:sz w:val="24"/>
                <w:szCs w:val="24"/>
              </w:rPr>
              <w:fldChar w:fldCharType="begin"/>
            </w:r>
            <w:r w:rsidR="00CE0AB2">
              <w:rPr>
                <w:b/>
              </w:rPr>
              <w:instrText xml:space="preserve"> PAGE </w:instrText>
            </w:r>
            <w:r w:rsidR="00CE0AB2">
              <w:rPr>
                <w:b/>
                <w:sz w:val="24"/>
                <w:szCs w:val="24"/>
              </w:rPr>
              <w:fldChar w:fldCharType="separate"/>
            </w:r>
            <w:r>
              <w:rPr>
                <w:b/>
                <w:noProof/>
              </w:rPr>
              <w:t>3</w:t>
            </w:r>
            <w:r w:rsidR="00CE0AB2">
              <w:rPr>
                <w:b/>
                <w:sz w:val="24"/>
                <w:szCs w:val="24"/>
              </w:rPr>
              <w:fldChar w:fldCharType="end"/>
            </w:r>
            <w:r w:rsidR="00CE0AB2">
              <w:t xml:space="preserve"> of </w:t>
            </w:r>
            <w:r w:rsidR="00CE0AB2">
              <w:rPr>
                <w:b/>
                <w:sz w:val="24"/>
                <w:szCs w:val="24"/>
              </w:rPr>
              <w:fldChar w:fldCharType="begin"/>
            </w:r>
            <w:r w:rsidR="00CE0AB2">
              <w:rPr>
                <w:b/>
              </w:rPr>
              <w:instrText xml:space="preserve"> NUMPAGES  </w:instrText>
            </w:r>
            <w:r w:rsidR="00CE0AB2">
              <w:rPr>
                <w:b/>
                <w:sz w:val="24"/>
                <w:szCs w:val="24"/>
              </w:rPr>
              <w:fldChar w:fldCharType="separate"/>
            </w:r>
            <w:r>
              <w:rPr>
                <w:b/>
                <w:noProof/>
              </w:rPr>
              <w:t>3</w:t>
            </w:r>
            <w:r w:rsidR="00CE0AB2">
              <w:rPr>
                <w:b/>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DE094" w14:textId="77777777" w:rsidR="00EF7824" w:rsidRDefault="00EF7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8AE0A" w14:textId="77777777" w:rsidR="00A864C8" w:rsidRDefault="00A864C8">
      <w:r>
        <w:separator/>
      </w:r>
    </w:p>
  </w:footnote>
  <w:footnote w:type="continuationSeparator" w:id="0">
    <w:p w14:paraId="528220DE" w14:textId="77777777" w:rsidR="00A864C8" w:rsidRDefault="00A86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4CBF6" w14:textId="77777777" w:rsidR="00CE0AB2" w:rsidRDefault="00820D2F">
    <w:pPr>
      <w:pStyle w:val="Header"/>
    </w:pPr>
    <w:r>
      <w:rPr>
        <w:noProof/>
        <w:lang w:eastAsia="en-AU"/>
      </w:rPr>
      <mc:AlternateContent>
        <mc:Choice Requires="wps">
          <w:drawing>
            <wp:anchor distT="0" distB="0" distL="114300" distR="114300" simplePos="0" relativeHeight="251657216" behindDoc="1" locked="0" layoutInCell="0" allowOverlap="1" wp14:anchorId="6FC163AF" wp14:editId="691A1666">
              <wp:simplePos x="0" y="0"/>
              <wp:positionH relativeFrom="margin">
                <wp:align>center</wp:align>
              </wp:positionH>
              <wp:positionV relativeFrom="margin">
                <wp:align>center</wp:align>
              </wp:positionV>
              <wp:extent cx="7538085" cy="83756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38085" cy="8375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DA4190" w14:textId="77777777" w:rsidR="00CE0AB2" w:rsidRDefault="00CE0AB2" w:rsidP="00293C23">
                          <w:pPr>
                            <w:pStyle w:val="NormalWeb"/>
                            <w:spacing w:before="0" w:beforeAutospacing="0" w:after="0" w:afterAutospacing="0"/>
                            <w:jc w:val="center"/>
                          </w:pPr>
                          <w:r>
                            <w:rPr>
                              <w:color w:val="C0C0C0"/>
                              <w:sz w:val="2"/>
                              <w:szCs w:val="2"/>
                            </w:rPr>
                            <w:t>Draft 23 June 2015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D43DFC9" id="_x0000_t202" coordsize="21600,21600" o:spt="202" path="m,l,21600r21600,l21600,xe">
              <v:stroke joinstyle="miter"/>
              <v:path gradientshapeok="t" o:connecttype="rect"/>
            </v:shapetype>
            <v:shape id="WordArt 2" o:spid="_x0000_s1026" type="#_x0000_t202" style="position:absolute;margin-left:0;margin-top:0;width:593.55pt;height:65.9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s14hgIAAPsEAAAOAAAAZHJzL2Uyb0RvYy54bWysVMtu2zAQvBfoPxC8O5IcyZaEyEFe7iVt&#10;A8RFzrRIWWzFR0naklH037ukFCdpL0VRH2hytZqd3Rnq4nIQHTowY7mSFU7OYoyYrBXlclfhL5v1&#10;LMfIOiIp6ZRkFT4yiy9X799d9Lpkc9WqjjKDAETastcVbp3TZRTZumWC2DOlmYSHjTKCODiaXUQN&#10;6QFddNE8jhdRrwzVRtXMWojejg/xKuA3Davd56axzKGuwsDNhdWEdevXaHVByp0huuX1RIP8AwtB&#10;uISiJ6hb4gjaG/4HlOC1UVY17qxWIlJNw2sWeoBukvi3bh5bolnoBYZj9WlM9v/B1p8ODwZxCtph&#10;JIkAiZ5golfGobkfTq9tCTmPGrLccK0Gn+gbtfpe1d8skuqmJXLHroxRfcsIBXIeagqHFjZHDbgh&#10;umGDu6McdEg8fPQKfyxmfaVt/1FReIXsnQrVhsYIZJR/LS9i/wthmB8CRiDs8SQmFEA1BJfZeR7n&#10;GUY1PMvPl9kiCxVJ6cF8C9pY94EpgfymwgbMElDJ4d46T+4lxacDMMSn3SjujyKZp/H1vJitF/ly&#10;lq7TbFYs43wWJ8V1sYjTIr1d//SgSVq2nFIm77lkz0ZL0r8TcrL8aJFgNdRXuMjmWeBrVcfpmned&#10;52bNbnvTGXQg3vHjqMZe3qQZtZcU4qT0mt1Ne0d4N+6jt4zDMGAAz/9hEEE8r9eonBu2AyB6RbeK&#10;HkHGHu5Vhe33PTEMLLEXNwpIgQ8ao8RkM3/2NLwGm+GJGD3J4aDcQ/d8r4ImPm9HJ5sS+hWARAfX&#10;FXpFWTDF2OmUPOk3oobZ6Csw1JoHcV94TjaEGxbam74G/gq/Poesl2/W6hcAAAD//wMAUEsDBBQA&#10;BgAIAAAAIQB8nQfK2wAAAAYBAAAPAAAAZHJzL2Rvd25yZXYueG1sTI/NTsMwEITvSLyDtZW4USdU&#10;ghLiVIiIQ4/9EWc33iah9jrETpPy9Gy5wGU1q1nNfJuvJmfFGfvQelKQzhMQSJU3LdUK9rv3+yWI&#10;EDUZbT2hggsGWBW3N7nOjB9pg+dtrAWHUMi0gibGLpMyVA06Hea+Q2Lv6HunI699LU2vRw53Vj4k&#10;yaN0uiVuaHSHbw1Wp+3gFJjv46VbjONuvd6Uw5dtyxI/PpW6m02vLyAiTvHvGK74jA4FMx38QCYI&#10;q4Afib/z6qXLpxTEgdUifQZZ5PI/fvEDAAD//wMAUEsBAi0AFAAGAAgAAAAhALaDOJL+AAAA4QEA&#10;ABMAAAAAAAAAAAAAAAAAAAAAAFtDb250ZW50X1R5cGVzXS54bWxQSwECLQAUAAYACAAAACEAOP0h&#10;/9YAAACUAQAACwAAAAAAAAAAAAAAAAAvAQAAX3JlbHMvLnJlbHNQSwECLQAUAAYACAAAACEAXX7N&#10;eIYCAAD7BAAADgAAAAAAAAAAAAAAAAAuAgAAZHJzL2Uyb0RvYy54bWxQSwECLQAUAAYACAAAACEA&#10;fJ0HytsAAAAGAQAADwAAAAAAAAAAAAAAAADgBAAAZHJzL2Rvd25yZXYueG1sUEsFBgAAAAAEAAQA&#10;8wAAAOgFAAAAAA==&#10;" o:allowincell="f" filled="f" stroked="f">
              <v:stroke joinstyle="round"/>
              <o:lock v:ext="edit" shapetype="t"/>
              <v:textbox style="mso-fit-shape-to-text:t">
                <w:txbxContent>
                  <w:p w:rsidR="00CE0AB2" w:rsidRDefault="00CE0AB2" w:rsidP="00293C23">
                    <w:pPr>
                      <w:pStyle w:val="NormalWeb"/>
                      <w:spacing w:before="0" w:beforeAutospacing="0" w:after="0" w:afterAutospacing="0"/>
                      <w:jc w:val="center"/>
                    </w:pPr>
                    <w:r>
                      <w:rPr>
                        <w:color w:val="C0C0C0"/>
                        <w:sz w:val="2"/>
                        <w:szCs w:val="2"/>
                      </w:rPr>
                      <w:t>Draft 23 June 2015</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F5126" w14:textId="77777777" w:rsidR="00EF7824" w:rsidRDefault="00EF78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705D3" w14:textId="77777777" w:rsidR="00EF7824" w:rsidRDefault="00EF78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C42DD"/>
    <w:multiLevelType w:val="hybridMultilevel"/>
    <w:tmpl w:val="A8986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6F6C98"/>
    <w:multiLevelType w:val="singleLevel"/>
    <w:tmpl w:val="97727896"/>
    <w:lvl w:ilvl="0">
      <w:start w:val="1"/>
      <w:numFmt w:val="lowerLetter"/>
      <w:lvlText w:val="(%1)"/>
      <w:lvlJc w:val="left"/>
      <w:pPr>
        <w:tabs>
          <w:tab w:val="num" w:pos="720"/>
        </w:tabs>
        <w:ind w:left="720" w:hanging="720"/>
      </w:pPr>
      <w:rPr>
        <w:rFonts w:hint="default"/>
      </w:rPr>
    </w:lvl>
  </w:abstractNum>
  <w:abstractNum w:abstractNumId="2" w15:restartNumberingAfterBreak="0">
    <w:nsid w:val="1BCE643B"/>
    <w:multiLevelType w:val="hybridMultilevel"/>
    <w:tmpl w:val="F838110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045E27"/>
    <w:multiLevelType w:val="hybridMultilevel"/>
    <w:tmpl w:val="5FEEA2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33A1E4C"/>
    <w:multiLevelType w:val="hybridMultilevel"/>
    <w:tmpl w:val="FC2CE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944F95"/>
    <w:multiLevelType w:val="hybridMultilevel"/>
    <w:tmpl w:val="BCA81AC6"/>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9C151A"/>
    <w:multiLevelType w:val="hybridMultilevel"/>
    <w:tmpl w:val="4F0CE7E8"/>
    <w:lvl w:ilvl="0" w:tplc="3150157E">
      <w:start w:val="1"/>
      <w:numFmt w:val="decimal"/>
      <w:lvlText w:val="(%1)"/>
      <w:lvlJc w:val="left"/>
      <w:pPr>
        <w:ind w:left="720" w:hanging="360"/>
      </w:pPr>
      <w:rPr>
        <w:rFonts w:hint="default"/>
        <w:b w:val="0"/>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5971D6B"/>
    <w:multiLevelType w:val="hybridMultilevel"/>
    <w:tmpl w:val="872293C0"/>
    <w:lvl w:ilvl="0" w:tplc="D2964EC4">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F501B29"/>
    <w:multiLevelType w:val="hybridMultilevel"/>
    <w:tmpl w:val="3140E60A"/>
    <w:lvl w:ilvl="0" w:tplc="CA8E64D4">
      <w:start w:val="1"/>
      <w:numFmt w:val="lowerRoman"/>
      <w:lvlText w:val="(%1)"/>
      <w:lvlJc w:val="left"/>
      <w:pPr>
        <w:tabs>
          <w:tab w:val="num" w:pos="1800"/>
        </w:tabs>
        <w:ind w:left="180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418F4BB0"/>
    <w:multiLevelType w:val="hybridMultilevel"/>
    <w:tmpl w:val="BB32E4BA"/>
    <w:lvl w:ilvl="0" w:tplc="F33CDBF4">
      <w:start w:val="1"/>
      <w:numFmt w:val="lowerLetter"/>
      <w:lvlText w:val="(%1)"/>
      <w:lvlJc w:val="left"/>
      <w:pPr>
        <w:tabs>
          <w:tab w:val="num" w:pos="510"/>
        </w:tabs>
        <w:ind w:left="510" w:hanging="51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441C252B"/>
    <w:multiLevelType w:val="hybridMultilevel"/>
    <w:tmpl w:val="51185EA6"/>
    <w:lvl w:ilvl="0" w:tplc="CDD4D1D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D447931"/>
    <w:multiLevelType w:val="hybridMultilevel"/>
    <w:tmpl w:val="4C98D618"/>
    <w:lvl w:ilvl="0" w:tplc="03866CD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4E0C6E3F"/>
    <w:multiLevelType w:val="hybridMultilevel"/>
    <w:tmpl w:val="74CE9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926434"/>
    <w:multiLevelType w:val="hybridMultilevel"/>
    <w:tmpl w:val="5D04ED60"/>
    <w:lvl w:ilvl="0" w:tplc="76C27498">
      <w:numFmt w:val="bullet"/>
      <w:lvlText w:val=""/>
      <w:lvlJc w:val="left"/>
      <w:pPr>
        <w:ind w:left="1080" w:hanging="72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9762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4A450B4"/>
    <w:multiLevelType w:val="multilevel"/>
    <w:tmpl w:val="B7642F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78436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18" w15:restartNumberingAfterBreak="0">
    <w:nsid w:val="5BF63858"/>
    <w:multiLevelType w:val="hybridMultilevel"/>
    <w:tmpl w:val="84A65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E52F36"/>
    <w:multiLevelType w:val="hybridMultilevel"/>
    <w:tmpl w:val="B9323DA6"/>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072422F"/>
    <w:multiLevelType w:val="hybridMultilevel"/>
    <w:tmpl w:val="6D9EB5F2"/>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CB3C08"/>
    <w:multiLevelType w:val="hybridMultilevel"/>
    <w:tmpl w:val="78B0982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6139F0"/>
    <w:multiLevelType w:val="hybridMultilevel"/>
    <w:tmpl w:val="FB56CE5E"/>
    <w:lvl w:ilvl="0" w:tplc="CA8E64D4">
      <w:start w:val="1"/>
      <w:numFmt w:val="lowerRoman"/>
      <w:lvlText w:val="(%1)"/>
      <w:lvlJc w:val="left"/>
      <w:pPr>
        <w:tabs>
          <w:tab w:val="num" w:pos="1800"/>
        </w:tabs>
        <w:ind w:left="180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67C35E29"/>
    <w:multiLevelType w:val="hybridMultilevel"/>
    <w:tmpl w:val="9702A6EA"/>
    <w:lvl w:ilvl="0" w:tplc="32BCCDDA">
      <w:start w:val="2"/>
      <w:numFmt w:val="decimal"/>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69744BE0"/>
    <w:multiLevelType w:val="hybridMultilevel"/>
    <w:tmpl w:val="6FBC1F6C"/>
    <w:lvl w:ilvl="0" w:tplc="03866CD6">
      <w:start w:val="1"/>
      <w:numFmt w:val="lowerLetter"/>
      <w:lvlText w:val="(%1)"/>
      <w:lvlJc w:val="left"/>
      <w:pPr>
        <w:tabs>
          <w:tab w:val="num" w:pos="720"/>
        </w:tabs>
        <w:ind w:left="720" w:hanging="360"/>
      </w:pPr>
      <w:rPr>
        <w:rFonts w:hint="default"/>
      </w:rPr>
    </w:lvl>
    <w:lvl w:ilvl="1" w:tplc="CA8E64D4">
      <w:start w:val="1"/>
      <w:numFmt w:val="lowerRoman"/>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6A812C7E"/>
    <w:multiLevelType w:val="hybridMultilevel"/>
    <w:tmpl w:val="3274DF54"/>
    <w:lvl w:ilvl="0" w:tplc="CA8E64D4">
      <w:start w:val="1"/>
      <w:numFmt w:val="lowerRoman"/>
      <w:lvlText w:val="(%1)"/>
      <w:lvlJc w:val="left"/>
      <w:pPr>
        <w:tabs>
          <w:tab w:val="num" w:pos="1800"/>
        </w:tabs>
        <w:ind w:left="180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6F294C09"/>
    <w:multiLevelType w:val="hybridMultilevel"/>
    <w:tmpl w:val="7E1467A6"/>
    <w:lvl w:ilvl="0" w:tplc="011257D2">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2F78C0"/>
    <w:multiLevelType w:val="hybridMultilevel"/>
    <w:tmpl w:val="20F26350"/>
    <w:lvl w:ilvl="0" w:tplc="8B4A0F6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0E6000D"/>
    <w:multiLevelType w:val="hybridMultilevel"/>
    <w:tmpl w:val="A792FF38"/>
    <w:lvl w:ilvl="0" w:tplc="B584251E">
      <w:start w:val="1"/>
      <w:numFmt w:val="decimal"/>
      <w:lvlText w:val="%1."/>
      <w:lvlJc w:val="left"/>
      <w:pPr>
        <w:ind w:left="1287" w:hanging="360"/>
      </w:pPr>
      <w:rPr>
        <w:i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74287633"/>
    <w:multiLevelType w:val="hybridMultilevel"/>
    <w:tmpl w:val="B5609DAA"/>
    <w:lvl w:ilvl="0" w:tplc="091851E2">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0A58D2"/>
    <w:multiLevelType w:val="hybridMultilevel"/>
    <w:tmpl w:val="67E417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8F92EC1"/>
    <w:multiLevelType w:val="hybridMultilevel"/>
    <w:tmpl w:val="B0C86362"/>
    <w:lvl w:ilvl="0" w:tplc="4740BF2C">
      <w:start w:val="1"/>
      <w:numFmt w:val="decimal"/>
      <w:lvlText w:val="(%1)"/>
      <w:lvlJc w:val="left"/>
      <w:pPr>
        <w:tabs>
          <w:tab w:val="num" w:pos="1386"/>
        </w:tabs>
        <w:ind w:left="1386" w:hanging="360"/>
      </w:pPr>
      <w:rPr>
        <w:rFonts w:hint="default"/>
      </w:rPr>
    </w:lvl>
    <w:lvl w:ilvl="1" w:tplc="0C090019" w:tentative="1">
      <w:start w:val="1"/>
      <w:numFmt w:val="lowerLetter"/>
      <w:lvlText w:val="%2."/>
      <w:lvlJc w:val="left"/>
      <w:pPr>
        <w:tabs>
          <w:tab w:val="num" w:pos="2106"/>
        </w:tabs>
        <w:ind w:left="2106" w:hanging="360"/>
      </w:pPr>
    </w:lvl>
    <w:lvl w:ilvl="2" w:tplc="0C09001B" w:tentative="1">
      <w:start w:val="1"/>
      <w:numFmt w:val="lowerRoman"/>
      <w:lvlText w:val="%3."/>
      <w:lvlJc w:val="right"/>
      <w:pPr>
        <w:tabs>
          <w:tab w:val="num" w:pos="2826"/>
        </w:tabs>
        <w:ind w:left="2826" w:hanging="180"/>
      </w:pPr>
    </w:lvl>
    <w:lvl w:ilvl="3" w:tplc="0C09000F" w:tentative="1">
      <w:start w:val="1"/>
      <w:numFmt w:val="decimal"/>
      <w:lvlText w:val="%4."/>
      <w:lvlJc w:val="left"/>
      <w:pPr>
        <w:tabs>
          <w:tab w:val="num" w:pos="3546"/>
        </w:tabs>
        <w:ind w:left="3546" w:hanging="360"/>
      </w:pPr>
    </w:lvl>
    <w:lvl w:ilvl="4" w:tplc="0C090019" w:tentative="1">
      <w:start w:val="1"/>
      <w:numFmt w:val="lowerLetter"/>
      <w:lvlText w:val="%5."/>
      <w:lvlJc w:val="left"/>
      <w:pPr>
        <w:tabs>
          <w:tab w:val="num" w:pos="4266"/>
        </w:tabs>
        <w:ind w:left="4266" w:hanging="360"/>
      </w:pPr>
    </w:lvl>
    <w:lvl w:ilvl="5" w:tplc="0C09001B" w:tentative="1">
      <w:start w:val="1"/>
      <w:numFmt w:val="lowerRoman"/>
      <w:lvlText w:val="%6."/>
      <w:lvlJc w:val="right"/>
      <w:pPr>
        <w:tabs>
          <w:tab w:val="num" w:pos="4986"/>
        </w:tabs>
        <w:ind w:left="4986" w:hanging="180"/>
      </w:pPr>
    </w:lvl>
    <w:lvl w:ilvl="6" w:tplc="0C09000F" w:tentative="1">
      <w:start w:val="1"/>
      <w:numFmt w:val="decimal"/>
      <w:lvlText w:val="%7."/>
      <w:lvlJc w:val="left"/>
      <w:pPr>
        <w:tabs>
          <w:tab w:val="num" w:pos="5706"/>
        </w:tabs>
        <w:ind w:left="5706" w:hanging="360"/>
      </w:pPr>
    </w:lvl>
    <w:lvl w:ilvl="7" w:tplc="0C090019" w:tentative="1">
      <w:start w:val="1"/>
      <w:numFmt w:val="lowerLetter"/>
      <w:lvlText w:val="%8."/>
      <w:lvlJc w:val="left"/>
      <w:pPr>
        <w:tabs>
          <w:tab w:val="num" w:pos="6426"/>
        </w:tabs>
        <w:ind w:left="6426" w:hanging="360"/>
      </w:pPr>
    </w:lvl>
    <w:lvl w:ilvl="8" w:tplc="0C09001B" w:tentative="1">
      <w:start w:val="1"/>
      <w:numFmt w:val="lowerRoman"/>
      <w:lvlText w:val="%9."/>
      <w:lvlJc w:val="right"/>
      <w:pPr>
        <w:tabs>
          <w:tab w:val="num" w:pos="7146"/>
        </w:tabs>
        <w:ind w:left="7146" w:hanging="180"/>
      </w:pPr>
    </w:lvl>
  </w:abstractNum>
  <w:abstractNum w:abstractNumId="32" w15:restartNumberingAfterBreak="0">
    <w:nsid w:val="79CD05D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9C0C6C"/>
    <w:multiLevelType w:val="hybridMultilevel"/>
    <w:tmpl w:val="3F54CC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C4E2084"/>
    <w:multiLevelType w:val="hybridMultilevel"/>
    <w:tmpl w:val="8D186D1E"/>
    <w:lvl w:ilvl="0" w:tplc="B83AF96E">
      <w:start w:val="1"/>
      <w:numFmt w:val="lowerRoman"/>
      <w:lvlText w:val="(%1)"/>
      <w:lvlJc w:val="left"/>
      <w:pPr>
        <w:tabs>
          <w:tab w:val="num" w:pos="1635"/>
        </w:tabs>
        <w:ind w:left="1635" w:hanging="91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C6A42F0"/>
    <w:multiLevelType w:val="hybridMultilevel"/>
    <w:tmpl w:val="7D76A01E"/>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161A1E"/>
    <w:multiLevelType w:val="hybridMultilevel"/>
    <w:tmpl w:val="566CC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32"/>
  </w:num>
  <w:num w:numId="4">
    <w:abstractNumId w:val="14"/>
  </w:num>
  <w:num w:numId="5">
    <w:abstractNumId w:val="19"/>
  </w:num>
  <w:num w:numId="6">
    <w:abstractNumId w:val="2"/>
  </w:num>
  <w:num w:numId="7">
    <w:abstractNumId w:val="21"/>
  </w:num>
  <w:num w:numId="8">
    <w:abstractNumId w:val="34"/>
  </w:num>
  <w:num w:numId="9">
    <w:abstractNumId w:val="20"/>
  </w:num>
  <w:num w:numId="10">
    <w:abstractNumId w:val="35"/>
  </w:num>
  <w:num w:numId="11">
    <w:abstractNumId w:val="10"/>
  </w:num>
  <w:num w:numId="12">
    <w:abstractNumId w:val="9"/>
  </w:num>
  <w:num w:numId="13">
    <w:abstractNumId w:val="15"/>
  </w:num>
  <w:num w:numId="14">
    <w:abstractNumId w:val="5"/>
  </w:num>
  <w:num w:numId="15">
    <w:abstractNumId w:val="24"/>
  </w:num>
  <w:num w:numId="16">
    <w:abstractNumId w:val="11"/>
  </w:num>
  <w:num w:numId="17">
    <w:abstractNumId w:val="22"/>
  </w:num>
  <w:num w:numId="18">
    <w:abstractNumId w:val="8"/>
  </w:num>
  <w:num w:numId="19">
    <w:abstractNumId w:val="25"/>
  </w:num>
  <w:num w:numId="20">
    <w:abstractNumId w:val="31"/>
  </w:num>
  <w:num w:numId="21">
    <w:abstractNumId w:val="30"/>
  </w:num>
  <w:num w:numId="22">
    <w:abstractNumId w:val="17"/>
  </w:num>
  <w:num w:numId="23">
    <w:abstractNumId w:val="27"/>
  </w:num>
  <w:num w:numId="24">
    <w:abstractNumId w:val="28"/>
  </w:num>
  <w:num w:numId="25">
    <w:abstractNumId w:val="23"/>
  </w:num>
  <w:num w:numId="26">
    <w:abstractNumId w:val="6"/>
  </w:num>
  <w:num w:numId="27">
    <w:abstractNumId w:val="33"/>
  </w:num>
  <w:num w:numId="28">
    <w:abstractNumId w:val="7"/>
  </w:num>
  <w:num w:numId="29">
    <w:abstractNumId w:val="18"/>
  </w:num>
  <w:num w:numId="30">
    <w:abstractNumId w:val="26"/>
  </w:num>
  <w:num w:numId="31">
    <w:abstractNumId w:val="29"/>
  </w:num>
  <w:num w:numId="32">
    <w:abstractNumId w:val="4"/>
  </w:num>
  <w:num w:numId="33">
    <w:abstractNumId w:val="36"/>
  </w:num>
  <w:num w:numId="34">
    <w:abstractNumId w:val="13"/>
  </w:num>
  <w:num w:numId="35">
    <w:abstractNumId w:val="12"/>
  </w:num>
  <w:num w:numId="36">
    <w:abstractNumId w:val="0"/>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0F"/>
    <w:rsid w:val="00000063"/>
    <w:rsid w:val="000017DB"/>
    <w:rsid w:val="00002A89"/>
    <w:rsid w:val="00003968"/>
    <w:rsid w:val="00007BA2"/>
    <w:rsid w:val="00014965"/>
    <w:rsid w:val="00015B88"/>
    <w:rsid w:val="00020BAA"/>
    <w:rsid w:val="000257AE"/>
    <w:rsid w:val="000277BB"/>
    <w:rsid w:val="00030F4C"/>
    <w:rsid w:val="000333B0"/>
    <w:rsid w:val="000341FD"/>
    <w:rsid w:val="0003594A"/>
    <w:rsid w:val="00035C26"/>
    <w:rsid w:val="00037D41"/>
    <w:rsid w:val="00045797"/>
    <w:rsid w:val="00046C10"/>
    <w:rsid w:val="000518E0"/>
    <w:rsid w:val="00053754"/>
    <w:rsid w:val="00055EFA"/>
    <w:rsid w:val="000564D8"/>
    <w:rsid w:val="00057257"/>
    <w:rsid w:val="00060FD5"/>
    <w:rsid w:val="00063E56"/>
    <w:rsid w:val="000653BC"/>
    <w:rsid w:val="000667C8"/>
    <w:rsid w:val="00074FDA"/>
    <w:rsid w:val="00075FCD"/>
    <w:rsid w:val="00081C33"/>
    <w:rsid w:val="000852B7"/>
    <w:rsid w:val="000852E0"/>
    <w:rsid w:val="0008621E"/>
    <w:rsid w:val="000902DE"/>
    <w:rsid w:val="00090FB4"/>
    <w:rsid w:val="0009155A"/>
    <w:rsid w:val="00092275"/>
    <w:rsid w:val="00093979"/>
    <w:rsid w:val="00094553"/>
    <w:rsid w:val="00095051"/>
    <w:rsid w:val="000A22A4"/>
    <w:rsid w:val="000A6FF5"/>
    <w:rsid w:val="000B1EC4"/>
    <w:rsid w:val="000B2BB3"/>
    <w:rsid w:val="000C18CF"/>
    <w:rsid w:val="000C38D9"/>
    <w:rsid w:val="000C3C1F"/>
    <w:rsid w:val="000C4135"/>
    <w:rsid w:val="000C420F"/>
    <w:rsid w:val="000C5287"/>
    <w:rsid w:val="000C61A9"/>
    <w:rsid w:val="000C7006"/>
    <w:rsid w:val="000D1F44"/>
    <w:rsid w:val="000D7656"/>
    <w:rsid w:val="000E0589"/>
    <w:rsid w:val="000E2E50"/>
    <w:rsid w:val="000E6C47"/>
    <w:rsid w:val="000E6EC0"/>
    <w:rsid w:val="000F101F"/>
    <w:rsid w:val="000F29FA"/>
    <w:rsid w:val="000F3345"/>
    <w:rsid w:val="000F675C"/>
    <w:rsid w:val="00100667"/>
    <w:rsid w:val="001020E8"/>
    <w:rsid w:val="00104628"/>
    <w:rsid w:val="00104D2F"/>
    <w:rsid w:val="00105514"/>
    <w:rsid w:val="0010633F"/>
    <w:rsid w:val="00106687"/>
    <w:rsid w:val="001124E4"/>
    <w:rsid w:val="0011280F"/>
    <w:rsid w:val="0011496B"/>
    <w:rsid w:val="00123EFB"/>
    <w:rsid w:val="001248A4"/>
    <w:rsid w:val="00124DFD"/>
    <w:rsid w:val="00125C71"/>
    <w:rsid w:val="00147D4B"/>
    <w:rsid w:val="001519DD"/>
    <w:rsid w:val="00151C38"/>
    <w:rsid w:val="00152D39"/>
    <w:rsid w:val="00152DAE"/>
    <w:rsid w:val="00153E56"/>
    <w:rsid w:val="001553A7"/>
    <w:rsid w:val="0015775E"/>
    <w:rsid w:val="001676F1"/>
    <w:rsid w:val="0017099E"/>
    <w:rsid w:val="00171DF1"/>
    <w:rsid w:val="00175F10"/>
    <w:rsid w:val="0017625F"/>
    <w:rsid w:val="0017703D"/>
    <w:rsid w:val="00181305"/>
    <w:rsid w:val="0018276C"/>
    <w:rsid w:val="00190650"/>
    <w:rsid w:val="001919E4"/>
    <w:rsid w:val="00196016"/>
    <w:rsid w:val="00197F7A"/>
    <w:rsid w:val="001A0A45"/>
    <w:rsid w:val="001A1223"/>
    <w:rsid w:val="001A3E6B"/>
    <w:rsid w:val="001A48BB"/>
    <w:rsid w:val="001A5C39"/>
    <w:rsid w:val="001B2F6B"/>
    <w:rsid w:val="001B3D6B"/>
    <w:rsid w:val="001B5109"/>
    <w:rsid w:val="001B5C3B"/>
    <w:rsid w:val="001B721B"/>
    <w:rsid w:val="001B7CB7"/>
    <w:rsid w:val="001C2471"/>
    <w:rsid w:val="001C2A77"/>
    <w:rsid w:val="001C45F8"/>
    <w:rsid w:val="001D0CF6"/>
    <w:rsid w:val="001D4657"/>
    <w:rsid w:val="001D52DF"/>
    <w:rsid w:val="001D5936"/>
    <w:rsid w:val="001D750E"/>
    <w:rsid w:val="001D782F"/>
    <w:rsid w:val="001D7E8D"/>
    <w:rsid w:val="001E169C"/>
    <w:rsid w:val="001E1A9A"/>
    <w:rsid w:val="001E1F94"/>
    <w:rsid w:val="001E1FEC"/>
    <w:rsid w:val="001E3D16"/>
    <w:rsid w:val="001E6DF8"/>
    <w:rsid w:val="001E7E8F"/>
    <w:rsid w:val="001F2C32"/>
    <w:rsid w:val="00210897"/>
    <w:rsid w:val="00212DDB"/>
    <w:rsid w:val="002134B7"/>
    <w:rsid w:val="002141C7"/>
    <w:rsid w:val="00214749"/>
    <w:rsid w:val="002207F3"/>
    <w:rsid w:val="00221E7A"/>
    <w:rsid w:val="00225DFA"/>
    <w:rsid w:val="00232CBC"/>
    <w:rsid w:val="002356F3"/>
    <w:rsid w:val="00237261"/>
    <w:rsid w:val="002424BB"/>
    <w:rsid w:val="00247366"/>
    <w:rsid w:val="00247C6B"/>
    <w:rsid w:val="00250380"/>
    <w:rsid w:val="00255E47"/>
    <w:rsid w:val="00262038"/>
    <w:rsid w:val="00263D76"/>
    <w:rsid w:val="00267FC1"/>
    <w:rsid w:val="00270610"/>
    <w:rsid w:val="00270EA8"/>
    <w:rsid w:val="00271770"/>
    <w:rsid w:val="002729E8"/>
    <w:rsid w:val="00273E35"/>
    <w:rsid w:val="00282B13"/>
    <w:rsid w:val="00282B66"/>
    <w:rsid w:val="002834DA"/>
    <w:rsid w:val="00283985"/>
    <w:rsid w:val="00285EAF"/>
    <w:rsid w:val="00290B74"/>
    <w:rsid w:val="00293C23"/>
    <w:rsid w:val="00294916"/>
    <w:rsid w:val="00296FFE"/>
    <w:rsid w:val="00297480"/>
    <w:rsid w:val="002974EA"/>
    <w:rsid w:val="00297A0E"/>
    <w:rsid w:val="002A2659"/>
    <w:rsid w:val="002A75EF"/>
    <w:rsid w:val="002A7FD7"/>
    <w:rsid w:val="002B2473"/>
    <w:rsid w:val="002C1B86"/>
    <w:rsid w:val="002C23F4"/>
    <w:rsid w:val="002C2C9C"/>
    <w:rsid w:val="002C5577"/>
    <w:rsid w:val="002C6468"/>
    <w:rsid w:val="002D4968"/>
    <w:rsid w:val="002D518F"/>
    <w:rsid w:val="002D53AA"/>
    <w:rsid w:val="002D5BDC"/>
    <w:rsid w:val="002D62EF"/>
    <w:rsid w:val="002E17B0"/>
    <w:rsid w:val="002E1D17"/>
    <w:rsid w:val="002E3959"/>
    <w:rsid w:val="002E4876"/>
    <w:rsid w:val="002E4C0D"/>
    <w:rsid w:val="002E4FB2"/>
    <w:rsid w:val="002E7CD9"/>
    <w:rsid w:val="002F1896"/>
    <w:rsid w:val="002F1CCE"/>
    <w:rsid w:val="002F397C"/>
    <w:rsid w:val="002F3A18"/>
    <w:rsid w:val="002F3CE6"/>
    <w:rsid w:val="002F6A68"/>
    <w:rsid w:val="002F71DB"/>
    <w:rsid w:val="0030497B"/>
    <w:rsid w:val="00305EDF"/>
    <w:rsid w:val="00312C16"/>
    <w:rsid w:val="00314342"/>
    <w:rsid w:val="0031738C"/>
    <w:rsid w:val="00320AEA"/>
    <w:rsid w:val="00320D91"/>
    <w:rsid w:val="003255CF"/>
    <w:rsid w:val="00325AE2"/>
    <w:rsid w:val="00325C98"/>
    <w:rsid w:val="0032677B"/>
    <w:rsid w:val="00326C34"/>
    <w:rsid w:val="00327CCD"/>
    <w:rsid w:val="003300FB"/>
    <w:rsid w:val="003317F1"/>
    <w:rsid w:val="00335424"/>
    <w:rsid w:val="00343010"/>
    <w:rsid w:val="003432DA"/>
    <w:rsid w:val="00344389"/>
    <w:rsid w:val="00345E56"/>
    <w:rsid w:val="00346038"/>
    <w:rsid w:val="0035216B"/>
    <w:rsid w:val="00364593"/>
    <w:rsid w:val="00370479"/>
    <w:rsid w:val="00370E0A"/>
    <w:rsid w:val="00373BDA"/>
    <w:rsid w:val="003811B3"/>
    <w:rsid w:val="003878DE"/>
    <w:rsid w:val="00387B28"/>
    <w:rsid w:val="00387EF7"/>
    <w:rsid w:val="0039137F"/>
    <w:rsid w:val="00396BFE"/>
    <w:rsid w:val="0039731B"/>
    <w:rsid w:val="003A1D30"/>
    <w:rsid w:val="003A4822"/>
    <w:rsid w:val="003A5972"/>
    <w:rsid w:val="003A5EAC"/>
    <w:rsid w:val="003A75C3"/>
    <w:rsid w:val="003A7F0E"/>
    <w:rsid w:val="003B43D3"/>
    <w:rsid w:val="003B59BB"/>
    <w:rsid w:val="003C2C49"/>
    <w:rsid w:val="003C4DCE"/>
    <w:rsid w:val="003D1FD1"/>
    <w:rsid w:val="003D2902"/>
    <w:rsid w:val="003D3AE3"/>
    <w:rsid w:val="003D702D"/>
    <w:rsid w:val="003D7F26"/>
    <w:rsid w:val="003E2BBB"/>
    <w:rsid w:val="003F6F38"/>
    <w:rsid w:val="003F7998"/>
    <w:rsid w:val="0040171D"/>
    <w:rsid w:val="00401D9C"/>
    <w:rsid w:val="00402FD8"/>
    <w:rsid w:val="004077C4"/>
    <w:rsid w:val="00420EF3"/>
    <w:rsid w:val="00421747"/>
    <w:rsid w:val="00421DE2"/>
    <w:rsid w:val="00423BAD"/>
    <w:rsid w:val="004260F8"/>
    <w:rsid w:val="00426532"/>
    <w:rsid w:val="00430105"/>
    <w:rsid w:val="00434B14"/>
    <w:rsid w:val="0043797F"/>
    <w:rsid w:val="004459DA"/>
    <w:rsid w:val="0045109E"/>
    <w:rsid w:val="004510A4"/>
    <w:rsid w:val="00453D35"/>
    <w:rsid w:val="00460FB8"/>
    <w:rsid w:val="0046173D"/>
    <w:rsid w:val="00461954"/>
    <w:rsid w:val="00463040"/>
    <w:rsid w:val="00463304"/>
    <w:rsid w:val="004641E6"/>
    <w:rsid w:val="0047260E"/>
    <w:rsid w:val="0048239C"/>
    <w:rsid w:val="00486C03"/>
    <w:rsid w:val="00487551"/>
    <w:rsid w:val="004876C4"/>
    <w:rsid w:val="004903B3"/>
    <w:rsid w:val="0049205A"/>
    <w:rsid w:val="004920D0"/>
    <w:rsid w:val="00492280"/>
    <w:rsid w:val="00492B04"/>
    <w:rsid w:val="004A04AF"/>
    <w:rsid w:val="004A31B6"/>
    <w:rsid w:val="004B1F89"/>
    <w:rsid w:val="004B379B"/>
    <w:rsid w:val="004B42AA"/>
    <w:rsid w:val="004B4939"/>
    <w:rsid w:val="004C4218"/>
    <w:rsid w:val="004C4EEB"/>
    <w:rsid w:val="004C599B"/>
    <w:rsid w:val="004C5C3C"/>
    <w:rsid w:val="004C6029"/>
    <w:rsid w:val="004D0B5E"/>
    <w:rsid w:val="004D5DE2"/>
    <w:rsid w:val="004D6F68"/>
    <w:rsid w:val="004D795E"/>
    <w:rsid w:val="004E0AE7"/>
    <w:rsid w:val="004F2250"/>
    <w:rsid w:val="004F43E8"/>
    <w:rsid w:val="004F443E"/>
    <w:rsid w:val="004F69A4"/>
    <w:rsid w:val="005008DE"/>
    <w:rsid w:val="00502711"/>
    <w:rsid w:val="0050371A"/>
    <w:rsid w:val="00504B6C"/>
    <w:rsid w:val="00505CD9"/>
    <w:rsid w:val="005107F2"/>
    <w:rsid w:val="005107F5"/>
    <w:rsid w:val="0051082A"/>
    <w:rsid w:val="00510D5B"/>
    <w:rsid w:val="0051596E"/>
    <w:rsid w:val="005162A3"/>
    <w:rsid w:val="00516E6A"/>
    <w:rsid w:val="0052621A"/>
    <w:rsid w:val="005277F1"/>
    <w:rsid w:val="005311B5"/>
    <w:rsid w:val="00531708"/>
    <w:rsid w:val="00531A40"/>
    <w:rsid w:val="005320E5"/>
    <w:rsid w:val="0053367D"/>
    <w:rsid w:val="00535297"/>
    <w:rsid w:val="00536C1D"/>
    <w:rsid w:val="00541948"/>
    <w:rsid w:val="00546DD9"/>
    <w:rsid w:val="005508AE"/>
    <w:rsid w:val="00551C80"/>
    <w:rsid w:val="00555475"/>
    <w:rsid w:val="00557DCE"/>
    <w:rsid w:val="005609CD"/>
    <w:rsid w:val="005624F4"/>
    <w:rsid w:val="0056336B"/>
    <w:rsid w:val="00563690"/>
    <w:rsid w:val="00564126"/>
    <w:rsid w:val="00565773"/>
    <w:rsid w:val="00565BD5"/>
    <w:rsid w:val="00565E43"/>
    <w:rsid w:val="00565FB7"/>
    <w:rsid w:val="005724A5"/>
    <w:rsid w:val="005751EC"/>
    <w:rsid w:val="00575DB0"/>
    <w:rsid w:val="00576C63"/>
    <w:rsid w:val="00577CF4"/>
    <w:rsid w:val="00581F7F"/>
    <w:rsid w:val="005820FF"/>
    <w:rsid w:val="00582E59"/>
    <w:rsid w:val="005863CD"/>
    <w:rsid w:val="00590036"/>
    <w:rsid w:val="00590182"/>
    <w:rsid w:val="00591128"/>
    <w:rsid w:val="00593A9F"/>
    <w:rsid w:val="00593DD1"/>
    <w:rsid w:val="00594E2D"/>
    <w:rsid w:val="00596485"/>
    <w:rsid w:val="00597360"/>
    <w:rsid w:val="005A201A"/>
    <w:rsid w:val="005A25AB"/>
    <w:rsid w:val="005A2DAF"/>
    <w:rsid w:val="005A2E0A"/>
    <w:rsid w:val="005A347E"/>
    <w:rsid w:val="005A660F"/>
    <w:rsid w:val="005A6C7F"/>
    <w:rsid w:val="005C00BF"/>
    <w:rsid w:val="005C053E"/>
    <w:rsid w:val="005C1F47"/>
    <w:rsid w:val="005C2C2B"/>
    <w:rsid w:val="005C40EB"/>
    <w:rsid w:val="005C4D13"/>
    <w:rsid w:val="005C5CCB"/>
    <w:rsid w:val="005C78C7"/>
    <w:rsid w:val="005D25BB"/>
    <w:rsid w:val="005D35C5"/>
    <w:rsid w:val="005D56CE"/>
    <w:rsid w:val="005D6039"/>
    <w:rsid w:val="005E65F4"/>
    <w:rsid w:val="005F1F58"/>
    <w:rsid w:val="005F44C2"/>
    <w:rsid w:val="005F5322"/>
    <w:rsid w:val="00600A5E"/>
    <w:rsid w:val="00601B7F"/>
    <w:rsid w:val="00601B8E"/>
    <w:rsid w:val="006022C4"/>
    <w:rsid w:val="00602BCE"/>
    <w:rsid w:val="00604E38"/>
    <w:rsid w:val="0060562B"/>
    <w:rsid w:val="0060592C"/>
    <w:rsid w:val="0060595D"/>
    <w:rsid w:val="00611251"/>
    <w:rsid w:val="00611606"/>
    <w:rsid w:val="00615013"/>
    <w:rsid w:val="006150CE"/>
    <w:rsid w:val="00621160"/>
    <w:rsid w:val="0062221B"/>
    <w:rsid w:val="006227EF"/>
    <w:rsid w:val="0062389F"/>
    <w:rsid w:val="006247ED"/>
    <w:rsid w:val="006260E2"/>
    <w:rsid w:val="00633F46"/>
    <w:rsid w:val="006340D1"/>
    <w:rsid w:val="0063485F"/>
    <w:rsid w:val="0063669E"/>
    <w:rsid w:val="00640BAC"/>
    <w:rsid w:val="006451B2"/>
    <w:rsid w:val="00645F5E"/>
    <w:rsid w:val="00647AE9"/>
    <w:rsid w:val="00651AB3"/>
    <w:rsid w:val="00652257"/>
    <w:rsid w:val="00654FB2"/>
    <w:rsid w:val="006554E9"/>
    <w:rsid w:val="00657273"/>
    <w:rsid w:val="00661FB6"/>
    <w:rsid w:val="0066293D"/>
    <w:rsid w:val="00665555"/>
    <w:rsid w:val="00665867"/>
    <w:rsid w:val="00666583"/>
    <w:rsid w:val="00666D9E"/>
    <w:rsid w:val="00670A86"/>
    <w:rsid w:val="006722E8"/>
    <w:rsid w:val="006735CE"/>
    <w:rsid w:val="00677C4D"/>
    <w:rsid w:val="00682E84"/>
    <w:rsid w:val="00683388"/>
    <w:rsid w:val="00683812"/>
    <w:rsid w:val="00686813"/>
    <w:rsid w:val="0068716F"/>
    <w:rsid w:val="00693C5D"/>
    <w:rsid w:val="006A1697"/>
    <w:rsid w:val="006A1A65"/>
    <w:rsid w:val="006A75AF"/>
    <w:rsid w:val="006B03DD"/>
    <w:rsid w:val="006B2496"/>
    <w:rsid w:val="006B4FDB"/>
    <w:rsid w:val="006B5D40"/>
    <w:rsid w:val="006B647A"/>
    <w:rsid w:val="006B6BF1"/>
    <w:rsid w:val="006C6B8C"/>
    <w:rsid w:val="006C6DA9"/>
    <w:rsid w:val="006C7716"/>
    <w:rsid w:val="006C7818"/>
    <w:rsid w:val="006D2586"/>
    <w:rsid w:val="006D4876"/>
    <w:rsid w:val="006D49FD"/>
    <w:rsid w:val="006D6CC0"/>
    <w:rsid w:val="006D790A"/>
    <w:rsid w:val="006E03CC"/>
    <w:rsid w:val="006E06F8"/>
    <w:rsid w:val="006E1590"/>
    <w:rsid w:val="006E1D77"/>
    <w:rsid w:val="006E4DC5"/>
    <w:rsid w:val="006E53C2"/>
    <w:rsid w:val="006E66E3"/>
    <w:rsid w:val="006E6A5B"/>
    <w:rsid w:val="006F05E5"/>
    <w:rsid w:val="006F0C9F"/>
    <w:rsid w:val="006F1A8D"/>
    <w:rsid w:val="006F1CBF"/>
    <w:rsid w:val="006F2902"/>
    <w:rsid w:val="006F47CB"/>
    <w:rsid w:val="00704AB6"/>
    <w:rsid w:val="00706B09"/>
    <w:rsid w:val="00710F9F"/>
    <w:rsid w:val="00712340"/>
    <w:rsid w:val="007139A4"/>
    <w:rsid w:val="0071716E"/>
    <w:rsid w:val="00717259"/>
    <w:rsid w:val="007241F1"/>
    <w:rsid w:val="007272F2"/>
    <w:rsid w:val="007361ED"/>
    <w:rsid w:val="00737093"/>
    <w:rsid w:val="007457F8"/>
    <w:rsid w:val="00745B88"/>
    <w:rsid w:val="00745D72"/>
    <w:rsid w:val="0075255C"/>
    <w:rsid w:val="007536F2"/>
    <w:rsid w:val="007538B3"/>
    <w:rsid w:val="007556B8"/>
    <w:rsid w:val="00761059"/>
    <w:rsid w:val="007645C5"/>
    <w:rsid w:val="0076491E"/>
    <w:rsid w:val="00765E95"/>
    <w:rsid w:val="00767335"/>
    <w:rsid w:val="00771543"/>
    <w:rsid w:val="00772A5B"/>
    <w:rsid w:val="00780275"/>
    <w:rsid w:val="0078288C"/>
    <w:rsid w:val="0078297B"/>
    <w:rsid w:val="007831CF"/>
    <w:rsid w:val="00784A89"/>
    <w:rsid w:val="00791256"/>
    <w:rsid w:val="007924AD"/>
    <w:rsid w:val="00794701"/>
    <w:rsid w:val="00797C3A"/>
    <w:rsid w:val="007A48F0"/>
    <w:rsid w:val="007A6852"/>
    <w:rsid w:val="007A6E74"/>
    <w:rsid w:val="007A78A9"/>
    <w:rsid w:val="007B54F4"/>
    <w:rsid w:val="007B5E05"/>
    <w:rsid w:val="007B5F0B"/>
    <w:rsid w:val="007C31AC"/>
    <w:rsid w:val="007C3B73"/>
    <w:rsid w:val="007C5812"/>
    <w:rsid w:val="007C7813"/>
    <w:rsid w:val="007D1764"/>
    <w:rsid w:val="007D18F8"/>
    <w:rsid w:val="007D4D34"/>
    <w:rsid w:val="007D555B"/>
    <w:rsid w:val="007E0913"/>
    <w:rsid w:val="007F1B1E"/>
    <w:rsid w:val="007F29C6"/>
    <w:rsid w:val="007F5313"/>
    <w:rsid w:val="007F788A"/>
    <w:rsid w:val="0080100C"/>
    <w:rsid w:val="00801548"/>
    <w:rsid w:val="008027C0"/>
    <w:rsid w:val="00803E0A"/>
    <w:rsid w:val="00805FA7"/>
    <w:rsid w:val="00807A67"/>
    <w:rsid w:val="00810CF0"/>
    <w:rsid w:val="00815222"/>
    <w:rsid w:val="00816C19"/>
    <w:rsid w:val="00820D2F"/>
    <w:rsid w:val="00823883"/>
    <w:rsid w:val="00834ECE"/>
    <w:rsid w:val="0083578F"/>
    <w:rsid w:val="00836FDD"/>
    <w:rsid w:val="00842E36"/>
    <w:rsid w:val="00844922"/>
    <w:rsid w:val="00846C7A"/>
    <w:rsid w:val="00852595"/>
    <w:rsid w:val="008539B2"/>
    <w:rsid w:val="00853F16"/>
    <w:rsid w:val="00856EB2"/>
    <w:rsid w:val="00857800"/>
    <w:rsid w:val="008621F9"/>
    <w:rsid w:val="00863C4E"/>
    <w:rsid w:val="00864D07"/>
    <w:rsid w:val="0087039A"/>
    <w:rsid w:val="0087100D"/>
    <w:rsid w:val="00874186"/>
    <w:rsid w:val="008755D2"/>
    <w:rsid w:val="00875604"/>
    <w:rsid w:val="008775EC"/>
    <w:rsid w:val="00880322"/>
    <w:rsid w:val="00885BAC"/>
    <w:rsid w:val="0088745B"/>
    <w:rsid w:val="00887A0A"/>
    <w:rsid w:val="0089048F"/>
    <w:rsid w:val="00892D0D"/>
    <w:rsid w:val="00892D44"/>
    <w:rsid w:val="008961FF"/>
    <w:rsid w:val="008967D8"/>
    <w:rsid w:val="00896D11"/>
    <w:rsid w:val="008A05FA"/>
    <w:rsid w:val="008A26C4"/>
    <w:rsid w:val="008A7692"/>
    <w:rsid w:val="008B42FB"/>
    <w:rsid w:val="008B5907"/>
    <w:rsid w:val="008C0696"/>
    <w:rsid w:val="008C29C7"/>
    <w:rsid w:val="008C4A8C"/>
    <w:rsid w:val="008C5565"/>
    <w:rsid w:val="008C5A70"/>
    <w:rsid w:val="008C73B2"/>
    <w:rsid w:val="008D0E3E"/>
    <w:rsid w:val="008D1F03"/>
    <w:rsid w:val="008D675F"/>
    <w:rsid w:val="008D76FA"/>
    <w:rsid w:val="008F0A3F"/>
    <w:rsid w:val="008F24EC"/>
    <w:rsid w:val="008F2D62"/>
    <w:rsid w:val="008F3048"/>
    <w:rsid w:val="008F7698"/>
    <w:rsid w:val="00915142"/>
    <w:rsid w:val="00915AAF"/>
    <w:rsid w:val="0091777C"/>
    <w:rsid w:val="00920EEF"/>
    <w:rsid w:val="00923041"/>
    <w:rsid w:val="00926270"/>
    <w:rsid w:val="00926610"/>
    <w:rsid w:val="00927F60"/>
    <w:rsid w:val="00930F6E"/>
    <w:rsid w:val="009328B8"/>
    <w:rsid w:val="009342B2"/>
    <w:rsid w:val="00936941"/>
    <w:rsid w:val="009402F5"/>
    <w:rsid w:val="00940B65"/>
    <w:rsid w:val="0094150B"/>
    <w:rsid w:val="00944671"/>
    <w:rsid w:val="0094571D"/>
    <w:rsid w:val="0094580B"/>
    <w:rsid w:val="00946EF7"/>
    <w:rsid w:val="00951329"/>
    <w:rsid w:val="00957A4C"/>
    <w:rsid w:val="009619A3"/>
    <w:rsid w:val="0096309B"/>
    <w:rsid w:val="009636CF"/>
    <w:rsid w:val="00976513"/>
    <w:rsid w:val="0098142E"/>
    <w:rsid w:val="0098265D"/>
    <w:rsid w:val="0098602D"/>
    <w:rsid w:val="00987F3B"/>
    <w:rsid w:val="00990148"/>
    <w:rsid w:val="00992D92"/>
    <w:rsid w:val="009940C6"/>
    <w:rsid w:val="00994359"/>
    <w:rsid w:val="009943E8"/>
    <w:rsid w:val="0099768D"/>
    <w:rsid w:val="00997986"/>
    <w:rsid w:val="009A7A60"/>
    <w:rsid w:val="009B14C2"/>
    <w:rsid w:val="009B1885"/>
    <w:rsid w:val="009B32CA"/>
    <w:rsid w:val="009B6B2F"/>
    <w:rsid w:val="009C1F3A"/>
    <w:rsid w:val="009C238A"/>
    <w:rsid w:val="009D0411"/>
    <w:rsid w:val="009D04D7"/>
    <w:rsid w:val="009D061B"/>
    <w:rsid w:val="009D3C54"/>
    <w:rsid w:val="009D4A26"/>
    <w:rsid w:val="009D5289"/>
    <w:rsid w:val="009D5612"/>
    <w:rsid w:val="009D7AEB"/>
    <w:rsid w:val="009E1598"/>
    <w:rsid w:val="009E2FC5"/>
    <w:rsid w:val="009E4274"/>
    <w:rsid w:val="009E70F6"/>
    <w:rsid w:val="009F02FC"/>
    <w:rsid w:val="009F5A36"/>
    <w:rsid w:val="009F5B95"/>
    <w:rsid w:val="009F6541"/>
    <w:rsid w:val="009F67B0"/>
    <w:rsid w:val="009F6A6A"/>
    <w:rsid w:val="00A02740"/>
    <w:rsid w:val="00A03078"/>
    <w:rsid w:val="00A042E1"/>
    <w:rsid w:val="00A06A0C"/>
    <w:rsid w:val="00A121F2"/>
    <w:rsid w:val="00A13142"/>
    <w:rsid w:val="00A15AD6"/>
    <w:rsid w:val="00A166B7"/>
    <w:rsid w:val="00A215BE"/>
    <w:rsid w:val="00A24ADC"/>
    <w:rsid w:val="00A30269"/>
    <w:rsid w:val="00A35C0B"/>
    <w:rsid w:val="00A369D5"/>
    <w:rsid w:val="00A3752A"/>
    <w:rsid w:val="00A44930"/>
    <w:rsid w:val="00A44E95"/>
    <w:rsid w:val="00A47645"/>
    <w:rsid w:val="00A5114A"/>
    <w:rsid w:val="00A51503"/>
    <w:rsid w:val="00A524C9"/>
    <w:rsid w:val="00A55946"/>
    <w:rsid w:val="00A55E86"/>
    <w:rsid w:val="00A57BEB"/>
    <w:rsid w:val="00A61B48"/>
    <w:rsid w:val="00A628A3"/>
    <w:rsid w:val="00A65459"/>
    <w:rsid w:val="00A67C95"/>
    <w:rsid w:val="00A73A54"/>
    <w:rsid w:val="00A73E2E"/>
    <w:rsid w:val="00A74AE2"/>
    <w:rsid w:val="00A75951"/>
    <w:rsid w:val="00A8136C"/>
    <w:rsid w:val="00A819A9"/>
    <w:rsid w:val="00A81F6A"/>
    <w:rsid w:val="00A82896"/>
    <w:rsid w:val="00A8563A"/>
    <w:rsid w:val="00A864C8"/>
    <w:rsid w:val="00A86C5E"/>
    <w:rsid w:val="00A921AA"/>
    <w:rsid w:val="00A92F6F"/>
    <w:rsid w:val="00AA0A87"/>
    <w:rsid w:val="00AA2B1D"/>
    <w:rsid w:val="00AA3A07"/>
    <w:rsid w:val="00AA4A0C"/>
    <w:rsid w:val="00AA78E9"/>
    <w:rsid w:val="00AB55DD"/>
    <w:rsid w:val="00AB7EE8"/>
    <w:rsid w:val="00AC0D0B"/>
    <w:rsid w:val="00AC18B8"/>
    <w:rsid w:val="00AC4AE4"/>
    <w:rsid w:val="00AC59D0"/>
    <w:rsid w:val="00AC7640"/>
    <w:rsid w:val="00AD12EE"/>
    <w:rsid w:val="00AD1F46"/>
    <w:rsid w:val="00AD2A5B"/>
    <w:rsid w:val="00AD336A"/>
    <w:rsid w:val="00AD48A5"/>
    <w:rsid w:val="00AD68A7"/>
    <w:rsid w:val="00AE1351"/>
    <w:rsid w:val="00AE3F93"/>
    <w:rsid w:val="00AE7BD1"/>
    <w:rsid w:val="00AF0B56"/>
    <w:rsid w:val="00AF654A"/>
    <w:rsid w:val="00AF78BA"/>
    <w:rsid w:val="00B01169"/>
    <w:rsid w:val="00B03A6C"/>
    <w:rsid w:val="00B04F25"/>
    <w:rsid w:val="00B12A5F"/>
    <w:rsid w:val="00B13E0F"/>
    <w:rsid w:val="00B1511E"/>
    <w:rsid w:val="00B1584D"/>
    <w:rsid w:val="00B15B0B"/>
    <w:rsid w:val="00B23E57"/>
    <w:rsid w:val="00B2596B"/>
    <w:rsid w:val="00B2599A"/>
    <w:rsid w:val="00B25AE0"/>
    <w:rsid w:val="00B26868"/>
    <w:rsid w:val="00B27B09"/>
    <w:rsid w:val="00B32C60"/>
    <w:rsid w:val="00B331E9"/>
    <w:rsid w:val="00B37AFA"/>
    <w:rsid w:val="00B43064"/>
    <w:rsid w:val="00B43397"/>
    <w:rsid w:val="00B4613A"/>
    <w:rsid w:val="00B47A0D"/>
    <w:rsid w:val="00B53522"/>
    <w:rsid w:val="00B5381B"/>
    <w:rsid w:val="00B745E0"/>
    <w:rsid w:val="00B75889"/>
    <w:rsid w:val="00B766E7"/>
    <w:rsid w:val="00B8274E"/>
    <w:rsid w:val="00B828CD"/>
    <w:rsid w:val="00B833E9"/>
    <w:rsid w:val="00B8562B"/>
    <w:rsid w:val="00B9452A"/>
    <w:rsid w:val="00B948DF"/>
    <w:rsid w:val="00B96461"/>
    <w:rsid w:val="00BA0B8D"/>
    <w:rsid w:val="00BB0035"/>
    <w:rsid w:val="00BB1EA9"/>
    <w:rsid w:val="00BB3704"/>
    <w:rsid w:val="00BB62C6"/>
    <w:rsid w:val="00BB73CB"/>
    <w:rsid w:val="00BD0759"/>
    <w:rsid w:val="00BD0819"/>
    <w:rsid w:val="00BD16F4"/>
    <w:rsid w:val="00BD2856"/>
    <w:rsid w:val="00BD376E"/>
    <w:rsid w:val="00BD66C3"/>
    <w:rsid w:val="00BE0A72"/>
    <w:rsid w:val="00BE62F5"/>
    <w:rsid w:val="00BF1ECF"/>
    <w:rsid w:val="00BF2411"/>
    <w:rsid w:val="00BF3EB9"/>
    <w:rsid w:val="00C0116D"/>
    <w:rsid w:val="00C03D92"/>
    <w:rsid w:val="00C03EB1"/>
    <w:rsid w:val="00C108EE"/>
    <w:rsid w:val="00C1168D"/>
    <w:rsid w:val="00C133EA"/>
    <w:rsid w:val="00C1586E"/>
    <w:rsid w:val="00C207F3"/>
    <w:rsid w:val="00C20806"/>
    <w:rsid w:val="00C22DF4"/>
    <w:rsid w:val="00C24269"/>
    <w:rsid w:val="00C2574C"/>
    <w:rsid w:val="00C2613A"/>
    <w:rsid w:val="00C34235"/>
    <w:rsid w:val="00C3697B"/>
    <w:rsid w:val="00C40889"/>
    <w:rsid w:val="00C43E9E"/>
    <w:rsid w:val="00C441D0"/>
    <w:rsid w:val="00C536EE"/>
    <w:rsid w:val="00C562EB"/>
    <w:rsid w:val="00C57C2C"/>
    <w:rsid w:val="00C655A3"/>
    <w:rsid w:val="00C6793A"/>
    <w:rsid w:val="00C73650"/>
    <w:rsid w:val="00C74A16"/>
    <w:rsid w:val="00C770BC"/>
    <w:rsid w:val="00C775C5"/>
    <w:rsid w:val="00C80E2C"/>
    <w:rsid w:val="00C82233"/>
    <w:rsid w:val="00C8365E"/>
    <w:rsid w:val="00C84220"/>
    <w:rsid w:val="00C92341"/>
    <w:rsid w:val="00C93D4D"/>
    <w:rsid w:val="00CA138D"/>
    <w:rsid w:val="00CA5542"/>
    <w:rsid w:val="00CB0645"/>
    <w:rsid w:val="00CB29EE"/>
    <w:rsid w:val="00CB3E92"/>
    <w:rsid w:val="00CB4087"/>
    <w:rsid w:val="00CC3BD5"/>
    <w:rsid w:val="00CC4508"/>
    <w:rsid w:val="00CD0AC8"/>
    <w:rsid w:val="00CD0D2F"/>
    <w:rsid w:val="00CD18DF"/>
    <w:rsid w:val="00CD1BE0"/>
    <w:rsid w:val="00CD3B0E"/>
    <w:rsid w:val="00CD3E36"/>
    <w:rsid w:val="00CD49AF"/>
    <w:rsid w:val="00CD4CE7"/>
    <w:rsid w:val="00CD5561"/>
    <w:rsid w:val="00CD60E6"/>
    <w:rsid w:val="00CE00FE"/>
    <w:rsid w:val="00CE0AB2"/>
    <w:rsid w:val="00CE12EE"/>
    <w:rsid w:val="00CE25AA"/>
    <w:rsid w:val="00CE29D8"/>
    <w:rsid w:val="00CE4471"/>
    <w:rsid w:val="00CE695B"/>
    <w:rsid w:val="00CF11B0"/>
    <w:rsid w:val="00CF3530"/>
    <w:rsid w:val="00CF6C67"/>
    <w:rsid w:val="00D10360"/>
    <w:rsid w:val="00D13698"/>
    <w:rsid w:val="00D147FB"/>
    <w:rsid w:val="00D149EF"/>
    <w:rsid w:val="00D1572B"/>
    <w:rsid w:val="00D16FBB"/>
    <w:rsid w:val="00D21590"/>
    <w:rsid w:val="00D22820"/>
    <w:rsid w:val="00D244C4"/>
    <w:rsid w:val="00D24AB2"/>
    <w:rsid w:val="00D24DEB"/>
    <w:rsid w:val="00D24E87"/>
    <w:rsid w:val="00D252D2"/>
    <w:rsid w:val="00D27837"/>
    <w:rsid w:val="00D3235E"/>
    <w:rsid w:val="00D35F07"/>
    <w:rsid w:val="00D42BA1"/>
    <w:rsid w:val="00D45F8A"/>
    <w:rsid w:val="00D46EFE"/>
    <w:rsid w:val="00D47861"/>
    <w:rsid w:val="00D47B34"/>
    <w:rsid w:val="00D47FE4"/>
    <w:rsid w:val="00D5023A"/>
    <w:rsid w:val="00D50F0B"/>
    <w:rsid w:val="00D5114D"/>
    <w:rsid w:val="00D55CE5"/>
    <w:rsid w:val="00D63E96"/>
    <w:rsid w:val="00D676E6"/>
    <w:rsid w:val="00D70D16"/>
    <w:rsid w:val="00D72328"/>
    <w:rsid w:val="00D76603"/>
    <w:rsid w:val="00D77EC0"/>
    <w:rsid w:val="00D81DD0"/>
    <w:rsid w:val="00D84098"/>
    <w:rsid w:val="00D90778"/>
    <w:rsid w:val="00D919A6"/>
    <w:rsid w:val="00D91EB3"/>
    <w:rsid w:val="00D92000"/>
    <w:rsid w:val="00D93386"/>
    <w:rsid w:val="00D94BCE"/>
    <w:rsid w:val="00D951A5"/>
    <w:rsid w:val="00D97882"/>
    <w:rsid w:val="00DA0B2F"/>
    <w:rsid w:val="00DA3F69"/>
    <w:rsid w:val="00DA4D78"/>
    <w:rsid w:val="00DA5EB8"/>
    <w:rsid w:val="00DA7583"/>
    <w:rsid w:val="00DB0CA9"/>
    <w:rsid w:val="00DB6D19"/>
    <w:rsid w:val="00DB73FE"/>
    <w:rsid w:val="00DC085D"/>
    <w:rsid w:val="00DC157D"/>
    <w:rsid w:val="00DC1B14"/>
    <w:rsid w:val="00DC3D53"/>
    <w:rsid w:val="00DC7FBA"/>
    <w:rsid w:val="00DD06F0"/>
    <w:rsid w:val="00DD41BA"/>
    <w:rsid w:val="00DD4DB2"/>
    <w:rsid w:val="00DE10FE"/>
    <w:rsid w:val="00DE499E"/>
    <w:rsid w:val="00DE5602"/>
    <w:rsid w:val="00DE6D96"/>
    <w:rsid w:val="00DE7001"/>
    <w:rsid w:val="00DF0059"/>
    <w:rsid w:val="00DF141D"/>
    <w:rsid w:val="00DF2504"/>
    <w:rsid w:val="00DF2CBE"/>
    <w:rsid w:val="00DF45AE"/>
    <w:rsid w:val="00DF72B4"/>
    <w:rsid w:val="00E03002"/>
    <w:rsid w:val="00E10067"/>
    <w:rsid w:val="00E10086"/>
    <w:rsid w:val="00E10BA6"/>
    <w:rsid w:val="00E15C2C"/>
    <w:rsid w:val="00E1613C"/>
    <w:rsid w:val="00E2078C"/>
    <w:rsid w:val="00E27BA7"/>
    <w:rsid w:val="00E311B1"/>
    <w:rsid w:val="00E33397"/>
    <w:rsid w:val="00E36420"/>
    <w:rsid w:val="00E4683B"/>
    <w:rsid w:val="00E51E57"/>
    <w:rsid w:val="00E62751"/>
    <w:rsid w:val="00E63B54"/>
    <w:rsid w:val="00E64871"/>
    <w:rsid w:val="00E6594B"/>
    <w:rsid w:val="00E67A1A"/>
    <w:rsid w:val="00E746D1"/>
    <w:rsid w:val="00E764D3"/>
    <w:rsid w:val="00E767FE"/>
    <w:rsid w:val="00E76C0B"/>
    <w:rsid w:val="00E77909"/>
    <w:rsid w:val="00E8103D"/>
    <w:rsid w:val="00E82AAF"/>
    <w:rsid w:val="00E84816"/>
    <w:rsid w:val="00E86220"/>
    <w:rsid w:val="00E95543"/>
    <w:rsid w:val="00E9562E"/>
    <w:rsid w:val="00E97340"/>
    <w:rsid w:val="00E97850"/>
    <w:rsid w:val="00EA1B7E"/>
    <w:rsid w:val="00EA2136"/>
    <w:rsid w:val="00EA2E8F"/>
    <w:rsid w:val="00EA39A5"/>
    <w:rsid w:val="00EA6E49"/>
    <w:rsid w:val="00EA784B"/>
    <w:rsid w:val="00EA7EEC"/>
    <w:rsid w:val="00EB0ADD"/>
    <w:rsid w:val="00EB501F"/>
    <w:rsid w:val="00EB7297"/>
    <w:rsid w:val="00EC1C0A"/>
    <w:rsid w:val="00EC50BA"/>
    <w:rsid w:val="00ED3447"/>
    <w:rsid w:val="00ED3DED"/>
    <w:rsid w:val="00EE0FAC"/>
    <w:rsid w:val="00EE1A1F"/>
    <w:rsid w:val="00EE53E0"/>
    <w:rsid w:val="00EE751B"/>
    <w:rsid w:val="00EF3EFC"/>
    <w:rsid w:val="00EF6C7D"/>
    <w:rsid w:val="00EF73D0"/>
    <w:rsid w:val="00EF7824"/>
    <w:rsid w:val="00F00DDB"/>
    <w:rsid w:val="00F01D0E"/>
    <w:rsid w:val="00F02323"/>
    <w:rsid w:val="00F03831"/>
    <w:rsid w:val="00F0530A"/>
    <w:rsid w:val="00F0563C"/>
    <w:rsid w:val="00F05955"/>
    <w:rsid w:val="00F06A76"/>
    <w:rsid w:val="00F073EA"/>
    <w:rsid w:val="00F076B6"/>
    <w:rsid w:val="00F1222A"/>
    <w:rsid w:val="00F15F3B"/>
    <w:rsid w:val="00F1729C"/>
    <w:rsid w:val="00F27DD2"/>
    <w:rsid w:val="00F34E78"/>
    <w:rsid w:val="00F3518E"/>
    <w:rsid w:val="00F41325"/>
    <w:rsid w:val="00F425CE"/>
    <w:rsid w:val="00F51CA7"/>
    <w:rsid w:val="00F52567"/>
    <w:rsid w:val="00F52EC2"/>
    <w:rsid w:val="00F53549"/>
    <w:rsid w:val="00F53752"/>
    <w:rsid w:val="00F55541"/>
    <w:rsid w:val="00F567DF"/>
    <w:rsid w:val="00F57643"/>
    <w:rsid w:val="00F62EB3"/>
    <w:rsid w:val="00F64C93"/>
    <w:rsid w:val="00F653FD"/>
    <w:rsid w:val="00F66253"/>
    <w:rsid w:val="00F7075E"/>
    <w:rsid w:val="00F70B91"/>
    <w:rsid w:val="00F70CCF"/>
    <w:rsid w:val="00F71026"/>
    <w:rsid w:val="00F73910"/>
    <w:rsid w:val="00F74650"/>
    <w:rsid w:val="00F74887"/>
    <w:rsid w:val="00F748AB"/>
    <w:rsid w:val="00F76553"/>
    <w:rsid w:val="00F81B94"/>
    <w:rsid w:val="00F82549"/>
    <w:rsid w:val="00F82E58"/>
    <w:rsid w:val="00F84087"/>
    <w:rsid w:val="00F869BC"/>
    <w:rsid w:val="00F86A8E"/>
    <w:rsid w:val="00F8778B"/>
    <w:rsid w:val="00F94F71"/>
    <w:rsid w:val="00FA62D0"/>
    <w:rsid w:val="00FB237C"/>
    <w:rsid w:val="00FB3B80"/>
    <w:rsid w:val="00FB49B0"/>
    <w:rsid w:val="00FB6A7C"/>
    <w:rsid w:val="00FB6D64"/>
    <w:rsid w:val="00FC195B"/>
    <w:rsid w:val="00FC5865"/>
    <w:rsid w:val="00FD5E7A"/>
    <w:rsid w:val="00FD6A09"/>
    <w:rsid w:val="00FE051A"/>
    <w:rsid w:val="00FF7E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EB4198A"/>
  <w15:docId w15:val="{4AFF0CD9-2F63-453F-A808-68261C4E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61B"/>
    <w:rPr>
      <w:lang w:eastAsia="en-US"/>
    </w:rPr>
  </w:style>
  <w:style w:type="paragraph" w:styleId="Heading1">
    <w:name w:val="heading 1"/>
    <w:basedOn w:val="Normal"/>
    <w:next w:val="Normal"/>
    <w:qFormat/>
    <w:rsid w:val="009D061B"/>
    <w:pPr>
      <w:keepNext/>
      <w:jc w:val="center"/>
      <w:outlineLvl w:val="0"/>
    </w:pPr>
    <w:rPr>
      <w:i/>
      <w:sz w:val="24"/>
    </w:rPr>
  </w:style>
  <w:style w:type="paragraph" w:styleId="Heading2">
    <w:name w:val="heading 2"/>
    <w:basedOn w:val="Normal"/>
    <w:next w:val="Normal"/>
    <w:qFormat/>
    <w:rsid w:val="009D061B"/>
    <w:pPr>
      <w:keepNext/>
      <w:jc w:val="center"/>
      <w:outlineLvl w:val="1"/>
    </w:pPr>
    <w:rPr>
      <w:sz w:val="24"/>
    </w:rPr>
  </w:style>
  <w:style w:type="paragraph" w:styleId="Heading3">
    <w:name w:val="heading 3"/>
    <w:basedOn w:val="Normal"/>
    <w:next w:val="Normal"/>
    <w:link w:val="Heading3Char"/>
    <w:uiPriority w:val="99"/>
    <w:qFormat/>
    <w:rsid w:val="009D061B"/>
    <w:pPr>
      <w:keepNext/>
      <w:spacing w:before="120" w:after="120"/>
      <w:outlineLvl w:val="2"/>
    </w:pPr>
    <w:rPr>
      <w:b/>
      <w:bCs/>
      <w:sz w:val="24"/>
    </w:rPr>
  </w:style>
  <w:style w:type="paragraph" w:styleId="Heading4">
    <w:name w:val="heading 4"/>
    <w:basedOn w:val="Normal"/>
    <w:next w:val="Normal"/>
    <w:qFormat/>
    <w:rsid w:val="009D061B"/>
    <w:pPr>
      <w:keepNext/>
      <w:outlineLvl w:val="3"/>
    </w:pPr>
    <w:rPr>
      <w:b/>
      <w:bCs/>
      <w:i/>
      <w:iCs/>
      <w:sz w:val="24"/>
    </w:rPr>
  </w:style>
  <w:style w:type="paragraph" w:styleId="Heading5">
    <w:name w:val="heading 5"/>
    <w:basedOn w:val="Normal"/>
    <w:next w:val="Normal"/>
    <w:qFormat/>
    <w:rsid w:val="009D061B"/>
    <w:pPr>
      <w:keepNext/>
      <w:outlineLvl w:val="4"/>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D061B"/>
    <w:pPr>
      <w:jc w:val="center"/>
    </w:pPr>
    <w:rPr>
      <w:sz w:val="24"/>
      <w:u w:val="single"/>
    </w:rPr>
  </w:style>
  <w:style w:type="paragraph" w:styleId="Subtitle">
    <w:name w:val="Subtitle"/>
    <w:basedOn w:val="Normal"/>
    <w:qFormat/>
    <w:rsid w:val="009D061B"/>
    <w:pPr>
      <w:jc w:val="center"/>
    </w:pPr>
    <w:rPr>
      <w:sz w:val="24"/>
    </w:rPr>
  </w:style>
  <w:style w:type="paragraph" w:styleId="Header">
    <w:name w:val="header"/>
    <w:basedOn w:val="Normal"/>
    <w:rsid w:val="009D061B"/>
    <w:pPr>
      <w:tabs>
        <w:tab w:val="center" w:pos="4153"/>
        <w:tab w:val="right" w:pos="8306"/>
      </w:tabs>
    </w:pPr>
  </w:style>
  <w:style w:type="paragraph" w:styleId="Footer">
    <w:name w:val="footer"/>
    <w:basedOn w:val="Normal"/>
    <w:link w:val="FooterChar"/>
    <w:uiPriority w:val="99"/>
    <w:rsid w:val="009D061B"/>
    <w:pPr>
      <w:tabs>
        <w:tab w:val="center" w:pos="4153"/>
        <w:tab w:val="right" w:pos="8306"/>
      </w:tabs>
    </w:pPr>
  </w:style>
  <w:style w:type="paragraph" w:styleId="BodyText">
    <w:name w:val="Body Text"/>
    <w:basedOn w:val="Normal"/>
    <w:link w:val="BodyTextChar"/>
    <w:uiPriority w:val="99"/>
    <w:rsid w:val="009D061B"/>
    <w:rPr>
      <w:sz w:val="24"/>
    </w:rPr>
  </w:style>
  <w:style w:type="paragraph" w:styleId="BodyText2">
    <w:name w:val="Body Text 2"/>
    <w:basedOn w:val="Normal"/>
    <w:rsid w:val="009D061B"/>
    <w:rPr>
      <w:i/>
      <w:iCs/>
      <w:sz w:val="24"/>
    </w:rPr>
  </w:style>
  <w:style w:type="paragraph" w:customStyle="1" w:styleId="StyleAfter6pt">
    <w:name w:val="Style After:  6 pt"/>
    <w:basedOn w:val="Normal"/>
    <w:rsid w:val="00C74A16"/>
    <w:pPr>
      <w:spacing w:before="120" w:after="120"/>
    </w:pPr>
    <w:rPr>
      <w:sz w:val="24"/>
    </w:rPr>
  </w:style>
  <w:style w:type="paragraph" w:styleId="BalloonText">
    <w:name w:val="Balloon Text"/>
    <w:basedOn w:val="Normal"/>
    <w:semiHidden/>
    <w:rsid w:val="0094580B"/>
    <w:rPr>
      <w:rFonts w:ascii="Tahoma" w:hAnsi="Tahoma" w:cs="Tahoma"/>
      <w:sz w:val="16"/>
      <w:szCs w:val="16"/>
    </w:rPr>
  </w:style>
  <w:style w:type="paragraph" w:customStyle="1" w:styleId="StyleLeft1cm">
    <w:name w:val="Style Left:  1 cm"/>
    <w:basedOn w:val="Normal"/>
    <w:rsid w:val="00C74A16"/>
    <w:pPr>
      <w:ind w:left="567"/>
    </w:pPr>
    <w:rPr>
      <w:sz w:val="24"/>
    </w:rPr>
  </w:style>
  <w:style w:type="character" w:styleId="CommentReference">
    <w:name w:val="annotation reference"/>
    <w:basedOn w:val="DefaultParagraphFont"/>
    <w:semiHidden/>
    <w:rsid w:val="0094580B"/>
    <w:rPr>
      <w:sz w:val="16"/>
      <w:szCs w:val="16"/>
    </w:rPr>
  </w:style>
  <w:style w:type="paragraph" w:styleId="CommentText">
    <w:name w:val="annotation text"/>
    <w:basedOn w:val="Normal"/>
    <w:link w:val="CommentTextChar"/>
    <w:uiPriority w:val="99"/>
    <w:semiHidden/>
    <w:rsid w:val="0094580B"/>
  </w:style>
  <w:style w:type="paragraph" w:styleId="CommentSubject">
    <w:name w:val="annotation subject"/>
    <w:basedOn w:val="CommentText"/>
    <w:next w:val="CommentText"/>
    <w:semiHidden/>
    <w:rsid w:val="0094580B"/>
    <w:rPr>
      <w:b/>
      <w:bCs/>
    </w:rPr>
  </w:style>
  <w:style w:type="paragraph" w:styleId="NormalWeb">
    <w:name w:val="Normal (Web)"/>
    <w:basedOn w:val="Normal"/>
    <w:uiPriority w:val="99"/>
    <w:rsid w:val="00621160"/>
    <w:pPr>
      <w:spacing w:before="100" w:beforeAutospacing="1" w:after="100" w:afterAutospacing="1"/>
    </w:pPr>
    <w:rPr>
      <w:sz w:val="24"/>
      <w:szCs w:val="24"/>
      <w:lang w:eastAsia="en-AU"/>
    </w:rPr>
  </w:style>
  <w:style w:type="character" w:customStyle="1" w:styleId="FooterChar">
    <w:name w:val="Footer Char"/>
    <w:basedOn w:val="DefaultParagraphFont"/>
    <w:link w:val="Footer"/>
    <w:uiPriority w:val="99"/>
    <w:rsid w:val="00C74A16"/>
    <w:rPr>
      <w:lang w:eastAsia="en-US"/>
    </w:rPr>
  </w:style>
  <w:style w:type="paragraph" w:customStyle="1" w:styleId="NumberList">
    <w:name w:val="Number List"/>
    <w:basedOn w:val="Normal"/>
    <w:rsid w:val="003A1D30"/>
    <w:pPr>
      <w:numPr>
        <w:numId w:val="22"/>
      </w:numPr>
      <w:tabs>
        <w:tab w:val="left" w:pos="1985"/>
      </w:tabs>
      <w:spacing w:before="240" w:line="240" w:lineRule="atLeast"/>
    </w:pPr>
    <w:rPr>
      <w:sz w:val="24"/>
      <w:szCs w:val="24"/>
    </w:rPr>
  </w:style>
  <w:style w:type="paragraph" w:customStyle="1" w:styleId="NumberListSub">
    <w:name w:val="Number List Sub"/>
    <w:basedOn w:val="NumberList"/>
    <w:rsid w:val="003A1D30"/>
    <w:pPr>
      <w:numPr>
        <w:ilvl w:val="1"/>
      </w:numPr>
      <w:tabs>
        <w:tab w:val="left" w:pos="2552"/>
      </w:tabs>
    </w:pPr>
  </w:style>
  <w:style w:type="character" w:customStyle="1" w:styleId="Heading3Char">
    <w:name w:val="Heading 3 Char"/>
    <w:basedOn w:val="DefaultParagraphFont"/>
    <w:link w:val="Heading3"/>
    <w:uiPriority w:val="99"/>
    <w:rsid w:val="00C20806"/>
    <w:rPr>
      <w:b/>
      <w:bCs/>
      <w:sz w:val="24"/>
      <w:lang w:eastAsia="en-US"/>
    </w:rPr>
  </w:style>
  <w:style w:type="character" w:customStyle="1" w:styleId="BodyTextChar">
    <w:name w:val="Body Text Char"/>
    <w:basedOn w:val="DefaultParagraphFont"/>
    <w:link w:val="BodyText"/>
    <w:uiPriority w:val="99"/>
    <w:rsid w:val="00C20806"/>
    <w:rPr>
      <w:sz w:val="24"/>
      <w:lang w:eastAsia="en-US"/>
    </w:rPr>
  </w:style>
  <w:style w:type="paragraph" w:styleId="ListParagraph">
    <w:name w:val="List Paragraph"/>
    <w:basedOn w:val="Normal"/>
    <w:uiPriority w:val="34"/>
    <w:qFormat/>
    <w:rsid w:val="001F2C32"/>
    <w:pPr>
      <w:ind w:left="720"/>
      <w:contextualSpacing/>
    </w:pPr>
  </w:style>
  <w:style w:type="paragraph" w:customStyle="1" w:styleId="R2">
    <w:name w:val="R2"/>
    <w:aliases w:val="(2)"/>
    <w:basedOn w:val="Normal"/>
    <w:rsid w:val="00791256"/>
    <w:pPr>
      <w:keepLines/>
      <w:tabs>
        <w:tab w:val="right" w:pos="794"/>
      </w:tabs>
      <w:spacing w:before="180" w:line="260" w:lineRule="exact"/>
      <w:ind w:left="964" w:hanging="964"/>
      <w:jc w:val="both"/>
    </w:pPr>
    <w:rPr>
      <w:sz w:val="24"/>
      <w:szCs w:val="24"/>
      <w:lang w:eastAsia="en-AU"/>
    </w:rPr>
  </w:style>
  <w:style w:type="character" w:customStyle="1" w:styleId="CharSchNo">
    <w:name w:val="CharSchNo"/>
    <w:basedOn w:val="DefaultParagraphFont"/>
    <w:rsid w:val="00791256"/>
  </w:style>
  <w:style w:type="character" w:customStyle="1" w:styleId="CharSchText">
    <w:name w:val="CharSchText"/>
    <w:basedOn w:val="DefaultParagraphFont"/>
    <w:rsid w:val="00791256"/>
  </w:style>
  <w:style w:type="paragraph" w:customStyle="1" w:styleId="Schedulereference">
    <w:name w:val="Schedule reference"/>
    <w:basedOn w:val="Normal"/>
    <w:next w:val="Normal"/>
    <w:rsid w:val="00791256"/>
    <w:pPr>
      <w:keepNext/>
      <w:keepLines/>
      <w:spacing w:before="60" w:line="200" w:lineRule="exact"/>
      <w:ind w:left="2410"/>
    </w:pPr>
    <w:rPr>
      <w:rFonts w:ascii="Arial" w:hAnsi="Arial"/>
      <w:sz w:val="18"/>
      <w:szCs w:val="24"/>
      <w:lang w:eastAsia="en-AU"/>
    </w:rPr>
  </w:style>
  <w:style w:type="paragraph" w:customStyle="1" w:styleId="Scheduletitle">
    <w:name w:val="Schedule title"/>
    <w:basedOn w:val="Normal"/>
    <w:next w:val="Schedulereference"/>
    <w:rsid w:val="00791256"/>
    <w:pPr>
      <w:keepNext/>
      <w:keepLines/>
      <w:spacing w:before="480"/>
      <w:ind w:left="2410" w:hanging="2410"/>
    </w:pPr>
    <w:rPr>
      <w:rFonts w:ascii="Arial" w:hAnsi="Arial"/>
      <w:b/>
      <w:sz w:val="32"/>
      <w:szCs w:val="24"/>
      <w:lang w:eastAsia="en-AU"/>
    </w:rPr>
  </w:style>
  <w:style w:type="paragraph" w:customStyle="1" w:styleId="TableText">
    <w:name w:val="TableText"/>
    <w:basedOn w:val="Normal"/>
    <w:rsid w:val="00791256"/>
    <w:pPr>
      <w:spacing w:before="60" w:after="60" w:line="240" w:lineRule="exact"/>
    </w:pPr>
    <w:rPr>
      <w:sz w:val="22"/>
      <w:szCs w:val="24"/>
      <w:lang w:eastAsia="en-AU"/>
    </w:rPr>
  </w:style>
  <w:style w:type="paragraph" w:styleId="Revision">
    <w:name w:val="Revision"/>
    <w:hidden/>
    <w:uiPriority w:val="99"/>
    <w:semiHidden/>
    <w:rsid w:val="00816C19"/>
    <w:rPr>
      <w:lang w:eastAsia="en-US"/>
    </w:rPr>
  </w:style>
  <w:style w:type="character" w:customStyle="1" w:styleId="CommentTextChar">
    <w:name w:val="Comment Text Char"/>
    <w:basedOn w:val="DefaultParagraphFont"/>
    <w:link w:val="CommentText"/>
    <w:uiPriority w:val="99"/>
    <w:semiHidden/>
    <w:rsid w:val="00915AAF"/>
    <w:rPr>
      <w:lang w:eastAsia="en-US"/>
    </w:rPr>
  </w:style>
  <w:style w:type="character" w:styleId="Hyperlink">
    <w:name w:val="Hyperlink"/>
    <w:basedOn w:val="DefaultParagraphFont"/>
    <w:unhideWhenUsed/>
    <w:rsid w:val="00B5381B"/>
    <w:rPr>
      <w:color w:val="0000FF" w:themeColor="hyperlink"/>
      <w:u w:val="single"/>
    </w:rPr>
  </w:style>
  <w:style w:type="character" w:styleId="FollowedHyperlink">
    <w:name w:val="FollowedHyperlink"/>
    <w:basedOn w:val="DefaultParagraphFont"/>
    <w:semiHidden/>
    <w:unhideWhenUsed/>
    <w:rsid w:val="00600A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52803">
      <w:bodyDiv w:val="1"/>
      <w:marLeft w:val="0"/>
      <w:marRight w:val="0"/>
      <w:marTop w:val="0"/>
      <w:marBottom w:val="0"/>
      <w:divBdr>
        <w:top w:val="none" w:sz="0" w:space="0" w:color="auto"/>
        <w:left w:val="none" w:sz="0" w:space="0" w:color="auto"/>
        <w:bottom w:val="none" w:sz="0" w:space="0" w:color="auto"/>
        <w:right w:val="none" w:sz="0" w:space="0" w:color="auto"/>
      </w:divBdr>
    </w:div>
    <w:div w:id="563414679">
      <w:bodyDiv w:val="1"/>
      <w:marLeft w:val="0"/>
      <w:marRight w:val="0"/>
      <w:marTop w:val="0"/>
      <w:marBottom w:val="0"/>
      <w:divBdr>
        <w:top w:val="none" w:sz="0" w:space="0" w:color="auto"/>
        <w:left w:val="none" w:sz="0" w:space="0" w:color="auto"/>
        <w:bottom w:val="none" w:sz="0" w:space="0" w:color="auto"/>
        <w:right w:val="none" w:sz="0" w:space="0" w:color="auto"/>
      </w:divBdr>
    </w:div>
    <w:div w:id="953558070">
      <w:bodyDiv w:val="1"/>
      <w:marLeft w:val="0"/>
      <w:marRight w:val="0"/>
      <w:marTop w:val="0"/>
      <w:marBottom w:val="0"/>
      <w:divBdr>
        <w:top w:val="none" w:sz="0" w:space="0" w:color="auto"/>
        <w:left w:val="none" w:sz="0" w:space="0" w:color="auto"/>
        <w:bottom w:val="none" w:sz="0" w:space="0" w:color="auto"/>
        <w:right w:val="none" w:sz="0" w:space="0" w:color="auto"/>
      </w:divBdr>
    </w:div>
    <w:div w:id="1225216684">
      <w:bodyDiv w:val="1"/>
      <w:marLeft w:val="0"/>
      <w:marRight w:val="0"/>
      <w:marTop w:val="0"/>
      <w:marBottom w:val="0"/>
      <w:divBdr>
        <w:top w:val="none" w:sz="0" w:space="0" w:color="auto"/>
        <w:left w:val="none" w:sz="0" w:space="0" w:color="auto"/>
        <w:bottom w:val="none" w:sz="0" w:space="0" w:color="auto"/>
        <w:right w:val="none" w:sz="0" w:space="0" w:color="auto"/>
      </w:divBdr>
    </w:div>
    <w:div w:id="1309822709">
      <w:bodyDiv w:val="1"/>
      <w:marLeft w:val="0"/>
      <w:marRight w:val="0"/>
      <w:marTop w:val="0"/>
      <w:marBottom w:val="0"/>
      <w:divBdr>
        <w:top w:val="none" w:sz="0" w:space="0" w:color="auto"/>
        <w:left w:val="none" w:sz="0" w:space="0" w:color="auto"/>
        <w:bottom w:val="none" w:sz="0" w:space="0" w:color="auto"/>
        <w:right w:val="none" w:sz="0" w:space="0" w:color="auto"/>
      </w:divBdr>
    </w:div>
    <w:div w:id="1465583477">
      <w:bodyDiv w:val="1"/>
      <w:marLeft w:val="0"/>
      <w:marRight w:val="0"/>
      <w:marTop w:val="0"/>
      <w:marBottom w:val="0"/>
      <w:divBdr>
        <w:top w:val="none" w:sz="0" w:space="0" w:color="auto"/>
        <w:left w:val="none" w:sz="0" w:space="0" w:color="auto"/>
        <w:bottom w:val="none" w:sz="0" w:space="0" w:color="auto"/>
        <w:right w:val="none" w:sz="0" w:space="0" w:color="auto"/>
      </w:divBdr>
      <w:divsChild>
        <w:div w:id="2122455171">
          <w:marLeft w:val="0"/>
          <w:marRight w:val="0"/>
          <w:marTop w:val="0"/>
          <w:marBottom w:val="0"/>
          <w:divBdr>
            <w:top w:val="none" w:sz="0" w:space="0" w:color="auto"/>
            <w:left w:val="none" w:sz="0" w:space="0" w:color="auto"/>
            <w:bottom w:val="none" w:sz="0" w:space="0" w:color="auto"/>
            <w:right w:val="none" w:sz="0" w:space="0" w:color="auto"/>
          </w:divBdr>
          <w:divsChild>
            <w:div w:id="533538138">
              <w:marLeft w:val="0"/>
              <w:marRight w:val="0"/>
              <w:marTop w:val="0"/>
              <w:marBottom w:val="0"/>
              <w:divBdr>
                <w:top w:val="none" w:sz="0" w:space="0" w:color="auto"/>
                <w:left w:val="none" w:sz="0" w:space="0" w:color="auto"/>
                <w:bottom w:val="none" w:sz="0" w:space="0" w:color="auto"/>
                <w:right w:val="none" w:sz="0" w:space="0" w:color="auto"/>
              </w:divBdr>
              <w:divsChild>
                <w:div w:id="1756054757">
                  <w:marLeft w:val="2820"/>
                  <w:marRight w:val="0"/>
                  <w:marTop w:val="0"/>
                  <w:marBottom w:val="0"/>
                  <w:divBdr>
                    <w:top w:val="none" w:sz="0" w:space="0" w:color="auto"/>
                    <w:left w:val="none" w:sz="0" w:space="0" w:color="auto"/>
                    <w:bottom w:val="none" w:sz="0" w:space="0" w:color="auto"/>
                    <w:right w:val="none" w:sz="0" w:space="0" w:color="auto"/>
                  </w:divBdr>
                  <w:divsChild>
                    <w:div w:id="183915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48877">
      <w:bodyDiv w:val="1"/>
      <w:marLeft w:val="0"/>
      <w:marRight w:val="0"/>
      <w:marTop w:val="0"/>
      <w:marBottom w:val="0"/>
      <w:divBdr>
        <w:top w:val="none" w:sz="0" w:space="0" w:color="auto"/>
        <w:left w:val="none" w:sz="0" w:space="0" w:color="auto"/>
        <w:bottom w:val="none" w:sz="0" w:space="0" w:color="auto"/>
        <w:right w:val="none" w:sz="0" w:space="0" w:color="auto"/>
      </w:divBdr>
    </w:div>
    <w:div w:id="1585918113">
      <w:bodyDiv w:val="1"/>
      <w:marLeft w:val="0"/>
      <w:marRight w:val="0"/>
      <w:marTop w:val="0"/>
      <w:marBottom w:val="0"/>
      <w:divBdr>
        <w:top w:val="none" w:sz="0" w:space="0" w:color="auto"/>
        <w:left w:val="none" w:sz="0" w:space="0" w:color="auto"/>
        <w:bottom w:val="none" w:sz="0" w:space="0" w:color="auto"/>
        <w:right w:val="none" w:sz="0" w:space="0" w:color="auto"/>
      </w:divBdr>
    </w:div>
    <w:div w:id="165440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23904-09BE-4425-BA08-763BB9CAD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1040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ES - Establish</vt:lpstr>
    </vt:vector>
  </TitlesOfParts>
  <Company>Finance</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Establish</dc:title>
  <dc:creator>Ravendran, Sangita</dc:creator>
  <cp:lastModifiedBy>Pan, Melissa</cp:lastModifiedBy>
  <cp:revision>11</cp:revision>
  <cp:lastPrinted>2020-02-10T22:07:00Z</cp:lastPrinted>
  <dcterms:created xsi:type="dcterms:W3CDTF">2020-07-22T06:51:00Z</dcterms:created>
  <dcterms:modified xsi:type="dcterms:W3CDTF">2020-08-17T03:40:00Z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y fmtid="{D5CDD505-2E9C-101B-9397-08002B2CF9AE}" pid="6" name="WSFooter">
    <vt:lpwstr>37841261</vt:lpwstr>
  </property>
</Properties>
</file>