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03" w:rsidRPr="0063263D" w:rsidRDefault="001A1903" w:rsidP="00664A2D">
      <w:pPr>
        <w:pStyle w:val="Heading5"/>
        <w:tabs>
          <w:tab w:val="left" w:pos="2127"/>
        </w:tabs>
        <w:ind w:left="0" w:firstLine="0"/>
        <w:jc w:val="center"/>
        <w:rPr>
          <w:sz w:val="28"/>
          <w:szCs w:val="28"/>
        </w:rPr>
      </w:pPr>
      <w:r w:rsidRPr="0063263D">
        <w:rPr>
          <w:sz w:val="28"/>
          <w:szCs w:val="28"/>
        </w:rPr>
        <w:t>EXPLANATORY STATEMENT</w:t>
      </w:r>
    </w:p>
    <w:p w:rsidR="001A1903" w:rsidRPr="00554CD9" w:rsidRDefault="001A1903" w:rsidP="00664A2D">
      <w:pPr>
        <w:jc w:val="center"/>
        <w:rPr>
          <w:color w:val="000000"/>
          <w:sz w:val="28"/>
          <w:szCs w:val="28"/>
        </w:rPr>
      </w:pPr>
    </w:p>
    <w:p w:rsidR="00DD2B0D" w:rsidRPr="00554CD9" w:rsidRDefault="00DD2B0D" w:rsidP="00554CD9">
      <w:pPr>
        <w:pStyle w:val="Footer"/>
        <w:rPr>
          <w:sz w:val="28"/>
          <w:szCs w:val="28"/>
          <w:u w:val="single"/>
        </w:rPr>
      </w:pPr>
      <w:bookmarkStart w:id="0" w:name="OLE_LINK2"/>
      <w:bookmarkStart w:id="1" w:name="OLE_LINK1"/>
      <w:bookmarkStart w:id="2" w:name="OLE_LINK3"/>
      <w:r w:rsidRPr="00554CD9">
        <w:rPr>
          <w:b/>
          <w:sz w:val="28"/>
          <w:szCs w:val="28"/>
        </w:rPr>
        <w:t>Veterans’ Affairs Pharmaceutical Benefits Schemes</w:t>
      </w:r>
      <w:r w:rsidR="008818F3" w:rsidRPr="00554CD9">
        <w:rPr>
          <w:b/>
          <w:sz w:val="28"/>
          <w:szCs w:val="28"/>
        </w:rPr>
        <w:t xml:space="preserve"> </w:t>
      </w:r>
      <w:r w:rsidR="00801217">
        <w:rPr>
          <w:b/>
          <w:sz w:val="28"/>
          <w:szCs w:val="28"/>
        </w:rPr>
        <w:t>Amendment Determination</w:t>
      </w:r>
      <w:r w:rsidRPr="00554CD9">
        <w:rPr>
          <w:b/>
          <w:sz w:val="28"/>
          <w:szCs w:val="28"/>
        </w:rPr>
        <w:t xml:space="preserve"> 20</w:t>
      </w:r>
      <w:r w:rsidR="00801217">
        <w:rPr>
          <w:b/>
          <w:sz w:val="28"/>
          <w:szCs w:val="28"/>
        </w:rPr>
        <w:t>20</w:t>
      </w:r>
      <w:r w:rsidRPr="00554CD9">
        <w:rPr>
          <w:b/>
          <w:sz w:val="28"/>
          <w:szCs w:val="28"/>
        </w:rPr>
        <w:t xml:space="preserve"> </w:t>
      </w:r>
      <w:r w:rsidR="00554CD9" w:rsidRPr="00554CD9">
        <w:rPr>
          <w:sz w:val="28"/>
          <w:szCs w:val="28"/>
        </w:rPr>
        <w:t>(</w:t>
      </w:r>
      <w:r w:rsidR="00554CD9" w:rsidRPr="00554CD9">
        <w:rPr>
          <w:sz w:val="28"/>
          <w:szCs w:val="28"/>
          <w:u w:val="single"/>
        </w:rPr>
        <w:t>Instrument 20</w:t>
      </w:r>
      <w:r w:rsidR="00801217">
        <w:rPr>
          <w:sz w:val="28"/>
          <w:szCs w:val="28"/>
          <w:u w:val="single"/>
        </w:rPr>
        <w:t>20</w:t>
      </w:r>
      <w:r w:rsidR="00554CD9" w:rsidRPr="00554CD9">
        <w:rPr>
          <w:sz w:val="28"/>
          <w:szCs w:val="28"/>
          <w:u w:val="single"/>
        </w:rPr>
        <w:t xml:space="preserve"> No. R</w:t>
      </w:r>
      <w:r w:rsidR="00801217">
        <w:rPr>
          <w:sz w:val="28"/>
          <w:szCs w:val="28"/>
          <w:u w:val="single"/>
        </w:rPr>
        <w:t>21</w:t>
      </w:r>
      <w:r w:rsidR="00554CD9" w:rsidRPr="00554CD9">
        <w:rPr>
          <w:sz w:val="28"/>
          <w:szCs w:val="28"/>
          <w:u w:val="single"/>
        </w:rPr>
        <w:t>/MRCC</w:t>
      </w:r>
      <w:r w:rsidR="00801217">
        <w:rPr>
          <w:sz w:val="28"/>
          <w:szCs w:val="28"/>
          <w:u w:val="single"/>
        </w:rPr>
        <w:t>21</w:t>
      </w:r>
      <w:r w:rsidRPr="00DD2B0D">
        <w:t>)</w:t>
      </w:r>
    </w:p>
    <w:bookmarkEnd w:id="0"/>
    <w:bookmarkEnd w:id="1"/>
    <w:bookmarkEnd w:id="2"/>
    <w:p w:rsidR="001A1903" w:rsidRDefault="001A1903">
      <w:pPr>
        <w:rPr>
          <w:b/>
          <w:color w:val="000000"/>
          <w:sz w:val="28"/>
        </w:rPr>
      </w:pPr>
    </w:p>
    <w:p w:rsidR="001A1903" w:rsidRPr="0063263D" w:rsidRDefault="001A1903" w:rsidP="00571D8A">
      <w:pPr>
        <w:spacing w:after="240"/>
        <w:rPr>
          <w:b/>
          <w:color w:val="000000"/>
          <w:sz w:val="24"/>
          <w:szCs w:val="24"/>
        </w:rPr>
      </w:pPr>
      <w:r w:rsidRPr="0063263D">
        <w:rPr>
          <w:b/>
          <w:color w:val="000000"/>
          <w:sz w:val="24"/>
          <w:szCs w:val="24"/>
        </w:rPr>
        <w:t>EMPOWERING PROVISION</w:t>
      </w:r>
      <w:r w:rsidR="00783E9C" w:rsidRPr="0063263D">
        <w:rPr>
          <w:b/>
          <w:color w:val="000000"/>
          <w:sz w:val="24"/>
          <w:szCs w:val="24"/>
        </w:rPr>
        <w:t>S</w:t>
      </w:r>
    </w:p>
    <w:p w:rsidR="00412BF5" w:rsidRPr="00155CD7" w:rsidRDefault="00783E9C" w:rsidP="00571D8A">
      <w:pPr>
        <w:ind w:right="-285"/>
      </w:pPr>
      <w:r>
        <w:rPr>
          <w:color w:val="000000"/>
          <w:sz w:val="24"/>
          <w:szCs w:val="24"/>
        </w:rPr>
        <w:t>Subs</w:t>
      </w:r>
      <w:r w:rsidR="001A1903" w:rsidRPr="00783E9C">
        <w:rPr>
          <w:color w:val="000000"/>
          <w:sz w:val="24"/>
          <w:szCs w:val="24"/>
        </w:rPr>
        <w:t>ection 9</w:t>
      </w:r>
      <w:r w:rsidR="00EE091C" w:rsidRPr="00783E9C">
        <w:rPr>
          <w:color w:val="000000"/>
          <w:sz w:val="24"/>
          <w:szCs w:val="24"/>
        </w:rPr>
        <w:t>1</w:t>
      </w:r>
      <w:r w:rsidRPr="00783E9C">
        <w:rPr>
          <w:color w:val="000000"/>
          <w:sz w:val="24"/>
          <w:szCs w:val="24"/>
        </w:rPr>
        <w:t>(3)</w:t>
      </w:r>
      <w:r w:rsidR="001A1903" w:rsidRPr="00783E9C">
        <w:rPr>
          <w:color w:val="000000"/>
          <w:sz w:val="24"/>
          <w:szCs w:val="24"/>
        </w:rPr>
        <w:t xml:space="preserve"> of the</w:t>
      </w:r>
      <w:r w:rsidR="001A1903" w:rsidRPr="00783E9C">
        <w:rPr>
          <w:i/>
          <w:color w:val="000000"/>
          <w:sz w:val="24"/>
          <w:szCs w:val="24"/>
        </w:rPr>
        <w:t xml:space="preserve"> Veterans’ Entitlements Act 1986</w:t>
      </w:r>
      <w:r w:rsidR="001A1903" w:rsidRPr="00783E9C">
        <w:rPr>
          <w:color w:val="000000"/>
          <w:sz w:val="24"/>
          <w:szCs w:val="24"/>
        </w:rPr>
        <w:t xml:space="preserve"> </w:t>
      </w:r>
      <w:r w:rsidR="009E74E3">
        <w:rPr>
          <w:color w:val="000000"/>
          <w:sz w:val="24"/>
          <w:szCs w:val="24"/>
        </w:rPr>
        <w:t>(VEA</w:t>
      </w:r>
      <w:r w:rsidR="009E74E3" w:rsidRPr="00A43DE5">
        <w:rPr>
          <w:color w:val="000000"/>
          <w:sz w:val="24"/>
          <w:szCs w:val="24"/>
        </w:rPr>
        <w:t xml:space="preserve">) </w:t>
      </w:r>
      <w:r w:rsidR="00A2692E" w:rsidRPr="00A43DE5">
        <w:rPr>
          <w:sz w:val="24"/>
          <w:szCs w:val="24"/>
        </w:rPr>
        <w:t>and</w:t>
      </w:r>
      <w:r w:rsidR="00A2692E">
        <w:t xml:space="preserve"> </w:t>
      </w:r>
      <w:r w:rsidR="00A2692E">
        <w:rPr>
          <w:color w:val="000000"/>
          <w:sz w:val="24"/>
          <w:szCs w:val="24"/>
        </w:rPr>
        <w:t>s</w:t>
      </w:r>
      <w:r>
        <w:rPr>
          <w:color w:val="000000"/>
          <w:sz w:val="24"/>
          <w:szCs w:val="24"/>
        </w:rPr>
        <w:t>ubs</w:t>
      </w:r>
      <w:r w:rsidRPr="00783E9C">
        <w:rPr>
          <w:color w:val="000000"/>
          <w:sz w:val="24"/>
          <w:szCs w:val="24"/>
        </w:rPr>
        <w:t xml:space="preserve">ection 286(3) of the </w:t>
      </w:r>
      <w:r w:rsidRPr="00B153F5">
        <w:rPr>
          <w:i/>
          <w:color w:val="000000"/>
          <w:sz w:val="24"/>
          <w:szCs w:val="24"/>
        </w:rPr>
        <w:t>Military Rehabilitation and Compensation Act 2004</w:t>
      </w:r>
      <w:r w:rsidR="00412BF5">
        <w:rPr>
          <w:color w:val="000000"/>
          <w:sz w:val="24"/>
          <w:szCs w:val="24"/>
        </w:rPr>
        <w:t xml:space="preserve"> (MRCA)</w:t>
      </w:r>
      <w:r w:rsidR="00A2692E">
        <w:rPr>
          <w:color w:val="000000"/>
          <w:sz w:val="24"/>
          <w:szCs w:val="24"/>
        </w:rPr>
        <w:t>.</w:t>
      </w:r>
    </w:p>
    <w:p w:rsidR="00783E9C" w:rsidRPr="00783E9C" w:rsidRDefault="00783E9C">
      <w:pPr>
        <w:rPr>
          <w:b/>
          <w:color w:val="000000"/>
          <w:sz w:val="28"/>
        </w:rPr>
      </w:pPr>
    </w:p>
    <w:p w:rsidR="001A1903" w:rsidRPr="0063263D" w:rsidRDefault="001A1903" w:rsidP="00571D8A">
      <w:pPr>
        <w:spacing w:after="240"/>
        <w:rPr>
          <w:b/>
          <w:color w:val="000000"/>
          <w:sz w:val="24"/>
          <w:szCs w:val="24"/>
        </w:rPr>
      </w:pPr>
      <w:r w:rsidRPr="0063263D">
        <w:rPr>
          <w:b/>
          <w:color w:val="000000"/>
          <w:sz w:val="24"/>
          <w:szCs w:val="24"/>
        </w:rPr>
        <w:t>PURPOSE</w:t>
      </w:r>
    </w:p>
    <w:p w:rsidR="005524C0" w:rsidRDefault="001A1903" w:rsidP="005524C0">
      <w:pPr>
        <w:spacing w:after="120"/>
        <w:ind w:right="-285"/>
        <w:rPr>
          <w:sz w:val="24"/>
          <w:szCs w:val="24"/>
        </w:rPr>
      </w:pPr>
      <w:r w:rsidRPr="00B62AAA">
        <w:rPr>
          <w:color w:val="000000"/>
          <w:sz w:val="24"/>
          <w:szCs w:val="24"/>
        </w:rPr>
        <w:t xml:space="preserve">The attached instrument </w:t>
      </w:r>
      <w:r w:rsidRPr="0052240B">
        <w:rPr>
          <w:color w:val="000000"/>
          <w:sz w:val="24"/>
          <w:szCs w:val="24"/>
        </w:rPr>
        <w:t>(</w:t>
      </w:r>
      <w:r w:rsidR="00124ABA">
        <w:rPr>
          <w:sz w:val="24"/>
          <w:szCs w:val="24"/>
        </w:rPr>
        <w:t>Instrument 2019 No. R44/MRCC44</w:t>
      </w:r>
      <w:r w:rsidR="0052240B" w:rsidRPr="0052240B">
        <w:rPr>
          <w:sz w:val="24"/>
          <w:szCs w:val="24"/>
        </w:rPr>
        <w:t>)</w:t>
      </w:r>
      <w:r w:rsidR="00B153F5">
        <w:rPr>
          <w:color w:val="000000"/>
          <w:sz w:val="24"/>
          <w:szCs w:val="24"/>
        </w:rPr>
        <w:t xml:space="preserve"> </w:t>
      </w:r>
      <w:r w:rsidR="005524C0">
        <w:rPr>
          <w:color w:val="000000"/>
          <w:sz w:val="24"/>
          <w:szCs w:val="24"/>
        </w:rPr>
        <w:t xml:space="preserve">amends </w:t>
      </w:r>
      <w:r w:rsidRPr="00B62AAA">
        <w:rPr>
          <w:color w:val="000000"/>
          <w:sz w:val="24"/>
          <w:szCs w:val="24"/>
        </w:rPr>
        <w:t xml:space="preserve">the </w:t>
      </w:r>
      <w:r w:rsidR="00EE091C" w:rsidRPr="00B62AAA">
        <w:rPr>
          <w:i/>
          <w:color w:val="000000"/>
          <w:sz w:val="24"/>
          <w:szCs w:val="24"/>
        </w:rPr>
        <w:t>Repatriation Pharmaceutical Benefits Scheme</w:t>
      </w:r>
      <w:r w:rsidR="00783E9C" w:rsidRPr="00B62AAA">
        <w:rPr>
          <w:color w:val="000000"/>
          <w:sz w:val="24"/>
          <w:szCs w:val="24"/>
        </w:rPr>
        <w:t xml:space="preserve"> under the VEA</w:t>
      </w:r>
      <w:r w:rsidR="00834A3E">
        <w:rPr>
          <w:color w:val="000000"/>
          <w:sz w:val="24"/>
          <w:szCs w:val="24"/>
        </w:rPr>
        <w:t xml:space="preserve"> (RPBS)</w:t>
      </w:r>
      <w:r w:rsidR="002535B9">
        <w:rPr>
          <w:color w:val="000000"/>
          <w:sz w:val="24"/>
          <w:szCs w:val="24"/>
        </w:rPr>
        <w:t xml:space="preserve"> and the</w:t>
      </w:r>
      <w:r w:rsidR="005524C0">
        <w:rPr>
          <w:color w:val="000000"/>
          <w:sz w:val="24"/>
          <w:szCs w:val="24"/>
        </w:rPr>
        <w:t xml:space="preserve"> </w:t>
      </w:r>
      <w:r w:rsidR="0029761F" w:rsidRPr="00B62AAA">
        <w:rPr>
          <w:i/>
          <w:color w:val="000000"/>
          <w:sz w:val="24"/>
          <w:szCs w:val="24"/>
        </w:rPr>
        <w:t>MRCA Pharmaceutical Benefits Scheme</w:t>
      </w:r>
      <w:r w:rsidR="00024F40">
        <w:rPr>
          <w:color w:val="000000"/>
          <w:sz w:val="24"/>
          <w:szCs w:val="24"/>
        </w:rPr>
        <w:t xml:space="preserve"> under the MRCA</w:t>
      </w:r>
      <w:r w:rsidR="005524C0">
        <w:rPr>
          <w:color w:val="000000"/>
          <w:sz w:val="24"/>
          <w:szCs w:val="24"/>
        </w:rPr>
        <w:t xml:space="preserve"> (M</w:t>
      </w:r>
      <w:r w:rsidR="00377C8F">
        <w:rPr>
          <w:color w:val="000000"/>
          <w:sz w:val="24"/>
          <w:szCs w:val="24"/>
        </w:rPr>
        <w:t xml:space="preserve">RCA </w:t>
      </w:r>
      <w:r w:rsidR="005524C0">
        <w:rPr>
          <w:color w:val="000000"/>
          <w:sz w:val="24"/>
          <w:szCs w:val="24"/>
        </w:rPr>
        <w:t>PBS) (</w:t>
      </w:r>
      <w:r w:rsidR="005524C0">
        <w:rPr>
          <w:sz w:val="24"/>
          <w:szCs w:val="24"/>
        </w:rPr>
        <w:t>the Schemes</w:t>
      </w:r>
      <w:r w:rsidR="0029761F" w:rsidRPr="00B62AAA">
        <w:rPr>
          <w:sz w:val="24"/>
          <w:szCs w:val="24"/>
        </w:rPr>
        <w:t>).</w:t>
      </w:r>
    </w:p>
    <w:p w:rsidR="002370A4" w:rsidRDefault="001A1903" w:rsidP="005524C0">
      <w:pPr>
        <w:spacing w:after="120"/>
        <w:ind w:right="-285"/>
        <w:rPr>
          <w:snapToGrid w:val="0"/>
          <w:lang w:eastAsia="en-US"/>
        </w:rPr>
      </w:pPr>
      <w:r w:rsidRPr="00B62AAA">
        <w:rPr>
          <w:snapToGrid w:val="0"/>
          <w:color w:val="000000"/>
          <w:sz w:val="24"/>
          <w:szCs w:val="24"/>
          <w:lang w:eastAsia="en-US"/>
        </w:rPr>
        <w:t xml:space="preserve">The </w:t>
      </w:r>
      <w:r w:rsidR="00EE091C" w:rsidRPr="00B62AAA">
        <w:rPr>
          <w:snapToGrid w:val="0"/>
          <w:color w:val="000000"/>
          <w:sz w:val="24"/>
          <w:szCs w:val="24"/>
          <w:lang w:eastAsia="en-US"/>
        </w:rPr>
        <w:t>Scheme</w:t>
      </w:r>
      <w:r w:rsidR="00783E9C" w:rsidRPr="00B62AAA">
        <w:rPr>
          <w:snapToGrid w:val="0"/>
          <w:color w:val="000000"/>
          <w:sz w:val="24"/>
          <w:szCs w:val="24"/>
          <w:lang w:eastAsia="en-US"/>
        </w:rPr>
        <w:t>s</w:t>
      </w:r>
      <w:r w:rsidR="00D5160E" w:rsidRPr="00B62AAA">
        <w:rPr>
          <w:snapToGrid w:val="0"/>
          <w:color w:val="000000"/>
          <w:sz w:val="24"/>
          <w:szCs w:val="24"/>
          <w:lang w:eastAsia="en-US"/>
        </w:rPr>
        <w:t xml:space="preserve"> </w:t>
      </w:r>
      <w:r w:rsidR="00783E9C" w:rsidRPr="00B62AAA">
        <w:rPr>
          <w:snapToGrid w:val="0"/>
          <w:color w:val="000000"/>
          <w:sz w:val="24"/>
          <w:szCs w:val="24"/>
          <w:lang w:eastAsia="en-US"/>
        </w:rPr>
        <w:t>are</w:t>
      </w:r>
      <w:r w:rsidRPr="00B62AAA">
        <w:rPr>
          <w:snapToGrid w:val="0"/>
          <w:color w:val="000000"/>
          <w:sz w:val="24"/>
          <w:szCs w:val="24"/>
          <w:lang w:eastAsia="en-US"/>
        </w:rPr>
        <w:t xml:space="preserve"> </w:t>
      </w:r>
      <w:r w:rsidR="00377C8F">
        <w:rPr>
          <w:snapToGrid w:val="0"/>
          <w:color w:val="000000"/>
          <w:sz w:val="24"/>
          <w:szCs w:val="24"/>
          <w:lang w:eastAsia="en-US"/>
        </w:rPr>
        <w:t xml:space="preserve">provided under </w:t>
      </w:r>
      <w:r w:rsidRPr="00B62AAA">
        <w:rPr>
          <w:snapToGrid w:val="0"/>
          <w:color w:val="000000"/>
          <w:sz w:val="24"/>
          <w:szCs w:val="24"/>
          <w:lang w:eastAsia="en-US"/>
        </w:rPr>
        <w:t xml:space="preserve">legislative </w:t>
      </w:r>
      <w:r w:rsidR="00EE091C" w:rsidRPr="00B62AAA">
        <w:rPr>
          <w:snapToGrid w:val="0"/>
          <w:color w:val="000000"/>
          <w:sz w:val="24"/>
          <w:szCs w:val="24"/>
          <w:lang w:eastAsia="en-US"/>
        </w:rPr>
        <w:t>instrument</w:t>
      </w:r>
      <w:r w:rsidR="00783E9C" w:rsidRPr="00B62AAA">
        <w:rPr>
          <w:snapToGrid w:val="0"/>
          <w:color w:val="000000"/>
          <w:sz w:val="24"/>
          <w:szCs w:val="24"/>
          <w:lang w:eastAsia="en-US"/>
        </w:rPr>
        <w:t>s</w:t>
      </w:r>
      <w:r w:rsidR="00DC76EA" w:rsidRPr="00B62AAA">
        <w:rPr>
          <w:snapToGrid w:val="0"/>
          <w:color w:val="000000"/>
          <w:sz w:val="24"/>
          <w:szCs w:val="24"/>
          <w:lang w:eastAsia="en-US"/>
        </w:rPr>
        <w:t xml:space="preserve"> </w:t>
      </w:r>
      <w:r w:rsidR="0065087C">
        <w:rPr>
          <w:snapToGrid w:val="0"/>
          <w:color w:val="000000"/>
          <w:sz w:val="24"/>
          <w:szCs w:val="24"/>
          <w:lang w:eastAsia="en-US"/>
        </w:rPr>
        <w:t xml:space="preserve">that </w:t>
      </w:r>
      <w:r w:rsidRPr="00B62AAA">
        <w:rPr>
          <w:snapToGrid w:val="0"/>
          <w:color w:val="000000"/>
          <w:sz w:val="24"/>
          <w:szCs w:val="24"/>
          <w:lang w:eastAsia="en-US"/>
        </w:rPr>
        <w:t xml:space="preserve">set out the circumstances in which the Repatriation Commission </w:t>
      </w:r>
      <w:r w:rsidR="00BB7102" w:rsidRPr="00B62AAA">
        <w:rPr>
          <w:snapToGrid w:val="0"/>
          <w:color w:val="000000"/>
          <w:sz w:val="24"/>
          <w:szCs w:val="24"/>
          <w:lang w:eastAsia="en-US"/>
        </w:rPr>
        <w:t>and</w:t>
      </w:r>
      <w:r w:rsidR="00DC76EA" w:rsidRPr="00B62AAA">
        <w:rPr>
          <w:snapToGrid w:val="0"/>
          <w:color w:val="000000"/>
          <w:sz w:val="24"/>
          <w:szCs w:val="24"/>
          <w:lang w:eastAsia="en-US"/>
        </w:rPr>
        <w:t xml:space="preserve"> the Military Rehabilitation and Compensation Commission </w:t>
      </w:r>
      <w:r w:rsidRPr="00B62AAA">
        <w:rPr>
          <w:snapToGrid w:val="0"/>
          <w:color w:val="000000"/>
          <w:sz w:val="24"/>
          <w:szCs w:val="24"/>
          <w:lang w:eastAsia="en-US"/>
        </w:rPr>
        <w:t>(</w:t>
      </w:r>
      <w:r w:rsidR="00DC76EA" w:rsidRPr="00B62AAA">
        <w:rPr>
          <w:snapToGrid w:val="0"/>
          <w:color w:val="000000"/>
          <w:sz w:val="24"/>
          <w:szCs w:val="24"/>
          <w:lang w:eastAsia="en-US"/>
        </w:rPr>
        <w:t xml:space="preserve">the </w:t>
      </w:r>
      <w:r w:rsidRPr="00B62AAA">
        <w:rPr>
          <w:snapToGrid w:val="0"/>
          <w:color w:val="000000"/>
          <w:sz w:val="24"/>
          <w:szCs w:val="24"/>
          <w:lang w:eastAsia="en-US"/>
        </w:rPr>
        <w:t>Commission</w:t>
      </w:r>
      <w:r w:rsidR="00DC76EA" w:rsidRPr="00B62AAA">
        <w:rPr>
          <w:snapToGrid w:val="0"/>
          <w:color w:val="000000"/>
          <w:sz w:val="24"/>
          <w:szCs w:val="24"/>
          <w:lang w:eastAsia="en-US"/>
        </w:rPr>
        <w:t>s</w:t>
      </w:r>
      <w:r w:rsidRPr="00B62AAA">
        <w:rPr>
          <w:snapToGrid w:val="0"/>
          <w:color w:val="000000"/>
          <w:sz w:val="24"/>
          <w:szCs w:val="24"/>
          <w:lang w:eastAsia="en-US"/>
        </w:rPr>
        <w:t xml:space="preserve">) </w:t>
      </w:r>
      <w:r w:rsidR="00FB2897" w:rsidRPr="00B62AAA">
        <w:rPr>
          <w:snapToGrid w:val="0"/>
          <w:color w:val="000000"/>
          <w:sz w:val="24"/>
          <w:szCs w:val="24"/>
          <w:lang w:eastAsia="en-US"/>
        </w:rPr>
        <w:t xml:space="preserve">arrange for </w:t>
      </w:r>
      <w:r w:rsidR="00EE091C" w:rsidRPr="00B62AAA">
        <w:rPr>
          <w:snapToGrid w:val="0"/>
          <w:color w:val="000000"/>
          <w:sz w:val="24"/>
          <w:szCs w:val="24"/>
          <w:lang w:eastAsia="en-US"/>
        </w:rPr>
        <w:t xml:space="preserve">pharmaceutical benefits </w:t>
      </w:r>
      <w:r w:rsidR="00FB2897" w:rsidRPr="00B62AAA">
        <w:rPr>
          <w:snapToGrid w:val="0"/>
          <w:color w:val="000000"/>
          <w:sz w:val="24"/>
          <w:szCs w:val="24"/>
          <w:lang w:eastAsia="en-US"/>
        </w:rPr>
        <w:t xml:space="preserve">to be </w:t>
      </w:r>
      <w:r w:rsidRPr="00B62AAA">
        <w:rPr>
          <w:snapToGrid w:val="0"/>
          <w:color w:val="000000"/>
          <w:sz w:val="24"/>
          <w:szCs w:val="24"/>
          <w:lang w:eastAsia="en-US"/>
        </w:rPr>
        <w:t xml:space="preserve">provided to </w:t>
      </w:r>
      <w:r w:rsidRPr="00B62AAA">
        <w:rPr>
          <w:color w:val="000000"/>
          <w:sz w:val="24"/>
          <w:szCs w:val="24"/>
        </w:rPr>
        <w:t>veterans</w:t>
      </w:r>
      <w:r w:rsidR="00DC76EA" w:rsidRPr="00B62AAA">
        <w:rPr>
          <w:color w:val="000000"/>
          <w:sz w:val="24"/>
          <w:szCs w:val="24"/>
        </w:rPr>
        <w:t>, members (including former members) of the Defence Force,</w:t>
      </w:r>
      <w:r w:rsidRPr="00B62AAA">
        <w:rPr>
          <w:color w:val="000000"/>
          <w:sz w:val="24"/>
          <w:szCs w:val="24"/>
        </w:rPr>
        <w:t xml:space="preserve"> or their dependants</w:t>
      </w:r>
      <w:r w:rsidR="001C5F03" w:rsidRPr="00B62AAA">
        <w:rPr>
          <w:color w:val="000000"/>
          <w:sz w:val="24"/>
          <w:szCs w:val="24"/>
        </w:rPr>
        <w:t xml:space="preserve"> </w:t>
      </w:r>
      <w:r w:rsidR="00D84E69" w:rsidRPr="00B62AAA">
        <w:rPr>
          <w:color w:val="000000"/>
          <w:sz w:val="24"/>
          <w:szCs w:val="24"/>
        </w:rPr>
        <w:t>at a concessional rate</w:t>
      </w:r>
      <w:r w:rsidRPr="00B62AAA">
        <w:rPr>
          <w:snapToGrid w:val="0"/>
          <w:color w:val="000000"/>
          <w:sz w:val="24"/>
          <w:szCs w:val="24"/>
          <w:lang w:eastAsia="en-US"/>
        </w:rPr>
        <w:t>.</w:t>
      </w:r>
      <w:r w:rsidR="002370A4">
        <w:rPr>
          <w:snapToGrid w:val="0"/>
          <w:color w:val="000000"/>
          <w:sz w:val="24"/>
          <w:szCs w:val="24"/>
          <w:lang w:eastAsia="en-US"/>
        </w:rPr>
        <w:t xml:space="preserve"> </w:t>
      </w:r>
    </w:p>
    <w:p w:rsidR="002370A4" w:rsidRPr="008F158E" w:rsidRDefault="00377C8F" w:rsidP="008F158E">
      <w:pPr>
        <w:spacing w:before="240"/>
        <w:ind w:right="-285"/>
        <w:rPr>
          <w:sz w:val="24"/>
          <w:szCs w:val="24"/>
        </w:rPr>
      </w:pPr>
      <w:r>
        <w:rPr>
          <w:sz w:val="24"/>
          <w:szCs w:val="24"/>
        </w:rPr>
        <w:t xml:space="preserve">The Schemes include all of the pharmaceutical benefits </w:t>
      </w:r>
      <w:r w:rsidR="002370A4" w:rsidRPr="008F158E">
        <w:rPr>
          <w:sz w:val="24"/>
          <w:szCs w:val="24"/>
        </w:rPr>
        <w:t xml:space="preserve">available to the general community under the </w:t>
      </w:r>
      <w:r w:rsidR="0011203B">
        <w:rPr>
          <w:sz w:val="24"/>
          <w:szCs w:val="24"/>
        </w:rPr>
        <w:t xml:space="preserve">Schedule of </w:t>
      </w:r>
      <w:r w:rsidR="002370A4" w:rsidRPr="008F158E">
        <w:rPr>
          <w:sz w:val="24"/>
          <w:szCs w:val="24"/>
        </w:rPr>
        <w:t xml:space="preserve">Pharmaceutical Benefits </w:t>
      </w:r>
      <w:r w:rsidR="0011203B">
        <w:rPr>
          <w:sz w:val="24"/>
          <w:szCs w:val="24"/>
        </w:rPr>
        <w:t xml:space="preserve">(the </w:t>
      </w:r>
      <w:r w:rsidR="002370A4" w:rsidRPr="008F158E">
        <w:rPr>
          <w:sz w:val="24"/>
          <w:szCs w:val="24"/>
        </w:rPr>
        <w:t>PBS</w:t>
      </w:r>
      <w:r w:rsidR="0011203B">
        <w:rPr>
          <w:sz w:val="24"/>
          <w:szCs w:val="24"/>
        </w:rPr>
        <w:t>)</w:t>
      </w:r>
      <w:r w:rsidR="002370A4" w:rsidRPr="008F158E">
        <w:rPr>
          <w:sz w:val="24"/>
          <w:szCs w:val="24"/>
        </w:rPr>
        <w:t xml:space="preserve"> as well as </w:t>
      </w:r>
      <w:r w:rsidR="0011203B">
        <w:rPr>
          <w:sz w:val="24"/>
          <w:szCs w:val="24"/>
        </w:rPr>
        <w:t xml:space="preserve">the </w:t>
      </w:r>
      <w:r>
        <w:rPr>
          <w:sz w:val="24"/>
          <w:szCs w:val="24"/>
        </w:rPr>
        <w:t xml:space="preserve">additional items </w:t>
      </w:r>
      <w:r w:rsidR="002370A4" w:rsidRPr="008F158E">
        <w:rPr>
          <w:sz w:val="24"/>
          <w:szCs w:val="24"/>
        </w:rPr>
        <w:t>separate</w:t>
      </w:r>
      <w:r>
        <w:rPr>
          <w:sz w:val="24"/>
          <w:szCs w:val="24"/>
        </w:rPr>
        <w:t>ly</w:t>
      </w:r>
      <w:r w:rsidR="002370A4" w:rsidRPr="008F158E">
        <w:rPr>
          <w:sz w:val="24"/>
          <w:szCs w:val="24"/>
        </w:rPr>
        <w:t xml:space="preserve"> list</w:t>
      </w:r>
      <w:r>
        <w:rPr>
          <w:sz w:val="24"/>
          <w:szCs w:val="24"/>
        </w:rPr>
        <w:t>ed</w:t>
      </w:r>
      <w:r w:rsidR="002370A4" w:rsidRPr="008F158E">
        <w:rPr>
          <w:sz w:val="24"/>
          <w:szCs w:val="24"/>
        </w:rPr>
        <w:t xml:space="preserve"> </w:t>
      </w:r>
      <w:r w:rsidR="0011203B">
        <w:rPr>
          <w:sz w:val="24"/>
          <w:szCs w:val="24"/>
        </w:rPr>
        <w:t xml:space="preserve">under the </w:t>
      </w:r>
      <w:r w:rsidR="006C26AF">
        <w:rPr>
          <w:sz w:val="24"/>
          <w:szCs w:val="24"/>
        </w:rPr>
        <w:t>“</w:t>
      </w:r>
      <w:r w:rsidR="00EB4DFA" w:rsidRPr="00EB4DFA">
        <w:rPr>
          <w:sz w:val="24"/>
          <w:szCs w:val="24"/>
        </w:rPr>
        <w:t>Repatriation Schedule of Pharmaceutical Benefits</w:t>
      </w:r>
      <w:r w:rsidR="006C26AF">
        <w:rPr>
          <w:sz w:val="24"/>
          <w:szCs w:val="24"/>
        </w:rPr>
        <w:t>”</w:t>
      </w:r>
      <w:r w:rsidR="0011203B">
        <w:rPr>
          <w:sz w:val="24"/>
          <w:szCs w:val="24"/>
        </w:rPr>
        <w:t xml:space="preserve"> </w:t>
      </w:r>
      <w:r w:rsidR="00EB4DFA">
        <w:rPr>
          <w:sz w:val="24"/>
          <w:szCs w:val="24"/>
        </w:rPr>
        <w:t xml:space="preserve">(RSPB) </w:t>
      </w:r>
      <w:r w:rsidR="0011203B">
        <w:rPr>
          <w:sz w:val="24"/>
          <w:szCs w:val="24"/>
        </w:rPr>
        <w:t xml:space="preserve">section of the PBS </w:t>
      </w:r>
      <w:r w:rsidR="002370A4" w:rsidRPr="008F158E">
        <w:rPr>
          <w:sz w:val="24"/>
          <w:szCs w:val="24"/>
        </w:rPr>
        <w:t xml:space="preserve">that are </w:t>
      </w:r>
      <w:r>
        <w:rPr>
          <w:sz w:val="24"/>
          <w:szCs w:val="24"/>
        </w:rPr>
        <w:t xml:space="preserve">available to eligible </w:t>
      </w:r>
      <w:r w:rsidR="002370A4" w:rsidRPr="008F158E">
        <w:rPr>
          <w:sz w:val="24"/>
          <w:szCs w:val="24"/>
        </w:rPr>
        <w:t xml:space="preserve">clients of the Department of Veterans’ Affairs (DVA) at a concessional rate.  </w:t>
      </w:r>
    </w:p>
    <w:p w:rsidR="00F9355B" w:rsidRDefault="00D552E7" w:rsidP="008F158E">
      <w:pPr>
        <w:spacing w:before="240"/>
        <w:ind w:right="-285"/>
        <w:rPr>
          <w:sz w:val="24"/>
          <w:szCs w:val="24"/>
        </w:rPr>
      </w:pPr>
      <w:r w:rsidRPr="008F158E">
        <w:rPr>
          <w:sz w:val="24"/>
          <w:szCs w:val="24"/>
        </w:rPr>
        <w:t xml:space="preserve">The PBS </w:t>
      </w:r>
      <w:r w:rsidR="0011203B">
        <w:rPr>
          <w:sz w:val="24"/>
          <w:szCs w:val="24"/>
        </w:rPr>
        <w:t>(</w:t>
      </w:r>
      <w:r w:rsidR="006F7D72">
        <w:rPr>
          <w:sz w:val="24"/>
          <w:szCs w:val="24"/>
        </w:rPr>
        <w:t xml:space="preserve">with the exclusion of </w:t>
      </w:r>
      <w:r w:rsidR="0011203B">
        <w:rPr>
          <w:sz w:val="24"/>
          <w:szCs w:val="24"/>
        </w:rPr>
        <w:t xml:space="preserve">the </w:t>
      </w:r>
      <w:r w:rsidR="00EB4DFA">
        <w:rPr>
          <w:sz w:val="24"/>
          <w:szCs w:val="24"/>
        </w:rPr>
        <w:t>RSPB</w:t>
      </w:r>
      <w:r w:rsidR="006C26AF" w:rsidRPr="006C26AF">
        <w:rPr>
          <w:sz w:val="24"/>
          <w:szCs w:val="24"/>
        </w:rPr>
        <w:t xml:space="preserve"> </w:t>
      </w:r>
      <w:r w:rsidR="00E502F0">
        <w:rPr>
          <w:sz w:val="24"/>
          <w:szCs w:val="24"/>
        </w:rPr>
        <w:t>component</w:t>
      </w:r>
      <w:r w:rsidR="0011203B">
        <w:rPr>
          <w:sz w:val="24"/>
          <w:szCs w:val="24"/>
        </w:rPr>
        <w:t xml:space="preserve">) </w:t>
      </w:r>
      <w:r w:rsidRPr="008F158E">
        <w:rPr>
          <w:sz w:val="24"/>
          <w:szCs w:val="24"/>
        </w:rPr>
        <w:t xml:space="preserve">is established </w:t>
      </w:r>
      <w:r w:rsidR="00E502F0">
        <w:rPr>
          <w:sz w:val="24"/>
          <w:szCs w:val="24"/>
        </w:rPr>
        <w:t xml:space="preserve">by a legislative instrument made </w:t>
      </w:r>
      <w:r w:rsidRPr="008F158E">
        <w:rPr>
          <w:sz w:val="24"/>
          <w:szCs w:val="24"/>
        </w:rPr>
        <w:t xml:space="preserve">under </w:t>
      </w:r>
      <w:r w:rsidR="00E502F0">
        <w:rPr>
          <w:sz w:val="24"/>
          <w:szCs w:val="24"/>
        </w:rPr>
        <w:t xml:space="preserve">section 85 of </w:t>
      </w:r>
      <w:r w:rsidRPr="008F158E">
        <w:rPr>
          <w:sz w:val="24"/>
          <w:szCs w:val="24"/>
        </w:rPr>
        <w:t xml:space="preserve">the </w:t>
      </w:r>
      <w:r w:rsidRPr="008F158E">
        <w:rPr>
          <w:i/>
          <w:sz w:val="24"/>
          <w:szCs w:val="24"/>
        </w:rPr>
        <w:t xml:space="preserve">National Health Act 1953 </w:t>
      </w:r>
      <w:r w:rsidR="002075AE">
        <w:rPr>
          <w:sz w:val="24"/>
          <w:szCs w:val="24"/>
        </w:rPr>
        <w:t>(</w:t>
      </w:r>
      <w:r w:rsidR="008F158E">
        <w:rPr>
          <w:sz w:val="24"/>
          <w:szCs w:val="24"/>
        </w:rPr>
        <w:t>N</w:t>
      </w:r>
      <w:r w:rsidR="00EB4DFA">
        <w:rPr>
          <w:sz w:val="24"/>
          <w:szCs w:val="24"/>
        </w:rPr>
        <w:t xml:space="preserve">ational </w:t>
      </w:r>
      <w:r w:rsidR="008F158E">
        <w:rPr>
          <w:sz w:val="24"/>
          <w:szCs w:val="24"/>
        </w:rPr>
        <w:t>H</w:t>
      </w:r>
      <w:r w:rsidR="00EB4DFA">
        <w:rPr>
          <w:sz w:val="24"/>
          <w:szCs w:val="24"/>
        </w:rPr>
        <w:t xml:space="preserve">ealth </w:t>
      </w:r>
      <w:r w:rsidR="008F158E">
        <w:rPr>
          <w:sz w:val="24"/>
          <w:szCs w:val="24"/>
        </w:rPr>
        <w:t>A</w:t>
      </w:r>
      <w:r w:rsidR="00EB4DFA">
        <w:rPr>
          <w:sz w:val="24"/>
          <w:szCs w:val="24"/>
        </w:rPr>
        <w:t>ct</w:t>
      </w:r>
      <w:r w:rsidRPr="008F158E">
        <w:rPr>
          <w:sz w:val="24"/>
          <w:szCs w:val="24"/>
        </w:rPr>
        <w:t>) and provides Australians with timely, reliable and affordable access to necessary and cost-effective medicines.</w:t>
      </w:r>
      <w:r w:rsidR="008F158E">
        <w:rPr>
          <w:sz w:val="24"/>
          <w:szCs w:val="24"/>
        </w:rPr>
        <w:t xml:space="preserve"> </w:t>
      </w:r>
    </w:p>
    <w:p w:rsidR="006F7D72" w:rsidRDefault="006F7D72" w:rsidP="008F158E">
      <w:pPr>
        <w:spacing w:before="240"/>
        <w:ind w:right="-285"/>
        <w:rPr>
          <w:sz w:val="24"/>
          <w:szCs w:val="24"/>
        </w:rPr>
      </w:pPr>
      <w:r>
        <w:rPr>
          <w:sz w:val="24"/>
          <w:szCs w:val="24"/>
        </w:rPr>
        <w:t xml:space="preserve">The pharmaceutical benefits listed as items under the RSPB component of the PBS are those that have been recommended for inclusion by the </w:t>
      </w:r>
      <w:r w:rsidRPr="006F7D72">
        <w:rPr>
          <w:sz w:val="24"/>
          <w:szCs w:val="24"/>
        </w:rPr>
        <w:t>Repatriation Pharmaceutical Reference Committee</w:t>
      </w:r>
      <w:r>
        <w:rPr>
          <w:sz w:val="24"/>
          <w:szCs w:val="24"/>
        </w:rPr>
        <w:t>.</w:t>
      </w:r>
    </w:p>
    <w:p w:rsidR="00D552E7" w:rsidRDefault="008F158E" w:rsidP="008F158E">
      <w:pPr>
        <w:spacing w:before="240"/>
        <w:ind w:right="-285"/>
        <w:rPr>
          <w:sz w:val="24"/>
          <w:szCs w:val="24"/>
        </w:rPr>
      </w:pPr>
      <w:r>
        <w:rPr>
          <w:sz w:val="24"/>
          <w:szCs w:val="24"/>
        </w:rPr>
        <w:t xml:space="preserve">The </w:t>
      </w:r>
      <w:r w:rsidR="00EB4DFA" w:rsidRPr="00EB4DFA">
        <w:rPr>
          <w:sz w:val="24"/>
          <w:szCs w:val="24"/>
        </w:rPr>
        <w:t>National Health Act</w:t>
      </w:r>
      <w:r w:rsidR="00EB4DFA" w:rsidRPr="00EB4DFA" w:rsidDel="00EB4DFA">
        <w:rPr>
          <w:sz w:val="24"/>
          <w:szCs w:val="24"/>
        </w:rPr>
        <w:t xml:space="preserve"> </w:t>
      </w:r>
      <w:r w:rsidR="00D552E7" w:rsidRPr="008F158E">
        <w:rPr>
          <w:sz w:val="24"/>
          <w:szCs w:val="24"/>
        </w:rPr>
        <w:t xml:space="preserve">regulates the listing, prescribing, pricing, charging and payment of subsidies for </w:t>
      </w:r>
      <w:r w:rsidR="000F001D">
        <w:rPr>
          <w:sz w:val="24"/>
          <w:szCs w:val="24"/>
        </w:rPr>
        <w:t xml:space="preserve">the </w:t>
      </w:r>
      <w:r w:rsidR="00D552E7" w:rsidRPr="008F158E">
        <w:rPr>
          <w:sz w:val="24"/>
          <w:szCs w:val="24"/>
        </w:rPr>
        <w:t xml:space="preserve">supply of drugs and medicinal preparations as pharmaceutical benefits. </w:t>
      </w:r>
      <w:r w:rsidR="00A37DD8">
        <w:rPr>
          <w:sz w:val="24"/>
          <w:szCs w:val="24"/>
        </w:rPr>
        <w:t xml:space="preserve">The Department of Health administers the PBS under the </w:t>
      </w:r>
      <w:r w:rsidR="00EB4DFA" w:rsidRPr="00EB4DFA">
        <w:rPr>
          <w:sz w:val="24"/>
          <w:szCs w:val="24"/>
        </w:rPr>
        <w:t>National Health Act</w:t>
      </w:r>
      <w:r w:rsidR="00A37DD8">
        <w:rPr>
          <w:sz w:val="24"/>
          <w:szCs w:val="24"/>
        </w:rPr>
        <w:t xml:space="preserve">. </w:t>
      </w:r>
    </w:p>
    <w:p w:rsidR="00256091" w:rsidRPr="000C1B06" w:rsidRDefault="00256091" w:rsidP="008F158E">
      <w:pPr>
        <w:spacing w:before="240"/>
        <w:ind w:right="-285"/>
        <w:rPr>
          <w:i/>
          <w:sz w:val="24"/>
          <w:szCs w:val="24"/>
        </w:rPr>
      </w:pPr>
      <w:r w:rsidRPr="000C1B06">
        <w:rPr>
          <w:i/>
          <w:sz w:val="24"/>
          <w:szCs w:val="24"/>
        </w:rPr>
        <w:t>Seventh Community Pharmacy Agreement</w:t>
      </w:r>
    </w:p>
    <w:p w:rsidR="00F9355B" w:rsidRPr="00F9355B" w:rsidRDefault="00F9355B" w:rsidP="00F9355B">
      <w:pPr>
        <w:spacing w:before="240"/>
        <w:ind w:right="-285"/>
        <w:rPr>
          <w:sz w:val="24"/>
          <w:szCs w:val="24"/>
        </w:rPr>
      </w:pPr>
      <w:r w:rsidRPr="00F9355B">
        <w:rPr>
          <w:sz w:val="24"/>
          <w:szCs w:val="24"/>
        </w:rPr>
        <w:t xml:space="preserve">The </w:t>
      </w:r>
      <w:r w:rsidR="005524C0">
        <w:rPr>
          <w:sz w:val="24"/>
          <w:szCs w:val="24"/>
        </w:rPr>
        <w:t>Schemes</w:t>
      </w:r>
      <w:r w:rsidRPr="00F9355B">
        <w:rPr>
          <w:sz w:val="24"/>
          <w:szCs w:val="24"/>
        </w:rPr>
        <w:t xml:space="preserve"> requires amendments to replace references to the “Sixth Community Pharmacy Agreement” with references to the “Seventh Community Pharmacy Agreement” (the new Agreement) which is expected to commence from 1 July 2020. </w:t>
      </w:r>
    </w:p>
    <w:p w:rsidR="00F9355B" w:rsidRPr="00F9355B" w:rsidRDefault="00F9355B" w:rsidP="00F9355B">
      <w:pPr>
        <w:spacing w:before="240"/>
        <w:ind w:right="-285"/>
        <w:rPr>
          <w:sz w:val="24"/>
          <w:szCs w:val="24"/>
        </w:rPr>
      </w:pPr>
      <w:r w:rsidRPr="00F9355B">
        <w:rPr>
          <w:sz w:val="24"/>
          <w:szCs w:val="24"/>
        </w:rPr>
        <w:t xml:space="preserve">The new Agreement is the latest of the agreements made between the Australian Government and the Pharmacy Guild of Australia in relation to the delivery of medicines </w:t>
      </w:r>
      <w:r w:rsidR="00377C8F">
        <w:rPr>
          <w:sz w:val="24"/>
          <w:szCs w:val="24"/>
        </w:rPr>
        <w:t xml:space="preserve">under </w:t>
      </w:r>
      <w:r w:rsidRPr="00F9355B">
        <w:rPr>
          <w:sz w:val="24"/>
          <w:szCs w:val="24"/>
        </w:rPr>
        <w:t>the PBS and related services.</w:t>
      </w:r>
    </w:p>
    <w:p w:rsidR="00F9355B" w:rsidRPr="00F9355B" w:rsidRDefault="00F9355B" w:rsidP="00F9355B">
      <w:pPr>
        <w:spacing w:before="240"/>
        <w:ind w:right="-285"/>
        <w:rPr>
          <w:sz w:val="24"/>
          <w:szCs w:val="24"/>
        </w:rPr>
      </w:pPr>
      <w:r w:rsidRPr="00F9355B">
        <w:rPr>
          <w:sz w:val="24"/>
          <w:szCs w:val="24"/>
        </w:rPr>
        <w:t xml:space="preserve">The need </w:t>
      </w:r>
      <w:r w:rsidR="00377C8F">
        <w:rPr>
          <w:sz w:val="24"/>
          <w:szCs w:val="24"/>
        </w:rPr>
        <w:t xml:space="preserve">for the RPBS </w:t>
      </w:r>
      <w:r w:rsidR="005524C0">
        <w:rPr>
          <w:sz w:val="24"/>
          <w:szCs w:val="24"/>
        </w:rPr>
        <w:t>to</w:t>
      </w:r>
      <w:r w:rsidRPr="00F9355B">
        <w:rPr>
          <w:sz w:val="24"/>
          <w:szCs w:val="24"/>
        </w:rPr>
        <w:t xml:space="preserve"> </w:t>
      </w:r>
      <w:r w:rsidR="005524C0">
        <w:rPr>
          <w:sz w:val="24"/>
          <w:szCs w:val="24"/>
        </w:rPr>
        <w:t xml:space="preserve">include the </w:t>
      </w:r>
      <w:r w:rsidRPr="00F9355B">
        <w:rPr>
          <w:sz w:val="24"/>
          <w:szCs w:val="24"/>
        </w:rPr>
        <w:t>update</w:t>
      </w:r>
      <w:r w:rsidR="005524C0">
        <w:rPr>
          <w:sz w:val="24"/>
          <w:szCs w:val="24"/>
        </w:rPr>
        <w:t>d reference is r</w:t>
      </w:r>
      <w:r w:rsidRPr="00F9355B">
        <w:rPr>
          <w:sz w:val="24"/>
          <w:szCs w:val="24"/>
        </w:rPr>
        <w:t xml:space="preserve">elevant for the determination </w:t>
      </w:r>
      <w:r w:rsidR="005524C0">
        <w:rPr>
          <w:sz w:val="24"/>
          <w:szCs w:val="24"/>
        </w:rPr>
        <w:t xml:space="preserve">under section 21A of the RPBS </w:t>
      </w:r>
      <w:r w:rsidRPr="00F9355B">
        <w:rPr>
          <w:sz w:val="24"/>
          <w:szCs w:val="24"/>
        </w:rPr>
        <w:t xml:space="preserve">of the “dispensed price” for </w:t>
      </w:r>
      <w:r w:rsidR="005524C0" w:rsidRPr="005524C0">
        <w:rPr>
          <w:sz w:val="24"/>
          <w:szCs w:val="24"/>
        </w:rPr>
        <w:t xml:space="preserve">those medicines listed on the RSPB </w:t>
      </w:r>
      <w:r w:rsidR="005524C0">
        <w:rPr>
          <w:sz w:val="24"/>
          <w:szCs w:val="24"/>
        </w:rPr>
        <w:t>a</w:t>
      </w:r>
      <w:r w:rsidRPr="00F9355B">
        <w:rPr>
          <w:sz w:val="24"/>
          <w:szCs w:val="24"/>
        </w:rPr>
        <w:t xml:space="preserve">vailable only at a subsidised cost to DVA clients. </w:t>
      </w:r>
    </w:p>
    <w:p w:rsidR="00F9355B" w:rsidRPr="00F9355B" w:rsidRDefault="00F9355B" w:rsidP="00F9355B">
      <w:pPr>
        <w:spacing w:before="240"/>
        <w:ind w:right="-285"/>
        <w:rPr>
          <w:sz w:val="24"/>
          <w:szCs w:val="24"/>
        </w:rPr>
      </w:pPr>
      <w:r w:rsidRPr="00F9355B">
        <w:rPr>
          <w:sz w:val="24"/>
          <w:szCs w:val="24"/>
        </w:rPr>
        <w:lastRenderedPageBreak/>
        <w:t xml:space="preserve">Section 21A provides for </w:t>
      </w:r>
      <w:r w:rsidR="005524C0">
        <w:rPr>
          <w:sz w:val="24"/>
          <w:szCs w:val="24"/>
        </w:rPr>
        <w:t>t</w:t>
      </w:r>
      <w:r w:rsidRPr="00F9355B">
        <w:rPr>
          <w:sz w:val="24"/>
          <w:szCs w:val="24"/>
        </w:rPr>
        <w:t xml:space="preserve">he dispensed price </w:t>
      </w:r>
      <w:r w:rsidR="005524C0">
        <w:rPr>
          <w:sz w:val="24"/>
          <w:szCs w:val="24"/>
        </w:rPr>
        <w:t xml:space="preserve">to be determined </w:t>
      </w:r>
      <w:r w:rsidRPr="00F9355B">
        <w:rPr>
          <w:sz w:val="24"/>
          <w:szCs w:val="24"/>
        </w:rPr>
        <w:t>as the sum of the following:</w:t>
      </w:r>
    </w:p>
    <w:p w:rsidR="00F9355B" w:rsidRPr="00F9355B" w:rsidRDefault="00F9355B" w:rsidP="00377C8F">
      <w:pPr>
        <w:spacing w:before="240"/>
        <w:ind w:left="567" w:right="-285" w:hanging="507"/>
        <w:rPr>
          <w:sz w:val="24"/>
          <w:szCs w:val="24"/>
        </w:rPr>
      </w:pPr>
      <w:r w:rsidRPr="00F9355B">
        <w:rPr>
          <w:sz w:val="24"/>
          <w:szCs w:val="24"/>
        </w:rPr>
        <w:t xml:space="preserve">(i) </w:t>
      </w:r>
      <w:r w:rsidRPr="00F9355B">
        <w:rPr>
          <w:sz w:val="24"/>
          <w:szCs w:val="24"/>
        </w:rPr>
        <w:tab/>
        <w:t xml:space="preserve">the </w:t>
      </w:r>
      <w:r w:rsidR="005524C0">
        <w:rPr>
          <w:sz w:val="24"/>
          <w:szCs w:val="24"/>
        </w:rPr>
        <w:t xml:space="preserve">Repatriation </w:t>
      </w:r>
      <w:r w:rsidRPr="00F9355B">
        <w:rPr>
          <w:sz w:val="24"/>
          <w:szCs w:val="24"/>
        </w:rPr>
        <w:t xml:space="preserve">Commission and a manufacturer of medicines will agree on the “ex-manufacturer price” for a medicine to be listed on the RSPB </w:t>
      </w:r>
      <w:r w:rsidR="005524C0">
        <w:rPr>
          <w:sz w:val="24"/>
          <w:szCs w:val="24"/>
        </w:rPr>
        <w:t xml:space="preserve">being </w:t>
      </w:r>
      <w:r w:rsidRPr="00F9355B">
        <w:rPr>
          <w:sz w:val="24"/>
          <w:szCs w:val="24"/>
        </w:rPr>
        <w:t>the price at which the manufacturer sells the medicine to a wholesaler;</w:t>
      </w:r>
    </w:p>
    <w:p w:rsidR="00F9355B" w:rsidRPr="00F9355B" w:rsidRDefault="00F9355B" w:rsidP="005524C0">
      <w:pPr>
        <w:spacing w:before="240"/>
        <w:ind w:left="567" w:right="-285" w:hanging="567"/>
        <w:rPr>
          <w:sz w:val="24"/>
          <w:szCs w:val="24"/>
        </w:rPr>
      </w:pPr>
      <w:r w:rsidRPr="00F9355B">
        <w:rPr>
          <w:sz w:val="24"/>
          <w:szCs w:val="24"/>
        </w:rPr>
        <w:t xml:space="preserve">(ii) </w:t>
      </w:r>
      <w:r w:rsidRPr="00F9355B">
        <w:rPr>
          <w:sz w:val="24"/>
          <w:szCs w:val="24"/>
        </w:rPr>
        <w:tab/>
        <w:t xml:space="preserve">the wholesaler’s mark–up and the pharmacist’s mark-up (now known as the “administration, handling and infrastructure fee”) on the medicine is to be worked out as if the medicine is listed on the PBS with the method for working out the wholesaler’s mark-up and the administration, handling and infrastructure fee for PBS items being </w:t>
      </w:r>
      <w:r w:rsidR="00377C8F">
        <w:rPr>
          <w:sz w:val="24"/>
          <w:szCs w:val="24"/>
        </w:rPr>
        <w:t xml:space="preserve">those </w:t>
      </w:r>
      <w:r w:rsidRPr="00F9355B">
        <w:rPr>
          <w:sz w:val="24"/>
          <w:szCs w:val="24"/>
        </w:rPr>
        <w:t>set out in the current Community Pharmacy Agreement;</w:t>
      </w:r>
    </w:p>
    <w:p w:rsidR="00F9355B" w:rsidRDefault="00F9355B" w:rsidP="00002FE6">
      <w:pPr>
        <w:spacing w:before="240"/>
        <w:ind w:left="567" w:right="-284" w:hanging="567"/>
        <w:rPr>
          <w:sz w:val="24"/>
          <w:szCs w:val="24"/>
        </w:rPr>
      </w:pPr>
      <w:r w:rsidRPr="00F9355B">
        <w:rPr>
          <w:sz w:val="24"/>
          <w:szCs w:val="24"/>
        </w:rPr>
        <w:t xml:space="preserve"> (iii) </w:t>
      </w:r>
      <w:r w:rsidRPr="00F9355B">
        <w:rPr>
          <w:sz w:val="24"/>
          <w:szCs w:val="24"/>
        </w:rPr>
        <w:tab/>
        <w:t xml:space="preserve">the pharmacist’s dispensing fee for ready-prepared or extemporaneously-prepared items and any </w:t>
      </w:r>
      <w:r w:rsidR="005524C0">
        <w:rPr>
          <w:sz w:val="24"/>
          <w:szCs w:val="24"/>
        </w:rPr>
        <w:t>“</w:t>
      </w:r>
      <w:r w:rsidRPr="00F9355B">
        <w:rPr>
          <w:sz w:val="24"/>
          <w:szCs w:val="24"/>
        </w:rPr>
        <w:t>dangerous drug fee</w:t>
      </w:r>
      <w:r w:rsidR="005524C0">
        <w:rPr>
          <w:sz w:val="24"/>
          <w:szCs w:val="24"/>
        </w:rPr>
        <w:t>”</w:t>
      </w:r>
      <w:r w:rsidRPr="00F9355B">
        <w:rPr>
          <w:sz w:val="24"/>
          <w:szCs w:val="24"/>
        </w:rPr>
        <w:t xml:space="preserve"> for ready-prepared items is also to be worked out as if the medicine is listed on the PBS with that method being also set out in the current Community Pharmacy Agreement.</w:t>
      </w:r>
    </w:p>
    <w:p w:rsidR="00256091" w:rsidRDefault="00256091" w:rsidP="00002FE6">
      <w:pPr>
        <w:spacing w:before="240"/>
        <w:ind w:left="567" w:right="-284" w:hanging="567"/>
        <w:rPr>
          <w:i/>
          <w:sz w:val="24"/>
          <w:szCs w:val="24"/>
        </w:rPr>
      </w:pPr>
      <w:r w:rsidRPr="000C1B06">
        <w:rPr>
          <w:i/>
          <w:sz w:val="24"/>
          <w:szCs w:val="24"/>
        </w:rPr>
        <w:t xml:space="preserve">Active Ingredient </w:t>
      </w:r>
      <w:r w:rsidR="00664707" w:rsidRPr="000C1B06">
        <w:rPr>
          <w:i/>
          <w:sz w:val="24"/>
          <w:szCs w:val="24"/>
        </w:rPr>
        <w:t>Processing</w:t>
      </w:r>
    </w:p>
    <w:p w:rsidR="00243FAC" w:rsidRDefault="00664707" w:rsidP="000C1B06">
      <w:pPr>
        <w:spacing w:before="240"/>
        <w:ind w:right="-284"/>
        <w:rPr>
          <w:sz w:val="24"/>
          <w:szCs w:val="24"/>
        </w:rPr>
      </w:pPr>
      <w:r>
        <w:rPr>
          <w:sz w:val="24"/>
          <w:szCs w:val="24"/>
        </w:rPr>
        <w:t xml:space="preserve">The Schemes were previously amended by the </w:t>
      </w:r>
      <w:r w:rsidRPr="000C1B06">
        <w:rPr>
          <w:i/>
          <w:sz w:val="24"/>
          <w:szCs w:val="24"/>
        </w:rPr>
        <w:t>Veterans’ Affairs Pharmaceutical Benefits Schemes (Electronic Prescriptions and Active Ingredient Prescribing) Amendment Instrument 2019</w:t>
      </w:r>
      <w:r w:rsidRPr="00664707">
        <w:rPr>
          <w:sz w:val="24"/>
          <w:szCs w:val="24"/>
        </w:rPr>
        <w:t xml:space="preserve"> (Instrument 2019 No. R44/MRCC44)</w:t>
      </w:r>
      <w:r w:rsidR="00243FAC">
        <w:rPr>
          <w:sz w:val="24"/>
          <w:szCs w:val="24"/>
        </w:rPr>
        <w:t xml:space="preserve"> to include the </w:t>
      </w:r>
      <w:r w:rsidR="00A2764D">
        <w:rPr>
          <w:sz w:val="24"/>
          <w:szCs w:val="24"/>
        </w:rPr>
        <w:t xml:space="preserve">amendments </w:t>
      </w:r>
      <w:r w:rsidR="00243FAC">
        <w:rPr>
          <w:sz w:val="24"/>
          <w:szCs w:val="24"/>
        </w:rPr>
        <w:t xml:space="preserve">to provide for </w:t>
      </w:r>
      <w:r w:rsidRPr="00DE051C">
        <w:rPr>
          <w:sz w:val="24"/>
          <w:szCs w:val="24"/>
        </w:rPr>
        <w:t xml:space="preserve">the inclusion of active ingredients on </w:t>
      </w:r>
      <w:r>
        <w:rPr>
          <w:sz w:val="24"/>
          <w:szCs w:val="24"/>
        </w:rPr>
        <w:t>R</w:t>
      </w:r>
      <w:r w:rsidRPr="00DE051C">
        <w:rPr>
          <w:sz w:val="24"/>
          <w:szCs w:val="24"/>
        </w:rPr>
        <w:t xml:space="preserve">PBS </w:t>
      </w:r>
      <w:r w:rsidR="00243FAC">
        <w:rPr>
          <w:sz w:val="24"/>
          <w:szCs w:val="24"/>
        </w:rPr>
        <w:t xml:space="preserve">and MRCA PBS </w:t>
      </w:r>
      <w:r w:rsidRPr="00DE051C">
        <w:rPr>
          <w:sz w:val="24"/>
          <w:szCs w:val="24"/>
        </w:rPr>
        <w:t>prescriptions (including medications chart prescr</w:t>
      </w:r>
      <w:r>
        <w:rPr>
          <w:sz w:val="24"/>
          <w:szCs w:val="24"/>
        </w:rPr>
        <w:t>iptions)</w:t>
      </w:r>
      <w:r w:rsidR="00A2764D">
        <w:rPr>
          <w:sz w:val="24"/>
          <w:szCs w:val="24"/>
        </w:rPr>
        <w:t xml:space="preserve">. </w:t>
      </w:r>
      <w:r>
        <w:rPr>
          <w:sz w:val="24"/>
          <w:szCs w:val="24"/>
        </w:rPr>
        <w:t xml:space="preserve"> </w:t>
      </w:r>
    </w:p>
    <w:p w:rsidR="00664707" w:rsidRDefault="00664707" w:rsidP="000C1B06">
      <w:pPr>
        <w:spacing w:before="240"/>
        <w:ind w:right="-284"/>
        <w:rPr>
          <w:sz w:val="24"/>
          <w:szCs w:val="24"/>
          <w:lang w:val="en-US"/>
        </w:rPr>
      </w:pPr>
      <w:r>
        <w:rPr>
          <w:sz w:val="24"/>
          <w:szCs w:val="24"/>
        </w:rPr>
        <w:t xml:space="preserve">Similar amendments </w:t>
      </w:r>
      <w:r w:rsidR="00A2764D">
        <w:rPr>
          <w:sz w:val="24"/>
          <w:szCs w:val="24"/>
        </w:rPr>
        <w:t xml:space="preserve">for </w:t>
      </w:r>
      <w:r>
        <w:rPr>
          <w:sz w:val="24"/>
          <w:szCs w:val="24"/>
        </w:rPr>
        <w:t xml:space="preserve">PBS prescriptions </w:t>
      </w:r>
      <w:r w:rsidR="00A2764D">
        <w:rPr>
          <w:sz w:val="24"/>
          <w:szCs w:val="24"/>
        </w:rPr>
        <w:t xml:space="preserve">were </w:t>
      </w:r>
      <w:r w:rsidRPr="00B416CB">
        <w:rPr>
          <w:sz w:val="24"/>
          <w:szCs w:val="24"/>
        </w:rPr>
        <w:t>made</w:t>
      </w:r>
      <w:r w:rsidRPr="00B95A79">
        <w:rPr>
          <w:sz w:val="24"/>
          <w:szCs w:val="24"/>
        </w:rPr>
        <w:t xml:space="preserve"> by the </w:t>
      </w:r>
      <w:r w:rsidRPr="00B95A79">
        <w:rPr>
          <w:i/>
          <w:sz w:val="24"/>
          <w:szCs w:val="24"/>
        </w:rPr>
        <w:t>National Health (Pharmaceutical Benefits) Amendment (Active Ingredient Prescribing) Regulations 2019</w:t>
      </w:r>
      <w:r w:rsidRPr="00B95A79">
        <w:rPr>
          <w:sz w:val="24"/>
          <w:szCs w:val="24"/>
        </w:rPr>
        <w:t xml:space="preserve"> which amend</w:t>
      </w:r>
      <w:r w:rsidR="00A2764D">
        <w:rPr>
          <w:sz w:val="24"/>
          <w:szCs w:val="24"/>
        </w:rPr>
        <w:t>ed</w:t>
      </w:r>
      <w:r>
        <w:rPr>
          <w:sz w:val="24"/>
          <w:szCs w:val="24"/>
        </w:rPr>
        <w:t xml:space="preserve"> the </w:t>
      </w:r>
      <w:r w:rsidR="00A2764D" w:rsidRPr="000C1B06">
        <w:rPr>
          <w:i/>
          <w:sz w:val="24"/>
          <w:szCs w:val="24"/>
        </w:rPr>
        <w:t>National Health (Pharmaceutical Benefits) Regulations 2017</w:t>
      </w:r>
      <w:r w:rsidRPr="00A37DD8">
        <w:rPr>
          <w:sz w:val="24"/>
          <w:szCs w:val="24"/>
          <w:lang w:val="en-US"/>
        </w:rPr>
        <w:t xml:space="preserve">. </w:t>
      </w:r>
    </w:p>
    <w:p w:rsidR="00243FAC" w:rsidRPr="00243FAC" w:rsidRDefault="00243FAC" w:rsidP="000C1B06">
      <w:pPr>
        <w:spacing w:before="240" w:after="120"/>
        <w:ind w:right="-284"/>
        <w:rPr>
          <w:sz w:val="24"/>
          <w:szCs w:val="24"/>
          <w:lang w:val="en-US"/>
        </w:rPr>
      </w:pPr>
      <w:r>
        <w:rPr>
          <w:sz w:val="24"/>
          <w:szCs w:val="24"/>
          <w:lang w:val="en-US"/>
        </w:rPr>
        <w:t>In announcing the measure the Government stated that Active Ingredient Prescribing would:</w:t>
      </w:r>
    </w:p>
    <w:p w:rsidR="00243FAC" w:rsidRPr="000C1B06" w:rsidRDefault="003B5C6A" w:rsidP="000C1B06">
      <w:pPr>
        <w:pStyle w:val="ListParagraph"/>
        <w:numPr>
          <w:ilvl w:val="0"/>
          <w:numId w:val="22"/>
        </w:numPr>
        <w:spacing w:after="120"/>
        <w:ind w:left="714" w:right="-284" w:hanging="357"/>
        <w:rPr>
          <w:sz w:val="24"/>
          <w:szCs w:val="24"/>
          <w:lang w:val="en-US"/>
        </w:rPr>
      </w:pPr>
      <w:r>
        <w:rPr>
          <w:rFonts w:ascii="Times New Roman" w:hAnsi="Times New Roman"/>
          <w:sz w:val="24"/>
          <w:szCs w:val="24"/>
          <w:lang w:val="en-US"/>
        </w:rPr>
        <w:t xml:space="preserve">provide </w:t>
      </w:r>
      <w:r w:rsidR="00243FAC" w:rsidRPr="000C1B06">
        <w:rPr>
          <w:rFonts w:ascii="Times New Roman" w:hAnsi="Times New Roman"/>
          <w:sz w:val="24"/>
          <w:szCs w:val="24"/>
          <w:lang w:val="en-US"/>
        </w:rPr>
        <w:t xml:space="preserve">patients </w:t>
      </w:r>
      <w:r>
        <w:rPr>
          <w:rFonts w:ascii="Times New Roman" w:hAnsi="Times New Roman"/>
          <w:sz w:val="24"/>
          <w:szCs w:val="24"/>
          <w:lang w:val="en-US"/>
        </w:rPr>
        <w:t xml:space="preserve">and prescribers with a </w:t>
      </w:r>
      <w:r w:rsidR="00243FAC" w:rsidRPr="000C1B06">
        <w:rPr>
          <w:rFonts w:ascii="Times New Roman" w:hAnsi="Times New Roman"/>
          <w:sz w:val="24"/>
          <w:szCs w:val="24"/>
          <w:lang w:val="en-US"/>
        </w:rPr>
        <w:t>better understand</w:t>
      </w:r>
      <w:r>
        <w:rPr>
          <w:rFonts w:ascii="Times New Roman" w:hAnsi="Times New Roman"/>
          <w:sz w:val="24"/>
          <w:szCs w:val="24"/>
          <w:lang w:val="en-US"/>
        </w:rPr>
        <w:t>ing of</w:t>
      </w:r>
      <w:r w:rsidR="00243FAC" w:rsidRPr="000C1B06">
        <w:rPr>
          <w:rFonts w:ascii="Times New Roman" w:hAnsi="Times New Roman"/>
          <w:sz w:val="24"/>
          <w:szCs w:val="24"/>
          <w:lang w:val="en-US"/>
        </w:rPr>
        <w:t xml:space="preserve"> the active ingredients in their medicines;</w:t>
      </w:r>
    </w:p>
    <w:p w:rsidR="00243FAC" w:rsidRPr="000C1B06" w:rsidRDefault="00243FAC" w:rsidP="000C1B06">
      <w:pPr>
        <w:pStyle w:val="ListParagraph"/>
        <w:numPr>
          <w:ilvl w:val="0"/>
          <w:numId w:val="22"/>
        </w:numPr>
        <w:spacing w:after="120"/>
        <w:ind w:left="714" w:right="-284" w:hanging="357"/>
        <w:rPr>
          <w:sz w:val="24"/>
          <w:szCs w:val="24"/>
          <w:lang w:val="en-US"/>
        </w:rPr>
      </w:pPr>
      <w:r w:rsidRPr="000C1B06">
        <w:rPr>
          <w:rFonts w:ascii="Times New Roman" w:hAnsi="Times New Roman"/>
          <w:sz w:val="24"/>
          <w:szCs w:val="24"/>
          <w:lang w:val="en-US"/>
        </w:rPr>
        <w:t>r</w:t>
      </w:r>
      <w:r w:rsidR="003B5C6A" w:rsidRPr="000C1B06">
        <w:rPr>
          <w:rFonts w:ascii="Times New Roman" w:hAnsi="Times New Roman"/>
          <w:sz w:val="24"/>
          <w:szCs w:val="24"/>
          <w:lang w:val="en-US"/>
        </w:rPr>
        <w:t>educe</w:t>
      </w:r>
      <w:r w:rsidRPr="000C1B06">
        <w:rPr>
          <w:rFonts w:ascii="Times New Roman" w:hAnsi="Times New Roman"/>
          <w:sz w:val="24"/>
          <w:szCs w:val="24"/>
          <w:lang w:val="en-US"/>
        </w:rPr>
        <w:t xml:space="preserve"> concerns </w:t>
      </w:r>
      <w:r w:rsidR="003B5C6A">
        <w:rPr>
          <w:rFonts w:ascii="Times New Roman" w:hAnsi="Times New Roman"/>
          <w:sz w:val="24"/>
          <w:szCs w:val="24"/>
          <w:lang w:val="en-US"/>
        </w:rPr>
        <w:t>about</w:t>
      </w:r>
      <w:r w:rsidRPr="000C1B06">
        <w:rPr>
          <w:rFonts w:ascii="Times New Roman" w:hAnsi="Times New Roman"/>
          <w:sz w:val="24"/>
          <w:szCs w:val="24"/>
          <w:lang w:val="en-US"/>
        </w:rPr>
        <w:t xml:space="preserve"> patients taking multiple doses of medicines due to confusion;</w:t>
      </w:r>
    </w:p>
    <w:p w:rsidR="00243FAC" w:rsidRPr="000C1B06" w:rsidRDefault="003B5C6A" w:rsidP="000C1B06">
      <w:pPr>
        <w:pStyle w:val="ListParagraph"/>
        <w:numPr>
          <w:ilvl w:val="0"/>
          <w:numId w:val="22"/>
        </w:numPr>
        <w:spacing w:after="120"/>
        <w:ind w:left="714" w:right="-284" w:hanging="357"/>
        <w:rPr>
          <w:sz w:val="24"/>
          <w:szCs w:val="24"/>
          <w:lang w:val="en-US"/>
        </w:rPr>
      </w:pPr>
      <w:r w:rsidRPr="000C1B06">
        <w:rPr>
          <w:rFonts w:ascii="Times New Roman" w:hAnsi="Times New Roman"/>
          <w:sz w:val="24"/>
          <w:szCs w:val="24"/>
          <w:lang w:val="en-US"/>
        </w:rPr>
        <w:t xml:space="preserve">promote the provision of generic alternatives and </w:t>
      </w:r>
      <w:r>
        <w:rPr>
          <w:rFonts w:ascii="Times New Roman" w:hAnsi="Times New Roman"/>
          <w:sz w:val="24"/>
          <w:szCs w:val="24"/>
          <w:lang w:val="en-US"/>
        </w:rPr>
        <w:t xml:space="preserve">thereby </w:t>
      </w:r>
      <w:r w:rsidRPr="000C1B06">
        <w:rPr>
          <w:rFonts w:ascii="Times New Roman" w:hAnsi="Times New Roman"/>
          <w:sz w:val="24"/>
          <w:szCs w:val="24"/>
          <w:lang w:val="en-US"/>
        </w:rPr>
        <w:t xml:space="preserve">reduce </w:t>
      </w:r>
      <w:r>
        <w:rPr>
          <w:rFonts w:ascii="Times New Roman" w:hAnsi="Times New Roman"/>
          <w:sz w:val="24"/>
          <w:szCs w:val="24"/>
          <w:lang w:val="en-US"/>
        </w:rPr>
        <w:t xml:space="preserve">the </w:t>
      </w:r>
      <w:r w:rsidR="00243FAC" w:rsidRPr="000C1B06">
        <w:rPr>
          <w:rFonts w:ascii="Times New Roman" w:hAnsi="Times New Roman"/>
          <w:sz w:val="24"/>
          <w:szCs w:val="24"/>
          <w:lang w:val="en-US"/>
        </w:rPr>
        <w:t>out-o</w:t>
      </w:r>
      <w:r w:rsidRPr="000C1B06">
        <w:rPr>
          <w:rFonts w:ascii="Times New Roman" w:hAnsi="Times New Roman"/>
          <w:sz w:val="24"/>
          <w:szCs w:val="24"/>
          <w:lang w:val="en-US"/>
        </w:rPr>
        <w:t>f-pocket expenses for patients</w:t>
      </w:r>
      <w:r w:rsidR="00243FAC" w:rsidRPr="000C1B06">
        <w:rPr>
          <w:rFonts w:ascii="Times New Roman" w:hAnsi="Times New Roman"/>
          <w:sz w:val="24"/>
          <w:szCs w:val="24"/>
          <w:lang w:val="en-US"/>
        </w:rPr>
        <w:t>;</w:t>
      </w:r>
      <w:r>
        <w:rPr>
          <w:rFonts w:ascii="Times New Roman" w:hAnsi="Times New Roman"/>
          <w:sz w:val="24"/>
          <w:szCs w:val="24"/>
          <w:lang w:val="en-US"/>
        </w:rPr>
        <w:t xml:space="preserve"> and </w:t>
      </w:r>
    </w:p>
    <w:p w:rsidR="003B5C6A" w:rsidRPr="000C1B06" w:rsidRDefault="00243FAC" w:rsidP="000C1B06">
      <w:pPr>
        <w:pStyle w:val="ListParagraph"/>
        <w:numPr>
          <w:ilvl w:val="0"/>
          <w:numId w:val="22"/>
        </w:numPr>
        <w:spacing w:after="240"/>
        <w:ind w:left="714" w:right="-284" w:hanging="357"/>
        <w:rPr>
          <w:rFonts w:ascii="Times New Roman" w:hAnsi="Times New Roman"/>
          <w:sz w:val="24"/>
          <w:szCs w:val="24"/>
        </w:rPr>
      </w:pPr>
      <w:r w:rsidRPr="00243FAC">
        <w:rPr>
          <w:rFonts w:ascii="Times New Roman" w:hAnsi="Times New Roman"/>
          <w:sz w:val="24"/>
          <w:szCs w:val="24"/>
          <w:lang w:val="en-US"/>
        </w:rPr>
        <w:t>improve</w:t>
      </w:r>
      <w:r w:rsidRPr="000C1B06">
        <w:rPr>
          <w:rFonts w:ascii="Times New Roman" w:hAnsi="Times New Roman"/>
          <w:sz w:val="24"/>
          <w:szCs w:val="24"/>
          <w:lang w:val="en-US"/>
        </w:rPr>
        <w:t xml:space="preserve"> the financial sustainability of the PBS</w:t>
      </w:r>
      <w:r w:rsidR="003B5C6A">
        <w:rPr>
          <w:rFonts w:ascii="Times New Roman" w:hAnsi="Times New Roman"/>
          <w:sz w:val="24"/>
          <w:szCs w:val="24"/>
          <w:lang w:val="en-US"/>
        </w:rPr>
        <w:t>.</w:t>
      </w:r>
    </w:p>
    <w:p w:rsidR="00664707" w:rsidRPr="000C1B06" w:rsidRDefault="00664707" w:rsidP="000C1B06">
      <w:pPr>
        <w:spacing w:after="120"/>
        <w:ind w:right="-284"/>
        <w:rPr>
          <w:sz w:val="24"/>
          <w:szCs w:val="24"/>
        </w:rPr>
      </w:pPr>
      <w:r w:rsidRPr="000C1B06">
        <w:rPr>
          <w:sz w:val="24"/>
          <w:szCs w:val="24"/>
          <w:lang w:val="en-US"/>
        </w:rPr>
        <w:t xml:space="preserve">The </w:t>
      </w:r>
      <w:r w:rsidR="00A2764D" w:rsidRPr="000C1B06">
        <w:rPr>
          <w:sz w:val="24"/>
          <w:szCs w:val="24"/>
          <w:lang w:val="en-US"/>
        </w:rPr>
        <w:t xml:space="preserve">amendments </w:t>
      </w:r>
      <w:r w:rsidR="007539D1" w:rsidRPr="000C1B06">
        <w:rPr>
          <w:sz w:val="24"/>
          <w:szCs w:val="24"/>
          <w:lang w:val="en-US"/>
        </w:rPr>
        <w:t xml:space="preserve">made by the </w:t>
      </w:r>
      <w:r w:rsidR="007539D1" w:rsidRPr="000C1B06">
        <w:rPr>
          <w:i/>
          <w:sz w:val="24"/>
          <w:szCs w:val="24"/>
        </w:rPr>
        <w:t xml:space="preserve">Veterans’ Affairs Pharmaceutical Benefits Schemes (Electronic Prescriptions and Active Ingredient Prescribing) Amendment Instrument 2019 </w:t>
      </w:r>
      <w:r w:rsidR="003B5C6A" w:rsidRPr="000C1B06">
        <w:rPr>
          <w:sz w:val="24"/>
          <w:szCs w:val="24"/>
        </w:rPr>
        <w:t>also</w:t>
      </w:r>
      <w:r w:rsidR="003B5C6A">
        <w:rPr>
          <w:i/>
          <w:sz w:val="24"/>
          <w:szCs w:val="24"/>
        </w:rPr>
        <w:t xml:space="preserve"> </w:t>
      </w:r>
      <w:r w:rsidR="00243FAC" w:rsidRPr="000C1B06">
        <w:rPr>
          <w:sz w:val="24"/>
          <w:szCs w:val="24"/>
          <w:lang w:val="en-US"/>
        </w:rPr>
        <w:t xml:space="preserve">ensured the continued </w:t>
      </w:r>
      <w:r w:rsidRPr="000C1B06">
        <w:rPr>
          <w:sz w:val="24"/>
          <w:szCs w:val="24"/>
        </w:rPr>
        <w:t xml:space="preserve">inclusion of a brand on a prescription if </w:t>
      </w:r>
      <w:r w:rsidR="00A2764D" w:rsidRPr="000C1B06">
        <w:rPr>
          <w:sz w:val="24"/>
          <w:szCs w:val="24"/>
        </w:rPr>
        <w:t xml:space="preserve">it was </w:t>
      </w:r>
      <w:r w:rsidRPr="000C1B06">
        <w:rPr>
          <w:sz w:val="24"/>
          <w:szCs w:val="24"/>
        </w:rPr>
        <w:t>deemed clinically necessary by the prescriber</w:t>
      </w:r>
      <w:r w:rsidR="003B5C6A" w:rsidRPr="000C1B06">
        <w:rPr>
          <w:sz w:val="24"/>
          <w:szCs w:val="24"/>
        </w:rPr>
        <w:t>.</w:t>
      </w:r>
    </w:p>
    <w:p w:rsidR="00664707" w:rsidRDefault="00C15EE4" w:rsidP="000C1B06">
      <w:pPr>
        <w:autoSpaceDE w:val="0"/>
        <w:autoSpaceDN w:val="0"/>
        <w:adjustRightInd w:val="0"/>
        <w:spacing w:after="240"/>
        <w:rPr>
          <w:sz w:val="24"/>
          <w:szCs w:val="24"/>
        </w:rPr>
      </w:pPr>
      <w:r>
        <w:rPr>
          <w:sz w:val="24"/>
          <w:szCs w:val="24"/>
        </w:rPr>
        <w:t>The</w:t>
      </w:r>
      <w:r w:rsidR="00664707" w:rsidRPr="00DE051C">
        <w:rPr>
          <w:sz w:val="24"/>
          <w:szCs w:val="24"/>
        </w:rPr>
        <w:t xml:space="preserve"> amendments </w:t>
      </w:r>
      <w:r>
        <w:rPr>
          <w:sz w:val="24"/>
          <w:szCs w:val="24"/>
        </w:rPr>
        <w:t>were</w:t>
      </w:r>
      <w:r w:rsidR="007539D1">
        <w:rPr>
          <w:sz w:val="24"/>
          <w:szCs w:val="24"/>
        </w:rPr>
        <w:t xml:space="preserve"> carefully targeted and were</w:t>
      </w:r>
      <w:r>
        <w:rPr>
          <w:sz w:val="24"/>
          <w:szCs w:val="24"/>
        </w:rPr>
        <w:t xml:space="preserve"> not intended to </w:t>
      </w:r>
      <w:r w:rsidR="00664707" w:rsidRPr="00DE051C">
        <w:rPr>
          <w:sz w:val="24"/>
          <w:szCs w:val="24"/>
        </w:rPr>
        <w:t xml:space="preserve">interfere with patients’ choice of medicines, or </w:t>
      </w:r>
      <w:r w:rsidR="003B5C6A">
        <w:rPr>
          <w:sz w:val="24"/>
          <w:szCs w:val="24"/>
        </w:rPr>
        <w:t xml:space="preserve">the </w:t>
      </w:r>
      <w:r w:rsidR="00664707" w:rsidRPr="00DE051C">
        <w:rPr>
          <w:sz w:val="24"/>
          <w:szCs w:val="24"/>
        </w:rPr>
        <w:t xml:space="preserve">prescribers’ ability to prescribe the medicine that best meets their patient’s clinical need. </w:t>
      </w:r>
    </w:p>
    <w:p w:rsidR="007539D1" w:rsidRDefault="00664707" w:rsidP="000C1B06">
      <w:pPr>
        <w:autoSpaceDE w:val="0"/>
        <w:autoSpaceDN w:val="0"/>
        <w:adjustRightInd w:val="0"/>
        <w:spacing w:after="240"/>
        <w:rPr>
          <w:sz w:val="24"/>
          <w:szCs w:val="24"/>
        </w:rPr>
      </w:pPr>
      <w:r w:rsidRPr="00DE051C">
        <w:rPr>
          <w:sz w:val="24"/>
          <w:szCs w:val="24"/>
        </w:rPr>
        <w:lastRenderedPageBreak/>
        <w:t xml:space="preserve">The </w:t>
      </w:r>
      <w:r w:rsidR="00C15EE4">
        <w:rPr>
          <w:sz w:val="24"/>
          <w:szCs w:val="24"/>
        </w:rPr>
        <w:t xml:space="preserve">amendments </w:t>
      </w:r>
      <w:r w:rsidRPr="00DE051C">
        <w:rPr>
          <w:sz w:val="24"/>
          <w:szCs w:val="24"/>
        </w:rPr>
        <w:t>t</w:t>
      </w:r>
      <w:r w:rsidR="00C15EE4">
        <w:rPr>
          <w:sz w:val="24"/>
          <w:szCs w:val="24"/>
        </w:rPr>
        <w:t xml:space="preserve">ook effect from 31 October 2019 with </w:t>
      </w:r>
      <w:r w:rsidRPr="00DE051C">
        <w:rPr>
          <w:sz w:val="24"/>
          <w:szCs w:val="24"/>
        </w:rPr>
        <w:t>a 12 month transition period to ensure prescribers ha</w:t>
      </w:r>
      <w:r w:rsidR="00C15EE4">
        <w:rPr>
          <w:sz w:val="24"/>
          <w:szCs w:val="24"/>
        </w:rPr>
        <w:t>d</w:t>
      </w:r>
      <w:r w:rsidRPr="00DE051C">
        <w:rPr>
          <w:sz w:val="24"/>
          <w:szCs w:val="24"/>
        </w:rPr>
        <w:t xml:space="preserve"> sufficient time to update prescribing software to meet the new active ingredient prescribing requirements. </w:t>
      </w:r>
    </w:p>
    <w:p w:rsidR="007539D1" w:rsidRDefault="007539D1" w:rsidP="000C1B06">
      <w:pPr>
        <w:autoSpaceDE w:val="0"/>
        <w:autoSpaceDN w:val="0"/>
        <w:adjustRightInd w:val="0"/>
        <w:spacing w:after="240"/>
        <w:rPr>
          <w:sz w:val="24"/>
          <w:szCs w:val="24"/>
        </w:rPr>
      </w:pPr>
      <w:r>
        <w:rPr>
          <w:sz w:val="24"/>
          <w:szCs w:val="24"/>
        </w:rPr>
        <w:t>The amendments have been proposed following representations from the Medical Software Industry Association to the Department of Health that while the larger software vendors would be able to meet the transition deadline of 31 October 2020, some smaller vendors would not be able to do so because of the need to reallocate resources to implement the COVID-19 response measures in support of telehealth and electronic prescribing.</w:t>
      </w:r>
    </w:p>
    <w:p w:rsidR="007539D1" w:rsidRDefault="007539D1" w:rsidP="000C1B06">
      <w:pPr>
        <w:autoSpaceDE w:val="0"/>
        <w:autoSpaceDN w:val="0"/>
        <w:adjustRightInd w:val="0"/>
        <w:spacing w:after="240"/>
        <w:rPr>
          <w:sz w:val="24"/>
          <w:szCs w:val="24"/>
        </w:rPr>
      </w:pPr>
      <w:r>
        <w:rPr>
          <w:sz w:val="24"/>
          <w:szCs w:val="24"/>
        </w:rPr>
        <w:t>On 14 June 2020, the Minister for Health, Mr Greg Hunt, gave policy approval for the transitional period to be extended for a further three months.</w:t>
      </w:r>
    </w:p>
    <w:p w:rsidR="003B5C6A" w:rsidRPr="003B5C6A" w:rsidRDefault="003B5C6A" w:rsidP="003B5C6A">
      <w:pPr>
        <w:autoSpaceDE w:val="0"/>
        <w:autoSpaceDN w:val="0"/>
        <w:adjustRightInd w:val="0"/>
        <w:spacing w:after="240"/>
        <w:rPr>
          <w:sz w:val="24"/>
          <w:szCs w:val="24"/>
        </w:rPr>
      </w:pPr>
      <w:r w:rsidRPr="003B5C6A">
        <w:rPr>
          <w:sz w:val="24"/>
          <w:szCs w:val="24"/>
        </w:rPr>
        <w:t xml:space="preserve">The proposed amendments to the Schemes will extend the transition period for a further three months until 31 January 2021 and are in line with the proposed amendments to the </w:t>
      </w:r>
      <w:r w:rsidRPr="003B5C6A">
        <w:rPr>
          <w:i/>
          <w:sz w:val="24"/>
          <w:szCs w:val="24"/>
        </w:rPr>
        <w:t xml:space="preserve">National Health (Pharmaceutical Benefits) Regulations 2017 </w:t>
      </w:r>
      <w:r w:rsidRPr="003B5C6A">
        <w:rPr>
          <w:sz w:val="24"/>
          <w:szCs w:val="24"/>
        </w:rPr>
        <w:t>being made by the Department of Health.</w:t>
      </w:r>
    </w:p>
    <w:p w:rsidR="00664707" w:rsidRDefault="00C15EE4" w:rsidP="000C1B06">
      <w:pPr>
        <w:spacing w:after="120"/>
        <w:ind w:right="-284"/>
        <w:rPr>
          <w:i/>
          <w:sz w:val="24"/>
          <w:szCs w:val="24"/>
        </w:rPr>
      </w:pPr>
      <w:r w:rsidRPr="000C1B06">
        <w:rPr>
          <w:i/>
          <w:sz w:val="24"/>
          <w:szCs w:val="24"/>
        </w:rPr>
        <w:t xml:space="preserve">Other Amendments </w:t>
      </w:r>
    </w:p>
    <w:p w:rsidR="00484A3B" w:rsidRDefault="00484A3B" w:rsidP="00484A3B">
      <w:pPr>
        <w:spacing w:after="120"/>
        <w:ind w:right="-284"/>
        <w:rPr>
          <w:sz w:val="24"/>
          <w:szCs w:val="24"/>
        </w:rPr>
      </w:pPr>
      <w:r w:rsidRPr="00484A3B">
        <w:rPr>
          <w:sz w:val="24"/>
          <w:szCs w:val="24"/>
        </w:rPr>
        <w:t xml:space="preserve">The proposed amendments also include changes to Schedule 2 of the RPBS.  Schedule 2 was inserted into the RPBS in the amendments made in response to the bushfire emergency by the </w:t>
      </w:r>
      <w:r w:rsidRPr="00484A3B">
        <w:rPr>
          <w:i/>
          <w:sz w:val="24"/>
          <w:szCs w:val="24"/>
        </w:rPr>
        <w:t>Veterans’ Affairs Pharmaceutical Benefits Schemes Amendment (Continued Dispensing—Emergency Measures) Determination 2020</w:t>
      </w:r>
      <w:r w:rsidRPr="00484A3B">
        <w:rPr>
          <w:sz w:val="24"/>
          <w:szCs w:val="24"/>
        </w:rPr>
        <w:t xml:space="preserve"> (the Continued Dispensing Determination). </w:t>
      </w:r>
    </w:p>
    <w:p w:rsidR="00484A3B" w:rsidRPr="00484A3B" w:rsidRDefault="00484A3B" w:rsidP="00484A3B">
      <w:pPr>
        <w:spacing w:after="120"/>
        <w:ind w:right="-284"/>
        <w:rPr>
          <w:sz w:val="24"/>
          <w:szCs w:val="24"/>
        </w:rPr>
      </w:pPr>
      <w:r>
        <w:rPr>
          <w:sz w:val="24"/>
          <w:szCs w:val="24"/>
        </w:rPr>
        <w:t xml:space="preserve">The amendments to </w:t>
      </w:r>
      <w:r w:rsidRPr="00484A3B">
        <w:rPr>
          <w:sz w:val="24"/>
          <w:szCs w:val="24"/>
        </w:rPr>
        <w:t xml:space="preserve">Schedule 2 </w:t>
      </w:r>
      <w:r>
        <w:rPr>
          <w:sz w:val="24"/>
          <w:szCs w:val="24"/>
        </w:rPr>
        <w:t xml:space="preserve">include </w:t>
      </w:r>
      <w:r w:rsidRPr="00484A3B">
        <w:rPr>
          <w:sz w:val="24"/>
          <w:szCs w:val="24"/>
        </w:rPr>
        <w:t>some additions, omissions and changes to the descriptions of the pharmaceutical benefits which may be prescribed under the emergency arrangements which have been extended as a response to the COVID-19 pandemic.</w:t>
      </w:r>
      <w:r>
        <w:rPr>
          <w:sz w:val="24"/>
          <w:szCs w:val="24"/>
        </w:rPr>
        <w:t xml:space="preserve"> The proposed changes will align the Schedule 2 listings with those of the RSPB which have been amended since the commencement of the emergency. </w:t>
      </w:r>
    </w:p>
    <w:p w:rsidR="00F9355B" w:rsidRPr="00F9355B" w:rsidRDefault="00F9355B" w:rsidP="000C1B06">
      <w:pPr>
        <w:spacing w:after="240"/>
        <w:ind w:right="-284"/>
        <w:rPr>
          <w:bCs/>
          <w:sz w:val="24"/>
          <w:szCs w:val="24"/>
        </w:rPr>
      </w:pPr>
      <w:r w:rsidRPr="00F9355B">
        <w:rPr>
          <w:bCs/>
          <w:sz w:val="24"/>
          <w:szCs w:val="24"/>
        </w:rPr>
        <w:t xml:space="preserve">The </w:t>
      </w:r>
      <w:r w:rsidR="00C15EE4">
        <w:rPr>
          <w:bCs/>
          <w:sz w:val="24"/>
          <w:szCs w:val="24"/>
        </w:rPr>
        <w:t xml:space="preserve">remaining </w:t>
      </w:r>
      <w:r w:rsidR="005524C0">
        <w:rPr>
          <w:bCs/>
          <w:sz w:val="24"/>
          <w:szCs w:val="24"/>
        </w:rPr>
        <w:t xml:space="preserve">amendments </w:t>
      </w:r>
      <w:r w:rsidRPr="00F9355B">
        <w:rPr>
          <w:bCs/>
          <w:sz w:val="24"/>
          <w:szCs w:val="24"/>
        </w:rPr>
        <w:t>will correct some minor errors and repeal some redundant references including the references in the MRCA PBS to the “Sixt</w:t>
      </w:r>
      <w:r w:rsidR="005524C0">
        <w:rPr>
          <w:bCs/>
          <w:sz w:val="24"/>
          <w:szCs w:val="24"/>
        </w:rPr>
        <w:t>h Community Pharmacy Agreement”.</w:t>
      </w:r>
    </w:p>
    <w:p w:rsidR="0052240B" w:rsidRPr="009F2B8F" w:rsidRDefault="0052240B" w:rsidP="0052240B">
      <w:pPr>
        <w:shd w:val="clear" w:color="auto" w:fill="FFFFFF"/>
        <w:ind w:right="-45"/>
        <w:jc w:val="both"/>
        <w:rPr>
          <w:sz w:val="24"/>
          <w:szCs w:val="24"/>
        </w:rPr>
      </w:pPr>
      <w:r w:rsidRPr="009F2B8F">
        <w:rPr>
          <w:sz w:val="24"/>
          <w:szCs w:val="24"/>
        </w:rPr>
        <w:t xml:space="preserve">The </w:t>
      </w:r>
      <w:r w:rsidR="004B5926" w:rsidRPr="009F2B8F">
        <w:rPr>
          <w:sz w:val="24"/>
          <w:szCs w:val="24"/>
        </w:rPr>
        <w:t xml:space="preserve">instrument is a </w:t>
      </w:r>
      <w:r w:rsidRPr="009F2B8F">
        <w:rPr>
          <w:sz w:val="24"/>
          <w:szCs w:val="24"/>
        </w:rPr>
        <w:t xml:space="preserve">legislative instrument for the purposes of the </w:t>
      </w:r>
      <w:r w:rsidRPr="009F2B8F">
        <w:rPr>
          <w:i/>
          <w:sz w:val="24"/>
          <w:szCs w:val="24"/>
        </w:rPr>
        <w:t>Legislation Act 2003</w:t>
      </w:r>
      <w:r w:rsidRPr="009F2B8F">
        <w:rPr>
          <w:sz w:val="24"/>
          <w:szCs w:val="24"/>
        </w:rPr>
        <w:t>.</w:t>
      </w:r>
    </w:p>
    <w:p w:rsidR="0052240B" w:rsidRPr="009F2B8F" w:rsidRDefault="0052240B" w:rsidP="002B567E">
      <w:pPr>
        <w:widowControl w:val="0"/>
        <w:spacing w:after="240"/>
        <w:ind w:right="96"/>
        <w:jc w:val="both"/>
        <w:rPr>
          <w:sz w:val="24"/>
          <w:szCs w:val="24"/>
        </w:rPr>
      </w:pPr>
      <w:r w:rsidRPr="009F2B8F">
        <w:rPr>
          <w:sz w:val="24"/>
          <w:szCs w:val="24"/>
        </w:rPr>
        <w:t xml:space="preserve">The </w:t>
      </w:r>
      <w:r w:rsidR="004B5926" w:rsidRPr="009F2B8F">
        <w:rPr>
          <w:sz w:val="24"/>
          <w:szCs w:val="24"/>
        </w:rPr>
        <w:t>instrument</w:t>
      </w:r>
      <w:r w:rsidRPr="009F2B8F">
        <w:rPr>
          <w:sz w:val="24"/>
          <w:szCs w:val="24"/>
        </w:rPr>
        <w:t xml:space="preserve"> commence</w:t>
      </w:r>
      <w:r w:rsidR="004B5926" w:rsidRPr="009F2B8F">
        <w:rPr>
          <w:sz w:val="24"/>
          <w:szCs w:val="24"/>
        </w:rPr>
        <w:t>s</w:t>
      </w:r>
      <w:r w:rsidRPr="009F2B8F">
        <w:rPr>
          <w:sz w:val="24"/>
          <w:szCs w:val="24"/>
        </w:rPr>
        <w:t xml:space="preserve"> on 1 </w:t>
      </w:r>
      <w:r w:rsidR="005524C0">
        <w:rPr>
          <w:sz w:val="24"/>
          <w:szCs w:val="24"/>
        </w:rPr>
        <w:t>July 2020</w:t>
      </w:r>
      <w:r w:rsidRPr="009F2B8F">
        <w:rPr>
          <w:sz w:val="24"/>
          <w:szCs w:val="24"/>
        </w:rPr>
        <w:t xml:space="preserve">. </w:t>
      </w:r>
    </w:p>
    <w:p w:rsidR="002370A4" w:rsidRDefault="002370A4" w:rsidP="002B567E">
      <w:pPr>
        <w:spacing w:after="120"/>
        <w:rPr>
          <w:b/>
          <w:color w:val="000000"/>
          <w:sz w:val="24"/>
          <w:szCs w:val="24"/>
        </w:rPr>
      </w:pPr>
      <w:r w:rsidRPr="0063263D">
        <w:rPr>
          <w:b/>
          <w:color w:val="000000"/>
          <w:sz w:val="24"/>
          <w:szCs w:val="24"/>
        </w:rPr>
        <w:t>CONSULTATION</w:t>
      </w:r>
    </w:p>
    <w:p w:rsidR="00C15EE4" w:rsidRPr="000C1B06" w:rsidRDefault="00C15EE4" w:rsidP="00C15EE4">
      <w:pPr>
        <w:spacing w:after="120"/>
        <w:rPr>
          <w:i/>
          <w:color w:val="000000"/>
          <w:sz w:val="24"/>
          <w:szCs w:val="24"/>
        </w:rPr>
      </w:pPr>
      <w:r w:rsidRPr="000C1B06">
        <w:rPr>
          <w:i/>
          <w:color w:val="000000"/>
          <w:sz w:val="24"/>
          <w:szCs w:val="24"/>
        </w:rPr>
        <w:t>Seventh Community Pharmacy Agreement</w:t>
      </w:r>
    </w:p>
    <w:p w:rsidR="002B567E" w:rsidRDefault="00A36792" w:rsidP="00152470">
      <w:pPr>
        <w:pStyle w:val="ListNumber"/>
        <w:numPr>
          <w:ilvl w:val="0"/>
          <w:numId w:val="0"/>
        </w:numPr>
        <w:spacing w:after="0" w:line="240" w:lineRule="auto"/>
        <w:rPr>
          <w:rFonts w:ascii="Times New Roman" w:hAnsi="Times New Roman"/>
          <w:sz w:val="24"/>
          <w:szCs w:val="24"/>
        </w:rPr>
      </w:pPr>
      <w:r>
        <w:rPr>
          <w:rFonts w:ascii="Times New Roman" w:hAnsi="Times New Roman"/>
          <w:sz w:val="24"/>
          <w:szCs w:val="24"/>
        </w:rPr>
        <w:t xml:space="preserve">DVA has </w:t>
      </w:r>
      <w:r w:rsidR="00152470">
        <w:rPr>
          <w:rFonts w:ascii="Times New Roman" w:hAnsi="Times New Roman"/>
          <w:sz w:val="24"/>
          <w:szCs w:val="24"/>
        </w:rPr>
        <w:t xml:space="preserve">been in contact </w:t>
      </w:r>
      <w:r>
        <w:rPr>
          <w:rFonts w:ascii="Times New Roman" w:hAnsi="Times New Roman"/>
          <w:sz w:val="24"/>
          <w:szCs w:val="24"/>
        </w:rPr>
        <w:t xml:space="preserve">with </w:t>
      </w:r>
      <w:r w:rsidRPr="00687973">
        <w:rPr>
          <w:rFonts w:ascii="Times New Roman" w:hAnsi="Times New Roman"/>
          <w:sz w:val="24"/>
          <w:szCs w:val="24"/>
        </w:rPr>
        <w:t>the</w:t>
      </w:r>
      <w:r>
        <w:rPr>
          <w:rFonts w:ascii="Times New Roman" w:hAnsi="Times New Roman"/>
          <w:sz w:val="24"/>
          <w:szCs w:val="24"/>
        </w:rPr>
        <w:t xml:space="preserve"> Department </w:t>
      </w:r>
      <w:r w:rsidR="00A40F28">
        <w:rPr>
          <w:rFonts w:ascii="Times New Roman" w:hAnsi="Times New Roman"/>
          <w:sz w:val="24"/>
          <w:szCs w:val="24"/>
        </w:rPr>
        <w:t xml:space="preserve">of Health </w:t>
      </w:r>
      <w:r w:rsidR="00152470">
        <w:rPr>
          <w:rFonts w:ascii="Times New Roman" w:hAnsi="Times New Roman"/>
          <w:sz w:val="24"/>
          <w:szCs w:val="24"/>
        </w:rPr>
        <w:t>who have the responsibility for making the agreement</w:t>
      </w:r>
      <w:r w:rsidR="002B567E">
        <w:rPr>
          <w:rFonts w:ascii="Times New Roman" w:hAnsi="Times New Roman"/>
          <w:sz w:val="24"/>
          <w:szCs w:val="24"/>
        </w:rPr>
        <w:t xml:space="preserve"> with the relevant stakeholders</w:t>
      </w:r>
      <w:r w:rsidR="00152470">
        <w:rPr>
          <w:rFonts w:ascii="Times New Roman" w:hAnsi="Times New Roman"/>
          <w:sz w:val="24"/>
          <w:szCs w:val="24"/>
        </w:rPr>
        <w:t xml:space="preserve">. The information </w:t>
      </w:r>
      <w:r w:rsidR="00002FE6">
        <w:rPr>
          <w:rFonts w:ascii="Times New Roman" w:hAnsi="Times New Roman"/>
          <w:sz w:val="24"/>
          <w:szCs w:val="24"/>
        </w:rPr>
        <w:t xml:space="preserve">set out below </w:t>
      </w:r>
      <w:r w:rsidR="00152470">
        <w:rPr>
          <w:rFonts w:ascii="Times New Roman" w:hAnsi="Times New Roman"/>
          <w:sz w:val="24"/>
          <w:szCs w:val="24"/>
        </w:rPr>
        <w:t>is provided by the Department of Health</w:t>
      </w:r>
      <w:r w:rsidR="00002FE6">
        <w:rPr>
          <w:rFonts w:ascii="Times New Roman" w:hAnsi="Times New Roman"/>
          <w:sz w:val="24"/>
          <w:szCs w:val="24"/>
        </w:rPr>
        <w:t xml:space="preserve"> </w:t>
      </w:r>
      <w:r w:rsidR="00002FE6" w:rsidRPr="002B567E">
        <w:rPr>
          <w:rFonts w:ascii="Times New Roman" w:hAnsi="Times New Roman"/>
          <w:sz w:val="24"/>
          <w:szCs w:val="24"/>
        </w:rPr>
        <w:t xml:space="preserve">at </w:t>
      </w:r>
      <w:hyperlink r:id="rId8" w:history="1">
        <w:r w:rsidR="002B567E" w:rsidRPr="002B567E">
          <w:rPr>
            <w:rStyle w:val="Hyperlink"/>
            <w:rFonts w:ascii="Times New Roman" w:hAnsi="Times New Roman"/>
            <w:color w:val="auto"/>
            <w:sz w:val="24"/>
            <w:szCs w:val="24"/>
          </w:rPr>
          <w:t>https://www1.health.gov.au/internet</w:t>
        </w:r>
      </w:hyperlink>
    </w:p>
    <w:p w:rsidR="00152470" w:rsidRPr="00002FE6" w:rsidRDefault="00002FE6" w:rsidP="002B567E">
      <w:pPr>
        <w:pStyle w:val="ListNumber"/>
        <w:numPr>
          <w:ilvl w:val="0"/>
          <w:numId w:val="0"/>
        </w:numPr>
        <w:spacing w:after="120" w:line="240" w:lineRule="auto"/>
        <w:rPr>
          <w:rFonts w:ascii="Times New Roman" w:hAnsi="Times New Roman"/>
          <w:sz w:val="24"/>
          <w:szCs w:val="24"/>
        </w:rPr>
      </w:pPr>
      <w:r w:rsidRPr="002B567E">
        <w:rPr>
          <w:rFonts w:ascii="Times New Roman" w:hAnsi="Times New Roman"/>
          <w:sz w:val="24"/>
          <w:szCs w:val="24"/>
        </w:rPr>
        <w:t>/main/publishing.nsf/</w:t>
      </w:r>
      <w:r w:rsidRPr="00002FE6">
        <w:rPr>
          <w:rFonts w:ascii="Times New Roman" w:hAnsi="Times New Roman"/>
          <w:sz w:val="24"/>
          <w:szCs w:val="24"/>
        </w:rPr>
        <w:t>Content/7cpa-communique-14November2019</w:t>
      </w:r>
      <w:r w:rsidR="00152470" w:rsidRPr="00002FE6">
        <w:rPr>
          <w:rFonts w:ascii="Times New Roman" w:hAnsi="Times New Roman"/>
          <w:sz w:val="24"/>
          <w:szCs w:val="24"/>
        </w:rPr>
        <w:t>:</w:t>
      </w:r>
    </w:p>
    <w:p w:rsidR="00002FE6" w:rsidRDefault="00152470" w:rsidP="00002FE6">
      <w:pPr>
        <w:pStyle w:val="ListNumber"/>
        <w:numPr>
          <w:ilvl w:val="0"/>
          <w:numId w:val="0"/>
        </w:numPr>
        <w:spacing w:after="120" w:line="240" w:lineRule="auto"/>
        <w:ind w:left="369"/>
        <w:rPr>
          <w:rFonts w:ascii="Times New Roman" w:hAnsi="Times New Roman"/>
          <w:sz w:val="20"/>
          <w:szCs w:val="20"/>
        </w:rPr>
      </w:pPr>
      <w:r w:rsidRPr="00002FE6">
        <w:rPr>
          <w:rFonts w:ascii="Times New Roman" w:hAnsi="Times New Roman"/>
          <w:sz w:val="20"/>
          <w:szCs w:val="20"/>
        </w:rPr>
        <w:t>The current five year, Sixth Community Pharmacy Agreement, between the Commonwealth of Australia and the Pharmacy Guild of Australia (the Guild) is due to expire on 30 June 2020.</w:t>
      </w:r>
    </w:p>
    <w:p w:rsidR="00002FE6" w:rsidRDefault="00152470" w:rsidP="00002FE6">
      <w:pPr>
        <w:pStyle w:val="ListNumber"/>
        <w:numPr>
          <w:ilvl w:val="0"/>
          <w:numId w:val="0"/>
        </w:numPr>
        <w:spacing w:after="120" w:line="240" w:lineRule="auto"/>
        <w:ind w:left="369"/>
        <w:rPr>
          <w:rFonts w:ascii="Times New Roman" w:hAnsi="Times New Roman"/>
          <w:sz w:val="20"/>
          <w:szCs w:val="20"/>
        </w:rPr>
      </w:pPr>
      <w:r w:rsidRPr="00002FE6">
        <w:rPr>
          <w:rFonts w:ascii="Times New Roman" w:hAnsi="Times New Roman"/>
          <w:sz w:val="20"/>
          <w:szCs w:val="20"/>
        </w:rPr>
        <w:t xml:space="preserve">In line with the Government’s commitment to lead early and inclusive consultations to inform the 7CPA, the Department has met with a range of organisations since mid 2019. Negotiations have also continued with the Guild and the Pharmaceutical Society of Australia. Stakeholder advice has focussed on how the 7CPA can achieve ongoing improvements to support affordability and </w:t>
      </w:r>
      <w:r w:rsidRPr="00002FE6">
        <w:rPr>
          <w:rFonts w:ascii="Times New Roman" w:hAnsi="Times New Roman"/>
          <w:sz w:val="20"/>
          <w:szCs w:val="20"/>
        </w:rPr>
        <w:lastRenderedPageBreak/>
        <w:t>increased access to Pharmaceutical Benefits Scheme (PBS) medicines, underpinned by effective pharmacy services that achieve the best health outcomes for all Australians.</w:t>
      </w:r>
    </w:p>
    <w:p w:rsidR="00002FE6" w:rsidRDefault="00152470" w:rsidP="00002FE6">
      <w:pPr>
        <w:pStyle w:val="ListNumber"/>
        <w:numPr>
          <w:ilvl w:val="0"/>
          <w:numId w:val="0"/>
        </w:numPr>
        <w:spacing w:after="120" w:line="240" w:lineRule="auto"/>
        <w:ind w:left="369"/>
        <w:rPr>
          <w:rFonts w:ascii="Times New Roman" w:hAnsi="Times New Roman"/>
          <w:sz w:val="20"/>
          <w:szCs w:val="20"/>
        </w:rPr>
      </w:pPr>
      <w:r w:rsidRPr="00002FE6">
        <w:rPr>
          <w:rFonts w:ascii="Times New Roman" w:hAnsi="Times New Roman"/>
          <w:sz w:val="20"/>
          <w:szCs w:val="20"/>
        </w:rPr>
        <w:t>Thirty representatives attended from more than 20 national pharmacy and health and consumer organisations. Participants received a broad update on the progress of 36 consultation and negotiation meetings to date, and key priorities for Government, while maintaining the confidentiality of information shared by organisations during negotiations and consultations</w:t>
      </w:r>
      <w:r w:rsidR="00002FE6">
        <w:rPr>
          <w:rFonts w:ascii="Times New Roman" w:hAnsi="Times New Roman"/>
          <w:sz w:val="20"/>
          <w:szCs w:val="20"/>
        </w:rPr>
        <w:t>.</w:t>
      </w:r>
    </w:p>
    <w:p w:rsidR="00152470" w:rsidRPr="00002FE6" w:rsidRDefault="00152470" w:rsidP="00002FE6">
      <w:pPr>
        <w:pStyle w:val="ListNumber"/>
        <w:numPr>
          <w:ilvl w:val="0"/>
          <w:numId w:val="0"/>
        </w:numPr>
        <w:spacing w:after="120" w:line="240" w:lineRule="auto"/>
        <w:ind w:left="369"/>
        <w:rPr>
          <w:rFonts w:ascii="Times New Roman" w:hAnsi="Times New Roman"/>
          <w:sz w:val="20"/>
          <w:szCs w:val="20"/>
        </w:rPr>
      </w:pPr>
      <w:bookmarkStart w:id="3" w:name="Keythemes"/>
      <w:bookmarkEnd w:id="3"/>
      <w:r w:rsidRPr="00002FE6">
        <w:rPr>
          <w:rFonts w:ascii="Times New Roman" w:hAnsi="Times New Roman"/>
          <w:b/>
          <w:sz w:val="20"/>
          <w:szCs w:val="20"/>
        </w:rPr>
        <w:t>Key themes from the meeting</w:t>
      </w:r>
    </w:p>
    <w:p w:rsidR="00152470" w:rsidRPr="00002FE6" w:rsidRDefault="00152470" w:rsidP="00002FE6">
      <w:pPr>
        <w:pStyle w:val="ListNumber"/>
        <w:numPr>
          <w:ilvl w:val="0"/>
          <w:numId w:val="0"/>
        </w:numPr>
        <w:spacing w:after="120" w:line="240" w:lineRule="auto"/>
        <w:ind w:left="369"/>
        <w:rPr>
          <w:rFonts w:ascii="Times New Roman" w:hAnsi="Times New Roman"/>
          <w:sz w:val="20"/>
          <w:szCs w:val="20"/>
        </w:rPr>
      </w:pPr>
      <w:r w:rsidRPr="00002FE6">
        <w:rPr>
          <w:rFonts w:ascii="Times New Roman" w:hAnsi="Times New Roman"/>
          <w:sz w:val="20"/>
          <w:szCs w:val="20"/>
        </w:rPr>
        <w:t xml:space="preserve">The Department shared the key themes emerging from stakeholder meetings over recent months, such as timely access to, and appropriate use of, medicines, services for older Australians and Aboriginal and Torres Strait Islander people, 7CPA governance, co-ordinated primary care, and rural and remote pharmacy services. In addition, the Department outlined some of the broader policy changes that will support consumers and the pharmacy sector, such as the Commonwealth: </w:t>
      </w:r>
    </w:p>
    <w:p w:rsidR="00152470" w:rsidRPr="00002FE6" w:rsidRDefault="00152470" w:rsidP="00002FE6">
      <w:pPr>
        <w:pStyle w:val="ListNumber"/>
        <w:numPr>
          <w:ilvl w:val="0"/>
          <w:numId w:val="15"/>
        </w:numPr>
        <w:tabs>
          <w:tab w:val="clear" w:pos="720"/>
          <w:tab w:val="num" w:pos="1089"/>
        </w:tabs>
        <w:spacing w:after="0" w:line="240" w:lineRule="auto"/>
        <w:ind w:left="1088" w:hanging="357"/>
        <w:rPr>
          <w:rFonts w:ascii="Times New Roman" w:hAnsi="Times New Roman"/>
          <w:sz w:val="20"/>
          <w:szCs w:val="20"/>
        </w:rPr>
      </w:pPr>
      <w:r w:rsidRPr="00002FE6">
        <w:rPr>
          <w:rFonts w:ascii="Times New Roman" w:hAnsi="Times New Roman"/>
          <w:sz w:val="20"/>
          <w:szCs w:val="20"/>
        </w:rPr>
        <w:t xml:space="preserve">finalising the framework to enable the prescribing, dispensing and claiming of PBS medicines in a seamless electronic manner. </w:t>
      </w:r>
    </w:p>
    <w:p w:rsidR="00152470" w:rsidRPr="00002FE6" w:rsidRDefault="00152470" w:rsidP="00002FE6">
      <w:pPr>
        <w:pStyle w:val="ListNumber"/>
        <w:numPr>
          <w:ilvl w:val="0"/>
          <w:numId w:val="15"/>
        </w:numPr>
        <w:tabs>
          <w:tab w:val="clear" w:pos="720"/>
          <w:tab w:val="num" w:pos="1089"/>
        </w:tabs>
        <w:spacing w:after="0" w:line="240" w:lineRule="auto"/>
        <w:ind w:left="1088" w:hanging="357"/>
        <w:rPr>
          <w:rFonts w:ascii="Times New Roman" w:hAnsi="Times New Roman"/>
          <w:sz w:val="20"/>
          <w:szCs w:val="20"/>
        </w:rPr>
      </w:pPr>
      <w:r w:rsidRPr="00002FE6">
        <w:rPr>
          <w:rFonts w:ascii="Times New Roman" w:hAnsi="Times New Roman"/>
          <w:sz w:val="20"/>
          <w:szCs w:val="20"/>
        </w:rPr>
        <w:t xml:space="preserve">improving medicine safety and reducing medicine related harm by advancing quality use of medicines as a new National Health Priority Area. </w:t>
      </w:r>
    </w:p>
    <w:p w:rsidR="00152470" w:rsidRPr="00002FE6" w:rsidRDefault="00152470" w:rsidP="00002FE6">
      <w:pPr>
        <w:pStyle w:val="ListNumber"/>
        <w:numPr>
          <w:ilvl w:val="0"/>
          <w:numId w:val="15"/>
        </w:numPr>
        <w:tabs>
          <w:tab w:val="clear" w:pos="720"/>
          <w:tab w:val="num" w:pos="1089"/>
        </w:tabs>
        <w:spacing w:after="120" w:line="240" w:lineRule="auto"/>
        <w:ind w:left="1088" w:hanging="357"/>
        <w:rPr>
          <w:rFonts w:ascii="Times New Roman" w:hAnsi="Times New Roman"/>
          <w:sz w:val="20"/>
          <w:szCs w:val="20"/>
        </w:rPr>
      </w:pPr>
      <w:r w:rsidRPr="00002FE6">
        <w:rPr>
          <w:rFonts w:ascii="Times New Roman" w:hAnsi="Times New Roman"/>
          <w:sz w:val="20"/>
          <w:szCs w:val="20"/>
        </w:rPr>
        <w:t>lowering the PBS Safety Net threshold for concessional and non concessional patients, from 1 January 2020.</w:t>
      </w:r>
    </w:p>
    <w:p w:rsidR="00002FE6" w:rsidRDefault="00152470" w:rsidP="00002FE6">
      <w:pPr>
        <w:pStyle w:val="ListNumber"/>
        <w:numPr>
          <w:ilvl w:val="0"/>
          <w:numId w:val="0"/>
        </w:numPr>
        <w:spacing w:after="120" w:line="240" w:lineRule="auto"/>
        <w:ind w:left="369"/>
        <w:rPr>
          <w:rFonts w:ascii="Times New Roman" w:hAnsi="Times New Roman"/>
          <w:sz w:val="20"/>
          <w:szCs w:val="20"/>
        </w:rPr>
      </w:pPr>
      <w:r w:rsidRPr="00002FE6">
        <w:rPr>
          <w:rFonts w:ascii="Times New Roman" w:hAnsi="Times New Roman"/>
          <w:sz w:val="20"/>
          <w:szCs w:val="20"/>
        </w:rPr>
        <w:t xml:space="preserve">Participants shared their views on the issues of most importance to their organisation, building upon the views expressed at </w:t>
      </w:r>
      <w:r w:rsidRPr="002B567E">
        <w:rPr>
          <w:rFonts w:ascii="Times New Roman" w:hAnsi="Times New Roman"/>
          <w:sz w:val="20"/>
          <w:szCs w:val="20"/>
        </w:rPr>
        <w:t xml:space="preserve">the </w:t>
      </w:r>
      <w:hyperlink r:id="rId9" w:history="1">
        <w:r w:rsidRPr="002B567E">
          <w:rPr>
            <w:rStyle w:val="Hyperlink"/>
            <w:rFonts w:ascii="Times New Roman" w:hAnsi="Times New Roman"/>
            <w:color w:val="auto"/>
            <w:sz w:val="20"/>
            <w:szCs w:val="20"/>
          </w:rPr>
          <w:t>23 July 2019 roundtable</w:t>
        </w:r>
      </w:hyperlink>
      <w:r w:rsidRPr="002B567E">
        <w:rPr>
          <w:rFonts w:ascii="Times New Roman" w:hAnsi="Times New Roman"/>
          <w:sz w:val="20"/>
          <w:szCs w:val="20"/>
        </w:rPr>
        <w:t xml:space="preserve">. </w:t>
      </w:r>
      <w:r w:rsidRPr="00002FE6">
        <w:rPr>
          <w:rFonts w:ascii="Times New Roman" w:hAnsi="Times New Roman"/>
          <w:sz w:val="20"/>
          <w:szCs w:val="20"/>
        </w:rPr>
        <w:t>Key areas of discussion are outlined, below.</w:t>
      </w:r>
    </w:p>
    <w:p w:rsidR="00152470" w:rsidRPr="00002FE6" w:rsidRDefault="00152470" w:rsidP="00002FE6">
      <w:pPr>
        <w:pStyle w:val="ListNumber"/>
        <w:numPr>
          <w:ilvl w:val="0"/>
          <w:numId w:val="0"/>
        </w:numPr>
        <w:spacing w:after="120" w:line="240" w:lineRule="auto"/>
        <w:ind w:left="369"/>
        <w:rPr>
          <w:rFonts w:ascii="Times New Roman" w:hAnsi="Times New Roman"/>
          <w:sz w:val="20"/>
          <w:szCs w:val="20"/>
        </w:rPr>
      </w:pPr>
      <w:r w:rsidRPr="00002FE6">
        <w:rPr>
          <w:rFonts w:ascii="Times New Roman" w:hAnsi="Times New Roman"/>
          <w:i/>
          <w:iCs/>
          <w:sz w:val="20"/>
          <w:szCs w:val="20"/>
        </w:rPr>
        <w:t>Pharmacy services for older Australians:</w:t>
      </w:r>
      <w:r w:rsidRPr="00002FE6">
        <w:rPr>
          <w:rFonts w:ascii="Times New Roman" w:hAnsi="Times New Roman"/>
          <w:sz w:val="20"/>
          <w:szCs w:val="20"/>
        </w:rPr>
        <w:t xml:space="preserve"> </w:t>
      </w:r>
    </w:p>
    <w:p w:rsidR="00152470" w:rsidRPr="00002FE6" w:rsidRDefault="00152470" w:rsidP="00002FE6">
      <w:pPr>
        <w:pStyle w:val="ListNumber"/>
        <w:numPr>
          <w:ilvl w:val="0"/>
          <w:numId w:val="16"/>
        </w:numPr>
        <w:tabs>
          <w:tab w:val="clear" w:pos="720"/>
          <w:tab w:val="num" w:pos="1089"/>
        </w:tabs>
        <w:spacing w:after="120" w:line="240" w:lineRule="auto"/>
        <w:ind w:left="1088" w:hanging="357"/>
        <w:rPr>
          <w:rFonts w:ascii="Times New Roman" w:hAnsi="Times New Roman"/>
          <w:sz w:val="20"/>
          <w:szCs w:val="20"/>
        </w:rPr>
      </w:pPr>
      <w:r w:rsidRPr="00002FE6">
        <w:rPr>
          <w:rFonts w:ascii="Times New Roman" w:hAnsi="Times New Roman"/>
          <w:sz w:val="20"/>
          <w:szCs w:val="20"/>
        </w:rPr>
        <w:t xml:space="preserve">enabling medication reviews to be conducted more frequently, including when the person has experienced a significant change in their health condition, or if they are changing health care setting; and to support follow up reviews. </w:t>
      </w:r>
    </w:p>
    <w:p w:rsidR="00152470" w:rsidRPr="00002FE6" w:rsidRDefault="00152470" w:rsidP="00002FE6">
      <w:pPr>
        <w:pStyle w:val="ListNumber"/>
        <w:numPr>
          <w:ilvl w:val="0"/>
          <w:numId w:val="0"/>
        </w:numPr>
        <w:spacing w:after="120" w:line="240" w:lineRule="auto"/>
        <w:ind w:left="369"/>
        <w:rPr>
          <w:rFonts w:ascii="Times New Roman" w:hAnsi="Times New Roman"/>
          <w:sz w:val="20"/>
          <w:szCs w:val="20"/>
        </w:rPr>
      </w:pPr>
      <w:r w:rsidRPr="00002FE6">
        <w:rPr>
          <w:rFonts w:ascii="Times New Roman" w:hAnsi="Times New Roman"/>
          <w:i/>
          <w:iCs/>
          <w:sz w:val="20"/>
          <w:szCs w:val="20"/>
        </w:rPr>
        <w:t>Pharmacy services for Aboriginal and Torres Strait Islander people:</w:t>
      </w:r>
      <w:r w:rsidRPr="00002FE6">
        <w:rPr>
          <w:rFonts w:ascii="Times New Roman" w:hAnsi="Times New Roman"/>
          <w:sz w:val="20"/>
          <w:szCs w:val="20"/>
        </w:rPr>
        <w:t xml:space="preserve"> </w:t>
      </w:r>
    </w:p>
    <w:p w:rsidR="00152470" w:rsidRPr="00002FE6" w:rsidRDefault="00152470" w:rsidP="00002FE6">
      <w:pPr>
        <w:pStyle w:val="ListNumber"/>
        <w:numPr>
          <w:ilvl w:val="0"/>
          <w:numId w:val="17"/>
        </w:numPr>
        <w:tabs>
          <w:tab w:val="clear" w:pos="720"/>
          <w:tab w:val="num" w:pos="1089"/>
        </w:tabs>
        <w:spacing w:after="0" w:line="240" w:lineRule="auto"/>
        <w:ind w:left="1088" w:hanging="357"/>
        <w:rPr>
          <w:rFonts w:ascii="Times New Roman" w:hAnsi="Times New Roman"/>
          <w:sz w:val="20"/>
          <w:szCs w:val="20"/>
        </w:rPr>
      </w:pPr>
      <w:r w:rsidRPr="00002FE6">
        <w:rPr>
          <w:rFonts w:ascii="Times New Roman" w:hAnsi="Times New Roman"/>
          <w:sz w:val="20"/>
          <w:szCs w:val="20"/>
        </w:rPr>
        <w:t xml:space="preserve">reviewing and designing programs in close consultation with stakeholders. </w:t>
      </w:r>
    </w:p>
    <w:p w:rsidR="00152470" w:rsidRPr="00002FE6" w:rsidRDefault="00152470" w:rsidP="00002FE6">
      <w:pPr>
        <w:pStyle w:val="ListNumber"/>
        <w:numPr>
          <w:ilvl w:val="0"/>
          <w:numId w:val="17"/>
        </w:numPr>
        <w:tabs>
          <w:tab w:val="clear" w:pos="720"/>
          <w:tab w:val="num" w:pos="1089"/>
        </w:tabs>
        <w:spacing w:after="0" w:line="240" w:lineRule="auto"/>
        <w:ind w:left="1088" w:hanging="357"/>
        <w:rPr>
          <w:rFonts w:ascii="Times New Roman" w:hAnsi="Times New Roman"/>
          <w:sz w:val="20"/>
          <w:szCs w:val="20"/>
        </w:rPr>
      </w:pPr>
      <w:r w:rsidRPr="00002FE6">
        <w:rPr>
          <w:rFonts w:ascii="Times New Roman" w:hAnsi="Times New Roman"/>
          <w:sz w:val="20"/>
          <w:szCs w:val="20"/>
        </w:rPr>
        <w:t xml:space="preserve">opportunities to increase investment to support the appropriate use of medicines, and ensure that Aboriginal and Torres Strait Islander people have access to culturally appropriate pharmacy services. </w:t>
      </w:r>
    </w:p>
    <w:p w:rsidR="00152470" w:rsidRPr="00002FE6" w:rsidRDefault="00152470" w:rsidP="00002FE6">
      <w:pPr>
        <w:pStyle w:val="ListNumber"/>
        <w:numPr>
          <w:ilvl w:val="0"/>
          <w:numId w:val="17"/>
        </w:numPr>
        <w:tabs>
          <w:tab w:val="clear" w:pos="720"/>
          <w:tab w:val="num" w:pos="1089"/>
        </w:tabs>
        <w:spacing w:after="120" w:line="240" w:lineRule="auto"/>
        <w:ind w:left="1088" w:hanging="357"/>
        <w:rPr>
          <w:rFonts w:ascii="Times New Roman" w:hAnsi="Times New Roman"/>
          <w:sz w:val="20"/>
          <w:szCs w:val="20"/>
        </w:rPr>
      </w:pPr>
      <w:r w:rsidRPr="00002FE6">
        <w:rPr>
          <w:rFonts w:ascii="Times New Roman" w:hAnsi="Times New Roman"/>
          <w:sz w:val="20"/>
          <w:szCs w:val="20"/>
        </w:rPr>
        <w:t xml:space="preserve">increasing access to affordable medication adherence support was raised. </w:t>
      </w:r>
    </w:p>
    <w:p w:rsidR="00152470" w:rsidRPr="00002FE6" w:rsidRDefault="00152470" w:rsidP="00002FE6">
      <w:pPr>
        <w:pStyle w:val="ListNumber"/>
        <w:numPr>
          <w:ilvl w:val="0"/>
          <w:numId w:val="0"/>
        </w:numPr>
        <w:spacing w:after="120" w:line="240" w:lineRule="auto"/>
        <w:ind w:left="369"/>
        <w:rPr>
          <w:rFonts w:ascii="Times New Roman" w:hAnsi="Times New Roman"/>
          <w:sz w:val="20"/>
          <w:szCs w:val="20"/>
        </w:rPr>
      </w:pPr>
      <w:r w:rsidRPr="00002FE6">
        <w:rPr>
          <w:rFonts w:ascii="Times New Roman" w:hAnsi="Times New Roman"/>
          <w:i/>
          <w:iCs/>
          <w:sz w:val="20"/>
          <w:szCs w:val="20"/>
        </w:rPr>
        <w:t>Transparency and consultation:</w:t>
      </w:r>
      <w:r w:rsidRPr="00002FE6">
        <w:rPr>
          <w:rFonts w:ascii="Times New Roman" w:hAnsi="Times New Roman"/>
          <w:sz w:val="20"/>
          <w:szCs w:val="20"/>
        </w:rPr>
        <w:t xml:space="preserve"> </w:t>
      </w:r>
    </w:p>
    <w:p w:rsidR="00152470" w:rsidRPr="00002FE6" w:rsidRDefault="00152470" w:rsidP="00002FE6">
      <w:pPr>
        <w:pStyle w:val="ListNumber"/>
        <w:numPr>
          <w:ilvl w:val="0"/>
          <w:numId w:val="18"/>
        </w:numPr>
        <w:tabs>
          <w:tab w:val="clear" w:pos="720"/>
          <w:tab w:val="num" w:pos="1089"/>
        </w:tabs>
        <w:spacing w:after="0" w:line="240" w:lineRule="auto"/>
        <w:ind w:left="1088" w:hanging="357"/>
        <w:rPr>
          <w:rFonts w:ascii="Times New Roman" w:hAnsi="Times New Roman"/>
          <w:sz w:val="20"/>
          <w:szCs w:val="20"/>
        </w:rPr>
      </w:pPr>
      <w:r w:rsidRPr="00002FE6">
        <w:rPr>
          <w:rFonts w:ascii="Times New Roman" w:hAnsi="Times New Roman"/>
          <w:sz w:val="20"/>
          <w:szCs w:val="20"/>
        </w:rPr>
        <w:t xml:space="preserve">increased consultation, including through establishing expert reference group/s, to provide recommendations and advice to the Department about pharmacy policies and programs. </w:t>
      </w:r>
    </w:p>
    <w:p w:rsidR="00152470" w:rsidRPr="00002FE6" w:rsidRDefault="00152470" w:rsidP="00002FE6">
      <w:pPr>
        <w:pStyle w:val="ListNumber"/>
        <w:numPr>
          <w:ilvl w:val="0"/>
          <w:numId w:val="18"/>
        </w:numPr>
        <w:tabs>
          <w:tab w:val="clear" w:pos="720"/>
          <w:tab w:val="num" w:pos="1089"/>
        </w:tabs>
        <w:spacing w:after="0" w:line="240" w:lineRule="auto"/>
        <w:ind w:left="1089"/>
        <w:rPr>
          <w:rFonts w:ascii="Times New Roman" w:hAnsi="Times New Roman"/>
          <w:sz w:val="20"/>
          <w:szCs w:val="20"/>
        </w:rPr>
      </w:pPr>
      <w:r w:rsidRPr="00002FE6">
        <w:rPr>
          <w:rFonts w:ascii="Times New Roman" w:hAnsi="Times New Roman"/>
          <w:sz w:val="20"/>
          <w:szCs w:val="20"/>
        </w:rPr>
        <w:t xml:space="preserve">Increasing monitoring and transparency, including through access to information about pharmacy policies, evaluation, the effectiveness of programs and funding. </w:t>
      </w:r>
    </w:p>
    <w:p w:rsidR="00152470" w:rsidRPr="00002FE6" w:rsidRDefault="00152470" w:rsidP="00002FE6">
      <w:pPr>
        <w:pStyle w:val="ListNumber"/>
        <w:numPr>
          <w:ilvl w:val="0"/>
          <w:numId w:val="18"/>
        </w:numPr>
        <w:tabs>
          <w:tab w:val="clear" w:pos="720"/>
          <w:tab w:val="num" w:pos="1089"/>
        </w:tabs>
        <w:spacing w:after="0" w:line="240" w:lineRule="auto"/>
        <w:ind w:left="1088" w:hanging="357"/>
        <w:rPr>
          <w:rFonts w:ascii="Times New Roman" w:hAnsi="Times New Roman"/>
          <w:sz w:val="20"/>
          <w:szCs w:val="20"/>
        </w:rPr>
      </w:pPr>
      <w:r w:rsidRPr="00002FE6">
        <w:rPr>
          <w:rFonts w:ascii="Times New Roman" w:hAnsi="Times New Roman"/>
          <w:sz w:val="20"/>
          <w:szCs w:val="20"/>
        </w:rPr>
        <w:t xml:space="preserve">enabling the CPA to be reviewed part-way through, to enable adjustments to be made in response to changing needs and innovations in care and medicines access. </w:t>
      </w:r>
    </w:p>
    <w:p w:rsidR="00152470" w:rsidRPr="00002FE6" w:rsidRDefault="00152470" w:rsidP="00002FE6">
      <w:pPr>
        <w:pStyle w:val="ListNumber"/>
        <w:numPr>
          <w:ilvl w:val="0"/>
          <w:numId w:val="18"/>
        </w:numPr>
        <w:tabs>
          <w:tab w:val="clear" w:pos="720"/>
          <w:tab w:val="num" w:pos="1089"/>
        </w:tabs>
        <w:spacing w:after="120" w:line="240" w:lineRule="auto"/>
        <w:ind w:left="1088" w:hanging="357"/>
        <w:rPr>
          <w:rFonts w:ascii="Times New Roman" w:hAnsi="Times New Roman"/>
          <w:sz w:val="20"/>
          <w:szCs w:val="20"/>
        </w:rPr>
      </w:pPr>
      <w:r w:rsidRPr="00002FE6">
        <w:rPr>
          <w:rFonts w:ascii="Times New Roman" w:hAnsi="Times New Roman"/>
          <w:sz w:val="20"/>
          <w:szCs w:val="20"/>
        </w:rPr>
        <w:t>increasing transparency for consumers, including advising consumers of the cost of a medicine before it is dispensed, to enable consumers to make an informed choice about the dispensing location.</w:t>
      </w:r>
    </w:p>
    <w:p w:rsidR="00152470" w:rsidRPr="00002FE6" w:rsidRDefault="00152470" w:rsidP="00002FE6">
      <w:pPr>
        <w:pStyle w:val="ListNumber"/>
        <w:numPr>
          <w:ilvl w:val="0"/>
          <w:numId w:val="0"/>
        </w:numPr>
        <w:spacing w:after="120" w:line="240" w:lineRule="auto"/>
        <w:ind w:left="369"/>
        <w:rPr>
          <w:rFonts w:ascii="Times New Roman" w:hAnsi="Times New Roman"/>
          <w:b/>
          <w:sz w:val="20"/>
          <w:szCs w:val="20"/>
        </w:rPr>
      </w:pPr>
      <w:bookmarkStart w:id="4" w:name="Nextsteps"/>
      <w:bookmarkEnd w:id="4"/>
      <w:r w:rsidRPr="00002FE6">
        <w:rPr>
          <w:rFonts w:ascii="Times New Roman" w:hAnsi="Times New Roman"/>
          <w:b/>
          <w:sz w:val="20"/>
          <w:szCs w:val="20"/>
        </w:rPr>
        <w:t>Next steps</w:t>
      </w:r>
    </w:p>
    <w:p w:rsidR="00002FE6" w:rsidRDefault="00152470" w:rsidP="00002FE6">
      <w:pPr>
        <w:pStyle w:val="ListNumber"/>
        <w:numPr>
          <w:ilvl w:val="0"/>
          <w:numId w:val="0"/>
        </w:numPr>
        <w:spacing w:after="120" w:line="240" w:lineRule="auto"/>
        <w:ind w:left="369"/>
        <w:rPr>
          <w:rFonts w:ascii="Times New Roman" w:hAnsi="Times New Roman"/>
          <w:sz w:val="20"/>
          <w:szCs w:val="20"/>
        </w:rPr>
      </w:pPr>
      <w:r w:rsidRPr="00002FE6">
        <w:rPr>
          <w:rFonts w:ascii="Times New Roman" w:hAnsi="Times New Roman"/>
          <w:sz w:val="20"/>
          <w:szCs w:val="20"/>
        </w:rPr>
        <w:t>The Department will continue to meet with organisations, to clarify information or seek further views. Negotiations with the 7CPA signatories are ongoing and will continue as a matter of priority.</w:t>
      </w:r>
      <w:bookmarkStart w:id="5" w:name="Organisations"/>
      <w:bookmarkEnd w:id="5"/>
    </w:p>
    <w:p w:rsidR="00152470" w:rsidRPr="00002FE6" w:rsidRDefault="00152470" w:rsidP="00002FE6">
      <w:pPr>
        <w:pStyle w:val="ListNumber"/>
        <w:numPr>
          <w:ilvl w:val="0"/>
          <w:numId w:val="0"/>
        </w:numPr>
        <w:spacing w:after="120" w:line="240" w:lineRule="auto"/>
        <w:ind w:left="369"/>
        <w:rPr>
          <w:rFonts w:ascii="Times New Roman" w:hAnsi="Times New Roman"/>
          <w:sz w:val="20"/>
          <w:szCs w:val="20"/>
        </w:rPr>
      </w:pPr>
      <w:r w:rsidRPr="00002FE6">
        <w:rPr>
          <w:rFonts w:ascii="Times New Roman" w:hAnsi="Times New Roman"/>
          <w:b/>
          <w:sz w:val="20"/>
          <w:szCs w:val="20"/>
        </w:rPr>
        <w:t xml:space="preserve">Organisations that participated in the roundtable </w:t>
      </w:r>
    </w:p>
    <w:p w:rsidR="00152470" w:rsidRPr="00002FE6" w:rsidRDefault="00152470" w:rsidP="00002FE6">
      <w:pPr>
        <w:pStyle w:val="ListNumber"/>
        <w:numPr>
          <w:ilvl w:val="0"/>
          <w:numId w:val="0"/>
        </w:numPr>
        <w:spacing w:after="0" w:line="240" w:lineRule="auto"/>
        <w:ind w:left="369"/>
        <w:rPr>
          <w:rFonts w:ascii="Times New Roman" w:hAnsi="Times New Roman"/>
          <w:sz w:val="20"/>
          <w:szCs w:val="20"/>
        </w:rPr>
      </w:pPr>
      <w:r w:rsidRPr="00002FE6">
        <w:rPr>
          <w:rFonts w:ascii="Times New Roman" w:hAnsi="Times New Roman"/>
          <w:sz w:val="20"/>
          <w:szCs w:val="20"/>
        </w:rPr>
        <w:t>Aged and Community Services Australia</w:t>
      </w:r>
      <w:r w:rsidRPr="00002FE6">
        <w:rPr>
          <w:rFonts w:ascii="Times New Roman" w:hAnsi="Times New Roman"/>
          <w:sz w:val="20"/>
          <w:szCs w:val="20"/>
        </w:rPr>
        <w:br/>
        <w:t>Australian Association of Consultant Pharmacy</w:t>
      </w:r>
      <w:r w:rsidRPr="00002FE6">
        <w:rPr>
          <w:rFonts w:ascii="Times New Roman" w:hAnsi="Times New Roman"/>
          <w:sz w:val="20"/>
          <w:szCs w:val="20"/>
        </w:rPr>
        <w:br/>
        <w:t>Australian College of Rural and Remote Medicine</w:t>
      </w:r>
      <w:r w:rsidRPr="00002FE6">
        <w:rPr>
          <w:rFonts w:ascii="Times New Roman" w:hAnsi="Times New Roman"/>
          <w:sz w:val="20"/>
          <w:szCs w:val="20"/>
        </w:rPr>
        <w:br/>
        <w:t>The Australian Friendly Societies Pharmacies Association Inc</w:t>
      </w:r>
      <w:r w:rsidRPr="00002FE6">
        <w:rPr>
          <w:rFonts w:ascii="Times New Roman" w:hAnsi="Times New Roman"/>
          <w:sz w:val="20"/>
          <w:szCs w:val="20"/>
        </w:rPr>
        <w:br/>
        <w:t>Australian Medical Association</w:t>
      </w:r>
      <w:r w:rsidRPr="00002FE6">
        <w:rPr>
          <w:rFonts w:ascii="Times New Roman" w:hAnsi="Times New Roman"/>
          <w:sz w:val="20"/>
          <w:szCs w:val="20"/>
        </w:rPr>
        <w:br/>
        <w:t>Australian Private Hospitals Association</w:t>
      </w:r>
      <w:r w:rsidRPr="00002FE6">
        <w:rPr>
          <w:rFonts w:ascii="Times New Roman" w:hAnsi="Times New Roman"/>
          <w:sz w:val="20"/>
          <w:szCs w:val="20"/>
        </w:rPr>
        <w:br/>
      </w:r>
      <w:r w:rsidRPr="00002FE6">
        <w:rPr>
          <w:rFonts w:ascii="Times New Roman" w:hAnsi="Times New Roman"/>
          <w:sz w:val="20"/>
          <w:szCs w:val="20"/>
        </w:rPr>
        <w:lastRenderedPageBreak/>
        <w:t>Catholic Health Australia</w:t>
      </w:r>
      <w:r w:rsidRPr="00002FE6">
        <w:rPr>
          <w:rFonts w:ascii="Times New Roman" w:hAnsi="Times New Roman"/>
          <w:sz w:val="20"/>
          <w:szCs w:val="20"/>
        </w:rPr>
        <w:br/>
        <w:t>Chemist Warehouse Group</w:t>
      </w:r>
      <w:r w:rsidRPr="00002FE6">
        <w:rPr>
          <w:rFonts w:ascii="Times New Roman" w:hAnsi="Times New Roman"/>
          <w:sz w:val="20"/>
          <w:szCs w:val="20"/>
        </w:rPr>
        <w:br/>
        <w:t>Chemotherapy Compounding Group</w:t>
      </w:r>
      <w:r w:rsidRPr="00002FE6">
        <w:rPr>
          <w:rFonts w:ascii="Times New Roman" w:hAnsi="Times New Roman"/>
          <w:sz w:val="20"/>
          <w:szCs w:val="20"/>
        </w:rPr>
        <w:br/>
        <w:t>Consumers Health Forum of Australia</w:t>
      </w:r>
      <w:r w:rsidRPr="00002FE6">
        <w:rPr>
          <w:rFonts w:ascii="Times New Roman" w:hAnsi="Times New Roman"/>
          <w:sz w:val="20"/>
          <w:szCs w:val="20"/>
        </w:rPr>
        <w:br/>
        <w:t>COTA Australia (Council on the Ageing)</w:t>
      </w:r>
      <w:r w:rsidRPr="00002FE6">
        <w:rPr>
          <w:rFonts w:ascii="Times New Roman" w:hAnsi="Times New Roman"/>
          <w:sz w:val="20"/>
          <w:szCs w:val="20"/>
        </w:rPr>
        <w:br/>
        <w:t>Generic and Biosimilar Medicines Association</w:t>
      </w:r>
      <w:r w:rsidRPr="00002FE6">
        <w:rPr>
          <w:rFonts w:ascii="Times New Roman" w:hAnsi="Times New Roman"/>
          <w:sz w:val="20"/>
          <w:szCs w:val="20"/>
        </w:rPr>
        <w:br/>
        <w:t>Leading Age Services Australia</w:t>
      </w:r>
      <w:r w:rsidRPr="00002FE6">
        <w:rPr>
          <w:rFonts w:ascii="Times New Roman" w:hAnsi="Times New Roman"/>
          <w:sz w:val="20"/>
          <w:szCs w:val="20"/>
        </w:rPr>
        <w:br/>
        <w:t>The Medical Software Industry Association</w:t>
      </w:r>
      <w:r w:rsidRPr="00002FE6">
        <w:rPr>
          <w:rFonts w:ascii="Times New Roman" w:hAnsi="Times New Roman"/>
          <w:sz w:val="20"/>
          <w:szCs w:val="20"/>
        </w:rPr>
        <w:br/>
        <w:t>Medicines Australia</w:t>
      </w:r>
      <w:r w:rsidRPr="00002FE6">
        <w:rPr>
          <w:rFonts w:ascii="Times New Roman" w:hAnsi="Times New Roman"/>
          <w:sz w:val="20"/>
          <w:szCs w:val="20"/>
        </w:rPr>
        <w:br/>
        <w:t>National Aboriginal Community Controlled Health Organisation</w:t>
      </w:r>
      <w:r w:rsidRPr="00002FE6">
        <w:rPr>
          <w:rFonts w:ascii="Times New Roman" w:hAnsi="Times New Roman"/>
          <w:sz w:val="20"/>
          <w:szCs w:val="20"/>
        </w:rPr>
        <w:br/>
        <w:t>National Pharmaceutical Services Association</w:t>
      </w:r>
      <w:r w:rsidRPr="00002FE6">
        <w:rPr>
          <w:rFonts w:ascii="Times New Roman" w:hAnsi="Times New Roman"/>
          <w:sz w:val="20"/>
          <w:szCs w:val="20"/>
        </w:rPr>
        <w:br/>
        <w:t>The Pharmaceutical Society of Australia</w:t>
      </w:r>
      <w:r w:rsidRPr="00002FE6">
        <w:rPr>
          <w:rFonts w:ascii="Times New Roman" w:hAnsi="Times New Roman"/>
          <w:sz w:val="20"/>
          <w:szCs w:val="20"/>
        </w:rPr>
        <w:br/>
        <w:t>Pharmacy Board of Australia</w:t>
      </w:r>
      <w:r w:rsidRPr="00002FE6">
        <w:rPr>
          <w:rFonts w:ascii="Times New Roman" w:hAnsi="Times New Roman"/>
          <w:sz w:val="20"/>
          <w:szCs w:val="20"/>
        </w:rPr>
        <w:br/>
        <w:t>The Pharmacy Guild of Australia</w:t>
      </w:r>
      <w:r w:rsidRPr="00002FE6">
        <w:rPr>
          <w:rFonts w:ascii="Times New Roman" w:hAnsi="Times New Roman"/>
          <w:sz w:val="20"/>
          <w:szCs w:val="20"/>
        </w:rPr>
        <w:br/>
        <w:t>Primary Health Networks</w:t>
      </w:r>
      <w:r w:rsidRPr="00002FE6">
        <w:rPr>
          <w:rFonts w:ascii="Times New Roman" w:hAnsi="Times New Roman"/>
          <w:sz w:val="20"/>
          <w:szCs w:val="20"/>
        </w:rPr>
        <w:br/>
        <w:t>Professional Pharmacists Australia</w:t>
      </w:r>
      <w:r w:rsidRPr="00002FE6">
        <w:rPr>
          <w:rFonts w:ascii="Times New Roman" w:hAnsi="Times New Roman"/>
          <w:sz w:val="20"/>
          <w:szCs w:val="20"/>
        </w:rPr>
        <w:br/>
        <w:t>Royal Australian College of General Practitioners</w:t>
      </w:r>
      <w:r w:rsidRPr="00002FE6">
        <w:rPr>
          <w:rFonts w:ascii="Times New Roman" w:hAnsi="Times New Roman"/>
          <w:sz w:val="20"/>
          <w:szCs w:val="20"/>
        </w:rPr>
        <w:br/>
        <w:t>The Society of Hospital Pharmacists of Australia</w:t>
      </w:r>
      <w:r w:rsidRPr="00002FE6">
        <w:rPr>
          <w:rFonts w:ascii="Times New Roman" w:hAnsi="Times New Roman"/>
          <w:sz w:val="20"/>
          <w:szCs w:val="20"/>
        </w:rPr>
        <w:br/>
      </w:r>
    </w:p>
    <w:p w:rsidR="009E1CCE" w:rsidRDefault="009E1CCE" w:rsidP="000C1B06">
      <w:pPr>
        <w:pStyle w:val="ListNumber"/>
        <w:numPr>
          <w:ilvl w:val="0"/>
          <w:numId w:val="0"/>
        </w:numPr>
        <w:spacing w:after="240" w:line="240" w:lineRule="auto"/>
        <w:rPr>
          <w:rFonts w:ascii="Times New Roman" w:hAnsi="Times New Roman"/>
          <w:sz w:val="24"/>
          <w:szCs w:val="24"/>
        </w:rPr>
      </w:pPr>
      <w:r>
        <w:rPr>
          <w:rFonts w:ascii="Times New Roman" w:hAnsi="Times New Roman"/>
          <w:sz w:val="24"/>
          <w:szCs w:val="24"/>
        </w:rPr>
        <w:t xml:space="preserve">No </w:t>
      </w:r>
      <w:r w:rsidR="00D90417">
        <w:rPr>
          <w:rFonts w:ascii="Times New Roman" w:hAnsi="Times New Roman"/>
          <w:sz w:val="24"/>
          <w:szCs w:val="24"/>
        </w:rPr>
        <w:t xml:space="preserve">external consultations </w:t>
      </w:r>
      <w:r>
        <w:rPr>
          <w:rFonts w:ascii="Times New Roman" w:hAnsi="Times New Roman"/>
          <w:sz w:val="24"/>
          <w:szCs w:val="24"/>
        </w:rPr>
        <w:t xml:space="preserve">have taken place with the ex-service representative bodies as the amendments to the Schemes are both necessary and consequential to the arrangement entered into between the Department of Health and the providers. </w:t>
      </w:r>
    </w:p>
    <w:p w:rsidR="003B5C6A" w:rsidRDefault="003B5C6A" w:rsidP="000C1B06">
      <w:pPr>
        <w:ind w:left="567" w:right="-284" w:hanging="567"/>
        <w:rPr>
          <w:i/>
          <w:sz w:val="24"/>
          <w:szCs w:val="24"/>
        </w:rPr>
      </w:pPr>
      <w:r w:rsidRPr="00813811">
        <w:rPr>
          <w:i/>
          <w:sz w:val="24"/>
          <w:szCs w:val="24"/>
        </w:rPr>
        <w:t>Active Ingredient Processing</w:t>
      </w:r>
    </w:p>
    <w:p w:rsidR="009E1CCE" w:rsidRDefault="00C009B8" w:rsidP="000C1B06">
      <w:pPr>
        <w:pStyle w:val="ListNumber"/>
        <w:numPr>
          <w:ilvl w:val="0"/>
          <w:numId w:val="0"/>
        </w:numPr>
        <w:spacing w:before="240" w:after="240" w:line="240" w:lineRule="auto"/>
        <w:rPr>
          <w:rFonts w:ascii="Times New Roman" w:hAnsi="Times New Roman"/>
          <w:sz w:val="24"/>
          <w:szCs w:val="24"/>
        </w:rPr>
      </w:pPr>
      <w:r w:rsidRPr="00C009B8">
        <w:rPr>
          <w:rFonts w:ascii="Times New Roman" w:hAnsi="Times New Roman"/>
          <w:sz w:val="24"/>
          <w:szCs w:val="24"/>
        </w:rPr>
        <w:t xml:space="preserve">DVA has been in contact with the Department of Health </w:t>
      </w:r>
      <w:r>
        <w:rPr>
          <w:rFonts w:ascii="Times New Roman" w:hAnsi="Times New Roman"/>
          <w:sz w:val="24"/>
          <w:szCs w:val="24"/>
        </w:rPr>
        <w:t xml:space="preserve">in relation to this matter as they </w:t>
      </w:r>
      <w:r w:rsidRPr="00C009B8">
        <w:rPr>
          <w:rFonts w:ascii="Times New Roman" w:hAnsi="Times New Roman"/>
          <w:sz w:val="24"/>
          <w:szCs w:val="24"/>
        </w:rPr>
        <w:t xml:space="preserve">have the responsibility for </w:t>
      </w:r>
      <w:r>
        <w:rPr>
          <w:rFonts w:ascii="Times New Roman" w:hAnsi="Times New Roman"/>
          <w:sz w:val="24"/>
          <w:szCs w:val="24"/>
        </w:rPr>
        <w:t xml:space="preserve">negotiating with </w:t>
      </w:r>
      <w:r w:rsidRPr="00C009B8">
        <w:rPr>
          <w:rFonts w:ascii="Times New Roman" w:hAnsi="Times New Roman"/>
          <w:sz w:val="24"/>
          <w:szCs w:val="24"/>
        </w:rPr>
        <w:t>the relevant stakeholders.</w:t>
      </w:r>
    </w:p>
    <w:p w:rsidR="00C009B8" w:rsidRDefault="00C009B8" w:rsidP="00C009B8">
      <w:pPr>
        <w:pStyle w:val="ListNumber"/>
        <w:numPr>
          <w:ilvl w:val="0"/>
          <w:numId w:val="0"/>
        </w:numPr>
        <w:spacing w:after="240" w:line="240" w:lineRule="auto"/>
        <w:rPr>
          <w:rFonts w:ascii="Times New Roman" w:hAnsi="Times New Roman"/>
          <w:sz w:val="24"/>
          <w:szCs w:val="24"/>
        </w:rPr>
      </w:pPr>
      <w:r>
        <w:rPr>
          <w:rFonts w:ascii="Times New Roman" w:hAnsi="Times New Roman"/>
          <w:sz w:val="24"/>
          <w:szCs w:val="24"/>
        </w:rPr>
        <w:t xml:space="preserve">No external consultations have taken place with the ex-service representative bodies as the amendments to the Schemes are both necessary and consequential to the arrangement entered into between the Department of Health and the Medical Software Industry Association. </w:t>
      </w:r>
    </w:p>
    <w:p w:rsidR="003B5C6A" w:rsidRPr="000C1B06" w:rsidRDefault="003B5C6A" w:rsidP="000C1B06">
      <w:pPr>
        <w:pStyle w:val="ListNumber"/>
        <w:numPr>
          <w:ilvl w:val="0"/>
          <w:numId w:val="0"/>
        </w:numPr>
        <w:spacing w:after="120" w:line="240" w:lineRule="auto"/>
        <w:rPr>
          <w:rFonts w:ascii="Times New Roman" w:hAnsi="Times New Roman"/>
          <w:i/>
          <w:sz w:val="24"/>
          <w:szCs w:val="24"/>
        </w:rPr>
      </w:pPr>
      <w:r w:rsidRPr="000C1B06">
        <w:rPr>
          <w:rFonts w:ascii="Times New Roman" w:hAnsi="Times New Roman"/>
          <w:i/>
          <w:sz w:val="24"/>
          <w:szCs w:val="24"/>
        </w:rPr>
        <w:t>Other amendments</w:t>
      </w:r>
    </w:p>
    <w:p w:rsidR="002B567E" w:rsidRDefault="009E1CCE" w:rsidP="00122F5C">
      <w:pPr>
        <w:pStyle w:val="ListNumber"/>
        <w:numPr>
          <w:ilvl w:val="0"/>
          <w:numId w:val="0"/>
        </w:numPr>
        <w:spacing w:after="0" w:line="240" w:lineRule="auto"/>
        <w:rPr>
          <w:rFonts w:ascii="Times New Roman" w:hAnsi="Times New Roman"/>
          <w:sz w:val="24"/>
          <w:szCs w:val="24"/>
        </w:rPr>
      </w:pPr>
      <w:r>
        <w:rPr>
          <w:rFonts w:ascii="Times New Roman" w:hAnsi="Times New Roman"/>
          <w:sz w:val="24"/>
          <w:szCs w:val="24"/>
        </w:rPr>
        <w:t>A</w:t>
      </w:r>
      <w:r w:rsidR="002B567E">
        <w:rPr>
          <w:rFonts w:ascii="Times New Roman" w:hAnsi="Times New Roman"/>
          <w:sz w:val="24"/>
          <w:szCs w:val="24"/>
        </w:rPr>
        <w:t xml:space="preserve">n </w:t>
      </w:r>
      <w:r w:rsidR="00D90417">
        <w:rPr>
          <w:rFonts w:ascii="Times New Roman" w:hAnsi="Times New Roman"/>
          <w:sz w:val="24"/>
          <w:szCs w:val="24"/>
        </w:rPr>
        <w:t>internal consu</w:t>
      </w:r>
      <w:r w:rsidR="00A40F28">
        <w:rPr>
          <w:rFonts w:ascii="Times New Roman" w:hAnsi="Times New Roman"/>
          <w:sz w:val="24"/>
          <w:szCs w:val="24"/>
        </w:rPr>
        <w:t>lta</w:t>
      </w:r>
      <w:r w:rsidR="00D90417">
        <w:rPr>
          <w:rFonts w:ascii="Times New Roman" w:hAnsi="Times New Roman"/>
          <w:sz w:val="24"/>
          <w:szCs w:val="24"/>
        </w:rPr>
        <w:t xml:space="preserve">tion </w:t>
      </w:r>
      <w:r w:rsidR="002B567E">
        <w:rPr>
          <w:rFonts w:ascii="Times New Roman" w:hAnsi="Times New Roman"/>
          <w:sz w:val="24"/>
          <w:szCs w:val="24"/>
        </w:rPr>
        <w:t xml:space="preserve">was </w:t>
      </w:r>
      <w:r w:rsidR="00484A3B">
        <w:rPr>
          <w:rFonts w:ascii="Times New Roman" w:hAnsi="Times New Roman"/>
          <w:sz w:val="24"/>
          <w:szCs w:val="24"/>
        </w:rPr>
        <w:t xml:space="preserve">undertaken </w:t>
      </w:r>
      <w:r w:rsidR="002B567E">
        <w:rPr>
          <w:rFonts w:ascii="Times New Roman" w:hAnsi="Times New Roman"/>
          <w:sz w:val="24"/>
          <w:szCs w:val="24"/>
        </w:rPr>
        <w:t>for the</w:t>
      </w:r>
      <w:r w:rsidR="00484A3B">
        <w:rPr>
          <w:rFonts w:ascii="Times New Roman" w:hAnsi="Times New Roman"/>
          <w:sz w:val="24"/>
          <w:szCs w:val="24"/>
        </w:rPr>
        <w:t xml:space="preserve"> amendments concerning the listing of the pharmaceutical benefits in Schedule 2 of the RPBS which may be prescribed without a prescription under the emergency arrangements and for the </w:t>
      </w:r>
      <w:r w:rsidR="002B567E">
        <w:rPr>
          <w:rFonts w:ascii="Times New Roman" w:hAnsi="Times New Roman"/>
          <w:sz w:val="24"/>
          <w:szCs w:val="24"/>
        </w:rPr>
        <w:t>other amendments to the Schemes to correct errors an</w:t>
      </w:r>
      <w:r>
        <w:rPr>
          <w:rFonts w:ascii="Times New Roman" w:hAnsi="Times New Roman"/>
          <w:sz w:val="24"/>
          <w:szCs w:val="24"/>
        </w:rPr>
        <w:t xml:space="preserve">d remove redundant references. As these changes have </w:t>
      </w:r>
      <w:r w:rsidR="00484A3B">
        <w:rPr>
          <w:rFonts w:ascii="Times New Roman" w:hAnsi="Times New Roman"/>
          <w:sz w:val="24"/>
          <w:szCs w:val="24"/>
        </w:rPr>
        <w:t xml:space="preserve">little </w:t>
      </w:r>
      <w:r>
        <w:rPr>
          <w:rFonts w:ascii="Times New Roman" w:hAnsi="Times New Roman"/>
          <w:sz w:val="24"/>
          <w:szCs w:val="24"/>
        </w:rPr>
        <w:t xml:space="preserve">impact on the provision of benefits they were not referred to the ex-service representative bodies for consultation. </w:t>
      </w:r>
    </w:p>
    <w:p w:rsidR="002370A4" w:rsidRPr="0063263D" w:rsidRDefault="002370A4" w:rsidP="000C1B06">
      <w:pPr>
        <w:pStyle w:val="BodyText2"/>
        <w:spacing w:before="240"/>
        <w:rPr>
          <w:b/>
          <w:color w:val="000000"/>
          <w:sz w:val="24"/>
          <w:szCs w:val="24"/>
        </w:rPr>
      </w:pPr>
      <w:r w:rsidRPr="0063263D">
        <w:rPr>
          <w:b/>
          <w:color w:val="000000"/>
          <w:sz w:val="24"/>
          <w:szCs w:val="24"/>
        </w:rPr>
        <w:t>RETROSPECTIVITY</w:t>
      </w:r>
    </w:p>
    <w:p w:rsidR="002370A4" w:rsidRDefault="006D55CC" w:rsidP="000C1B06">
      <w:pPr>
        <w:pStyle w:val="BodyTextIndent2"/>
        <w:spacing w:before="240"/>
        <w:ind w:left="0" w:firstLine="0"/>
        <w:rPr>
          <w:color w:val="000000"/>
          <w:szCs w:val="24"/>
        </w:rPr>
      </w:pPr>
      <w:r>
        <w:rPr>
          <w:color w:val="000000"/>
          <w:szCs w:val="24"/>
        </w:rPr>
        <w:t>1 July 2020. The commencement date is retrospective to ensure that it will commence on the same date that the Seventh Community Pharmacy Agreement commences.</w:t>
      </w:r>
    </w:p>
    <w:p w:rsidR="006D55CC" w:rsidRDefault="006D55CC" w:rsidP="000C1B06">
      <w:pPr>
        <w:pStyle w:val="BodyTextIndent2"/>
        <w:spacing w:before="240"/>
        <w:ind w:left="0" w:firstLine="0"/>
        <w:rPr>
          <w:color w:val="000000"/>
          <w:szCs w:val="24"/>
        </w:rPr>
      </w:pPr>
      <w:r>
        <w:rPr>
          <w:color w:val="000000"/>
          <w:szCs w:val="24"/>
        </w:rPr>
        <w:t xml:space="preserve">The requirement for retrospectivity is a beneficial measure as it is to ensure that the “dispensed price” of medicines listed on the RSPB for eligible persons under the Schemes will be calculated in the same manner as it is for medicines listed on the PBS for the general public. </w:t>
      </w:r>
      <w:bookmarkStart w:id="6" w:name="_GoBack"/>
      <w:bookmarkEnd w:id="6"/>
    </w:p>
    <w:p w:rsidR="002370A4" w:rsidRDefault="002370A4" w:rsidP="002370A4">
      <w:pPr>
        <w:rPr>
          <w:b/>
          <w:color w:val="000000"/>
          <w:sz w:val="24"/>
          <w:szCs w:val="24"/>
        </w:rPr>
      </w:pPr>
    </w:p>
    <w:p w:rsidR="002370A4" w:rsidRPr="0063263D" w:rsidRDefault="002370A4" w:rsidP="002370A4">
      <w:pPr>
        <w:rPr>
          <w:b/>
          <w:color w:val="000000"/>
          <w:sz w:val="24"/>
          <w:szCs w:val="24"/>
        </w:rPr>
      </w:pPr>
      <w:r>
        <w:rPr>
          <w:b/>
          <w:color w:val="000000"/>
          <w:sz w:val="24"/>
          <w:szCs w:val="24"/>
        </w:rPr>
        <w:t>D</w:t>
      </w:r>
      <w:r w:rsidRPr="0063263D">
        <w:rPr>
          <w:b/>
          <w:color w:val="000000"/>
          <w:sz w:val="24"/>
          <w:szCs w:val="24"/>
        </w:rPr>
        <w:t>OCUMENTS INCORPORATED BY REFERENCE</w:t>
      </w:r>
    </w:p>
    <w:p w:rsidR="009D2A24" w:rsidRDefault="000C25BC" w:rsidP="003B0701">
      <w:pPr>
        <w:spacing w:before="240" w:after="120"/>
        <w:rPr>
          <w:sz w:val="24"/>
          <w:szCs w:val="24"/>
        </w:rPr>
      </w:pPr>
      <w:r>
        <w:rPr>
          <w:sz w:val="24"/>
          <w:szCs w:val="24"/>
        </w:rPr>
        <w:t xml:space="preserve">The proposed amendments to section 21A will replace references to a document, the “Sixth Community Pharmacy Agreement” which is incorporated by reference with </w:t>
      </w:r>
      <w:r>
        <w:rPr>
          <w:sz w:val="24"/>
          <w:szCs w:val="24"/>
        </w:rPr>
        <w:lastRenderedPageBreak/>
        <w:t xml:space="preserve">references to a document, the “Seventh Community Pharmacy Agreement” which is also incorporated by reference under the exception to subsection 14(2) of the </w:t>
      </w:r>
      <w:r w:rsidRPr="000C1B06">
        <w:rPr>
          <w:i/>
          <w:sz w:val="24"/>
          <w:szCs w:val="24"/>
        </w:rPr>
        <w:t>Legislation Act 2003</w:t>
      </w:r>
      <w:r>
        <w:rPr>
          <w:sz w:val="24"/>
          <w:szCs w:val="24"/>
        </w:rPr>
        <w:t xml:space="preserve"> provided by subsection 91(5B) of the VEA.</w:t>
      </w:r>
    </w:p>
    <w:p w:rsidR="000C25BC" w:rsidRDefault="000C25BC" w:rsidP="003B0701">
      <w:pPr>
        <w:rPr>
          <w:sz w:val="24"/>
          <w:szCs w:val="24"/>
        </w:rPr>
      </w:pPr>
      <w:r>
        <w:rPr>
          <w:sz w:val="24"/>
          <w:szCs w:val="24"/>
        </w:rPr>
        <w:t>Consequential amendments are also made to the list of incorporated documents in Schedule 1 of the RPBS.</w:t>
      </w:r>
    </w:p>
    <w:p w:rsidR="001D299C" w:rsidRPr="0063263D" w:rsidRDefault="001D299C" w:rsidP="000C1B06">
      <w:pPr>
        <w:spacing w:before="240"/>
        <w:rPr>
          <w:b/>
          <w:color w:val="000000"/>
          <w:sz w:val="24"/>
          <w:szCs w:val="24"/>
        </w:rPr>
      </w:pPr>
      <w:r w:rsidRPr="0063263D">
        <w:rPr>
          <w:b/>
          <w:color w:val="000000"/>
          <w:sz w:val="24"/>
          <w:szCs w:val="24"/>
        </w:rPr>
        <w:t>HUMAN RIGHTS STATEMENT</w:t>
      </w:r>
    </w:p>
    <w:p w:rsidR="001D299C" w:rsidRPr="00151AAC" w:rsidRDefault="001D299C" w:rsidP="000C1B06">
      <w:pPr>
        <w:shd w:val="clear" w:color="auto" w:fill="FFFFFF"/>
        <w:spacing w:before="240" w:after="240"/>
        <w:rPr>
          <w:sz w:val="24"/>
          <w:szCs w:val="24"/>
        </w:rPr>
      </w:pPr>
      <w:r w:rsidRPr="00151AAC">
        <w:rPr>
          <w:sz w:val="24"/>
          <w:szCs w:val="24"/>
        </w:rPr>
        <w:t>Prepared in accordance with Part 3 of the</w:t>
      </w:r>
      <w:r w:rsidRPr="00151AAC">
        <w:rPr>
          <w:i/>
          <w:sz w:val="24"/>
          <w:szCs w:val="24"/>
        </w:rPr>
        <w:t xml:space="preserve"> Human Rights (Parliamentary Scrutiny) Act 2011</w:t>
      </w:r>
    </w:p>
    <w:p w:rsidR="001D299C" w:rsidRPr="00151AAC" w:rsidRDefault="001D299C" w:rsidP="001D299C">
      <w:pPr>
        <w:ind w:right="91"/>
        <w:rPr>
          <w:sz w:val="24"/>
          <w:szCs w:val="24"/>
        </w:rPr>
      </w:pPr>
      <w:r w:rsidRPr="00151AAC">
        <w:rPr>
          <w:sz w:val="24"/>
          <w:szCs w:val="24"/>
        </w:rPr>
        <w:t xml:space="preserve">The </w:t>
      </w:r>
      <w:r w:rsidR="002B567E" w:rsidRPr="002B567E">
        <w:rPr>
          <w:i/>
          <w:sz w:val="24"/>
          <w:szCs w:val="24"/>
        </w:rPr>
        <w:t>Veterans’ Affairs Pharmaceutical Benefits Schemes (Seventh Community Pharmacy Agreement) Amendment Determination 202</w:t>
      </w:r>
      <w:r w:rsidR="002B567E">
        <w:rPr>
          <w:i/>
          <w:sz w:val="24"/>
          <w:szCs w:val="24"/>
        </w:rPr>
        <w:t xml:space="preserve">0 </w:t>
      </w:r>
      <w:r w:rsidRPr="00151AAC">
        <w:rPr>
          <w:sz w:val="24"/>
          <w:szCs w:val="24"/>
        </w:rPr>
        <w:t xml:space="preserve">is compatible with the human rights and freedoms recognised or declared in the international instruments listed in section 3 of the </w:t>
      </w:r>
      <w:r w:rsidRPr="006C26AF">
        <w:rPr>
          <w:i/>
          <w:sz w:val="24"/>
          <w:szCs w:val="24"/>
        </w:rPr>
        <w:t>Human Rights (Parliamentary Scrutiny) Act 201</w:t>
      </w:r>
      <w:r w:rsidRPr="00151AAC">
        <w:rPr>
          <w:sz w:val="24"/>
          <w:szCs w:val="24"/>
        </w:rPr>
        <w:t>1.</w:t>
      </w:r>
    </w:p>
    <w:p w:rsidR="001D299C" w:rsidRPr="002278DC" w:rsidRDefault="001D299C" w:rsidP="001D299C">
      <w:pPr>
        <w:ind w:right="91"/>
        <w:rPr>
          <w:i/>
        </w:rPr>
      </w:pPr>
    </w:p>
    <w:p w:rsidR="001D299C" w:rsidRPr="00CE4258" w:rsidRDefault="001D299C" w:rsidP="00151AAC">
      <w:pPr>
        <w:ind w:right="-471"/>
        <w:rPr>
          <w:i/>
          <w:sz w:val="24"/>
          <w:szCs w:val="24"/>
        </w:rPr>
      </w:pPr>
      <w:r w:rsidRPr="00CE4258">
        <w:rPr>
          <w:i/>
          <w:sz w:val="24"/>
          <w:szCs w:val="24"/>
        </w:rPr>
        <w:t>Overview of the Legislative Instrument</w:t>
      </w:r>
    </w:p>
    <w:p w:rsidR="001D299C" w:rsidRPr="00CE4258" w:rsidRDefault="001D299C" w:rsidP="001D299C">
      <w:pPr>
        <w:ind w:right="-471" w:hanging="142"/>
        <w:jc w:val="center"/>
      </w:pPr>
    </w:p>
    <w:p w:rsidR="00EC53F1" w:rsidRDefault="00610365" w:rsidP="001D299C">
      <w:pPr>
        <w:shd w:val="clear" w:color="auto" w:fill="FFFFFF"/>
        <w:spacing w:after="240"/>
        <w:ind w:right="-187"/>
        <w:rPr>
          <w:sz w:val="24"/>
          <w:szCs w:val="24"/>
        </w:rPr>
      </w:pPr>
      <w:r w:rsidRPr="00B2586A">
        <w:rPr>
          <w:sz w:val="24"/>
          <w:szCs w:val="24"/>
        </w:rPr>
        <w:t xml:space="preserve">The </w:t>
      </w:r>
      <w:r w:rsidRPr="00610365">
        <w:rPr>
          <w:sz w:val="24"/>
          <w:szCs w:val="24"/>
        </w:rPr>
        <w:t>Repatriation Pharmaceutical Benefits Scheme</w:t>
      </w:r>
      <w:r w:rsidR="00EC53F1">
        <w:rPr>
          <w:sz w:val="24"/>
          <w:szCs w:val="24"/>
        </w:rPr>
        <w:t xml:space="preserve"> (RPBS)</w:t>
      </w:r>
      <w:r w:rsidRPr="00610365">
        <w:rPr>
          <w:sz w:val="24"/>
          <w:szCs w:val="24"/>
        </w:rPr>
        <w:t xml:space="preserve"> and the MRCA Pharmaceutical Benefits Scheme</w:t>
      </w:r>
      <w:r>
        <w:rPr>
          <w:sz w:val="24"/>
          <w:szCs w:val="24"/>
        </w:rPr>
        <w:t xml:space="preserve"> </w:t>
      </w:r>
      <w:r w:rsidR="00EC53F1">
        <w:rPr>
          <w:sz w:val="24"/>
          <w:szCs w:val="24"/>
        </w:rPr>
        <w:t xml:space="preserve">(MRCA PBS) </w:t>
      </w:r>
      <w:r>
        <w:rPr>
          <w:sz w:val="24"/>
          <w:szCs w:val="24"/>
        </w:rPr>
        <w:t>(the Schemes)</w:t>
      </w:r>
      <w:r w:rsidRPr="00B2586A">
        <w:rPr>
          <w:sz w:val="24"/>
          <w:szCs w:val="24"/>
        </w:rPr>
        <w:t xml:space="preserve"> </w:t>
      </w:r>
      <w:r w:rsidR="00E502F0">
        <w:rPr>
          <w:sz w:val="24"/>
          <w:szCs w:val="24"/>
        </w:rPr>
        <w:t>provide</w:t>
      </w:r>
      <w:r>
        <w:rPr>
          <w:sz w:val="24"/>
          <w:szCs w:val="24"/>
        </w:rPr>
        <w:t xml:space="preserve"> veterans and other eligible persons with </w:t>
      </w:r>
      <w:r w:rsidRPr="00B2586A">
        <w:rPr>
          <w:sz w:val="24"/>
          <w:szCs w:val="24"/>
        </w:rPr>
        <w:t xml:space="preserve">access to all </w:t>
      </w:r>
      <w:r>
        <w:rPr>
          <w:sz w:val="24"/>
          <w:szCs w:val="24"/>
        </w:rPr>
        <w:t xml:space="preserve">the </w:t>
      </w:r>
      <w:r w:rsidRPr="00B2586A">
        <w:rPr>
          <w:sz w:val="24"/>
          <w:szCs w:val="24"/>
        </w:rPr>
        <w:t>pharmaceutical items available to the general community under the Pharmaceutical Benefits Scheme (PBS), and also an additional list contained in the Repatriation Schedule of Pharmaceutical Benefits (RSPB) which is available only to veterans</w:t>
      </w:r>
      <w:r>
        <w:rPr>
          <w:sz w:val="24"/>
          <w:szCs w:val="24"/>
        </w:rPr>
        <w:t xml:space="preserve"> and other eligible persons. </w:t>
      </w:r>
    </w:p>
    <w:p w:rsidR="00610365" w:rsidRPr="00B2586A" w:rsidRDefault="00610365" w:rsidP="001D299C">
      <w:pPr>
        <w:shd w:val="clear" w:color="auto" w:fill="FFFFFF"/>
        <w:spacing w:after="240"/>
        <w:ind w:right="-187"/>
        <w:rPr>
          <w:sz w:val="24"/>
          <w:szCs w:val="24"/>
        </w:rPr>
      </w:pPr>
      <w:r>
        <w:rPr>
          <w:sz w:val="24"/>
          <w:szCs w:val="24"/>
        </w:rPr>
        <w:t xml:space="preserve">The PBS </w:t>
      </w:r>
      <w:r w:rsidR="00E502F0">
        <w:rPr>
          <w:sz w:val="24"/>
          <w:szCs w:val="24"/>
        </w:rPr>
        <w:t xml:space="preserve">(which includes the </w:t>
      </w:r>
      <w:r>
        <w:rPr>
          <w:sz w:val="24"/>
          <w:szCs w:val="24"/>
        </w:rPr>
        <w:t xml:space="preserve">RSPB </w:t>
      </w:r>
      <w:r w:rsidR="00E502F0">
        <w:rPr>
          <w:sz w:val="24"/>
          <w:szCs w:val="24"/>
        </w:rPr>
        <w:t>as a separate component) is</w:t>
      </w:r>
      <w:r>
        <w:rPr>
          <w:sz w:val="24"/>
          <w:szCs w:val="24"/>
        </w:rPr>
        <w:t xml:space="preserve"> made under section 85 of </w:t>
      </w:r>
      <w:r w:rsidR="00E502F0">
        <w:rPr>
          <w:sz w:val="24"/>
          <w:szCs w:val="24"/>
        </w:rPr>
        <w:t xml:space="preserve">the </w:t>
      </w:r>
      <w:r w:rsidR="00E502F0" w:rsidRPr="00B2586A">
        <w:rPr>
          <w:i/>
          <w:sz w:val="24"/>
          <w:szCs w:val="24"/>
        </w:rPr>
        <w:t>National Health Act 1953</w:t>
      </w:r>
      <w:r w:rsidR="00E502F0">
        <w:rPr>
          <w:sz w:val="24"/>
          <w:szCs w:val="24"/>
        </w:rPr>
        <w:t>.</w:t>
      </w:r>
    </w:p>
    <w:p w:rsidR="00EC53F1" w:rsidRDefault="001D299C" w:rsidP="000C1B06">
      <w:pPr>
        <w:ind w:right="-285"/>
        <w:rPr>
          <w:sz w:val="24"/>
          <w:szCs w:val="24"/>
          <w:lang w:val="en-US"/>
        </w:rPr>
      </w:pPr>
      <w:r w:rsidRPr="009F2B8F">
        <w:rPr>
          <w:sz w:val="24"/>
          <w:szCs w:val="24"/>
        </w:rPr>
        <w:t>The primary purpose</w:t>
      </w:r>
      <w:r w:rsidR="00484A3B">
        <w:rPr>
          <w:sz w:val="24"/>
          <w:szCs w:val="24"/>
        </w:rPr>
        <w:t>s</w:t>
      </w:r>
      <w:r w:rsidRPr="009F2B8F">
        <w:rPr>
          <w:sz w:val="24"/>
          <w:szCs w:val="24"/>
        </w:rPr>
        <w:t xml:space="preserve"> of </w:t>
      </w:r>
      <w:r w:rsidR="00EC53F1">
        <w:rPr>
          <w:sz w:val="24"/>
          <w:szCs w:val="24"/>
        </w:rPr>
        <w:t xml:space="preserve">the </w:t>
      </w:r>
      <w:r w:rsidR="00484A3B">
        <w:rPr>
          <w:sz w:val="24"/>
          <w:szCs w:val="24"/>
        </w:rPr>
        <w:t>instrument are</w:t>
      </w:r>
      <w:r w:rsidRPr="009F2B8F">
        <w:rPr>
          <w:sz w:val="24"/>
          <w:szCs w:val="24"/>
        </w:rPr>
        <w:t xml:space="preserve"> to amend the </w:t>
      </w:r>
      <w:r w:rsidR="00EC53F1">
        <w:rPr>
          <w:sz w:val="24"/>
          <w:szCs w:val="24"/>
        </w:rPr>
        <w:t>RPBS to update the references to the current Community Pharmacy Agreement</w:t>
      </w:r>
      <w:r w:rsidR="00484A3B">
        <w:rPr>
          <w:sz w:val="24"/>
          <w:szCs w:val="24"/>
        </w:rPr>
        <w:t xml:space="preserve">, to </w:t>
      </w:r>
      <w:r w:rsidR="00C009B8">
        <w:rPr>
          <w:sz w:val="24"/>
          <w:szCs w:val="24"/>
        </w:rPr>
        <w:t>extend the transitional period for the implementation o</w:t>
      </w:r>
      <w:r w:rsidR="00484A3B">
        <w:rPr>
          <w:sz w:val="24"/>
          <w:szCs w:val="24"/>
        </w:rPr>
        <w:t>f Active Ingredient Prescribing and to update the references in Schedule 2 of the RPBS to the pharmaceutical benefits which may be prescribed without a prescription under the emergency arrangements which were put in place for the bushfires and extended for the COVID-19 pandemic.</w:t>
      </w:r>
    </w:p>
    <w:p w:rsidR="001D299C" w:rsidRPr="00CE4258" w:rsidRDefault="001D299C" w:rsidP="000C1B06">
      <w:pPr>
        <w:shd w:val="clear" w:color="auto" w:fill="FFFFFF"/>
        <w:spacing w:before="120" w:after="240"/>
        <w:jc w:val="both"/>
        <w:rPr>
          <w:i/>
          <w:sz w:val="24"/>
          <w:szCs w:val="24"/>
        </w:rPr>
      </w:pPr>
      <w:r w:rsidRPr="00CE4258">
        <w:rPr>
          <w:i/>
          <w:sz w:val="24"/>
          <w:szCs w:val="24"/>
        </w:rPr>
        <w:t>Human rights implications</w:t>
      </w:r>
    </w:p>
    <w:p w:rsidR="001D299C" w:rsidRPr="00151AAC" w:rsidRDefault="001D299C" w:rsidP="001D299C">
      <w:pPr>
        <w:shd w:val="clear" w:color="auto" w:fill="FFFFFF"/>
        <w:spacing w:after="180"/>
        <w:rPr>
          <w:sz w:val="24"/>
          <w:szCs w:val="24"/>
        </w:rPr>
      </w:pPr>
      <w:r w:rsidRPr="00151AAC">
        <w:rPr>
          <w:sz w:val="24"/>
          <w:szCs w:val="24"/>
        </w:rPr>
        <w:t xml:space="preserve">Broadly, the </w:t>
      </w:r>
      <w:r w:rsidR="00304850">
        <w:rPr>
          <w:sz w:val="24"/>
          <w:szCs w:val="24"/>
        </w:rPr>
        <w:t>Schemes</w:t>
      </w:r>
      <w:r w:rsidR="00304850" w:rsidRPr="00151AAC">
        <w:rPr>
          <w:sz w:val="24"/>
          <w:szCs w:val="24"/>
        </w:rPr>
        <w:t xml:space="preserve"> </w:t>
      </w:r>
      <w:r w:rsidRPr="00151AAC">
        <w:rPr>
          <w:sz w:val="24"/>
          <w:szCs w:val="24"/>
        </w:rPr>
        <w:t>provid</w:t>
      </w:r>
      <w:r w:rsidR="00304850">
        <w:rPr>
          <w:sz w:val="24"/>
          <w:szCs w:val="24"/>
        </w:rPr>
        <w:t>e</w:t>
      </w:r>
      <w:r w:rsidRPr="00151AAC">
        <w:rPr>
          <w:sz w:val="24"/>
          <w:szCs w:val="24"/>
        </w:rPr>
        <w:t xml:space="preserve"> subsidised access to medicines for veterans and their </w:t>
      </w:r>
      <w:r w:rsidR="00B95A79">
        <w:rPr>
          <w:sz w:val="24"/>
          <w:szCs w:val="24"/>
        </w:rPr>
        <w:t>eligible dependents</w:t>
      </w:r>
      <w:r w:rsidRPr="00151AAC">
        <w:rPr>
          <w:sz w:val="24"/>
          <w:szCs w:val="24"/>
        </w:rPr>
        <w:t xml:space="preserve">. It engages Articles 2 and 12 of the International Covenant on Economic, Social and Cultural Rights (ICESCR), as it is a positive step towards attaining the highest standard of health for veterans and their families, and it assists in the progressive realisation by all appropriate means of the right of everyone to the enjoyment of the highest attainable standard of physical and mental health. The Schemes are compatible with Articles 2 and 12 of the ICESCR. </w:t>
      </w:r>
    </w:p>
    <w:p w:rsidR="00F076DF" w:rsidRPr="00DE051C" w:rsidRDefault="001D299C" w:rsidP="00F076DF">
      <w:pPr>
        <w:autoSpaceDE w:val="0"/>
        <w:autoSpaceDN w:val="0"/>
        <w:adjustRightInd w:val="0"/>
        <w:rPr>
          <w:sz w:val="24"/>
          <w:szCs w:val="24"/>
        </w:rPr>
      </w:pPr>
      <w:r w:rsidRPr="00151AAC">
        <w:rPr>
          <w:sz w:val="24"/>
          <w:szCs w:val="24"/>
        </w:rPr>
        <w:t>The</w:t>
      </w:r>
      <w:r w:rsidR="00EC53F1">
        <w:rPr>
          <w:sz w:val="24"/>
          <w:szCs w:val="24"/>
        </w:rPr>
        <w:t xml:space="preserve"> amendments made by the </w:t>
      </w:r>
      <w:r w:rsidRPr="00151AAC">
        <w:rPr>
          <w:sz w:val="24"/>
          <w:szCs w:val="24"/>
        </w:rPr>
        <w:t xml:space="preserve">instrument </w:t>
      </w:r>
      <w:r w:rsidR="00EC53F1">
        <w:rPr>
          <w:sz w:val="24"/>
          <w:szCs w:val="24"/>
        </w:rPr>
        <w:t>will ensure the continued provision of subsidised pharmaceutical benefits to eligible persons under the Schemes.</w:t>
      </w:r>
      <w:r w:rsidR="00F076DF" w:rsidRPr="00DE051C">
        <w:rPr>
          <w:sz w:val="24"/>
          <w:szCs w:val="24"/>
        </w:rPr>
        <w:t xml:space="preserve"> </w:t>
      </w:r>
    </w:p>
    <w:p w:rsidR="001D299C" w:rsidRPr="0011555E" w:rsidRDefault="001D299C" w:rsidP="001D299C">
      <w:pPr>
        <w:shd w:val="clear" w:color="auto" w:fill="FFFFFF"/>
        <w:spacing w:before="120"/>
        <w:rPr>
          <w:i/>
          <w:sz w:val="24"/>
          <w:szCs w:val="24"/>
        </w:rPr>
      </w:pPr>
      <w:r w:rsidRPr="0011555E">
        <w:rPr>
          <w:i/>
          <w:sz w:val="24"/>
          <w:szCs w:val="24"/>
        </w:rPr>
        <w:t xml:space="preserve">Conclusion </w:t>
      </w:r>
    </w:p>
    <w:p w:rsidR="001D299C" w:rsidRPr="00151AAC" w:rsidRDefault="001D299C" w:rsidP="001D299C">
      <w:pPr>
        <w:tabs>
          <w:tab w:val="right" w:pos="8931"/>
        </w:tabs>
        <w:spacing w:line="240" w:lineRule="exact"/>
        <w:ind w:right="91"/>
        <w:rPr>
          <w:sz w:val="24"/>
          <w:szCs w:val="24"/>
        </w:rPr>
      </w:pPr>
    </w:p>
    <w:p w:rsidR="001D299C" w:rsidRPr="00151AAC" w:rsidRDefault="001D299C" w:rsidP="001D299C">
      <w:pPr>
        <w:shd w:val="clear" w:color="auto" w:fill="FFFFFF"/>
        <w:autoSpaceDE w:val="0"/>
        <w:autoSpaceDN w:val="0"/>
        <w:adjustRightInd w:val="0"/>
        <w:rPr>
          <w:b/>
          <w:sz w:val="24"/>
          <w:szCs w:val="24"/>
        </w:rPr>
      </w:pPr>
      <w:r w:rsidRPr="00151AAC">
        <w:rPr>
          <w:sz w:val="24"/>
          <w:szCs w:val="24"/>
        </w:rPr>
        <w:t>The instrument is compatible with human rights as they do not raise any human rights issues or impinge on any applicable rights or freedoms.</w:t>
      </w:r>
    </w:p>
    <w:p w:rsidR="001D299C" w:rsidRPr="003E4768" w:rsidRDefault="001D299C" w:rsidP="001D299C">
      <w:pPr>
        <w:ind w:right="91"/>
        <w:jc w:val="right"/>
        <w:rPr>
          <w:bCs/>
        </w:rPr>
      </w:pPr>
    </w:p>
    <w:p w:rsidR="00F076DF" w:rsidRPr="00394452" w:rsidRDefault="00F076DF" w:rsidP="00F076DF">
      <w:pPr>
        <w:pStyle w:val="ActHead5"/>
        <w:rPr>
          <w:b w:val="0"/>
          <w:color w:val="000000"/>
          <w:szCs w:val="24"/>
        </w:rPr>
      </w:pPr>
      <w:r w:rsidRPr="00394452">
        <w:rPr>
          <w:color w:val="000000"/>
          <w:szCs w:val="24"/>
        </w:rPr>
        <w:lastRenderedPageBreak/>
        <w:t xml:space="preserve">FURTHER EXPLANATION OF PROVISIONS </w:t>
      </w:r>
    </w:p>
    <w:p w:rsidR="00F076DF" w:rsidRPr="00394452" w:rsidRDefault="00F076DF" w:rsidP="00F076DF">
      <w:pPr>
        <w:pStyle w:val="Default"/>
        <w:autoSpaceDE/>
        <w:adjustRightInd/>
      </w:pPr>
      <w:r w:rsidRPr="00394452">
        <w:t xml:space="preserve">See: </w:t>
      </w:r>
      <w:r w:rsidRPr="00394452">
        <w:rPr>
          <w:u w:val="single"/>
        </w:rPr>
        <w:t>Attachment A</w:t>
      </w:r>
    </w:p>
    <w:p w:rsidR="00F076DF" w:rsidRDefault="00F076DF" w:rsidP="00F076DF">
      <w:pPr>
        <w:rPr>
          <w:color w:val="000000"/>
          <w:sz w:val="28"/>
        </w:rPr>
      </w:pPr>
    </w:p>
    <w:p w:rsidR="004B5926" w:rsidRDefault="004B5926" w:rsidP="004B5926">
      <w:pPr>
        <w:jc w:val="both"/>
        <w:rPr>
          <w:sz w:val="24"/>
          <w:szCs w:val="24"/>
        </w:rPr>
      </w:pPr>
      <w:r>
        <w:rPr>
          <w:sz w:val="24"/>
          <w:szCs w:val="24"/>
        </w:rPr>
        <w:t>Darren Chester</w:t>
      </w:r>
    </w:p>
    <w:p w:rsidR="004B5926" w:rsidRDefault="00437836" w:rsidP="004B5926">
      <w:pPr>
        <w:jc w:val="both"/>
        <w:rPr>
          <w:sz w:val="24"/>
          <w:szCs w:val="24"/>
        </w:rPr>
      </w:pPr>
      <w:r>
        <w:rPr>
          <w:sz w:val="24"/>
          <w:szCs w:val="24"/>
        </w:rPr>
        <w:t>Minister for Veterans</w:t>
      </w:r>
      <w:r w:rsidR="00EC53F1">
        <w:rPr>
          <w:sz w:val="24"/>
          <w:szCs w:val="24"/>
        </w:rPr>
        <w:t>’ Affairs</w:t>
      </w:r>
    </w:p>
    <w:p w:rsidR="004B5926" w:rsidRDefault="004B5926" w:rsidP="004B5926">
      <w:pPr>
        <w:jc w:val="both"/>
        <w:rPr>
          <w:sz w:val="24"/>
          <w:szCs w:val="24"/>
        </w:rPr>
      </w:pPr>
      <w:r>
        <w:rPr>
          <w:sz w:val="24"/>
          <w:szCs w:val="24"/>
        </w:rPr>
        <w:t>Rule-Maker</w:t>
      </w:r>
    </w:p>
    <w:p w:rsidR="0052240B" w:rsidRPr="0054725A" w:rsidRDefault="0052240B" w:rsidP="0052240B">
      <w:pPr>
        <w:widowControl w:val="0"/>
        <w:ind w:right="96"/>
        <w:jc w:val="both"/>
      </w:pPr>
    </w:p>
    <w:p w:rsidR="00F076DF" w:rsidRPr="001066A2" w:rsidRDefault="0052240B" w:rsidP="001066A2">
      <w:pPr>
        <w:ind w:left="6480"/>
        <w:rPr>
          <w:b/>
          <w:color w:val="000000"/>
          <w:sz w:val="24"/>
          <w:szCs w:val="24"/>
          <w:u w:val="single"/>
        </w:rPr>
      </w:pPr>
      <w:r>
        <w:br w:type="page"/>
      </w:r>
      <w:r w:rsidR="00F076DF" w:rsidRPr="001066A2">
        <w:rPr>
          <w:b/>
          <w:color w:val="000000"/>
          <w:sz w:val="24"/>
          <w:szCs w:val="24"/>
          <w:u w:val="single"/>
        </w:rPr>
        <w:lastRenderedPageBreak/>
        <w:t>Attachment A</w:t>
      </w:r>
    </w:p>
    <w:p w:rsidR="00F076DF" w:rsidRDefault="00F076DF" w:rsidP="00F076DF">
      <w:pPr>
        <w:spacing w:before="240"/>
        <w:rPr>
          <w:b/>
          <w:color w:val="000000"/>
          <w:sz w:val="24"/>
          <w:szCs w:val="24"/>
        </w:rPr>
      </w:pPr>
      <w:r>
        <w:rPr>
          <w:b/>
          <w:color w:val="000000"/>
          <w:sz w:val="24"/>
          <w:szCs w:val="24"/>
        </w:rPr>
        <w:t xml:space="preserve">FURTHER EXPLANATION OF PROVISIONS  </w:t>
      </w:r>
    </w:p>
    <w:p w:rsidR="0052240B" w:rsidRDefault="0052240B" w:rsidP="0052240B">
      <w:pPr>
        <w:ind w:left="1134" w:right="-136" w:hanging="1134"/>
      </w:pPr>
    </w:p>
    <w:p w:rsidR="0052240B" w:rsidRPr="00210F11" w:rsidRDefault="0052240B" w:rsidP="0052240B">
      <w:pPr>
        <w:spacing w:after="240"/>
        <w:ind w:right="-471"/>
        <w:rPr>
          <w:sz w:val="24"/>
          <w:szCs w:val="24"/>
          <w:u w:val="single"/>
        </w:rPr>
      </w:pPr>
      <w:r w:rsidRPr="00210F11">
        <w:rPr>
          <w:sz w:val="24"/>
          <w:szCs w:val="24"/>
          <w:u w:val="single"/>
        </w:rPr>
        <w:t>Section 1 – Name</w:t>
      </w:r>
    </w:p>
    <w:p w:rsidR="00910E1F" w:rsidRDefault="0052240B" w:rsidP="00910E1F">
      <w:pPr>
        <w:spacing w:after="240"/>
        <w:ind w:right="-471"/>
        <w:rPr>
          <w:i/>
          <w:sz w:val="24"/>
          <w:szCs w:val="24"/>
        </w:rPr>
      </w:pPr>
      <w:r w:rsidRPr="00210F11">
        <w:rPr>
          <w:sz w:val="24"/>
          <w:szCs w:val="24"/>
        </w:rPr>
        <w:t xml:space="preserve">This section provides that the title of the instrument is the </w:t>
      </w:r>
      <w:r w:rsidR="00910E1F" w:rsidRPr="00910E1F">
        <w:rPr>
          <w:i/>
          <w:sz w:val="24"/>
          <w:szCs w:val="24"/>
        </w:rPr>
        <w:t>Veterans’ Affairs Pharmaceutical Benefits Schemes (Seventh Community Pharmacy Agreement) Amendment Determination 202</w:t>
      </w:r>
      <w:r w:rsidR="00910E1F">
        <w:rPr>
          <w:i/>
          <w:sz w:val="24"/>
          <w:szCs w:val="24"/>
        </w:rPr>
        <w:t>0.</w:t>
      </w:r>
    </w:p>
    <w:p w:rsidR="0052240B" w:rsidRPr="00210F11" w:rsidRDefault="0052240B" w:rsidP="00910E1F">
      <w:pPr>
        <w:spacing w:after="240"/>
        <w:ind w:right="-471"/>
        <w:rPr>
          <w:sz w:val="24"/>
          <w:szCs w:val="24"/>
          <w:u w:val="single"/>
        </w:rPr>
      </w:pPr>
      <w:r w:rsidRPr="00210F11">
        <w:rPr>
          <w:sz w:val="24"/>
          <w:szCs w:val="24"/>
          <w:u w:val="single"/>
        </w:rPr>
        <w:t>Section 2 – Commencement</w:t>
      </w:r>
    </w:p>
    <w:p w:rsidR="0052240B" w:rsidRPr="00210F11" w:rsidRDefault="0052240B" w:rsidP="0052240B">
      <w:pPr>
        <w:ind w:right="91"/>
        <w:rPr>
          <w:sz w:val="24"/>
          <w:szCs w:val="24"/>
        </w:rPr>
      </w:pPr>
      <w:r w:rsidRPr="00210F11">
        <w:rPr>
          <w:sz w:val="24"/>
          <w:szCs w:val="24"/>
        </w:rPr>
        <w:t>This section provides th</w:t>
      </w:r>
      <w:r w:rsidR="00910E1F">
        <w:rPr>
          <w:sz w:val="24"/>
          <w:szCs w:val="24"/>
        </w:rPr>
        <w:t xml:space="preserve">at the instrument commences on </w:t>
      </w:r>
      <w:r w:rsidRPr="00210F11">
        <w:rPr>
          <w:sz w:val="24"/>
          <w:szCs w:val="24"/>
        </w:rPr>
        <w:t xml:space="preserve">1 </w:t>
      </w:r>
      <w:r w:rsidR="00910E1F">
        <w:rPr>
          <w:sz w:val="24"/>
          <w:szCs w:val="24"/>
        </w:rPr>
        <w:t xml:space="preserve">July </w:t>
      </w:r>
      <w:r w:rsidRPr="00210F11">
        <w:rPr>
          <w:sz w:val="24"/>
          <w:szCs w:val="24"/>
        </w:rPr>
        <w:t>20</w:t>
      </w:r>
      <w:r w:rsidR="00910E1F">
        <w:rPr>
          <w:sz w:val="24"/>
          <w:szCs w:val="24"/>
        </w:rPr>
        <w:t>20</w:t>
      </w:r>
      <w:r w:rsidRPr="00210F11">
        <w:rPr>
          <w:sz w:val="24"/>
          <w:szCs w:val="24"/>
        </w:rPr>
        <w:t>.</w:t>
      </w:r>
    </w:p>
    <w:p w:rsidR="0052240B" w:rsidRPr="00210F11" w:rsidRDefault="0052240B" w:rsidP="0052240B">
      <w:pPr>
        <w:ind w:right="91"/>
        <w:rPr>
          <w:sz w:val="24"/>
          <w:szCs w:val="24"/>
        </w:rPr>
      </w:pPr>
    </w:p>
    <w:p w:rsidR="0052240B" w:rsidRPr="00210F11" w:rsidRDefault="0052240B" w:rsidP="0052240B">
      <w:pPr>
        <w:ind w:right="91"/>
        <w:rPr>
          <w:sz w:val="24"/>
          <w:szCs w:val="24"/>
          <w:u w:val="single"/>
        </w:rPr>
      </w:pPr>
      <w:r w:rsidRPr="00210F11">
        <w:rPr>
          <w:sz w:val="24"/>
          <w:szCs w:val="24"/>
          <w:u w:val="single"/>
        </w:rPr>
        <w:t>Section 3 – Authority</w:t>
      </w:r>
    </w:p>
    <w:p w:rsidR="0052240B" w:rsidRPr="00210F11" w:rsidRDefault="0052240B" w:rsidP="0052240B">
      <w:pPr>
        <w:ind w:right="91"/>
        <w:rPr>
          <w:sz w:val="24"/>
          <w:szCs w:val="24"/>
        </w:rPr>
      </w:pPr>
    </w:p>
    <w:p w:rsidR="0011555E" w:rsidRPr="0011555E" w:rsidRDefault="0052240B" w:rsidP="0011555E">
      <w:pPr>
        <w:ind w:right="-285"/>
        <w:rPr>
          <w:sz w:val="24"/>
          <w:szCs w:val="24"/>
        </w:rPr>
      </w:pPr>
      <w:r w:rsidRPr="00210F11">
        <w:rPr>
          <w:sz w:val="24"/>
          <w:szCs w:val="24"/>
        </w:rPr>
        <w:t xml:space="preserve">This section provides that the instrument is made under the </w:t>
      </w:r>
      <w:r w:rsidR="0011555E" w:rsidRPr="00783E9C">
        <w:rPr>
          <w:i/>
          <w:color w:val="000000"/>
          <w:sz w:val="24"/>
          <w:szCs w:val="24"/>
        </w:rPr>
        <w:t>Veterans’ Entitlements Act 1986</w:t>
      </w:r>
      <w:r w:rsidR="0011555E" w:rsidRPr="00783E9C">
        <w:rPr>
          <w:color w:val="000000"/>
          <w:sz w:val="24"/>
          <w:szCs w:val="24"/>
        </w:rPr>
        <w:t xml:space="preserve"> </w:t>
      </w:r>
      <w:r w:rsidR="0011555E">
        <w:rPr>
          <w:color w:val="000000"/>
          <w:sz w:val="24"/>
          <w:szCs w:val="24"/>
        </w:rPr>
        <w:t xml:space="preserve">and </w:t>
      </w:r>
      <w:r w:rsidR="0011555E" w:rsidRPr="00783E9C">
        <w:rPr>
          <w:color w:val="000000"/>
          <w:sz w:val="24"/>
          <w:szCs w:val="24"/>
        </w:rPr>
        <w:t xml:space="preserve">the </w:t>
      </w:r>
      <w:r w:rsidR="0011555E" w:rsidRPr="00B153F5">
        <w:rPr>
          <w:i/>
          <w:color w:val="000000"/>
          <w:sz w:val="24"/>
          <w:szCs w:val="24"/>
        </w:rPr>
        <w:t>Military Rehabilitation and Compensation Act 2004</w:t>
      </w:r>
      <w:r w:rsidR="0011555E">
        <w:rPr>
          <w:color w:val="000000"/>
          <w:sz w:val="24"/>
          <w:szCs w:val="24"/>
        </w:rPr>
        <w:t>.</w:t>
      </w:r>
    </w:p>
    <w:p w:rsidR="0052240B" w:rsidRPr="00210F11" w:rsidRDefault="0052240B" w:rsidP="0052240B">
      <w:pPr>
        <w:ind w:right="91"/>
        <w:rPr>
          <w:sz w:val="24"/>
          <w:szCs w:val="24"/>
        </w:rPr>
      </w:pPr>
    </w:p>
    <w:p w:rsidR="0052240B" w:rsidRPr="00210F11" w:rsidRDefault="0052240B" w:rsidP="0052240B">
      <w:pPr>
        <w:ind w:right="91"/>
        <w:rPr>
          <w:sz w:val="24"/>
          <w:szCs w:val="24"/>
          <w:u w:val="single"/>
        </w:rPr>
      </w:pPr>
      <w:r w:rsidRPr="00210F11">
        <w:rPr>
          <w:sz w:val="24"/>
          <w:szCs w:val="24"/>
          <w:u w:val="single"/>
        </w:rPr>
        <w:t>Section 4 – Schedule(s)</w:t>
      </w:r>
    </w:p>
    <w:p w:rsidR="0052240B" w:rsidRPr="00210F11" w:rsidRDefault="0052240B" w:rsidP="0052240B">
      <w:pPr>
        <w:ind w:right="91"/>
        <w:rPr>
          <w:sz w:val="24"/>
          <w:szCs w:val="24"/>
        </w:rPr>
      </w:pPr>
    </w:p>
    <w:p w:rsidR="0052240B" w:rsidRDefault="0052240B" w:rsidP="0052240B">
      <w:pPr>
        <w:keepNext/>
        <w:ind w:right="748"/>
        <w:rPr>
          <w:sz w:val="24"/>
          <w:szCs w:val="24"/>
        </w:rPr>
      </w:pPr>
      <w:r w:rsidRPr="00210F11">
        <w:rPr>
          <w:sz w:val="24"/>
          <w:szCs w:val="24"/>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rsidR="00910E1F" w:rsidRDefault="00910E1F" w:rsidP="0052240B">
      <w:pPr>
        <w:keepNext/>
        <w:ind w:right="748"/>
        <w:rPr>
          <w:sz w:val="24"/>
          <w:szCs w:val="24"/>
        </w:rPr>
        <w:sectPr w:rsidR="00910E1F">
          <w:headerReference w:type="even" r:id="rId10"/>
          <w:headerReference w:type="default" r:id="rId11"/>
          <w:footerReference w:type="default" r:id="rId12"/>
          <w:pgSz w:w="11906" w:h="16838"/>
          <w:pgMar w:top="1440" w:right="1797" w:bottom="567" w:left="1797" w:header="720" w:footer="720" w:gutter="0"/>
          <w:cols w:space="720"/>
          <w:titlePg/>
        </w:sectPr>
      </w:pPr>
    </w:p>
    <w:p w:rsidR="00910E1F" w:rsidRPr="00910E1F" w:rsidRDefault="00910E1F" w:rsidP="00910E1F">
      <w:pPr>
        <w:keepNext/>
        <w:ind w:right="748"/>
        <w:rPr>
          <w:b/>
          <w:sz w:val="28"/>
          <w:szCs w:val="28"/>
        </w:rPr>
      </w:pPr>
      <w:r>
        <w:rPr>
          <w:b/>
          <w:sz w:val="28"/>
          <w:szCs w:val="28"/>
        </w:rPr>
        <w:lastRenderedPageBreak/>
        <w:t>Schedule 1</w:t>
      </w:r>
      <w:r w:rsidR="002F6305">
        <w:rPr>
          <w:b/>
          <w:sz w:val="28"/>
          <w:szCs w:val="28"/>
        </w:rPr>
        <w:t xml:space="preserve"> </w:t>
      </w:r>
      <w:r w:rsidRPr="00910E1F">
        <w:rPr>
          <w:b/>
          <w:sz w:val="28"/>
          <w:szCs w:val="28"/>
        </w:rPr>
        <w:t>-</w:t>
      </w:r>
      <w:r w:rsidR="002F6305">
        <w:rPr>
          <w:b/>
          <w:sz w:val="28"/>
          <w:szCs w:val="28"/>
        </w:rPr>
        <w:t xml:space="preserve"> </w:t>
      </w:r>
      <w:r w:rsidRPr="00910E1F">
        <w:rPr>
          <w:b/>
          <w:i/>
          <w:sz w:val="28"/>
          <w:szCs w:val="28"/>
        </w:rPr>
        <w:t xml:space="preserve">MRCA Pharmaceutical Benefits Scheme </w:t>
      </w:r>
      <w:r w:rsidRPr="00910E1F">
        <w:rPr>
          <w:b/>
          <w:sz w:val="28"/>
          <w:szCs w:val="28"/>
        </w:rPr>
        <w:t>(Instrument 2013 No. MRCC 34)</w:t>
      </w:r>
    </w:p>
    <w:p w:rsidR="00910E1F" w:rsidRPr="00910E1F" w:rsidRDefault="00910E1F" w:rsidP="000C1B06">
      <w:pPr>
        <w:keepNext/>
        <w:spacing w:before="120" w:after="120"/>
        <w:ind w:right="748"/>
        <w:rPr>
          <w:b/>
          <w:sz w:val="24"/>
          <w:szCs w:val="24"/>
        </w:rPr>
      </w:pPr>
      <w:r w:rsidRPr="00910E1F">
        <w:rPr>
          <w:b/>
          <w:sz w:val="24"/>
          <w:szCs w:val="24"/>
        </w:rPr>
        <w:t>Item</w:t>
      </w:r>
      <w:r>
        <w:rPr>
          <w:b/>
          <w:sz w:val="24"/>
          <w:szCs w:val="24"/>
        </w:rPr>
        <w:t>s</w:t>
      </w:r>
      <w:r w:rsidRPr="00910E1F">
        <w:rPr>
          <w:b/>
          <w:sz w:val="24"/>
          <w:szCs w:val="24"/>
        </w:rPr>
        <w:t xml:space="preserve"> [1]</w:t>
      </w:r>
      <w:r>
        <w:rPr>
          <w:b/>
          <w:sz w:val="24"/>
          <w:szCs w:val="24"/>
        </w:rPr>
        <w:t xml:space="preserve"> to </w:t>
      </w:r>
      <w:r w:rsidRPr="00910E1F">
        <w:rPr>
          <w:b/>
          <w:sz w:val="24"/>
          <w:szCs w:val="24"/>
        </w:rPr>
        <w:t>[</w:t>
      </w:r>
      <w:r>
        <w:rPr>
          <w:b/>
          <w:sz w:val="24"/>
          <w:szCs w:val="24"/>
        </w:rPr>
        <w:t>9</w:t>
      </w:r>
      <w:r w:rsidRPr="00910E1F">
        <w:rPr>
          <w:b/>
          <w:sz w:val="24"/>
          <w:szCs w:val="24"/>
        </w:rPr>
        <w:t>] - Section 3</w:t>
      </w:r>
    </w:p>
    <w:p w:rsidR="00307DEC" w:rsidRDefault="00910E1F" w:rsidP="00307DEC">
      <w:pPr>
        <w:keepNext/>
        <w:ind w:right="748"/>
        <w:rPr>
          <w:sz w:val="24"/>
          <w:szCs w:val="24"/>
        </w:rPr>
      </w:pPr>
      <w:r w:rsidRPr="00307DEC">
        <w:rPr>
          <w:sz w:val="24"/>
          <w:szCs w:val="24"/>
          <w:u w:val="single"/>
        </w:rPr>
        <w:t>Item 1</w:t>
      </w:r>
      <w:r w:rsidRPr="00910E1F">
        <w:rPr>
          <w:sz w:val="24"/>
          <w:szCs w:val="24"/>
        </w:rPr>
        <w:t xml:space="preserve"> </w:t>
      </w:r>
      <w:r>
        <w:rPr>
          <w:sz w:val="24"/>
          <w:szCs w:val="24"/>
        </w:rPr>
        <w:t>amends the definition of ‘accepted disability’ to replace the reference to “SRCA disability” with a reference to “DRCA disability”</w:t>
      </w:r>
      <w:r w:rsidR="00307DEC">
        <w:rPr>
          <w:sz w:val="24"/>
          <w:szCs w:val="24"/>
        </w:rPr>
        <w:t xml:space="preserve"> </w:t>
      </w:r>
      <w:r>
        <w:rPr>
          <w:sz w:val="24"/>
          <w:szCs w:val="24"/>
        </w:rPr>
        <w:t xml:space="preserve">(inserted by </w:t>
      </w:r>
    </w:p>
    <w:p w:rsidR="00910E1F" w:rsidRDefault="00910E1F" w:rsidP="000F5641">
      <w:pPr>
        <w:keepNext/>
        <w:spacing w:after="120"/>
        <w:ind w:right="748"/>
        <w:rPr>
          <w:sz w:val="24"/>
          <w:szCs w:val="24"/>
        </w:rPr>
      </w:pPr>
      <w:r w:rsidRPr="00307DEC">
        <w:rPr>
          <w:sz w:val="24"/>
          <w:szCs w:val="24"/>
          <w:u w:val="single"/>
        </w:rPr>
        <w:t>Item 3</w:t>
      </w:r>
      <w:r>
        <w:rPr>
          <w:sz w:val="24"/>
          <w:szCs w:val="24"/>
        </w:rPr>
        <w:t xml:space="preserve"> of this Schedule.</w:t>
      </w:r>
    </w:p>
    <w:p w:rsidR="000F5641" w:rsidRDefault="000F5641" w:rsidP="000F5641">
      <w:pPr>
        <w:keepNext/>
        <w:spacing w:after="120"/>
        <w:ind w:right="748"/>
        <w:rPr>
          <w:sz w:val="24"/>
          <w:szCs w:val="24"/>
        </w:rPr>
      </w:pPr>
      <w:r w:rsidRPr="00307DEC">
        <w:rPr>
          <w:sz w:val="24"/>
          <w:szCs w:val="24"/>
          <w:u w:val="single"/>
        </w:rPr>
        <w:t>Items 3 and 9</w:t>
      </w:r>
      <w:r>
        <w:rPr>
          <w:sz w:val="24"/>
          <w:szCs w:val="24"/>
        </w:rPr>
        <w:t xml:space="preserve"> omit the reference to ‘SRCA disability’ and insert a new definition for a “DRCA disability’.</w:t>
      </w:r>
    </w:p>
    <w:p w:rsidR="000F5641" w:rsidRPr="000F5641" w:rsidRDefault="000F5641" w:rsidP="000F5641">
      <w:pPr>
        <w:keepNext/>
        <w:spacing w:after="120"/>
        <w:ind w:right="748"/>
        <w:rPr>
          <w:sz w:val="24"/>
          <w:szCs w:val="24"/>
        </w:rPr>
      </w:pPr>
      <w:r>
        <w:rPr>
          <w:sz w:val="24"/>
          <w:szCs w:val="24"/>
        </w:rPr>
        <w:t xml:space="preserve">A “DRCA disability’ is defined as being an injury as defined in section 5A of the </w:t>
      </w:r>
      <w:r w:rsidRPr="000F5641">
        <w:rPr>
          <w:i/>
          <w:sz w:val="24"/>
          <w:szCs w:val="24"/>
        </w:rPr>
        <w:t>Safety, Rehabilitation and Compensation (Defence-related Claims) Act 1988</w:t>
      </w:r>
      <w:r>
        <w:rPr>
          <w:i/>
          <w:sz w:val="24"/>
          <w:szCs w:val="24"/>
        </w:rPr>
        <w:t xml:space="preserve"> </w:t>
      </w:r>
      <w:r w:rsidRPr="000F5641">
        <w:rPr>
          <w:sz w:val="24"/>
          <w:szCs w:val="24"/>
        </w:rPr>
        <w:t>for which the Mili</w:t>
      </w:r>
      <w:r>
        <w:rPr>
          <w:sz w:val="24"/>
          <w:szCs w:val="24"/>
        </w:rPr>
        <w:t>t</w:t>
      </w:r>
      <w:r w:rsidRPr="000F5641">
        <w:rPr>
          <w:sz w:val="24"/>
          <w:szCs w:val="24"/>
        </w:rPr>
        <w:t>ary Rehabili</w:t>
      </w:r>
      <w:r>
        <w:rPr>
          <w:sz w:val="24"/>
          <w:szCs w:val="24"/>
        </w:rPr>
        <w:t>ta</w:t>
      </w:r>
      <w:r w:rsidRPr="000F5641">
        <w:rPr>
          <w:sz w:val="24"/>
          <w:szCs w:val="24"/>
        </w:rPr>
        <w:t>t</w:t>
      </w:r>
      <w:r>
        <w:rPr>
          <w:sz w:val="24"/>
          <w:szCs w:val="24"/>
        </w:rPr>
        <w:t>i</w:t>
      </w:r>
      <w:r w:rsidRPr="000F5641">
        <w:rPr>
          <w:sz w:val="24"/>
          <w:szCs w:val="24"/>
        </w:rPr>
        <w:t>on and Compensation Commission has accepted liability t</w:t>
      </w:r>
      <w:r>
        <w:rPr>
          <w:sz w:val="24"/>
          <w:szCs w:val="24"/>
        </w:rPr>
        <w:t>o pay c</w:t>
      </w:r>
      <w:r w:rsidRPr="000F5641">
        <w:rPr>
          <w:sz w:val="24"/>
          <w:szCs w:val="24"/>
        </w:rPr>
        <w:t xml:space="preserve">ompensation </w:t>
      </w:r>
      <w:r w:rsidR="002F6305">
        <w:rPr>
          <w:sz w:val="24"/>
          <w:szCs w:val="24"/>
        </w:rPr>
        <w:t xml:space="preserve">under that Act </w:t>
      </w:r>
      <w:r w:rsidRPr="000F5641">
        <w:rPr>
          <w:sz w:val="24"/>
          <w:szCs w:val="24"/>
        </w:rPr>
        <w:t>and for which the person is eligible for treatm</w:t>
      </w:r>
      <w:r>
        <w:rPr>
          <w:sz w:val="24"/>
          <w:szCs w:val="24"/>
        </w:rPr>
        <w:t>e</w:t>
      </w:r>
      <w:r w:rsidRPr="000F5641">
        <w:rPr>
          <w:sz w:val="24"/>
          <w:szCs w:val="24"/>
        </w:rPr>
        <w:t>nt to be provided under Part 3 of Chapter 6 of the MRCA.</w:t>
      </w:r>
    </w:p>
    <w:p w:rsidR="00910E1F" w:rsidRDefault="00910E1F" w:rsidP="009F3211">
      <w:pPr>
        <w:keepNext/>
        <w:spacing w:after="120"/>
        <w:ind w:right="748"/>
        <w:rPr>
          <w:sz w:val="24"/>
          <w:szCs w:val="24"/>
        </w:rPr>
      </w:pPr>
      <w:r>
        <w:rPr>
          <w:sz w:val="24"/>
          <w:szCs w:val="24"/>
        </w:rPr>
        <w:t>The amendment</w:t>
      </w:r>
      <w:r w:rsidR="000F5641">
        <w:rPr>
          <w:sz w:val="24"/>
          <w:szCs w:val="24"/>
        </w:rPr>
        <w:t>s</w:t>
      </w:r>
      <w:r>
        <w:rPr>
          <w:sz w:val="24"/>
          <w:szCs w:val="24"/>
        </w:rPr>
        <w:t xml:space="preserve"> </w:t>
      </w:r>
      <w:r w:rsidR="000F5641">
        <w:rPr>
          <w:sz w:val="24"/>
          <w:szCs w:val="24"/>
        </w:rPr>
        <w:t>are</w:t>
      </w:r>
      <w:r>
        <w:rPr>
          <w:sz w:val="24"/>
          <w:szCs w:val="24"/>
        </w:rPr>
        <w:t xml:space="preserve"> consequential amendment that reflect the transfer of compensation and rehabilitation coverage for ADF members from the </w:t>
      </w:r>
      <w:r w:rsidRPr="00910E1F">
        <w:rPr>
          <w:i/>
          <w:sz w:val="24"/>
          <w:szCs w:val="24"/>
        </w:rPr>
        <w:t>Safety, Rehabilitation and Compensation Act 1988</w:t>
      </w:r>
      <w:r>
        <w:rPr>
          <w:sz w:val="24"/>
          <w:szCs w:val="24"/>
        </w:rPr>
        <w:t xml:space="preserve"> (SRCA) to the </w:t>
      </w:r>
      <w:r w:rsidRPr="00910E1F">
        <w:rPr>
          <w:i/>
          <w:sz w:val="24"/>
          <w:szCs w:val="24"/>
        </w:rPr>
        <w:t>Safety, Rehabilitation and Compensation (Defence-related Claims) Act 1988</w:t>
      </w:r>
      <w:r>
        <w:rPr>
          <w:sz w:val="24"/>
          <w:szCs w:val="24"/>
        </w:rPr>
        <w:t xml:space="preserve"> (DRCA) upon its enactment on 12 October 2017. </w:t>
      </w:r>
    </w:p>
    <w:p w:rsidR="009F3211" w:rsidRDefault="009F3211" w:rsidP="009F3211">
      <w:pPr>
        <w:keepNext/>
        <w:spacing w:after="120"/>
        <w:ind w:right="748"/>
        <w:rPr>
          <w:sz w:val="24"/>
          <w:szCs w:val="24"/>
        </w:rPr>
      </w:pPr>
      <w:r w:rsidRPr="00307DEC">
        <w:rPr>
          <w:sz w:val="24"/>
          <w:szCs w:val="24"/>
          <w:u w:val="single"/>
        </w:rPr>
        <w:t>Item 2</w:t>
      </w:r>
      <w:r>
        <w:rPr>
          <w:sz w:val="24"/>
          <w:szCs w:val="24"/>
        </w:rPr>
        <w:t xml:space="preserve"> repeals the definition of ‘Diagnostic Agents’.  The term does not appear in any other provision of the MRCA PBS.</w:t>
      </w:r>
    </w:p>
    <w:p w:rsidR="00307DEC" w:rsidRDefault="00910E1F" w:rsidP="00307DEC">
      <w:pPr>
        <w:keepNext/>
        <w:spacing w:after="120"/>
        <w:ind w:right="748"/>
        <w:rPr>
          <w:sz w:val="24"/>
          <w:szCs w:val="24"/>
        </w:rPr>
      </w:pPr>
      <w:r w:rsidRPr="00307DEC">
        <w:rPr>
          <w:sz w:val="24"/>
          <w:szCs w:val="24"/>
          <w:u w:val="single"/>
        </w:rPr>
        <w:t>Item 4</w:t>
      </w:r>
      <w:r w:rsidRPr="00910E1F">
        <w:rPr>
          <w:sz w:val="24"/>
          <w:szCs w:val="24"/>
        </w:rPr>
        <w:t xml:space="preserve"> </w:t>
      </w:r>
      <w:r w:rsidR="00307DEC">
        <w:rPr>
          <w:sz w:val="24"/>
          <w:szCs w:val="24"/>
        </w:rPr>
        <w:t xml:space="preserve">repeals the </w:t>
      </w:r>
      <w:r w:rsidRPr="00910E1F">
        <w:rPr>
          <w:sz w:val="24"/>
          <w:szCs w:val="24"/>
        </w:rPr>
        <w:t>definition</w:t>
      </w:r>
      <w:r w:rsidR="00307DEC">
        <w:rPr>
          <w:sz w:val="24"/>
          <w:szCs w:val="24"/>
        </w:rPr>
        <w:t xml:space="preserve"> of ‘hospital treatment’. </w:t>
      </w:r>
      <w:r w:rsidR="00307DEC" w:rsidRPr="00307DEC">
        <w:rPr>
          <w:sz w:val="24"/>
          <w:szCs w:val="24"/>
        </w:rPr>
        <w:t>The term does not appear in any other provision of the MRCA PBS.</w:t>
      </w:r>
    </w:p>
    <w:p w:rsidR="00805D39" w:rsidRDefault="00307DEC" w:rsidP="00805D39">
      <w:pPr>
        <w:keepNext/>
        <w:spacing w:after="120"/>
        <w:ind w:right="748"/>
        <w:rPr>
          <w:sz w:val="24"/>
          <w:szCs w:val="24"/>
        </w:rPr>
      </w:pPr>
      <w:r w:rsidRPr="00307DEC">
        <w:rPr>
          <w:sz w:val="24"/>
          <w:szCs w:val="24"/>
          <w:u w:val="single"/>
        </w:rPr>
        <w:t>Item 5</w:t>
      </w:r>
      <w:r>
        <w:rPr>
          <w:sz w:val="24"/>
          <w:szCs w:val="24"/>
        </w:rPr>
        <w:t xml:space="preserve"> inserts a definition for the term ‘relevant streamlined authority code’. The term as used in paragraph 11B(4)(b) was in</w:t>
      </w:r>
      <w:r w:rsidR="00805D39">
        <w:rPr>
          <w:sz w:val="24"/>
          <w:szCs w:val="24"/>
        </w:rPr>
        <w:t xml:space="preserve">cluded in that </w:t>
      </w:r>
      <w:r>
        <w:rPr>
          <w:sz w:val="24"/>
          <w:szCs w:val="24"/>
        </w:rPr>
        <w:t xml:space="preserve">new paragraph </w:t>
      </w:r>
      <w:r w:rsidR="00805D39">
        <w:rPr>
          <w:sz w:val="24"/>
          <w:szCs w:val="24"/>
        </w:rPr>
        <w:t xml:space="preserve">inserted by the </w:t>
      </w:r>
      <w:r w:rsidR="00805D39" w:rsidRPr="00805D39">
        <w:rPr>
          <w:i/>
          <w:sz w:val="24"/>
          <w:szCs w:val="24"/>
        </w:rPr>
        <w:t>Veterans’ Affairs Pharmaceutical Benefits Schemes (Electronic Prescriptions and Active Ingredient Prescribing) Amendment Instrument 2019</w:t>
      </w:r>
      <w:r w:rsidR="00805D39">
        <w:rPr>
          <w:i/>
          <w:sz w:val="24"/>
          <w:szCs w:val="24"/>
        </w:rPr>
        <w:t xml:space="preserve"> </w:t>
      </w:r>
      <w:r w:rsidR="00805D39" w:rsidRPr="00805D39">
        <w:rPr>
          <w:sz w:val="24"/>
          <w:szCs w:val="24"/>
        </w:rPr>
        <w:t>(Electronic Prescriptions Instrument).</w:t>
      </w:r>
    </w:p>
    <w:p w:rsidR="004D6C68" w:rsidRDefault="00556A69" w:rsidP="004D6C68">
      <w:pPr>
        <w:keepNext/>
        <w:spacing w:after="120"/>
        <w:ind w:right="748"/>
        <w:rPr>
          <w:sz w:val="24"/>
          <w:szCs w:val="24"/>
        </w:rPr>
      </w:pPr>
      <w:r w:rsidRPr="004D6C68">
        <w:rPr>
          <w:sz w:val="24"/>
          <w:szCs w:val="24"/>
        </w:rPr>
        <w:t>A ‘relevant streamlined authority code’ is the authority c</w:t>
      </w:r>
      <w:r w:rsidR="004D6C68">
        <w:rPr>
          <w:sz w:val="24"/>
          <w:szCs w:val="24"/>
        </w:rPr>
        <w:t xml:space="preserve">ode issued either in </w:t>
      </w:r>
      <w:r w:rsidRPr="004D6C68">
        <w:rPr>
          <w:sz w:val="24"/>
          <w:szCs w:val="24"/>
        </w:rPr>
        <w:t>the circumst</w:t>
      </w:r>
      <w:r w:rsidR="004D6C68">
        <w:rPr>
          <w:sz w:val="24"/>
          <w:szCs w:val="24"/>
        </w:rPr>
        <w:t>a</w:t>
      </w:r>
      <w:r w:rsidRPr="004D6C68">
        <w:rPr>
          <w:sz w:val="24"/>
          <w:szCs w:val="24"/>
        </w:rPr>
        <w:t xml:space="preserve">nces determined under paragraph 85(7)(b) </w:t>
      </w:r>
      <w:r w:rsidR="004D6C68">
        <w:rPr>
          <w:sz w:val="24"/>
          <w:szCs w:val="24"/>
        </w:rPr>
        <w:t xml:space="preserve">or the conditions determined under subsection 85A(2A) </w:t>
      </w:r>
      <w:r w:rsidRPr="004D6C68">
        <w:rPr>
          <w:sz w:val="24"/>
          <w:szCs w:val="24"/>
        </w:rPr>
        <w:t>of the National Health Act for the pharmaceutical benefit</w:t>
      </w:r>
      <w:r w:rsidR="004D6C68">
        <w:rPr>
          <w:sz w:val="24"/>
          <w:szCs w:val="24"/>
        </w:rPr>
        <w:t>.</w:t>
      </w:r>
    </w:p>
    <w:p w:rsidR="0099603F" w:rsidRDefault="0099603F" w:rsidP="004D6C68">
      <w:pPr>
        <w:keepNext/>
        <w:spacing w:after="120"/>
        <w:ind w:right="748"/>
        <w:rPr>
          <w:sz w:val="24"/>
          <w:szCs w:val="24"/>
        </w:rPr>
      </w:pPr>
      <w:r>
        <w:rPr>
          <w:sz w:val="24"/>
          <w:szCs w:val="24"/>
        </w:rPr>
        <w:t xml:space="preserve">The </w:t>
      </w:r>
      <w:r w:rsidRPr="0099603F">
        <w:rPr>
          <w:i/>
          <w:sz w:val="24"/>
          <w:szCs w:val="24"/>
        </w:rPr>
        <w:t>National Health (Listing of Pharmaceutical Benefits) Instrument 2012</w:t>
      </w:r>
      <w:r>
        <w:rPr>
          <w:sz w:val="24"/>
          <w:szCs w:val="24"/>
        </w:rPr>
        <w:t xml:space="preserve"> was made under a number of provisions of the National Health Act including paragraph 85(7)(b) and subsection 85A(2A).  </w:t>
      </w:r>
      <w:r w:rsidRPr="0099603F">
        <w:rPr>
          <w:sz w:val="24"/>
          <w:szCs w:val="24"/>
        </w:rPr>
        <w:t>Th</w:t>
      </w:r>
      <w:r>
        <w:rPr>
          <w:sz w:val="24"/>
          <w:szCs w:val="24"/>
        </w:rPr>
        <w:t>e</w:t>
      </w:r>
      <w:r w:rsidRPr="0099603F">
        <w:rPr>
          <w:sz w:val="24"/>
          <w:szCs w:val="24"/>
        </w:rPr>
        <w:t xml:space="preserve"> instrument provides for the listing of pharmaceutical benefits on the PBS</w:t>
      </w:r>
      <w:r>
        <w:rPr>
          <w:sz w:val="24"/>
          <w:szCs w:val="24"/>
        </w:rPr>
        <w:t xml:space="preserve"> and </w:t>
      </w:r>
      <w:r w:rsidRPr="0099603F">
        <w:rPr>
          <w:sz w:val="24"/>
          <w:szCs w:val="24"/>
        </w:rPr>
        <w:t>determin</w:t>
      </w:r>
      <w:r>
        <w:rPr>
          <w:sz w:val="24"/>
          <w:szCs w:val="24"/>
        </w:rPr>
        <w:t>es the f</w:t>
      </w:r>
      <w:r w:rsidRPr="0099603F">
        <w:rPr>
          <w:sz w:val="24"/>
          <w:szCs w:val="24"/>
        </w:rPr>
        <w:t>orms</w:t>
      </w:r>
      <w:r>
        <w:rPr>
          <w:sz w:val="24"/>
          <w:szCs w:val="24"/>
        </w:rPr>
        <w:t xml:space="preserve"> used</w:t>
      </w:r>
      <w:r w:rsidRPr="0099603F">
        <w:rPr>
          <w:sz w:val="24"/>
          <w:szCs w:val="24"/>
        </w:rPr>
        <w:t>,</w:t>
      </w:r>
      <w:r>
        <w:rPr>
          <w:sz w:val="24"/>
          <w:szCs w:val="24"/>
        </w:rPr>
        <w:t xml:space="preserve"> a</w:t>
      </w:r>
      <w:r w:rsidRPr="0099603F">
        <w:rPr>
          <w:sz w:val="24"/>
          <w:szCs w:val="24"/>
        </w:rPr>
        <w:t>dministration</w:t>
      </w:r>
      <w:r>
        <w:rPr>
          <w:sz w:val="24"/>
          <w:szCs w:val="24"/>
        </w:rPr>
        <w:t xml:space="preserve"> of the PBS and for </w:t>
      </w:r>
      <w:r w:rsidRPr="0099603F">
        <w:rPr>
          <w:sz w:val="24"/>
          <w:szCs w:val="24"/>
        </w:rPr>
        <w:t xml:space="preserve">related matters </w:t>
      </w:r>
      <w:r>
        <w:rPr>
          <w:sz w:val="24"/>
          <w:szCs w:val="24"/>
        </w:rPr>
        <w:t xml:space="preserve">including </w:t>
      </w:r>
      <w:r w:rsidRPr="0099603F">
        <w:rPr>
          <w:sz w:val="24"/>
          <w:szCs w:val="24"/>
        </w:rPr>
        <w:t>responsible persons, prescribing circumstances, maximum quantities and numbers of repeats, and whether the pharmaceutical benefit is to be available generally or available only under special arrangements.</w:t>
      </w:r>
      <w:r>
        <w:rPr>
          <w:sz w:val="24"/>
          <w:szCs w:val="24"/>
        </w:rPr>
        <w:t xml:space="preserve"> </w:t>
      </w:r>
    </w:p>
    <w:p w:rsidR="00805D39" w:rsidRDefault="004C279F" w:rsidP="00805D39">
      <w:pPr>
        <w:keepNext/>
        <w:spacing w:after="120"/>
        <w:ind w:right="748"/>
        <w:rPr>
          <w:sz w:val="24"/>
          <w:szCs w:val="24"/>
        </w:rPr>
      </w:pPr>
      <w:r w:rsidRPr="004C279F">
        <w:rPr>
          <w:sz w:val="24"/>
          <w:szCs w:val="24"/>
          <w:u w:val="single"/>
        </w:rPr>
        <w:t>Item 6</w:t>
      </w:r>
      <w:r>
        <w:rPr>
          <w:sz w:val="24"/>
          <w:szCs w:val="24"/>
        </w:rPr>
        <w:t xml:space="preserve"> omits and substitutes a clearer definition for the term ‘Repatriation Schedule of Pharmaceutical Benefits’.</w:t>
      </w:r>
    </w:p>
    <w:p w:rsidR="00215D7F" w:rsidRDefault="00215D7F" w:rsidP="00805D39">
      <w:pPr>
        <w:keepNext/>
        <w:spacing w:after="120"/>
        <w:ind w:right="748"/>
        <w:rPr>
          <w:sz w:val="24"/>
          <w:szCs w:val="24"/>
        </w:rPr>
      </w:pPr>
      <w:r>
        <w:rPr>
          <w:sz w:val="24"/>
          <w:szCs w:val="24"/>
        </w:rPr>
        <w:t xml:space="preserve">The ‘Repatriation Schedule of Pharmaceutical Benefits’ is defined as all of the content in the Pharmaceutical Benefits Scheme under the heading of the “Repatriation Pharmaceutical Benefits Scheme’ which lists the pharmaceutical </w:t>
      </w:r>
      <w:r>
        <w:rPr>
          <w:sz w:val="24"/>
          <w:szCs w:val="24"/>
        </w:rPr>
        <w:lastRenderedPageBreak/>
        <w:t>benefits which are only available to persons who have eligibility under the Schemes.</w:t>
      </w:r>
    </w:p>
    <w:p w:rsidR="00215D7F" w:rsidRDefault="00215D7F" w:rsidP="00805D39">
      <w:pPr>
        <w:keepNext/>
        <w:spacing w:after="120"/>
        <w:ind w:right="748"/>
        <w:rPr>
          <w:sz w:val="24"/>
          <w:szCs w:val="24"/>
        </w:rPr>
      </w:pPr>
      <w:r w:rsidRPr="00215D7F">
        <w:rPr>
          <w:sz w:val="24"/>
          <w:szCs w:val="24"/>
          <w:u w:val="single"/>
        </w:rPr>
        <w:t>Item 7</w:t>
      </w:r>
      <w:r>
        <w:rPr>
          <w:sz w:val="24"/>
          <w:szCs w:val="24"/>
        </w:rPr>
        <w:t xml:space="preserve"> omits and substitutes the definition of ‘service injury’ and ‘service disease’ to replace the references to the SRCA with references to the “DRCA”.</w:t>
      </w:r>
    </w:p>
    <w:p w:rsidR="00215D7F" w:rsidRPr="004C279F" w:rsidRDefault="00215D7F" w:rsidP="00805D39">
      <w:pPr>
        <w:keepNext/>
        <w:spacing w:after="120"/>
        <w:ind w:right="748"/>
        <w:rPr>
          <w:sz w:val="24"/>
          <w:szCs w:val="24"/>
        </w:rPr>
      </w:pPr>
      <w:r w:rsidRPr="00215D7F">
        <w:rPr>
          <w:sz w:val="24"/>
          <w:szCs w:val="24"/>
          <w:u w:val="single"/>
        </w:rPr>
        <w:t>Item 8</w:t>
      </w:r>
      <w:r>
        <w:rPr>
          <w:sz w:val="24"/>
          <w:szCs w:val="24"/>
        </w:rPr>
        <w:t xml:space="preserve"> omits the definition of ‘Sixth Community Pharmacy Agreement’.  The reference is not required as that Agreement was not referenced in the MRCA PBS. </w:t>
      </w:r>
    </w:p>
    <w:p w:rsidR="00805D39" w:rsidRPr="00215D7F" w:rsidRDefault="00215D7F" w:rsidP="00805D39">
      <w:pPr>
        <w:keepNext/>
        <w:spacing w:after="120"/>
        <w:ind w:right="748"/>
        <w:rPr>
          <w:b/>
          <w:sz w:val="24"/>
          <w:szCs w:val="24"/>
        </w:rPr>
      </w:pPr>
      <w:r w:rsidRPr="00215D7F">
        <w:rPr>
          <w:b/>
          <w:sz w:val="24"/>
          <w:szCs w:val="24"/>
        </w:rPr>
        <w:t>Items [10], [11] and [12] – Section 11B</w:t>
      </w:r>
    </w:p>
    <w:p w:rsidR="00215D7F" w:rsidRDefault="004207B1" w:rsidP="00307DEC">
      <w:pPr>
        <w:keepNext/>
        <w:spacing w:after="120"/>
        <w:ind w:right="748"/>
        <w:rPr>
          <w:sz w:val="24"/>
          <w:szCs w:val="24"/>
        </w:rPr>
      </w:pPr>
      <w:r>
        <w:rPr>
          <w:sz w:val="24"/>
          <w:szCs w:val="24"/>
        </w:rPr>
        <w:t>Section 11B provides for the requirements for written prescriptions which are completed using medication charts at a residential care service or n approved hospital.</w:t>
      </w:r>
    </w:p>
    <w:p w:rsidR="004207B1" w:rsidRDefault="004207B1" w:rsidP="00307DEC">
      <w:pPr>
        <w:keepNext/>
        <w:spacing w:after="120"/>
        <w:ind w:right="748"/>
        <w:rPr>
          <w:sz w:val="24"/>
          <w:szCs w:val="24"/>
        </w:rPr>
      </w:pPr>
      <w:r w:rsidRPr="004207B1">
        <w:rPr>
          <w:sz w:val="24"/>
          <w:szCs w:val="24"/>
          <w:u w:val="single"/>
        </w:rPr>
        <w:t>Item 10</w:t>
      </w:r>
      <w:r>
        <w:rPr>
          <w:sz w:val="24"/>
          <w:szCs w:val="24"/>
        </w:rPr>
        <w:t xml:space="preserve"> omits and substitutes paragraph 11B(4)(a) to replace the paragraph inserted in error in the amendments made by the  Electronic Prescriptions Instrument.  The incorrect paragraph included the procedures used under the </w:t>
      </w:r>
      <w:r w:rsidRPr="00DC2534">
        <w:rPr>
          <w:i/>
          <w:sz w:val="24"/>
          <w:szCs w:val="24"/>
        </w:rPr>
        <w:t>National Health (Pharmaceutical Benefits) Regulations 2017</w:t>
      </w:r>
      <w:r>
        <w:rPr>
          <w:sz w:val="24"/>
          <w:szCs w:val="24"/>
        </w:rPr>
        <w:t xml:space="preserve"> for an ‘autho</w:t>
      </w:r>
      <w:r w:rsidR="00DC2534">
        <w:rPr>
          <w:sz w:val="24"/>
          <w:szCs w:val="24"/>
        </w:rPr>
        <w:t>r</w:t>
      </w:r>
      <w:r>
        <w:rPr>
          <w:sz w:val="24"/>
          <w:szCs w:val="24"/>
        </w:rPr>
        <w:t>i</w:t>
      </w:r>
      <w:r w:rsidR="00DC2534">
        <w:rPr>
          <w:sz w:val="24"/>
          <w:szCs w:val="24"/>
        </w:rPr>
        <w:t>t</w:t>
      </w:r>
      <w:r>
        <w:rPr>
          <w:sz w:val="24"/>
          <w:szCs w:val="24"/>
        </w:rPr>
        <w:t>y prescription’.</w:t>
      </w:r>
    </w:p>
    <w:p w:rsidR="004207B1" w:rsidRDefault="004207B1" w:rsidP="00307DEC">
      <w:pPr>
        <w:keepNext/>
        <w:spacing w:after="120"/>
        <w:ind w:right="748"/>
        <w:rPr>
          <w:sz w:val="24"/>
          <w:szCs w:val="24"/>
        </w:rPr>
      </w:pPr>
      <w:r>
        <w:rPr>
          <w:sz w:val="24"/>
          <w:szCs w:val="24"/>
        </w:rPr>
        <w:t xml:space="preserve">The replacement paragraph correctly refers to the need </w:t>
      </w:r>
      <w:r w:rsidR="00910444">
        <w:rPr>
          <w:sz w:val="24"/>
          <w:szCs w:val="24"/>
        </w:rPr>
        <w:t xml:space="preserve">in the circumstances where it was </w:t>
      </w:r>
      <w:r>
        <w:rPr>
          <w:sz w:val="24"/>
          <w:szCs w:val="24"/>
        </w:rPr>
        <w:t xml:space="preserve">required to obtain an “authority approval number”.  </w:t>
      </w:r>
      <w:r w:rsidR="00DC2534">
        <w:rPr>
          <w:sz w:val="24"/>
          <w:szCs w:val="24"/>
        </w:rPr>
        <w:t xml:space="preserve">Such a number will be provided when “prior approval” for the prescription is obtained as </w:t>
      </w:r>
      <w:r>
        <w:rPr>
          <w:sz w:val="24"/>
          <w:szCs w:val="24"/>
        </w:rPr>
        <w:t>set out in section 6 of the MRCA PBS.</w:t>
      </w:r>
    </w:p>
    <w:p w:rsidR="00910E1F" w:rsidRDefault="00DC2534" w:rsidP="00DC2534">
      <w:pPr>
        <w:keepNext/>
        <w:spacing w:after="120"/>
        <w:ind w:right="748"/>
        <w:rPr>
          <w:sz w:val="24"/>
          <w:szCs w:val="24"/>
        </w:rPr>
      </w:pPr>
      <w:r w:rsidRPr="00DC2534">
        <w:rPr>
          <w:sz w:val="24"/>
          <w:szCs w:val="24"/>
          <w:u w:val="single"/>
        </w:rPr>
        <w:t>Item 11</w:t>
      </w:r>
      <w:r>
        <w:rPr>
          <w:sz w:val="24"/>
          <w:szCs w:val="24"/>
        </w:rPr>
        <w:t xml:space="preserve"> is a technical amendment to italicize the reference to “relevant streamlined authority code” in paragraph 11B(4)(b) as an indication that the term is defined in section 3 of the MRCA PBS (</w:t>
      </w:r>
      <w:r w:rsidRPr="00DC2534">
        <w:rPr>
          <w:sz w:val="24"/>
          <w:szCs w:val="24"/>
          <w:u w:val="single"/>
        </w:rPr>
        <w:t>Item 5</w:t>
      </w:r>
      <w:r>
        <w:rPr>
          <w:sz w:val="24"/>
          <w:szCs w:val="24"/>
        </w:rPr>
        <w:t xml:space="preserve"> refers).</w:t>
      </w:r>
    </w:p>
    <w:p w:rsidR="00DC2534" w:rsidRDefault="00DC2534" w:rsidP="00DC2534">
      <w:pPr>
        <w:keepNext/>
        <w:spacing w:after="120"/>
        <w:ind w:right="748"/>
        <w:rPr>
          <w:sz w:val="24"/>
          <w:szCs w:val="24"/>
        </w:rPr>
      </w:pPr>
      <w:r w:rsidRPr="00962F6E">
        <w:rPr>
          <w:sz w:val="24"/>
          <w:szCs w:val="24"/>
          <w:u w:val="single"/>
        </w:rPr>
        <w:t>Item 12</w:t>
      </w:r>
      <w:r>
        <w:rPr>
          <w:sz w:val="24"/>
          <w:szCs w:val="24"/>
        </w:rPr>
        <w:t xml:space="preserve"> omits </w:t>
      </w:r>
      <w:r w:rsidR="00353BE7">
        <w:rPr>
          <w:sz w:val="24"/>
          <w:szCs w:val="24"/>
        </w:rPr>
        <w:t xml:space="preserve">subsection </w:t>
      </w:r>
      <w:r>
        <w:rPr>
          <w:sz w:val="24"/>
          <w:szCs w:val="24"/>
        </w:rPr>
        <w:t xml:space="preserve">11B(5).  The content of subsection 11B(5) was duplicated in new subsection </w:t>
      </w:r>
      <w:r w:rsidR="004E625C">
        <w:rPr>
          <w:sz w:val="24"/>
          <w:szCs w:val="24"/>
        </w:rPr>
        <w:t>11</w:t>
      </w:r>
      <w:r>
        <w:rPr>
          <w:sz w:val="24"/>
          <w:szCs w:val="24"/>
        </w:rPr>
        <w:t>B(4A) which was inserted by the Electronic Presc</w:t>
      </w:r>
      <w:r w:rsidR="004E625C">
        <w:rPr>
          <w:sz w:val="24"/>
          <w:szCs w:val="24"/>
        </w:rPr>
        <w:t>r</w:t>
      </w:r>
      <w:r>
        <w:rPr>
          <w:sz w:val="24"/>
          <w:szCs w:val="24"/>
        </w:rPr>
        <w:t>iptions Instrum</w:t>
      </w:r>
      <w:r w:rsidR="004E625C">
        <w:rPr>
          <w:sz w:val="24"/>
          <w:szCs w:val="24"/>
        </w:rPr>
        <w:t>e</w:t>
      </w:r>
      <w:r>
        <w:rPr>
          <w:sz w:val="24"/>
          <w:szCs w:val="24"/>
        </w:rPr>
        <w:t xml:space="preserve">nt </w:t>
      </w:r>
      <w:r w:rsidR="004E625C">
        <w:rPr>
          <w:sz w:val="24"/>
          <w:szCs w:val="24"/>
        </w:rPr>
        <w:t>and is redundant.</w:t>
      </w:r>
    </w:p>
    <w:p w:rsidR="00E51B13" w:rsidRPr="000C1B06" w:rsidRDefault="00933126" w:rsidP="00DC2534">
      <w:pPr>
        <w:keepNext/>
        <w:spacing w:after="120"/>
        <w:ind w:right="748"/>
        <w:rPr>
          <w:b/>
          <w:sz w:val="24"/>
          <w:szCs w:val="24"/>
        </w:rPr>
      </w:pPr>
      <w:r w:rsidRPr="000C1B06">
        <w:rPr>
          <w:b/>
          <w:sz w:val="24"/>
          <w:szCs w:val="24"/>
        </w:rPr>
        <w:t xml:space="preserve">Item </w:t>
      </w:r>
      <w:r w:rsidR="00E51B13" w:rsidRPr="000C1B06">
        <w:rPr>
          <w:b/>
          <w:sz w:val="24"/>
          <w:szCs w:val="24"/>
        </w:rPr>
        <w:t>[</w:t>
      </w:r>
      <w:r w:rsidRPr="000C1B06">
        <w:rPr>
          <w:b/>
          <w:sz w:val="24"/>
          <w:szCs w:val="24"/>
        </w:rPr>
        <w:t>13</w:t>
      </w:r>
      <w:r w:rsidR="00E51B13" w:rsidRPr="000C1B06">
        <w:rPr>
          <w:b/>
          <w:sz w:val="24"/>
          <w:szCs w:val="24"/>
        </w:rPr>
        <w:t>] – Subsection 47(1)</w:t>
      </w:r>
    </w:p>
    <w:p w:rsidR="00E51B13" w:rsidRDefault="00E51B13" w:rsidP="000C1B06">
      <w:pPr>
        <w:keepNext/>
        <w:ind w:right="748"/>
        <w:rPr>
          <w:sz w:val="24"/>
          <w:szCs w:val="24"/>
        </w:rPr>
      </w:pPr>
      <w:r>
        <w:rPr>
          <w:sz w:val="24"/>
          <w:szCs w:val="24"/>
        </w:rPr>
        <w:t>T</w:t>
      </w:r>
      <w:r w:rsidR="00933126">
        <w:rPr>
          <w:sz w:val="24"/>
          <w:szCs w:val="24"/>
        </w:rPr>
        <w:t>he reference to ‘1 November 2020” i</w:t>
      </w:r>
      <w:r>
        <w:rPr>
          <w:sz w:val="24"/>
          <w:szCs w:val="24"/>
        </w:rPr>
        <w:t xml:space="preserve">s omitted and replaced in the transitional provision that allows for prescriptions to be written which do not meet the requirements of  sections 11A and 11B as amended by the </w:t>
      </w:r>
      <w:r w:rsidRPr="00E51B13">
        <w:rPr>
          <w:sz w:val="24"/>
          <w:szCs w:val="24"/>
        </w:rPr>
        <w:t>Electronic Prescriptions Instrument</w:t>
      </w:r>
      <w:r>
        <w:rPr>
          <w:sz w:val="24"/>
          <w:szCs w:val="24"/>
        </w:rPr>
        <w:t xml:space="preserve">. The transitional period is extended until  </w:t>
      </w:r>
    </w:p>
    <w:p w:rsidR="00933126" w:rsidRDefault="00E51B13" w:rsidP="00DC2534">
      <w:pPr>
        <w:keepNext/>
        <w:spacing w:after="120"/>
        <w:ind w:right="748"/>
        <w:rPr>
          <w:sz w:val="24"/>
          <w:szCs w:val="24"/>
        </w:rPr>
      </w:pPr>
      <w:r>
        <w:rPr>
          <w:sz w:val="24"/>
          <w:szCs w:val="24"/>
        </w:rPr>
        <w:t>“1 February 2021”.</w:t>
      </w:r>
    </w:p>
    <w:p w:rsidR="004E625C" w:rsidRPr="004E625C" w:rsidRDefault="004E625C" w:rsidP="00DC2534">
      <w:pPr>
        <w:keepNext/>
        <w:spacing w:after="120"/>
        <w:ind w:right="748"/>
        <w:rPr>
          <w:b/>
          <w:sz w:val="24"/>
          <w:szCs w:val="24"/>
        </w:rPr>
      </w:pPr>
      <w:r w:rsidRPr="004E625C">
        <w:rPr>
          <w:b/>
          <w:sz w:val="24"/>
          <w:szCs w:val="24"/>
        </w:rPr>
        <w:t>Item [1</w:t>
      </w:r>
      <w:r w:rsidR="00E51B13">
        <w:rPr>
          <w:b/>
          <w:sz w:val="24"/>
          <w:szCs w:val="24"/>
        </w:rPr>
        <w:t>4</w:t>
      </w:r>
      <w:r w:rsidRPr="004E625C">
        <w:rPr>
          <w:b/>
          <w:sz w:val="24"/>
          <w:szCs w:val="24"/>
        </w:rPr>
        <w:t>] - Schedule 1: Listing of Incorporated documents</w:t>
      </w:r>
    </w:p>
    <w:p w:rsidR="00DC2534" w:rsidRPr="00910E1F" w:rsidRDefault="002F6305" w:rsidP="00910E1F">
      <w:pPr>
        <w:keepNext/>
        <w:ind w:right="748"/>
        <w:rPr>
          <w:sz w:val="24"/>
          <w:szCs w:val="24"/>
        </w:rPr>
      </w:pPr>
      <w:r>
        <w:rPr>
          <w:sz w:val="24"/>
          <w:szCs w:val="24"/>
        </w:rPr>
        <w:t>T</w:t>
      </w:r>
      <w:r w:rsidRPr="002F6305">
        <w:rPr>
          <w:sz w:val="24"/>
          <w:szCs w:val="24"/>
        </w:rPr>
        <w:t xml:space="preserve">he </w:t>
      </w:r>
      <w:r>
        <w:rPr>
          <w:sz w:val="24"/>
          <w:szCs w:val="24"/>
        </w:rPr>
        <w:t xml:space="preserve">reference to the </w:t>
      </w:r>
      <w:r w:rsidRPr="002F6305">
        <w:rPr>
          <w:sz w:val="24"/>
          <w:szCs w:val="24"/>
        </w:rPr>
        <w:t>‘Sixt</w:t>
      </w:r>
      <w:r>
        <w:rPr>
          <w:sz w:val="24"/>
          <w:szCs w:val="24"/>
        </w:rPr>
        <w:t>h Community Pharmacy Agreement’ is omitted from the list of incorporated documents for the purposes of the MRCA PBS.</w:t>
      </w:r>
      <w:r w:rsidRPr="002F6305">
        <w:rPr>
          <w:sz w:val="24"/>
          <w:szCs w:val="24"/>
        </w:rPr>
        <w:t xml:space="preserve">  The reference is not required as th</w:t>
      </w:r>
      <w:r>
        <w:rPr>
          <w:sz w:val="24"/>
          <w:szCs w:val="24"/>
        </w:rPr>
        <w:t>e</w:t>
      </w:r>
      <w:r w:rsidRPr="002F6305">
        <w:rPr>
          <w:sz w:val="24"/>
          <w:szCs w:val="24"/>
        </w:rPr>
        <w:t xml:space="preserve"> Agreement was not referenced </w:t>
      </w:r>
      <w:r>
        <w:rPr>
          <w:sz w:val="24"/>
          <w:szCs w:val="24"/>
        </w:rPr>
        <w:t>by</w:t>
      </w:r>
      <w:r w:rsidRPr="002F6305">
        <w:rPr>
          <w:sz w:val="24"/>
          <w:szCs w:val="24"/>
        </w:rPr>
        <w:t xml:space="preserve"> the MRCA PBS.</w:t>
      </w:r>
    </w:p>
    <w:p w:rsidR="000C1B06" w:rsidRDefault="000C1B06" w:rsidP="0052240B">
      <w:pPr>
        <w:keepNext/>
        <w:ind w:right="748"/>
        <w:rPr>
          <w:sz w:val="24"/>
          <w:szCs w:val="24"/>
        </w:rPr>
        <w:sectPr w:rsidR="000C1B06">
          <w:pgSz w:w="11906" w:h="16838"/>
          <w:pgMar w:top="1440" w:right="1797" w:bottom="567" w:left="1797" w:header="720" w:footer="720" w:gutter="0"/>
          <w:cols w:space="720"/>
          <w:titlePg/>
        </w:sectPr>
      </w:pPr>
    </w:p>
    <w:p w:rsidR="00F076DF" w:rsidRPr="00F076DF" w:rsidRDefault="00F076DF" w:rsidP="00F076DF">
      <w:pPr>
        <w:pStyle w:val="LogoHeader"/>
        <w:keepLines w:val="0"/>
        <w:tabs>
          <w:tab w:val="left" w:pos="540"/>
        </w:tabs>
        <w:rPr>
          <w:rFonts w:ascii="Times New Roman" w:hAnsi="Times New Roman"/>
          <w:b/>
          <w:sz w:val="28"/>
          <w:szCs w:val="28"/>
        </w:rPr>
      </w:pPr>
      <w:r w:rsidRPr="00F076DF">
        <w:rPr>
          <w:rFonts w:ascii="Times New Roman" w:hAnsi="Times New Roman"/>
          <w:b/>
          <w:i/>
          <w:color w:val="000000"/>
          <w:sz w:val="28"/>
          <w:szCs w:val="28"/>
          <w:lang w:val="en-AU" w:eastAsia="en-AU"/>
        </w:rPr>
        <w:lastRenderedPageBreak/>
        <w:t xml:space="preserve">Repatriation Pharmaceutical Benefits Scheme </w:t>
      </w:r>
      <w:r w:rsidRPr="00F076DF">
        <w:rPr>
          <w:rFonts w:ascii="Times New Roman" w:hAnsi="Times New Roman"/>
          <w:b/>
          <w:sz w:val="28"/>
          <w:szCs w:val="28"/>
        </w:rPr>
        <w:t>(Instrument 2013 No. R34)</w:t>
      </w:r>
    </w:p>
    <w:p w:rsidR="002F6305" w:rsidRPr="00910E1F" w:rsidRDefault="002F6305" w:rsidP="000C1B06">
      <w:pPr>
        <w:keepNext/>
        <w:spacing w:before="240" w:after="120"/>
        <w:ind w:right="748"/>
        <w:rPr>
          <w:b/>
          <w:sz w:val="24"/>
          <w:szCs w:val="24"/>
        </w:rPr>
      </w:pPr>
      <w:r w:rsidRPr="00910E1F">
        <w:rPr>
          <w:b/>
          <w:sz w:val="24"/>
          <w:szCs w:val="24"/>
        </w:rPr>
        <w:t>Item</w:t>
      </w:r>
      <w:r>
        <w:rPr>
          <w:b/>
          <w:sz w:val="24"/>
          <w:szCs w:val="24"/>
        </w:rPr>
        <w:t>s</w:t>
      </w:r>
      <w:r w:rsidRPr="00910E1F">
        <w:rPr>
          <w:b/>
          <w:sz w:val="24"/>
          <w:szCs w:val="24"/>
        </w:rPr>
        <w:t xml:space="preserve"> [1</w:t>
      </w:r>
      <w:r w:rsidR="00E51B13">
        <w:rPr>
          <w:b/>
          <w:sz w:val="24"/>
          <w:szCs w:val="24"/>
        </w:rPr>
        <w:t>5</w:t>
      </w:r>
      <w:r w:rsidRPr="00910E1F">
        <w:rPr>
          <w:b/>
          <w:sz w:val="24"/>
          <w:szCs w:val="24"/>
        </w:rPr>
        <w:t>]</w:t>
      </w:r>
      <w:r>
        <w:rPr>
          <w:b/>
          <w:sz w:val="24"/>
          <w:szCs w:val="24"/>
        </w:rPr>
        <w:t xml:space="preserve"> to </w:t>
      </w:r>
      <w:r w:rsidRPr="00910E1F">
        <w:rPr>
          <w:b/>
          <w:sz w:val="24"/>
          <w:szCs w:val="24"/>
        </w:rPr>
        <w:t>[</w:t>
      </w:r>
      <w:r>
        <w:rPr>
          <w:b/>
          <w:sz w:val="24"/>
          <w:szCs w:val="24"/>
        </w:rPr>
        <w:t>2</w:t>
      </w:r>
      <w:r w:rsidR="00E51B13">
        <w:rPr>
          <w:b/>
          <w:sz w:val="24"/>
          <w:szCs w:val="24"/>
        </w:rPr>
        <w:t>3]</w:t>
      </w:r>
      <w:r w:rsidRPr="00910E1F">
        <w:rPr>
          <w:b/>
          <w:sz w:val="24"/>
          <w:szCs w:val="24"/>
        </w:rPr>
        <w:t xml:space="preserve"> - Section 3</w:t>
      </w:r>
    </w:p>
    <w:p w:rsidR="002F6305" w:rsidRDefault="002F6305">
      <w:pPr>
        <w:keepNext/>
        <w:spacing w:after="120"/>
        <w:ind w:right="748"/>
        <w:rPr>
          <w:sz w:val="24"/>
          <w:szCs w:val="24"/>
        </w:rPr>
      </w:pPr>
      <w:r w:rsidRPr="00307DEC">
        <w:rPr>
          <w:sz w:val="24"/>
          <w:szCs w:val="24"/>
          <w:u w:val="single"/>
        </w:rPr>
        <w:t>Item 1</w:t>
      </w:r>
      <w:r w:rsidR="00E51B13">
        <w:rPr>
          <w:sz w:val="24"/>
          <w:szCs w:val="24"/>
          <w:u w:val="single"/>
        </w:rPr>
        <w:t>5</w:t>
      </w:r>
      <w:r w:rsidRPr="00910E1F">
        <w:rPr>
          <w:sz w:val="24"/>
          <w:szCs w:val="24"/>
        </w:rPr>
        <w:t xml:space="preserve"> </w:t>
      </w:r>
      <w:r>
        <w:rPr>
          <w:sz w:val="24"/>
          <w:szCs w:val="24"/>
        </w:rPr>
        <w:t xml:space="preserve">amends the definition of ‘accepted disability’ to replace the reference to “SRCA disability” with a reference to “DRCA disability” (inserted by </w:t>
      </w:r>
      <w:r w:rsidRPr="00307DEC">
        <w:rPr>
          <w:sz w:val="24"/>
          <w:szCs w:val="24"/>
          <w:u w:val="single"/>
        </w:rPr>
        <w:t xml:space="preserve">Item </w:t>
      </w:r>
      <w:r>
        <w:rPr>
          <w:sz w:val="24"/>
          <w:szCs w:val="24"/>
          <w:u w:val="single"/>
        </w:rPr>
        <w:t>1</w:t>
      </w:r>
      <w:r w:rsidR="00E51B13">
        <w:rPr>
          <w:sz w:val="24"/>
          <w:szCs w:val="24"/>
          <w:u w:val="single"/>
        </w:rPr>
        <w:t>7</w:t>
      </w:r>
      <w:r>
        <w:rPr>
          <w:sz w:val="24"/>
          <w:szCs w:val="24"/>
        </w:rPr>
        <w:t xml:space="preserve"> of this Schedule.</w:t>
      </w:r>
    </w:p>
    <w:p w:rsidR="002F6305" w:rsidRDefault="002F6305" w:rsidP="002F6305">
      <w:pPr>
        <w:keepNext/>
        <w:spacing w:after="120"/>
        <w:ind w:right="748"/>
        <w:rPr>
          <w:sz w:val="24"/>
          <w:szCs w:val="24"/>
        </w:rPr>
      </w:pPr>
      <w:r w:rsidRPr="00307DEC">
        <w:rPr>
          <w:sz w:val="24"/>
          <w:szCs w:val="24"/>
          <w:u w:val="single"/>
        </w:rPr>
        <w:t xml:space="preserve">Items </w:t>
      </w:r>
      <w:r>
        <w:rPr>
          <w:sz w:val="24"/>
          <w:szCs w:val="24"/>
          <w:u w:val="single"/>
        </w:rPr>
        <w:t>1</w:t>
      </w:r>
      <w:r w:rsidR="00E51B13">
        <w:rPr>
          <w:sz w:val="24"/>
          <w:szCs w:val="24"/>
          <w:u w:val="single"/>
        </w:rPr>
        <w:t>7</w:t>
      </w:r>
      <w:r w:rsidRPr="00307DEC">
        <w:rPr>
          <w:sz w:val="24"/>
          <w:szCs w:val="24"/>
          <w:u w:val="single"/>
        </w:rPr>
        <w:t xml:space="preserve"> and </w:t>
      </w:r>
      <w:r>
        <w:rPr>
          <w:sz w:val="24"/>
          <w:szCs w:val="24"/>
          <w:u w:val="single"/>
        </w:rPr>
        <w:t>2</w:t>
      </w:r>
      <w:r w:rsidR="00E51B13">
        <w:rPr>
          <w:sz w:val="24"/>
          <w:szCs w:val="24"/>
          <w:u w:val="single"/>
        </w:rPr>
        <w:t>2</w:t>
      </w:r>
      <w:r>
        <w:rPr>
          <w:sz w:val="24"/>
          <w:szCs w:val="24"/>
        </w:rPr>
        <w:t xml:space="preserve"> omit the reference to ‘SRCA disability’ and insert a new definition for a “DRCA disability’.</w:t>
      </w:r>
    </w:p>
    <w:p w:rsidR="002F6305" w:rsidRPr="000F5641" w:rsidRDefault="002F6305" w:rsidP="002F6305">
      <w:pPr>
        <w:keepNext/>
        <w:spacing w:after="120"/>
        <w:ind w:right="748"/>
        <w:rPr>
          <w:sz w:val="24"/>
          <w:szCs w:val="24"/>
        </w:rPr>
      </w:pPr>
      <w:r>
        <w:rPr>
          <w:sz w:val="24"/>
          <w:szCs w:val="24"/>
        </w:rPr>
        <w:t xml:space="preserve">A “DRCA disability’ is defined as being an injury as defined in section 5A of the </w:t>
      </w:r>
      <w:r w:rsidRPr="000F5641">
        <w:rPr>
          <w:i/>
          <w:sz w:val="24"/>
          <w:szCs w:val="24"/>
        </w:rPr>
        <w:t>Safety, Rehabilitation and Compensation (Defence-related Claims) Act 1988</w:t>
      </w:r>
      <w:r>
        <w:rPr>
          <w:i/>
          <w:sz w:val="24"/>
          <w:szCs w:val="24"/>
        </w:rPr>
        <w:t xml:space="preserve"> </w:t>
      </w:r>
      <w:r w:rsidRPr="000F5641">
        <w:rPr>
          <w:sz w:val="24"/>
          <w:szCs w:val="24"/>
        </w:rPr>
        <w:t>for which the Mili</w:t>
      </w:r>
      <w:r>
        <w:rPr>
          <w:sz w:val="24"/>
          <w:szCs w:val="24"/>
        </w:rPr>
        <w:t>t</w:t>
      </w:r>
      <w:r w:rsidRPr="000F5641">
        <w:rPr>
          <w:sz w:val="24"/>
          <w:szCs w:val="24"/>
        </w:rPr>
        <w:t>ary Rehabili</w:t>
      </w:r>
      <w:r>
        <w:rPr>
          <w:sz w:val="24"/>
          <w:szCs w:val="24"/>
        </w:rPr>
        <w:t>ta</w:t>
      </w:r>
      <w:r w:rsidRPr="000F5641">
        <w:rPr>
          <w:sz w:val="24"/>
          <w:szCs w:val="24"/>
        </w:rPr>
        <w:t>t</w:t>
      </w:r>
      <w:r>
        <w:rPr>
          <w:sz w:val="24"/>
          <w:szCs w:val="24"/>
        </w:rPr>
        <w:t>i</w:t>
      </w:r>
      <w:r w:rsidRPr="000F5641">
        <w:rPr>
          <w:sz w:val="24"/>
          <w:szCs w:val="24"/>
        </w:rPr>
        <w:t>on and Compensation Commission has accepted liability t</w:t>
      </w:r>
      <w:r>
        <w:rPr>
          <w:sz w:val="24"/>
          <w:szCs w:val="24"/>
        </w:rPr>
        <w:t>o pay c</w:t>
      </w:r>
      <w:r w:rsidRPr="000F5641">
        <w:rPr>
          <w:sz w:val="24"/>
          <w:szCs w:val="24"/>
        </w:rPr>
        <w:t xml:space="preserve">ompensation </w:t>
      </w:r>
      <w:r>
        <w:rPr>
          <w:sz w:val="24"/>
          <w:szCs w:val="24"/>
        </w:rPr>
        <w:t xml:space="preserve">under that Act </w:t>
      </w:r>
      <w:r w:rsidRPr="000F5641">
        <w:rPr>
          <w:sz w:val="24"/>
          <w:szCs w:val="24"/>
        </w:rPr>
        <w:t>and for which the person is eligible for treatm</w:t>
      </w:r>
      <w:r>
        <w:rPr>
          <w:sz w:val="24"/>
          <w:szCs w:val="24"/>
        </w:rPr>
        <w:t>e</w:t>
      </w:r>
      <w:r w:rsidRPr="000F5641">
        <w:rPr>
          <w:sz w:val="24"/>
          <w:szCs w:val="24"/>
        </w:rPr>
        <w:t xml:space="preserve">nt to be provided under Part </w:t>
      </w:r>
      <w:r>
        <w:rPr>
          <w:sz w:val="24"/>
          <w:szCs w:val="24"/>
        </w:rPr>
        <w:t>V</w:t>
      </w:r>
      <w:r w:rsidRPr="000F5641">
        <w:rPr>
          <w:sz w:val="24"/>
          <w:szCs w:val="24"/>
        </w:rPr>
        <w:t xml:space="preserve"> of the </w:t>
      </w:r>
      <w:r>
        <w:rPr>
          <w:sz w:val="24"/>
          <w:szCs w:val="24"/>
        </w:rPr>
        <w:t>VEA</w:t>
      </w:r>
      <w:r w:rsidRPr="000F5641">
        <w:rPr>
          <w:sz w:val="24"/>
          <w:szCs w:val="24"/>
        </w:rPr>
        <w:t>.</w:t>
      </w:r>
    </w:p>
    <w:p w:rsidR="002F6305" w:rsidRDefault="002F6305" w:rsidP="002F6305">
      <w:pPr>
        <w:keepNext/>
        <w:spacing w:after="120"/>
        <w:ind w:right="748"/>
        <w:rPr>
          <w:sz w:val="24"/>
          <w:szCs w:val="24"/>
        </w:rPr>
      </w:pPr>
      <w:r>
        <w:rPr>
          <w:sz w:val="24"/>
          <w:szCs w:val="24"/>
        </w:rPr>
        <w:t xml:space="preserve">The amendments are consequential amendment that reflect the transfer of compensation and rehabilitation coverage for ADF members from the </w:t>
      </w:r>
      <w:r w:rsidRPr="00910E1F">
        <w:rPr>
          <w:i/>
          <w:sz w:val="24"/>
          <w:szCs w:val="24"/>
        </w:rPr>
        <w:t>Safety, Rehabilitation and Compensation Act 1988</w:t>
      </w:r>
      <w:r>
        <w:rPr>
          <w:sz w:val="24"/>
          <w:szCs w:val="24"/>
        </w:rPr>
        <w:t xml:space="preserve"> (SRCA) to the </w:t>
      </w:r>
      <w:r w:rsidRPr="00910E1F">
        <w:rPr>
          <w:i/>
          <w:sz w:val="24"/>
          <w:szCs w:val="24"/>
        </w:rPr>
        <w:t>Safety, Rehabilitation and Compensation (Defence-related Claims) Act 1988</w:t>
      </w:r>
      <w:r>
        <w:rPr>
          <w:sz w:val="24"/>
          <w:szCs w:val="24"/>
        </w:rPr>
        <w:t xml:space="preserve"> (DRCA) upon its enactment on 12 October 2017. </w:t>
      </w:r>
    </w:p>
    <w:p w:rsidR="002F6305" w:rsidRDefault="002F6305" w:rsidP="002F6305">
      <w:pPr>
        <w:keepNext/>
        <w:spacing w:after="120"/>
        <w:ind w:right="748"/>
        <w:rPr>
          <w:sz w:val="24"/>
          <w:szCs w:val="24"/>
        </w:rPr>
      </w:pPr>
      <w:r w:rsidRPr="00307DEC">
        <w:rPr>
          <w:sz w:val="24"/>
          <w:szCs w:val="24"/>
          <w:u w:val="single"/>
        </w:rPr>
        <w:t xml:space="preserve">Item </w:t>
      </w:r>
      <w:r w:rsidR="00E51B13">
        <w:rPr>
          <w:sz w:val="24"/>
          <w:szCs w:val="24"/>
          <w:u w:val="single"/>
        </w:rPr>
        <w:t>16</w:t>
      </w:r>
      <w:r w:rsidR="00353BE7">
        <w:rPr>
          <w:sz w:val="24"/>
          <w:szCs w:val="24"/>
          <w:u w:val="single"/>
        </w:rPr>
        <w:t xml:space="preserve"> </w:t>
      </w:r>
      <w:r>
        <w:rPr>
          <w:sz w:val="24"/>
          <w:szCs w:val="24"/>
        </w:rPr>
        <w:t>repeals the definition of ‘Diagnostic Agents’.  The term does not appear in any other provision of the RPBS.</w:t>
      </w:r>
    </w:p>
    <w:p w:rsidR="002F6305" w:rsidRDefault="002F6305" w:rsidP="002F6305">
      <w:pPr>
        <w:keepNext/>
        <w:spacing w:after="120"/>
        <w:ind w:right="748"/>
        <w:rPr>
          <w:sz w:val="24"/>
          <w:szCs w:val="24"/>
        </w:rPr>
      </w:pPr>
      <w:r w:rsidRPr="00307DEC">
        <w:rPr>
          <w:sz w:val="24"/>
          <w:szCs w:val="24"/>
          <w:u w:val="single"/>
        </w:rPr>
        <w:t xml:space="preserve">Item </w:t>
      </w:r>
      <w:r>
        <w:rPr>
          <w:sz w:val="24"/>
          <w:szCs w:val="24"/>
          <w:u w:val="single"/>
        </w:rPr>
        <w:t>1</w:t>
      </w:r>
      <w:r w:rsidR="00E51B13">
        <w:rPr>
          <w:sz w:val="24"/>
          <w:szCs w:val="24"/>
          <w:u w:val="single"/>
        </w:rPr>
        <w:t>8</w:t>
      </w:r>
      <w:r w:rsidRPr="00910E1F">
        <w:rPr>
          <w:sz w:val="24"/>
          <w:szCs w:val="24"/>
        </w:rPr>
        <w:t xml:space="preserve"> </w:t>
      </w:r>
      <w:r>
        <w:rPr>
          <w:sz w:val="24"/>
          <w:szCs w:val="24"/>
        </w:rPr>
        <w:t xml:space="preserve">repeals the </w:t>
      </w:r>
      <w:r w:rsidRPr="00910E1F">
        <w:rPr>
          <w:sz w:val="24"/>
          <w:szCs w:val="24"/>
        </w:rPr>
        <w:t>definition</w:t>
      </w:r>
      <w:r>
        <w:rPr>
          <w:sz w:val="24"/>
          <w:szCs w:val="24"/>
        </w:rPr>
        <w:t xml:space="preserve"> of ‘hospital treatment’. </w:t>
      </w:r>
      <w:r w:rsidRPr="00307DEC">
        <w:rPr>
          <w:sz w:val="24"/>
          <w:szCs w:val="24"/>
        </w:rPr>
        <w:t>The term does not appear in any other provision of the RPBS.</w:t>
      </w:r>
    </w:p>
    <w:p w:rsidR="002F6305" w:rsidRDefault="002F6305" w:rsidP="002F6305">
      <w:pPr>
        <w:keepNext/>
        <w:spacing w:after="120"/>
        <w:ind w:right="748"/>
        <w:rPr>
          <w:sz w:val="24"/>
          <w:szCs w:val="24"/>
        </w:rPr>
      </w:pPr>
      <w:r w:rsidRPr="00307DEC">
        <w:rPr>
          <w:sz w:val="24"/>
          <w:szCs w:val="24"/>
          <w:u w:val="single"/>
        </w:rPr>
        <w:t xml:space="preserve">Item </w:t>
      </w:r>
      <w:r>
        <w:rPr>
          <w:sz w:val="24"/>
          <w:szCs w:val="24"/>
          <w:u w:val="single"/>
        </w:rPr>
        <w:t>1</w:t>
      </w:r>
      <w:r w:rsidR="00E51B13">
        <w:rPr>
          <w:sz w:val="24"/>
          <w:szCs w:val="24"/>
          <w:u w:val="single"/>
        </w:rPr>
        <w:t>9</w:t>
      </w:r>
      <w:r>
        <w:rPr>
          <w:sz w:val="24"/>
          <w:szCs w:val="24"/>
        </w:rPr>
        <w:t xml:space="preserve"> inserts a definition for the term ‘relevant streamlined authority code’. The term as used in paragraph 11B(4)(b) was included in that new paragraph inserted by the </w:t>
      </w:r>
      <w:r w:rsidRPr="00805D39">
        <w:rPr>
          <w:i/>
          <w:sz w:val="24"/>
          <w:szCs w:val="24"/>
        </w:rPr>
        <w:t>Veterans’ Affairs Pharmaceutical Benefits Schemes (Electronic Prescriptions and Active Ingredient Prescribing) Amendment Instrument 2019</w:t>
      </w:r>
      <w:r>
        <w:rPr>
          <w:i/>
          <w:sz w:val="24"/>
          <w:szCs w:val="24"/>
        </w:rPr>
        <w:t xml:space="preserve"> </w:t>
      </w:r>
      <w:r w:rsidRPr="00805D39">
        <w:rPr>
          <w:sz w:val="24"/>
          <w:szCs w:val="24"/>
        </w:rPr>
        <w:t>(Electronic Prescriptions Instrument).</w:t>
      </w:r>
    </w:p>
    <w:p w:rsidR="002F6305" w:rsidRDefault="002F6305" w:rsidP="002F6305">
      <w:pPr>
        <w:keepNext/>
        <w:spacing w:after="120"/>
        <w:ind w:right="748"/>
        <w:rPr>
          <w:sz w:val="24"/>
          <w:szCs w:val="24"/>
        </w:rPr>
      </w:pPr>
      <w:r w:rsidRPr="004D6C68">
        <w:rPr>
          <w:sz w:val="24"/>
          <w:szCs w:val="24"/>
        </w:rPr>
        <w:t>A ‘relevant streamlined authority code’ is the authority c</w:t>
      </w:r>
      <w:r>
        <w:rPr>
          <w:sz w:val="24"/>
          <w:szCs w:val="24"/>
        </w:rPr>
        <w:t xml:space="preserve">ode issued either in </w:t>
      </w:r>
      <w:r w:rsidRPr="004D6C68">
        <w:rPr>
          <w:sz w:val="24"/>
          <w:szCs w:val="24"/>
        </w:rPr>
        <w:t>the circumst</w:t>
      </w:r>
      <w:r>
        <w:rPr>
          <w:sz w:val="24"/>
          <w:szCs w:val="24"/>
        </w:rPr>
        <w:t>a</w:t>
      </w:r>
      <w:r w:rsidRPr="004D6C68">
        <w:rPr>
          <w:sz w:val="24"/>
          <w:szCs w:val="24"/>
        </w:rPr>
        <w:t xml:space="preserve">nces determined under paragraph 85(7)(b) </w:t>
      </w:r>
      <w:r>
        <w:rPr>
          <w:sz w:val="24"/>
          <w:szCs w:val="24"/>
        </w:rPr>
        <w:t xml:space="preserve">or the conditions determined under subsection 85A(2A) </w:t>
      </w:r>
      <w:r w:rsidRPr="004D6C68">
        <w:rPr>
          <w:sz w:val="24"/>
          <w:szCs w:val="24"/>
        </w:rPr>
        <w:t>of the National Health Act for the pharmaceutical benefit</w:t>
      </w:r>
      <w:r>
        <w:rPr>
          <w:sz w:val="24"/>
          <w:szCs w:val="24"/>
        </w:rPr>
        <w:t>.</w:t>
      </w:r>
    </w:p>
    <w:p w:rsidR="002F6305" w:rsidRDefault="002F6305" w:rsidP="002F6305">
      <w:pPr>
        <w:keepNext/>
        <w:spacing w:after="120"/>
        <w:ind w:right="748"/>
        <w:rPr>
          <w:sz w:val="24"/>
          <w:szCs w:val="24"/>
        </w:rPr>
      </w:pPr>
      <w:r>
        <w:rPr>
          <w:sz w:val="24"/>
          <w:szCs w:val="24"/>
        </w:rPr>
        <w:t xml:space="preserve">The </w:t>
      </w:r>
      <w:r w:rsidRPr="0099603F">
        <w:rPr>
          <w:i/>
          <w:sz w:val="24"/>
          <w:szCs w:val="24"/>
        </w:rPr>
        <w:t>National Health (Listing of Pharmaceutical Benefits) Instrument 2012</w:t>
      </w:r>
      <w:r>
        <w:rPr>
          <w:sz w:val="24"/>
          <w:szCs w:val="24"/>
        </w:rPr>
        <w:t xml:space="preserve"> was made under a number of provisions of the National Health Act including paragraph 85(7)(b) and subsection 85A(2A).  </w:t>
      </w:r>
      <w:r w:rsidRPr="0099603F">
        <w:rPr>
          <w:sz w:val="24"/>
          <w:szCs w:val="24"/>
        </w:rPr>
        <w:t>Th</w:t>
      </w:r>
      <w:r>
        <w:rPr>
          <w:sz w:val="24"/>
          <w:szCs w:val="24"/>
        </w:rPr>
        <w:t>e</w:t>
      </w:r>
      <w:r w:rsidRPr="0099603F">
        <w:rPr>
          <w:sz w:val="24"/>
          <w:szCs w:val="24"/>
        </w:rPr>
        <w:t xml:space="preserve"> instrument provides for the listing of pharmaceutical benefits on the PBS</w:t>
      </w:r>
      <w:r>
        <w:rPr>
          <w:sz w:val="24"/>
          <w:szCs w:val="24"/>
        </w:rPr>
        <w:t xml:space="preserve"> and </w:t>
      </w:r>
      <w:r w:rsidRPr="0099603F">
        <w:rPr>
          <w:sz w:val="24"/>
          <w:szCs w:val="24"/>
        </w:rPr>
        <w:t>determin</w:t>
      </w:r>
      <w:r>
        <w:rPr>
          <w:sz w:val="24"/>
          <w:szCs w:val="24"/>
        </w:rPr>
        <w:t>es the f</w:t>
      </w:r>
      <w:r w:rsidRPr="0099603F">
        <w:rPr>
          <w:sz w:val="24"/>
          <w:szCs w:val="24"/>
        </w:rPr>
        <w:t>orms</w:t>
      </w:r>
      <w:r>
        <w:rPr>
          <w:sz w:val="24"/>
          <w:szCs w:val="24"/>
        </w:rPr>
        <w:t xml:space="preserve"> used</w:t>
      </w:r>
      <w:r w:rsidRPr="0099603F">
        <w:rPr>
          <w:sz w:val="24"/>
          <w:szCs w:val="24"/>
        </w:rPr>
        <w:t>,</w:t>
      </w:r>
      <w:r>
        <w:rPr>
          <w:sz w:val="24"/>
          <w:szCs w:val="24"/>
        </w:rPr>
        <w:t xml:space="preserve"> a</w:t>
      </w:r>
      <w:r w:rsidRPr="0099603F">
        <w:rPr>
          <w:sz w:val="24"/>
          <w:szCs w:val="24"/>
        </w:rPr>
        <w:t>dministration</w:t>
      </w:r>
      <w:r>
        <w:rPr>
          <w:sz w:val="24"/>
          <w:szCs w:val="24"/>
        </w:rPr>
        <w:t xml:space="preserve"> of the PBS and for </w:t>
      </w:r>
      <w:r w:rsidRPr="0099603F">
        <w:rPr>
          <w:sz w:val="24"/>
          <w:szCs w:val="24"/>
        </w:rPr>
        <w:t xml:space="preserve">related matters </w:t>
      </w:r>
      <w:r>
        <w:rPr>
          <w:sz w:val="24"/>
          <w:szCs w:val="24"/>
        </w:rPr>
        <w:t xml:space="preserve">including </w:t>
      </w:r>
      <w:r w:rsidRPr="0099603F">
        <w:rPr>
          <w:sz w:val="24"/>
          <w:szCs w:val="24"/>
        </w:rPr>
        <w:t>responsible persons, prescribing circumstances, maximum quantities and numbers of repeats, and whether the pharmaceutical benefit is to be available generally or available only under special arrangements.</w:t>
      </w:r>
      <w:r>
        <w:rPr>
          <w:sz w:val="24"/>
          <w:szCs w:val="24"/>
        </w:rPr>
        <w:t xml:space="preserve"> </w:t>
      </w:r>
    </w:p>
    <w:p w:rsidR="002F6305" w:rsidRDefault="002F6305" w:rsidP="002F6305">
      <w:pPr>
        <w:keepNext/>
        <w:spacing w:after="120"/>
        <w:ind w:right="748"/>
        <w:rPr>
          <w:sz w:val="24"/>
          <w:szCs w:val="24"/>
        </w:rPr>
      </w:pPr>
      <w:r w:rsidRPr="004C279F">
        <w:rPr>
          <w:sz w:val="24"/>
          <w:szCs w:val="24"/>
          <w:u w:val="single"/>
        </w:rPr>
        <w:t xml:space="preserve">Item </w:t>
      </w:r>
      <w:r w:rsidR="00E51B13">
        <w:rPr>
          <w:sz w:val="24"/>
          <w:szCs w:val="24"/>
          <w:u w:val="single"/>
        </w:rPr>
        <w:t>20</w:t>
      </w:r>
      <w:r>
        <w:rPr>
          <w:sz w:val="24"/>
          <w:szCs w:val="24"/>
        </w:rPr>
        <w:t xml:space="preserve"> omits and substitutes a clearer definition for the term ‘Repatriation Schedule of Pharmaceutical Benefits’.</w:t>
      </w:r>
    </w:p>
    <w:p w:rsidR="002F6305" w:rsidRDefault="002F6305" w:rsidP="002F6305">
      <w:pPr>
        <w:keepNext/>
        <w:spacing w:after="120"/>
        <w:ind w:right="748"/>
        <w:rPr>
          <w:sz w:val="24"/>
          <w:szCs w:val="24"/>
        </w:rPr>
      </w:pPr>
      <w:r>
        <w:rPr>
          <w:sz w:val="24"/>
          <w:szCs w:val="24"/>
        </w:rPr>
        <w:t xml:space="preserve">The ‘Repatriation Schedule of Pharmaceutical Benefits’ is defined as all of the content in the Pharmaceutical Benefits Scheme under the heading of the “Repatriation Pharmaceutical Benefits Scheme’ which lists the pharmaceutical </w:t>
      </w:r>
      <w:r>
        <w:rPr>
          <w:sz w:val="24"/>
          <w:szCs w:val="24"/>
        </w:rPr>
        <w:lastRenderedPageBreak/>
        <w:t>benefits which are only available to persons who have eligibility under the Schemes.</w:t>
      </w:r>
    </w:p>
    <w:p w:rsidR="00962F6E" w:rsidRPr="00962F6E" w:rsidRDefault="00D67C13" w:rsidP="00962F6E">
      <w:pPr>
        <w:keepNext/>
        <w:spacing w:after="120"/>
        <w:ind w:right="748"/>
        <w:rPr>
          <w:sz w:val="24"/>
          <w:szCs w:val="24"/>
        </w:rPr>
      </w:pPr>
      <w:r>
        <w:rPr>
          <w:sz w:val="24"/>
          <w:szCs w:val="24"/>
          <w:u w:val="single"/>
        </w:rPr>
        <w:t>Item 2</w:t>
      </w:r>
      <w:r w:rsidR="00E51B13">
        <w:rPr>
          <w:sz w:val="24"/>
          <w:szCs w:val="24"/>
          <w:u w:val="single"/>
        </w:rPr>
        <w:t>1</w:t>
      </w:r>
      <w:r>
        <w:rPr>
          <w:sz w:val="24"/>
          <w:szCs w:val="24"/>
          <w:u w:val="single"/>
        </w:rPr>
        <w:t xml:space="preserve"> </w:t>
      </w:r>
      <w:r w:rsidRPr="00D67C13">
        <w:rPr>
          <w:sz w:val="24"/>
          <w:szCs w:val="24"/>
        </w:rPr>
        <w:t>omits the definition of ‘Sixth Community Pharmacy Agreement’ and substitutes a definition for the ‘Seventh Community Pharmacy Agreement’.</w:t>
      </w:r>
      <w:r w:rsidR="00962F6E" w:rsidRPr="00962F6E">
        <w:rPr>
          <w:sz w:val="24"/>
          <w:szCs w:val="24"/>
        </w:rPr>
        <w:t xml:space="preserve">  </w:t>
      </w:r>
    </w:p>
    <w:p w:rsidR="00D67C13" w:rsidRDefault="00962F6E" w:rsidP="00962F6E">
      <w:pPr>
        <w:keepNext/>
        <w:spacing w:after="120"/>
        <w:ind w:right="748"/>
        <w:rPr>
          <w:sz w:val="24"/>
          <w:szCs w:val="24"/>
        </w:rPr>
      </w:pPr>
      <w:r w:rsidRPr="00962F6E">
        <w:rPr>
          <w:sz w:val="24"/>
          <w:szCs w:val="24"/>
        </w:rPr>
        <w:t>The ‘Seventh Community Pharmacy Agreement’ is defined to mean the written agreement between the Australian Government and the Pharmacy Guild of Australia.  The agreement is the latest of the agreements made between the Australian Government and the Pharmacy Guild of Australia in relation to the delivery of medicines under the PBS and related services.</w:t>
      </w:r>
    </w:p>
    <w:p w:rsidR="00962F6E" w:rsidRDefault="00962F6E" w:rsidP="00962F6E">
      <w:pPr>
        <w:keepNext/>
        <w:spacing w:after="120"/>
        <w:ind w:right="748"/>
        <w:rPr>
          <w:sz w:val="24"/>
          <w:szCs w:val="24"/>
        </w:rPr>
      </w:pPr>
      <w:r w:rsidRPr="00962F6E">
        <w:rPr>
          <w:sz w:val="24"/>
          <w:szCs w:val="24"/>
          <w:u w:val="single"/>
        </w:rPr>
        <w:t>Item 2</w:t>
      </w:r>
      <w:r w:rsidR="00E51B13">
        <w:rPr>
          <w:sz w:val="24"/>
          <w:szCs w:val="24"/>
          <w:u w:val="single"/>
        </w:rPr>
        <w:t>3</w:t>
      </w:r>
      <w:r>
        <w:rPr>
          <w:sz w:val="24"/>
          <w:szCs w:val="24"/>
        </w:rPr>
        <w:t xml:space="preserve"> omits the definition of ‘war-caused or defence-caused injuries or diseases’ and substitutes a new definition for the term to include updated references to a ‘DRCA disability’ and to the DRCA that replace the references to ‘SRCA disability’ and the SRCA.</w:t>
      </w:r>
    </w:p>
    <w:p w:rsidR="00962F6E" w:rsidRDefault="00962F6E" w:rsidP="00962F6E">
      <w:pPr>
        <w:keepNext/>
        <w:spacing w:after="120"/>
        <w:ind w:right="748"/>
        <w:rPr>
          <w:b/>
          <w:sz w:val="24"/>
          <w:szCs w:val="24"/>
        </w:rPr>
      </w:pPr>
      <w:r w:rsidRPr="00962F6E">
        <w:rPr>
          <w:b/>
          <w:sz w:val="24"/>
          <w:szCs w:val="24"/>
        </w:rPr>
        <w:t>Items [2</w:t>
      </w:r>
      <w:r w:rsidR="00E51B13">
        <w:rPr>
          <w:b/>
          <w:sz w:val="24"/>
          <w:szCs w:val="24"/>
        </w:rPr>
        <w:t>4</w:t>
      </w:r>
      <w:r w:rsidRPr="00962F6E">
        <w:rPr>
          <w:b/>
          <w:sz w:val="24"/>
          <w:szCs w:val="24"/>
        </w:rPr>
        <w:t>], [2</w:t>
      </w:r>
      <w:r w:rsidR="00E51B13">
        <w:rPr>
          <w:b/>
          <w:sz w:val="24"/>
          <w:szCs w:val="24"/>
        </w:rPr>
        <w:t>5</w:t>
      </w:r>
      <w:r w:rsidRPr="00962F6E">
        <w:rPr>
          <w:b/>
          <w:sz w:val="24"/>
          <w:szCs w:val="24"/>
        </w:rPr>
        <w:t>] and [2</w:t>
      </w:r>
      <w:r w:rsidR="00E51B13">
        <w:rPr>
          <w:b/>
          <w:sz w:val="24"/>
          <w:szCs w:val="24"/>
        </w:rPr>
        <w:t>6</w:t>
      </w:r>
      <w:r w:rsidRPr="00962F6E">
        <w:rPr>
          <w:b/>
          <w:sz w:val="24"/>
          <w:szCs w:val="24"/>
        </w:rPr>
        <w:t xml:space="preserve">] - </w:t>
      </w:r>
      <w:r>
        <w:rPr>
          <w:b/>
          <w:sz w:val="24"/>
          <w:szCs w:val="24"/>
        </w:rPr>
        <w:t>Section 11B</w:t>
      </w:r>
    </w:p>
    <w:p w:rsidR="00962F6E" w:rsidRDefault="00962F6E" w:rsidP="00962F6E">
      <w:pPr>
        <w:keepNext/>
        <w:spacing w:after="120"/>
        <w:ind w:right="748"/>
        <w:rPr>
          <w:sz w:val="24"/>
          <w:szCs w:val="24"/>
        </w:rPr>
      </w:pPr>
      <w:r>
        <w:rPr>
          <w:sz w:val="24"/>
          <w:szCs w:val="24"/>
        </w:rPr>
        <w:t>Section 11B provides for the requirements for written prescriptions which are completed using medication charts at a residential care service or an approved hospital.</w:t>
      </w:r>
    </w:p>
    <w:p w:rsidR="00962F6E" w:rsidRDefault="00962F6E" w:rsidP="00962F6E">
      <w:pPr>
        <w:keepNext/>
        <w:spacing w:after="120"/>
        <w:ind w:right="748"/>
        <w:rPr>
          <w:sz w:val="24"/>
          <w:szCs w:val="24"/>
        </w:rPr>
      </w:pPr>
      <w:r>
        <w:rPr>
          <w:sz w:val="24"/>
          <w:szCs w:val="24"/>
          <w:u w:val="single"/>
        </w:rPr>
        <w:t>Item 2</w:t>
      </w:r>
      <w:r w:rsidR="00E40C90">
        <w:rPr>
          <w:sz w:val="24"/>
          <w:szCs w:val="24"/>
          <w:u w:val="single"/>
        </w:rPr>
        <w:t>4</w:t>
      </w:r>
      <w:r>
        <w:rPr>
          <w:sz w:val="24"/>
          <w:szCs w:val="24"/>
        </w:rPr>
        <w:t xml:space="preserve"> omits and substitutes paragraph 11B(4)(a) to replace the paragraph inserted in error in the amendments made by the Electronic Prescriptions Instrument.  The incorrect paragraph included the procedures used under the </w:t>
      </w:r>
      <w:r w:rsidRPr="00DC2534">
        <w:rPr>
          <w:i/>
          <w:sz w:val="24"/>
          <w:szCs w:val="24"/>
        </w:rPr>
        <w:t>National Health (Pharmaceutical Benefits) Regulations 2017</w:t>
      </w:r>
      <w:r>
        <w:rPr>
          <w:sz w:val="24"/>
          <w:szCs w:val="24"/>
        </w:rPr>
        <w:t xml:space="preserve"> for an ‘authority prescription’.</w:t>
      </w:r>
    </w:p>
    <w:p w:rsidR="00962F6E" w:rsidRDefault="00962F6E" w:rsidP="00962F6E">
      <w:pPr>
        <w:keepNext/>
        <w:spacing w:after="120"/>
        <w:ind w:right="748"/>
        <w:rPr>
          <w:sz w:val="24"/>
          <w:szCs w:val="24"/>
        </w:rPr>
      </w:pPr>
      <w:r>
        <w:rPr>
          <w:sz w:val="24"/>
          <w:szCs w:val="24"/>
        </w:rPr>
        <w:t>The replacement paragraph correctly refers to the need</w:t>
      </w:r>
      <w:r w:rsidR="00910444" w:rsidRPr="00910444">
        <w:rPr>
          <w:sz w:val="24"/>
          <w:szCs w:val="24"/>
        </w:rPr>
        <w:t xml:space="preserve"> in the circumstances where it was required </w:t>
      </w:r>
      <w:r>
        <w:rPr>
          <w:sz w:val="24"/>
          <w:szCs w:val="24"/>
        </w:rPr>
        <w:t xml:space="preserve">to obtain an “authority approval number”.  Such a </w:t>
      </w:r>
      <w:r>
        <w:rPr>
          <w:sz w:val="24"/>
          <w:szCs w:val="24"/>
        </w:rPr>
        <w:lastRenderedPageBreak/>
        <w:t>number will be provided when “prior approval” for the prescription is obtained as set out in section 6 of the RPBS.</w:t>
      </w:r>
    </w:p>
    <w:p w:rsidR="00962F6E" w:rsidRDefault="00962F6E" w:rsidP="00962F6E">
      <w:pPr>
        <w:keepNext/>
        <w:spacing w:after="120"/>
        <w:ind w:right="748"/>
        <w:rPr>
          <w:sz w:val="24"/>
          <w:szCs w:val="24"/>
        </w:rPr>
      </w:pPr>
      <w:r>
        <w:rPr>
          <w:sz w:val="24"/>
          <w:szCs w:val="24"/>
          <w:u w:val="single"/>
        </w:rPr>
        <w:t>Item 2</w:t>
      </w:r>
      <w:r w:rsidR="00E40C90">
        <w:rPr>
          <w:sz w:val="24"/>
          <w:szCs w:val="24"/>
          <w:u w:val="single"/>
        </w:rPr>
        <w:t>5</w:t>
      </w:r>
      <w:r>
        <w:rPr>
          <w:sz w:val="24"/>
          <w:szCs w:val="24"/>
        </w:rPr>
        <w:t xml:space="preserve"> is a technical amendment to italicize the reference to “relevant streamlined authority code” in paragraph 11B(4)(b) as an indication that the term is defined in section 3 of the RPBS (</w:t>
      </w:r>
      <w:r w:rsidRPr="00DC2534">
        <w:rPr>
          <w:sz w:val="24"/>
          <w:szCs w:val="24"/>
          <w:u w:val="single"/>
        </w:rPr>
        <w:t xml:space="preserve">Item </w:t>
      </w:r>
      <w:r>
        <w:rPr>
          <w:sz w:val="24"/>
          <w:szCs w:val="24"/>
          <w:u w:val="single"/>
        </w:rPr>
        <w:t>18</w:t>
      </w:r>
      <w:r>
        <w:rPr>
          <w:sz w:val="24"/>
          <w:szCs w:val="24"/>
        </w:rPr>
        <w:t xml:space="preserve"> refers).</w:t>
      </w:r>
    </w:p>
    <w:p w:rsidR="00962F6E" w:rsidRDefault="00962F6E" w:rsidP="00962F6E">
      <w:pPr>
        <w:keepNext/>
        <w:spacing w:after="120"/>
        <w:ind w:right="748"/>
        <w:rPr>
          <w:sz w:val="24"/>
          <w:szCs w:val="24"/>
        </w:rPr>
      </w:pPr>
      <w:r>
        <w:rPr>
          <w:sz w:val="24"/>
          <w:szCs w:val="24"/>
          <w:u w:val="single"/>
        </w:rPr>
        <w:t>Item 2</w:t>
      </w:r>
      <w:r w:rsidR="00E40C90">
        <w:rPr>
          <w:sz w:val="24"/>
          <w:szCs w:val="24"/>
          <w:u w:val="single"/>
        </w:rPr>
        <w:t>6</w:t>
      </w:r>
      <w:r>
        <w:rPr>
          <w:sz w:val="24"/>
          <w:szCs w:val="24"/>
        </w:rPr>
        <w:t xml:space="preserve"> omits </w:t>
      </w:r>
      <w:r w:rsidR="00353BE7">
        <w:rPr>
          <w:sz w:val="24"/>
          <w:szCs w:val="24"/>
        </w:rPr>
        <w:t xml:space="preserve">subsection </w:t>
      </w:r>
      <w:r>
        <w:rPr>
          <w:sz w:val="24"/>
          <w:szCs w:val="24"/>
        </w:rPr>
        <w:t>11B(5).  The content of subsection 11B(5) was duplicated in new subsection 11B(4A) which was inserted by the Electronic Prescriptions Instrument and is redundant.</w:t>
      </w:r>
    </w:p>
    <w:p w:rsidR="00910444" w:rsidRDefault="00910444" w:rsidP="00962F6E">
      <w:pPr>
        <w:keepNext/>
        <w:spacing w:after="120"/>
        <w:ind w:right="748"/>
        <w:rPr>
          <w:b/>
          <w:sz w:val="24"/>
          <w:szCs w:val="24"/>
        </w:rPr>
      </w:pPr>
      <w:r w:rsidRPr="00910444">
        <w:rPr>
          <w:b/>
          <w:sz w:val="24"/>
          <w:szCs w:val="24"/>
        </w:rPr>
        <w:t>Item</w:t>
      </w:r>
      <w:r>
        <w:rPr>
          <w:b/>
          <w:sz w:val="24"/>
          <w:szCs w:val="24"/>
        </w:rPr>
        <w:t>s</w:t>
      </w:r>
      <w:r w:rsidRPr="00910444">
        <w:rPr>
          <w:b/>
          <w:sz w:val="24"/>
          <w:szCs w:val="24"/>
        </w:rPr>
        <w:t xml:space="preserve"> [2</w:t>
      </w:r>
      <w:r w:rsidR="00E40C90">
        <w:rPr>
          <w:b/>
          <w:sz w:val="24"/>
          <w:szCs w:val="24"/>
        </w:rPr>
        <w:t>7</w:t>
      </w:r>
      <w:r w:rsidRPr="00910444">
        <w:rPr>
          <w:b/>
          <w:sz w:val="24"/>
          <w:szCs w:val="24"/>
        </w:rPr>
        <w:t>]</w:t>
      </w:r>
      <w:r>
        <w:rPr>
          <w:b/>
          <w:sz w:val="24"/>
          <w:szCs w:val="24"/>
        </w:rPr>
        <w:t>, [2</w:t>
      </w:r>
      <w:r w:rsidR="00E40C90">
        <w:rPr>
          <w:b/>
          <w:sz w:val="24"/>
          <w:szCs w:val="24"/>
        </w:rPr>
        <w:t>8</w:t>
      </w:r>
      <w:r>
        <w:rPr>
          <w:b/>
          <w:sz w:val="24"/>
          <w:szCs w:val="24"/>
        </w:rPr>
        <w:t>]</w:t>
      </w:r>
      <w:r w:rsidRPr="00910444">
        <w:rPr>
          <w:b/>
          <w:sz w:val="24"/>
          <w:szCs w:val="24"/>
        </w:rPr>
        <w:t xml:space="preserve"> </w:t>
      </w:r>
      <w:r>
        <w:rPr>
          <w:b/>
          <w:sz w:val="24"/>
          <w:szCs w:val="24"/>
        </w:rPr>
        <w:t>and [2</w:t>
      </w:r>
      <w:r w:rsidR="00E40C90">
        <w:rPr>
          <w:b/>
          <w:sz w:val="24"/>
          <w:szCs w:val="24"/>
        </w:rPr>
        <w:t>9</w:t>
      </w:r>
      <w:r>
        <w:rPr>
          <w:b/>
          <w:sz w:val="24"/>
          <w:szCs w:val="24"/>
        </w:rPr>
        <w:t xml:space="preserve">] </w:t>
      </w:r>
      <w:r w:rsidRPr="00910444">
        <w:rPr>
          <w:b/>
          <w:sz w:val="24"/>
          <w:szCs w:val="24"/>
        </w:rPr>
        <w:t xml:space="preserve">– </w:t>
      </w:r>
      <w:r>
        <w:rPr>
          <w:b/>
          <w:sz w:val="24"/>
          <w:szCs w:val="24"/>
        </w:rPr>
        <w:t>S</w:t>
      </w:r>
      <w:r w:rsidRPr="00910444">
        <w:rPr>
          <w:b/>
          <w:sz w:val="24"/>
          <w:szCs w:val="24"/>
        </w:rPr>
        <w:t>ection 21A</w:t>
      </w:r>
    </w:p>
    <w:p w:rsidR="00910444" w:rsidRDefault="00910444" w:rsidP="00962F6E">
      <w:pPr>
        <w:keepNext/>
        <w:spacing w:after="120"/>
        <w:ind w:right="748"/>
        <w:rPr>
          <w:sz w:val="24"/>
          <w:szCs w:val="24"/>
        </w:rPr>
      </w:pPr>
      <w:r w:rsidRPr="00910444">
        <w:rPr>
          <w:sz w:val="24"/>
          <w:szCs w:val="24"/>
          <w:u w:val="single"/>
        </w:rPr>
        <w:t>Item 2</w:t>
      </w:r>
      <w:r w:rsidR="00E40C90">
        <w:rPr>
          <w:sz w:val="24"/>
          <w:szCs w:val="24"/>
          <w:u w:val="single"/>
        </w:rPr>
        <w:t>7</w:t>
      </w:r>
      <w:r>
        <w:rPr>
          <w:sz w:val="24"/>
          <w:szCs w:val="24"/>
        </w:rPr>
        <w:t xml:space="preserve"> omits </w:t>
      </w:r>
      <w:r w:rsidRPr="00910444">
        <w:rPr>
          <w:sz w:val="24"/>
          <w:szCs w:val="24"/>
        </w:rPr>
        <w:t xml:space="preserve">Note (2) to subsection 21A(1).  The </w:t>
      </w:r>
      <w:r>
        <w:rPr>
          <w:sz w:val="24"/>
          <w:szCs w:val="24"/>
        </w:rPr>
        <w:t>Note referring to the “Repatriation Pharmaceutical Reference Committee is no longer relevant for the purposes of the RPBS.</w:t>
      </w:r>
    </w:p>
    <w:p w:rsidR="00910444" w:rsidRDefault="00910444" w:rsidP="00962F6E">
      <w:pPr>
        <w:keepNext/>
        <w:spacing w:after="120"/>
        <w:ind w:right="748"/>
        <w:rPr>
          <w:sz w:val="24"/>
          <w:szCs w:val="24"/>
        </w:rPr>
      </w:pPr>
      <w:r w:rsidRPr="00910444">
        <w:rPr>
          <w:sz w:val="24"/>
          <w:szCs w:val="24"/>
          <w:u w:val="single"/>
        </w:rPr>
        <w:t>Item 2</w:t>
      </w:r>
      <w:r w:rsidR="00E40C90">
        <w:rPr>
          <w:sz w:val="24"/>
          <w:szCs w:val="24"/>
          <w:u w:val="single"/>
        </w:rPr>
        <w:t>8</w:t>
      </w:r>
      <w:r>
        <w:rPr>
          <w:sz w:val="24"/>
          <w:szCs w:val="24"/>
        </w:rPr>
        <w:t xml:space="preserve"> omits the reference in paragraph 21A(2)(b) to the ‘</w:t>
      </w:r>
      <w:r w:rsidRPr="00910444">
        <w:rPr>
          <w:sz w:val="24"/>
          <w:szCs w:val="24"/>
        </w:rPr>
        <w:t xml:space="preserve">Sixth Community Pharmacy Agreement’ and substitutes a </w:t>
      </w:r>
      <w:r>
        <w:rPr>
          <w:sz w:val="24"/>
          <w:szCs w:val="24"/>
        </w:rPr>
        <w:t xml:space="preserve">reference to </w:t>
      </w:r>
      <w:r w:rsidRPr="00910444">
        <w:rPr>
          <w:sz w:val="24"/>
          <w:szCs w:val="24"/>
        </w:rPr>
        <w:t xml:space="preserve">the ‘Seventh Community Pharmacy Agreement’.  </w:t>
      </w:r>
    </w:p>
    <w:p w:rsidR="00E40C90" w:rsidRDefault="00910444" w:rsidP="00962F6E">
      <w:pPr>
        <w:keepNext/>
        <w:spacing w:after="120"/>
        <w:ind w:right="748"/>
        <w:rPr>
          <w:sz w:val="24"/>
          <w:szCs w:val="24"/>
        </w:rPr>
      </w:pPr>
      <w:r w:rsidRPr="00910444">
        <w:rPr>
          <w:sz w:val="24"/>
          <w:szCs w:val="24"/>
          <w:u w:val="single"/>
        </w:rPr>
        <w:t>Item 2</w:t>
      </w:r>
      <w:r w:rsidR="00E40C90">
        <w:rPr>
          <w:sz w:val="24"/>
          <w:szCs w:val="24"/>
          <w:u w:val="single"/>
        </w:rPr>
        <w:t>9</w:t>
      </w:r>
      <w:r>
        <w:rPr>
          <w:sz w:val="24"/>
          <w:szCs w:val="24"/>
        </w:rPr>
        <w:t xml:space="preserve"> </w:t>
      </w:r>
      <w:r w:rsidRPr="00910444">
        <w:rPr>
          <w:sz w:val="24"/>
          <w:szCs w:val="24"/>
        </w:rPr>
        <w:t xml:space="preserve">omits the reference in </w:t>
      </w:r>
      <w:r>
        <w:rPr>
          <w:sz w:val="24"/>
          <w:szCs w:val="24"/>
        </w:rPr>
        <w:t xml:space="preserve">the Note to subsection </w:t>
      </w:r>
      <w:r w:rsidRPr="00910444">
        <w:rPr>
          <w:sz w:val="24"/>
          <w:szCs w:val="24"/>
        </w:rPr>
        <w:t>21A(2) to the ‘Sixth Community Pharmacy Agreement’ and substitutes a reference to the ‘Seventh Community Pharmacy Agreement’.</w:t>
      </w:r>
    </w:p>
    <w:p w:rsidR="00910444" w:rsidRDefault="00E40C90" w:rsidP="00962F6E">
      <w:pPr>
        <w:keepNext/>
        <w:spacing w:after="120"/>
        <w:ind w:right="748"/>
        <w:rPr>
          <w:b/>
          <w:sz w:val="24"/>
          <w:szCs w:val="24"/>
        </w:rPr>
      </w:pPr>
      <w:r w:rsidRPr="000C1B06">
        <w:rPr>
          <w:b/>
          <w:sz w:val="24"/>
          <w:szCs w:val="24"/>
        </w:rPr>
        <w:t>Item [</w:t>
      </w:r>
      <w:r>
        <w:rPr>
          <w:b/>
          <w:sz w:val="24"/>
          <w:szCs w:val="24"/>
        </w:rPr>
        <w:t>30</w:t>
      </w:r>
      <w:r w:rsidRPr="000C1B06">
        <w:rPr>
          <w:b/>
          <w:sz w:val="24"/>
          <w:szCs w:val="24"/>
        </w:rPr>
        <w:t>] – Subsection 47(1)</w:t>
      </w:r>
      <w:r w:rsidR="00910444" w:rsidRPr="000C1B06">
        <w:rPr>
          <w:b/>
          <w:sz w:val="24"/>
          <w:szCs w:val="24"/>
        </w:rPr>
        <w:t xml:space="preserve"> </w:t>
      </w:r>
    </w:p>
    <w:p w:rsidR="00E40C90" w:rsidRDefault="00E40C90" w:rsidP="00E40C90">
      <w:pPr>
        <w:keepNext/>
        <w:ind w:right="748"/>
        <w:rPr>
          <w:sz w:val="24"/>
          <w:szCs w:val="24"/>
        </w:rPr>
      </w:pPr>
      <w:r>
        <w:rPr>
          <w:sz w:val="24"/>
          <w:szCs w:val="24"/>
        </w:rPr>
        <w:t xml:space="preserve">The reference to ‘1 November 2020” is omitted and replaced in the transitional provision that allows for prescriptions to be written which do not meet the requirements of  sections 11A and 11B as amended by the </w:t>
      </w:r>
      <w:r w:rsidRPr="00E51B13">
        <w:rPr>
          <w:sz w:val="24"/>
          <w:szCs w:val="24"/>
        </w:rPr>
        <w:t>Electronic Prescriptions Instrument</w:t>
      </w:r>
      <w:r>
        <w:rPr>
          <w:sz w:val="24"/>
          <w:szCs w:val="24"/>
        </w:rPr>
        <w:t xml:space="preserve">. The transitional period is extended until  </w:t>
      </w:r>
    </w:p>
    <w:p w:rsidR="00E40C90" w:rsidRDefault="00E40C90" w:rsidP="00E40C90">
      <w:pPr>
        <w:keepNext/>
        <w:spacing w:after="120"/>
        <w:ind w:right="748"/>
        <w:rPr>
          <w:sz w:val="24"/>
          <w:szCs w:val="24"/>
        </w:rPr>
      </w:pPr>
      <w:r>
        <w:rPr>
          <w:sz w:val="24"/>
          <w:szCs w:val="24"/>
        </w:rPr>
        <w:t>“1 February 2021”.</w:t>
      </w:r>
    </w:p>
    <w:p w:rsidR="00910444" w:rsidRPr="00910444" w:rsidRDefault="00910444" w:rsidP="00962F6E">
      <w:pPr>
        <w:keepNext/>
        <w:spacing w:after="120"/>
        <w:ind w:right="748"/>
        <w:rPr>
          <w:b/>
          <w:sz w:val="24"/>
          <w:szCs w:val="24"/>
        </w:rPr>
      </w:pPr>
      <w:r w:rsidRPr="00910444">
        <w:rPr>
          <w:b/>
          <w:sz w:val="24"/>
          <w:szCs w:val="24"/>
        </w:rPr>
        <w:t>Item [</w:t>
      </w:r>
      <w:r w:rsidR="00E40C90">
        <w:rPr>
          <w:b/>
          <w:sz w:val="24"/>
          <w:szCs w:val="24"/>
        </w:rPr>
        <w:t>31</w:t>
      </w:r>
      <w:r w:rsidRPr="00910444">
        <w:rPr>
          <w:b/>
          <w:sz w:val="24"/>
          <w:szCs w:val="24"/>
        </w:rPr>
        <w:t>] - Schedule 1: Listing of Incorporated documents</w:t>
      </w:r>
    </w:p>
    <w:p w:rsidR="00F076DF" w:rsidRDefault="00910444" w:rsidP="00910444">
      <w:pPr>
        <w:keepNext/>
        <w:spacing w:after="120"/>
        <w:ind w:right="748"/>
        <w:rPr>
          <w:sz w:val="24"/>
          <w:szCs w:val="24"/>
        </w:rPr>
      </w:pPr>
      <w:r>
        <w:rPr>
          <w:sz w:val="24"/>
          <w:szCs w:val="24"/>
        </w:rPr>
        <w:t xml:space="preserve">The listing in Schedule 1 </w:t>
      </w:r>
      <w:r w:rsidRPr="00910444">
        <w:rPr>
          <w:sz w:val="24"/>
          <w:szCs w:val="24"/>
        </w:rPr>
        <w:t>to the ‘Sixth</w:t>
      </w:r>
      <w:r>
        <w:rPr>
          <w:sz w:val="24"/>
          <w:szCs w:val="24"/>
        </w:rPr>
        <w:t xml:space="preserve"> Community Pharmacy Agreement’ is omitted and </w:t>
      </w:r>
      <w:r w:rsidRPr="00910444">
        <w:rPr>
          <w:sz w:val="24"/>
          <w:szCs w:val="24"/>
        </w:rPr>
        <w:t>substitute</w:t>
      </w:r>
      <w:r>
        <w:rPr>
          <w:sz w:val="24"/>
          <w:szCs w:val="24"/>
        </w:rPr>
        <w:t>d by</w:t>
      </w:r>
      <w:r w:rsidRPr="00910444">
        <w:rPr>
          <w:sz w:val="24"/>
          <w:szCs w:val="24"/>
        </w:rPr>
        <w:t xml:space="preserve"> a reference to the ‘Seventh Community Pharmacy Agreement’</w:t>
      </w:r>
      <w:r w:rsidRPr="00910444">
        <w:rPr>
          <w:b/>
          <w:sz w:val="24"/>
          <w:szCs w:val="24"/>
        </w:rPr>
        <w:t xml:space="preserve">.  </w:t>
      </w:r>
      <w:r w:rsidRPr="00910444">
        <w:rPr>
          <w:sz w:val="24"/>
          <w:szCs w:val="24"/>
        </w:rPr>
        <w:t>The listing for the link to the former Agreement is replaced with a list of the link to the current Agreement</w:t>
      </w:r>
      <w:r>
        <w:rPr>
          <w:b/>
          <w:sz w:val="24"/>
          <w:szCs w:val="24"/>
        </w:rPr>
        <w:t>.</w:t>
      </w:r>
      <w:r w:rsidR="00C9363D" w:rsidRPr="002276FC">
        <w:rPr>
          <w:sz w:val="24"/>
          <w:szCs w:val="24"/>
        </w:rPr>
        <w:t xml:space="preserve"> </w:t>
      </w:r>
    </w:p>
    <w:p w:rsidR="00353BE7" w:rsidRDefault="00353BE7" w:rsidP="00910444">
      <w:pPr>
        <w:keepNext/>
        <w:spacing w:after="120"/>
        <w:ind w:right="748"/>
        <w:rPr>
          <w:b/>
          <w:sz w:val="24"/>
          <w:szCs w:val="24"/>
        </w:rPr>
      </w:pPr>
      <w:r w:rsidRPr="00353BE7">
        <w:rPr>
          <w:b/>
          <w:sz w:val="24"/>
          <w:szCs w:val="24"/>
        </w:rPr>
        <w:t xml:space="preserve">Items [32] to [38] – Schedule 2 – Pharmaceutical benefits not covered by PBS—continued dispensing </w:t>
      </w:r>
    </w:p>
    <w:p w:rsidR="00103486" w:rsidRDefault="00353BE7" w:rsidP="00910444">
      <w:pPr>
        <w:keepNext/>
        <w:spacing w:after="120"/>
        <w:ind w:right="748"/>
        <w:rPr>
          <w:sz w:val="24"/>
          <w:szCs w:val="24"/>
        </w:rPr>
      </w:pPr>
      <w:r w:rsidRPr="00353BE7">
        <w:rPr>
          <w:sz w:val="24"/>
          <w:szCs w:val="24"/>
        </w:rPr>
        <w:t>The amendments to Schedule 2 are consequential amendments to align the items listed in the Schedule with the equivalent items as listed in the RSPB component of the PBS</w:t>
      </w:r>
      <w:r w:rsidR="00103486">
        <w:rPr>
          <w:sz w:val="24"/>
          <w:szCs w:val="24"/>
        </w:rPr>
        <w:t>. The R</w:t>
      </w:r>
      <w:r>
        <w:rPr>
          <w:sz w:val="24"/>
          <w:szCs w:val="24"/>
        </w:rPr>
        <w:t xml:space="preserve">SPB listings have been revised </w:t>
      </w:r>
      <w:r w:rsidR="00103486">
        <w:rPr>
          <w:sz w:val="24"/>
          <w:szCs w:val="24"/>
        </w:rPr>
        <w:t xml:space="preserve">since the emergency arrangements were first put in place on 13 January 2020. </w:t>
      </w:r>
    </w:p>
    <w:p w:rsidR="00353BE7" w:rsidRDefault="00103486" w:rsidP="00910444">
      <w:pPr>
        <w:keepNext/>
        <w:spacing w:after="120"/>
        <w:ind w:right="748"/>
        <w:rPr>
          <w:sz w:val="24"/>
          <w:szCs w:val="24"/>
        </w:rPr>
      </w:pPr>
      <w:r>
        <w:rPr>
          <w:sz w:val="24"/>
          <w:szCs w:val="24"/>
        </w:rPr>
        <w:t xml:space="preserve">The amendments </w:t>
      </w:r>
      <w:r w:rsidR="00353BE7" w:rsidRPr="00353BE7">
        <w:rPr>
          <w:sz w:val="24"/>
          <w:szCs w:val="24"/>
        </w:rPr>
        <w:t xml:space="preserve">made by </w:t>
      </w:r>
      <w:r w:rsidR="00353BE7" w:rsidRPr="00103486">
        <w:rPr>
          <w:sz w:val="24"/>
          <w:szCs w:val="24"/>
          <w:u w:val="single"/>
        </w:rPr>
        <w:t>Items 32 to 38</w:t>
      </w:r>
      <w:r w:rsidR="00353BE7" w:rsidRPr="00353BE7">
        <w:rPr>
          <w:sz w:val="24"/>
          <w:szCs w:val="24"/>
        </w:rPr>
        <w:t xml:space="preserve"> concern the </w:t>
      </w:r>
      <w:r>
        <w:rPr>
          <w:sz w:val="24"/>
          <w:szCs w:val="24"/>
        </w:rPr>
        <w:t>omission (strikethrough)</w:t>
      </w:r>
      <w:r w:rsidR="00A43E04">
        <w:rPr>
          <w:sz w:val="24"/>
          <w:szCs w:val="24"/>
        </w:rPr>
        <w:t xml:space="preserve"> </w:t>
      </w:r>
      <w:r>
        <w:rPr>
          <w:sz w:val="24"/>
          <w:szCs w:val="24"/>
        </w:rPr>
        <w:t>and addition (new listing) of new items</w:t>
      </w:r>
      <w:r w:rsidR="00A43E04">
        <w:rPr>
          <w:sz w:val="24"/>
          <w:szCs w:val="24"/>
        </w:rPr>
        <w:t xml:space="preserve"> in Schedule 2</w:t>
      </w:r>
      <w:r>
        <w:rPr>
          <w:sz w:val="24"/>
          <w:szCs w:val="24"/>
        </w:rPr>
        <w:t xml:space="preserve">. The amendments to the ‘form’ </w:t>
      </w:r>
      <w:r w:rsidR="006F1916">
        <w:rPr>
          <w:sz w:val="24"/>
          <w:szCs w:val="24"/>
        </w:rPr>
        <w:t xml:space="preserve">(Column 3) </w:t>
      </w:r>
      <w:r>
        <w:rPr>
          <w:sz w:val="24"/>
          <w:szCs w:val="24"/>
        </w:rPr>
        <w:t xml:space="preserve">of a listing are </w:t>
      </w:r>
      <w:r w:rsidR="00A43E04">
        <w:rPr>
          <w:sz w:val="24"/>
          <w:szCs w:val="24"/>
        </w:rPr>
        <w:t>indicated by the omission (</w:t>
      </w:r>
      <w:r>
        <w:rPr>
          <w:sz w:val="24"/>
          <w:szCs w:val="24"/>
        </w:rPr>
        <w:t xml:space="preserve">strikethrough) </w:t>
      </w:r>
      <w:r w:rsidR="00A43E04">
        <w:rPr>
          <w:sz w:val="24"/>
          <w:szCs w:val="24"/>
        </w:rPr>
        <w:t xml:space="preserve">and additional content </w:t>
      </w:r>
      <w:r>
        <w:rPr>
          <w:sz w:val="24"/>
          <w:szCs w:val="24"/>
        </w:rPr>
        <w:t xml:space="preserve">of </w:t>
      </w:r>
      <w:r w:rsidR="00A43E04">
        <w:rPr>
          <w:sz w:val="24"/>
          <w:szCs w:val="24"/>
        </w:rPr>
        <w:t xml:space="preserve">an </w:t>
      </w:r>
      <w:r>
        <w:rPr>
          <w:sz w:val="24"/>
          <w:szCs w:val="24"/>
        </w:rPr>
        <w:t>existing</w:t>
      </w:r>
      <w:r w:rsidR="00A43E04">
        <w:rPr>
          <w:sz w:val="24"/>
          <w:szCs w:val="24"/>
        </w:rPr>
        <w:t xml:space="preserve"> listing</w:t>
      </w:r>
      <w:r w:rsidR="00353BE7" w:rsidRPr="00353BE7">
        <w:rPr>
          <w:sz w:val="24"/>
          <w:szCs w:val="24"/>
        </w:rPr>
        <w:t xml:space="preserve">: </w:t>
      </w:r>
    </w:p>
    <w:tbl>
      <w:tblPr>
        <w:tblW w:w="7405" w:type="dxa"/>
        <w:tblInd w:w="108" w:type="dxa"/>
        <w:tblCellMar>
          <w:left w:w="0" w:type="dxa"/>
          <w:right w:w="0" w:type="dxa"/>
        </w:tblCellMar>
        <w:tblLook w:val="04A0" w:firstRow="1" w:lastRow="0" w:firstColumn="1" w:lastColumn="0" w:noHBand="0" w:noVBand="1"/>
      </w:tblPr>
      <w:tblGrid>
        <w:gridCol w:w="1702"/>
        <w:gridCol w:w="2412"/>
        <w:gridCol w:w="3291"/>
      </w:tblGrid>
      <w:tr w:rsidR="00103486" w:rsidRPr="00103486" w:rsidTr="00A43E04">
        <w:trPr>
          <w:tblHeader/>
        </w:trPr>
        <w:tc>
          <w:tcPr>
            <w:tcW w:w="7405" w:type="dxa"/>
            <w:gridSpan w:val="3"/>
            <w:tcBorders>
              <w:top w:val="single" w:sz="6" w:space="0" w:color="000000"/>
              <w:left w:val="nil"/>
              <w:bottom w:val="single" w:sz="4" w:space="0" w:color="000000"/>
              <w:right w:val="nil"/>
            </w:tcBorders>
            <w:shd w:val="clear" w:color="auto" w:fill="auto"/>
            <w:tcMar>
              <w:top w:w="0" w:type="dxa"/>
              <w:left w:w="108" w:type="dxa"/>
              <w:bottom w:w="0" w:type="dxa"/>
              <w:right w:w="108" w:type="dxa"/>
            </w:tcMar>
            <w:hideMark/>
          </w:tcPr>
          <w:p w:rsidR="00103486" w:rsidRPr="00103486" w:rsidRDefault="00103486" w:rsidP="00103486">
            <w:pPr>
              <w:keepNext/>
              <w:spacing w:before="60" w:line="240" w:lineRule="atLeast"/>
              <w:rPr>
                <w:rFonts w:ascii="&amp;quot" w:hAnsi="&amp;quot"/>
                <w:color w:val="000000"/>
                <w:sz w:val="22"/>
                <w:szCs w:val="22"/>
              </w:rPr>
            </w:pPr>
            <w:r w:rsidRPr="00103486">
              <w:rPr>
                <w:rFonts w:ascii="&amp;quot" w:hAnsi="&amp;quot"/>
                <w:b/>
                <w:bCs/>
                <w:color w:val="000000"/>
              </w:rPr>
              <w:t>Pharmaceutical benefits not covered by the PBS—continued dispensing</w:t>
            </w:r>
          </w:p>
        </w:tc>
      </w:tr>
      <w:tr w:rsidR="00103486" w:rsidRPr="00103486" w:rsidTr="00A43E04">
        <w:trPr>
          <w:tblHeader/>
        </w:trPr>
        <w:tc>
          <w:tcPr>
            <w:tcW w:w="1702" w:type="dxa"/>
            <w:tcBorders>
              <w:top w:val="nil"/>
              <w:left w:val="nil"/>
              <w:bottom w:val="single" w:sz="6" w:space="0" w:color="000000"/>
              <w:right w:val="nil"/>
            </w:tcBorders>
            <w:shd w:val="clear" w:color="auto" w:fill="auto"/>
            <w:tcMar>
              <w:top w:w="0" w:type="dxa"/>
              <w:left w:w="108" w:type="dxa"/>
              <w:bottom w:w="0" w:type="dxa"/>
              <w:right w:w="108" w:type="dxa"/>
            </w:tcMar>
            <w:hideMark/>
          </w:tcPr>
          <w:p w:rsidR="00103486" w:rsidRPr="00103486" w:rsidRDefault="00103486" w:rsidP="00103486">
            <w:pPr>
              <w:keepNext/>
              <w:spacing w:before="60" w:line="240" w:lineRule="atLeast"/>
              <w:rPr>
                <w:rFonts w:ascii="&amp;quot" w:hAnsi="&amp;quot"/>
                <w:color w:val="000000"/>
                <w:sz w:val="22"/>
                <w:szCs w:val="22"/>
              </w:rPr>
            </w:pPr>
            <w:r w:rsidRPr="00103486">
              <w:rPr>
                <w:rFonts w:ascii="&amp;quot" w:hAnsi="&amp;quot"/>
                <w:b/>
                <w:bCs/>
                <w:color w:val="000000"/>
              </w:rPr>
              <w:t>Column 1</w:t>
            </w:r>
          </w:p>
          <w:p w:rsidR="00103486" w:rsidRPr="00103486" w:rsidRDefault="00103486" w:rsidP="00103486">
            <w:pPr>
              <w:keepNext/>
              <w:spacing w:before="60" w:line="240" w:lineRule="atLeast"/>
              <w:rPr>
                <w:rFonts w:ascii="&amp;quot" w:hAnsi="&amp;quot"/>
                <w:color w:val="000000"/>
                <w:sz w:val="22"/>
                <w:szCs w:val="22"/>
              </w:rPr>
            </w:pPr>
            <w:r w:rsidRPr="00103486">
              <w:rPr>
                <w:rFonts w:ascii="&amp;quot" w:hAnsi="&amp;quot"/>
                <w:b/>
                <w:bCs/>
                <w:color w:val="000000"/>
              </w:rPr>
              <w:t>RPBS item code</w:t>
            </w:r>
          </w:p>
        </w:tc>
        <w:tc>
          <w:tcPr>
            <w:tcW w:w="2412" w:type="dxa"/>
            <w:tcBorders>
              <w:top w:val="nil"/>
              <w:left w:val="nil"/>
              <w:bottom w:val="single" w:sz="6" w:space="0" w:color="000000"/>
              <w:right w:val="nil"/>
            </w:tcBorders>
            <w:shd w:val="clear" w:color="auto" w:fill="auto"/>
            <w:tcMar>
              <w:top w:w="0" w:type="dxa"/>
              <w:left w:w="108" w:type="dxa"/>
              <w:bottom w:w="0" w:type="dxa"/>
              <w:right w:w="108" w:type="dxa"/>
            </w:tcMar>
            <w:hideMark/>
          </w:tcPr>
          <w:p w:rsidR="00103486" w:rsidRPr="00103486" w:rsidRDefault="00103486" w:rsidP="00103486">
            <w:pPr>
              <w:keepNext/>
              <w:spacing w:before="60" w:line="240" w:lineRule="atLeast"/>
              <w:rPr>
                <w:rFonts w:ascii="&amp;quot" w:hAnsi="&amp;quot"/>
                <w:color w:val="000000"/>
                <w:sz w:val="22"/>
                <w:szCs w:val="22"/>
              </w:rPr>
            </w:pPr>
            <w:r w:rsidRPr="00103486">
              <w:rPr>
                <w:rFonts w:ascii="&amp;quot" w:hAnsi="&amp;quot"/>
                <w:b/>
                <w:bCs/>
                <w:color w:val="000000"/>
              </w:rPr>
              <w:t>Column 2</w:t>
            </w:r>
          </w:p>
          <w:p w:rsidR="00103486" w:rsidRPr="00103486" w:rsidRDefault="00103486" w:rsidP="00103486">
            <w:pPr>
              <w:keepNext/>
              <w:spacing w:before="60" w:line="240" w:lineRule="atLeast"/>
              <w:rPr>
                <w:rFonts w:ascii="&amp;quot" w:hAnsi="&amp;quot"/>
                <w:color w:val="000000"/>
                <w:sz w:val="22"/>
                <w:szCs w:val="22"/>
              </w:rPr>
            </w:pPr>
            <w:r w:rsidRPr="00103486">
              <w:rPr>
                <w:rFonts w:ascii="&amp;quot" w:hAnsi="&amp;quot"/>
                <w:b/>
                <w:bCs/>
                <w:color w:val="000000"/>
              </w:rPr>
              <w:t>Name</w:t>
            </w:r>
          </w:p>
        </w:tc>
        <w:tc>
          <w:tcPr>
            <w:tcW w:w="3291" w:type="dxa"/>
            <w:tcBorders>
              <w:top w:val="nil"/>
              <w:left w:val="nil"/>
              <w:bottom w:val="single" w:sz="6" w:space="0" w:color="000000"/>
              <w:right w:val="nil"/>
            </w:tcBorders>
            <w:shd w:val="clear" w:color="auto" w:fill="auto"/>
            <w:tcMar>
              <w:top w:w="0" w:type="dxa"/>
              <w:left w:w="108" w:type="dxa"/>
              <w:bottom w:w="0" w:type="dxa"/>
              <w:right w:w="108" w:type="dxa"/>
            </w:tcMar>
            <w:hideMark/>
          </w:tcPr>
          <w:p w:rsidR="00103486" w:rsidRPr="00103486" w:rsidRDefault="00103486" w:rsidP="00103486">
            <w:pPr>
              <w:keepNext/>
              <w:spacing w:before="60" w:line="240" w:lineRule="atLeast"/>
              <w:rPr>
                <w:rFonts w:ascii="&amp;quot" w:hAnsi="&amp;quot"/>
                <w:color w:val="000000"/>
                <w:sz w:val="22"/>
                <w:szCs w:val="22"/>
              </w:rPr>
            </w:pPr>
            <w:r w:rsidRPr="00103486">
              <w:rPr>
                <w:rFonts w:ascii="&amp;quot" w:hAnsi="&amp;quot"/>
                <w:b/>
                <w:bCs/>
                <w:color w:val="000000"/>
              </w:rPr>
              <w:t>Column 3</w:t>
            </w:r>
          </w:p>
          <w:p w:rsidR="00103486" w:rsidRPr="00103486" w:rsidRDefault="00103486" w:rsidP="00103486">
            <w:pPr>
              <w:keepNext/>
              <w:spacing w:before="60" w:line="240" w:lineRule="atLeast"/>
              <w:rPr>
                <w:rFonts w:ascii="&amp;quot" w:hAnsi="&amp;quot"/>
                <w:color w:val="000000"/>
                <w:sz w:val="22"/>
                <w:szCs w:val="22"/>
              </w:rPr>
            </w:pPr>
            <w:r w:rsidRPr="00103486">
              <w:rPr>
                <w:rFonts w:ascii="&amp;quot" w:hAnsi="&amp;quot"/>
                <w:b/>
                <w:bCs/>
                <w:color w:val="000000"/>
              </w:rPr>
              <w:t>Form</w:t>
            </w:r>
          </w:p>
        </w:tc>
      </w:tr>
      <w:tr w:rsidR="00103486" w:rsidRPr="00103486" w:rsidTr="00A43E04">
        <w:trPr>
          <w:trHeight w:val="320"/>
        </w:trPr>
        <w:tc>
          <w:tcPr>
            <w:tcW w:w="1702" w:type="dxa"/>
            <w:tcBorders>
              <w:top w:val="nil"/>
              <w:left w:val="nil"/>
              <w:bottom w:val="single" w:sz="4" w:space="0" w:color="000000"/>
              <w:right w:val="nil"/>
            </w:tcBorders>
            <w:shd w:val="clear" w:color="auto" w:fill="auto"/>
            <w:tcMar>
              <w:top w:w="0" w:type="dxa"/>
              <w:left w:w="108" w:type="dxa"/>
              <w:bottom w:w="0" w:type="dxa"/>
              <w:right w:w="108" w:type="dxa"/>
            </w:tcMar>
            <w:hideMark/>
          </w:tcPr>
          <w:p w:rsidR="00103486" w:rsidRPr="00103486" w:rsidRDefault="00103486" w:rsidP="00103486">
            <w:pPr>
              <w:spacing w:before="60" w:line="240" w:lineRule="atLeast"/>
              <w:rPr>
                <w:rFonts w:ascii="&amp;quot" w:hAnsi="&amp;quot"/>
                <w:strike/>
                <w:color w:val="000000"/>
                <w:sz w:val="22"/>
                <w:szCs w:val="22"/>
              </w:rPr>
            </w:pPr>
            <w:r w:rsidRPr="00103486">
              <w:rPr>
                <w:rFonts w:ascii="&amp;quot" w:hAnsi="&amp;quot"/>
                <w:strike/>
                <w:color w:val="000000"/>
              </w:rPr>
              <w:t>04001N</w:t>
            </w:r>
          </w:p>
        </w:tc>
        <w:tc>
          <w:tcPr>
            <w:tcW w:w="2412" w:type="dxa"/>
            <w:tcBorders>
              <w:top w:val="nil"/>
              <w:left w:val="nil"/>
              <w:bottom w:val="single" w:sz="4" w:space="0" w:color="000000"/>
              <w:right w:val="nil"/>
            </w:tcBorders>
            <w:shd w:val="clear" w:color="auto" w:fill="auto"/>
            <w:tcMar>
              <w:top w:w="0" w:type="dxa"/>
              <w:left w:w="108" w:type="dxa"/>
              <w:bottom w:w="0" w:type="dxa"/>
              <w:right w:w="108" w:type="dxa"/>
            </w:tcMar>
            <w:hideMark/>
          </w:tcPr>
          <w:p w:rsidR="00103486" w:rsidRPr="00103486" w:rsidRDefault="00103486" w:rsidP="00103486">
            <w:pPr>
              <w:spacing w:before="60" w:line="240" w:lineRule="atLeast"/>
              <w:rPr>
                <w:rFonts w:ascii="&amp;quot" w:hAnsi="&amp;quot"/>
                <w:strike/>
                <w:color w:val="000000"/>
                <w:sz w:val="22"/>
                <w:szCs w:val="22"/>
              </w:rPr>
            </w:pPr>
            <w:r w:rsidRPr="00103486">
              <w:rPr>
                <w:rFonts w:ascii="&amp;quot" w:hAnsi="&amp;quot"/>
                <w:strike/>
                <w:color w:val="000000"/>
              </w:rPr>
              <w:t>nystatin</w:t>
            </w:r>
          </w:p>
        </w:tc>
        <w:tc>
          <w:tcPr>
            <w:tcW w:w="3291" w:type="dxa"/>
            <w:tcBorders>
              <w:top w:val="nil"/>
              <w:left w:val="nil"/>
              <w:bottom w:val="single" w:sz="4" w:space="0" w:color="000000"/>
              <w:right w:val="nil"/>
            </w:tcBorders>
            <w:shd w:val="clear" w:color="auto" w:fill="auto"/>
            <w:tcMar>
              <w:top w:w="0" w:type="dxa"/>
              <w:left w:w="108" w:type="dxa"/>
              <w:bottom w:w="0" w:type="dxa"/>
              <w:right w:w="108" w:type="dxa"/>
            </w:tcMar>
            <w:hideMark/>
          </w:tcPr>
          <w:p w:rsidR="00103486" w:rsidRPr="00103486" w:rsidRDefault="00103486" w:rsidP="00103486">
            <w:pPr>
              <w:spacing w:before="60" w:line="240" w:lineRule="atLeast"/>
              <w:rPr>
                <w:rFonts w:ascii="&amp;quot" w:hAnsi="&amp;quot"/>
                <w:strike/>
                <w:color w:val="000000"/>
                <w:sz w:val="22"/>
                <w:szCs w:val="22"/>
              </w:rPr>
            </w:pPr>
            <w:r w:rsidRPr="00103486">
              <w:rPr>
                <w:rFonts w:ascii="&amp;quot" w:hAnsi="&amp;quot"/>
                <w:strike/>
                <w:color w:val="000000"/>
              </w:rPr>
              <w:t xml:space="preserve">nystatin 100 </w:t>
            </w:r>
            <w:bookmarkStart w:id="7" w:name="BK_S3P5L44C14"/>
            <w:bookmarkStart w:id="8" w:name="BK_S3P7L3C14"/>
            <w:bookmarkEnd w:id="7"/>
            <w:bookmarkEnd w:id="8"/>
            <w:r w:rsidRPr="00103486">
              <w:rPr>
                <w:rFonts w:ascii="&amp;quot" w:hAnsi="&amp;quot"/>
                <w:strike/>
                <w:color w:val="000000"/>
              </w:rPr>
              <w:t xml:space="preserve">000 units/g cream, 15 </w:t>
            </w:r>
            <w:bookmarkStart w:id="9" w:name="BK_S3P5L44C36"/>
            <w:bookmarkStart w:id="10" w:name="BK_S3P7L3C36"/>
            <w:bookmarkEnd w:id="9"/>
            <w:bookmarkEnd w:id="10"/>
            <w:r w:rsidRPr="00103486">
              <w:rPr>
                <w:rFonts w:ascii="&amp;quot" w:hAnsi="&amp;quot"/>
                <w:strike/>
                <w:color w:val="000000"/>
              </w:rPr>
              <w:t>g</w:t>
            </w:r>
            <w:r w:rsidRPr="00103486">
              <w:rPr>
                <w:rFonts w:ascii="&amp;quot" w:hAnsi="&amp;quot"/>
                <w:color w:val="000000"/>
              </w:rPr>
              <w:t xml:space="preserve">  Delete</w:t>
            </w:r>
          </w:p>
        </w:tc>
      </w:tr>
      <w:tr w:rsidR="00103486" w:rsidRPr="00103486" w:rsidTr="00A43E04">
        <w:trPr>
          <w:trHeight w:val="560"/>
        </w:trPr>
        <w:tc>
          <w:tcPr>
            <w:tcW w:w="1702" w:type="dxa"/>
            <w:tcBorders>
              <w:top w:val="nil"/>
              <w:left w:val="nil"/>
              <w:bottom w:val="single" w:sz="4" w:space="0" w:color="000000"/>
              <w:right w:val="nil"/>
            </w:tcBorders>
            <w:shd w:val="clear" w:color="auto" w:fill="auto"/>
            <w:tcMar>
              <w:top w:w="0" w:type="dxa"/>
              <w:left w:w="108" w:type="dxa"/>
              <w:bottom w:w="0" w:type="dxa"/>
              <w:right w:w="108" w:type="dxa"/>
            </w:tcMar>
            <w:hideMark/>
          </w:tcPr>
          <w:p w:rsidR="00103486" w:rsidRPr="00103486" w:rsidRDefault="00103486" w:rsidP="00103486">
            <w:pPr>
              <w:spacing w:before="60" w:line="240" w:lineRule="atLeast"/>
              <w:rPr>
                <w:rFonts w:ascii="&amp;quot" w:hAnsi="&amp;quot"/>
                <w:strike/>
                <w:color w:val="000000"/>
                <w:sz w:val="22"/>
                <w:szCs w:val="22"/>
              </w:rPr>
            </w:pPr>
            <w:r w:rsidRPr="00103486">
              <w:rPr>
                <w:rFonts w:ascii="&amp;quot" w:hAnsi="&amp;quot"/>
                <w:strike/>
                <w:color w:val="000000"/>
              </w:rPr>
              <w:lastRenderedPageBreak/>
              <w:t>04386W</w:t>
            </w:r>
          </w:p>
        </w:tc>
        <w:tc>
          <w:tcPr>
            <w:tcW w:w="2412" w:type="dxa"/>
            <w:tcBorders>
              <w:top w:val="nil"/>
              <w:left w:val="nil"/>
              <w:bottom w:val="single" w:sz="4" w:space="0" w:color="000000"/>
              <w:right w:val="nil"/>
            </w:tcBorders>
            <w:shd w:val="clear" w:color="auto" w:fill="auto"/>
            <w:tcMar>
              <w:top w:w="0" w:type="dxa"/>
              <w:left w:w="108" w:type="dxa"/>
              <w:bottom w:w="0" w:type="dxa"/>
              <w:right w:w="108" w:type="dxa"/>
            </w:tcMar>
            <w:hideMark/>
          </w:tcPr>
          <w:p w:rsidR="00103486" w:rsidRPr="00103486" w:rsidRDefault="00103486" w:rsidP="00103486">
            <w:pPr>
              <w:spacing w:before="60" w:line="240" w:lineRule="atLeast"/>
              <w:rPr>
                <w:rFonts w:ascii="&amp;quot" w:hAnsi="&amp;quot"/>
                <w:strike/>
                <w:color w:val="000000"/>
                <w:sz w:val="22"/>
                <w:szCs w:val="22"/>
              </w:rPr>
            </w:pPr>
            <w:r w:rsidRPr="00103486">
              <w:rPr>
                <w:rFonts w:ascii="&amp;quot" w:hAnsi="&amp;quot"/>
                <w:strike/>
                <w:color w:val="000000"/>
              </w:rPr>
              <w:t>salicylic acid + lactic acid</w:t>
            </w:r>
          </w:p>
        </w:tc>
        <w:tc>
          <w:tcPr>
            <w:tcW w:w="3291" w:type="dxa"/>
            <w:tcBorders>
              <w:top w:val="nil"/>
              <w:left w:val="nil"/>
              <w:bottom w:val="single" w:sz="4" w:space="0" w:color="000000"/>
              <w:right w:val="nil"/>
            </w:tcBorders>
            <w:shd w:val="clear" w:color="auto" w:fill="auto"/>
            <w:tcMar>
              <w:top w:w="0" w:type="dxa"/>
              <w:left w:w="108" w:type="dxa"/>
              <w:bottom w:w="0" w:type="dxa"/>
              <w:right w:w="108" w:type="dxa"/>
            </w:tcMar>
            <w:hideMark/>
          </w:tcPr>
          <w:p w:rsidR="00103486" w:rsidRPr="00103486" w:rsidRDefault="00103486" w:rsidP="00103486">
            <w:pPr>
              <w:spacing w:before="60" w:line="240" w:lineRule="atLeast"/>
              <w:rPr>
                <w:rFonts w:ascii="&amp;quot" w:hAnsi="&amp;quot"/>
                <w:strike/>
                <w:color w:val="000000"/>
                <w:sz w:val="22"/>
                <w:szCs w:val="22"/>
              </w:rPr>
            </w:pPr>
            <w:r w:rsidRPr="00103486">
              <w:rPr>
                <w:rFonts w:ascii="&amp;quot" w:hAnsi="&amp;quot"/>
                <w:strike/>
                <w:color w:val="000000"/>
              </w:rPr>
              <w:t>salicylic acid 16.7% + lactic acid 16.7% solution, 15 mL</w:t>
            </w:r>
          </w:p>
        </w:tc>
      </w:tr>
      <w:tr w:rsidR="00A43E04" w:rsidRPr="00A43E04" w:rsidTr="00A43E04">
        <w:trPr>
          <w:trHeight w:val="560"/>
        </w:trPr>
        <w:tc>
          <w:tcPr>
            <w:tcW w:w="1702" w:type="dxa"/>
            <w:tcBorders>
              <w:top w:val="nil"/>
              <w:left w:val="nil"/>
              <w:bottom w:val="single" w:sz="4" w:space="0" w:color="000000"/>
              <w:right w:val="nil"/>
            </w:tcBorders>
            <w:shd w:val="clear" w:color="auto" w:fill="auto"/>
            <w:tcMar>
              <w:top w:w="0" w:type="dxa"/>
              <w:left w:w="108" w:type="dxa"/>
              <w:bottom w:w="0" w:type="dxa"/>
              <w:right w:w="108" w:type="dxa"/>
            </w:tcMar>
            <w:hideMark/>
          </w:tcPr>
          <w:p w:rsidR="00A43E04" w:rsidRPr="00A43E04" w:rsidRDefault="00A43E04" w:rsidP="00A43E04">
            <w:pPr>
              <w:spacing w:before="60" w:line="240" w:lineRule="atLeast"/>
              <w:rPr>
                <w:rFonts w:ascii="&amp;quot" w:hAnsi="&amp;quot"/>
                <w:color w:val="000000"/>
                <w:sz w:val="22"/>
                <w:szCs w:val="22"/>
              </w:rPr>
            </w:pPr>
            <w:r w:rsidRPr="00A43E04">
              <w:rPr>
                <w:rFonts w:ascii="&amp;quot" w:hAnsi="&amp;quot"/>
                <w:color w:val="000000"/>
              </w:rPr>
              <w:t>04419N</w:t>
            </w:r>
          </w:p>
        </w:tc>
        <w:tc>
          <w:tcPr>
            <w:tcW w:w="2412" w:type="dxa"/>
            <w:tcBorders>
              <w:top w:val="nil"/>
              <w:left w:val="nil"/>
              <w:bottom w:val="single" w:sz="4" w:space="0" w:color="000000"/>
              <w:right w:val="nil"/>
            </w:tcBorders>
            <w:shd w:val="clear" w:color="auto" w:fill="auto"/>
            <w:tcMar>
              <w:top w:w="0" w:type="dxa"/>
              <w:left w:w="108" w:type="dxa"/>
              <w:bottom w:w="0" w:type="dxa"/>
              <w:right w:w="108" w:type="dxa"/>
            </w:tcMar>
            <w:hideMark/>
          </w:tcPr>
          <w:p w:rsidR="00A43E04" w:rsidRPr="00A43E04" w:rsidRDefault="00A43E04" w:rsidP="00A43E04">
            <w:pPr>
              <w:spacing w:before="60" w:line="240" w:lineRule="atLeast"/>
              <w:rPr>
                <w:rFonts w:ascii="&amp;quot" w:hAnsi="&amp;quot"/>
                <w:color w:val="000000"/>
                <w:sz w:val="22"/>
                <w:szCs w:val="22"/>
              </w:rPr>
            </w:pPr>
            <w:r w:rsidRPr="00A43E04">
              <w:rPr>
                <w:rFonts w:ascii="&amp;quot" w:hAnsi="&amp;quot"/>
                <w:color w:val="000000"/>
              </w:rPr>
              <w:t>psyllium husk powder</w:t>
            </w:r>
          </w:p>
        </w:tc>
        <w:tc>
          <w:tcPr>
            <w:tcW w:w="3291" w:type="dxa"/>
            <w:tcBorders>
              <w:top w:val="nil"/>
              <w:left w:val="nil"/>
              <w:bottom w:val="single" w:sz="4" w:space="0" w:color="000000"/>
              <w:right w:val="nil"/>
            </w:tcBorders>
            <w:shd w:val="clear" w:color="auto" w:fill="auto"/>
            <w:tcMar>
              <w:top w:w="0" w:type="dxa"/>
              <w:left w:w="108" w:type="dxa"/>
              <w:bottom w:w="0" w:type="dxa"/>
              <w:right w:w="108" w:type="dxa"/>
            </w:tcMar>
            <w:hideMark/>
          </w:tcPr>
          <w:p w:rsidR="00A43E04" w:rsidRDefault="00A43E04" w:rsidP="00A43E04">
            <w:pPr>
              <w:spacing w:before="60" w:line="240" w:lineRule="atLeast"/>
              <w:rPr>
                <w:rFonts w:ascii="&amp;quot" w:hAnsi="&amp;quot"/>
                <w:strike/>
                <w:color w:val="000000"/>
              </w:rPr>
            </w:pPr>
            <w:r w:rsidRPr="00A43E04">
              <w:rPr>
                <w:rFonts w:ascii="&amp;quot" w:hAnsi="&amp;quot"/>
                <w:strike/>
                <w:color w:val="000000"/>
              </w:rPr>
              <w:t>psyllium hydrophilic mucilloid oral powder (orange-flavoured, sugar-free) 283 g, 1</w:t>
            </w:r>
          </w:p>
          <w:p w:rsidR="00A43E04" w:rsidRPr="00A43E04" w:rsidRDefault="00A43E04" w:rsidP="00A43E04">
            <w:pPr>
              <w:spacing w:before="60" w:line="240" w:lineRule="atLeast"/>
              <w:rPr>
                <w:rFonts w:ascii="&amp;quot" w:hAnsi="&amp;quot"/>
                <w:color w:val="000000"/>
              </w:rPr>
            </w:pPr>
            <w:r w:rsidRPr="00A43E04">
              <w:rPr>
                <w:rFonts w:ascii="&amp;quot" w:hAnsi="&amp;quot"/>
                <w:color w:val="000000"/>
              </w:rPr>
              <w:t>psyllium husk powder 3.4 g/5.9 g powder for oral liquid, 283 g</w:t>
            </w:r>
          </w:p>
        </w:tc>
      </w:tr>
      <w:tr w:rsidR="00A43E04" w:rsidRPr="00A43E04" w:rsidTr="00A43E04">
        <w:trPr>
          <w:trHeight w:val="560"/>
        </w:trPr>
        <w:tc>
          <w:tcPr>
            <w:tcW w:w="1702" w:type="dxa"/>
            <w:tcBorders>
              <w:top w:val="nil"/>
              <w:left w:val="nil"/>
              <w:bottom w:val="single" w:sz="4" w:space="0" w:color="auto"/>
              <w:right w:val="nil"/>
            </w:tcBorders>
            <w:shd w:val="clear" w:color="auto" w:fill="auto"/>
            <w:tcMar>
              <w:top w:w="0" w:type="dxa"/>
              <w:left w:w="108" w:type="dxa"/>
              <w:bottom w:w="0" w:type="dxa"/>
              <w:right w:w="108" w:type="dxa"/>
            </w:tcMar>
            <w:hideMark/>
          </w:tcPr>
          <w:p w:rsidR="00A43E04" w:rsidRPr="00A43E04" w:rsidRDefault="00A43E04" w:rsidP="00A43E04">
            <w:pPr>
              <w:spacing w:before="60" w:line="240" w:lineRule="atLeast"/>
              <w:rPr>
                <w:rFonts w:ascii="&amp;quot" w:hAnsi="&amp;quot"/>
                <w:color w:val="000000"/>
                <w:sz w:val="22"/>
                <w:szCs w:val="22"/>
              </w:rPr>
            </w:pPr>
            <w:r w:rsidRPr="00A43E04">
              <w:rPr>
                <w:rFonts w:ascii="&amp;quot" w:hAnsi="&amp;quot"/>
                <w:color w:val="000000"/>
              </w:rPr>
              <w:t>04422R</w:t>
            </w:r>
          </w:p>
        </w:tc>
        <w:tc>
          <w:tcPr>
            <w:tcW w:w="2412" w:type="dxa"/>
            <w:tcBorders>
              <w:top w:val="nil"/>
              <w:left w:val="nil"/>
              <w:bottom w:val="single" w:sz="4" w:space="0" w:color="auto"/>
              <w:right w:val="nil"/>
            </w:tcBorders>
            <w:shd w:val="clear" w:color="auto" w:fill="auto"/>
            <w:tcMar>
              <w:top w:w="0" w:type="dxa"/>
              <w:left w:w="108" w:type="dxa"/>
              <w:bottom w:w="0" w:type="dxa"/>
              <w:right w:w="108" w:type="dxa"/>
            </w:tcMar>
            <w:hideMark/>
          </w:tcPr>
          <w:p w:rsidR="00A43E04" w:rsidRPr="00A43E04" w:rsidRDefault="00A43E04" w:rsidP="00A43E04">
            <w:pPr>
              <w:spacing w:before="60" w:line="240" w:lineRule="atLeast"/>
              <w:rPr>
                <w:rFonts w:ascii="&amp;quot" w:hAnsi="&amp;quot"/>
                <w:color w:val="000000"/>
                <w:sz w:val="22"/>
                <w:szCs w:val="22"/>
              </w:rPr>
            </w:pPr>
            <w:r w:rsidRPr="00A43E04">
              <w:rPr>
                <w:rFonts w:ascii="&amp;quot" w:hAnsi="&amp;quot"/>
                <w:color w:val="000000"/>
              </w:rPr>
              <w:t>psyllium husk powder</w:t>
            </w:r>
          </w:p>
        </w:tc>
        <w:tc>
          <w:tcPr>
            <w:tcW w:w="3291" w:type="dxa"/>
            <w:tcBorders>
              <w:top w:val="nil"/>
              <w:left w:val="nil"/>
              <w:bottom w:val="single" w:sz="4" w:space="0" w:color="auto"/>
              <w:right w:val="nil"/>
            </w:tcBorders>
            <w:shd w:val="clear" w:color="auto" w:fill="auto"/>
            <w:tcMar>
              <w:top w:w="0" w:type="dxa"/>
              <w:left w:w="108" w:type="dxa"/>
              <w:bottom w:w="0" w:type="dxa"/>
              <w:right w:w="108" w:type="dxa"/>
            </w:tcMar>
            <w:hideMark/>
          </w:tcPr>
          <w:p w:rsidR="00A43E04" w:rsidRDefault="00A43E04" w:rsidP="00A43E04">
            <w:pPr>
              <w:spacing w:before="60" w:line="240" w:lineRule="atLeast"/>
              <w:rPr>
                <w:rFonts w:ascii="&amp;quot" w:hAnsi="&amp;quot"/>
                <w:strike/>
                <w:color w:val="000000"/>
              </w:rPr>
            </w:pPr>
            <w:r w:rsidRPr="00A43E04">
              <w:rPr>
                <w:rFonts w:ascii="&amp;quot" w:hAnsi="&amp;quot"/>
                <w:strike/>
                <w:color w:val="000000"/>
              </w:rPr>
              <w:t>psyllium hydrophilic mucilloid oral powder (non-flavoured) 336 g, 1</w:t>
            </w:r>
          </w:p>
          <w:p w:rsidR="00A43E04" w:rsidRPr="00A43E04" w:rsidRDefault="00A43E04" w:rsidP="00A43E04">
            <w:pPr>
              <w:spacing w:before="60" w:line="240" w:lineRule="atLeast"/>
              <w:rPr>
                <w:rFonts w:ascii="&amp;quot" w:hAnsi="&amp;quot"/>
                <w:strike/>
                <w:color w:val="000000"/>
                <w:sz w:val="22"/>
                <w:szCs w:val="22"/>
              </w:rPr>
            </w:pPr>
            <w:r w:rsidRPr="00A43E04">
              <w:rPr>
                <w:rFonts w:eastAsia="Calibri"/>
                <w:color w:val="000000"/>
              </w:rPr>
              <w:t>psyllium husk powder 3.4 g/7 g powder for oral liquid, 336 g</w:t>
            </w:r>
          </w:p>
        </w:tc>
      </w:tr>
      <w:tr w:rsidR="00A43E04" w:rsidRPr="00A43E04" w:rsidTr="00A43E04">
        <w:trPr>
          <w:trHeight w:val="560"/>
        </w:trPr>
        <w:tc>
          <w:tcPr>
            <w:tcW w:w="1702" w:type="dxa"/>
            <w:tcBorders>
              <w:top w:val="single" w:sz="4" w:space="0" w:color="auto"/>
              <w:left w:val="nil"/>
              <w:bottom w:val="single" w:sz="4" w:space="0" w:color="auto"/>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color w:val="000000"/>
              </w:rPr>
            </w:pPr>
            <w:r w:rsidRPr="00A43E04">
              <w:rPr>
                <w:rFonts w:ascii="&amp;quot" w:hAnsi="&amp;quot"/>
                <w:color w:val="000000"/>
              </w:rPr>
              <w:t>10574M</w:t>
            </w:r>
          </w:p>
        </w:tc>
        <w:tc>
          <w:tcPr>
            <w:tcW w:w="2412" w:type="dxa"/>
            <w:tcBorders>
              <w:top w:val="single" w:sz="4" w:space="0" w:color="auto"/>
              <w:left w:val="nil"/>
              <w:bottom w:val="single" w:sz="4" w:space="0" w:color="auto"/>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color w:val="000000"/>
              </w:rPr>
            </w:pPr>
            <w:r w:rsidRPr="00A43E04">
              <w:rPr>
                <w:rFonts w:ascii="&amp;quot" w:hAnsi="&amp;quot"/>
                <w:color w:val="000000"/>
              </w:rPr>
              <w:t>sodium chloride + potassium chloride + glucose monohydrate + citric acid</w:t>
            </w:r>
          </w:p>
        </w:tc>
        <w:tc>
          <w:tcPr>
            <w:tcW w:w="3291" w:type="dxa"/>
            <w:tcBorders>
              <w:top w:val="single" w:sz="4" w:space="0" w:color="auto"/>
              <w:left w:val="nil"/>
              <w:bottom w:val="single" w:sz="4" w:space="0" w:color="auto"/>
              <w:right w:val="nil"/>
            </w:tcBorders>
            <w:shd w:val="clear" w:color="auto" w:fill="auto"/>
            <w:tcMar>
              <w:top w:w="0" w:type="dxa"/>
              <w:left w:w="108" w:type="dxa"/>
              <w:bottom w:w="0" w:type="dxa"/>
              <w:right w:w="108" w:type="dxa"/>
            </w:tcMar>
          </w:tcPr>
          <w:p w:rsidR="00A43E04" w:rsidRDefault="00A43E04" w:rsidP="00A43E04">
            <w:pPr>
              <w:spacing w:before="60" w:line="240" w:lineRule="atLeast"/>
              <w:rPr>
                <w:rFonts w:ascii="&amp;quot" w:hAnsi="&amp;quot"/>
                <w:strike/>
                <w:color w:val="000000"/>
              </w:rPr>
            </w:pPr>
            <w:r w:rsidRPr="00A43E04">
              <w:rPr>
                <w:rFonts w:ascii="&amp;quot" w:hAnsi="&amp;quot"/>
                <w:strike/>
                <w:color w:val="000000"/>
              </w:rPr>
              <w:t>sodium chloride 470 mg + potassium chloride 300 mg + glucose monohydrate 3.56 g + sodium acid citrate 530 mg powder for oral liquid, 10 x 4.9 g sachets</w:t>
            </w:r>
          </w:p>
          <w:p w:rsidR="00A43E04" w:rsidRPr="00A43E04" w:rsidRDefault="00A43E04" w:rsidP="00A43E04">
            <w:pPr>
              <w:spacing w:before="60" w:line="240" w:lineRule="atLeast"/>
              <w:rPr>
                <w:rFonts w:ascii="&amp;quot" w:hAnsi="&amp;quot"/>
                <w:color w:val="000000"/>
              </w:rPr>
            </w:pPr>
            <w:r w:rsidRPr="00A43E04">
              <w:rPr>
                <w:rFonts w:ascii="&amp;quot" w:hAnsi="&amp;quot"/>
                <w:color w:val="000000"/>
              </w:rPr>
              <w:t>sodium chloride 470 mg + potassium chloride 300 mg (potassium 4 mmol) + glucose monohydrate 3.56 g + sodium acid citrate 530 mg powder for oral liquid, 10 x 4.9 g sachets</w:t>
            </w:r>
          </w:p>
        </w:tc>
      </w:tr>
      <w:tr w:rsidR="00A43E04" w:rsidRPr="00A43E04" w:rsidTr="00A43E04">
        <w:trPr>
          <w:trHeight w:val="560"/>
        </w:trPr>
        <w:tc>
          <w:tcPr>
            <w:tcW w:w="1702" w:type="dxa"/>
            <w:tcBorders>
              <w:top w:val="single" w:sz="4" w:space="0" w:color="auto"/>
              <w:left w:val="nil"/>
              <w:bottom w:val="nil"/>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strike/>
                <w:color w:val="000000"/>
              </w:rPr>
            </w:pPr>
            <w:r w:rsidRPr="00A43E04">
              <w:rPr>
                <w:rFonts w:ascii="&amp;quot" w:hAnsi="&amp;quot"/>
                <w:strike/>
                <w:color w:val="000000"/>
              </w:rPr>
              <w:t>11707E</w:t>
            </w:r>
          </w:p>
        </w:tc>
        <w:tc>
          <w:tcPr>
            <w:tcW w:w="2412" w:type="dxa"/>
            <w:tcBorders>
              <w:top w:val="single" w:sz="4" w:space="0" w:color="auto"/>
              <w:left w:val="nil"/>
              <w:bottom w:val="nil"/>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strike/>
                <w:color w:val="000000"/>
              </w:rPr>
            </w:pPr>
            <w:r w:rsidRPr="00A43E04">
              <w:rPr>
                <w:rFonts w:ascii="&amp;quot" w:hAnsi="&amp;quot"/>
                <w:strike/>
                <w:color w:val="000000"/>
              </w:rPr>
              <w:t>methyl salicylate + menthol + camphor + eucalyptus oil + pine oil pumilio + turpentine oil + peppermint oil + cajuput oil + capsicum annuum</w:t>
            </w:r>
          </w:p>
        </w:tc>
        <w:tc>
          <w:tcPr>
            <w:tcW w:w="3291" w:type="dxa"/>
            <w:tcBorders>
              <w:top w:val="single" w:sz="4" w:space="0" w:color="auto"/>
              <w:left w:val="nil"/>
              <w:bottom w:val="nil"/>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strike/>
                <w:color w:val="000000"/>
              </w:rPr>
            </w:pPr>
            <w:r w:rsidRPr="00A43E04">
              <w:rPr>
                <w:rFonts w:ascii="&amp;quot" w:hAnsi="&amp;quot"/>
                <w:strike/>
                <w:color w:val="000000"/>
              </w:rPr>
              <w:t xml:space="preserve">methyl salicylate 20% + menthol 5% + camphor 3.5% + eucalyptus oil 3% + pine oil pumilio 1% + turpentine oil 1% + peppermint oil 0.5% + cajuput oil 0.5% + capsicum annuum 0.15% cream, 100 </w:t>
            </w:r>
            <w:bookmarkStart w:id="11" w:name="BK_S3P19L23C45"/>
            <w:bookmarkStart w:id="12" w:name="BK_S3P19L23C12"/>
            <w:bookmarkStart w:id="13" w:name="BK_S3P20L35C12"/>
            <w:bookmarkEnd w:id="11"/>
            <w:bookmarkEnd w:id="12"/>
            <w:bookmarkEnd w:id="13"/>
            <w:r w:rsidRPr="00A43E04">
              <w:rPr>
                <w:rFonts w:ascii="&amp;quot" w:hAnsi="&amp;quot"/>
                <w:strike/>
                <w:color w:val="000000"/>
              </w:rPr>
              <w:t>g</w:t>
            </w:r>
          </w:p>
        </w:tc>
      </w:tr>
      <w:tr w:rsidR="00A43E04" w:rsidRPr="008954D2" w:rsidTr="00A43E04">
        <w:trPr>
          <w:trHeight w:val="560"/>
        </w:trPr>
        <w:tc>
          <w:tcPr>
            <w:tcW w:w="1702" w:type="dxa"/>
            <w:tcBorders>
              <w:top w:val="nil"/>
              <w:left w:val="nil"/>
              <w:bottom w:val="single" w:sz="4" w:space="0" w:color="000000"/>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color w:val="000000"/>
              </w:rPr>
            </w:pPr>
            <w:r w:rsidRPr="00A43E04">
              <w:rPr>
                <w:rFonts w:ascii="&amp;quot" w:hAnsi="&amp;quot"/>
                <w:color w:val="000000"/>
              </w:rPr>
              <w:t>11707E</w:t>
            </w:r>
          </w:p>
        </w:tc>
        <w:tc>
          <w:tcPr>
            <w:tcW w:w="2412" w:type="dxa"/>
            <w:tcBorders>
              <w:top w:val="nil"/>
              <w:left w:val="nil"/>
              <w:bottom w:val="single" w:sz="4" w:space="0" w:color="000000"/>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color w:val="000000"/>
              </w:rPr>
            </w:pPr>
            <w:r w:rsidRPr="00A43E04">
              <w:rPr>
                <w:rFonts w:ascii="&amp;quot" w:hAnsi="&amp;quot"/>
                <w:color w:val="000000"/>
              </w:rPr>
              <w:t>methyl salicylate + menthol + camphor + eucalyptus oil + pine oil pumilio + turpentine oil + peppermint oil + cajuput oil + capsicum extract</w:t>
            </w:r>
          </w:p>
        </w:tc>
        <w:tc>
          <w:tcPr>
            <w:tcW w:w="3291" w:type="dxa"/>
            <w:tcBorders>
              <w:top w:val="nil"/>
              <w:left w:val="nil"/>
              <w:bottom w:val="single" w:sz="4" w:space="0" w:color="000000"/>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color w:val="000000"/>
              </w:rPr>
            </w:pPr>
            <w:r w:rsidRPr="00A43E04">
              <w:rPr>
                <w:rFonts w:ascii="&amp;quot" w:hAnsi="&amp;quot"/>
                <w:color w:val="000000"/>
              </w:rPr>
              <w:t>methyl salicylate 20% + menthol 5% + camphor 3.5% + eucalyptus oil 3% + pine oil pumilio 1% + turpentine oil 1% + peppermint oil 0.5% + cajuput oil 0.5% + capsicum extract 0.15% cream, 100 g</w:t>
            </w:r>
          </w:p>
        </w:tc>
      </w:tr>
      <w:tr w:rsidR="00A43E04" w:rsidRPr="001225CC" w:rsidTr="00A43E04">
        <w:trPr>
          <w:trHeight w:val="560"/>
        </w:trPr>
        <w:tc>
          <w:tcPr>
            <w:tcW w:w="1702" w:type="dxa"/>
            <w:tcBorders>
              <w:top w:val="nil"/>
              <w:left w:val="nil"/>
              <w:bottom w:val="single" w:sz="4" w:space="0" w:color="000000"/>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color w:val="000000"/>
              </w:rPr>
            </w:pPr>
            <w:r w:rsidRPr="00A43E04">
              <w:rPr>
                <w:rFonts w:ascii="&amp;quot" w:hAnsi="&amp;quot"/>
                <w:color w:val="000000"/>
              </w:rPr>
              <w:t>11959K</w:t>
            </w:r>
          </w:p>
        </w:tc>
        <w:tc>
          <w:tcPr>
            <w:tcW w:w="2412" w:type="dxa"/>
            <w:tcBorders>
              <w:top w:val="nil"/>
              <w:left w:val="nil"/>
              <w:bottom w:val="single" w:sz="4" w:space="0" w:color="000000"/>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color w:val="000000"/>
              </w:rPr>
            </w:pPr>
            <w:r w:rsidRPr="00A43E04">
              <w:rPr>
                <w:rFonts w:ascii="&amp;quot" w:hAnsi="&amp;quot"/>
                <w:color w:val="000000"/>
              </w:rPr>
              <w:t>salicylic acid + lactic acid</w:t>
            </w:r>
          </w:p>
        </w:tc>
        <w:tc>
          <w:tcPr>
            <w:tcW w:w="3291" w:type="dxa"/>
            <w:tcBorders>
              <w:top w:val="nil"/>
              <w:left w:val="nil"/>
              <w:bottom w:val="single" w:sz="4" w:space="0" w:color="000000"/>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color w:val="000000"/>
              </w:rPr>
            </w:pPr>
            <w:r w:rsidRPr="00A43E04">
              <w:rPr>
                <w:rFonts w:ascii="&amp;quot" w:hAnsi="&amp;quot"/>
                <w:color w:val="000000"/>
              </w:rPr>
              <w:t>salicylic acid 16.7% + lactic acid 15% solution, 15 mL</w:t>
            </w:r>
          </w:p>
        </w:tc>
      </w:tr>
      <w:tr w:rsidR="00A43E04" w:rsidRPr="001225CC" w:rsidTr="00A43E04">
        <w:trPr>
          <w:trHeight w:val="560"/>
        </w:trPr>
        <w:tc>
          <w:tcPr>
            <w:tcW w:w="1702" w:type="dxa"/>
            <w:tcBorders>
              <w:top w:val="nil"/>
              <w:left w:val="nil"/>
              <w:bottom w:val="single" w:sz="4" w:space="0" w:color="000000"/>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color w:val="000000"/>
              </w:rPr>
            </w:pPr>
            <w:r w:rsidRPr="00A43E04">
              <w:rPr>
                <w:rFonts w:ascii="&amp;quot" w:hAnsi="&amp;quot"/>
                <w:color w:val="000000"/>
              </w:rPr>
              <w:t>12077P</w:t>
            </w:r>
          </w:p>
        </w:tc>
        <w:tc>
          <w:tcPr>
            <w:tcW w:w="2412" w:type="dxa"/>
            <w:tcBorders>
              <w:top w:val="nil"/>
              <w:left w:val="nil"/>
              <w:bottom w:val="single" w:sz="4" w:space="0" w:color="000000"/>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color w:val="000000"/>
              </w:rPr>
            </w:pPr>
            <w:r w:rsidRPr="00A43E04">
              <w:rPr>
                <w:rFonts w:ascii="&amp;quot" w:hAnsi="&amp;quot"/>
                <w:color w:val="000000"/>
              </w:rPr>
              <w:t>silodosin</w:t>
            </w:r>
          </w:p>
        </w:tc>
        <w:tc>
          <w:tcPr>
            <w:tcW w:w="3291" w:type="dxa"/>
            <w:tcBorders>
              <w:top w:val="nil"/>
              <w:left w:val="nil"/>
              <w:bottom w:val="single" w:sz="4" w:space="0" w:color="000000"/>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color w:val="000000"/>
              </w:rPr>
            </w:pPr>
            <w:r w:rsidRPr="00A43E04">
              <w:rPr>
                <w:rFonts w:ascii="&amp;quot" w:hAnsi="&amp;quot"/>
                <w:color w:val="000000"/>
              </w:rPr>
              <w:t>silodosin 8 mg capsule, 30</w:t>
            </w:r>
          </w:p>
        </w:tc>
      </w:tr>
      <w:tr w:rsidR="00A43E04" w:rsidRPr="001225CC" w:rsidTr="00A43E04">
        <w:trPr>
          <w:trHeight w:val="560"/>
        </w:trPr>
        <w:tc>
          <w:tcPr>
            <w:tcW w:w="1702" w:type="dxa"/>
            <w:tcBorders>
              <w:top w:val="nil"/>
              <w:left w:val="nil"/>
              <w:bottom w:val="single" w:sz="4" w:space="0" w:color="000000"/>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color w:val="000000"/>
              </w:rPr>
            </w:pPr>
            <w:r w:rsidRPr="00A43E04">
              <w:rPr>
                <w:rFonts w:ascii="&amp;quot" w:hAnsi="&amp;quot"/>
                <w:color w:val="000000"/>
              </w:rPr>
              <w:t>12079R</w:t>
            </w:r>
          </w:p>
        </w:tc>
        <w:tc>
          <w:tcPr>
            <w:tcW w:w="2412" w:type="dxa"/>
            <w:tcBorders>
              <w:top w:val="nil"/>
              <w:left w:val="nil"/>
              <w:bottom w:val="single" w:sz="4" w:space="0" w:color="000000"/>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color w:val="000000"/>
              </w:rPr>
            </w:pPr>
            <w:r w:rsidRPr="00A43E04">
              <w:rPr>
                <w:rFonts w:ascii="&amp;quot" w:hAnsi="&amp;quot"/>
                <w:color w:val="000000"/>
              </w:rPr>
              <w:t>silodosin</w:t>
            </w:r>
          </w:p>
        </w:tc>
        <w:tc>
          <w:tcPr>
            <w:tcW w:w="3291" w:type="dxa"/>
            <w:tcBorders>
              <w:top w:val="nil"/>
              <w:left w:val="nil"/>
              <w:bottom w:val="single" w:sz="4" w:space="0" w:color="000000"/>
              <w:right w:val="nil"/>
            </w:tcBorders>
            <w:shd w:val="clear" w:color="auto" w:fill="auto"/>
            <w:tcMar>
              <w:top w:w="0" w:type="dxa"/>
              <w:left w:w="108" w:type="dxa"/>
              <w:bottom w:w="0" w:type="dxa"/>
              <w:right w:w="108" w:type="dxa"/>
            </w:tcMar>
          </w:tcPr>
          <w:p w:rsidR="00A43E04" w:rsidRPr="00A43E04" w:rsidRDefault="00A43E04" w:rsidP="00A43E04">
            <w:pPr>
              <w:spacing w:before="60" w:line="240" w:lineRule="atLeast"/>
              <w:rPr>
                <w:rFonts w:ascii="&amp;quot" w:hAnsi="&amp;quot"/>
                <w:color w:val="000000"/>
              </w:rPr>
            </w:pPr>
            <w:r w:rsidRPr="00A43E04">
              <w:rPr>
                <w:rFonts w:ascii="&amp;quot" w:hAnsi="&amp;quot"/>
                <w:color w:val="000000"/>
              </w:rPr>
              <w:t>silodosin 4 mg capsule, 30</w:t>
            </w:r>
          </w:p>
        </w:tc>
      </w:tr>
    </w:tbl>
    <w:p w:rsidR="00103486" w:rsidRPr="00353BE7" w:rsidRDefault="00103486" w:rsidP="00910444">
      <w:pPr>
        <w:keepNext/>
        <w:spacing w:after="120"/>
        <w:ind w:right="748"/>
        <w:rPr>
          <w:sz w:val="24"/>
          <w:szCs w:val="24"/>
        </w:rPr>
      </w:pPr>
    </w:p>
    <w:sectPr w:rsidR="00103486" w:rsidRPr="00353BE7">
      <w:pgSz w:w="11906" w:h="16838"/>
      <w:pgMar w:top="1440" w:right="1797" w:bottom="56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DEC" w:rsidRDefault="00307DEC">
      <w:r>
        <w:separator/>
      </w:r>
    </w:p>
  </w:endnote>
  <w:endnote w:type="continuationSeparator" w:id="0">
    <w:p w:rsidR="00307DEC" w:rsidRDefault="003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DEC" w:rsidRDefault="00307DEC">
    <w:pPr>
      <w:pStyle w:val="Footer"/>
      <w:jc w:val="right"/>
    </w:pPr>
    <w:r>
      <w:fldChar w:fldCharType="begin"/>
    </w:r>
    <w:r>
      <w:instrText xml:space="preserve"> PAGE   \* MERGEFORMAT </w:instrText>
    </w:r>
    <w:r>
      <w:fldChar w:fldCharType="separate"/>
    </w:r>
    <w:r w:rsidR="006D55CC">
      <w:rPr>
        <w:noProof/>
      </w:rPr>
      <w:t>5</w:t>
    </w:r>
    <w:r>
      <w:rPr>
        <w:noProof/>
      </w:rPr>
      <w:fldChar w:fldCharType="end"/>
    </w:r>
  </w:p>
  <w:p w:rsidR="00307DEC" w:rsidRDefault="00307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DEC" w:rsidRDefault="00307DEC">
      <w:r>
        <w:separator/>
      </w:r>
    </w:p>
  </w:footnote>
  <w:footnote w:type="continuationSeparator" w:id="0">
    <w:p w:rsidR="00307DEC" w:rsidRDefault="003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DEC" w:rsidRDefault="00307DE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7DEC" w:rsidRDefault="00307D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DEC" w:rsidRDefault="00307DE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A01B5"/>
    <w:multiLevelType w:val="hybridMultilevel"/>
    <w:tmpl w:val="3D5A2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DB1800"/>
    <w:multiLevelType w:val="multilevel"/>
    <w:tmpl w:val="EE8C2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BB02B8"/>
    <w:multiLevelType w:val="hybridMultilevel"/>
    <w:tmpl w:val="B82AD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C82BA9"/>
    <w:multiLevelType w:val="hybridMultilevel"/>
    <w:tmpl w:val="5D7CB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62536B"/>
    <w:multiLevelType w:val="hybridMultilevel"/>
    <w:tmpl w:val="F8A09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C73669"/>
    <w:multiLevelType w:val="hybridMultilevel"/>
    <w:tmpl w:val="B98E2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362C13"/>
    <w:multiLevelType w:val="hybridMultilevel"/>
    <w:tmpl w:val="42D45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571960"/>
    <w:multiLevelType w:val="hybridMultilevel"/>
    <w:tmpl w:val="822AE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B6A6BC0"/>
    <w:multiLevelType w:val="multilevel"/>
    <w:tmpl w:val="F856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A83077"/>
    <w:multiLevelType w:val="hybridMultilevel"/>
    <w:tmpl w:val="57DAD8D8"/>
    <w:lvl w:ilvl="0" w:tplc="0C090001">
      <w:start w:val="1"/>
      <w:numFmt w:val="bullet"/>
      <w:pStyle w:val="BulletText1"/>
      <w:lvlText w:val=""/>
      <w:lvlJc w:val="left"/>
      <w:pPr>
        <w:tabs>
          <w:tab w:val="num" w:pos="2138"/>
        </w:tabs>
        <w:ind w:left="2138" w:hanging="360"/>
      </w:pPr>
      <w:rPr>
        <w:rFonts w:ascii="Symbol" w:hAnsi="Symbol" w:hint="default"/>
      </w:rPr>
    </w:lvl>
    <w:lvl w:ilvl="1" w:tplc="0C090003" w:tentative="1">
      <w:start w:val="1"/>
      <w:numFmt w:val="bullet"/>
      <w:lvlText w:val="o"/>
      <w:lvlJc w:val="left"/>
      <w:pPr>
        <w:tabs>
          <w:tab w:val="num" w:pos="2858"/>
        </w:tabs>
        <w:ind w:left="2858" w:hanging="360"/>
      </w:pPr>
      <w:rPr>
        <w:rFonts w:ascii="Courier New" w:hAnsi="Courier New" w:cs="Courier New" w:hint="default"/>
      </w:rPr>
    </w:lvl>
    <w:lvl w:ilvl="2" w:tplc="0C090005" w:tentative="1">
      <w:start w:val="1"/>
      <w:numFmt w:val="bullet"/>
      <w:lvlText w:val=""/>
      <w:lvlJc w:val="left"/>
      <w:pPr>
        <w:tabs>
          <w:tab w:val="num" w:pos="3578"/>
        </w:tabs>
        <w:ind w:left="3578" w:hanging="360"/>
      </w:pPr>
      <w:rPr>
        <w:rFonts w:ascii="Wingdings" w:hAnsi="Wingdings" w:hint="default"/>
      </w:rPr>
    </w:lvl>
    <w:lvl w:ilvl="3" w:tplc="0C090001" w:tentative="1">
      <w:start w:val="1"/>
      <w:numFmt w:val="bullet"/>
      <w:lvlText w:val=""/>
      <w:lvlJc w:val="left"/>
      <w:pPr>
        <w:tabs>
          <w:tab w:val="num" w:pos="4298"/>
        </w:tabs>
        <w:ind w:left="4298" w:hanging="360"/>
      </w:pPr>
      <w:rPr>
        <w:rFonts w:ascii="Symbol" w:hAnsi="Symbol" w:hint="default"/>
      </w:rPr>
    </w:lvl>
    <w:lvl w:ilvl="4" w:tplc="0C090003" w:tentative="1">
      <w:start w:val="1"/>
      <w:numFmt w:val="bullet"/>
      <w:lvlText w:val="o"/>
      <w:lvlJc w:val="left"/>
      <w:pPr>
        <w:tabs>
          <w:tab w:val="num" w:pos="5018"/>
        </w:tabs>
        <w:ind w:left="5018" w:hanging="360"/>
      </w:pPr>
      <w:rPr>
        <w:rFonts w:ascii="Courier New" w:hAnsi="Courier New" w:cs="Courier New" w:hint="default"/>
      </w:rPr>
    </w:lvl>
    <w:lvl w:ilvl="5" w:tplc="0C090005" w:tentative="1">
      <w:start w:val="1"/>
      <w:numFmt w:val="bullet"/>
      <w:lvlText w:val=""/>
      <w:lvlJc w:val="left"/>
      <w:pPr>
        <w:tabs>
          <w:tab w:val="num" w:pos="5738"/>
        </w:tabs>
        <w:ind w:left="5738" w:hanging="360"/>
      </w:pPr>
      <w:rPr>
        <w:rFonts w:ascii="Wingdings" w:hAnsi="Wingdings" w:hint="default"/>
      </w:rPr>
    </w:lvl>
    <w:lvl w:ilvl="6" w:tplc="0C090001" w:tentative="1">
      <w:start w:val="1"/>
      <w:numFmt w:val="bullet"/>
      <w:lvlText w:val=""/>
      <w:lvlJc w:val="left"/>
      <w:pPr>
        <w:tabs>
          <w:tab w:val="num" w:pos="6458"/>
        </w:tabs>
        <w:ind w:left="6458" w:hanging="360"/>
      </w:pPr>
      <w:rPr>
        <w:rFonts w:ascii="Symbol" w:hAnsi="Symbol" w:hint="default"/>
      </w:rPr>
    </w:lvl>
    <w:lvl w:ilvl="7" w:tplc="0C090003" w:tentative="1">
      <w:start w:val="1"/>
      <w:numFmt w:val="bullet"/>
      <w:lvlText w:val="o"/>
      <w:lvlJc w:val="left"/>
      <w:pPr>
        <w:tabs>
          <w:tab w:val="num" w:pos="7178"/>
        </w:tabs>
        <w:ind w:left="7178" w:hanging="360"/>
      </w:pPr>
      <w:rPr>
        <w:rFonts w:ascii="Courier New" w:hAnsi="Courier New" w:cs="Courier New" w:hint="default"/>
      </w:rPr>
    </w:lvl>
    <w:lvl w:ilvl="8" w:tplc="0C090005" w:tentative="1">
      <w:start w:val="1"/>
      <w:numFmt w:val="bullet"/>
      <w:lvlText w:val=""/>
      <w:lvlJc w:val="left"/>
      <w:pPr>
        <w:tabs>
          <w:tab w:val="num" w:pos="7898"/>
        </w:tabs>
        <w:ind w:left="7898" w:hanging="360"/>
      </w:pPr>
      <w:rPr>
        <w:rFonts w:ascii="Wingdings" w:hAnsi="Wingdings" w:hint="default"/>
      </w:rPr>
    </w:lvl>
  </w:abstractNum>
  <w:abstractNum w:abstractNumId="10" w15:restartNumberingAfterBreak="0">
    <w:nsid w:val="50395D86"/>
    <w:multiLevelType w:val="hybridMultilevel"/>
    <w:tmpl w:val="4C301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DE1959"/>
    <w:multiLevelType w:val="hybridMultilevel"/>
    <w:tmpl w:val="A79CB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B13467"/>
    <w:multiLevelType w:val="hybridMultilevel"/>
    <w:tmpl w:val="DBB8C4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B97364"/>
    <w:multiLevelType w:val="multilevel"/>
    <w:tmpl w:val="1D06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D75DBD"/>
    <w:multiLevelType w:val="hybridMultilevel"/>
    <w:tmpl w:val="75EC8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830B24"/>
    <w:multiLevelType w:val="hybridMultilevel"/>
    <w:tmpl w:val="76226C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4F22F0"/>
    <w:multiLevelType w:val="hybridMultilevel"/>
    <w:tmpl w:val="8B969F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456429"/>
    <w:multiLevelType w:val="multilevel"/>
    <w:tmpl w:val="0576E52C"/>
    <w:lvl w:ilvl="0">
      <w:start w:val="1"/>
      <w:numFmt w:val="decimal"/>
      <w:pStyle w:val="ListNumber"/>
      <w:lvlText w:val="%1."/>
      <w:lvlJc w:val="left"/>
      <w:pPr>
        <w:ind w:left="369" w:hanging="369"/>
      </w:pPr>
      <w:rPr>
        <w:rFonts w:ascii="Times New Roman" w:hAnsi="Times New Roman" w:cs="Times New Roman" w:hint="default"/>
        <w:color w:val="auto"/>
        <w:sz w:val="24"/>
        <w:szCs w:val="24"/>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8" w15:restartNumberingAfterBreak="0">
    <w:nsid w:val="680C61DD"/>
    <w:multiLevelType w:val="hybridMultilevel"/>
    <w:tmpl w:val="29D648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6204D2"/>
    <w:multiLevelType w:val="hybridMultilevel"/>
    <w:tmpl w:val="0898EB9E"/>
    <w:lvl w:ilvl="0" w:tplc="5D68D498">
      <w:start w:val="1"/>
      <w:numFmt w:val="decimal"/>
      <w:pStyle w:val="BGPoints"/>
      <w:lvlText w:val="%1."/>
      <w:lvlJc w:val="left"/>
      <w:pPr>
        <w:tabs>
          <w:tab w:val="num" w:pos="360"/>
        </w:tabs>
        <w:ind w:left="360" w:hanging="360"/>
      </w:pPr>
      <w:rPr>
        <w:sz w:val="24"/>
        <w:szCs w:val="24"/>
      </w:rPr>
    </w:lvl>
    <w:lvl w:ilvl="1" w:tplc="5D18C282">
      <w:start w:val="1"/>
      <w:numFmt w:val="lowerRoman"/>
      <w:lvlText w:val="%2."/>
      <w:lvlJc w:val="right"/>
      <w:pPr>
        <w:tabs>
          <w:tab w:val="num" w:pos="1440"/>
        </w:tabs>
        <w:ind w:left="1440" w:hanging="360"/>
      </w:pPr>
    </w:lvl>
    <w:lvl w:ilvl="2" w:tplc="9F3430C0">
      <w:start w:val="1"/>
      <w:numFmt w:val="lowerRoman"/>
      <w:lvlText w:val="%3."/>
      <w:lvlJc w:val="right"/>
      <w:pPr>
        <w:tabs>
          <w:tab w:val="num" w:pos="2160"/>
        </w:tabs>
        <w:ind w:left="2160" w:hanging="180"/>
      </w:pPr>
    </w:lvl>
    <w:lvl w:ilvl="3" w:tplc="BE9AA9D6">
      <w:start w:val="1"/>
      <w:numFmt w:val="decimal"/>
      <w:lvlText w:val="%4."/>
      <w:lvlJc w:val="left"/>
      <w:pPr>
        <w:tabs>
          <w:tab w:val="num" w:pos="2880"/>
        </w:tabs>
        <w:ind w:left="2880" w:hanging="360"/>
      </w:pPr>
    </w:lvl>
    <w:lvl w:ilvl="4" w:tplc="1E0AE4C8">
      <w:start w:val="1"/>
      <w:numFmt w:val="lowerLetter"/>
      <w:lvlText w:val="%5."/>
      <w:lvlJc w:val="left"/>
      <w:pPr>
        <w:tabs>
          <w:tab w:val="num" w:pos="3600"/>
        </w:tabs>
        <w:ind w:left="3600" w:hanging="360"/>
      </w:pPr>
    </w:lvl>
    <w:lvl w:ilvl="5" w:tplc="6E0ADD14">
      <w:start w:val="1"/>
      <w:numFmt w:val="lowerRoman"/>
      <w:lvlText w:val="%6."/>
      <w:lvlJc w:val="right"/>
      <w:pPr>
        <w:tabs>
          <w:tab w:val="num" w:pos="4320"/>
        </w:tabs>
        <w:ind w:left="4320" w:hanging="180"/>
      </w:pPr>
    </w:lvl>
    <w:lvl w:ilvl="6" w:tplc="DF1488FA">
      <w:start w:val="1"/>
      <w:numFmt w:val="decimal"/>
      <w:lvlText w:val="%7."/>
      <w:lvlJc w:val="left"/>
      <w:pPr>
        <w:tabs>
          <w:tab w:val="num" w:pos="5040"/>
        </w:tabs>
        <w:ind w:left="5040" w:hanging="360"/>
      </w:pPr>
    </w:lvl>
    <w:lvl w:ilvl="7" w:tplc="7AE06630">
      <w:start w:val="1"/>
      <w:numFmt w:val="lowerLetter"/>
      <w:lvlText w:val="%8."/>
      <w:lvlJc w:val="left"/>
      <w:pPr>
        <w:tabs>
          <w:tab w:val="num" w:pos="5760"/>
        </w:tabs>
        <w:ind w:left="5760" w:hanging="360"/>
      </w:pPr>
    </w:lvl>
    <w:lvl w:ilvl="8" w:tplc="A7448A56">
      <w:start w:val="1"/>
      <w:numFmt w:val="lowerRoman"/>
      <w:lvlText w:val="%9."/>
      <w:lvlJc w:val="right"/>
      <w:pPr>
        <w:tabs>
          <w:tab w:val="num" w:pos="6480"/>
        </w:tabs>
        <w:ind w:left="6480" w:hanging="180"/>
      </w:pPr>
    </w:lvl>
  </w:abstractNum>
  <w:abstractNum w:abstractNumId="20" w15:restartNumberingAfterBreak="0">
    <w:nsid w:val="76921877"/>
    <w:multiLevelType w:val="multilevel"/>
    <w:tmpl w:val="627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481C6B"/>
    <w:multiLevelType w:val="hybridMultilevel"/>
    <w:tmpl w:val="7CD477FC"/>
    <w:lvl w:ilvl="0" w:tplc="6DC4792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7"/>
  </w:num>
  <w:num w:numId="7">
    <w:abstractNumId w:val="16"/>
  </w:num>
  <w:num w:numId="8">
    <w:abstractNumId w:val="17"/>
  </w:num>
  <w:num w:numId="9">
    <w:abstractNumId w:val="11"/>
  </w:num>
  <w:num w:numId="10">
    <w:abstractNumId w:val="12"/>
  </w:num>
  <w:num w:numId="11">
    <w:abstractNumId w:val="4"/>
  </w:num>
  <w:num w:numId="12">
    <w:abstractNumId w:val="2"/>
  </w:num>
  <w:num w:numId="13">
    <w:abstractNumId w:val="3"/>
  </w:num>
  <w:num w:numId="14">
    <w:abstractNumId w:val="6"/>
  </w:num>
  <w:num w:numId="15">
    <w:abstractNumId w:val="20"/>
  </w:num>
  <w:num w:numId="16">
    <w:abstractNumId w:val="1"/>
  </w:num>
  <w:num w:numId="17">
    <w:abstractNumId w:val="8"/>
  </w:num>
  <w:num w:numId="18">
    <w:abstractNumId w:val="13"/>
  </w:num>
  <w:num w:numId="19">
    <w:abstractNumId w:val="0"/>
  </w:num>
  <w:num w:numId="20">
    <w:abstractNumId w:val="10"/>
  </w:num>
  <w:num w:numId="21">
    <w:abstractNumId w:val="21"/>
  </w:num>
  <w:num w:numId="2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A9"/>
    <w:rsid w:val="00000B71"/>
    <w:rsid w:val="00000E73"/>
    <w:rsid w:val="0000129B"/>
    <w:rsid w:val="000015A1"/>
    <w:rsid w:val="0000209F"/>
    <w:rsid w:val="00002FE6"/>
    <w:rsid w:val="00003061"/>
    <w:rsid w:val="00003F9D"/>
    <w:rsid w:val="00007A5C"/>
    <w:rsid w:val="00010096"/>
    <w:rsid w:val="00010ACC"/>
    <w:rsid w:val="000110FD"/>
    <w:rsid w:val="000137D0"/>
    <w:rsid w:val="0001390F"/>
    <w:rsid w:val="00014779"/>
    <w:rsid w:val="00014939"/>
    <w:rsid w:val="0001537C"/>
    <w:rsid w:val="00016EEC"/>
    <w:rsid w:val="0001710C"/>
    <w:rsid w:val="00017798"/>
    <w:rsid w:val="00017B53"/>
    <w:rsid w:val="00021555"/>
    <w:rsid w:val="00021AAA"/>
    <w:rsid w:val="00021BC2"/>
    <w:rsid w:val="00021C70"/>
    <w:rsid w:val="00022047"/>
    <w:rsid w:val="00024228"/>
    <w:rsid w:val="0002467D"/>
    <w:rsid w:val="00024F40"/>
    <w:rsid w:val="00025B74"/>
    <w:rsid w:val="0002715B"/>
    <w:rsid w:val="00027781"/>
    <w:rsid w:val="00027EFA"/>
    <w:rsid w:val="000302EC"/>
    <w:rsid w:val="00032C9B"/>
    <w:rsid w:val="0003356A"/>
    <w:rsid w:val="0003598D"/>
    <w:rsid w:val="000402A8"/>
    <w:rsid w:val="00041D91"/>
    <w:rsid w:val="0004281E"/>
    <w:rsid w:val="00042B51"/>
    <w:rsid w:val="00044436"/>
    <w:rsid w:val="0004643D"/>
    <w:rsid w:val="000473C7"/>
    <w:rsid w:val="00052818"/>
    <w:rsid w:val="00054974"/>
    <w:rsid w:val="00056185"/>
    <w:rsid w:val="0005628E"/>
    <w:rsid w:val="00056CD5"/>
    <w:rsid w:val="000578B7"/>
    <w:rsid w:val="000606C6"/>
    <w:rsid w:val="000606F0"/>
    <w:rsid w:val="00060BB7"/>
    <w:rsid w:val="00061C39"/>
    <w:rsid w:val="00062189"/>
    <w:rsid w:val="00062E39"/>
    <w:rsid w:val="00063E45"/>
    <w:rsid w:val="00066A2B"/>
    <w:rsid w:val="00066DF7"/>
    <w:rsid w:val="000703AF"/>
    <w:rsid w:val="00071EBB"/>
    <w:rsid w:val="0007255D"/>
    <w:rsid w:val="00075DD1"/>
    <w:rsid w:val="00084E76"/>
    <w:rsid w:val="00091285"/>
    <w:rsid w:val="00094098"/>
    <w:rsid w:val="000947C7"/>
    <w:rsid w:val="000948C2"/>
    <w:rsid w:val="00094CE6"/>
    <w:rsid w:val="000951BE"/>
    <w:rsid w:val="00095637"/>
    <w:rsid w:val="0009637D"/>
    <w:rsid w:val="00096762"/>
    <w:rsid w:val="00096D6B"/>
    <w:rsid w:val="000A010C"/>
    <w:rsid w:val="000A0CE0"/>
    <w:rsid w:val="000A19B9"/>
    <w:rsid w:val="000A1CA9"/>
    <w:rsid w:val="000A1EB6"/>
    <w:rsid w:val="000A367E"/>
    <w:rsid w:val="000A3D2F"/>
    <w:rsid w:val="000A409D"/>
    <w:rsid w:val="000A5CFA"/>
    <w:rsid w:val="000B1ACD"/>
    <w:rsid w:val="000B1DAC"/>
    <w:rsid w:val="000B7C24"/>
    <w:rsid w:val="000C0835"/>
    <w:rsid w:val="000C13F9"/>
    <w:rsid w:val="000C1B06"/>
    <w:rsid w:val="000C1D5E"/>
    <w:rsid w:val="000C25BC"/>
    <w:rsid w:val="000C4D78"/>
    <w:rsid w:val="000C71B0"/>
    <w:rsid w:val="000D0B3B"/>
    <w:rsid w:val="000D0C73"/>
    <w:rsid w:val="000D0EF4"/>
    <w:rsid w:val="000D15EC"/>
    <w:rsid w:val="000D248E"/>
    <w:rsid w:val="000D2A9F"/>
    <w:rsid w:val="000D48D4"/>
    <w:rsid w:val="000D5175"/>
    <w:rsid w:val="000E056C"/>
    <w:rsid w:val="000E1AD6"/>
    <w:rsid w:val="000E2C21"/>
    <w:rsid w:val="000E42FA"/>
    <w:rsid w:val="000E4459"/>
    <w:rsid w:val="000E7CAD"/>
    <w:rsid w:val="000F001D"/>
    <w:rsid w:val="000F04CA"/>
    <w:rsid w:val="000F1BE8"/>
    <w:rsid w:val="000F2F80"/>
    <w:rsid w:val="000F4E14"/>
    <w:rsid w:val="000F4E3B"/>
    <w:rsid w:val="000F55EE"/>
    <w:rsid w:val="000F5641"/>
    <w:rsid w:val="000F77F7"/>
    <w:rsid w:val="00101AA4"/>
    <w:rsid w:val="00102793"/>
    <w:rsid w:val="00102B25"/>
    <w:rsid w:val="00103486"/>
    <w:rsid w:val="00103B0F"/>
    <w:rsid w:val="00104765"/>
    <w:rsid w:val="00104DF4"/>
    <w:rsid w:val="00105118"/>
    <w:rsid w:val="001066A2"/>
    <w:rsid w:val="001106C7"/>
    <w:rsid w:val="00111CA0"/>
    <w:rsid w:val="0011203B"/>
    <w:rsid w:val="00112176"/>
    <w:rsid w:val="0011312A"/>
    <w:rsid w:val="001133C3"/>
    <w:rsid w:val="00114273"/>
    <w:rsid w:val="00114DBE"/>
    <w:rsid w:val="0011555E"/>
    <w:rsid w:val="0011709D"/>
    <w:rsid w:val="0011745C"/>
    <w:rsid w:val="001207E5"/>
    <w:rsid w:val="001216A9"/>
    <w:rsid w:val="001228F8"/>
    <w:rsid w:val="00122F5C"/>
    <w:rsid w:val="0012337E"/>
    <w:rsid w:val="00123AC0"/>
    <w:rsid w:val="00123CD6"/>
    <w:rsid w:val="00124ABA"/>
    <w:rsid w:val="001250EB"/>
    <w:rsid w:val="001265A9"/>
    <w:rsid w:val="0013098E"/>
    <w:rsid w:val="0013400C"/>
    <w:rsid w:val="00134662"/>
    <w:rsid w:val="00134751"/>
    <w:rsid w:val="0013621E"/>
    <w:rsid w:val="00140A4D"/>
    <w:rsid w:val="00146922"/>
    <w:rsid w:val="00146E95"/>
    <w:rsid w:val="00146F74"/>
    <w:rsid w:val="00147294"/>
    <w:rsid w:val="0014737E"/>
    <w:rsid w:val="001473E2"/>
    <w:rsid w:val="00151071"/>
    <w:rsid w:val="001511D2"/>
    <w:rsid w:val="00151496"/>
    <w:rsid w:val="00151527"/>
    <w:rsid w:val="00151AAC"/>
    <w:rsid w:val="0015210E"/>
    <w:rsid w:val="00152470"/>
    <w:rsid w:val="00155CD7"/>
    <w:rsid w:val="00156DE3"/>
    <w:rsid w:val="0015739C"/>
    <w:rsid w:val="001578EA"/>
    <w:rsid w:val="00157B95"/>
    <w:rsid w:val="00161A1B"/>
    <w:rsid w:val="001624D2"/>
    <w:rsid w:val="00164FC3"/>
    <w:rsid w:val="00166861"/>
    <w:rsid w:val="00171F7C"/>
    <w:rsid w:val="0017235C"/>
    <w:rsid w:val="00175758"/>
    <w:rsid w:val="00176094"/>
    <w:rsid w:val="00176979"/>
    <w:rsid w:val="00181470"/>
    <w:rsid w:val="00183778"/>
    <w:rsid w:val="00186BE6"/>
    <w:rsid w:val="00191DF0"/>
    <w:rsid w:val="001938F7"/>
    <w:rsid w:val="001941FB"/>
    <w:rsid w:val="00194674"/>
    <w:rsid w:val="001950D6"/>
    <w:rsid w:val="00196229"/>
    <w:rsid w:val="00196D5D"/>
    <w:rsid w:val="001A1903"/>
    <w:rsid w:val="001A31F6"/>
    <w:rsid w:val="001A4822"/>
    <w:rsid w:val="001A48D0"/>
    <w:rsid w:val="001A6D43"/>
    <w:rsid w:val="001A7754"/>
    <w:rsid w:val="001A7805"/>
    <w:rsid w:val="001A7CC1"/>
    <w:rsid w:val="001B0D1B"/>
    <w:rsid w:val="001B16EA"/>
    <w:rsid w:val="001B21F0"/>
    <w:rsid w:val="001B51D6"/>
    <w:rsid w:val="001B7BD6"/>
    <w:rsid w:val="001B7C72"/>
    <w:rsid w:val="001C01CC"/>
    <w:rsid w:val="001C28C3"/>
    <w:rsid w:val="001C31F5"/>
    <w:rsid w:val="001C33E3"/>
    <w:rsid w:val="001C35B9"/>
    <w:rsid w:val="001C387D"/>
    <w:rsid w:val="001C3FDC"/>
    <w:rsid w:val="001C5777"/>
    <w:rsid w:val="001C5F03"/>
    <w:rsid w:val="001C62C8"/>
    <w:rsid w:val="001C668E"/>
    <w:rsid w:val="001D04EB"/>
    <w:rsid w:val="001D0D18"/>
    <w:rsid w:val="001D1403"/>
    <w:rsid w:val="001D2045"/>
    <w:rsid w:val="001D299C"/>
    <w:rsid w:val="001D46B5"/>
    <w:rsid w:val="001E027F"/>
    <w:rsid w:val="001E0E2F"/>
    <w:rsid w:val="001E0F30"/>
    <w:rsid w:val="001E1D3B"/>
    <w:rsid w:val="001E394A"/>
    <w:rsid w:val="001E44EB"/>
    <w:rsid w:val="001E51B4"/>
    <w:rsid w:val="001E54CC"/>
    <w:rsid w:val="001E6087"/>
    <w:rsid w:val="001E67F5"/>
    <w:rsid w:val="001E6D50"/>
    <w:rsid w:val="001E7F64"/>
    <w:rsid w:val="001F03FD"/>
    <w:rsid w:val="001F248F"/>
    <w:rsid w:val="001F4B34"/>
    <w:rsid w:val="001F6618"/>
    <w:rsid w:val="00200C8C"/>
    <w:rsid w:val="002050F6"/>
    <w:rsid w:val="0020563D"/>
    <w:rsid w:val="00205A0B"/>
    <w:rsid w:val="002075AE"/>
    <w:rsid w:val="00207F8E"/>
    <w:rsid w:val="00210E27"/>
    <w:rsid w:val="00210F11"/>
    <w:rsid w:val="00211363"/>
    <w:rsid w:val="00215D7F"/>
    <w:rsid w:val="00221582"/>
    <w:rsid w:val="00221640"/>
    <w:rsid w:val="002238F2"/>
    <w:rsid w:val="002240E9"/>
    <w:rsid w:val="00226159"/>
    <w:rsid w:val="002276FC"/>
    <w:rsid w:val="002278DC"/>
    <w:rsid w:val="002308B6"/>
    <w:rsid w:val="002332AA"/>
    <w:rsid w:val="00234F04"/>
    <w:rsid w:val="002362ED"/>
    <w:rsid w:val="002365F3"/>
    <w:rsid w:val="002370A4"/>
    <w:rsid w:val="002374FD"/>
    <w:rsid w:val="002377BE"/>
    <w:rsid w:val="00242AB4"/>
    <w:rsid w:val="00243EDE"/>
    <w:rsid w:val="00243FAC"/>
    <w:rsid w:val="00244022"/>
    <w:rsid w:val="00244DC6"/>
    <w:rsid w:val="00246DB0"/>
    <w:rsid w:val="002474E9"/>
    <w:rsid w:val="002474EC"/>
    <w:rsid w:val="002535B9"/>
    <w:rsid w:val="00253D92"/>
    <w:rsid w:val="00254F60"/>
    <w:rsid w:val="00256091"/>
    <w:rsid w:val="002562F7"/>
    <w:rsid w:val="00256B0F"/>
    <w:rsid w:val="00256E1F"/>
    <w:rsid w:val="00261F0B"/>
    <w:rsid w:val="00264CAD"/>
    <w:rsid w:val="00267116"/>
    <w:rsid w:val="00271102"/>
    <w:rsid w:val="002712FC"/>
    <w:rsid w:val="00273306"/>
    <w:rsid w:val="0027441B"/>
    <w:rsid w:val="00275D17"/>
    <w:rsid w:val="002762EE"/>
    <w:rsid w:val="00276A9A"/>
    <w:rsid w:val="002906BB"/>
    <w:rsid w:val="00291FF1"/>
    <w:rsid w:val="00292ABF"/>
    <w:rsid w:val="00295119"/>
    <w:rsid w:val="0029545F"/>
    <w:rsid w:val="0029761F"/>
    <w:rsid w:val="002A0F88"/>
    <w:rsid w:val="002A1157"/>
    <w:rsid w:val="002A2833"/>
    <w:rsid w:val="002A2DE3"/>
    <w:rsid w:val="002A5053"/>
    <w:rsid w:val="002A64AB"/>
    <w:rsid w:val="002B06A0"/>
    <w:rsid w:val="002B175F"/>
    <w:rsid w:val="002B3A1E"/>
    <w:rsid w:val="002B40F3"/>
    <w:rsid w:val="002B425B"/>
    <w:rsid w:val="002B567E"/>
    <w:rsid w:val="002B72BB"/>
    <w:rsid w:val="002B7B5D"/>
    <w:rsid w:val="002C087F"/>
    <w:rsid w:val="002C18FC"/>
    <w:rsid w:val="002C282B"/>
    <w:rsid w:val="002D0439"/>
    <w:rsid w:val="002D07CB"/>
    <w:rsid w:val="002D0B23"/>
    <w:rsid w:val="002D59D2"/>
    <w:rsid w:val="002D5D45"/>
    <w:rsid w:val="002E2160"/>
    <w:rsid w:val="002E33EA"/>
    <w:rsid w:val="002E3C26"/>
    <w:rsid w:val="002E5170"/>
    <w:rsid w:val="002E5919"/>
    <w:rsid w:val="002F038D"/>
    <w:rsid w:val="002F063D"/>
    <w:rsid w:val="002F0A0C"/>
    <w:rsid w:val="002F18CE"/>
    <w:rsid w:val="002F2F0B"/>
    <w:rsid w:val="002F408B"/>
    <w:rsid w:val="002F45FE"/>
    <w:rsid w:val="002F4DC7"/>
    <w:rsid w:val="002F6305"/>
    <w:rsid w:val="002F7998"/>
    <w:rsid w:val="003002FA"/>
    <w:rsid w:val="00302878"/>
    <w:rsid w:val="00302883"/>
    <w:rsid w:val="00304850"/>
    <w:rsid w:val="003053D2"/>
    <w:rsid w:val="00305BC9"/>
    <w:rsid w:val="00307DEC"/>
    <w:rsid w:val="003107AE"/>
    <w:rsid w:val="0031204F"/>
    <w:rsid w:val="00312948"/>
    <w:rsid w:val="003172C6"/>
    <w:rsid w:val="00317BC3"/>
    <w:rsid w:val="003207E7"/>
    <w:rsid w:val="00325046"/>
    <w:rsid w:val="003257F9"/>
    <w:rsid w:val="0033284A"/>
    <w:rsid w:val="00333848"/>
    <w:rsid w:val="00335592"/>
    <w:rsid w:val="003362A9"/>
    <w:rsid w:val="003425AA"/>
    <w:rsid w:val="00342A66"/>
    <w:rsid w:val="003430DF"/>
    <w:rsid w:val="00343232"/>
    <w:rsid w:val="003441D3"/>
    <w:rsid w:val="003471AA"/>
    <w:rsid w:val="0034744E"/>
    <w:rsid w:val="003475AF"/>
    <w:rsid w:val="003500CC"/>
    <w:rsid w:val="00350F49"/>
    <w:rsid w:val="00351B83"/>
    <w:rsid w:val="00352CE2"/>
    <w:rsid w:val="00353BE7"/>
    <w:rsid w:val="00355AEB"/>
    <w:rsid w:val="00356EB9"/>
    <w:rsid w:val="00360455"/>
    <w:rsid w:val="00363A91"/>
    <w:rsid w:val="003650ED"/>
    <w:rsid w:val="00366400"/>
    <w:rsid w:val="00367246"/>
    <w:rsid w:val="003704B7"/>
    <w:rsid w:val="00371F8C"/>
    <w:rsid w:val="0037273D"/>
    <w:rsid w:val="00372D31"/>
    <w:rsid w:val="00373D83"/>
    <w:rsid w:val="00376935"/>
    <w:rsid w:val="00377C8F"/>
    <w:rsid w:val="003827F7"/>
    <w:rsid w:val="00383840"/>
    <w:rsid w:val="00387192"/>
    <w:rsid w:val="003923C9"/>
    <w:rsid w:val="0039267C"/>
    <w:rsid w:val="0039420E"/>
    <w:rsid w:val="00394A40"/>
    <w:rsid w:val="00394CF2"/>
    <w:rsid w:val="00394EC4"/>
    <w:rsid w:val="00397788"/>
    <w:rsid w:val="00397DE7"/>
    <w:rsid w:val="003A2CAD"/>
    <w:rsid w:val="003A31FC"/>
    <w:rsid w:val="003A3464"/>
    <w:rsid w:val="003A383E"/>
    <w:rsid w:val="003A3DF9"/>
    <w:rsid w:val="003A544C"/>
    <w:rsid w:val="003A619E"/>
    <w:rsid w:val="003A7A32"/>
    <w:rsid w:val="003A7E6B"/>
    <w:rsid w:val="003B0701"/>
    <w:rsid w:val="003B0F13"/>
    <w:rsid w:val="003B1D52"/>
    <w:rsid w:val="003B4B6D"/>
    <w:rsid w:val="003B5C6A"/>
    <w:rsid w:val="003B721A"/>
    <w:rsid w:val="003B7A7B"/>
    <w:rsid w:val="003B7BB5"/>
    <w:rsid w:val="003B7CAB"/>
    <w:rsid w:val="003C0573"/>
    <w:rsid w:val="003C10A4"/>
    <w:rsid w:val="003C25FD"/>
    <w:rsid w:val="003C2D9A"/>
    <w:rsid w:val="003C389A"/>
    <w:rsid w:val="003C447F"/>
    <w:rsid w:val="003C5AA5"/>
    <w:rsid w:val="003C6855"/>
    <w:rsid w:val="003D0087"/>
    <w:rsid w:val="003D0FFC"/>
    <w:rsid w:val="003D113B"/>
    <w:rsid w:val="003D2B4A"/>
    <w:rsid w:val="003D2F17"/>
    <w:rsid w:val="003D307E"/>
    <w:rsid w:val="003D3AA4"/>
    <w:rsid w:val="003D426F"/>
    <w:rsid w:val="003D453B"/>
    <w:rsid w:val="003D5EA1"/>
    <w:rsid w:val="003D7395"/>
    <w:rsid w:val="003D7FDC"/>
    <w:rsid w:val="003E08D9"/>
    <w:rsid w:val="003E2B3B"/>
    <w:rsid w:val="003E38C6"/>
    <w:rsid w:val="003E4EB2"/>
    <w:rsid w:val="003E54E7"/>
    <w:rsid w:val="003E676C"/>
    <w:rsid w:val="003E67CC"/>
    <w:rsid w:val="003F00E2"/>
    <w:rsid w:val="003F04DF"/>
    <w:rsid w:val="003F28C5"/>
    <w:rsid w:val="003F3757"/>
    <w:rsid w:val="003F4ED6"/>
    <w:rsid w:val="003F5AF6"/>
    <w:rsid w:val="003F77B3"/>
    <w:rsid w:val="0040188A"/>
    <w:rsid w:val="004028C6"/>
    <w:rsid w:val="004028CC"/>
    <w:rsid w:val="00402D0C"/>
    <w:rsid w:val="00402D98"/>
    <w:rsid w:val="004066E6"/>
    <w:rsid w:val="004108BA"/>
    <w:rsid w:val="00411168"/>
    <w:rsid w:val="004113F9"/>
    <w:rsid w:val="00412BF5"/>
    <w:rsid w:val="00412D54"/>
    <w:rsid w:val="00413EC7"/>
    <w:rsid w:val="004144CB"/>
    <w:rsid w:val="004159A0"/>
    <w:rsid w:val="00416DC1"/>
    <w:rsid w:val="004207B1"/>
    <w:rsid w:val="00420D47"/>
    <w:rsid w:val="00424168"/>
    <w:rsid w:val="00424224"/>
    <w:rsid w:val="00424FC7"/>
    <w:rsid w:val="00425957"/>
    <w:rsid w:val="004268EA"/>
    <w:rsid w:val="00430C4D"/>
    <w:rsid w:val="0043449F"/>
    <w:rsid w:val="00436554"/>
    <w:rsid w:val="00437836"/>
    <w:rsid w:val="004413C1"/>
    <w:rsid w:val="0044141F"/>
    <w:rsid w:val="0044168C"/>
    <w:rsid w:val="00442B58"/>
    <w:rsid w:val="00444BCD"/>
    <w:rsid w:val="0044586B"/>
    <w:rsid w:val="00451EE4"/>
    <w:rsid w:val="00454F2C"/>
    <w:rsid w:val="004553AA"/>
    <w:rsid w:val="00457AD5"/>
    <w:rsid w:val="00460677"/>
    <w:rsid w:val="0046135C"/>
    <w:rsid w:val="00461B16"/>
    <w:rsid w:val="00464069"/>
    <w:rsid w:val="00466C1C"/>
    <w:rsid w:val="00467CA9"/>
    <w:rsid w:val="00473627"/>
    <w:rsid w:val="0047599B"/>
    <w:rsid w:val="004764C9"/>
    <w:rsid w:val="00480500"/>
    <w:rsid w:val="00482666"/>
    <w:rsid w:val="00484033"/>
    <w:rsid w:val="00484A3B"/>
    <w:rsid w:val="00486392"/>
    <w:rsid w:val="00486F59"/>
    <w:rsid w:val="00490ACF"/>
    <w:rsid w:val="00492A33"/>
    <w:rsid w:val="004941B2"/>
    <w:rsid w:val="00494CA8"/>
    <w:rsid w:val="004A2459"/>
    <w:rsid w:val="004A29BC"/>
    <w:rsid w:val="004A4F48"/>
    <w:rsid w:val="004A7A5E"/>
    <w:rsid w:val="004B238B"/>
    <w:rsid w:val="004B2673"/>
    <w:rsid w:val="004B566D"/>
    <w:rsid w:val="004B5926"/>
    <w:rsid w:val="004B5ABA"/>
    <w:rsid w:val="004B7F26"/>
    <w:rsid w:val="004C18F4"/>
    <w:rsid w:val="004C279F"/>
    <w:rsid w:val="004C3129"/>
    <w:rsid w:val="004C4952"/>
    <w:rsid w:val="004C5A68"/>
    <w:rsid w:val="004C75ED"/>
    <w:rsid w:val="004D12AE"/>
    <w:rsid w:val="004D1409"/>
    <w:rsid w:val="004D2683"/>
    <w:rsid w:val="004D367D"/>
    <w:rsid w:val="004D4E7D"/>
    <w:rsid w:val="004D6861"/>
    <w:rsid w:val="004D6BF0"/>
    <w:rsid w:val="004D6C68"/>
    <w:rsid w:val="004D71E5"/>
    <w:rsid w:val="004E0708"/>
    <w:rsid w:val="004E08B4"/>
    <w:rsid w:val="004E1609"/>
    <w:rsid w:val="004E1EB5"/>
    <w:rsid w:val="004E4A08"/>
    <w:rsid w:val="004E51CF"/>
    <w:rsid w:val="004E625C"/>
    <w:rsid w:val="004F11C8"/>
    <w:rsid w:val="004F4756"/>
    <w:rsid w:val="004F7BDC"/>
    <w:rsid w:val="005011DC"/>
    <w:rsid w:val="0050143C"/>
    <w:rsid w:val="00507CC5"/>
    <w:rsid w:val="00510ED8"/>
    <w:rsid w:val="00512D21"/>
    <w:rsid w:val="00512F25"/>
    <w:rsid w:val="00513C9F"/>
    <w:rsid w:val="00513F7F"/>
    <w:rsid w:val="00514799"/>
    <w:rsid w:val="00514E79"/>
    <w:rsid w:val="005151AC"/>
    <w:rsid w:val="00515B46"/>
    <w:rsid w:val="00521BF1"/>
    <w:rsid w:val="0052240B"/>
    <w:rsid w:val="005237A5"/>
    <w:rsid w:val="0052739D"/>
    <w:rsid w:val="00531E15"/>
    <w:rsid w:val="00536535"/>
    <w:rsid w:val="0053721D"/>
    <w:rsid w:val="00537D7E"/>
    <w:rsid w:val="00540486"/>
    <w:rsid w:val="00540C9B"/>
    <w:rsid w:val="00540CA4"/>
    <w:rsid w:val="00540D3C"/>
    <w:rsid w:val="00541178"/>
    <w:rsid w:val="00541806"/>
    <w:rsid w:val="0054410A"/>
    <w:rsid w:val="00550EBF"/>
    <w:rsid w:val="005524C0"/>
    <w:rsid w:val="00554CD9"/>
    <w:rsid w:val="00556190"/>
    <w:rsid w:val="00556A69"/>
    <w:rsid w:val="00556B3F"/>
    <w:rsid w:val="00560420"/>
    <w:rsid w:val="005623EB"/>
    <w:rsid w:val="00562732"/>
    <w:rsid w:val="00566248"/>
    <w:rsid w:val="00567136"/>
    <w:rsid w:val="00567C00"/>
    <w:rsid w:val="00571D8A"/>
    <w:rsid w:val="005731F4"/>
    <w:rsid w:val="00574A51"/>
    <w:rsid w:val="00576EEB"/>
    <w:rsid w:val="005824B2"/>
    <w:rsid w:val="005827C2"/>
    <w:rsid w:val="00582A01"/>
    <w:rsid w:val="005835B9"/>
    <w:rsid w:val="0058377C"/>
    <w:rsid w:val="005840E7"/>
    <w:rsid w:val="005872D0"/>
    <w:rsid w:val="00587703"/>
    <w:rsid w:val="005919B2"/>
    <w:rsid w:val="00592D8A"/>
    <w:rsid w:val="00594818"/>
    <w:rsid w:val="00594957"/>
    <w:rsid w:val="005A109A"/>
    <w:rsid w:val="005A27F0"/>
    <w:rsid w:val="005A47C7"/>
    <w:rsid w:val="005A5C54"/>
    <w:rsid w:val="005A7CAE"/>
    <w:rsid w:val="005B0089"/>
    <w:rsid w:val="005B0687"/>
    <w:rsid w:val="005B0EA0"/>
    <w:rsid w:val="005B16E3"/>
    <w:rsid w:val="005B3592"/>
    <w:rsid w:val="005C0A6D"/>
    <w:rsid w:val="005C0CB1"/>
    <w:rsid w:val="005C3163"/>
    <w:rsid w:val="005C6274"/>
    <w:rsid w:val="005C6342"/>
    <w:rsid w:val="005C6637"/>
    <w:rsid w:val="005D0CBB"/>
    <w:rsid w:val="005D0DAA"/>
    <w:rsid w:val="005D3C6D"/>
    <w:rsid w:val="005D4380"/>
    <w:rsid w:val="005D5A55"/>
    <w:rsid w:val="005D6774"/>
    <w:rsid w:val="005D6A01"/>
    <w:rsid w:val="005D70ED"/>
    <w:rsid w:val="005E1039"/>
    <w:rsid w:val="005E3AE8"/>
    <w:rsid w:val="005E50DA"/>
    <w:rsid w:val="005E5C0A"/>
    <w:rsid w:val="005E6B4B"/>
    <w:rsid w:val="005E7A91"/>
    <w:rsid w:val="005F11FD"/>
    <w:rsid w:val="005F2EE9"/>
    <w:rsid w:val="005F48AA"/>
    <w:rsid w:val="00600DC0"/>
    <w:rsid w:val="00600F2D"/>
    <w:rsid w:val="00602E12"/>
    <w:rsid w:val="006033A9"/>
    <w:rsid w:val="00604EB5"/>
    <w:rsid w:val="0060503F"/>
    <w:rsid w:val="006058FF"/>
    <w:rsid w:val="00606FF0"/>
    <w:rsid w:val="00607ACF"/>
    <w:rsid w:val="00610365"/>
    <w:rsid w:val="00610611"/>
    <w:rsid w:val="00611069"/>
    <w:rsid w:val="00612239"/>
    <w:rsid w:val="00616374"/>
    <w:rsid w:val="0061660E"/>
    <w:rsid w:val="00617CAA"/>
    <w:rsid w:val="00621977"/>
    <w:rsid w:val="00623064"/>
    <w:rsid w:val="00623150"/>
    <w:rsid w:val="006266FC"/>
    <w:rsid w:val="00626779"/>
    <w:rsid w:val="00626D85"/>
    <w:rsid w:val="0063250B"/>
    <w:rsid w:val="0063263D"/>
    <w:rsid w:val="0063267C"/>
    <w:rsid w:val="006338E4"/>
    <w:rsid w:val="00634211"/>
    <w:rsid w:val="00634A0E"/>
    <w:rsid w:val="006374C9"/>
    <w:rsid w:val="00640A0A"/>
    <w:rsid w:val="006425A0"/>
    <w:rsid w:val="00642732"/>
    <w:rsid w:val="006434EC"/>
    <w:rsid w:val="00644187"/>
    <w:rsid w:val="006445C1"/>
    <w:rsid w:val="0065087C"/>
    <w:rsid w:val="006512BA"/>
    <w:rsid w:val="00652805"/>
    <w:rsid w:val="00654FFB"/>
    <w:rsid w:val="006568B2"/>
    <w:rsid w:val="0065765F"/>
    <w:rsid w:val="00660A60"/>
    <w:rsid w:val="00660F3F"/>
    <w:rsid w:val="00661043"/>
    <w:rsid w:val="006629C2"/>
    <w:rsid w:val="00663C10"/>
    <w:rsid w:val="0066444C"/>
    <w:rsid w:val="00664707"/>
    <w:rsid w:val="00664A2D"/>
    <w:rsid w:val="00666033"/>
    <w:rsid w:val="006668F8"/>
    <w:rsid w:val="00666928"/>
    <w:rsid w:val="00666C59"/>
    <w:rsid w:val="00667150"/>
    <w:rsid w:val="00667941"/>
    <w:rsid w:val="00671B72"/>
    <w:rsid w:val="00673577"/>
    <w:rsid w:val="006737BA"/>
    <w:rsid w:val="00675952"/>
    <w:rsid w:val="00675E59"/>
    <w:rsid w:val="00676447"/>
    <w:rsid w:val="006770C1"/>
    <w:rsid w:val="006776D0"/>
    <w:rsid w:val="006805E0"/>
    <w:rsid w:val="00680DC0"/>
    <w:rsid w:val="00681B92"/>
    <w:rsid w:val="0068218F"/>
    <w:rsid w:val="0068362F"/>
    <w:rsid w:val="006851C1"/>
    <w:rsid w:val="00686B5C"/>
    <w:rsid w:val="00687EA2"/>
    <w:rsid w:val="00691E54"/>
    <w:rsid w:val="00694D31"/>
    <w:rsid w:val="0069764D"/>
    <w:rsid w:val="006A16B5"/>
    <w:rsid w:val="006A2C2F"/>
    <w:rsid w:val="006B1B34"/>
    <w:rsid w:val="006B6655"/>
    <w:rsid w:val="006C1B13"/>
    <w:rsid w:val="006C1D9D"/>
    <w:rsid w:val="006C26AF"/>
    <w:rsid w:val="006C2ADB"/>
    <w:rsid w:val="006C2EA2"/>
    <w:rsid w:val="006C6ECA"/>
    <w:rsid w:val="006C79FA"/>
    <w:rsid w:val="006D14DE"/>
    <w:rsid w:val="006D2544"/>
    <w:rsid w:val="006D31BC"/>
    <w:rsid w:val="006D3E1E"/>
    <w:rsid w:val="006D431B"/>
    <w:rsid w:val="006D4FE1"/>
    <w:rsid w:val="006D55CC"/>
    <w:rsid w:val="006D61C3"/>
    <w:rsid w:val="006D790C"/>
    <w:rsid w:val="006D7FC0"/>
    <w:rsid w:val="006E2E6A"/>
    <w:rsid w:val="006E48F8"/>
    <w:rsid w:val="006E5B98"/>
    <w:rsid w:val="006E7E2F"/>
    <w:rsid w:val="006E7E9B"/>
    <w:rsid w:val="006F075C"/>
    <w:rsid w:val="006F1916"/>
    <w:rsid w:val="006F44EA"/>
    <w:rsid w:val="006F4B2D"/>
    <w:rsid w:val="006F636F"/>
    <w:rsid w:val="006F7D72"/>
    <w:rsid w:val="006F7FB2"/>
    <w:rsid w:val="00700110"/>
    <w:rsid w:val="00701632"/>
    <w:rsid w:val="0070227D"/>
    <w:rsid w:val="00702464"/>
    <w:rsid w:val="007026D2"/>
    <w:rsid w:val="00702BAF"/>
    <w:rsid w:val="00703BA8"/>
    <w:rsid w:val="00703D43"/>
    <w:rsid w:val="00706FB9"/>
    <w:rsid w:val="0070753E"/>
    <w:rsid w:val="00716A41"/>
    <w:rsid w:val="00716C36"/>
    <w:rsid w:val="00732520"/>
    <w:rsid w:val="00732CC8"/>
    <w:rsid w:val="00735933"/>
    <w:rsid w:val="00736F90"/>
    <w:rsid w:val="00737BE1"/>
    <w:rsid w:val="00742A4E"/>
    <w:rsid w:val="00742EA9"/>
    <w:rsid w:val="007448B6"/>
    <w:rsid w:val="007458BD"/>
    <w:rsid w:val="007466D2"/>
    <w:rsid w:val="00746F13"/>
    <w:rsid w:val="00747A7E"/>
    <w:rsid w:val="007509D2"/>
    <w:rsid w:val="007509EC"/>
    <w:rsid w:val="00750A8C"/>
    <w:rsid w:val="007539D1"/>
    <w:rsid w:val="0075421A"/>
    <w:rsid w:val="007543EB"/>
    <w:rsid w:val="00755B66"/>
    <w:rsid w:val="00757FF6"/>
    <w:rsid w:val="0076012C"/>
    <w:rsid w:val="007627EC"/>
    <w:rsid w:val="007635E4"/>
    <w:rsid w:val="00770371"/>
    <w:rsid w:val="00770603"/>
    <w:rsid w:val="00770B67"/>
    <w:rsid w:val="007736D0"/>
    <w:rsid w:val="00773FF5"/>
    <w:rsid w:val="0077618B"/>
    <w:rsid w:val="0077643E"/>
    <w:rsid w:val="007764CB"/>
    <w:rsid w:val="00780FA3"/>
    <w:rsid w:val="007821DF"/>
    <w:rsid w:val="007833FD"/>
    <w:rsid w:val="00783E9C"/>
    <w:rsid w:val="00784ACC"/>
    <w:rsid w:val="0078502B"/>
    <w:rsid w:val="00785AC0"/>
    <w:rsid w:val="00786392"/>
    <w:rsid w:val="007878B1"/>
    <w:rsid w:val="00787A9D"/>
    <w:rsid w:val="0079504D"/>
    <w:rsid w:val="0079580E"/>
    <w:rsid w:val="00796D8E"/>
    <w:rsid w:val="007A0A82"/>
    <w:rsid w:val="007A1885"/>
    <w:rsid w:val="007A620D"/>
    <w:rsid w:val="007A67E0"/>
    <w:rsid w:val="007B0337"/>
    <w:rsid w:val="007B073D"/>
    <w:rsid w:val="007B492E"/>
    <w:rsid w:val="007B5119"/>
    <w:rsid w:val="007B600A"/>
    <w:rsid w:val="007B65B3"/>
    <w:rsid w:val="007B77FF"/>
    <w:rsid w:val="007C20B1"/>
    <w:rsid w:val="007C30A4"/>
    <w:rsid w:val="007C7398"/>
    <w:rsid w:val="007C7F3C"/>
    <w:rsid w:val="007D107B"/>
    <w:rsid w:val="007D6116"/>
    <w:rsid w:val="007D62DD"/>
    <w:rsid w:val="007D73E7"/>
    <w:rsid w:val="007D7449"/>
    <w:rsid w:val="007E05BC"/>
    <w:rsid w:val="007E0FE6"/>
    <w:rsid w:val="007E17FD"/>
    <w:rsid w:val="007E1DD3"/>
    <w:rsid w:val="007E33E2"/>
    <w:rsid w:val="007E4A8A"/>
    <w:rsid w:val="007E5C46"/>
    <w:rsid w:val="007F0494"/>
    <w:rsid w:val="007F1403"/>
    <w:rsid w:val="007F1B8A"/>
    <w:rsid w:val="007F7219"/>
    <w:rsid w:val="007F748A"/>
    <w:rsid w:val="00800E6E"/>
    <w:rsid w:val="00801217"/>
    <w:rsid w:val="00802AB6"/>
    <w:rsid w:val="00802F9D"/>
    <w:rsid w:val="00805D39"/>
    <w:rsid w:val="008077E0"/>
    <w:rsid w:val="00807ABC"/>
    <w:rsid w:val="00810116"/>
    <w:rsid w:val="008103B7"/>
    <w:rsid w:val="00810622"/>
    <w:rsid w:val="00810674"/>
    <w:rsid w:val="00811DDC"/>
    <w:rsid w:val="00811E2C"/>
    <w:rsid w:val="00813D87"/>
    <w:rsid w:val="0081400D"/>
    <w:rsid w:val="008142FD"/>
    <w:rsid w:val="008144CB"/>
    <w:rsid w:val="00814A82"/>
    <w:rsid w:val="00816920"/>
    <w:rsid w:val="00817F48"/>
    <w:rsid w:val="00817F59"/>
    <w:rsid w:val="00822667"/>
    <w:rsid w:val="008325F6"/>
    <w:rsid w:val="00834A3E"/>
    <w:rsid w:val="0083607B"/>
    <w:rsid w:val="00836D2F"/>
    <w:rsid w:val="00836EAA"/>
    <w:rsid w:val="0084272C"/>
    <w:rsid w:val="0085141F"/>
    <w:rsid w:val="00852E8C"/>
    <w:rsid w:val="00860546"/>
    <w:rsid w:val="00860615"/>
    <w:rsid w:val="008606CC"/>
    <w:rsid w:val="00861E68"/>
    <w:rsid w:val="00862130"/>
    <w:rsid w:val="00864FAF"/>
    <w:rsid w:val="00866979"/>
    <w:rsid w:val="008676AC"/>
    <w:rsid w:val="00867ECA"/>
    <w:rsid w:val="00870527"/>
    <w:rsid w:val="00870638"/>
    <w:rsid w:val="008748CB"/>
    <w:rsid w:val="008753C5"/>
    <w:rsid w:val="008766FD"/>
    <w:rsid w:val="008801B3"/>
    <w:rsid w:val="008818F3"/>
    <w:rsid w:val="0088451B"/>
    <w:rsid w:val="0088571D"/>
    <w:rsid w:val="00886D8D"/>
    <w:rsid w:val="00887E59"/>
    <w:rsid w:val="00894476"/>
    <w:rsid w:val="00895BBC"/>
    <w:rsid w:val="00897767"/>
    <w:rsid w:val="008A077D"/>
    <w:rsid w:val="008A0CA7"/>
    <w:rsid w:val="008A21E7"/>
    <w:rsid w:val="008A39C5"/>
    <w:rsid w:val="008A3C93"/>
    <w:rsid w:val="008A4DD9"/>
    <w:rsid w:val="008A661B"/>
    <w:rsid w:val="008B31B3"/>
    <w:rsid w:val="008B41F4"/>
    <w:rsid w:val="008B66AA"/>
    <w:rsid w:val="008B7CB0"/>
    <w:rsid w:val="008C115C"/>
    <w:rsid w:val="008C278B"/>
    <w:rsid w:val="008C584E"/>
    <w:rsid w:val="008C73DF"/>
    <w:rsid w:val="008D0002"/>
    <w:rsid w:val="008D0AF6"/>
    <w:rsid w:val="008D0D41"/>
    <w:rsid w:val="008D1885"/>
    <w:rsid w:val="008D5513"/>
    <w:rsid w:val="008D788A"/>
    <w:rsid w:val="008D78C1"/>
    <w:rsid w:val="008D7C19"/>
    <w:rsid w:val="008E02AB"/>
    <w:rsid w:val="008E0753"/>
    <w:rsid w:val="008E11CD"/>
    <w:rsid w:val="008E242C"/>
    <w:rsid w:val="008E367A"/>
    <w:rsid w:val="008E4440"/>
    <w:rsid w:val="008E4750"/>
    <w:rsid w:val="008E4BAA"/>
    <w:rsid w:val="008E5460"/>
    <w:rsid w:val="008E55F9"/>
    <w:rsid w:val="008E61C9"/>
    <w:rsid w:val="008F1087"/>
    <w:rsid w:val="008F13DA"/>
    <w:rsid w:val="008F158E"/>
    <w:rsid w:val="008F43E0"/>
    <w:rsid w:val="00900C4E"/>
    <w:rsid w:val="00900EFF"/>
    <w:rsid w:val="00901D2B"/>
    <w:rsid w:val="00903AD7"/>
    <w:rsid w:val="00905680"/>
    <w:rsid w:val="00905F83"/>
    <w:rsid w:val="00906E36"/>
    <w:rsid w:val="00910444"/>
    <w:rsid w:val="00910E1F"/>
    <w:rsid w:val="0091130B"/>
    <w:rsid w:val="009117D4"/>
    <w:rsid w:val="0091214C"/>
    <w:rsid w:val="009135AF"/>
    <w:rsid w:val="009139D4"/>
    <w:rsid w:val="009139D8"/>
    <w:rsid w:val="00916F44"/>
    <w:rsid w:val="00916F6C"/>
    <w:rsid w:val="00921A22"/>
    <w:rsid w:val="00922741"/>
    <w:rsid w:val="00923D3F"/>
    <w:rsid w:val="00923D51"/>
    <w:rsid w:val="0092464F"/>
    <w:rsid w:val="0092497C"/>
    <w:rsid w:val="00927408"/>
    <w:rsid w:val="00927B5A"/>
    <w:rsid w:val="00927F76"/>
    <w:rsid w:val="00930F4C"/>
    <w:rsid w:val="0093169B"/>
    <w:rsid w:val="00932235"/>
    <w:rsid w:val="00933126"/>
    <w:rsid w:val="00941FF0"/>
    <w:rsid w:val="00942133"/>
    <w:rsid w:val="009454EB"/>
    <w:rsid w:val="009460C8"/>
    <w:rsid w:val="00947DBD"/>
    <w:rsid w:val="00953432"/>
    <w:rsid w:val="009535D5"/>
    <w:rsid w:val="009565C4"/>
    <w:rsid w:val="00956DF0"/>
    <w:rsid w:val="00957FC6"/>
    <w:rsid w:val="00960744"/>
    <w:rsid w:val="00962C52"/>
    <w:rsid w:val="00962F6E"/>
    <w:rsid w:val="009647D9"/>
    <w:rsid w:val="00964FB3"/>
    <w:rsid w:val="00965D26"/>
    <w:rsid w:val="00966AD2"/>
    <w:rsid w:val="00967B50"/>
    <w:rsid w:val="00970880"/>
    <w:rsid w:val="0097204F"/>
    <w:rsid w:val="00973374"/>
    <w:rsid w:val="00973778"/>
    <w:rsid w:val="0097522F"/>
    <w:rsid w:val="00975298"/>
    <w:rsid w:val="00975C44"/>
    <w:rsid w:val="00975E0F"/>
    <w:rsid w:val="009767C0"/>
    <w:rsid w:val="00976AE7"/>
    <w:rsid w:val="009775F9"/>
    <w:rsid w:val="009804C1"/>
    <w:rsid w:val="00981299"/>
    <w:rsid w:val="009821EB"/>
    <w:rsid w:val="00982592"/>
    <w:rsid w:val="0098322B"/>
    <w:rsid w:val="0098569A"/>
    <w:rsid w:val="009856CF"/>
    <w:rsid w:val="009860F0"/>
    <w:rsid w:val="00986E79"/>
    <w:rsid w:val="00990CE4"/>
    <w:rsid w:val="00990D19"/>
    <w:rsid w:val="00994674"/>
    <w:rsid w:val="00994A78"/>
    <w:rsid w:val="00995A0B"/>
    <w:rsid w:val="0099603F"/>
    <w:rsid w:val="009A016D"/>
    <w:rsid w:val="009A054E"/>
    <w:rsid w:val="009A17D4"/>
    <w:rsid w:val="009A2ADF"/>
    <w:rsid w:val="009A3ACA"/>
    <w:rsid w:val="009A45C4"/>
    <w:rsid w:val="009A702F"/>
    <w:rsid w:val="009A7096"/>
    <w:rsid w:val="009B4EB6"/>
    <w:rsid w:val="009B5B5A"/>
    <w:rsid w:val="009B62DE"/>
    <w:rsid w:val="009B73AD"/>
    <w:rsid w:val="009C1F83"/>
    <w:rsid w:val="009C21F8"/>
    <w:rsid w:val="009C3799"/>
    <w:rsid w:val="009C3CA0"/>
    <w:rsid w:val="009C760B"/>
    <w:rsid w:val="009C7C24"/>
    <w:rsid w:val="009D27D5"/>
    <w:rsid w:val="009D2A24"/>
    <w:rsid w:val="009D3180"/>
    <w:rsid w:val="009D3B06"/>
    <w:rsid w:val="009D5472"/>
    <w:rsid w:val="009D5F57"/>
    <w:rsid w:val="009D6CC7"/>
    <w:rsid w:val="009E16A8"/>
    <w:rsid w:val="009E1785"/>
    <w:rsid w:val="009E1CCE"/>
    <w:rsid w:val="009E1FAE"/>
    <w:rsid w:val="009E35AF"/>
    <w:rsid w:val="009E3901"/>
    <w:rsid w:val="009E40F6"/>
    <w:rsid w:val="009E5405"/>
    <w:rsid w:val="009E5430"/>
    <w:rsid w:val="009E74E3"/>
    <w:rsid w:val="009F20E9"/>
    <w:rsid w:val="009F23D6"/>
    <w:rsid w:val="009F2780"/>
    <w:rsid w:val="009F2B8F"/>
    <w:rsid w:val="009F3017"/>
    <w:rsid w:val="009F3211"/>
    <w:rsid w:val="009F537B"/>
    <w:rsid w:val="00A07E4E"/>
    <w:rsid w:val="00A1187F"/>
    <w:rsid w:val="00A12A22"/>
    <w:rsid w:val="00A143C3"/>
    <w:rsid w:val="00A14686"/>
    <w:rsid w:val="00A17AA8"/>
    <w:rsid w:val="00A20989"/>
    <w:rsid w:val="00A26401"/>
    <w:rsid w:val="00A265DD"/>
    <w:rsid w:val="00A2692E"/>
    <w:rsid w:val="00A2764D"/>
    <w:rsid w:val="00A3024A"/>
    <w:rsid w:val="00A32B58"/>
    <w:rsid w:val="00A344E5"/>
    <w:rsid w:val="00A34F4B"/>
    <w:rsid w:val="00A34FBB"/>
    <w:rsid w:val="00A36792"/>
    <w:rsid w:val="00A37DD8"/>
    <w:rsid w:val="00A40F28"/>
    <w:rsid w:val="00A414F8"/>
    <w:rsid w:val="00A4178B"/>
    <w:rsid w:val="00A43DE5"/>
    <w:rsid w:val="00A43E04"/>
    <w:rsid w:val="00A44FBB"/>
    <w:rsid w:val="00A45683"/>
    <w:rsid w:val="00A45985"/>
    <w:rsid w:val="00A46BB1"/>
    <w:rsid w:val="00A46C85"/>
    <w:rsid w:val="00A5246A"/>
    <w:rsid w:val="00A52606"/>
    <w:rsid w:val="00A5641F"/>
    <w:rsid w:val="00A56909"/>
    <w:rsid w:val="00A57918"/>
    <w:rsid w:val="00A600AA"/>
    <w:rsid w:val="00A605D4"/>
    <w:rsid w:val="00A60992"/>
    <w:rsid w:val="00A62D2C"/>
    <w:rsid w:val="00A639A1"/>
    <w:rsid w:val="00A63C54"/>
    <w:rsid w:val="00A644E4"/>
    <w:rsid w:val="00A66568"/>
    <w:rsid w:val="00A678E9"/>
    <w:rsid w:val="00A71B98"/>
    <w:rsid w:val="00A7271E"/>
    <w:rsid w:val="00A73959"/>
    <w:rsid w:val="00A73971"/>
    <w:rsid w:val="00A73E4C"/>
    <w:rsid w:val="00A74AB4"/>
    <w:rsid w:val="00A77829"/>
    <w:rsid w:val="00A84617"/>
    <w:rsid w:val="00A8534E"/>
    <w:rsid w:val="00A862B5"/>
    <w:rsid w:val="00A93843"/>
    <w:rsid w:val="00A96B3D"/>
    <w:rsid w:val="00AA1CB6"/>
    <w:rsid w:val="00AA21B3"/>
    <w:rsid w:val="00AA2DF0"/>
    <w:rsid w:val="00AA383A"/>
    <w:rsid w:val="00AA5E33"/>
    <w:rsid w:val="00AA610A"/>
    <w:rsid w:val="00AA72CA"/>
    <w:rsid w:val="00AA7338"/>
    <w:rsid w:val="00AB051D"/>
    <w:rsid w:val="00AB1115"/>
    <w:rsid w:val="00AB1180"/>
    <w:rsid w:val="00AB1D7E"/>
    <w:rsid w:val="00AB3A9C"/>
    <w:rsid w:val="00AB452D"/>
    <w:rsid w:val="00AB55A5"/>
    <w:rsid w:val="00AB5ED4"/>
    <w:rsid w:val="00AB6233"/>
    <w:rsid w:val="00AB672A"/>
    <w:rsid w:val="00AC15C1"/>
    <w:rsid w:val="00AC1A8B"/>
    <w:rsid w:val="00AC228B"/>
    <w:rsid w:val="00AC50BB"/>
    <w:rsid w:val="00AC5D11"/>
    <w:rsid w:val="00AC5F62"/>
    <w:rsid w:val="00AC7740"/>
    <w:rsid w:val="00AD0B2D"/>
    <w:rsid w:val="00AD1227"/>
    <w:rsid w:val="00AD160D"/>
    <w:rsid w:val="00AD429D"/>
    <w:rsid w:val="00AD48CC"/>
    <w:rsid w:val="00AD7662"/>
    <w:rsid w:val="00AD785E"/>
    <w:rsid w:val="00AD7B28"/>
    <w:rsid w:val="00AE18E9"/>
    <w:rsid w:val="00AE319E"/>
    <w:rsid w:val="00AE4AFB"/>
    <w:rsid w:val="00AE5C3E"/>
    <w:rsid w:val="00AE5FB7"/>
    <w:rsid w:val="00AE75A7"/>
    <w:rsid w:val="00AE7A17"/>
    <w:rsid w:val="00AE7AC8"/>
    <w:rsid w:val="00AE7DA2"/>
    <w:rsid w:val="00AF02C2"/>
    <w:rsid w:val="00AF1BD1"/>
    <w:rsid w:val="00AF5D19"/>
    <w:rsid w:val="00AF6AA2"/>
    <w:rsid w:val="00AF7436"/>
    <w:rsid w:val="00AF7AEE"/>
    <w:rsid w:val="00B001A7"/>
    <w:rsid w:val="00B00805"/>
    <w:rsid w:val="00B0088C"/>
    <w:rsid w:val="00B02CF1"/>
    <w:rsid w:val="00B05DB1"/>
    <w:rsid w:val="00B06FD3"/>
    <w:rsid w:val="00B10BCE"/>
    <w:rsid w:val="00B10F7D"/>
    <w:rsid w:val="00B119BE"/>
    <w:rsid w:val="00B120B0"/>
    <w:rsid w:val="00B141AE"/>
    <w:rsid w:val="00B153F5"/>
    <w:rsid w:val="00B179F5"/>
    <w:rsid w:val="00B20D59"/>
    <w:rsid w:val="00B2121B"/>
    <w:rsid w:val="00B2218E"/>
    <w:rsid w:val="00B2586A"/>
    <w:rsid w:val="00B269B7"/>
    <w:rsid w:val="00B320CA"/>
    <w:rsid w:val="00B356DC"/>
    <w:rsid w:val="00B365D8"/>
    <w:rsid w:val="00B37EC6"/>
    <w:rsid w:val="00B4090B"/>
    <w:rsid w:val="00B416CB"/>
    <w:rsid w:val="00B429C8"/>
    <w:rsid w:val="00B45A1F"/>
    <w:rsid w:val="00B45D52"/>
    <w:rsid w:val="00B465B0"/>
    <w:rsid w:val="00B51296"/>
    <w:rsid w:val="00B51D54"/>
    <w:rsid w:val="00B51DCC"/>
    <w:rsid w:val="00B52CA6"/>
    <w:rsid w:val="00B54751"/>
    <w:rsid w:val="00B55927"/>
    <w:rsid w:val="00B55CBF"/>
    <w:rsid w:val="00B5613E"/>
    <w:rsid w:val="00B5673B"/>
    <w:rsid w:val="00B56BD9"/>
    <w:rsid w:val="00B56F17"/>
    <w:rsid w:val="00B5705F"/>
    <w:rsid w:val="00B57FFD"/>
    <w:rsid w:val="00B60483"/>
    <w:rsid w:val="00B61BC3"/>
    <w:rsid w:val="00B62381"/>
    <w:rsid w:val="00B62AAA"/>
    <w:rsid w:val="00B65646"/>
    <w:rsid w:val="00B6576D"/>
    <w:rsid w:val="00B679FE"/>
    <w:rsid w:val="00B71C0D"/>
    <w:rsid w:val="00B72707"/>
    <w:rsid w:val="00B728B7"/>
    <w:rsid w:val="00B72A1A"/>
    <w:rsid w:val="00B735DF"/>
    <w:rsid w:val="00B73C81"/>
    <w:rsid w:val="00B7418E"/>
    <w:rsid w:val="00B751DB"/>
    <w:rsid w:val="00B766C1"/>
    <w:rsid w:val="00B7713E"/>
    <w:rsid w:val="00B80FAC"/>
    <w:rsid w:val="00B84820"/>
    <w:rsid w:val="00B84865"/>
    <w:rsid w:val="00B86291"/>
    <w:rsid w:val="00B87E95"/>
    <w:rsid w:val="00B90760"/>
    <w:rsid w:val="00B909CF"/>
    <w:rsid w:val="00B90DD6"/>
    <w:rsid w:val="00B91D6B"/>
    <w:rsid w:val="00B9210C"/>
    <w:rsid w:val="00B9217A"/>
    <w:rsid w:val="00B92266"/>
    <w:rsid w:val="00B92F10"/>
    <w:rsid w:val="00B941A1"/>
    <w:rsid w:val="00B943DC"/>
    <w:rsid w:val="00B9481A"/>
    <w:rsid w:val="00B95A79"/>
    <w:rsid w:val="00BA3D4B"/>
    <w:rsid w:val="00BA49B0"/>
    <w:rsid w:val="00BA60DD"/>
    <w:rsid w:val="00BA6153"/>
    <w:rsid w:val="00BA795B"/>
    <w:rsid w:val="00BA7C00"/>
    <w:rsid w:val="00BB22A7"/>
    <w:rsid w:val="00BB2FB9"/>
    <w:rsid w:val="00BB3179"/>
    <w:rsid w:val="00BB32BE"/>
    <w:rsid w:val="00BB3BA3"/>
    <w:rsid w:val="00BB3DC5"/>
    <w:rsid w:val="00BB4A3E"/>
    <w:rsid w:val="00BB6C0D"/>
    <w:rsid w:val="00BB7102"/>
    <w:rsid w:val="00BB717C"/>
    <w:rsid w:val="00BB7E34"/>
    <w:rsid w:val="00BC281F"/>
    <w:rsid w:val="00BC3529"/>
    <w:rsid w:val="00BC47A1"/>
    <w:rsid w:val="00BD00DB"/>
    <w:rsid w:val="00BD05E2"/>
    <w:rsid w:val="00BD2DAE"/>
    <w:rsid w:val="00BD4A97"/>
    <w:rsid w:val="00BD4DB9"/>
    <w:rsid w:val="00BD5609"/>
    <w:rsid w:val="00BD59AD"/>
    <w:rsid w:val="00BD6756"/>
    <w:rsid w:val="00BE0266"/>
    <w:rsid w:val="00BE026C"/>
    <w:rsid w:val="00BE4AB9"/>
    <w:rsid w:val="00BF0FD5"/>
    <w:rsid w:val="00BF13DD"/>
    <w:rsid w:val="00BF16E4"/>
    <w:rsid w:val="00BF17B4"/>
    <w:rsid w:val="00BF2A4A"/>
    <w:rsid w:val="00BF43CD"/>
    <w:rsid w:val="00BF5130"/>
    <w:rsid w:val="00BF6DD3"/>
    <w:rsid w:val="00BF7523"/>
    <w:rsid w:val="00BF77F5"/>
    <w:rsid w:val="00BF77FD"/>
    <w:rsid w:val="00C005B6"/>
    <w:rsid w:val="00C009B8"/>
    <w:rsid w:val="00C01A74"/>
    <w:rsid w:val="00C02F37"/>
    <w:rsid w:val="00C0535D"/>
    <w:rsid w:val="00C05D0D"/>
    <w:rsid w:val="00C07616"/>
    <w:rsid w:val="00C10033"/>
    <w:rsid w:val="00C14A9E"/>
    <w:rsid w:val="00C15EE4"/>
    <w:rsid w:val="00C166E8"/>
    <w:rsid w:val="00C17436"/>
    <w:rsid w:val="00C208B5"/>
    <w:rsid w:val="00C24595"/>
    <w:rsid w:val="00C2573F"/>
    <w:rsid w:val="00C25CB0"/>
    <w:rsid w:val="00C26817"/>
    <w:rsid w:val="00C26BEE"/>
    <w:rsid w:val="00C30202"/>
    <w:rsid w:val="00C30B7D"/>
    <w:rsid w:val="00C3195C"/>
    <w:rsid w:val="00C31F00"/>
    <w:rsid w:val="00C37380"/>
    <w:rsid w:val="00C40F53"/>
    <w:rsid w:val="00C41B9B"/>
    <w:rsid w:val="00C42818"/>
    <w:rsid w:val="00C44AC5"/>
    <w:rsid w:val="00C51545"/>
    <w:rsid w:val="00C534BE"/>
    <w:rsid w:val="00C5429E"/>
    <w:rsid w:val="00C6152B"/>
    <w:rsid w:val="00C629A9"/>
    <w:rsid w:val="00C63B1B"/>
    <w:rsid w:val="00C652CD"/>
    <w:rsid w:val="00C66179"/>
    <w:rsid w:val="00C674F8"/>
    <w:rsid w:val="00C70C12"/>
    <w:rsid w:val="00C73061"/>
    <w:rsid w:val="00C74623"/>
    <w:rsid w:val="00C74E98"/>
    <w:rsid w:val="00C76E19"/>
    <w:rsid w:val="00C80C85"/>
    <w:rsid w:val="00C81039"/>
    <w:rsid w:val="00C83267"/>
    <w:rsid w:val="00C844F1"/>
    <w:rsid w:val="00C84FC8"/>
    <w:rsid w:val="00C85E5B"/>
    <w:rsid w:val="00C86ED2"/>
    <w:rsid w:val="00C92B02"/>
    <w:rsid w:val="00C9363D"/>
    <w:rsid w:val="00C963C9"/>
    <w:rsid w:val="00C967B6"/>
    <w:rsid w:val="00CA124A"/>
    <w:rsid w:val="00CA1663"/>
    <w:rsid w:val="00CA4941"/>
    <w:rsid w:val="00CA5E1D"/>
    <w:rsid w:val="00CA692D"/>
    <w:rsid w:val="00CB1018"/>
    <w:rsid w:val="00CB1A1A"/>
    <w:rsid w:val="00CB2ACE"/>
    <w:rsid w:val="00CB3657"/>
    <w:rsid w:val="00CB466B"/>
    <w:rsid w:val="00CB5EE6"/>
    <w:rsid w:val="00CB6105"/>
    <w:rsid w:val="00CB6740"/>
    <w:rsid w:val="00CB6DA3"/>
    <w:rsid w:val="00CB7E2D"/>
    <w:rsid w:val="00CC112F"/>
    <w:rsid w:val="00CC4716"/>
    <w:rsid w:val="00CC4AAD"/>
    <w:rsid w:val="00CC5704"/>
    <w:rsid w:val="00CC5B9F"/>
    <w:rsid w:val="00CC63B2"/>
    <w:rsid w:val="00CD1C00"/>
    <w:rsid w:val="00CD2A3F"/>
    <w:rsid w:val="00CD45DA"/>
    <w:rsid w:val="00CD4F1A"/>
    <w:rsid w:val="00CD5A86"/>
    <w:rsid w:val="00CE045D"/>
    <w:rsid w:val="00CE0CD0"/>
    <w:rsid w:val="00CE223F"/>
    <w:rsid w:val="00CE2330"/>
    <w:rsid w:val="00CE2D0B"/>
    <w:rsid w:val="00CE3249"/>
    <w:rsid w:val="00CE4258"/>
    <w:rsid w:val="00CE461D"/>
    <w:rsid w:val="00CE57AA"/>
    <w:rsid w:val="00CF199A"/>
    <w:rsid w:val="00CF2B4D"/>
    <w:rsid w:val="00CF2FBB"/>
    <w:rsid w:val="00CF472B"/>
    <w:rsid w:val="00CF58C9"/>
    <w:rsid w:val="00D00324"/>
    <w:rsid w:val="00D01D40"/>
    <w:rsid w:val="00D056C7"/>
    <w:rsid w:val="00D05BAD"/>
    <w:rsid w:val="00D06384"/>
    <w:rsid w:val="00D06569"/>
    <w:rsid w:val="00D11003"/>
    <w:rsid w:val="00D172A7"/>
    <w:rsid w:val="00D2015F"/>
    <w:rsid w:val="00D22060"/>
    <w:rsid w:val="00D2391C"/>
    <w:rsid w:val="00D24C08"/>
    <w:rsid w:val="00D26364"/>
    <w:rsid w:val="00D3070B"/>
    <w:rsid w:val="00D32E74"/>
    <w:rsid w:val="00D34D38"/>
    <w:rsid w:val="00D3620E"/>
    <w:rsid w:val="00D362C6"/>
    <w:rsid w:val="00D368AC"/>
    <w:rsid w:val="00D36F7A"/>
    <w:rsid w:val="00D4428B"/>
    <w:rsid w:val="00D45722"/>
    <w:rsid w:val="00D45B2B"/>
    <w:rsid w:val="00D46921"/>
    <w:rsid w:val="00D46FCE"/>
    <w:rsid w:val="00D50E76"/>
    <w:rsid w:val="00D5160E"/>
    <w:rsid w:val="00D525BE"/>
    <w:rsid w:val="00D5446D"/>
    <w:rsid w:val="00D552E7"/>
    <w:rsid w:val="00D55ECC"/>
    <w:rsid w:val="00D56CD2"/>
    <w:rsid w:val="00D6255A"/>
    <w:rsid w:val="00D62CF0"/>
    <w:rsid w:val="00D6329A"/>
    <w:rsid w:val="00D63328"/>
    <w:rsid w:val="00D6376A"/>
    <w:rsid w:val="00D65C6A"/>
    <w:rsid w:val="00D67AF6"/>
    <w:rsid w:val="00D67C13"/>
    <w:rsid w:val="00D70CD4"/>
    <w:rsid w:val="00D74301"/>
    <w:rsid w:val="00D76CE9"/>
    <w:rsid w:val="00D8113C"/>
    <w:rsid w:val="00D844ED"/>
    <w:rsid w:val="00D84538"/>
    <w:rsid w:val="00D848A0"/>
    <w:rsid w:val="00D84E69"/>
    <w:rsid w:val="00D86C1E"/>
    <w:rsid w:val="00D87099"/>
    <w:rsid w:val="00D90103"/>
    <w:rsid w:val="00D90417"/>
    <w:rsid w:val="00D91CFC"/>
    <w:rsid w:val="00D94C74"/>
    <w:rsid w:val="00D95A41"/>
    <w:rsid w:val="00D97DC1"/>
    <w:rsid w:val="00DA195C"/>
    <w:rsid w:val="00DA2A79"/>
    <w:rsid w:val="00DA530E"/>
    <w:rsid w:val="00DA5714"/>
    <w:rsid w:val="00DA61AB"/>
    <w:rsid w:val="00DA77F5"/>
    <w:rsid w:val="00DA7941"/>
    <w:rsid w:val="00DB03E8"/>
    <w:rsid w:val="00DB41AE"/>
    <w:rsid w:val="00DB453E"/>
    <w:rsid w:val="00DB5AE2"/>
    <w:rsid w:val="00DC2150"/>
    <w:rsid w:val="00DC2534"/>
    <w:rsid w:val="00DC260F"/>
    <w:rsid w:val="00DC2CF1"/>
    <w:rsid w:val="00DC494D"/>
    <w:rsid w:val="00DC6C8B"/>
    <w:rsid w:val="00DC6CFE"/>
    <w:rsid w:val="00DC76EA"/>
    <w:rsid w:val="00DD0ED5"/>
    <w:rsid w:val="00DD1740"/>
    <w:rsid w:val="00DD27EA"/>
    <w:rsid w:val="00DD2B0D"/>
    <w:rsid w:val="00DD33DE"/>
    <w:rsid w:val="00DD4A75"/>
    <w:rsid w:val="00DD5508"/>
    <w:rsid w:val="00DD5CD1"/>
    <w:rsid w:val="00DD60F6"/>
    <w:rsid w:val="00DD779D"/>
    <w:rsid w:val="00DE051C"/>
    <w:rsid w:val="00DE1938"/>
    <w:rsid w:val="00DE35FA"/>
    <w:rsid w:val="00DE3B92"/>
    <w:rsid w:val="00DE4B98"/>
    <w:rsid w:val="00DE779C"/>
    <w:rsid w:val="00DF0445"/>
    <w:rsid w:val="00DF17D1"/>
    <w:rsid w:val="00DF6A8F"/>
    <w:rsid w:val="00DF7A4A"/>
    <w:rsid w:val="00E003AE"/>
    <w:rsid w:val="00E007A6"/>
    <w:rsid w:val="00E01F36"/>
    <w:rsid w:val="00E02D47"/>
    <w:rsid w:val="00E0360E"/>
    <w:rsid w:val="00E04D49"/>
    <w:rsid w:val="00E10569"/>
    <w:rsid w:val="00E10994"/>
    <w:rsid w:val="00E135A4"/>
    <w:rsid w:val="00E1420A"/>
    <w:rsid w:val="00E1701C"/>
    <w:rsid w:val="00E2093A"/>
    <w:rsid w:val="00E21E38"/>
    <w:rsid w:val="00E21E7C"/>
    <w:rsid w:val="00E22B08"/>
    <w:rsid w:val="00E23728"/>
    <w:rsid w:val="00E23EEF"/>
    <w:rsid w:val="00E24950"/>
    <w:rsid w:val="00E304C5"/>
    <w:rsid w:val="00E31482"/>
    <w:rsid w:val="00E346BB"/>
    <w:rsid w:val="00E34D5E"/>
    <w:rsid w:val="00E35C29"/>
    <w:rsid w:val="00E37B4C"/>
    <w:rsid w:val="00E37BCD"/>
    <w:rsid w:val="00E40C90"/>
    <w:rsid w:val="00E44D6B"/>
    <w:rsid w:val="00E4592A"/>
    <w:rsid w:val="00E46679"/>
    <w:rsid w:val="00E502F0"/>
    <w:rsid w:val="00E50B74"/>
    <w:rsid w:val="00E5156C"/>
    <w:rsid w:val="00E51B13"/>
    <w:rsid w:val="00E51E55"/>
    <w:rsid w:val="00E541B3"/>
    <w:rsid w:val="00E54E46"/>
    <w:rsid w:val="00E600A6"/>
    <w:rsid w:val="00E6086B"/>
    <w:rsid w:val="00E614FF"/>
    <w:rsid w:val="00E61BA5"/>
    <w:rsid w:val="00E62D73"/>
    <w:rsid w:val="00E62D87"/>
    <w:rsid w:val="00E640AD"/>
    <w:rsid w:val="00E6457F"/>
    <w:rsid w:val="00E6680A"/>
    <w:rsid w:val="00E66A3C"/>
    <w:rsid w:val="00E702B2"/>
    <w:rsid w:val="00E70B00"/>
    <w:rsid w:val="00E71AB9"/>
    <w:rsid w:val="00E727AF"/>
    <w:rsid w:val="00E734B5"/>
    <w:rsid w:val="00E75773"/>
    <w:rsid w:val="00E75A9B"/>
    <w:rsid w:val="00E8334E"/>
    <w:rsid w:val="00E8397C"/>
    <w:rsid w:val="00E84F9D"/>
    <w:rsid w:val="00E85549"/>
    <w:rsid w:val="00E85797"/>
    <w:rsid w:val="00E8732E"/>
    <w:rsid w:val="00E8741D"/>
    <w:rsid w:val="00E93955"/>
    <w:rsid w:val="00E9461B"/>
    <w:rsid w:val="00E9539B"/>
    <w:rsid w:val="00E97171"/>
    <w:rsid w:val="00E97DFB"/>
    <w:rsid w:val="00EA0246"/>
    <w:rsid w:val="00EA0EFD"/>
    <w:rsid w:val="00EA1823"/>
    <w:rsid w:val="00EA253C"/>
    <w:rsid w:val="00EA4506"/>
    <w:rsid w:val="00EA4937"/>
    <w:rsid w:val="00EA653D"/>
    <w:rsid w:val="00EA715D"/>
    <w:rsid w:val="00EB11E3"/>
    <w:rsid w:val="00EB2684"/>
    <w:rsid w:val="00EB3D2D"/>
    <w:rsid w:val="00EB4458"/>
    <w:rsid w:val="00EB4DFA"/>
    <w:rsid w:val="00EB513C"/>
    <w:rsid w:val="00EB5C40"/>
    <w:rsid w:val="00EB6AD4"/>
    <w:rsid w:val="00EB71AC"/>
    <w:rsid w:val="00EC0B1B"/>
    <w:rsid w:val="00EC1152"/>
    <w:rsid w:val="00EC3212"/>
    <w:rsid w:val="00EC4846"/>
    <w:rsid w:val="00EC53F1"/>
    <w:rsid w:val="00EC7DC8"/>
    <w:rsid w:val="00ED1E70"/>
    <w:rsid w:val="00ED46EB"/>
    <w:rsid w:val="00ED6A83"/>
    <w:rsid w:val="00ED7EC9"/>
    <w:rsid w:val="00EE091C"/>
    <w:rsid w:val="00EE257D"/>
    <w:rsid w:val="00EE2960"/>
    <w:rsid w:val="00EE4D7A"/>
    <w:rsid w:val="00EE5640"/>
    <w:rsid w:val="00EE5E25"/>
    <w:rsid w:val="00EF0570"/>
    <w:rsid w:val="00EF094D"/>
    <w:rsid w:val="00EF4B10"/>
    <w:rsid w:val="00F0015F"/>
    <w:rsid w:val="00F02656"/>
    <w:rsid w:val="00F03792"/>
    <w:rsid w:val="00F076DF"/>
    <w:rsid w:val="00F07C7C"/>
    <w:rsid w:val="00F107D2"/>
    <w:rsid w:val="00F11879"/>
    <w:rsid w:val="00F12BBE"/>
    <w:rsid w:val="00F15624"/>
    <w:rsid w:val="00F170D0"/>
    <w:rsid w:val="00F2099D"/>
    <w:rsid w:val="00F2100D"/>
    <w:rsid w:val="00F224BC"/>
    <w:rsid w:val="00F23593"/>
    <w:rsid w:val="00F23BD5"/>
    <w:rsid w:val="00F24C4F"/>
    <w:rsid w:val="00F250A4"/>
    <w:rsid w:val="00F26498"/>
    <w:rsid w:val="00F27162"/>
    <w:rsid w:val="00F27DE3"/>
    <w:rsid w:val="00F3026B"/>
    <w:rsid w:val="00F30F72"/>
    <w:rsid w:val="00F31CB0"/>
    <w:rsid w:val="00F32A74"/>
    <w:rsid w:val="00F32CFC"/>
    <w:rsid w:val="00F33160"/>
    <w:rsid w:val="00F33E12"/>
    <w:rsid w:val="00F37D6A"/>
    <w:rsid w:val="00F4130F"/>
    <w:rsid w:val="00F42241"/>
    <w:rsid w:val="00F42CAB"/>
    <w:rsid w:val="00F4417E"/>
    <w:rsid w:val="00F4505C"/>
    <w:rsid w:val="00F45195"/>
    <w:rsid w:val="00F46159"/>
    <w:rsid w:val="00F475C7"/>
    <w:rsid w:val="00F47DE2"/>
    <w:rsid w:val="00F50EDE"/>
    <w:rsid w:val="00F52679"/>
    <w:rsid w:val="00F52A23"/>
    <w:rsid w:val="00F52C51"/>
    <w:rsid w:val="00F53459"/>
    <w:rsid w:val="00F54277"/>
    <w:rsid w:val="00F545A2"/>
    <w:rsid w:val="00F558D1"/>
    <w:rsid w:val="00F55CF4"/>
    <w:rsid w:val="00F576F9"/>
    <w:rsid w:val="00F57BD7"/>
    <w:rsid w:val="00F66421"/>
    <w:rsid w:val="00F67695"/>
    <w:rsid w:val="00F67A3C"/>
    <w:rsid w:val="00F704FF"/>
    <w:rsid w:val="00F70ED8"/>
    <w:rsid w:val="00F71FE0"/>
    <w:rsid w:val="00F71FF6"/>
    <w:rsid w:val="00F72337"/>
    <w:rsid w:val="00F72C98"/>
    <w:rsid w:val="00F72CFD"/>
    <w:rsid w:val="00F76BCF"/>
    <w:rsid w:val="00F82BBF"/>
    <w:rsid w:val="00F82C13"/>
    <w:rsid w:val="00F83207"/>
    <w:rsid w:val="00F8742B"/>
    <w:rsid w:val="00F904EF"/>
    <w:rsid w:val="00F90FA6"/>
    <w:rsid w:val="00F924EB"/>
    <w:rsid w:val="00F93185"/>
    <w:rsid w:val="00F9355B"/>
    <w:rsid w:val="00F939E6"/>
    <w:rsid w:val="00F94C6B"/>
    <w:rsid w:val="00FA137F"/>
    <w:rsid w:val="00FA15AF"/>
    <w:rsid w:val="00FA1AB8"/>
    <w:rsid w:val="00FA3AB7"/>
    <w:rsid w:val="00FA4B48"/>
    <w:rsid w:val="00FA5013"/>
    <w:rsid w:val="00FA5B47"/>
    <w:rsid w:val="00FA7ABE"/>
    <w:rsid w:val="00FB2897"/>
    <w:rsid w:val="00FB2DBA"/>
    <w:rsid w:val="00FB3DA2"/>
    <w:rsid w:val="00FB4472"/>
    <w:rsid w:val="00FB45CE"/>
    <w:rsid w:val="00FC1CE1"/>
    <w:rsid w:val="00FC3132"/>
    <w:rsid w:val="00FC3C0A"/>
    <w:rsid w:val="00FC45B5"/>
    <w:rsid w:val="00FC5B56"/>
    <w:rsid w:val="00FC5C3A"/>
    <w:rsid w:val="00FC728A"/>
    <w:rsid w:val="00FD1F58"/>
    <w:rsid w:val="00FD2340"/>
    <w:rsid w:val="00FD296F"/>
    <w:rsid w:val="00FD67D2"/>
    <w:rsid w:val="00FD6D2A"/>
    <w:rsid w:val="00FD70CB"/>
    <w:rsid w:val="00FE0CDA"/>
    <w:rsid w:val="00FE0D67"/>
    <w:rsid w:val="00FE10B2"/>
    <w:rsid w:val="00FE30D2"/>
    <w:rsid w:val="00FE3A5B"/>
    <w:rsid w:val="00FE637D"/>
    <w:rsid w:val="00FE7210"/>
    <w:rsid w:val="00FE72C6"/>
    <w:rsid w:val="00FF0884"/>
    <w:rsid w:val="00FF1F21"/>
    <w:rsid w:val="00FF41E4"/>
    <w:rsid w:val="00FF54B2"/>
    <w:rsid w:val="00FF582F"/>
    <w:rsid w:val="00FF5F30"/>
    <w:rsid w:val="00FF60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0BB33476"/>
  <w15:chartTrackingRefBased/>
  <w15:docId w15:val="{03A78A60-0B3A-4ABB-88BD-BD640278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List Number" w:uiPriority="99" w:qFormat="1"/>
    <w:lsdException w:name="List Number 2" w:uiPriority="99"/>
    <w:lsdException w:name="List Number 3" w:uiPriority="99"/>
    <w:lsdException w:name="List Number 4" w:uiPriority="99"/>
    <w:lsdException w:name="List Number 5" w:uiPriority="99"/>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F6E"/>
  </w:style>
  <w:style w:type="paragraph" w:styleId="Heading1">
    <w:name w:val="heading 1"/>
    <w:basedOn w:val="Normal"/>
    <w:next w:val="Normal"/>
    <w:qFormat/>
    <w:pPr>
      <w:keepNext/>
      <w:ind w:left="360"/>
      <w:outlineLvl w:val="0"/>
    </w:pPr>
    <w:rPr>
      <w:sz w:val="28"/>
      <w:szCs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lang w:val="en-GB"/>
    </w:rPr>
  </w:style>
  <w:style w:type="paragraph" w:styleId="Heading3">
    <w:name w:val="heading 3"/>
    <w:basedOn w:val="Normal"/>
    <w:next w:val="Normal"/>
    <w:qFormat/>
    <w:pPr>
      <w:keepNext/>
      <w:ind w:left="720" w:firstLine="349"/>
      <w:outlineLvl w:val="2"/>
    </w:pPr>
    <w:rPr>
      <w:snapToGrid w:val="0"/>
      <w:color w:val="000000"/>
      <w:sz w:val="28"/>
      <w:szCs w:val="28"/>
      <w:lang w:val="en-GB" w:eastAsia="en-US"/>
    </w:rPr>
  </w:style>
  <w:style w:type="paragraph" w:styleId="Heading4">
    <w:name w:val="heading 4"/>
    <w:basedOn w:val="Normal"/>
    <w:next w:val="Normal"/>
    <w:qFormat/>
    <w:pPr>
      <w:keepNext/>
      <w:ind w:left="1440" w:hanging="731"/>
      <w:outlineLvl w:val="3"/>
    </w:pPr>
    <w:rPr>
      <w:snapToGrid w:val="0"/>
      <w:color w:val="000000"/>
      <w:sz w:val="28"/>
      <w:szCs w:val="28"/>
      <w:lang w:val="en-GB" w:eastAsia="en-US"/>
    </w:rPr>
  </w:style>
  <w:style w:type="paragraph" w:styleId="Heading5">
    <w:name w:val="heading 5"/>
    <w:basedOn w:val="Normal"/>
    <w:next w:val="Normal"/>
    <w:qFormat/>
    <w:pPr>
      <w:keepNext/>
      <w:ind w:left="720" w:firstLine="840"/>
      <w:outlineLvl w:val="4"/>
    </w:pPr>
    <w:rPr>
      <w:b/>
      <w:color w:val="000000"/>
      <w:sz w:val="32"/>
      <w:szCs w:val="32"/>
    </w:rPr>
  </w:style>
  <w:style w:type="paragraph" w:styleId="Heading6">
    <w:name w:val="heading 6"/>
    <w:basedOn w:val="Normal"/>
    <w:next w:val="Normal"/>
    <w:qFormat/>
    <w:rsid w:val="00F4505C"/>
    <w:pPr>
      <w:keepNext/>
      <w:ind w:left="709"/>
      <w:outlineLvl w:val="5"/>
    </w:pPr>
    <w:rPr>
      <w:sz w:val="28"/>
      <w:szCs w:val="28"/>
    </w:rPr>
  </w:style>
  <w:style w:type="paragraph" w:styleId="Heading7">
    <w:name w:val="heading 7"/>
    <w:basedOn w:val="Normal"/>
    <w:next w:val="Normal"/>
    <w:qFormat/>
    <w:rsid w:val="00CF472B"/>
    <w:pPr>
      <w:keepNext/>
      <w:ind w:left="709"/>
      <w:outlineLvl w:val="6"/>
    </w:pPr>
    <w:rPr>
      <w:sz w:val="28"/>
      <w:szCs w:val="28"/>
      <w:u w:val="single"/>
    </w:rPr>
  </w:style>
  <w:style w:type="paragraph" w:styleId="Heading8">
    <w:name w:val="heading 8"/>
    <w:basedOn w:val="Normal"/>
    <w:next w:val="Normal"/>
    <w:qFormat/>
    <w:rsid w:val="00E003AE"/>
    <w:pPr>
      <w:keepNext/>
      <w:ind w:left="1069" w:hanging="360"/>
      <w:outlineLvl w:val="7"/>
    </w:pPr>
    <w:rPr>
      <w:sz w:val="28"/>
      <w:szCs w:val="28"/>
      <w:u w:val="single"/>
    </w:rPr>
  </w:style>
  <w:style w:type="paragraph" w:styleId="Heading9">
    <w:name w:val="heading 9"/>
    <w:basedOn w:val="Normal"/>
    <w:next w:val="Normal"/>
    <w:qFormat/>
    <w:rsid w:val="002B175F"/>
    <w:pPr>
      <w:keepNext/>
      <w:outlineLvl w:val="8"/>
    </w:pPr>
    <w:rPr>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uiPriority w:val="99"/>
    <w:pPr>
      <w:ind w:left="426" w:hanging="426"/>
    </w:pPr>
    <w:rPr>
      <w:color w:val="0000FF"/>
      <w:sz w:val="24"/>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sz w:val="24"/>
      <w:szCs w:val="24"/>
    </w:rPr>
  </w:style>
  <w:style w:type="paragraph" w:styleId="Header">
    <w:name w:val="header"/>
    <w:aliases w:val="Subheading (body)"/>
    <w:basedOn w:val="Normal"/>
    <w:link w:val="HeaderChar"/>
    <w:pPr>
      <w:tabs>
        <w:tab w:val="center" w:pos="4153"/>
        <w:tab w:val="right" w:pos="8306"/>
      </w:tabs>
    </w:pPr>
  </w:style>
  <w:style w:type="character" w:styleId="PageNumber">
    <w:name w:val="page number"/>
    <w:basedOn w:val="DefaultParagraphFont"/>
  </w:style>
  <w:style w:type="paragraph" w:styleId="NormalIndent">
    <w:name w:val="Normal Indent"/>
    <w:basedOn w:val="Normal"/>
    <w:pPr>
      <w:ind w:left="1418" w:hanging="567"/>
    </w:pPr>
    <w:rPr>
      <w:sz w:val="24"/>
    </w:rPr>
  </w:style>
  <w:style w:type="paragraph" w:styleId="BodyTextIndent">
    <w:name w:val="Body Text Indent"/>
    <w:basedOn w:val="Normal"/>
    <w:pPr>
      <w:ind w:left="709" w:hanging="709"/>
    </w:pPr>
    <w:rPr>
      <w:color w:val="000000"/>
      <w:sz w:val="28"/>
      <w:szCs w:val="28"/>
    </w:rPr>
  </w:style>
  <w:style w:type="paragraph" w:styleId="BodyTextIndent3">
    <w:name w:val="Body Text Indent 3"/>
    <w:basedOn w:val="Normal"/>
    <w:pPr>
      <w:ind w:left="709"/>
    </w:pPr>
    <w:rPr>
      <w:sz w:val="28"/>
      <w:szCs w:val="28"/>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BodyText">
    <w:name w:val="Body Text"/>
    <w:basedOn w:val="Normal"/>
    <w:rsid w:val="004A29BC"/>
    <w:rPr>
      <w:color w:val="000000"/>
      <w:sz w:val="28"/>
      <w:szCs w:val="28"/>
    </w:rPr>
  </w:style>
  <w:style w:type="paragraph" w:styleId="BodyText2">
    <w:name w:val="Body Text 2"/>
    <w:basedOn w:val="Normal"/>
    <w:rsid w:val="00207F8E"/>
    <w:rPr>
      <w:sz w:val="28"/>
      <w:szCs w:val="28"/>
    </w:rPr>
  </w:style>
  <w:style w:type="paragraph" w:customStyle="1" w:styleId="BulletText1">
    <w:name w:val="Bullet Text 1"/>
    <w:basedOn w:val="Normal"/>
    <w:rsid w:val="00D05BAD"/>
    <w:pPr>
      <w:numPr>
        <w:numId w:val="1"/>
      </w:numPr>
      <w:ind w:left="187" w:hanging="187"/>
    </w:pPr>
  </w:style>
  <w:style w:type="paragraph" w:customStyle="1" w:styleId="LogoHeader">
    <w:name w:val="LogoHeader"/>
    <w:basedOn w:val="Normal"/>
    <w:rsid w:val="00BA49B0"/>
    <w:pPr>
      <w:keepLines/>
    </w:pPr>
    <w:rPr>
      <w:rFonts w:ascii="Univers" w:hAnsi="Univers"/>
      <w:sz w:val="24"/>
      <w:lang w:val="en-GB" w:eastAsia="en-US"/>
    </w:rPr>
  </w:style>
  <w:style w:type="paragraph" w:customStyle="1" w:styleId="definition">
    <w:name w:val="definition"/>
    <w:basedOn w:val="Normal"/>
    <w:rsid w:val="002E33EA"/>
    <w:pPr>
      <w:spacing w:before="100" w:beforeAutospacing="1" w:after="100" w:afterAutospacing="1"/>
    </w:pPr>
    <w:rPr>
      <w:sz w:val="24"/>
      <w:szCs w:val="24"/>
    </w:rPr>
  </w:style>
  <w:style w:type="paragraph" w:customStyle="1" w:styleId="paragraph">
    <w:name w:val="paragraph"/>
    <w:basedOn w:val="Normal"/>
    <w:rsid w:val="002E33EA"/>
    <w:pPr>
      <w:spacing w:before="100" w:beforeAutospacing="1" w:after="100" w:afterAutospacing="1"/>
    </w:pPr>
    <w:rPr>
      <w:sz w:val="24"/>
      <w:szCs w:val="24"/>
    </w:rPr>
  </w:style>
  <w:style w:type="paragraph" w:customStyle="1" w:styleId="paragraphsub">
    <w:name w:val="paragraphsub"/>
    <w:basedOn w:val="Normal"/>
    <w:rsid w:val="002E33EA"/>
    <w:pPr>
      <w:spacing w:before="100" w:beforeAutospacing="1" w:after="100" w:afterAutospacing="1"/>
    </w:pPr>
    <w:rPr>
      <w:sz w:val="24"/>
      <w:szCs w:val="24"/>
    </w:rPr>
  </w:style>
  <w:style w:type="paragraph" w:customStyle="1" w:styleId="Default">
    <w:name w:val="Default"/>
    <w:rsid w:val="008C73DF"/>
    <w:pPr>
      <w:autoSpaceDE w:val="0"/>
      <w:autoSpaceDN w:val="0"/>
      <w:adjustRightInd w:val="0"/>
    </w:pPr>
    <w:rPr>
      <w:color w:val="000000"/>
      <w:sz w:val="24"/>
      <w:szCs w:val="24"/>
    </w:rPr>
  </w:style>
  <w:style w:type="character" w:styleId="Hyperlink">
    <w:name w:val="Hyperlink"/>
    <w:rsid w:val="008C73DF"/>
    <w:rPr>
      <w:strike w:val="0"/>
      <w:dstrike w:val="0"/>
      <w:color w:val="0072BC"/>
      <w:u w:val="none"/>
      <w:effect w:val="none"/>
    </w:rPr>
  </w:style>
  <w:style w:type="paragraph" w:styleId="Footer">
    <w:name w:val="footer"/>
    <w:basedOn w:val="Normal"/>
    <w:link w:val="FooterChar"/>
    <w:uiPriority w:val="99"/>
    <w:rsid w:val="00FB2897"/>
    <w:pPr>
      <w:tabs>
        <w:tab w:val="center" w:pos="4153"/>
        <w:tab w:val="right" w:pos="8306"/>
      </w:tabs>
    </w:pPr>
  </w:style>
  <w:style w:type="paragraph" w:styleId="BodyText3">
    <w:name w:val="Body Text 3"/>
    <w:basedOn w:val="Normal"/>
    <w:rsid w:val="00E21E38"/>
    <w:pPr>
      <w:spacing w:after="200"/>
      <w:ind w:right="544"/>
    </w:pPr>
    <w:rPr>
      <w:sz w:val="28"/>
      <w:szCs w:val="28"/>
    </w:rPr>
  </w:style>
  <w:style w:type="paragraph" w:customStyle="1" w:styleId="Normal1">
    <w:name w:val="Normal1"/>
    <w:basedOn w:val="Normal"/>
    <w:link w:val="normalChar"/>
    <w:rsid w:val="001E1D3B"/>
    <w:pPr>
      <w:spacing w:before="100" w:beforeAutospacing="1" w:after="100" w:afterAutospacing="1"/>
    </w:pPr>
    <w:rPr>
      <w:sz w:val="24"/>
      <w:szCs w:val="24"/>
      <w:lang w:val="en-US" w:eastAsia="en-US"/>
    </w:rPr>
  </w:style>
  <w:style w:type="character" w:customStyle="1" w:styleId="normalChar">
    <w:name w:val="normal Char"/>
    <w:link w:val="Normal1"/>
    <w:locked/>
    <w:rsid w:val="001E1D3B"/>
    <w:rPr>
      <w:sz w:val="24"/>
      <w:szCs w:val="24"/>
      <w:lang w:val="en-US" w:eastAsia="en-US" w:bidi="ar-SA"/>
    </w:rPr>
  </w:style>
  <w:style w:type="character" w:customStyle="1" w:styleId="HeaderChar">
    <w:name w:val="Header Char"/>
    <w:aliases w:val="Subheading (body) Char"/>
    <w:link w:val="Header"/>
    <w:semiHidden/>
    <w:locked/>
    <w:rsid w:val="0054410A"/>
    <w:rPr>
      <w:lang w:val="en-AU" w:eastAsia="en-AU" w:bidi="ar-SA"/>
    </w:rPr>
  </w:style>
  <w:style w:type="paragraph" w:customStyle="1" w:styleId="acthead9">
    <w:name w:val="acthead9"/>
    <w:basedOn w:val="Normal"/>
    <w:rsid w:val="00B45A1F"/>
    <w:pPr>
      <w:spacing w:before="100" w:beforeAutospacing="1" w:after="100" w:afterAutospacing="1"/>
    </w:pPr>
    <w:rPr>
      <w:sz w:val="24"/>
      <w:szCs w:val="24"/>
    </w:rPr>
  </w:style>
  <w:style w:type="paragraph" w:customStyle="1" w:styleId="P2">
    <w:name w:val="P2"/>
    <w:aliases w:val="(i)"/>
    <w:basedOn w:val="Normal"/>
    <w:rsid w:val="007B65B3"/>
    <w:pPr>
      <w:keepLines/>
      <w:tabs>
        <w:tab w:val="right" w:pos="1758"/>
        <w:tab w:val="left" w:pos="2155"/>
      </w:tabs>
      <w:spacing w:before="60" w:line="260" w:lineRule="exact"/>
      <w:ind w:left="1985" w:hanging="1985"/>
      <w:jc w:val="both"/>
    </w:pPr>
    <w:rPr>
      <w:sz w:val="24"/>
      <w:szCs w:val="24"/>
      <w:lang w:eastAsia="en-US"/>
    </w:rPr>
  </w:style>
  <w:style w:type="paragraph" w:styleId="PlainText">
    <w:name w:val="Plain Text"/>
    <w:basedOn w:val="Normal"/>
    <w:link w:val="PlainTextChar"/>
    <w:rsid w:val="00886D8D"/>
    <w:rPr>
      <w:rFonts w:ascii="Arial" w:hAnsi="Arial" w:cs="Arial"/>
    </w:rPr>
  </w:style>
  <w:style w:type="character" w:customStyle="1" w:styleId="PlainTextChar">
    <w:name w:val="Plain Text Char"/>
    <w:link w:val="PlainText"/>
    <w:semiHidden/>
    <w:locked/>
    <w:rsid w:val="00886D8D"/>
    <w:rPr>
      <w:rFonts w:ascii="Arial" w:hAnsi="Arial" w:cs="Arial"/>
      <w:lang w:val="en-AU" w:eastAsia="en-AU" w:bidi="ar-SA"/>
    </w:rPr>
  </w:style>
  <w:style w:type="paragraph" w:customStyle="1" w:styleId="Definition0">
    <w:name w:val="Definition"/>
    <w:aliases w:val="dd"/>
    <w:basedOn w:val="Normal"/>
    <w:rsid w:val="003F00E2"/>
    <w:pPr>
      <w:spacing w:before="180"/>
      <w:ind w:left="1134"/>
    </w:pPr>
    <w:rPr>
      <w:sz w:val="22"/>
    </w:rPr>
  </w:style>
  <w:style w:type="character" w:customStyle="1" w:styleId="BodyTextIndent2Char">
    <w:name w:val="Body Text Indent 2 Char"/>
    <w:link w:val="BodyTextIndent2"/>
    <w:uiPriority w:val="99"/>
    <w:rsid w:val="009A17D4"/>
    <w:rPr>
      <w:color w:val="0000FF"/>
      <w:sz w:val="24"/>
    </w:rPr>
  </w:style>
  <w:style w:type="character" w:customStyle="1" w:styleId="FooterChar">
    <w:name w:val="Footer Char"/>
    <w:link w:val="Footer"/>
    <w:uiPriority w:val="99"/>
    <w:rsid w:val="002C18FC"/>
  </w:style>
  <w:style w:type="paragraph" w:styleId="ListParagraph">
    <w:name w:val="List Paragraph"/>
    <w:aliases w:val="BulletPoints,List Paragraph1,Recommendation"/>
    <w:basedOn w:val="Normal"/>
    <w:link w:val="ListParagraphChar"/>
    <w:uiPriority w:val="34"/>
    <w:qFormat/>
    <w:rsid w:val="00922741"/>
    <w:pPr>
      <w:ind w:left="720"/>
    </w:pPr>
    <w:rPr>
      <w:rFonts w:ascii="Calibri" w:hAnsi="Calibri"/>
      <w:sz w:val="22"/>
      <w:szCs w:val="22"/>
      <w:lang w:eastAsia="en-US"/>
    </w:rPr>
  </w:style>
  <w:style w:type="character" w:styleId="FollowedHyperlink">
    <w:name w:val="FollowedHyperlink"/>
    <w:rsid w:val="003C389A"/>
    <w:rPr>
      <w:color w:val="954F72"/>
      <w:u w:val="single"/>
    </w:rPr>
  </w:style>
  <w:style w:type="paragraph" w:customStyle="1" w:styleId="Firstpara">
    <w:name w:val="First para"/>
    <w:basedOn w:val="Normal"/>
    <w:rsid w:val="008E0753"/>
    <w:pPr>
      <w:spacing w:before="240" w:after="120"/>
    </w:pPr>
    <w:rPr>
      <w:sz w:val="24"/>
    </w:rPr>
  </w:style>
  <w:style w:type="paragraph" w:customStyle="1" w:styleId="BGPoints">
    <w:name w:val="BGPoints"/>
    <w:basedOn w:val="Normal"/>
    <w:rsid w:val="00F23BD5"/>
    <w:pPr>
      <w:numPr>
        <w:numId w:val="4"/>
      </w:numPr>
      <w:spacing w:after="120"/>
    </w:pPr>
    <w:rPr>
      <w:sz w:val="24"/>
      <w:szCs w:val="24"/>
      <w:lang w:eastAsia="en-US"/>
    </w:rPr>
  </w:style>
  <w:style w:type="paragraph" w:styleId="Revision">
    <w:name w:val="Revision"/>
    <w:hidden/>
    <w:uiPriority w:val="99"/>
    <w:semiHidden/>
    <w:rsid w:val="003172C6"/>
  </w:style>
  <w:style w:type="character" w:customStyle="1" w:styleId="ListParagraphChar">
    <w:name w:val="List Paragraph Char"/>
    <w:aliases w:val="BulletPoints Char,List Paragraph1 Char,Recommendation Char"/>
    <w:link w:val="ListParagraph"/>
    <w:uiPriority w:val="34"/>
    <w:qFormat/>
    <w:rsid w:val="0052240B"/>
    <w:rPr>
      <w:rFonts w:ascii="Calibri" w:hAnsi="Calibri"/>
      <w:sz w:val="22"/>
      <w:szCs w:val="22"/>
      <w:lang w:eastAsia="en-US"/>
    </w:rPr>
  </w:style>
  <w:style w:type="paragraph" w:styleId="ListNumber">
    <w:name w:val="List Number"/>
    <w:basedOn w:val="Normal"/>
    <w:uiPriority w:val="99"/>
    <w:qFormat/>
    <w:rsid w:val="0052240B"/>
    <w:pPr>
      <w:numPr>
        <w:numId w:val="8"/>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52240B"/>
    <w:pPr>
      <w:numPr>
        <w:ilvl w:val="1"/>
        <w:numId w:val="8"/>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52240B"/>
    <w:pPr>
      <w:numPr>
        <w:ilvl w:val="2"/>
        <w:numId w:val="8"/>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52240B"/>
    <w:pPr>
      <w:numPr>
        <w:ilvl w:val="3"/>
        <w:numId w:val="8"/>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52240B"/>
    <w:pPr>
      <w:numPr>
        <w:ilvl w:val="4"/>
        <w:numId w:val="8"/>
      </w:numPr>
      <w:spacing w:after="200" w:line="276" w:lineRule="auto"/>
    </w:pPr>
    <w:rPr>
      <w:rFonts w:ascii="Arial" w:eastAsia="Calibri" w:hAnsi="Arial"/>
      <w:sz w:val="22"/>
      <w:szCs w:val="22"/>
      <w:lang w:eastAsia="en-US"/>
    </w:rPr>
  </w:style>
  <w:style w:type="character" w:customStyle="1" w:styleId="ActHead5Char">
    <w:name w:val="ActHead 5 Char"/>
    <w:aliases w:val="s Char"/>
    <w:link w:val="ActHead5"/>
    <w:locked/>
    <w:rsid w:val="004B5926"/>
    <w:rPr>
      <w:b/>
      <w:kern w:val="28"/>
      <w:sz w:val="24"/>
    </w:rPr>
  </w:style>
  <w:style w:type="paragraph" w:customStyle="1" w:styleId="ActHead5">
    <w:name w:val="ActHead 5"/>
    <w:aliases w:val="s"/>
    <w:basedOn w:val="Normal"/>
    <w:next w:val="Normal"/>
    <w:link w:val="ActHead5Char"/>
    <w:qFormat/>
    <w:rsid w:val="004B5926"/>
    <w:pPr>
      <w:keepNext/>
      <w:keepLines/>
      <w:spacing w:before="280"/>
      <w:ind w:left="1134" w:hanging="1134"/>
      <w:outlineLvl w:val="4"/>
    </w:pPr>
    <w:rPr>
      <w:b/>
      <w:kern w:val="28"/>
      <w:sz w:val="24"/>
    </w:rPr>
  </w:style>
  <w:style w:type="paragraph" w:customStyle="1" w:styleId="ItemHead">
    <w:name w:val="ItemHead"/>
    <w:aliases w:val="ih"/>
    <w:basedOn w:val="Normal"/>
    <w:next w:val="Normal"/>
    <w:rsid w:val="00B56BD9"/>
    <w:pPr>
      <w:keepNext/>
      <w:keepLines/>
      <w:spacing w:before="220"/>
      <w:ind w:left="709" w:hanging="709"/>
    </w:pPr>
    <w:rPr>
      <w:rFonts w:ascii="Arial" w:hAnsi="Arial"/>
      <w:b/>
      <w:kern w:val="28"/>
      <w:sz w:val="24"/>
    </w:rPr>
  </w:style>
  <w:style w:type="paragraph" w:customStyle="1" w:styleId="paragraphsub0">
    <w:name w:val="paragraph(sub)"/>
    <w:aliases w:val="aa"/>
    <w:basedOn w:val="Normal"/>
    <w:rsid w:val="00CE4258"/>
    <w:pPr>
      <w:tabs>
        <w:tab w:val="right" w:pos="1985"/>
      </w:tabs>
      <w:spacing w:before="40"/>
      <w:ind w:left="2098" w:hanging="2098"/>
    </w:pPr>
    <w:rPr>
      <w:rFonts w:eastAsia="Calibri"/>
      <w:sz w:val="22"/>
    </w:rPr>
  </w:style>
  <w:style w:type="character" w:customStyle="1" w:styleId="CommentTextChar">
    <w:name w:val="Comment Text Char"/>
    <w:link w:val="CommentText"/>
    <w:semiHidden/>
    <w:rsid w:val="009A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2848570">
      <w:bodyDiv w:val="1"/>
      <w:marLeft w:val="0"/>
      <w:marRight w:val="0"/>
      <w:marTop w:val="0"/>
      <w:marBottom w:val="0"/>
      <w:divBdr>
        <w:top w:val="none" w:sz="0" w:space="0" w:color="auto"/>
        <w:left w:val="none" w:sz="0" w:space="0" w:color="auto"/>
        <w:bottom w:val="none" w:sz="0" w:space="0" w:color="auto"/>
        <w:right w:val="none" w:sz="0" w:space="0" w:color="auto"/>
      </w:divBdr>
    </w:div>
    <w:div w:id="24720355">
      <w:bodyDiv w:val="1"/>
      <w:marLeft w:val="0"/>
      <w:marRight w:val="0"/>
      <w:marTop w:val="0"/>
      <w:marBottom w:val="0"/>
      <w:divBdr>
        <w:top w:val="none" w:sz="0" w:space="0" w:color="auto"/>
        <w:left w:val="none" w:sz="0" w:space="0" w:color="auto"/>
        <w:bottom w:val="none" w:sz="0" w:space="0" w:color="auto"/>
        <w:right w:val="none" w:sz="0" w:space="0" w:color="auto"/>
      </w:divBdr>
    </w:div>
    <w:div w:id="81609677">
      <w:bodyDiv w:val="1"/>
      <w:marLeft w:val="0"/>
      <w:marRight w:val="0"/>
      <w:marTop w:val="0"/>
      <w:marBottom w:val="0"/>
      <w:divBdr>
        <w:top w:val="none" w:sz="0" w:space="0" w:color="auto"/>
        <w:left w:val="none" w:sz="0" w:space="0" w:color="auto"/>
        <w:bottom w:val="none" w:sz="0" w:space="0" w:color="auto"/>
        <w:right w:val="none" w:sz="0" w:space="0" w:color="auto"/>
      </w:divBdr>
    </w:div>
    <w:div w:id="117264604">
      <w:bodyDiv w:val="1"/>
      <w:marLeft w:val="0"/>
      <w:marRight w:val="0"/>
      <w:marTop w:val="0"/>
      <w:marBottom w:val="0"/>
      <w:divBdr>
        <w:top w:val="none" w:sz="0" w:space="0" w:color="auto"/>
        <w:left w:val="none" w:sz="0" w:space="0" w:color="auto"/>
        <w:bottom w:val="none" w:sz="0" w:space="0" w:color="auto"/>
        <w:right w:val="none" w:sz="0" w:space="0" w:color="auto"/>
      </w:divBdr>
    </w:div>
    <w:div w:id="145317820">
      <w:bodyDiv w:val="1"/>
      <w:marLeft w:val="0"/>
      <w:marRight w:val="0"/>
      <w:marTop w:val="0"/>
      <w:marBottom w:val="0"/>
      <w:divBdr>
        <w:top w:val="none" w:sz="0" w:space="0" w:color="auto"/>
        <w:left w:val="none" w:sz="0" w:space="0" w:color="auto"/>
        <w:bottom w:val="none" w:sz="0" w:space="0" w:color="auto"/>
        <w:right w:val="none" w:sz="0" w:space="0" w:color="auto"/>
      </w:divBdr>
    </w:div>
    <w:div w:id="161163499">
      <w:bodyDiv w:val="1"/>
      <w:marLeft w:val="0"/>
      <w:marRight w:val="0"/>
      <w:marTop w:val="0"/>
      <w:marBottom w:val="0"/>
      <w:divBdr>
        <w:top w:val="none" w:sz="0" w:space="0" w:color="auto"/>
        <w:left w:val="none" w:sz="0" w:space="0" w:color="auto"/>
        <w:bottom w:val="none" w:sz="0" w:space="0" w:color="auto"/>
        <w:right w:val="none" w:sz="0" w:space="0" w:color="auto"/>
      </w:divBdr>
    </w:div>
    <w:div w:id="206643765">
      <w:bodyDiv w:val="1"/>
      <w:marLeft w:val="0"/>
      <w:marRight w:val="0"/>
      <w:marTop w:val="0"/>
      <w:marBottom w:val="0"/>
      <w:divBdr>
        <w:top w:val="none" w:sz="0" w:space="0" w:color="auto"/>
        <w:left w:val="none" w:sz="0" w:space="0" w:color="auto"/>
        <w:bottom w:val="none" w:sz="0" w:space="0" w:color="auto"/>
        <w:right w:val="none" w:sz="0" w:space="0" w:color="auto"/>
      </w:divBdr>
    </w:div>
    <w:div w:id="226721314">
      <w:bodyDiv w:val="1"/>
      <w:marLeft w:val="0"/>
      <w:marRight w:val="0"/>
      <w:marTop w:val="0"/>
      <w:marBottom w:val="0"/>
      <w:divBdr>
        <w:top w:val="none" w:sz="0" w:space="0" w:color="auto"/>
        <w:left w:val="none" w:sz="0" w:space="0" w:color="auto"/>
        <w:bottom w:val="none" w:sz="0" w:space="0" w:color="auto"/>
        <w:right w:val="none" w:sz="0" w:space="0" w:color="auto"/>
      </w:divBdr>
    </w:div>
    <w:div w:id="230235367">
      <w:bodyDiv w:val="1"/>
      <w:marLeft w:val="0"/>
      <w:marRight w:val="0"/>
      <w:marTop w:val="0"/>
      <w:marBottom w:val="0"/>
      <w:divBdr>
        <w:top w:val="none" w:sz="0" w:space="0" w:color="auto"/>
        <w:left w:val="none" w:sz="0" w:space="0" w:color="auto"/>
        <w:bottom w:val="none" w:sz="0" w:space="0" w:color="auto"/>
        <w:right w:val="none" w:sz="0" w:space="0" w:color="auto"/>
      </w:divBdr>
    </w:div>
    <w:div w:id="301741755">
      <w:bodyDiv w:val="1"/>
      <w:marLeft w:val="0"/>
      <w:marRight w:val="0"/>
      <w:marTop w:val="0"/>
      <w:marBottom w:val="0"/>
      <w:divBdr>
        <w:top w:val="none" w:sz="0" w:space="0" w:color="auto"/>
        <w:left w:val="none" w:sz="0" w:space="0" w:color="auto"/>
        <w:bottom w:val="none" w:sz="0" w:space="0" w:color="auto"/>
        <w:right w:val="none" w:sz="0" w:space="0" w:color="auto"/>
      </w:divBdr>
    </w:div>
    <w:div w:id="611085258">
      <w:bodyDiv w:val="1"/>
      <w:marLeft w:val="0"/>
      <w:marRight w:val="0"/>
      <w:marTop w:val="0"/>
      <w:marBottom w:val="0"/>
      <w:divBdr>
        <w:top w:val="none" w:sz="0" w:space="0" w:color="auto"/>
        <w:left w:val="none" w:sz="0" w:space="0" w:color="auto"/>
        <w:bottom w:val="none" w:sz="0" w:space="0" w:color="auto"/>
        <w:right w:val="none" w:sz="0" w:space="0" w:color="auto"/>
      </w:divBdr>
    </w:div>
    <w:div w:id="617184678">
      <w:bodyDiv w:val="1"/>
      <w:marLeft w:val="0"/>
      <w:marRight w:val="0"/>
      <w:marTop w:val="0"/>
      <w:marBottom w:val="0"/>
      <w:divBdr>
        <w:top w:val="none" w:sz="0" w:space="0" w:color="auto"/>
        <w:left w:val="none" w:sz="0" w:space="0" w:color="auto"/>
        <w:bottom w:val="none" w:sz="0" w:space="0" w:color="auto"/>
        <w:right w:val="none" w:sz="0" w:space="0" w:color="auto"/>
      </w:divBdr>
    </w:div>
    <w:div w:id="738984925">
      <w:bodyDiv w:val="1"/>
      <w:marLeft w:val="0"/>
      <w:marRight w:val="0"/>
      <w:marTop w:val="0"/>
      <w:marBottom w:val="0"/>
      <w:divBdr>
        <w:top w:val="none" w:sz="0" w:space="0" w:color="auto"/>
        <w:left w:val="none" w:sz="0" w:space="0" w:color="auto"/>
        <w:bottom w:val="none" w:sz="0" w:space="0" w:color="auto"/>
        <w:right w:val="none" w:sz="0" w:space="0" w:color="auto"/>
      </w:divBdr>
    </w:div>
    <w:div w:id="747000479">
      <w:bodyDiv w:val="1"/>
      <w:marLeft w:val="0"/>
      <w:marRight w:val="0"/>
      <w:marTop w:val="0"/>
      <w:marBottom w:val="0"/>
      <w:divBdr>
        <w:top w:val="none" w:sz="0" w:space="0" w:color="auto"/>
        <w:left w:val="none" w:sz="0" w:space="0" w:color="auto"/>
        <w:bottom w:val="none" w:sz="0" w:space="0" w:color="auto"/>
        <w:right w:val="none" w:sz="0" w:space="0" w:color="auto"/>
      </w:divBdr>
    </w:div>
    <w:div w:id="755399737">
      <w:bodyDiv w:val="1"/>
      <w:marLeft w:val="0"/>
      <w:marRight w:val="0"/>
      <w:marTop w:val="0"/>
      <w:marBottom w:val="0"/>
      <w:divBdr>
        <w:top w:val="none" w:sz="0" w:space="0" w:color="auto"/>
        <w:left w:val="none" w:sz="0" w:space="0" w:color="auto"/>
        <w:bottom w:val="none" w:sz="0" w:space="0" w:color="auto"/>
        <w:right w:val="none" w:sz="0" w:space="0" w:color="auto"/>
      </w:divBdr>
    </w:div>
    <w:div w:id="766194210">
      <w:bodyDiv w:val="1"/>
      <w:marLeft w:val="0"/>
      <w:marRight w:val="0"/>
      <w:marTop w:val="0"/>
      <w:marBottom w:val="0"/>
      <w:divBdr>
        <w:top w:val="none" w:sz="0" w:space="0" w:color="auto"/>
        <w:left w:val="none" w:sz="0" w:space="0" w:color="auto"/>
        <w:bottom w:val="none" w:sz="0" w:space="0" w:color="auto"/>
        <w:right w:val="none" w:sz="0" w:space="0" w:color="auto"/>
      </w:divBdr>
    </w:div>
    <w:div w:id="850491255">
      <w:bodyDiv w:val="1"/>
      <w:marLeft w:val="0"/>
      <w:marRight w:val="0"/>
      <w:marTop w:val="0"/>
      <w:marBottom w:val="0"/>
      <w:divBdr>
        <w:top w:val="none" w:sz="0" w:space="0" w:color="auto"/>
        <w:left w:val="none" w:sz="0" w:space="0" w:color="auto"/>
        <w:bottom w:val="none" w:sz="0" w:space="0" w:color="auto"/>
        <w:right w:val="none" w:sz="0" w:space="0" w:color="auto"/>
      </w:divBdr>
    </w:div>
    <w:div w:id="886337190">
      <w:bodyDiv w:val="1"/>
      <w:marLeft w:val="0"/>
      <w:marRight w:val="0"/>
      <w:marTop w:val="0"/>
      <w:marBottom w:val="0"/>
      <w:divBdr>
        <w:top w:val="none" w:sz="0" w:space="0" w:color="auto"/>
        <w:left w:val="none" w:sz="0" w:space="0" w:color="auto"/>
        <w:bottom w:val="none" w:sz="0" w:space="0" w:color="auto"/>
        <w:right w:val="none" w:sz="0" w:space="0" w:color="auto"/>
      </w:divBdr>
    </w:div>
    <w:div w:id="901523285">
      <w:bodyDiv w:val="1"/>
      <w:marLeft w:val="0"/>
      <w:marRight w:val="0"/>
      <w:marTop w:val="0"/>
      <w:marBottom w:val="0"/>
      <w:divBdr>
        <w:top w:val="none" w:sz="0" w:space="0" w:color="auto"/>
        <w:left w:val="none" w:sz="0" w:space="0" w:color="auto"/>
        <w:bottom w:val="none" w:sz="0" w:space="0" w:color="auto"/>
        <w:right w:val="none" w:sz="0" w:space="0" w:color="auto"/>
      </w:divBdr>
      <w:divsChild>
        <w:div w:id="1712266830">
          <w:marLeft w:val="0"/>
          <w:marRight w:val="0"/>
          <w:marTop w:val="0"/>
          <w:marBottom w:val="0"/>
          <w:divBdr>
            <w:top w:val="none" w:sz="0" w:space="0" w:color="auto"/>
            <w:left w:val="none" w:sz="0" w:space="0" w:color="auto"/>
            <w:bottom w:val="none" w:sz="0" w:space="0" w:color="auto"/>
            <w:right w:val="none" w:sz="0" w:space="0" w:color="auto"/>
          </w:divBdr>
          <w:divsChild>
            <w:div w:id="127554208">
              <w:marLeft w:val="0"/>
              <w:marRight w:val="0"/>
              <w:marTop w:val="0"/>
              <w:marBottom w:val="0"/>
              <w:divBdr>
                <w:top w:val="none" w:sz="0" w:space="0" w:color="auto"/>
                <w:left w:val="none" w:sz="0" w:space="0" w:color="auto"/>
                <w:bottom w:val="none" w:sz="0" w:space="0" w:color="auto"/>
                <w:right w:val="none" w:sz="0" w:space="0" w:color="auto"/>
              </w:divBdr>
              <w:divsChild>
                <w:div w:id="1592547831">
                  <w:marLeft w:val="0"/>
                  <w:marRight w:val="0"/>
                  <w:marTop w:val="0"/>
                  <w:marBottom w:val="0"/>
                  <w:divBdr>
                    <w:top w:val="none" w:sz="0" w:space="0" w:color="auto"/>
                    <w:left w:val="none" w:sz="0" w:space="0" w:color="auto"/>
                    <w:bottom w:val="none" w:sz="0" w:space="0" w:color="auto"/>
                    <w:right w:val="none" w:sz="0" w:space="0" w:color="auto"/>
                  </w:divBdr>
                  <w:divsChild>
                    <w:div w:id="170534300">
                      <w:marLeft w:val="0"/>
                      <w:marRight w:val="0"/>
                      <w:marTop w:val="0"/>
                      <w:marBottom w:val="0"/>
                      <w:divBdr>
                        <w:top w:val="none" w:sz="0" w:space="0" w:color="auto"/>
                        <w:left w:val="none" w:sz="0" w:space="0" w:color="auto"/>
                        <w:bottom w:val="none" w:sz="0" w:space="0" w:color="auto"/>
                        <w:right w:val="none" w:sz="0" w:space="0" w:color="auto"/>
                      </w:divBdr>
                      <w:divsChild>
                        <w:div w:id="1678457250">
                          <w:marLeft w:val="0"/>
                          <w:marRight w:val="0"/>
                          <w:marTop w:val="0"/>
                          <w:marBottom w:val="0"/>
                          <w:divBdr>
                            <w:top w:val="single" w:sz="6" w:space="0" w:color="828282"/>
                            <w:left w:val="single" w:sz="6" w:space="0" w:color="828282"/>
                            <w:bottom w:val="single" w:sz="6" w:space="0" w:color="828282"/>
                            <w:right w:val="single" w:sz="6" w:space="0" w:color="828282"/>
                          </w:divBdr>
                          <w:divsChild>
                            <w:div w:id="1450584873">
                              <w:marLeft w:val="0"/>
                              <w:marRight w:val="0"/>
                              <w:marTop w:val="0"/>
                              <w:marBottom w:val="0"/>
                              <w:divBdr>
                                <w:top w:val="none" w:sz="0" w:space="0" w:color="auto"/>
                                <w:left w:val="none" w:sz="0" w:space="0" w:color="auto"/>
                                <w:bottom w:val="none" w:sz="0" w:space="0" w:color="auto"/>
                                <w:right w:val="none" w:sz="0" w:space="0" w:color="auto"/>
                              </w:divBdr>
                              <w:divsChild>
                                <w:div w:id="22245222">
                                  <w:marLeft w:val="0"/>
                                  <w:marRight w:val="0"/>
                                  <w:marTop w:val="0"/>
                                  <w:marBottom w:val="0"/>
                                  <w:divBdr>
                                    <w:top w:val="none" w:sz="0" w:space="0" w:color="auto"/>
                                    <w:left w:val="none" w:sz="0" w:space="0" w:color="auto"/>
                                    <w:bottom w:val="none" w:sz="0" w:space="0" w:color="auto"/>
                                    <w:right w:val="none" w:sz="0" w:space="0" w:color="auto"/>
                                  </w:divBdr>
                                  <w:divsChild>
                                    <w:div w:id="843130739">
                                      <w:marLeft w:val="0"/>
                                      <w:marRight w:val="0"/>
                                      <w:marTop w:val="0"/>
                                      <w:marBottom w:val="0"/>
                                      <w:divBdr>
                                        <w:top w:val="none" w:sz="0" w:space="0" w:color="auto"/>
                                        <w:left w:val="none" w:sz="0" w:space="0" w:color="auto"/>
                                        <w:bottom w:val="none" w:sz="0" w:space="0" w:color="auto"/>
                                        <w:right w:val="none" w:sz="0" w:space="0" w:color="auto"/>
                                      </w:divBdr>
                                      <w:divsChild>
                                        <w:div w:id="774639768">
                                          <w:marLeft w:val="0"/>
                                          <w:marRight w:val="0"/>
                                          <w:marTop w:val="0"/>
                                          <w:marBottom w:val="0"/>
                                          <w:divBdr>
                                            <w:top w:val="none" w:sz="0" w:space="0" w:color="auto"/>
                                            <w:left w:val="none" w:sz="0" w:space="0" w:color="auto"/>
                                            <w:bottom w:val="none" w:sz="0" w:space="0" w:color="auto"/>
                                            <w:right w:val="none" w:sz="0" w:space="0" w:color="auto"/>
                                          </w:divBdr>
                                          <w:divsChild>
                                            <w:div w:id="1785687946">
                                              <w:marLeft w:val="0"/>
                                              <w:marRight w:val="0"/>
                                              <w:marTop w:val="0"/>
                                              <w:marBottom w:val="0"/>
                                              <w:divBdr>
                                                <w:top w:val="none" w:sz="0" w:space="0" w:color="auto"/>
                                                <w:left w:val="none" w:sz="0" w:space="0" w:color="auto"/>
                                                <w:bottom w:val="none" w:sz="0" w:space="0" w:color="auto"/>
                                                <w:right w:val="none" w:sz="0" w:space="0" w:color="auto"/>
                                              </w:divBdr>
                                              <w:divsChild>
                                                <w:div w:id="935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366561">
      <w:bodyDiv w:val="1"/>
      <w:marLeft w:val="0"/>
      <w:marRight w:val="0"/>
      <w:marTop w:val="0"/>
      <w:marBottom w:val="0"/>
      <w:divBdr>
        <w:top w:val="none" w:sz="0" w:space="0" w:color="auto"/>
        <w:left w:val="none" w:sz="0" w:space="0" w:color="auto"/>
        <w:bottom w:val="none" w:sz="0" w:space="0" w:color="auto"/>
        <w:right w:val="none" w:sz="0" w:space="0" w:color="auto"/>
      </w:divBdr>
    </w:div>
    <w:div w:id="1017079029">
      <w:bodyDiv w:val="1"/>
      <w:marLeft w:val="0"/>
      <w:marRight w:val="0"/>
      <w:marTop w:val="0"/>
      <w:marBottom w:val="0"/>
      <w:divBdr>
        <w:top w:val="none" w:sz="0" w:space="0" w:color="auto"/>
        <w:left w:val="none" w:sz="0" w:space="0" w:color="auto"/>
        <w:bottom w:val="none" w:sz="0" w:space="0" w:color="auto"/>
        <w:right w:val="none" w:sz="0" w:space="0" w:color="auto"/>
      </w:divBdr>
    </w:div>
    <w:div w:id="1117796923">
      <w:bodyDiv w:val="1"/>
      <w:marLeft w:val="0"/>
      <w:marRight w:val="0"/>
      <w:marTop w:val="0"/>
      <w:marBottom w:val="0"/>
      <w:divBdr>
        <w:top w:val="none" w:sz="0" w:space="0" w:color="auto"/>
        <w:left w:val="none" w:sz="0" w:space="0" w:color="auto"/>
        <w:bottom w:val="none" w:sz="0" w:space="0" w:color="auto"/>
        <w:right w:val="none" w:sz="0" w:space="0" w:color="auto"/>
      </w:divBdr>
    </w:div>
    <w:div w:id="1214849395">
      <w:bodyDiv w:val="1"/>
      <w:marLeft w:val="0"/>
      <w:marRight w:val="0"/>
      <w:marTop w:val="0"/>
      <w:marBottom w:val="0"/>
      <w:divBdr>
        <w:top w:val="none" w:sz="0" w:space="0" w:color="auto"/>
        <w:left w:val="none" w:sz="0" w:space="0" w:color="auto"/>
        <w:bottom w:val="none" w:sz="0" w:space="0" w:color="auto"/>
        <w:right w:val="none" w:sz="0" w:space="0" w:color="auto"/>
      </w:divBdr>
    </w:div>
    <w:div w:id="1263957280">
      <w:bodyDiv w:val="1"/>
      <w:marLeft w:val="0"/>
      <w:marRight w:val="0"/>
      <w:marTop w:val="0"/>
      <w:marBottom w:val="0"/>
      <w:divBdr>
        <w:top w:val="none" w:sz="0" w:space="0" w:color="auto"/>
        <w:left w:val="none" w:sz="0" w:space="0" w:color="auto"/>
        <w:bottom w:val="none" w:sz="0" w:space="0" w:color="auto"/>
        <w:right w:val="none" w:sz="0" w:space="0" w:color="auto"/>
      </w:divBdr>
    </w:div>
    <w:div w:id="1340231805">
      <w:bodyDiv w:val="1"/>
      <w:marLeft w:val="0"/>
      <w:marRight w:val="0"/>
      <w:marTop w:val="0"/>
      <w:marBottom w:val="0"/>
      <w:divBdr>
        <w:top w:val="none" w:sz="0" w:space="0" w:color="auto"/>
        <w:left w:val="none" w:sz="0" w:space="0" w:color="auto"/>
        <w:bottom w:val="none" w:sz="0" w:space="0" w:color="auto"/>
        <w:right w:val="none" w:sz="0" w:space="0" w:color="auto"/>
      </w:divBdr>
    </w:div>
    <w:div w:id="1360086471">
      <w:bodyDiv w:val="1"/>
      <w:marLeft w:val="0"/>
      <w:marRight w:val="0"/>
      <w:marTop w:val="0"/>
      <w:marBottom w:val="0"/>
      <w:divBdr>
        <w:top w:val="none" w:sz="0" w:space="0" w:color="auto"/>
        <w:left w:val="none" w:sz="0" w:space="0" w:color="auto"/>
        <w:bottom w:val="none" w:sz="0" w:space="0" w:color="auto"/>
        <w:right w:val="none" w:sz="0" w:space="0" w:color="auto"/>
      </w:divBdr>
    </w:div>
    <w:div w:id="1404066127">
      <w:bodyDiv w:val="1"/>
      <w:marLeft w:val="0"/>
      <w:marRight w:val="0"/>
      <w:marTop w:val="0"/>
      <w:marBottom w:val="0"/>
      <w:divBdr>
        <w:top w:val="none" w:sz="0" w:space="0" w:color="auto"/>
        <w:left w:val="none" w:sz="0" w:space="0" w:color="auto"/>
        <w:bottom w:val="none" w:sz="0" w:space="0" w:color="auto"/>
        <w:right w:val="none" w:sz="0" w:space="0" w:color="auto"/>
      </w:divBdr>
    </w:div>
    <w:div w:id="1428651698">
      <w:bodyDiv w:val="1"/>
      <w:marLeft w:val="0"/>
      <w:marRight w:val="0"/>
      <w:marTop w:val="0"/>
      <w:marBottom w:val="0"/>
      <w:divBdr>
        <w:top w:val="none" w:sz="0" w:space="0" w:color="auto"/>
        <w:left w:val="none" w:sz="0" w:space="0" w:color="auto"/>
        <w:bottom w:val="none" w:sz="0" w:space="0" w:color="auto"/>
        <w:right w:val="none" w:sz="0" w:space="0" w:color="auto"/>
      </w:divBdr>
      <w:divsChild>
        <w:div w:id="456798674">
          <w:marLeft w:val="0"/>
          <w:marRight w:val="0"/>
          <w:marTop w:val="0"/>
          <w:marBottom w:val="0"/>
          <w:divBdr>
            <w:top w:val="none" w:sz="0" w:space="0" w:color="auto"/>
            <w:left w:val="none" w:sz="0" w:space="0" w:color="auto"/>
            <w:bottom w:val="none" w:sz="0" w:space="0" w:color="auto"/>
            <w:right w:val="none" w:sz="0" w:space="0" w:color="auto"/>
          </w:divBdr>
          <w:divsChild>
            <w:div w:id="268201085">
              <w:marLeft w:val="0"/>
              <w:marRight w:val="0"/>
              <w:marTop w:val="0"/>
              <w:marBottom w:val="0"/>
              <w:divBdr>
                <w:top w:val="none" w:sz="0" w:space="0" w:color="auto"/>
                <w:left w:val="none" w:sz="0" w:space="0" w:color="auto"/>
                <w:bottom w:val="none" w:sz="0" w:space="0" w:color="auto"/>
                <w:right w:val="none" w:sz="0" w:space="0" w:color="auto"/>
              </w:divBdr>
              <w:divsChild>
                <w:div w:id="2011567549">
                  <w:marLeft w:val="0"/>
                  <w:marRight w:val="0"/>
                  <w:marTop w:val="0"/>
                  <w:marBottom w:val="0"/>
                  <w:divBdr>
                    <w:top w:val="none" w:sz="0" w:space="0" w:color="auto"/>
                    <w:left w:val="none" w:sz="0" w:space="0" w:color="auto"/>
                    <w:bottom w:val="none" w:sz="0" w:space="0" w:color="auto"/>
                    <w:right w:val="none" w:sz="0" w:space="0" w:color="auto"/>
                  </w:divBdr>
                  <w:divsChild>
                    <w:div w:id="444812803">
                      <w:marLeft w:val="0"/>
                      <w:marRight w:val="0"/>
                      <w:marTop w:val="0"/>
                      <w:marBottom w:val="0"/>
                      <w:divBdr>
                        <w:top w:val="none" w:sz="0" w:space="0" w:color="auto"/>
                        <w:left w:val="none" w:sz="0" w:space="0" w:color="auto"/>
                        <w:bottom w:val="none" w:sz="0" w:space="0" w:color="auto"/>
                        <w:right w:val="none" w:sz="0" w:space="0" w:color="auto"/>
                      </w:divBdr>
                      <w:divsChild>
                        <w:div w:id="1856842305">
                          <w:marLeft w:val="0"/>
                          <w:marRight w:val="0"/>
                          <w:marTop w:val="0"/>
                          <w:marBottom w:val="0"/>
                          <w:divBdr>
                            <w:top w:val="single" w:sz="6" w:space="0" w:color="828282"/>
                            <w:left w:val="single" w:sz="6" w:space="0" w:color="828282"/>
                            <w:bottom w:val="single" w:sz="6" w:space="0" w:color="828282"/>
                            <w:right w:val="single" w:sz="6" w:space="0" w:color="828282"/>
                          </w:divBdr>
                          <w:divsChild>
                            <w:div w:id="376705702">
                              <w:marLeft w:val="0"/>
                              <w:marRight w:val="0"/>
                              <w:marTop w:val="0"/>
                              <w:marBottom w:val="0"/>
                              <w:divBdr>
                                <w:top w:val="none" w:sz="0" w:space="0" w:color="auto"/>
                                <w:left w:val="none" w:sz="0" w:space="0" w:color="auto"/>
                                <w:bottom w:val="none" w:sz="0" w:space="0" w:color="auto"/>
                                <w:right w:val="none" w:sz="0" w:space="0" w:color="auto"/>
                              </w:divBdr>
                              <w:divsChild>
                                <w:div w:id="614213398">
                                  <w:marLeft w:val="0"/>
                                  <w:marRight w:val="0"/>
                                  <w:marTop w:val="0"/>
                                  <w:marBottom w:val="0"/>
                                  <w:divBdr>
                                    <w:top w:val="none" w:sz="0" w:space="0" w:color="auto"/>
                                    <w:left w:val="none" w:sz="0" w:space="0" w:color="auto"/>
                                    <w:bottom w:val="none" w:sz="0" w:space="0" w:color="auto"/>
                                    <w:right w:val="none" w:sz="0" w:space="0" w:color="auto"/>
                                  </w:divBdr>
                                  <w:divsChild>
                                    <w:div w:id="542402198">
                                      <w:marLeft w:val="0"/>
                                      <w:marRight w:val="0"/>
                                      <w:marTop w:val="0"/>
                                      <w:marBottom w:val="0"/>
                                      <w:divBdr>
                                        <w:top w:val="none" w:sz="0" w:space="0" w:color="auto"/>
                                        <w:left w:val="none" w:sz="0" w:space="0" w:color="auto"/>
                                        <w:bottom w:val="none" w:sz="0" w:space="0" w:color="auto"/>
                                        <w:right w:val="none" w:sz="0" w:space="0" w:color="auto"/>
                                      </w:divBdr>
                                      <w:divsChild>
                                        <w:div w:id="394744979">
                                          <w:marLeft w:val="0"/>
                                          <w:marRight w:val="0"/>
                                          <w:marTop w:val="0"/>
                                          <w:marBottom w:val="0"/>
                                          <w:divBdr>
                                            <w:top w:val="none" w:sz="0" w:space="0" w:color="auto"/>
                                            <w:left w:val="none" w:sz="0" w:space="0" w:color="auto"/>
                                            <w:bottom w:val="none" w:sz="0" w:space="0" w:color="auto"/>
                                            <w:right w:val="none" w:sz="0" w:space="0" w:color="auto"/>
                                          </w:divBdr>
                                          <w:divsChild>
                                            <w:div w:id="1874003178">
                                              <w:marLeft w:val="0"/>
                                              <w:marRight w:val="0"/>
                                              <w:marTop w:val="0"/>
                                              <w:marBottom w:val="0"/>
                                              <w:divBdr>
                                                <w:top w:val="none" w:sz="0" w:space="0" w:color="auto"/>
                                                <w:left w:val="none" w:sz="0" w:space="0" w:color="auto"/>
                                                <w:bottom w:val="none" w:sz="0" w:space="0" w:color="auto"/>
                                                <w:right w:val="none" w:sz="0" w:space="0" w:color="auto"/>
                                              </w:divBdr>
                                              <w:divsChild>
                                                <w:div w:id="180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701766">
      <w:bodyDiv w:val="1"/>
      <w:marLeft w:val="0"/>
      <w:marRight w:val="0"/>
      <w:marTop w:val="0"/>
      <w:marBottom w:val="0"/>
      <w:divBdr>
        <w:top w:val="none" w:sz="0" w:space="0" w:color="auto"/>
        <w:left w:val="none" w:sz="0" w:space="0" w:color="auto"/>
        <w:bottom w:val="none" w:sz="0" w:space="0" w:color="auto"/>
        <w:right w:val="none" w:sz="0" w:space="0" w:color="auto"/>
      </w:divBdr>
    </w:div>
    <w:div w:id="1493445067">
      <w:bodyDiv w:val="1"/>
      <w:marLeft w:val="0"/>
      <w:marRight w:val="0"/>
      <w:marTop w:val="0"/>
      <w:marBottom w:val="0"/>
      <w:divBdr>
        <w:top w:val="none" w:sz="0" w:space="0" w:color="auto"/>
        <w:left w:val="none" w:sz="0" w:space="0" w:color="auto"/>
        <w:bottom w:val="none" w:sz="0" w:space="0" w:color="auto"/>
        <w:right w:val="none" w:sz="0" w:space="0" w:color="auto"/>
      </w:divBdr>
    </w:div>
    <w:div w:id="1503735561">
      <w:bodyDiv w:val="1"/>
      <w:marLeft w:val="0"/>
      <w:marRight w:val="0"/>
      <w:marTop w:val="0"/>
      <w:marBottom w:val="0"/>
      <w:divBdr>
        <w:top w:val="none" w:sz="0" w:space="0" w:color="auto"/>
        <w:left w:val="none" w:sz="0" w:space="0" w:color="auto"/>
        <w:bottom w:val="none" w:sz="0" w:space="0" w:color="auto"/>
        <w:right w:val="none" w:sz="0" w:space="0" w:color="auto"/>
      </w:divBdr>
    </w:div>
    <w:div w:id="1513449391">
      <w:bodyDiv w:val="1"/>
      <w:marLeft w:val="0"/>
      <w:marRight w:val="0"/>
      <w:marTop w:val="0"/>
      <w:marBottom w:val="0"/>
      <w:divBdr>
        <w:top w:val="none" w:sz="0" w:space="0" w:color="auto"/>
        <w:left w:val="none" w:sz="0" w:space="0" w:color="auto"/>
        <w:bottom w:val="none" w:sz="0" w:space="0" w:color="auto"/>
        <w:right w:val="none" w:sz="0" w:space="0" w:color="auto"/>
      </w:divBdr>
    </w:div>
    <w:div w:id="1514105148">
      <w:bodyDiv w:val="1"/>
      <w:marLeft w:val="0"/>
      <w:marRight w:val="0"/>
      <w:marTop w:val="0"/>
      <w:marBottom w:val="0"/>
      <w:divBdr>
        <w:top w:val="none" w:sz="0" w:space="0" w:color="auto"/>
        <w:left w:val="none" w:sz="0" w:space="0" w:color="auto"/>
        <w:bottom w:val="none" w:sz="0" w:space="0" w:color="auto"/>
        <w:right w:val="none" w:sz="0" w:space="0" w:color="auto"/>
      </w:divBdr>
    </w:div>
    <w:div w:id="1523976133">
      <w:bodyDiv w:val="1"/>
      <w:marLeft w:val="0"/>
      <w:marRight w:val="0"/>
      <w:marTop w:val="0"/>
      <w:marBottom w:val="0"/>
      <w:divBdr>
        <w:top w:val="none" w:sz="0" w:space="0" w:color="auto"/>
        <w:left w:val="none" w:sz="0" w:space="0" w:color="auto"/>
        <w:bottom w:val="none" w:sz="0" w:space="0" w:color="auto"/>
        <w:right w:val="none" w:sz="0" w:space="0" w:color="auto"/>
      </w:divBdr>
    </w:div>
    <w:div w:id="1527404402">
      <w:bodyDiv w:val="1"/>
      <w:marLeft w:val="0"/>
      <w:marRight w:val="0"/>
      <w:marTop w:val="0"/>
      <w:marBottom w:val="0"/>
      <w:divBdr>
        <w:top w:val="none" w:sz="0" w:space="0" w:color="auto"/>
        <w:left w:val="none" w:sz="0" w:space="0" w:color="auto"/>
        <w:bottom w:val="none" w:sz="0" w:space="0" w:color="auto"/>
        <w:right w:val="none" w:sz="0" w:space="0" w:color="auto"/>
      </w:divBdr>
    </w:div>
    <w:div w:id="1587960243">
      <w:bodyDiv w:val="1"/>
      <w:marLeft w:val="0"/>
      <w:marRight w:val="0"/>
      <w:marTop w:val="0"/>
      <w:marBottom w:val="0"/>
      <w:divBdr>
        <w:top w:val="none" w:sz="0" w:space="0" w:color="auto"/>
        <w:left w:val="none" w:sz="0" w:space="0" w:color="auto"/>
        <w:bottom w:val="none" w:sz="0" w:space="0" w:color="auto"/>
        <w:right w:val="none" w:sz="0" w:space="0" w:color="auto"/>
      </w:divBdr>
    </w:div>
    <w:div w:id="1609043331">
      <w:bodyDiv w:val="1"/>
      <w:marLeft w:val="0"/>
      <w:marRight w:val="0"/>
      <w:marTop w:val="0"/>
      <w:marBottom w:val="0"/>
      <w:divBdr>
        <w:top w:val="none" w:sz="0" w:space="0" w:color="auto"/>
        <w:left w:val="none" w:sz="0" w:space="0" w:color="auto"/>
        <w:bottom w:val="none" w:sz="0" w:space="0" w:color="auto"/>
        <w:right w:val="none" w:sz="0" w:space="0" w:color="auto"/>
      </w:divBdr>
      <w:divsChild>
        <w:div w:id="762066560">
          <w:marLeft w:val="0"/>
          <w:marRight w:val="0"/>
          <w:marTop w:val="0"/>
          <w:marBottom w:val="0"/>
          <w:divBdr>
            <w:top w:val="none" w:sz="0" w:space="0" w:color="auto"/>
            <w:left w:val="none" w:sz="0" w:space="0" w:color="auto"/>
            <w:bottom w:val="none" w:sz="0" w:space="0" w:color="auto"/>
            <w:right w:val="none" w:sz="0" w:space="0" w:color="auto"/>
          </w:divBdr>
          <w:divsChild>
            <w:div w:id="995885497">
              <w:marLeft w:val="0"/>
              <w:marRight w:val="0"/>
              <w:marTop w:val="0"/>
              <w:marBottom w:val="0"/>
              <w:divBdr>
                <w:top w:val="none" w:sz="0" w:space="0" w:color="auto"/>
                <w:left w:val="none" w:sz="0" w:space="0" w:color="auto"/>
                <w:bottom w:val="none" w:sz="0" w:space="0" w:color="auto"/>
                <w:right w:val="none" w:sz="0" w:space="0" w:color="auto"/>
              </w:divBdr>
              <w:divsChild>
                <w:div w:id="387801950">
                  <w:marLeft w:val="0"/>
                  <w:marRight w:val="0"/>
                  <w:marTop w:val="0"/>
                  <w:marBottom w:val="0"/>
                  <w:divBdr>
                    <w:top w:val="none" w:sz="0" w:space="0" w:color="auto"/>
                    <w:left w:val="none" w:sz="0" w:space="0" w:color="auto"/>
                    <w:bottom w:val="none" w:sz="0" w:space="0" w:color="auto"/>
                    <w:right w:val="none" w:sz="0" w:space="0" w:color="auto"/>
                  </w:divBdr>
                  <w:divsChild>
                    <w:div w:id="1280449585">
                      <w:marLeft w:val="0"/>
                      <w:marRight w:val="0"/>
                      <w:marTop w:val="0"/>
                      <w:marBottom w:val="0"/>
                      <w:divBdr>
                        <w:top w:val="none" w:sz="0" w:space="0" w:color="auto"/>
                        <w:left w:val="none" w:sz="0" w:space="0" w:color="auto"/>
                        <w:bottom w:val="none" w:sz="0" w:space="0" w:color="auto"/>
                        <w:right w:val="none" w:sz="0" w:space="0" w:color="auto"/>
                      </w:divBdr>
                      <w:divsChild>
                        <w:div w:id="870607778">
                          <w:marLeft w:val="0"/>
                          <w:marRight w:val="0"/>
                          <w:marTop w:val="0"/>
                          <w:marBottom w:val="0"/>
                          <w:divBdr>
                            <w:top w:val="single" w:sz="6" w:space="0" w:color="828282"/>
                            <w:left w:val="single" w:sz="6" w:space="0" w:color="828282"/>
                            <w:bottom w:val="single" w:sz="6" w:space="0" w:color="828282"/>
                            <w:right w:val="single" w:sz="6" w:space="0" w:color="828282"/>
                          </w:divBdr>
                          <w:divsChild>
                            <w:div w:id="598752448">
                              <w:marLeft w:val="0"/>
                              <w:marRight w:val="0"/>
                              <w:marTop w:val="0"/>
                              <w:marBottom w:val="0"/>
                              <w:divBdr>
                                <w:top w:val="none" w:sz="0" w:space="0" w:color="auto"/>
                                <w:left w:val="none" w:sz="0" w:space="0" w:color="auto"/>
                                <w:bottom w:val="none" w:sz="0" w:space="0" w:color="auto"/>
                                <w:right w:val="none" w:sz="0" w:space="0" w:color="auto"/>
                              </w:divBdr>
                              <w:divsChild>
                                <w:div w:id="1653292704">
                                  <w:marLeft w:val="0"/>
                                  <w:marRight w:val="0"/>
                                  <w:marTop w:val="0"/>
                                  <w:marBottom w:val="0"/>
                                  <w:divBdr>
                                    <w:top w:val="none" w:sz="0" w:space="0" w:color="auto"/>
                                    <w:left w:val="none" w:sz="0" w:space="0" w:color="auto"/>
                                    <w:bottom w:val="none" w:sz="0" w:space="0" w:color="auto"/>
                                    <w:right w:val="none" w:sz="0" w:space="0" w:color="auto"/>
                                  </w:divBdr>
                                  <w:divsChild>
                                    <w:div w:id="799155565">
                                      <w:marLeft w:val="0"/>
                                      <w:marRight w:val="0"/>
                                      <w:marTop w:val="0"/>
                                      <w:marBottom w:val="0"/>
                                      <w:divBdr>
                                        <w:top w:val="none" w:sz="0" w:space="0" w:color="auto"/>
                                        <w:left w:val="none" w:sz="0" w:space="0" w:color="auto"/>
                                        <w:bottom w:val="none" w:sz="0" w:space="0" w:color="auto"/>
                                        <w:right w:val="none" w:sz="0" w:space="0" w:color="auto"/>
                                      </w:divBdr>
                                      <w:divsChild>
                                        <w:div w:id="329254206">
                                          <w:marLeft w:val="0"/>
                                          <w:marRight w:val="0"/>
                                          <w:marTop w:val="0"/>
                                          <w:marBottom w:val="0"/>
                                          <w:divBdr>
                                            <w:top w:val="none" w:sz="0" w:space="0" w:color="auto"/>
                                            <w:left w:val="none" w:sz="0" w:space="0" w:color="auto"/>
                                            <w:bottom w:val="none" w:sz="0" w:space="0" w:color="auto"/>
                                            <w:right w:val="none" w:sz="0" w:space="0" w:color="auto"/>
                                          </w:divBdr>
                                          <w:divsChild>
                                            <w:div w:id="538397922">
                                              <w:marLeft w:val="0"/>
                                              <w:marRight w:val="0"/>
                                              <w:marTop w:val="0"/>
                                              <w:marBottom w:val="0"/>
                                              <w:divBdr>
                                                <w:top w:val="none" w:sz="0" w:space="0" w:color="auto"/>
                                                <w:left w:val="none" w:sz="0" w:space="0" w:color="auto"/>
                                                <w:bottom w:val="none" w:sz="0" w:space="0" w:color="auto"/>
                                                <w:right w:val="none" w:sz="0" w:space="0" w:color="auto"/>
                                              </w:divBdr>
                                              <w:divsChild>
                                                <w:div w:id="350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1094007">
      <w:bodyDiv w:val="1"/>
      <w:marLeft w:val="0"/>
      <w:marRight w:val="0"/>
      <w:marTop w:val="0"/>
      <w:marBottom w:val="0"/>
      <w:divBdr>
        <w:top w:val="none" w:sz="0" w:space="0" w:color="auto"/>
        <w:left w:val="none" w:sz="0" w:space="0" w:color="auto"/>
        <w:bottom w:val="none" w:sz="0" w:space="0" w:color="auto"/>
        <w:right w:val="none" w:sz="0" w:space="0" w:color="auto"/>
      </w:divBdr>
    </w:div>
    <w:div w:id="1930498940">
      <w:bodyDiv w:val="1"/>
      <w:marLeft w:val="0"/>
      <w:marRight w:val="0"/>
      <w:marTop w:val="0"/>
      <w:marBottom w:val="0"/>
      <w:divBdr>
        <w:top w:val="none" w:sz="0" w:space="0" w:color="auto"/>
        <w:left w:val="none" w:sz="0" w:space="0" w:color="auto"/>
        <w:bottom w:val="none" w:sz="0" w:space="0" w:color="auto"/>
        <w:right w:val="none" w:sz="0" w:space="0" w:color="auto"/>
      </w:divBdr>
    </w:div>
    <w:div w:id="1972442695">
      <w:bodyDiv w:val="1"/>
      <w:marLeft w:val="0"/>
      <w:marRight w:val="0"/>
      <w:marTop w:val="0"/>
      <w:marBottom w:val="0"/>
      <w:divBdr>
        <w:top w:val="none" w:sz="0" w:space="0" w:color="auto"/>
        <w:left w:val="none" w:sz="0" w:space="0" w:color="auto"/>
        <w:bottom w:val="none" w:sz="0" w:space="0" w:color="auto"/>
        <w:right w:val="none" w:sz="0" w:space="0" w:color="auto"/>
      </w:divBdr>
    </w:div>
    <w:div w:id="1989943156">
      <w:bodyDiv w:val="1"/>
      <w:marLeft w:val="0"/>
      <w:marRight w:val="0"/>
      <w:marTop w:val="0"/>
      <w:marBottom w:val="0"/>
      <w:divBdr>
        <w:top w:val="none" w:sz="0" w:space="0" w:color="auto"/>
        <w:left w:val="none" w:sz="0" w:space="0" w:color="auto"/>
        <w:bottom w:val="none" w:sz="0" w:space="0" w:color="auto"/>
        <w:right w:val="none" w:sz="0" w:space="0" w:color="auto"/>
      </w:divBdr>
    </w:div>
    <w:div w:id="2083406573">
      <w:bodyDiv w:val="1"/>
      <w:marLeft w:val="0"/>
      <w:marRight w:val="0"/>
      <w:marTop w:val="0"/>
      <w:marBottom w:val="0"/>
      <w:divBdr>
        <w:top w:val="none" w:sz="0" w:space="0" w:color="auto"/>
        <w:left w:val="none" w:sz="0" w:space="0" w:color="auto"/>
        <w:bottom w:val="none" w:sz="0" w:space="0" w:color="auto"/>
        <w:right w:val="none" w:sz="0" w:space="0" w:color="auto"/>
      </w:divBdr>
      <w:divsChild>
        <w:div w:id="1081292653">
          <w:marLeft w:val="0"/>
          <w:marRight w:val="0"/>
          <w:marTop w:val="0"/>
          <w:marBottom w:val="0"/>
          <w:divBdr>
            <w:top w:val="none" w:sz="0" w:space="0" w:color="auto"/>
            <w:left w:val="none" w:sz="0" w:space="0" w:color="auto"/>
            <w:bottom w:val="none" w:sz="0" w:space="0" w:color="auto"/>
            <w:right w:val="none" w:sz="0" w:space="0" w:color="auto"/>
          </w:divBdr>
          <w:divsChild>
            <w:div w:id="230314625">
              <w:marLeft w:val="0"/>
              <w:marRight w:val="0"/>
              <w:marTop w:val="0"/>
              <w:marBottom w:val="0"/>
              <w:divBdr>
                <w:top w:val="none" w:sz="0" w:space="0" w:color="auto"/>
                <w:left w:val="none" w:sz="0" w:space="0" w:color="auto"/>
                <w:bottom w:val="none" w:sz="0" w:space="0" w:color="auto"/>
                <w:right w:val="none" w:sz="0" w:space="0" w:color="auto"/>
              </w:divBdr>
              <w:divsChild>
                <w:div w:id="1439637526">
                  <w:marLeft w:val="0"/>
                  <w:marRight w:val="0"/>
                  <w:marTop w:val="0"/>
                  <w:marBottom w:val="0"/>
                  <w:divBdr>
                    <w:top w:val="none" w:sz="0" w:space="0" w:color="auto"/>
                    <w:left w:val="none" w:sz="0" w:space="0" w:color="auto"/>
                    <w:bottom w:val="none" w:sz="0" w:space="0" w:color="auto"/>
                    <w:right w:val="none" w:sz="0" w:space="0" w:color="auto"/>
                  </w:divBdr>
                  <w:divsChild>
                    <w:div w:id="288781399">
                      <w:marLeft w:val="0"/>
                      <w:marRight w:val="0"/>
                      <w:marTop w:val="0"/>
                      <w:marBottom w:val="0"/>
                      <w:divBdr>
                        <w:top w:val="none" w:sz="0" w:space="0" w:color="auto"/>
                        <w:left w:val="none" w:sz="0" w:space="0" w:color="auto"/>
                        <w:bottom w:val="none" w:sz="0" w:space="0" w:color="auto"/>
                        <w:right w:val="none" w:sz="0" w:space="0" w:color="auto"/>
                      </w:divBdr>
                      <w:divsChild>
                        <w:div w:id="331448129">
                          <w:marLeft w:val="0"/>
                          <w:marRight w:val="0"/>
                          <w:marTop w:val="0"/>
                          <w:marBottom w:val="0"/>
                          <w:divBdr>
                            <w:top w:val="single" w:sz="6" w:space="0" w:color="828282"/>
                            <w:left w:val="single" w:sz="6" w:space="0" w:color="828282"/>
                            <w:bottom w:val="single" w:sz="6" w:space="0" w:color="828282"/>
                            <w:right w:val="single" w:sz="6" w:space="0" w:color="828282"/>
                          </w:divBdr>
                          <w:divsChild>
                            <w:div w:id="624772782">
                              <w:marLeft w:val="0"/>
                              <w:marRight w:val="0"/>
                              <w:marTop w:val="0"/>
                              <w:marBottom w:val="0"/>
                              <w:divBdr>
                                <w:top w:val="none" w:sz="0" w:space="0" w:color="auto"/>
                                <w:left w:val="none" w:sz="0" w:space="0" w:color="auto"/>
                                <w:bottom w:val="none" w:sz="0" w:space="0" w:color="auto"/>
                                <w:right w:val="none" w:sz="0" w:space="0" w:color="auto"/>
                              </w:divBdr>
                              <w:divsChild>
                                <w:div w:id="383339086">
                                  <w:marLeft w:val="0"/>
                                  <w:marRight w:val="0"/>
                                  <w:marTop w:val="0"/>
                                  <w:marBottom w:val="0"/>
                                  <w:divBdr>
                                    <w:top w:val="none" w:sz="0" w:space="0" w:color="auto"/>
                                    <w:left w:val="none" w:sz="0" w:space="0" w:color="auto"/>
                                    <w:bottom w:val="none" w:sz="0" w:space="0" w:color="auto"/>
                                    <w:right w:val="none" w:sz="0" w:space="0" w:color="auto"/>
                                  </w:divBdr>
                                  <w:divsChild>
                                    <w:div w:id="958612949">
                                      <w:marLeft w:val="0"/>
                                      <w:marRight w:val="0"/>
                                      <w:marTop w:val="0"/>
                                      <w:marBottom w:val="0"/>
                                      <w:divBdr>
                                        <w:top w:val="none" w:sz="0" w:space="0" w:color="auto"/>
                                        <w:left w:val="none" w:sz="0" w:space="0" w:color="auto"/>
                                        <w:bottom w:val="none" w:sz="0" w:space="0" w:color="auto"/>
                                        <w:right w:val="none" w:sz="0" w:space="0" w:color="auto"/>
                                      </w:divBdr>
                                      <w:divsChild>
                                        <w:div w:id="931670344">
                                          <w:marLeft w:val="0"/>
                                          <w:marRight w:val="0"/>
                                          <w:marTop w:val="0"/>
                                          <w:marBottom w:val="0"/>
                                          <w:divBdr>
                                            <w:top w:val="none" w:sz="0" w:space="0" w:color="auto"/>
                                            <w:left w:val="none" w:sz="0" w:space="0" w:color="auto"/>
                                            <w:bottom w:val="none" w:sz="0" w:space="0" w:color="auto"/>
                                            <w:right w:val="none" w:sz="0" w:space="0" w:color="auto"/>
                                          </w:divBdr>
                                          <w:divsChild>
                                            <w:div w:id="766851371">
                                              <w:marLeft w:val="0"/>
                                              <w:marRight w:val="0"/>
                                              <w:marTop w:val="0"/>
                                              <w:marBottom w:val="0"/>
                                              <w:divBdr>
                                                <w:top w:val="none" w:sz="0" w:space="0" w:color="auto"/>
                                                <w:left w:val="none" w:sz="0" w:space="0" w:color="auto"/>
                                                <w:bottom w:val="none" w:sz="0" w:space="0" w:color="auto"/>
                                                <w:right w:val="none" w:sz="0" w:space="0" w:color="auto"/>
                                              </w:divBdr>
                                              <w:divsChild>
                                                <w:div w:id="8198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health.gov.au/inter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1.health.gov.au/internet/main/publishing.nsf/Content/7cpa-communique-23July20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0E0D8-C5C6-4FB1-9D6B-42DB08EE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4709</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DVA</Company>
  <LinksUpToDate>false</LinksUpToDate>
  <CharactersWithSpaces>31807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CCOLLM</dc:creator>
  <cp:keywords/>
  <cp:lastModifiedBy>Downey, Michael</cp:lastModifiedBy>
  <cp:revision>8</cp:revision>
  <cp:lastPrinted>2020-02-10T05:00:00Z</cp:lastPrinted>
  <dcterms:created xsi:type="dcterms:W3CDTF">2020-06-29T00:07:00Z</dcterms:created>
  <dcterms:modified xsi:type="dcterms:W3CDTF">2020-06-30T06:23:00Z</dcterms:modified>
</cp:coreProperties>
</file>