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C7C91" w14:textId="77777777" w:rsidR="00C96CC7" w:rsidRPr="00D95C15" w:rsidRDefault="00C96CC7" w:rsidP="00C96CC7">
      <w:pPr>
        <w:jc w:val="center"/>
        <w:rPr>
          <w:b/>
          <w:sz w:val="28"/>
          <w:u w:val="single"/>
        </w:rPr>
      </w:pPr>
      <w:bookmarkStart w:id="0" w:name="_GoBack"/>
      <w:bookmarkEnd w:id="0"/>
      <w:r w:rsidRPr="00D95C15">
        <w:rPr>
          <w:b/>
          <w:sz w:val="28"/>
          <w:u w:val="single"/>
        </w:rPr>
        <w:t>EXPLANATORY STATEMENT</w:t>
      </w:r>
    </w:p>
    <w:p w14:paraId="3A83A3D0" w14:textId="77777777" w:rsidR="00C96CC7" w:rsidRPr="008F2671" w:rsidRDefault="00C96CC7" w:rsidP="00C96CC7"/>
    <w:p w14:paraId="673033EF" w14:textId="77777777" w:rsidR="00C96CC7" w:rsidRPr="008F2671" w:rsidRDefault="00C96CC7" w:rsidP="00C96CC7">
      <w:pPr>
        <w:ind w:right="91"/>
        <w:jc w:val="center"/>
        <w:rPr>
          <w:i/>
        </w:rPr>
      </w:pPr>
      <w:r w:rsidRPr="008F2671">
        <w:rPr>
          <w:i/>
        </w:rPr>
        <w:t>National Vocational Education and Training Regulator Regulations 2011</w:t>
      </w:r>
    </w:p>
    <w:p w14:paraId="3F453BB4" w14:textId="77777777" w:rsidR="00C96CC7" w:rsidRPr="008F2671" w:rsidRDefault="00C96CC7" w:rsidP="008711AC">
      <w:pPr>
        <w:rPr>
          <w:i/>
        </w:rPr>
      </w:pPr>
    </w:p>
    <w:p w14:paraId="5E104719" w14:textId="77777777" w:rsidR="00C96CC7" w:rsidRPr="008F2671" w:rsidRDefault="00C96CC7" w:rsidP="00303C11">
      <w:pPr>
        <w:jc w:val="center"/>
        <w:rPr>
          <w:i/>
        </w:rPr>
      </w:pPr>
      <w:r w:rsidRPr="008F2671">
        <w:rPr>
          <w:i/>
        </w:rPr>
        <w:t>National Vocational Education and Training Regulator Amendment (</w:t>
      </w:r>
      <w:r w:rsidR="003A67D8" w:rsidRPr="008F2671">
        <w:rPr>
          <w:i/>
        </w:rPr>
        <w:t>2020 Measures No.1</w:t>
      </w:r>
      <w:r w:rsidRPr="008F2671">
        <w:rPr>
          <w:i/>
        </w:rPr>
        <w:t>) Regulations 20</w:t>
      </w:r>
      <w:r w:rsidR="003A67D8" w:rsidRPr="008F2671">
        <w:rPr>
          <w:i/>
        </w:rPr>
        <w:t>20</w:t>
      </w:r>
    </w:p>
    <w:p w14:paraId="31847AB3" w14:textId="77777777" w:rsidR="001030C6" w:rsidRPr="008F2671" w:rsidRDefault="001030C6" w:rsidP="001030C6">
      <w:pPr>
        <w:ind w:right="91"/>
        <w:rPr>
          <w:b/>
        </w:rPr>
      </w:pPr>
    </w:p>
    <w:p w14:paraId="4263FF17" w14:textId="77777777" w:rsidR="00C96CC7" w:rsidRPr="008F2671" w:rsidRDefault="00C96CC7" w:rsidP="00D95C15">
      <w:pPr>
        <w:spacing w:after="120"/>
        <w:ind w:right="91"/>
        <w:rPr>
          <w:b/>
        </w:rPr>
      </w:pPr>
      <w:r w:rsidRPr="00D95C15">
        <w:rPr>
          <w:b/>
          <w:sz w:val="28"/>
        </w:rPr>
        <w:t>Authority</w:t>
      </w:r>
    </w:p>
    <w:p w14:paraId="113DFBEF" w14:textId="78D64BBA" w:rsidR="00303C11" w:rsidRPr="008F2671" w:rsidRDefault="00C96CC7" w:rsidP="001030C6">
      <w:pPr>
        <w:autoSpaceDE w:val="0"/>
        <w:autoSpaceDN w:val="0"/>
        <w:adjustRightInd w:val="0"/>
      </w:pPr>
      <w:r w:rsidRPr="008F2671">
        <w:t xml:space="preserve">Section 235 of the </w:t>
      </w:r>
      <w:r w:rsidRPr="008F2671">
        <w:rPr>
          <w:i/>
        </w:rPr>
        <w:t xml:space="preserve">National Vocational Education and Training Regulator Act 2011 </w:t>
      </w:r>
      <w:r w:rsidRPr="008F2671">
        <w:t>(</w:t>
      </w:r>
      <w:r w:rsidR="00561560" w:rsidRPr="008F2671">
        <w:t xml:space="preserve">the </w:t>
      </w:r>
      <w:r w:rsidRPr="008F2671">
        <w:t>Act) empowers the Governor-General to make regulations prescribing matters required or permitted by the Act to be prescribed, or necessary or convenient to be prescribed</w:t>
      </w:r>
      <w:r w:rsidR="00633612">
        <w:t>,</w:t>
      </w:r>
      <w:r w:rsidRPr="008F2671">
        <w:t xml:space="preserve"> for carrying out or giving effect to the Act.</w:t>
      </w:r>
    </w:p>
    <w:p w14:paraId="11F6CCDB" w14:textId="77777777" w:rsidR="00303C11" w:rsidRPr="008F2671" w:rsidRDefault="00303C11" w:rsidP="001030C6">
      <w:pPr>
        <w:autoSpaceDE w:val="0"/>
        <w:autoSpaceDN w:val="0"/>
        <w:adjustRightInd w:val="0"/>
      </w:pPr>
    </w:p>
    <w:p w14:paraId="441D968B" w14:textId="77777777" w:rsidR="00C96CC7" w:rsidRPr="008F2671" w:rsidRDefault="00C96CC7" w:rsidP="001030C6">
      <w:pPr>
        <w:autoSpaceDE w:val="0"/>
        <w:autoSpaceDN w:val="0"/>
        <w:adjustRightInd w:val="0"/>
      </w:pPr>
      <w:r w:rsidRPr="008F2671">
        <w:t xml:space="preserve">Under subsection 33(3) of the </w:t>
      </w:r>
      <w:r w:rsidRPr="008F2671">
        <w:rPr>
          <w:i/>
        </w:rPr>
        <w:t xml:space="preserve">Acts Interpretation Act 1901, </w:t>
      </w:r>
      <w:r w:rsidRPr="008F2671">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w:t>
      </w:r>
      <w:r w:rsidR="00AD0678" w:rsidRPr="008F2671">
        <w:t>d, or vary any such instrument.</w:t>
      </w:r>
    </w:p>
    <w:p w14:paraId="3E253A0C" w14:textId="77777777" w:rsidR="00C96CC7" w:rsidRPr="008F2671" w:rsidRDefault="00C96CC7" w:rsidP="001030C6">
      <w:pPr>
        <w:autoSpaceDE w:val="0"/>
        <w:autoSpaceDN w:val="0"/>
        <w:adjustRightInd w:val="0"/>
      </w:pPr>
    </w:p>
    <w:p w14:paraId="3530B940" w14:textId="77777777" w:rsidR="00C96CC7" w:rsidRPr="00D95C15" w:rsidRDefault="00C96CC7" w:rsidP="00D95C15">
      <w:pPr>
        <w:autoSpaceDE w:val="0"/>
        <w:autoSpaceDN w:val="0"/>
        <w:adjustRightInd w:val="0"/>
        <w:spacing w:after="120"/>
        <w:rPr>
          <w:b/>
          <w:sz w:val="28"/>
        </w:rPr>
      </w:pPr>
      <w:r w:rsidRPr="00D95C15">
        <w:rPr>
          <w:b/>
          <w:sz w:val="28"/>
        </w:rPr>
        <w:t>Background</w:t>
      </w:r>
    </w:p>
    <w:p w14:paraId="293F8C64" w14:textId="77777777" w:rsidR="00C96CC7" w:rsidRPr="008F2671" w:rsidRDefault="00C96CC7" w:rsidP="001030C6">
      <w:pPr>
        <w:ind w:right="91"/>
      </w:pPr>
      <w:r w:rsidRPr="008F2671">
        <w:t>The Act establis</w:t>
      </w:r>
      <w:r w:rsidR="003A67D8" w:rsidRPr="008F2671">
        <w:t xml:space="preserve">hes the National VET Regulator </w:t>
      </w:r>
      <w:r w:rsidRPr="008F2671">
        <w:t>(</w:t>
      </w:r>
      <w:r w:rsidR="00561560" w:rsidRPr="008F2671">
        <w:t xml:space="preserve">the </w:t>
      </w:r>
      <w:r w:rsidRPr="008F2671">
        <w:t xml:space="preserve">Regulator) and provides a legislative framework for the regulation of vocational education and training (VET). This legislative framework consists of the Act, the </w:t>
      </w:r>
      <w:r w:rsidRPr="008F2671">
        <w:rPr>
          <w:i/>
        </w:rPr>
        <w:t>National Vocational Education and Training Regulator (Transitional Provisions) Act 2011</w:t>
      </w:r>
      <w:r w:rsidRPr="008F2671">
        <w:t xml:space="preserve">, the </w:t>
      </w:r>
      <w:r w:rsidRPr="008F2671">
        <w:rPr>
          <w:i/>
        </w:rPr>
        <w:t>National Vocational Education and Training Regulator (Consequential Amendments) Act 2011</w:t>
      </w:r>
      <w:r w:rsidR="001E10DF" w:rsidRPr="008F2671">
        <w:rPr>
          <w:i/>
        </w:rPr>
        <w:t>,</w:t>
      </w:r>
      <w:r w:rsidRPr="008F2671">
        <w:t xml:space="preserve"> the </w:t>
      </w:r>
      <w:r w:rsidRPr="008F2671">
        <w:rPr>
          <w:i/>
        </w:rPr>
        <w:t xml:space="preserve">National Vocational Education and Training Regulator (Charges) Act 2012 </w:t>
      </w:r>
      <w:r w:rsidR="00AD0678" w:rsidRPr="008F2671">
        <w:t xml:space="preserve">and associated </w:t>
      </w:r>
      <w:r w:rsidR="0005136B" w:rsidRPr="008F2671">
        <w:t>subordinate legislation</w:t>
      </w:r>
      <w:r w:rsidR="00AD0678" w:rsidRPr="008F2671">
        <w:t>.</w:t>
      </w:r>
    </w:p>
    <w:p w14:paraId="05F99E64" w14:textId="77777777" w:rsidR="0005136B" w:rsidRPr="008F2671" w:rsidRDefault="0005136B" w:rsidP="001030C6">
      <w:pPr>
        <w:ind w:right="91"/>
      </w:pPr>
    </w:p>
    <w:p w14:paraId="543E0F6F" w14:textId="77777777" w:rsidR="005A3998" w:rsidRPr="00D95C15" w:rsidRDefault="00C96CC7" w:rsidP="001030C6">
      <w:pPr>
        <w:ind w:right="91"/>
      </w:pPr>
      <w:r w:rsidRPr="00D95C15">
        <w:t xml:space="preserve">The </w:t>
      </w:r>
      <w:r w:rsidRPr="00D95C15">
        <w:rPr>
          <w:i/>
        </w:rPr>
        <w:t xml:space="preserve">National Vocational Education and Training Regulator Regulations 2011 </w:t>
      </w:r>
      <w:r w:rsidRPr="00D95C15">
        <w:t>(</w:t>
      </w:r>
      <w:r w:rsidR="00561560" w:rsidRPr="00D95C15">
        <w:t xml:space="preserve">the </w:t>
      </w:r>
      <w:r w:rsidR="00D95C15">
        <w:t>Principal Regulations</w:t>
      </w:r>
      <w:r w:rsidRPr="00D95C15">
        <w:t>) contain provisions</w:t>
      </w:r>
      <w:r w:rsidR="005A3998" w:rsidRPr="00D95C15">
        <w:t>:</w:t>
      </w:r>
      <w:r w:rsidRPr="00D95C15">
        <w:t xml:space="preserve"> </w:t>
      </w:r>
    </w:p>
    <w:p w14:paraId="6BE2FC80" w14:textId="77777777" w:rsidR="005A3998" w:rsidRPr="00D95C15" w:rsidRDefault="00C96CC7" w:rsidP="00D95C15">
      <w:pPr>
        <w:pStyle w:val="ListParagraph"/>
        <w:numPr>
          <w:ilvl w:val="0"/>
          <w:numId w:val="16"/>
        </w:numPr>
        <w:ind w:right="91"/>
      </w:pPr>
      <w:r w:rsidRPr="00D95C15">
        <w:t xml:space="preserve">prescribing matters </w:t>
      </w:r>
      <w:r w:rsidR="005A3998" w:rsidRPr="00D95C15">
        <w:t>for certificates of registration</w:t>
      </w:r>
      <w:r w:rsidR="0012418A">
        <w:t xml:space="preserve"> of NVR registered training</w:t>
      </w:r>
      <w:r w:rsidR="00236FC0">
        <w:t xml:space="preserve"> organisations</w:t>
      </w:r>
      <w:r w:rsidR="0012418A">
        <w:t xml:space="preserve"> </w:t>
      </w:r>
      <w:r w:rsidR="008C7039" w:rsidRPr="008F2671">
        <w:t>(</w:t>
      </w:r>
      <w:r w:rsidR="00236FC0">
        <w:t xml:space="preserve">NVR </w:t>
      </w:r>
      <w:r w:rsidR="008C7039" w:rsidRPr="008F2671">
        <w:t>RTOs)</w:t>
      </w:r>
      <w:r w:rsidR="005A3998" w:rsidRPr="00D95C15">
        <w:t xml:space="preserve">; </w:t>
      </w:r>
    </w:p>
    <w:p w14:paraId="7DFD98E8" w14:textId="77777777" w:rsidR="005A3998" w:rsidRPr="00D95C15" w:rsidRDefault="005A3998" w:rsidP="00D95C15">
      <w:pPr>
        <w:pStyle w:val="ListParagraph"/>
        <w:numPr>
          <w:ilvl w:val="0"/>
          <w:numId w:val="16"/>
        </w:numPr>
        <w:ind w:right="91"/>
      </w:pPr>
      <w:r w:rsidRPr="00D95C15">
        <w:t>prescribing certain conditions of registration</w:t>
      </w:r>
      <w:r w:rsidR="0012418A">
        <w:t xml:space="preserve"> of NVR </w:t>
      </w:r>
      <w:r w:rsidR="008C7039">
        <w:t>RTOs</w:t>
      </w:r>
      <w:r w:rsidRPr="00D95C15">
        <w:t>;</w:t>
      </w:r>
    </w:p>
    <w:p w14:paraId="04DFF764" w14:textId="77777777" w:rsidR="00BB4B33" w:rsidRPr="00D95C15" w:rsidRDefault="00BB4B33" w:rsidP="00D95C15">
      <w:pPr>
        <w:pStyle w:val="ListParagraph"/>
        <w:numPr>
          <w:ilvl w:val="0"/>
          <w:numId w:val="16"/>
        </w:numPr>
        <w:ind w:right="91"/>
      </w:pPr>
      <w:r w:rsidRPr="00D95C15">
        <w:t xml:space="preserve">clarifying </w:t>
      </w:r>
      <w:r w:rsidR="00EF2373" w:rsidRPr="00D95C15">
        <w:t xml:space="preserve">that certain </w:t>
      </w:r>
      <w:r w:rsidR="005A3998" w:rsidRPr="00D95C15">
        <w:t xml:space="preserve">sections of the Act </w:t>
      </w:r>
      <w:r w:rsidR="00EF2373" w:rsidRPr="00D95C15">
        <w:t xml:space="preserve">are </w:t>
      </w:r>
      <w:r w:rsidR="005A3998" w:rsidRPr="00D95C15">
        <w:t>subject to an infringement notice</w:t>
      </w:r>
      <w:r w:rsidRPr="00D95C15">
        <w:t>;</w:t>
      </w:r>
    </w:p>
    <w:p w14:paraId="1F227B97" w14:textId="77777777" w:rsidR="00BB4B33" w:rsidRPr="00D95C15" w:rsidRDefault="002C61DE" w:rsidP="00D95C15">
      <w:pPr>
        <w:pStyle w:val="ListParagraph"/>
        <w:numPr>
          <w:ilvl w:val="0"/>
          <w:numId w:val="16"/>
        </w:numPr>
        <w:ind w:right="91"/>
      </w:pPr>
      <w:r w:rsidRPr="00D95C15">
        <w:t>setting out</w:t>
      </w:r>
      <w:r w:rsidR="005A3998" w:rsidRPr="00D95C15">
        <w:t xml:space="preserve"> the definition of an infringement officer; </w:t>
      </w:r>
    </w:p>
    <w:p w14:paraId="08EC158B" w14:textId="77777777" w:rsidR="00BB4B33" w:rsidRPr="00D95C15" w:rsidRDefault="00BB4B33" w:rsidP="00D95C15">
      <w:pPr>
        <w:pStyle w:val="ListParagraph"/>
        <w:numPr>
          <w:ilvl w:val="0"/>
          <w:numId w:val="16"/>
        </w:numPr>
        <w:ind w:right="91"/>
      </w:pPr>
      <w:r w:rsidRPr="00D95C15">
        <w:t xml:space="preserve">specifying </w:t>
      </w:r>
      <w:r w:rsidR="005A3998" w:rsidRPr="00D95C15">
        <w:t xml:space="preserve">circumstances related to issuance and withdrawal of infringement notices; </w:t>
      </w:r>
    </w:p>
    <w:p w14:paraId="6403261F" w14:textId="77777777" w:rsidR="00BB4B33" w:rsidRPr="00D95C15" w:rsidRDefault="00BB4B33" w:rsidP="00D95C15">
      <w:pPr>
        <w:pStyle w:val="ListParagraph"/>
        <w:numPr>
          <w:ilvl w:val="0"/>
          <w:numId w:val="16"/>
        </w:numPr>
        <w:ind w:right="91"/>
      </w:pPr>
      <w:r w:rsidRPr="00D95C15">
        <w:t xml:space="preserve">clarifying </w:t>
      </w:r>
      <w:r w:rsidR="005A3998" w:rsidRPr="00D95C15">
        <w:t xml:space="preserve">time for payment and effect; </w:t>
      </w:r>
    </w:p>
    <w:p w14:paraId="67DA6F0B" w14:textId="77777777" w:rsidR="005A3998" w:rsidRPr="00D95C15" w:rsidRDefault="00BB4B33" w:rsidP="00D95C15">
      <w:pPr>
        <w:pStyle w:val="ListParagraph"/>
        <w:numPr>
          <w:ilvl w:val="0"/>
          <w:numId w:val="16"/>
        </w:numPr>
        <w:ind w:right="91"/>
      </w:pPr>
      <w:r w:rsidRPr="00D95C15">
        <w:t xml:space="preserve">allowing </w:t>
      </w:r>
      <w:r w:rsidR="005A3998" w:rsidRPr="00D95C15">
        <w:t>refunds (where appropriate);</w:t>
      </w:r>
      <w:r>
        <w:rPr>
          <w:highlight w:val="yellow"/>
        </w:rPr>
        <w:t xml:space="preserve"> </w:t>
      </w:r>
    </w:p>
    <w:p w14:paraId="41E2D588" w14:textId="77777777" w:rsidR="005A3998" w:rsidRPr="00D95C15" w:rsidRDefault="005A3998" w:rsidP="00D95C15">
      <w:pPr>
        <w:pStyle w:val="ListParagraph"/>
        <w:numPr>
          <w:ilvl w:val="0"/>
          <w:numId w:val="16"/>
        </w:numPr>
        <w:autoSpaceDE w:val="0"/>
        <w:autoSpaceDN w:val="0"/>
        <w:adjustRightInd w:val="0"/>
      </w:pPr>
      <w:r w:rsidRPr="00D95C15">
        <w:t>specifying that the Regulator may also be known as the Australian Skills Quality Authority</w:t>
      </w:r>
      <w:r w:rsidR="00EF2373" w:rsidRPr="00D95C15">
        <w:t xml:space="preserve"> </w:t>
      </w:r>
      <w:r w:rsidRPr="00D95C15">
        <w:t>(ASQA).</w:t>
      </w:r>
    </w:p>
    <w:p w14:paraId="3626A8C2" w14:textId="77777777" w:rsidR="00CF7E2D" w:rsidRPr="008F2671" w:rsidRDefault="00CF7E2D" w:rsidP="00D95C15"/>
    <w:p w14:paraId="0424F8F7" w14:textId="77777777" w:rsidR="00CF7E2D" w:rsidRPr="008F2671" w:rsidRDefault="00CF7E2D" w:rsidP="001030C6">
      <w:pPr>
        <w:autoSpaceDE w:val="0"/>
        <w:autoSpaceDN w:val="0"/>
        <w:adjustRightInd w:val="0"/>
      </w:pPr>
      <w:r w:rsidRPr="008F2671">
        <w:t xml:space="preserve">On 8 June 2017, the </w:t>
      </w:r>
      <w:r w:rsidR="00666450" w:rsidRPr="008F2671">
        <w:t>Australian Government</w:t>
      </w:r>
      <w:r w:rsidRPr="008F2671">
        <w:t xml:space="preserve"> announced a review of the Act and its subordinate legislation to determine if</w:t>
      </w:r>
      <w:r w:rsidR="00F037A1" w:rsidRPr="008F2671">
        <w:t xml:space="preserve"> the</w:t>
      </w:r>
      <w:r w:rsidRPr="008F2671">
        <w:t xml:space="preserve"> </w:t>
      </w:r>
      <w:r w:rsidR="00F037A1" w:rsidRPr="008F2671">
        <w:t>Regulator</w:t>
      </w:r>
      <w:r w:rsidRPr="008F2671">
        <w:t xml:space="preserve"> had appropriate legislative capacity to efficiently and effec</w:t>
      </w:r>
      <w:r w:rsidR="00AD0678" w:rsidRPr="008F2671">
        <w:t>tively regulate the VET sector.</w:t>
      </w:r>
    </w:p>
    <w:p w14:paraId="196FD115" w14:textId="77777777" w:rsidR="00CF7E2D" w:rsidRPr="008F2671" w:rsidRDefault="00CF7E2D" w:rsidP="001030C6">
      <w:pPr>
        <w:autoSpaceDE w:val="0"/>
        <w:autoSpaceDN w:val="0"/>
        <w:adjustRightInd w:val="0"/>
      </w:pPr>
    </w:p>
    <w:p w14:paraId="71B4D2B1" w14:textId="008DB5E3" w:rsidR="00CF7E2D" w:rsidRPr="008F2671" w:rsidRDefault="00CF7E2D" w:rsidP="001030C6">
      <w:pPr>
        <w:autoSpaceDE w:val="0"/>
        <w:autoSpaceDN w:val="0"/>
        <w:adjustRightInd w:val="0"/>
      </w:pPr>
      <w:r w:rsidRPr="008F2671">
        <w:t>On 22 June 2018,</w:t>
      </w:r>
      <w:r w:rsidR="0051488F" w:rsidRPr="008F2671">
        <w:t xml:space="preserve"> the</w:t>
      </w:r>
      <w:r w:rsidRPr="008F2671">
        <w:t xml:space="preserve"> “All eyes on quality: Review of the</w:t>
      </w:r>
      <w:r w:rsidRPr="008F2671">
        <w:rPr>
          <w:i/>
        </w:rPr>
        <w:t xml:space="preserve"> National Vocational Education and Training Regulator Act 2011</w:t>
      </w:r>
      <w:r w:rsidRPr="008F2671">
        <w:t xml:space="preserve"> report”</w:t>
      </w:r>
      <w:r w:rsidR="0051488F" w:rsidRPr="008F2671">
        <w:t xml:space="preserve"> by Professor Valerie Braithwaite</w:t>
      </w:r>
      <w:r w:rsidRPr="008F2671">
        <w:t xml:space="preserve"> </w:t>
      </w:r>
      <w:r w:rsidR="00F037A1" w:rsidRPr="008F2671">
        <w:t>(</w:t>
      </w:r>
      <w:r w:rsidR="00561560" w:rsidRPr="008F2671">
        <w:t xml:space="preserve">the </w:t>
      </w:r>
      <w:r w:rsidR="00F037A1" w:rsidRPr="008F2671">
        <w:t xml:space="preserve">Braithwaite Review) </w:t>
      </w:r>
      <w:r w:rsidRPr="008F2671">
        <w:t>and the Australian Government response</w:t>
      </w:r>
      <w:r w:rsidR="003964C5" w:rsidRPr="008F2671">
        <w:t xml:space="preserve"> were released</w:t>
      </w:r>
      <w:r w:rsidR="00F037A1" w:rsidRPr="008F2671">
        <w:t>.</w:t>
      </w:r>
      <w:r w:rsidR="008A6503" w:rsidRPr="008F2671">
        <w:t xml:space="preserve"> </w:t>
      </w:r>
      <w:r w:rsidRPr="008F2671">
        <w:t xml:space="preserve">The </w:t>
      </w:r>
      <w:r w:rsidR="00543BF7">
        <w:t>Braithwaite Review</w:t>
      </w:r>
      <w:r w:rsidR="00543BF7" w:rsidRPr="008F2671">
        <w:t xml:space="preserve"> </w:t>
      </w:r>
      <w:r w:rsidRPr="008F2671">
        <w:t xml:space="preserve">made </w:t>
      </w:r>
      <w:r w:rsidRPr="008F2671">
        <w:lastRenderedPageBreak/>
        <w:t>23 recommendations to enhance student outcomes by strengthening regulation in the VET sector to improve the quality of training in Australia, and ensure students are both protected and informed.</w:t>
      </w:r>
    </w:p>
    <w:p w14:paraId="4103B5C1" w14:textId="77777777" w:rsidR="00CF7E2D" w:rsidRPr="008F2671" w:rsidRDefault="00CF7E2D" w:rsidP="001030C6">
      <w:pPr>
        <w:autoSpaceDE w:val="0"/>
        <w:autoSpaceDN w:val="0"/>
        <w:adjustRightInd w:val="0"/>
      </w:pPr>
    </w:p>
    <w:p w14:paraId="466084DB" w14:textId="77777777" w:rsidR="00CF7E2D" w:rsidRPr="008F2671" w:rsidRDefault="00CF7E2D" w:rsidP="001030C6">
      <w:pPr>
        <w:autoSpaceDE w:val="0"/>
        <w:autoSpaceDN w:val="0"/>
        <w:adjustRightInd w:val="0"/>
      </w:pPr>
      <w:r w:rsidRPr="008F2671">
        <w:t xml:space="preserve">The </w:t>
      </w:r>
      <w:r w:rsidRPr="008F2671">
        <w:rPr>
          <w:i/>
        </w:rPr>
        <w:t xml:space="preserve">National Vocational Education and Training Regulator Amendment Act 2020 </w:t>
      </w:r>
      <w:r w:rsidR="001E10DF" w:rsidRPr="008F2671">
        <w:t>(</w:t>
      </w:r>
      <w:r w:rsidR="00561560" w:rsidRPr="008F2671">
        <w:t xml:space="preserve">the </w:t>
      </w:r>
      <w:r w:rsidRPr="008F2671">
        <w:t>Amendment Act), was enacted on 26 February 2020</w:t>
      </w:r>
      <w:r w:rsidR="0051488F" w:rsidRPr="008F2671">
        <w:t xml:space="preserve"> and </w:t>
      </w:r>
      <w:r w:rsidRPr="008F2671">
        <w:t xml:space="preserve">addressed some of the concerns raised during the </w:t>
      </w:r>
      <w:r w:rsidR="00F037A1" w:rsidRPr="008F2671">
        <w:t xml:space="preserve">Braithwaite </w:t>
      </w:r>
      <w:r w:rsidRPr="008F2671">
        <w:t>Review, including</w:t>
      </w:r>
      <w:r w:rsidR="00F037A1" w:rsidRPr="008F2671">
        <w:t xml:space="preserve"> strengthening</w:t>
      </w:r>
      <w:r w:rsidR="0051488F" w:rsidRPr="008F2671">
        <w:t xml:space="preserve"> registration requirements for </w:t>
      </w:r>
      <w:r w:rsidR="00C864E6" w:rsidRPr="008F2671">
        <w:t>NVR</w:t>
      </w:r>
      <w:r w:rsidR="008C7039">
        <w:t xml:space="preserve"> </w:t>
      </w:r>
      <w:r w:rsidR="00561560" w:rsidRPr="008F2671">
        <w:t>RTOs</w:t>
      </w:r>
      <w:r w:rsidR="00F037A1" w:rsidRPr="008F2671">
        <w:t>, improving data sharing and increasing the transparency of regulatory information and actions by the Regulator</w:t>
      </w:r>
      <w:r w:rsidRPr="008F2671">
        <w:t>.</w:t>
      </w:r>
    </w:p>
    <w:p w14:paraId="7FD593EE" w14:textId="77777777" w:rsidR="00CF7E2D" w:rsidRPr="008F2671" w:rsidRDefault="00CF7E2D" w:rsidP="001030C6">
      <w:pPr>
        <w:autoSpaceDE w:val="0"/>
        <w:autoSpaceDN w:val="0"/>
        <w:adjustRightInd w:val="0"/>
      </w:pPr>
    </w:p>
    <w:p w14:paraId="3F991184" w14:textId="74E3FEC3" w:rsidR="00CF7E2D" w:rsidRDefault="00CF7E2D" w:rsidP="001030C6">
      <w:pPr>
        <w:autoSpaceDE w:val="0"/>
        <w:autoSpaceDN w:val="0"/>
        <w:adjustRightInd w:val="0"/>
      </w:pPr>
      <w:r w:rsidRPr="008F2671">
        <w:t xml:space="preserve">The amendments to the </w:t>
      </w:r>
      <w:r w:rsidR="00D95C15">
        <w:t>Principal Regulations</w:t>
      </w:r>
      <w:r w:rsidRPr="008F2671">
        <w:t>, primarily relate</w:t>
      </w:r>
      <w:r w:rsidR="00EB4E0E">
        <w:t xml:space="preserve"> to</w:t>
      </w:r>
      <w:r w:rsidRPr="008F2671">
        <w:t xml:space="preserve"> </w:t>
      </w:r>
      <w:r w:rsidR="00EB4E0E">
        <w:t>matters arising from</w:t>
      </w:r>
      <w:r w:rsidRPr="008F2671">
        <w:t xml:space="preserve"> the Amendment Act and the implementation of findings from the </w:t>
      </w:r>
      <w:r w:rsidR="00474A26" w:rsidRPr="008F2671">
        <w:t xml:space="preserve">Braithwaite </w:t>
      </w:r>
      <w:r w:rsidRPr="008F2671">
        <w:t>Review.</w:t>
      </w:r>
    </w:p>
    <w:p w14:paraId="6E41B8C3" w14:textId="77777777" w:rsidR="002E6552" w:rsidRPr="008F2671" w:rsidRDefault="002E6552" w:rsidP="001030C6">
      <w:pPr>
        <w:autoSpaceDE w:val="0"/>
        <w:autoSpaceDN w:val="0"/>
        <w:adjustRightInd w:val="0"/>
      </w:pPr>
    </w:p>
    <w:p w14:paraId="6A59F970" w14:textId="77777777" w:rsidR="00C96CC7" w:rsidRPr="00CD4222" w:rsidRDefault="00C96CC7" w:rsidP="00CD4222">
      <w:pPr>
        <w:autoSpaceDE w:val="0"/>
        <w:autoSpaceDN w:val="0"/>
        <w:adjustRightInd w:val="0"/>
        <w:spacing w:after="120"/>
        <w:rPr>
          <w:b/>
        </w:rPr>
      </w:pPr>
      <w:r w:rsidRPr="00CD4222">
        <w:rPr>
          <w:b/>
        </w:rPr>
        <w:t>Civil penalties and infringement notices</w:t>
      </w:r>
    </w:p>
    <w:p w14:paraId="18C32D69" w14:textId="77777777" w:rsidR="00C96CC7" w:rsidRPr="008F2671" w:rsidRDefault="00C96CC7" w:rsidP="001030C6">
      <w:pPr>
        <w:autoSpaceDE w:val="0"/>
        <w:autoSpaceDN w:val="0"/>
        <w:adjustRightInd w:val="0"/>
      </w:pPr>
      <w:r w:rsidRPr="008F2671">
        <w:t>Under the Act, the Regulator is empowered to take a range of regulatory actions against</w:t>
      </w:r>
      <w:r w:rsidR="00C668A8" w:rsidRPr="008F2671">
        <w:t xml:space="preserve"> NVR</w:t>
      </w:r>
      <w:r w:rsidRPr="008F2671">
        <w:t xml:space="preserve"> </w:t>
      </w:r>
      <w:r w:rsidR="00561560" w:rsidRPr="008F2671">
        <w:t>RTOs</w:t>
      </w:r>
      <w:r w:rsidRPr="008F2671">
        <w:t>.</w:t>
      </w:r>
    </w:p>
    <w:p w14:paraId="12B1C1F4" w14:textId="77777777" w:rsidR="00C96CC7" w:rsidRPr="008F2671" w:rsidRDefault="00C96CC7" w:rsidP="001030C6">
      <w:pPr>
        <w:autoSpaceDE w:val="0"/>
        <w:autoSpaceDN w:val="0"/>
        <w:adjustRightInd w:val="0"/>
      </w:pPr>
    </w:p>
    <w:p w14:paraId="486A78F2" w14:textId="3201ABAA" w:rsidR="00A9090B" w:rsidRDefault="001E10DF" w:rsidP="001030C6">
      <w:pPr>
        <w:autoSpaceDE w:val="0"/>
        <w:autoSpaceDN w:val="0"/>
        <w:adjustRightInd w:val="0"/>
      </w:pPr>
      <w:r w:rsidRPr="008F2671">
        <w:t xml:space="preserve">Section 111 of the Act provides that a civil penalty applies if an </w:t>
      </w:r>
      <w:r w:rsidR="0005136B" w:rsidRPr="008F2671">
        <w:t xml:space="preserve">NVR </w:t>
      </w:r>
      <w:r w:rsidR="00561560" w:rsidRPr="008F2671">
        <w:t>RTO</w:t>
      </w:r>
      <w:r w:rsidRPr="008F2671">
        <w:t xml:space="preserve"> breaches certain conditions of the organisation’s registration.</w:t>
      </w:r>
      <w:r w:rsidR="00A9090B">
        <w:t xml:space="preserve"> </w:t>
      </w:r>
      <w:r w:rsidR="00E1670A">
        <w:t xml:space="preserve">Regulation </w:t>
      </w:r>
      <w:r w:rsidR="00A9090B">
        <w:t>5 of the Principal Regulations list</w:t>
      </w:r>
      <w:r w:rsidR="00A809FA">
        <w:t>s</w:t>
      </w:r>
      <w:r w:rsidR="00A9090B">
        <w:t xml:space="preserve"> the relevant conditions.</w:t>
      </w:r>
    </w:p>
    <w:p w14:paraId="37AEA472" w14:textId="77777777" w:rsidR="00A9090B" w:rsidRDefault="00A9090B" w:rsidP="001030C6">
      <w:pPr>
        <w:autoSpaceDE w:val="0"/>
        <w:autoSpaceDN w:val="0"/>
        <w:adjustRightInd w:val="0"/>
      </w:pPr>
    </w:p>
    <w:p w14:paraId="41E77CA9" w14:textId="4AFDBD80" w:rsidR="00A9090B" w:rsidRPr="006D6029" w:rsidRDefault="00A9090B" w:rsidP="001030C6">
      <w:pPr>
        <w:autoSpaceDE w:val="0"/>
        <w:autoSpaceDN w:val="0"/>
        <w:adjustRightInd w:val="0"/>
      </w:pPr>
      <w:r w:rsidRPr="008F2671">
        <w:t xml:space="preserve">Section 149 of the Act </w:t>
      </w:r>
      <w:r w:rsidR="004C6365">
        <w:t xml:space="preserve">enables the regulations to require payment of an infringement notice, as an alternative to </w:t>
      </w:r>
      <w:r w:rsidRPr="008F2671">
        <w:t xml:space="preserve">civil penalty </w:t>
      </w:r>
      <w:r w:rsidR="004C6365">
        <w:t>proceedings</w:t>
      </w:r>
      <w:r w:rsidRPr="008F2671">
        <w:t>.</w:t>
      </w:r>
      <w:r w:rsidRPr="00A9090B">
        <w:t xml:space="preserve"> </w:t>
      </w:r>
      <w:r w:rsidR="00E1670A">
        <w:t xml:space="preserve">Regulation </w:t>
      </w:r>
      <w:r w:rsidRPr="00CD4222">
        <w:t xml:space="preserve">7 of </w:t>
      </w:r>
      <w:r w:rsidRPr="006D6029">
        <w:t>the Principal Regulations lists the civil penalty provisions in the Act subject to infringement notices.</w:t>
      </w:r>
    </w:p>
    <w:p w14:paraId="68A631AA" w14:textId="77777777" w:rsidR="00A9090B" w:rsidRPr="006D6029" w:rsidRDefault="00A9090B" w:rsidP="001030C6">
      <w:pPr>
        <w:autoSpaceDE w:val="0"/>
        <w:autoSpaceDN w:val="0"/>
        <w:adjustRightInd w:val="0"/>
      </w:pPr>
    </w:p>
    <w:p w14:paraId="4ACC3188" w14:textId="632F7347" w:rsidR="004C6365" w:rsidRPr="008F2671" w:rsidRDefault="004C6365" w:rsidP="004C6365">
      <w:pPr>
        <w:autoSpaceDE w:val="0"/>
        <w:autoSpaceDN w:val="0"/>
        <w:adjustRightInd w:val="0"/>
      </w:pPr>
      <w:r w:rsidRPr="006D6029" w:rsidDel="00A9090B">
        <w:t xml:space="preserve">These </w:t>
      </w:r>
      <w:r>
        <w:t xml:space="preserve">provisions </w:t>
      </w:r>
      <w:r w:rsidRPr="006D6029" w:rsidDel="00A9090B">
        <w:t>allow for the exercise of a discretion</w:t>
      </w:r>
      <w:r w:rsidR="009C38E6">
        <w:t xml:space="preserve"> by </w:t>
      </w:r>
      <w:r w:rsidR="00D7102D">
        <w:t>the Regulator</w:t>
      </w:r>
      <w:r w:rsidR="009C38E6">
        <w:t xml:space="preserve"> to use an infringement notice, rather than institute civil penalty proceedings,</w:t>
      </w:r>
      <w:r w:rsidRPr="006D6029" w:rsidDel="00A9090B">
        <w:t xml:space="preserve"> where the particular breach is considered relatively minor and it is not difficult for an infringement officer to make an assessment of culpability. </w:t>
      </w:r>
      <w:r w:rsidR="00EB4E0E">
        <w:t>Issuing an</w:t>
      </w:r>
      <w:r w:rsidRPr="006D6029" w:rsidDel="00A9090B">
        <w:t xml:space="preserve"> infringement notice</w:t>
      </w:r>
      <w:r>
        <w:t xml:space="preserve">, rather than </w:t>
      </w:r>
      <w:r w:rsidR="00EB4E0E">
        <w:t xml:space="preserve">instituting </w:t>
      </w:r>
      <w:r>
        <w:t>civil penalty proceedings,</w:t>
      </w:r>
      <w:r w:rsidRPr="006D6029" w:rsidDel="00A9090B">
        <w:t xml:space="preserve"> provides for efficient regulation of the VET sector</w:t>
      </w:r>
      <w:r>
        <w:t xml:space="preserve">. </w:t>
      </w:r>
      <w:r w:rsidR="00EB4E0E">
        <w:t xml:space="preserve">It </w:t>
      </w:r>
      <w:r>
        <w:t>enable</w:t>
      </w:r>
      <w:r w:rsidR="00EB4E0E">
        <w:t>s</w:t>
      </w:r>
      <w:r w:rsidRPr="006D6029" w:rsidDel="00A9090B">
        <w:t xml:space="preserve"> the Regulator to manage minor non-compliance without recourse to the courts. The amount payable under an infringement notice is 1/5 of the maximum penalty the court could impose o</w:t>
      </w:r>
      <w:r w:rsidRPr="00CD4222" w:rsidDel="00A9090B">
        <w:t xml:space="preserve">n a natural person or corporate entity under the relevant offence provisions. </w:t>
      </w:r>
    </w:p>
    <w:p w14:paraId="16950207" w14:textId="77777777" w:rsidR="001E10DF" w:rsidRPr="008F2671" w:rsidRDefault="001E10DF">
      <w:pPr>
        <w:autoSpaceDE w:val="0"/>
        <w:autoSpaceDN w:val="0"/>
        <w:adjustRightInd w:val="0"/>
      </w:pPr>
    </w:p>
    <w:p w14:paraId="6D7B954A" w14:textId="77777777" w:rsidR="00C96CC7" w:rsidRPr="00CD4222" w:rsidRDefault="00C96CC7" w:rsidP="00CD4222">
      <w:pPr>
        <w:autoSpaceDE w:val="0"/>
        <w:autoSpaceDN w:val="0"/>
        <w:adjustRightInd w:val="0"/>
        <w:spacing w:after="120"/>
        <w:rPr>
          <w:b/>
        </w:rPr>
      </w:pPr>
      <w:r w:rsidRPr="00CD4222">
        <w:rPr>
          <w:b/>
        </w:rPr>
        <w:t>Publication of information on the National Register</w:t>
      </w:r>
    </w:p>
    <w:p w14:paraId="391B346A" w14:textId="77777777" w:rsidR="00C96CC7" w:rsidRPr="008F2671" w:rsidRDefault="00EC0718" w:rsidP="001030C6">
      <w:pPr>
        <w:autoSpaceDE w:val="0"/>
        <w:autoSpaceDN w:val="0"/>
        <w:adjustRightInd w:val="0"/>
        <w:rPr>
          <w:u w:val="single"/>
        </w:rPr>
      </w:pPr>
      <w:r w:rsidRPr="008F2671">
        <w:t xml:space="preserve">The National Register </w:t>
      </w:r>
      <w:r w:rsidR="00C96CC7" w:rsidRPr="008F2671">
        <w:t xml:space="preserve">is a publicly accessible database that contains information on </w:t>
      </w:r>
      <w:r w:rsidR="00FC7333">
        <w:t xml:space="preserve">registered training organisations </w:t>
      </w:r>
      <w:r w:rsidRPr="008F2671">
        <w:t xml:space="preserve">and </w:t>
      </w:r>
      <w:r w:rsidR="00C96CC7" w:rsidRPr="008F2671">
        <w:t>nationally recognised training products</w:t>
      </w:r>
      <w:r w:rsidR="00474A26" w:rsidRPr="008F2671">
        <w:t xml:space="preserve">. </w:t>
      </w:r>
      <w:r w:rsidR="00C96CC7" w:rsidRPr="008F2671">
        <w:t xml:space="preserve">The National Register is </w:t>
      </w:r>
      <w:r w:rsidR="000F22E3" w:rsidRPr="008F2671">
        <w:t xml:space="preserve">currently </w:t>
      </w:r>
      <w:r w:rsidR="00C96CC7" w:rsidRPr="008F2671">
        <w:t>maintained on the website: training.gov.a</w:t>
      </w:r>
      <w:r w:rsidR="001030C6" w:rsidRPr="008F2671">
        <w:t>u</w:t>
      </w:r>
      <w:r w:rsidRPr="008F2671">
        <w:t>.</w:t>
      </w:r>
    </w:p>
    <w:p w14:paraId="63B69C26" w14:textId="77777777" w:rsidR="003A67D8" w:rsidRPr="008F2671" w:rsidRDefault="003A67D8" w:rsidP="001030C6">
      <w:pPr>
        <w:autoSpaceDE w:val="0"/>
        <w:autoSpaceDN w:val="0"/>
        <w:adjustRightInd w:val="0"/>
        <w:rPr>
          <w:u w:val="single"/>
        </w:rPr>
      </w:pPr>
    </w:p>
    <w:p w14:paraId="6F914F3E" w14:textId="24D116E8" w:rsidR="00474A26" w:rsidRPr="008F2671" w:rsidRDefault="00474A26" w:rsidP="001030C6">
      <w:pPr>
        <w:autoSpaceDE w:val="0"/>
        <w:autoSpaceDN w:val="0"/>
        <w:adjustRightInd w:val="0"/>
      </w:pPr>
      <w:r w:rsidRPr="008F2671">
        <w:t xml:space="preserve">The Braithwaite </w:t>
      </w:r>
      <w:r w:rsidR="00A55A62" w:rsidRPr="008F2671">
        <w:t>R</w:t>
      </w:r>
      <w:r w:rsidRPr="008F2671">
        <w:t>eview examined the need to remedy gaps in information for VET consumers</w:t>
      </w:r>
      <w:r w:rsidR="00F037A1" w:rsidRPr="008F2671">
        <w:t xml:space="preserve"> and</w:t>
      </w:r>
      <w:r w:rsidR="00CF3BEB" w:rsidRPr="008F2671">
        <w:t xml:space="preserve"> </w:t>
      </w:r>
      <w:r w:rsidR="00524820" w:rsidRPr="008F2671">
        <w:t>found that the</w:t>
      </w:r>
      <w:r w:rsidRPr="008F2671">
        <w:t xml:space="preserve"> National Register could be more informative for the benefit of students, regulators, governments and others with a vested interest in VET.</w:t>
      </w:r>
      <w:r w:rsidR="00D14176">
        <w:t xml:space="preserve"> While the National Register is mainly used by VET regulators</w:t>
      </w:r>
      <w:r w:rsidR="0015460D">
        <w:t>, the Commonwealth and states</w:t>
      </w:r>
      <w:r w:rsidR="00D14176">
        <w:t xml:space="preserve"> and territories, its information is sourced for </w:t>
      </w:r>
      <w:r w:rsidR="00724BAF">
        <w:t xml:space="preserve">other Australian Government </w:t>
      </w:r>
      <w:r w:rsidR="00D14176" w:rsidRPr="00435308">
        <w:t>products</w:t>
      </w:r>
      <w:r w:rsidR="00D14176">
        <w:t xml:space="preserve"> </w:t>
      </w:r>
      <w:r w:rsidR="006E672D">
        <w:t>including</w:t>
      </w:r>
      <w:r w:rsidR="00D14176">
        <w:t xml:space="preserve"> myskills.gov.au</w:t>
      </w:r>
      <w:r w:rsidR="006E672D">
        <w:t>,</w:t>
      </w:r>
      <w:r w:rsidR="00D14176">
        <w:t xml:space="preserve"> </w:t>
      </w:r>
      <w:r w:rsidR="00FC7333">
        <w:t xml:space="preserve">which is </w:t>
      </w:r>
      <w:r w:rsidR="00D14176">
        <w:t xml:space="preserve">used by consumers </w:t>
      </w:r>
      <w:r w:rsidR="00FC7333">
        <w:t xml:space="preserve">of VET </w:t>
      </w:r>
      <w:r w:rsidR="00D14176">
        <w:t>such as potential students</w:t>
      </w:r>
      <w:r w:rsidR="006E672D">
        <w:t xml:space="preserve">, </w:t>
      </w:r>
      <w:r w:rsidR="00D14176">
        <w:t>schools</w:t>
      </w:r>
      <w:r w:rsidR="006E672D" w:rsidRPr="006E672D">
        <w:t xml:space="preserve"> </w:t>
      </w:r>
      <w:r w:rsidR="006E672D">
        <w:t>and businesses purchasing training for staff</w:t>
      </w:r>
      <w:r w:rsidR="00D14176">
        <w:t>.</w:t>
      </w:r>
    </w:p>
    <w:p w14:paraId="3499FDE0" w14:textId="77777777" w:rsidR="00474A26" w:rsidRPr="008F2671" w:rsidRDefault="00474A26" w:rsidP="001030C6">
      <w:pPr>
        <w:autoSpaceDE w:val="0"/>
        <w:autoSpaceDN w:val="0"/>
        <w:adjustRightInd w:val="0"/>
      </w:pPr>
    </w:p>
    <w:p w14:paraId="12AD5A10" w14:textId="77777777" w:rsidR="00474A26" w:rsidRPr="008F2671" w:rsidRDefault="00C668A8" w:rsidP="001030C6">
      <w:pPr>
        <w:autoSpaceDE w:val="0"/>
        <w:autoSpaceDN w:val="0"/>
        <w:adjustRightInd w:val="0"/>
      </w:pPr>
      <w:r w:rsidRPr="008F2671">
        <w:t xml:space="preserve">Subsection 216(3) of the </w:t>
      </w:r>
      <w:r w:rsidR="00474A26" w:rsidRPr="008F2671">
        <w:t xml:space="preserve">Act provides that </w:t>
      </w:r>
      <w:r w:rsidR="00A9090B">
        <w:t>r</w:t>
      </w:r>
      <w:r w:rsidR="003A6D4F">
        <w:t>egulations</w:t>
      </w:r>
      <w:r w:rsidR="00474A26" w:rsidRPr="008F2671">
        <w:t xml:space="preserve"> may set out matters the Regulator must ensure are entered on the National Register.</w:t>
      </w:r>
    </w:p>
    <w:p w14:paraId="1F64C991" w14:textId="77777777" w:rsidR="00C75F80" w:rsidRPr="008F2671" w:rsidRDefault="00C75F80" w:rsidP="001030C6">
      <w:pPr>
        <w:autoSpaceDE w:val="0"/>
        <w:autoSpaceDN w:val="0"/>
        <w:adjustRightInd w:val="0"/>
      </w:pPr>
    </w:p>
    <w:p w14:paraId="78958A87" w14:textId="645A04F5" w:rsidR="00C75F80" w:rsidRPr="008F2671" w:rsidRDefault="00E1670A" w:rsidP="001030C6">
      <w:pPr>
        <w:autoSpaceDE w:val="0"/>
        <w:autoSpaceDN w:val="0"/>
        <w:adjustRightInd w:val="0"/>
      </w:pPr>
      <w:r>
        <w:t xml:space="preserve">Regulation </w:t>
      </w:r>
      <w:r w:rsidR="00C75F80" w:rsidRPr="008F2671">
        <w:t xml:space="preserve">15A of the </w:t>
      </w:r>
      <w:r w:rsidR="00D95C15">
        <w:t>Principal Regulations</w:t>
      </w:r>
      <w:r w:rsidR="00C75F80" w:rsidRPr="008F2671">
        <w:t xml:space="preserve"> sets out matters the Regulator must ensure are entered on the National Register.</w:t>
      </w:r>
    </w:p>
    <w:p w14:paraId="1BF0487E" w14:textId="77777777" w:rsidR="00C96CC7" w:rsidRPr="008F2671" w:rsidRDefault="00C96CC7" w:rsidP="001030C6">
      <w:pPr>
        <w:autoSpaceDE w:val="0"/>
        <w:autoSpaceDN w:val="0"/>
        <w:adjustRightInd w:val="0"/>
      </w:pPr>
    </w:p>
    <w:p w14:paraId="6C19CF88" w14:textId="77777777" w:rsidR="00C96CC7" w:rsidRPr="00A9090B" w:rsidRDefault="00C96CC7" w:rsidP="00A9090B">
      <w:pPr>
        <w:keepNext/>
        <w:keepLines/>
        <w:autoSpaceDE w:val="0"/>
        <w:autoSpaceDN w:val="0"/>
        <w:adjustRightInd w:val="0"/>
        <w:spacing w:after="120"/>
        <w:rPr>
          <w:b/>
          <w:sz w:val="28"/>
        </w:rPr>
      </w:pPr>
      <w:r w:rsidRPr="00A9090B">
        <w:rPr>
          <w:b/>
          <w:sz w:val="28"/>
        </w:rPr>
        <w:t>Purpose and operation</w:t>
      </w:r>
    </w:p>
    <w:p w14:paraId="353B725E" w14:textId="5B0921DE" w:rsidR="00C96CC7" w:rsidRPr="008F2671" w:rsidRDefault="00C96CC7" w:rsidP="00A9090B">
      <w:pPr>
        <w:keepNext/>
        <w:keepLines/>
        <w:ind w:right="91"/>
        <w:rPr>
          <w:bCs/>
        </w:rPr>
      </w:pPr>
      <w:r w:rsidRPr="008F2671">
        <w:t xml:space="preserve">The </w:t>
      </w:r>
      <w:r w:rsidRPr="008F2671">
        <w:rPr>
          <w:i/>
        </w:rPr>
        <w:t>National Vocational Education an</w:t>
      </w:r>
      <w:r w:rsidR="00E31418" w:rsidRPr="008F2671">
        <w:rPr>
          <w:i/>
        </w:rPr>
        <w:t xml:space="preserve">d Training Regulator Amendment (2020 </w:t>
      </w:r>
      <w:r w:rsidRPr="008F2671">
        <w:rPr>
          <w:i/>
        </w:rPr>
        <w:t>Measures</w:t>
      </w:r>
      <w:r w:rsidR="00E31418" w:rsidRPr="008F2671">
        <w:rPr>
          <w:i/>
        </w:rPr>
        <w:t xml:space="preserve"> No. 1</w:t>
      </w:r>
      <w:r w:rsidRPr="008F2671">
        <w:rPr>
          <w:i/>
        </w:rPr>
        <w:t>) Regulations 20</w:t>
      </w:r>
      <w:r w:rsidR="00E31418" w:rsidRPr="008F2671">
        <w:rPr>
          <w:i/>
        </w:rPr>
        <w:t>20</w:t>
      </w:r>
      <w:r w:rsidRPr="008F2671">
        <w:rPr>
          <w:i/>
        </w:rPr>
        <w:t xml:space="preserve"> </w:t>
      </w:r>
      <w:r w:rsidRPr="008F2671">
        <w:t>(</w:t>
      </w:r>
      <w:r w:rsidR="0037232C" w:rsidRPr="008F2671">
        <w:t xml:space="preserve">the </w:t>
      </w:r>
      <w:r w:rsidR="00D95C15">
        <w:t>Amendment Regulations</w:t>
      </w:r>
      <w:r w:rsidRPr="008F2671">
        <w:t>) amends the Principal Regulation</w:t>
      </w:r>
      <w:r w:rsidR="00E1670A">
        <w:t>s</w:t>
      </w:r>
      <w:r w:rsidRPr="008F2671">
        <w:t xml:space="preserve"> for</w:t>
      </w:r>
      <w:r w:rsidRPr="008F2671">
        <w:rPr>
          <w:bCs/>
        </w:rPr>
        <w:t xml:space="preserve"> three main purposes.</w:t>
      </w:r>
    </w:p>
    <w:p w14:paraId="449F5198" w14:textId="77777777" w:rsidR="00C96CC7" w:rsidRPr="008F2671" w:rsidRDefault="00C96CC7" w:rsidP="001030C6">
      <w:pPr>
        <w:autoSpaceDE w:val="0"/>
        <w:autoSpaceDN w:val="0"/>
        <w:adjustRightInd w:val="0"/>
        <w:rPr>
          <w:bCs/>
        </w:rPr>
      </w:pPr>
    </w:p>
    <w:p w14:paraId="2F0A1F11" w14:textId="77777777" w:rsidR="00E647B6" w:rsidRDefault="00C96CC7" w:rsidP="001030C6">
      <w:pPr>
        <w:autoSpaceDE w:val="0"/>
        <w:autoSpaceDN w:val="0"/>
        <w:adjustRightInd w:val="0"/>
        <w:rPr>
          <w:bCs/>
        </w:rPr>
      </w:pPr>
      <w:r w:rsidRPr="008F2671">
        <w:rPr>
          <w:bCs/>
        </w:rPr>
        <w:t xml:space="preserve">First, </w:t>
      </w:r>
      <w:r w:rsidR="004B4DB7">
        <w:rPr>
          <w:bCs/>
        </w:rPr>
        <w:t xml:space="preserve">a technical amendment </w:t>
      </w:r>
      <w:r w:rsidR="00474A26" w:rsidRPr="008F2671">
        <w:rPr>
          <w:bCs/>
        </w:rPr>
        <w:t>remove</w:t>
      </w:r>
      <w:r w:rsidR="004B4DB7">
        <w:rPr>
          <w:bCs/>
        </w:rPr>
        <w:t>s</w:t>
      </w:r>
      <w:r w:rsidR="00474A26" w:rsidRPr="008F2671">
        <w:rPr>
          <w:bCs/>
        </w:rPr>
        <w:t xml:space="preserve"> Part 4 of the </w:t>
      </w:r>
      <w:r w:rsidR="00D95C15">
        <w:rPr>
          <w:bCs/>
        </w:rPr>
        <w:t>Principal Regulations</w:t>
      </w:r>
      <w:r w:rsidR="004B4DB7">
        <w:rPr>
          <w:bCs/>
        </w:rPr>
        <w:t xml:space="preserve"> as </w:t>
      </w:r>
      <w:r w:rsidR="002C3FEA">
        <w:rPr>
          <w:bCs/>
        </w:rPr>
        <w:t>it is</w:t>
      </w:r>
      <w:r w:rsidR="004B4DB7">
        <w:rPr>
          <w:bCs/>
        </w:rPr>
        <w:t xml:space="preserve"> now redundant. </w:t>
      </w:r>
    </w:p>
    <w:p w14:paraId="3256A9C4" w14:textId="77777777" w:rsidR="00E647B6" w:rsidRDefault="00E647B6" w:rsidP="001030C6">
      <w:pPr>
        <w:autoSpaceDE w:val="0"/>
        <w:autoSpaceDN w:val="0"/>
        <w:adjustRightInd w:val="0"/>
        <w:rPr>
          <w:bCs/>
        </w:rPr>
      </w:pPr>
    </w:p>
    <w:p w14:paraId="41BB8ED5" w14:textId="5D1A105F" w:rsidR="009B6D0A" w:rsidRDefault="00C96CC7" w:rsidP="001030C6">
      <w:pPr>
        <w:autoSpaceDE w:val="0"/>
        <w:autoSpaceDN w:val="0"/>
        <w:adjustRightInd w:val="0"/>
      </w:pPr>
      <w:r w:rsidRPr="00447EEF">
        <w:rPr>
          <w:bCs/>
        </w:rPr>
        <w:t xml:space="preserve">Second, the </w:t>
      </w:r>
      <w:r w:rsidR="00D95C15" w:rsidRPr="00447EEF">
        <w:rPr>
          <w:bCs/>
        </w:rPr>
        <w:t>Amendment Regulations</w:t>
      </w:r>
      <w:r w:rsidR="00535B1F" w:rsidRPr="00447EEF">
        <w:rPr>
          <w:bCs/>
        </w:rPr>
        <w:t xml:space="preserve"> will insert </w:t>
      </w:r>
      <w:r w:rsidR="009B6D0A" w:rsidRPr="00447EEF">
        <w:rPr>
          <w:bCs/>
        </w:rPr>
        <w:t xml:space="preserve">additional </w:t>
      </w:r>
      <w:r w:rsidRPr="00447EEF">
        <w:rPr>
          <w:bCs/>
        </w:rPr>
        <w:t>provision</w:t>
      </w:r>
      <w:r w:rsidR="00535B1F" w:rsidRPr="00447EEF">
        <w:rPr>
          <w:bCs/>
        </w:rPr>
        <w:t>s</w:t>
      </w:r>
      <w:r w:rsidRPr="00447EEF">
        <w:rPr>
          <w:bCs/>
        </w:rPr>
        <w:t xml:space="preserve"> into the </w:t>
      </w:r>
      <w:r w:rsidR="00D95C15" w:rsidRPr="00447EEF">
        <w:rPr>
          <w:bCs/>
        </w:rPr>
        <w:t>Principal Regulations</w:t>
      </w:r>
      <w:r w:rsidRPr="00447EEF">
        <w:rPr>
          <w:bCs/>
        </w:rPr>
        <w:t>,</w:t>
      </w:r>
      <w:r w:rsidRPr="00A9090B">
        <w:rPr>
          <w:bCs/>
        </w:rPr>
        <w:t xml:space="preserve"> prescribing</w:t>
      </w:r>
      <w:r w:rsidRPr="00A9090B">
        <w:t xml:space="preserve"> </w:t>
      </w:r>
      <w:r w:rsidR="009B6D0A" w:rsidRPr="00A9090B">
        <w:t xml:space="preserve">that the following matters are </w:t>
      </w:r>
      <w:r w:rsidR="00802FD4" w:rsidRPr="00A9090B">
        <w:t>subject to infringement notices:</w:t>
      </w:r>
    </w:p>
    <w:p w14:paraId="4BF2F4E3" w14:textId="77777777" w:rsidR="00147C22" w:rsidRPr="00A9090B" w:rsidRDefault="00147C22" w:rsidP="001030C6">
      <w:pPr>
        <w:autoSpaceDE w:val="0"/>
        <w:autoSpaceDN w:val="0"/>
        <w:adjustRightInd w:val="0"/>
      </w:pPr>
    </w:p>
    <w:p w14:paraId="536357EC" w14:textId="77777777" w:rsidR="009B6D0A" w:rsidRPr="00A9090B" w:rsidRDefault="009B6D0A" w:rsidP="00A9090B">
      <w:pPr>
        <w:pStyle w:val="ListParagraph"/>
        <w:numPr>
          <w:ilvl w:val="0"/>
          <w:numId w:val="17"/>
        </w:numPr>
        <w:autoSpaceDE w:val="0"/>
        <w:autoSpaceDN w:val="0"/>
        <w:adjustRightInd w:val="0"/>
      </w:pPr>
      <w:r w:rsidRPr="00A9090B">
        <w:t xml:space="preserve">failure of an NVR RTO to comply with a specified direction by the Regulator in relation to cancellation of VET qualifications </w:t>
      </w:r>
      <w:r w:rsidR="00236FC0">
        <w:t xml:space="preserve">or VET statements of attainment </w:t>
      </w:r>
      <w:r w:rsidRPr="00A9090B">
        <w:t>and notifying the person concerned within a specified period of time; and</w:t>
      </w:r>
    </w:p>
    <w:p w14:paraId="2530CAB5" w14:textId="77777777" w:rsidR="00535B1F" w:rsidRPr="00447EEF" w:rsidRDefault="009B6D0A" w:rsidP="00A9090B">
      <w:pPr>
        <w:pStyle w:val="ListParagraph"/>
        <w:numPr>
          <w:ilvl w:val="0"/>
          <w:numId w:val="17"/>
        </w:numPr>
        <w:autoSpaceDE w:val="0"/>
        <w:autoSpaceDN w:val="0"/>
        <w:adjustRightInd w:val="0"/>
      </w:pPr>
      <w:r w:rsidRPr="00A9090B">
        <w:t xml:space="preserve">failure to comply with the Standards for NVR Registered Training </w:t>
      </w:r>
      <w:r w:rsidRPr="00447EEF">
        <w:t>Organisations</w:t>
      </w:r>
      <w:r w:rsidR="00BB4B33" w:rsidRPr="00447EEF">
        <w:t xml:space="preserve"> (the Standards)</w:t>
      </w:r>
      <w:r w:rsidRPr="00447EEF">
        <w:t xml:space="preserve"> by issuing a VET qualification or </w:t>
      </w:r>
      <w:r w:rsidR="00236FC0">
        <w:t xml:space="preserve">VET </w:t>
      </w:r>
      <w:r w:rsidRPr="00447EEF">
        <w:t xml:space="preserve">statement of attainment to an individual who has not been assigned a student identifier under the </w:t>
      </w:r>
      <w:r w:rsidRPr="00447EEF">
        <w:rPr>
          <w:i/>
        </w:rPr>
        <w:t>Student Identifiers Act 2014</w:t>
      </w:r>
      <w:r w:rsidRPr="00447EEF">
        <w:t>.</w:t>
      </w:r>
    </w:p>
    <w:p w14:paraId="5BDD50A7" w14:textId="77777777" w:rsidR="009B6D0A" w:rsidRPr="00447EEF" w:rsidRDefault="009B6D0A" w:rsidP="00A9090B">
      <w:pPr>
        <w:pStyle w:val="ListParagraph"/>
        <w:autoSpaceDE w:val="0"/>
        <w:autoSpaceDN w:val="0"/>
        <w:adjustRightInd w:val="0"/>
        <w:contextualSpacing w:val="0"/>
      </w:pPr>
    </w:p>
    <w:p w14:paraId="546BFAC5" w14:textId="77777777" w:rsidR="009B6D0A" w:rsidRPr="00447EEF" w:rsidRDefault="00207BF4" w:rsidP="00A9090B">
      <w:pPr>
        <w:autoSpaceDE w:val="0"/>
        <w:autoSpaceDN w:val="0"/>
        <w:adjustRightInd w:val="0"/>
      </w:pPr>
      <w:r w:rsidRPr="00447EEF">
        <w:t xml:space="preserve">These provisions allow for </w:t>
      </w:r>
      <w:r w:rsidR="003961AA">
        <w:t xml:space="preserve">infringement </w:t>
      </w:r>
      <w:r w:rsidRPr="00447EEF">
        <w:t>notices to be issued</w:t>
      </w:r>
      <w:r w:rsidR="00AB7052">
        <w:t xml:space="preserve"> for</w:t>
      </w:r>
      <w:r w:rsidRPr="00447EEF">
        <w:t xml:space="preserve"> offences that are </w:t>
      </w:r>
      <w:r w:rsidR="003961AA">
        <w:t xml:space="preserve">minor and </w:t>
      </w:r>
      <w:r w:rsidRPr="00447EEF">
        <w:t>regulatory</w:t>
      </w:r>
      <w:r w:rsidR="009B6D0A" w:rsidRPr="00447EEF">
        <w:t xml:space="preserve"> in natur</w:t>
      </w:r>
      <w:r w:rsidRPr="00447EEF">
        <w:t>e</w:t>
      </w:r>
      <w:r w:rsidR="004B4DB7" w:rsidRPr="00447EEF">
        <w:t>.</w:t>
      </w:r>
      <w:r w:rsidRPr="00447EEF">
        <w:t xml:space="preserve"> </w:t>
      </w:r>
      <w:r w:rsidR="003961AA">
        <w:t>Allowing these matters to be dealt with through infringement notices, rather than civil penalty proceedings</w:t>
      </w:r>
      <w:r w:rsidR="00AB7052">
        <w:t>,</w:t>
      </w:r>
      <w:r w:rsidR="003961AA">
        <w:t xml:space="preserve"> </w:t>
      </w:r>
      <w:r w:rsidR="00CB7360">
        <w:t>gives</w:t>
      </w:r>
      <w:r w:rsidR="00AB7052">
        <w:t xml:space="preserve"> the Regulator </w:t>
      </w:r>
      <w:r w:rsidRPr="00447EEF">
        <w:t>a discretion in</w:t>
      </w:r>
      <w:r w:rsidR="00AB7052">
        <w:t xml:space="preserve"> their response to a breach of a condition</w:t>
      </w:r>
      <w:r w:rsidR="003961AA">
        <w:t>.</w:t>
      </w:r>
      <w:r w:rsidR="00AB7052">
        <w:t xml:space="preserve"> This discretion will be exercised where</w:t>
      </w:r>
      <w:r w:rsidR="003961AA">
        <w:t xml:space="preserve"> </w:t>
      </w:r>
      <w:r w:rsidR="00AB7052">
        <w:t>i</w:t>
      </w:r>
      <w:r w:rsidR="003961AA">
        <w:t>t</w:t>
      </w:r>
      <w:r w:rsidR="009B6D0A" w:rsidRPr="00447EEF">
        <w:t xml:space="preserve"> is appropriate </w:t>
      </w:r>
      <w:r w:rsidR="009B6D0A" w:rsidRPr="00236FC0">
        <w:t>that</w:t>
      </w:r>
      <w:r w:rsidR="008C7039" w:rsidRPr="00236FC0">
        <w:t xml:space="preserve"> NVR</w:t>
      </w:r>
      <w:r w:rsidR="009B6D0A" w:rsidRPr="00447EEF">
        <w:t xml:space="preserve"> RTOs be given an opportunity to make a lesser payment through an infringement notice rather than </w:t>
      </w:r>
      <w:r w:rsidR="00AB7052">
        <w:t>facing</w:t>
      </w:r>
      <w:r w:rsidR="009B6D0A" w:rsidRPr="00447EEF">
        <w:t xml:space="preserve"> civil </w:t>
      </w:r>
      <w:r w:rsidR="00AB7052">
        <w:t xml:space="preserve">penalty </w:t>
      </w:r>
      <w:r w:rsidR="009B6D0A" w:rsidRPr="00447EEF">
        <w:t>p</w:t>
      </w:r>
      <w:r w:rsidR="00AB7052">
        <w:t>roceedings.</w:t>
      </w:r>
      <w:r w:rsidR="009B6D0A" w:rsidRPr="00447EEF">
        <w:t xml:space="preserve"> These additional matters </w:t>
      </w:r>
      <w:r w:rsidR="00802FD4" w:rsidRPr="00447EEF">
        <w:t xml:space="preserve">relate to provisions </w:t>
      </w:r>
      <w:r w:rsidR="009B6D0A" w:rsidRPr="00447EEF">
        <w:t xml:space="preserve">where liability can be easily </w:t>
      </w:r>
      <w:r w:rsidR="00AB7052">
        <w:t>ascertained</w:t>
      </w:r>
      <w:r w:rsidR="00A95C04" w:rsidRPr="00447EEF">
        <w:t xml:space="preserve"> and</w:t>
      </w:r>
      <w:r w:rsidR="00AB7052">
        <w:t xml:space="preserve"> will</w:t>
      </w:r>
      <w:r w:rsidR="00A95C04" w:rsidRPr="00447EEF">
        <w:t xml:space="preserve"> improve the efficiency of the Regulator in managing the scheme</w:t>
      </w:r>
      <w:r w:rsidR="003961AA">
        <w:t xml:space="preserve"> by ensuring time and resources are not wasted on unnecessary civil penalty proceedings in court</w:t>
      </w:r>
      <w:r w:rsidR="00A95C04" w:rsidRPr="00447EEF">
        <w:t>.</w:t>
      </w:r>
    </w:p>
    <w:p w14:paraId="4D804B2E" w14:textId="77777777" w:rsidR="00C75F80" w:rsidRPr="00447EEF" w:rsidRDefault="00C75F80" w:rsidP="001030C6">
      <w:pPr>
        <w:autoSpaceDE w:val="0"/>
        <w:autoSpaceDN w:val="0"/>
        <w:adjustRightInd w:val="0"/>
      </w:pPr>
    </w:p>
    <w:p w14:paraId="4DD107F7" w14:textId="77777777" w:rsidR="00C96CC7" w:rsidRPr="00A9090B" w:rsidRDefault="00C96CC7" w:rsidP="001030C6">
      <w:pPr>
        <w:autoSpaceDE w:val="0"/>
        <w:autoSpaceDN w:val="0"/>
        <w:adjustRightInd w:val="0"/>
      </w:pPr>
      <w:r w:rsidRPr="00447EEF">
        <w:t xml:space="preserve">Third, the </w:t>
      </w:r>
      <w:r w:rsidR="00D95C15" w:rsidRPr="00447EEF">
        <w:t>Amendment Regulations</w:t>
      </w:r>
      <w:r w:rsidRPr="00447EEF">
        <w:t xml:space="preserve"> will</w:t>
      </w:r>
      <w:r w:rsidR="00720158" w:rsidRPr="00447EEF">
        <w:t xml:space="preserve"> insert provisions into the </w:t>
      </w:r>
      <w:r w:rsidR="00D95C15" w:rsidRPr="00447EEF">
        <w:t>Principal Regulations</w:t>
      </w:r>
      <w:r w:rsidR="00720158" w:rsidRPr="00447EEF">
        <w:t>,</w:t>
      </w:r>
      <w:r w:rsidRPr="00A9090B">
        <w:t xml:space="preserve"> prescrib</w:t>
      </w:r>
      <w:r w:rsidR="00720158" w:rsidRPr="00A9090B">
        <w:t>ing</w:t>
      </w:r>
      <w:r w:rsidRPr="00A9090B">
        <w:t xml:space="preserve"> under subsection 216(3) of the Act, additional matters the Regulator must ensure are entered on the National Register. These additional matters</w:t>
      </w:r>
      <w:r w:rsidR="00802FD4" w:rsidRPr="00A9090B">
        <w:t xml:space="preserve"> cover:</w:t>
      </w:r>
    </w:p>
    <w:p w14:paraId="672B69EB" w14:textId="77777777" w:rsidR="00270E01" w:rsidRPr="00A9090B" w:rsidRDefault="00270E01" w:rsidP="001030C6">
      <w:pPr>
        <w:autoSpaceDE w:val="0"/>
        <w:autoSpaceDN w:val="0"/>
        <w:adjustRightInd w:val="0"/>
      </w:pPr>
    </w:p>
    <w:p w14:paraId="078B3863" w14:textId="32658204" w:rsidR="00802FD4" w:rsidRPr="00A9090B" w:rsidRDefault="00802FD4">
      <w:pPr>
        <w:numPr>
          <w:ilvl w:val="0"/>
          <w:numId w:val="2"/>
        </w:numPr>
        <w:spacing w:line="240" w:lineRule="atLeast"/>
      </w:pPr>
      <w:r w:rsidRPr="00A9090B">
        <w:t xml:space="preserve">information </w:t>
      </w:r>
      <w:r w:rsidR="00A50A0F" w:rsidRPr="00A9090B">
        <w:t>for</w:t>
      </w:r>
      <w:r w:rsidR="002739BB" w:rsidRPr="00A9090B">
        <w:t xml:space="preserve"> </w:t>
      </w:r>
      <w:r w:rsidR="00D14176" w:rsidRPr="00A9090B">
        <w:t xml:space="preserve">NVR </w:t>
      </w:r>
      <w:r w:rsidR="00D74306" w:rsidRPr="00A9090B">
        <w:t>RTOs</w:t>
      </w:r>
      <w:r w:rsidRPr="00A9090B">
        <w:t xml:space="preserve"> and their </w:t>
      </w:r>
      <w:r w:rsidR="00F9352E">
        <w:t>chief executive officer</w:t>
      </w:r>
      <w:r w:rsidRPr="00A9090B">
        <w:t>s</w:t>
      </w:r>
    </w:p>
    <w:p w14:paraId="02FEE38B" w14:textId="77777777" w:rsidR="00802FD4" w:rsidRPr="00A9090B" w:rsidRDefault="00802FD4">
      <w:pPr>
        <w:numPr>
          <w:ilvl w:val="0"/>
          <w:numId w:val="2"/>
        </w:numPr>
        <w:spacing w:line="240" w:lineRule="atLeast"/>
      </w:pPr>
      <w:r w:rsidRPr="00A9090B">
        <w:t>the content of previously removed regulatory decisions; and</w:t>
      </w:r>
    </w:p>
    <w:p w14:paraId="076BFA1B" w14:textId="77777777" w:rsidR="00FC7333" w:rsidRPr="00447EEF" w:rsidRDefault="00802FD4">
      <w:pPr>
        <w:numPr>
          <w:ilvl w:val="0"/>
          <w:numId w:val="2"/>
        </w:numPr>
        <w:spacing w:line="240" w:lineRule="atLeast"/>
      </w:pPr>
      <w:r w:rsidRPr="00A9090B">
        <w:t>the progress of reviewable decisions and their outcomes</w:t>
      </w:r>
      <w:r w:rsidR="00BB4B33" w:rsidRPr="00447EEF">
        <w:t>.</w:t>
      </w:r>
    </w:p>
    <w:p w14:paraId="54669089" w14:textId="77777777" w:rsidR="00270E01" w:rsidRPr="008F2671" w:rsidRDefault="00270E01" w:rsidP="001030C6">
      <w:pPr>
        <w:ind w:right="91"/>
      </w:pPr>
    </w:p>
    <w:p w14:paraId="7DC3C77A" w14:textId="77777777" w:rsidR="008711AC" w:rsidRDefault="00C96CC7" w:rsidP="00A9090B">
      <w:pPr>
        <w:ind w:right="91"/>
      </w:pPr>
      <w:r w:rsidRPr="008F2671">
        <w:t xml:space="preserve">Ensuring these additional matters are entered on the National Register by the Regulator increases the transparency </w:t>
      </w:r>
      <w:r w:rsidR="00C75F80" w:rsidRPr="008F2671">
        <w:t>of regulatory decision making, facilitate</w:t>
      </w:r>
      <w:r w:rsidR="000C11B0" w:rsidRPr="008F2671">
        <w:t>s</w:t>
      </w:r>
      <w:r w:rsidR="00C75F80" w:rsidRPr="008F2671">
        <w:t xml:space="preserve"> </w:t>
      </w:r>
      <w:r w:rsidR="000C11B0" w:rsidRPr="008F2671">
        <w:t xml:space="preserve">informed </w:t>
      </w:r>
      <w:r w:rsidR="00DE3B50" w:rsidRPr="008F2671">
        <w:t xml:space="preserve">consumer </w:t>
      </w:r>
      <w:r w:rsidR="00C75F80" w:rsidRPr="008F2671">
        <w:t xml:space="preserve">decisions regarding </w:t>
      </w:r>
      <w:r w:rsidR="00D4615D" w:rsidRPr="008F2671">
        <w:t xml:space="preserve">NVR </w:t>
      </w:r>
      <w:r w:rsidR="00D74306" w:rsidRPr="008F2671">
        <w:t>RTO</w:t>
      </w:r>
      <w:r w:rsidR="00D4615D" w:rsidRPr="008F2671">
        <w:t>s</w:t>
      </w:r>
      <w:r w:rsidR="00746B1A" w:rsidRPr="008F2671">
        <w:t xml:space="preserve"> </w:t>
      </w:r>
      <w:r w:rsidR="00C75F80" w:rsidRPr="008F2671">
        <w:t>and course choices, and improve</w:t>
      </w:r>
      <w:r w:rsidR="000C11B0" w:rsidRPr="008F2671">
        <w:t>s</w:t>
      </w:r>
      <w:r w:rsidR="00C75F80" w:rsidRPr="008F2671">
        <w:t xml:space="preserve"> student protection.</w:t>
      </w:r>
    </w:p>
    <w:p w14:paraId="5AC87D91" w14:textId="77777777" w:rsidR="00447EEF" w:rsidRPr="008F2671" w:rsidRDefault="00447EEF" w:rsidP="00A9090B">
      <w:pPr>
        <w:ind w:right="91"/>
        <w:rPr>
          <w:b/>
        </w:rPr>
      </w:pPr>
    </w:p>
    <w:p w14:paraId="58861365" w14:textId="77777777" w:rsidR="00C96CC7" w:rsidRPr="00A9090B" w:rsidRDefault="00C96CC7" w:rsidP="00A9090B">
      <w:pPr>
        <w:keepNext/>
        <w:keepLines/>
        <w:autoSpaceDE w:val="0"/>
        <w:autoSpaceDN w:val="0"/>
        <w:adjustRightInd w:val="0"/>
        <w:spacing w:after="120"/>
        <w:rPr>
          <w:b/>
          <w:sz w:val="28"/>
        </w:rPr>
      </w:pPr>
      <w:r w:rsidRPr="00A9090B">
        <w:rPr>
          <w:b/>
          <w:sz w:val="28"/>
        </w:rPr>
        <w:t>Regulation Impact Statement</w:t>
      </w:r>
    </w:p>
    <w:p w14:paraId="2AA2DCDD" w14:textId="77777777" w:rsidR="00C96CC7" w:rsidRPr="008F2671" w:rsidRDefault="00C96CC7" w:rsidP="00FB47CE">
      <w:pPr>
        <w:keepNext/>
        <w:keepLines/>
        <w:ind w:right="91"/>
        <w:rPr>
          <w:color w:val="000000" w:themeColor="text1"/>
        </w:rPr>
      </w:pPr>
      <w:r w:rsidRPr="008F2671">
        <w:rPr>
          <w:lang w:val="en-US"/>
        </w:rPr>
        <w:t xml:space="preserve">The Office of Best Practice Regulation advised </w:t>
      </w:r>
      <w:r w:rsidRPr="008F2671">
        <w:t>that a regulatory impact statement is not required (OBPR Reference ID:</w:t>
      </w:r>
      <w:r w:rsidR="000D1C46" w:rsidRPr="008F2671">
        <w:t xml:space="preserve"> </w:t>
      </w:r>
      <w:r w:rsidR="00220128" w:rsidRPr="008F2671">
        <w:t>24629</w:t>
      </w:r>
      <w:r w:rsidRPr="008F2671">
        <w:rPr>
          <w:color w:val="000000" w:themeColor="text1"/>
        </w:rPr>
        <w:t>)</w:t>
      </w:r>
      <w:r w:rsidR="00EE2501" w:rsidRPr="008F2671">
        <w:rPr>
          <w:color w:val="000000" w:themeColor="text1"/>
        </w:rPr>
        <w:t xml:space="preserve"> as the amendments were </w:t>
      </w:r>
      <w:r w:rsidR="008225EA" w:rsidRPr="008F2671">
        <w:rPr>
          <w:color w:val="000000" w:themeColor="text1"/>
        </w:rPr>
        <w:t>unlikely to have more than minor regulatory impact</w:t>
      </w:r>
      <w:r w:rsidRPr="008F2671">
        <w:rPr>
          <w:color w:val="000000" w:themeColor="text1"/>
        </w:rPr>
        <w:t>.</w:t>
      </w:r>
    </w:p>
    <w:p w14:paraId="44FFD597" w14:textId="77777777" w:rsidR="008711AC" w:rsidRPr="008F2671" w:rsidRDefault="008711AC" w:rsidP="001030C6">
      <w:pPr>
        <w:ind w:right="91"/>
        <w:rPr>
          <w:b/>
          <w:color w:val="000000" w:themeColor="text1"/>
        </w:rPr>
      </w:pPr>
    </w:p>
    <w:p w14:paraId="25B1CA63" w14:textId="77777777" w:rsidR="00C96CC7" w:rsidRPr="00A9090B" w:rsidRDefault="00C96CC7" w:rsidP="00A9090B">
      <w:pPr>
        <w:autoSpaceDE w:val="0"/>
        <w:autoSpaceDN w:val="0"/>
        <w:adjustRightInd w:val="0"/>
        <w:spacing w:after="120"/>
        <w:rPr>
          <w:b/>
          <w:sz w:val="28"/>
        </w:rPr>
      </w:pPr>
      <w:r w:rsidRPr="00A9090B">
        <w:rPr>
          <w:b/>
          <w:sz w:val="28"/>
        </w:rPr>
        <w:t>Commencement</w:t>
      </w:r>
    </w:p>
    <w:p w14:paraId="30AE0B36" w14:textId="77777777" w:rsidR="00C96CC7" w:rsidRPr="008F2671" w:rsidRDefault="00C96CC7" w:rsidP="001030C6">
      <w:pPr>
        <w:ind w:right="91"/>
      </w:pPr>
      <w:bookmarkStart w:id="1" w:name="OLE_LINK1"/>
      <w:bookmarkStart w:id="2" w:name="OLE_LINK2"/>
      <w:r w:rsidRPr="008F2671">
        <w:rPr>
          <w:lang w:eastAsia="en-US"/>
        </w:rPr>
        <w:t xml:space="preserve">The preliminary provisions in sections 1 to 4 of the </w:t>
      </w:r>
      <w:r w:rsidR="00D95C15">
        <w:rPr>
          <w:lang w:eastAsia="en-US"/>
        </w:rPr>
        <w:t>Amendment Regulations</w:t>
      </w:r>
      <w:r w:rsidRPr="008F2671">
        <w:rPr>
          <w:lang w:eastAsia="en-US"/>
        </w:rPr>
        <w:t xml:space="preserve"> commence on the day after the </w:t>
      </w:r>
      <w:r w:rsidR="00D95C15">
        <w:rPr>
          <w:lang w:eastAsia="en-US"/>
        </w:rPr>
        <w:t>Amendment Regulations</w:t>
      </w:r>
      <w:r w:rsidRPr="008F2671">
        <w:rPr>
          <w:lang w:eastAsia="en-US"/>
        </w:rPr>
        <w:t xml:space="preserve"> </w:t>
      </w:r>
      <w:r w:rsidR="00236FC0">
        <w:rPr>
          <w:lang w:eastAsia="en-US"/>
        </w:rPr>
        <w:t>are</w:t>
      </w:r>
      <w:r w:rsidRPr="008F2671">
        <w:rPr>
          <w:lang w:eastAsia="en-US"/>
        </w:rPr>
        <w:t xml:space="preserve"> registered </w:t>
      </w:r>
      <w:r w:rsidRPr="008F2671">
        <w:t>on the Federal Register of Legislation.</w:t>
      </w:r>
      <w:r w:rsidR="008C7039">
        <w:t xml:space="preserve"> </w:t>
      </w:r>
    </w:p>
    <w:p w14:paraId="1FF0E8E4" w14:textId="77777777" w:rsidR="00E6643A" w:rsidRPr="008F2671" w:rsidRDefault="00E6643A" w:rsidP="001030C6">
      <w:pPr>
        <w:ind w:right="91"/>
      </w:pPr>
    </w:p>
    <w:p w14:paraId="7823373C" w14:textId="77777777" w:rsidR="00D4615D" w:rsidRPr="008F2671" w:rsidRDefault="00D4615D" w:rsidP="001030C6">
      <w:pPr>
        <w:ind w:right="91"/>
      </w:pPr>
      <w:r w:rsidRPr="008F2671">
        <w:t xml:space="preserve">Part 1 of Schedule 1 to the </w:t>
      </w:r>
      <w:r w:rsidR="00D95C15">
        <w:t>Amendment Regulations</w:t>
      </w:r>
      <w:r w:rsidRPr="008F2671">
        <w:t xml:space="preserve"> </w:t>
      </w:r>
      <w:r w:rsidR="001030C6" w:rsidRPr="008F2671">
        <w:t xml:space="preserve">commences the day after the </w:t>
      </w:r>
      <w:r w:rsidR="00D95C15">
        <w:t>Amendment Regulations</w:t>
      </w:r>
      <w:r w:rsidR="001030C6" w:rsidRPr="008F2671">
        <w:t xml:space="preserve"> </w:t>
      </w:r>
      <w:r w:rsidR="00236FC0">
        <w:t>are</w:t>
      </w:r>
      <w:r w:rsidR="001030C6" w:rsidRPr="008F2671">
        <w:t xml:space="preserve"> registered on the Federal Register of Legislation.</w:t>
      </w:r>
      <w:r w:rsidR="00ED6615">
        <w:t xml:space="preserve"> The repeal of </w:t>
      </w:r>
      <w:r w:rsidR="00ED6615" w:rsidRPr="00ED6615">
        <w:t>Part 4</w:t>
      </w:r>
      <w:r w:rsidR="00ED6615">
        <w:t xml:space="preserve"> of the Principal Regulations is a </w:t>
      </w:r>
      <w:r w:rsidR="003F6543">
        <w:t xml:space="preserve">routine </w:t>
      </w:r>
      <w:r w:rsidR="00ED6615">
        <w:t>matter that does not need an extend</w:t>
      </w:r>
      <w:r w:rsidR="002C3FEA">
        <w:t>ed</w:t>
      </w:r>
      <w:r w:rsidR="00ED6615">
        <w:t xml:space="preserve"> commencement.</w:t>
      </w:r>
    </w:p>
    <w:p w14:paraId="7A0AF2C7" w14:textId="77777777" w:rsidR="00E6643A" w:rsidRPr="008F2671" w:rsidRDefault="00E6643A" w:rsidP="001030C6">
      <w:pPr>
        <w:ind w:right="91"/>
      </w:pPr>
    </w:p>
    <w:p w14:paraId="1110B169" w14:textId="77777777" w:rsidR="00C96CC7" w:rsidRPr="008F2671" w:rsidRDefault="001030C6" w:rsidP="001030C6">
      <w:pPr>
        <w:ind w:right="91"/>
        <w:rPr>
          <w:lang w:eastAsia="en-US"/>
        </w:rPr>
      </w:pPr>
      <w:r w:rsidRPr="008F2671">
        <w:t xml:space="preserve">Part 2 of </w:t>
      </w:r>
      <w:r w:rsidR="00C96CC7" w:rsidRPr="008F2671">
        <w:t xml:space="preserve">Schedule 1 to the </w:t>
      </w:r>
      <w:r w:rsidR="00D95C15">
        <w:t>Amendment Regulations</w:t>
      </w:r>
      <w:r w:rsidR="00C96CC7" w:rsidRPr="008F2671">
        <w:t xml:space="preserve"> commences on 1 September 20</w:t>
      </w:r>
      <w:r w:rsidR="000D1C46" w:rsidRPr="008F2671">
        <w:t>20</w:t>
      </w:r>
      <w:r w:rsidR="00C96CC7" w:rsidRPr="008F2671">
        <w:t>.</w:t>
      </w:r>
      <w:r w:rsidR="00ED6615">
        <w:t xml:space="preserve"> The</w:t>
      </w:r>
      <w:r w:rsidR="008C7039">
        <w:t xml:space="preserve"> amendments</w:t>
      </w:r>
      <w:r w:rsidR="00ED6615">
        <w:t xml:space="preserve"> </w:t>
      </w:r>
      <w:r w:rsidR="003F6543">
        <w:t xml:space="preserve">in Part 2 </w:t>
      </w:r>
      <w:r w:rsidR="00ED6615">
        <w:t>provide</w:t>
      </w:r>
      <w:r w:rsidR="00ED6615" w:rsidRPr="00ED6615">
        <w:t xml:space="preserve"> for infringement notices in respect of civil penalty provisions</w:t>
      </w:r>
      <w:r w:rsidR="00ED6615">
        <w:t xml:space="preserve"> and information to be entered on the National Register by the Regulator. </w:t>
      </w:r>
      <w:r w:rsidR="003F6543">
        <w:t>Delayed commencement will enable sufficient time to communicate to, and prepare the sector for, these changes</w:t>
      </w:r>
      <w:r w:rsidR="00ED6615">
        <w:t>.</w:t>
      </w:r>
    </w:p>
    <w:p w14:paraId="4872B906" w14:textId="77777777" w:rsidR="00E6643A" w:rsidRPr="008F2671" w:rsidRDefault="00E6643A" w:rsidP="001030C6">
      <w:pPr>
        <w:ind w:right="91"/>
      </w:pPr>
    </w:p>
    <w:p w14:paraId="32961715" w14:textId="277E8A8B" w:rsidR="008379A9" w:rsidRPr="008379A9" w:rsidRDefault="001030C6" w:rsidP="008379A9">
      <w:pPr>
        <w:autoSpaceDE w:val="0"/>
        <w:autoSpaceDN w:val="0"/>
        <w:rPr>
          <w:rFonts w:ascii="Calibri" w:hAnsi="Calibri" w:cs="Calibri"/>
          <w:sz w:val="22"/>
          <w:szCs w:val="22"/>
        </w:rPr>
      </w:pPr>
      <w:r w:rsidRPr="008F2671">
        <w:t>Part 3 of Schedule 1</w:t>
      </w:r>
      <w:r w:rsidR="000C11B0" w:rsidRPr="008F2671">
        <w:t xml:space="preserve"> to the </w:t>
      </w:r>
      <w:r w:rsidR="00D95C15">
        <w:t>Amendment Regulations</w:t>
      </w:r>
      <w:r w:rsidR="008379A9">
        <w:t xml:space="preserve"> commences</w:t>
      </w:r>
      <w:r w:rsidR="000C11B0" w:rsidRPr="008F2671">
        <w:t xml:space="preserve"> on 1 March 2021.</w:t>
      </w:r>
      <w:r w:rsidR="008C7039">
        <w:t xml:space="preserve"> These amendments </w:t>
      </w:r>
      <w:r w:rsidR="008379A9">
        <w:t>which provide</w:t>
      </w:r>
      <w:r w:rsidR="008379A9" w:rsidRPr="008379A9">
        <w:t xml:space="preserve"> for information to be entered on the National Register</w:t>
      </w:r>
      <w:r w:rsidR="008379A9" w:rsidRPr="008379A9">
        <w:rPr>
          <w:rFonts w:ascii="Segoe UI" w:hAnsi="Segoe UI" w:cs="Segoe UI"/>
          <w:color w:val="000000"/>
          <w:sz w:val="20"/>
          <w:szCs w:val="20"/>
        </w:rPr>
        <w:t xml:space="preserve"> </w:t>
      </w:r>
    </w:p>
    <w:p w14:paraId="7430F7A3" w14:textId="5932A648" w:rsidR="000C11B0" w:rsidRPr="008F2671" w:rsidRDefault="003F6543" w:rsidP="001030C6">
      <w:pPr>
        <w:ind w:right="91"/>
        <w:rPr>
          <w:lang w:eastAsia="en-US"/>
        </w:rPr>
      </w:pPr>
      <w:r>
        <w:t xml:space="preserve">require a </w:t>
      </w:r>
      <w:r w:rsidR="008C7039">
        <w:t>later commence</w:t>
      </w:r>
      <w:r w:rsidR="008379A9">
        <w:t>ment</w:t>
      </w:r>
      <w:r w:rsidR="008C7039">
        <w:t xml:space="preserve"> date to </w:t>
      </w:r>
      <w:r w:rsidR="00ED6615">
        <w:t>provide enough time for the</w:t>
      </w:r>
      <w:r w:rsidR="008C7039">
        <w:t xml:space="preserve"> Regulator and the department to implement changes to</w:t>
      </w:r>
      <w:r w:rsidR="00ED6615">
        <w:t xml:space="preserve"> </w:t>
      </w:r>
      <w:r>
        <w:t xml:space="preserve">supporting </w:t>
      </w:r>
      <w:r w:rsidR="008C7039">
        <w:t>IT systems.</w:t>
      </w:r>
    </w:p>
    <w:bookmarkEnd w:id="1"/>
    <w:bookmarkEnd w:id="2"/>
    <w:p w14:paraId="15992DF7" w14:textId="77777777" w:rsidR="008711AC" w:rsidRPr="008F2671" w:rsidRDefault="008711AC" w:rsidP="001030C6">
      <w:pPr>
        <w:keepNext/>
        <w:keepLines/>
        <w:ind w:right="91"/>
        <w:rPr>
          <w:b/>
          <w:color w:val="000000" w:themeColor="text1"/>
        </w:rPr>
      </w:pPr>
    </w:p>
    <w:p w14:paraId="3085190D" w14:textId="77777777" w:rsidR="00C96CC7" w:rsidRPr="00447EEF" w:rsidRDefault="00C96CC7" w:rsidP="00447EEF">
      <w:pPr>
        <w:keepNext/>
        <w:keepLines/>
        <w:autoSpaceDE w:val="0"/>
        <w:autoSpaceDN w:val="0"/>
        <w:adjustRightInd w:val="0"/>
        <w:spacing w:after="120"/>
        <w:rPr>
          <w:b/>
          <w:sz w:val="28"/>
        </w:rPr>
      </w:pPr>
      <w:r w:rsidRPr="00447EEF">
        <w:rPr>
          <w:b/>
          <w:sz w:val="28"/>
        </w:rPr>
        <w:t>Consultation</w:t>
      </w:r>
    </w:p>
    <w:p w14:paraId="7D1EC3A9" w14:textId="768A7E36" w:rsidR="00C96CC7" w:rsidRPr="003F6543" w:rsidRDefault="00C96CC7" w:rsidP="00447EEF">
      <w:pPr>
        <w:keepNext/>
        <w:keepLines/>
      </w:pPr>
      <w:r w:rsidRPr="008F2671">
        <w:rPr>
          <w:lang w:eastAsia="en-US"/>
        </w:rPr>
        <w:t xml:space="preserve">The </w:t>
      </w:r>
      <w:r w:rsidRPr="008F2671">
        <w:t xml:space="preserve">Regulator and the states and territories have been consulted regarding the making of the </w:t>
      </w:r>
      <w:r w:rsidR="00D95C15">
        <w:t xml:space="preserve">Amendment </w:t>
      </w:r>
      <w:r w:rsidR="00D95C15" w:rsidRPr="003F6543">
        <w:t>Regulations</w:t>
      </w:r>
      <w:r w:rsidR="00D3130A">
        <w:t>. No concerns were raised regarding the measures</w:t>
      </w:r>
      <w:r w:rsidR="00801BB0" w:rsidRPr="003F6543">
        <w:t>.</w:t>
      </w:r>
    </w:p>
    <w:p w14:paraId="20453696" w14:textId="77777777" w:rsidR="00C96CC7" w:rsidRPr="003F6543" w:rsidRDefault="00C96CC7" w:rsidP="001030C6"/>
    <w:p w14:paraId="1A4BECA4" w14:textId="77777777" w:rsidR="008D31EC" w:rsidRPr="003F6543" w:rsidRDefault="00C96CC7" w:rsidP="001030C6">
      <w:pPr>
        <w:rPr>
          <w:color w:val="000000"/>
        </w:rPr>
      </w:pPr>
      <w:r w:rsidRPr="003F6543">
        <w:rPr>
          <w:color w:val="000000"/>
        </w:rPr>
        <w:t xml:space="preserve">Pursuant to clause 5.2 in the </w:t>
      </w:r>
      <w:r w:rsidRPr="003F6543">
        <w:rPr>
          <w:i/>
          <w:iCs/>
          <w:color w:val="000000"/>
        </w:rPr>
        <w:t>Intergovernmental Agreement for Regulatory Reform in Vocational Education and Training</w:t>
      </w:r>
      <w:r w:rsidRPr="003F6543">
        <w:rPr>
          <w:color w:val="000000"/>
        </w:rPr>
        <w:t xml:space="preserve"> entered into between the Commonwealth and states and territories, the Commonwealth “will consult with States and Territories on proposals to make amendments to the National VET Regulator Legislation”.</w:t>
      </w:r>
      <w:r w:rsidR="00D14176" w:rsidRPr="003F6543">
        <w:rPr>
          <w:color w:val="000000"/>
        </w:rPr>
        <w:t xml:space="preserve"> </w:t>
      </w:r>
    </w:p>
    <w:p w14:paraId="6DC20261" w14:textId="77777777" w:rsidR="00447EEF" w:rsidRPr="003F6543" w:rsidRDefault="00447EEF" w:rsidP="001030C6">
      <w:pPr>
        <w:rPr>
          <w:color w:val="000000"/>
        </w:rPr>
      </w:pPr>
    </w:p>
    <w:p w14:paraId="46E222EC" w14:textId="77777777" w:rsidR="00C96CC7" w:rsidRPr="003F6543" w:rsidRDefault="00C96CC7" w:rsidP="001030C6">
      <w:pPr>
        <w:rPr>
          <w:color w:val="000000"/>
        </w:rPr>
      </w:pPr>
      <w:r w:rsidRPr="003F6543">
        <w:rPr>
          <w:color w:val="000000"/>
        </w:rPr>
        <w:t>The department undertakes this consultation with the states and territories by consulting with the Skills Senior Offic</w:t>
      </w:r>
      <w:r w:rsidR="00755D92" w:rsidRPr="003F6543">
        <w:rPr>
          <w:color w:val="000000"/>
        </w:rPr>
        <w:t>ials’</w:t>
      </w:r>
      <w:r w:rsidRPr="003F6543">
        <w:rPr>
          <w:color w:val="000000"/>
        </w:rPr>
        <w:t xml:space="preserve"> Network (SSON).</w:t>
      </w:r>
      <w:r w:rsidR="001030C6" w:rsidRPr="003F6543">
        <w:rPr>
          <w:color w:val="000000"/>
        </w:rPr>
        <w:t xml:space="preserve"> </w:t>
      </w:r>
      <w:r w:rsidRPr="003F6543">
        <w:rPr>
          <w:color w:val="000000"/>
        </w:rPr>
        <w:t>SSON is comprised of senior officials from each state and territory government department responsible for VET</w:t>
      </w:r>
      <w:r w:rsidR="001030C6" w:rsidRPr="003F6543">
        <w:rPr>
          <w:color w:val="000000"/>
        </w:rPr>
        <w:t>.</w:t>
      </w:r>
    </w:p>
    <w:p w14:paraId="6C628FEC" w14:textId="77777777" w:rsidR="00C96CC7" w:rsidRPr="003F6543" w:rsidRDefault="00C96CC7" w:rsidP="001030C6">
      <w:pPr>
        <w:rPr>
          <w:color w:val="000000"/>
        </w:rPr>
      </w:pPr>
    </w:p>
    <w:p w14:paraId="1C3848EC" w14:textId="591D78A8" w:rsidR="00C96CC7" w:rsidRPr="008F2671" w:rsidRDefault="000D1C46" w:rsidP="001030C6">
      <w:pPr>
        <w:rPr>
          <w:color w:val="000000"/>
        </w:rPr>
      </w:pPr>
      <w:r w:rsidRPr="00B529AF">
        <w:rPr>
          <w:color w:val="000000"/>
        </w:rPr>
        <w:t xml:space="preserve">A table describing the provisions of the </w:t>
      </w:r>
      <w:r w:rsidR="00D95C15" w:rsidRPr="00B529AF">
        <w:rPr>
          <w:color w:val="000000"/>
        </w:rPr>
        <w:t>Amendment Regulations</w:t>
      </w:r>
      <w:r w:rsidR="00C96CC7" w:rsidRPr="00B529AF">
        <w:rPr>
          <w:color w:val="000000"/>
        </w:rPr>
        <w:t xml:space="preserve"> was circulated to state</w:t>
      </w:r>
      <w:r w:rsidR="00236FC0" w:rsidRPr="00B529AF">
        <w:rPr>
          <w:color w:val="000000"/>
        </w:rPr>
        <w:t>s</w:t>
      </w:r>
      <w:r w:rsidR="00C96CC7" w:rsidRPr="00B529AF">
        <w:rPr>
          <w:color w:val="000000"/>
        </w:rPr>
        <w:t xml:space="preserve"> and territories for not</w:t>
      </w:r>
      <w:r w:rsidR="00575F51">
        <w:rPr>
          <w:color w:val="000000"/>
        </w:rPr>
        <w:t>ing and comments, through SSON. No concerns were raised about the measures.</w:t>
      </w:r>
    </w:p>
    <w:p w14:paraId="365246B3" w14:textId="77777777" w:rsidR="00C96CC7" w:rsidRPr="008F2671" w:rsidRDefault="00C96CC7" w:rsidP="008711AC">
      <w:pPr>
        <w:rPr>
          <w:lang w:val="en-US"/>
        </w:rPr>
      </w:pPr>
    </w:p>
    <w:p w14:paraId="0D6F0704" w14:textId="31F8FB06" w:rsidR="008711AC" w:rsidRPr="008F2671" w:rsidRDefault="008711AC" w:rsidP="008711AC">
      <w:pPr>
        <w:rPr>
          <w:lang w:val="en-US"/>
        </w:rPr>
      </w:pPr>
      <w:r w:rsidRPr="008F2671">
        <w:rPr>
          <w:lang w:val="en-US"/>
        </w:rPr>
        <w:t xml:space="preserve">In addition to this, </w:t>
      </w:r>
      <w:r w:rsidR="00646C60" w:rsidRPr="008F2671">
        <w:rPr>
          <w:lang w:val="en-US"/>
        </w:rPr>
        <w:t xml:space="preserve">a Privacy Impact Assessment </w:t>
      </w:r>
      <w:r w:rsidR="00E06AB5" w:rsidRPr="008F2671">
        <w:rPr>
          <w:lang w:val="en-US"/>
        </w:rPr>
        <w:t xml:space="preserve">(PIA) </w:t>
      </w:r>
      <w:r w:rsidR="00646C60" w:rsidRPr="008F2671">
        <w:rPr>
          <w:lang w:val="en-US"/>
        </w:rPr>
        <w:t>has been u</w:t>
      </w:r>
      <w:r w:rsidR="00E06AB5" w:rsidRPr="008F2671">
        <w:rPr>
          <w:lang w:val="en-US"/>
        </w:rPr>
        <w:t xml:space="preserve">ndertaken with respect to the </w:t>
      </w:r>
      <w:r w:rsidR="00646C60" w:rsidRPr="008F2671">
        <w:rPr>
          <w:lang w:val="en-US"/>
        </w:rPr>
        <w:t>minor</w:t>
      </w:r>
      <w:r w:rsidR="00E06AB5" w:rsidRPr="008F2671">
        <w:rPr>
          <w:lang w:val="en-US"/>
        </w:rPr>
        <w:t xml:space="preserve"> amendments contained in the </w:t>
      </w:r>
      <w:r w:rsidR="00D95C15">
        <w:rPr>
          <w:lang w:val="en-US"/>
        </w:rPr>
        <w:t>Amendment Regulations</w:t>
      </w:r>
      <w:r w:rsidR="00E06AB5" w:rsidRPr="008F2671">
        <w:rPr>
          <w:lang w:val="en-US"/>
        </w:rPr>
        <w:t xml:space="preserve"> relating to the requirement for the National Register to contain the contact details of the </w:t>
      </w:r>
      <w:r w:rsidR="0093251E" w:rsidRPr="008F2671">
        <w:rPr>
          <w:lang w:val="en-US"/>
        </w:rPr>
        <w:t xml:space="preserve">chief executive officer of </w:t>
      </w:r>
      <w:r w:rsidR="004B3EAC">
        <w:rPr>
          <w:lang w:val="en-US"/>
        </w:rPr>
        <w:t xml:space="preserve">an </w:t>
      </w:r>
      <w:r w:rsidR="00E06AB5" w:rsidRPr="008F2671">
        <w:rPr>
          <w:lang w:val="en-US"/>
        </w:rPr>
        <w:t>NVR RTO. While in many instances this information is already publicly available, a PIA has nev</w:t>
      </w:r>
      <w:r w:rsidR="0093251E" w:rsidRPr="008F2671">
        <w:rPr>
          <w:lang w:val="en-US"/>
        </w:rPr>
        <w:t xml:space="preserve">ertheless been undertaken as </w:t>
      </w:r>
      <w:r w:rsidR="00E06AB5" w:rsidRPr="008F2671">
        <w:rPr>
          <w:lang w:val="en-US"/>
        </w:rPr>
        <w:t>is best practice</w:t>
      </w:r>
      <w:r w:rsidR="0093251E" w:rsidRPr="008F2671">
        <w:rPr>
          <w:lang w:val="en-US"/>
        </w:rPr>
        <w:t>,</w:t>
      </w:r>
      <w:r w:rsidR="00E06AB5" w:rsidRPr="008F2671">
        <w:rPr>
          <w:lang w:val="en-US"/>
        </w:rPr>
        <w:t xml:space="preserve"> and </w:t>
      </w:r>
      <w:r w:rsidR="0093251E" w:rsidRPr="008F2671">
        <w:rPr>
          <w:lang w:val="en-US"/>
        </w:rPr>
        <w:t>the outcomes of that PIA will be considered as part of the ongoing management of the National Register.</w:t>
      </w:r>
      <w:r w:rsidR="00E06AB5" w:rsidRPr="008F2671">
        <w:rPr>
          <w:lang w:val="en-US"/>
        </w:rPr>
        <w:t xml:space="preserve">  </w:t>
      </w:r>
    </w:p>
    <w:p w14:paraId="776CCA97" w14:textId="77777777" w:rsidR="008711AC" w:rsidRPr="008F2671" w:rsidRDefault="008711AC" w:rsidP="00C96CC7">
      <w:pPr>
        <w:spacing w:after="200" w:line="276" w:lineRule="auto"/>
        <w:rPr>
          <w:lang w:val="en-US"/>
        </w:rPr>
      </w:pPr>
    </w:p>
    <w:p w14:paraId="23A4EE28" w14:textId="77777777" w:rsidR="00C96CC7" w:rsidRPr="00965A5D" w:rsidRDefault="00C96CC7" w:rsidP="00C96CC7">
      <w:pPr>
        <w:spacing w:after="200" w:line="276" w:lineRule="auto"/>
        <w:rPr>
          <w:lang w:val="en-US"/>
        </w:rPr>
      </w:pPr>
      <w:r w:rsidRPr="00965A5D">
        <w:rPr>
          <w:lang w:val="en-US"/>
        </w:rPr>
        <w:br w:type="page"/>
      </w:r>
    </w:p>
    <w:p w14:paraId="09512C35" w14:textId="77777777" w:rsidR="00C96CC7" w:rsidRPr="00447EEF" w:rsidRDefault="00C96CC7" w:rsidP="00447EEF">
      <w:pPr>
        <w:keepNext/>
        <w:ind w:right="91"/>
        <w:rPr>
          <w:b/>
          <w:sz w:val="28"/>
        </w:rPr>
      </w:pPr>
      <w:r w:rsidRPr="00447EEF">
        <w:rPr>
          <w:b/>
          <w:sz w:val="28"/>
        </w:rPr>
        <w:t xml:space="preserve">Detailed explanation </w:t>
      </w:r>
      <w:r w:rsidR="00447EEF">
        <w:rPr>
          <w:b/>
          <w:sz w:val="28"/>
        </w:rPr>
        <w:t xml:space="preserve">of </w:t>
      </w:r>
      <w:r w:rsidR="00D95C15">
        <w:rPr>
          <w:b/>
          <w:sz w:val="28"/>
        </w:rPr>
        <w:t>Amendment Regulations</w:t>
      </w:r>
      <w:r w:rsidRPr="00447EEF">
        <w:rPr>
          <w:b/>
          <w:sz w:val="28"/>
        </w:rPr>
        <w:t xml:space="preserve"> provisions</w:t>
      </w:r>
    </w:p>
    <w:p w14:paraId="0A199F29" w14:textId="77777777" w:rsidR="00C96CC7" w:rsidRPr="008F2671" w:rsidRDefault="00C96CC7" w:rsidP="00C96CC7">
      <w:pPr>
        <w:ind w:right="91"/>
        <w:rPr>
          <w:bCs/>
          <w:u w:val="single"/>
          <w:lang w:eastAsia="en-US"/>
        </w:rPr>
      </w:pPr>
    </w:p>
    <w:p w14:paraId="13FB9A53" w14:textId="77777777" w:rsidR="00C96CC7" w:rsidRPr="008F2671" w:rsidRDefault="00C96CC7" w:rsidP="00C96CC7">
      <w:pPr>
        <w:ind w:right="91"/>
        <w:rPr>
          <w:b/>
          <w:bCs/>
          <w:u w:val="single"/>
          <w:lang w:eastAsia="en-US"/>
        </w:rPr>
      </w:pPr>
      <w:r w:rsidRPr="008F2671">
        <w:rPr>
          <w:b/>
          <w:bCs/>
          <w:u w:val="single"/>
          <w:lang w:eastAsia="en-US"/>
        </w:rPr>
        <w:t>Section 1 – Name</w:t>
      </w:r>
    </w:p>
    <w:p w14:paraId="365C1EFF" w14:textId="77777777" w:rsidR="00AC424B" w:rsidRPr="008F2671" w:rsidRDefault="00AC424B" w:rsidP="00C96CC7">
      <w:pPr>
        <w:ind w:right="91"/>
        <w:rPr>
          <w:lang w:eastAsia="en-US"/>
        </w:rPr>
      </w:pPr>
    </w:p>
    <w:p w14:paraId="071DE300" w14:textId="77777777" w:rsidR="00C96CC7" w:rsidRPr="008F2671" w:rsidRDefault="00C96CC7" w:rsidP="00C96CC7">
      <w:pPr>
        <w:ind w:right="91"/>
        <w:rPr>
          <w:i/>
          <w:lang w:eastAsia="en-US"/>
        </w:rPr>
      </w:pPr>
      <w:r w:rsidRPr="008F2671">
        <w:rPr>
          <w:lang w:eastAsia="en-US"/>
        </w:rPr>
        <w:t>This section provides that the title of the regulation</w:t>
      </w:r>
      <w:r w:rsidRPr="008F2671" w:rsidDel="004541E9">
        <w:rPr>
          <w:lang w:eastAsia="en-US"/>
        </w:rPr>
        <w:t xml:space="preserve"> </w:t>
      </w:r>
      <w:r w:rsidRPr="008F2671">
        <w:rPr>
          <w:lang w:eastAsia="en-US"/>
        </w:rPr>
        <w:t xml:space="preserve">is the </w:t>
      </w:r>
      <w:r w:rsidRPr="008F2671">
        <w:rPr>
          <w:i/>
        </w:rPr>
        <w:t>National Vocational Education and Training Regulator A</w:t>
      </w:r>
      <w:r w:rsidR="00F0161F" w:rsidRPr="008F2671">
        <w:rPr>
          <w:i/>
        </w:rPr>
        <w:t xml:space="preserve">mendment (2020 </w:t>
      </w:r>
      <w:r w:rsidRPr="008F2671">
        <w:rPr>
          <w:i/>
        </w:rPr>
        <w:t>Measures</w:t>
      </w:r>
      <w:r w:rsidR="00F0161F" w:rsidRPr="008F2671">
        <w:rPr>
          <w:i/>
        </w:rPr>
        <w:t xml:space="preserve"> No. 1</w:t>
      </w:r>
      <w:r w:rsidRPr="008F2671">
        <w:rPr>
          <w:i/>
        </w:rPr>
        <w:t>) Regulation</w:t>
      </w:r>
      <w:r w:rsidR="004121F7" w:rsidRPr="008F2671">
        <w:rPr>
          <w:i/>
        </w:rPr>
        <w:t>s</w:t>
      </w:r>
      <w:r w:rsidRPr="008F2671">
        <w:rPr>
          <w:i/>
        </w:rPr>
        <w:t xml:space="preserve"> 20</w:t>
      </w:r>
      <w:r w:rsidR="00F0161F" w:rsidRPr="008F2671">
        <w:rPr>
          <w:i/>
        </w:rPr>
        <w:t>20</w:t>
      </w:r>
      <w:r w:rsidRPr="008F2671">
        <w:t xml:space="preserve"> (the </w:t>
      </w:r>
      <w:r w:rsidR="00D95C15">
        <w:t>Amendment Regulations</w:t>
      </w:r>
      <w:r w:rsidRPr="008F2671">
        <w:t>).</w:t>
      </w:r>
    </w:p>
    <w:p w14:paraId="209A199E" w14:textId="77777777" w:rsidR="00C96CC7" w:rsidRPr="008F2671" w:rsidRDefault="00C96CC7" w:rsidP="00C96CC7">
      <w:pPr>
        <w:ind w:right="91"/>
        <w:rPr>
          <w:bCs/>
          <w:u w:val="single"/>
          <w:lang w:eastAsia="en-US"/>
        </w:rPr>
      </w:pPr>
    </w:p>
    <w:p w14:paraId="52D59917" w14:textId="77777777" w:rsidR="00C96CC7" w:rsidRPr="008F2671" w:rsidRDefault="00C96CC7" w:rsidP="00C96CC7">
      <w:pPr>
        <w:ind w:right="91"/>
        <w:rPr>
          <w:b/>
          <w:bCs/>
          <w:u w:val="single"/>
          <w:lang w:eastAsia="en-US"/>
        </w:rPr>
      </w:pPr>
      <w:r w:rsidRPr="008F2671">
        <w:rPr>
          <w:b/>
          <w:bCs/>
          <w:u w:val="single"/>
          <w:lang w:eastAsia="en-US"/>
        </w:rPr>
        <w:t>Section 2 – Commencement</w:t>
      </w:r>
    </w:p>
    <w:p w14:paraId="675EE743" w14:textId="77777777" w:rsidR="00C96CC7" w:rsidRPr="008F2671" w:rsidRDefault="00C96CC7" w:rsidP="00C96CC7">
      <w:pPr>
        <w:ind w:right="91"/>
        <w:rPr>
          <w:bCs/>
          <w:u w:val="single"/>
          <w:lang w:eastAsia="en-US"/>
        </w:rPr>
      </w:pPr>
    </w:p>
    <w:p w14:paraId="3EDAE25C" w14:textId="77777777" w:rsidR="00C96CC7" w:rsidRPr="008F2671" w:rsidRDefault="00C96CC7" w:rsidP="00C96CC7">
      <w:pPr>
        <w:ind w:right="91"/>
        <w:rPr>
          <w:lang w:eastAsia="en-US"/>
        </w:rPr>
      </w:pPr>
      <w:r w:rsidRPr="008F2671">
        <w:rPr>
          <w:lang w:eastAsia="en-US"/>
        </w:rPr>
        <w:t xml:space="preserve">This section sets out a table specifying when the various provisions in the </w:t>
      </w:r>
      <w:r w:rsidR="00D95C15">
        <w:rPr>
          <w:lang w:eastAsia="en-US"/>
        </w:rPr>
        <w:t>Amendment Regulations</w:t>
      </w:r>
      <w:r w:rsidRPr="008F2671">
        <w:rPr>
          <w:lang w:eastAsia="en-US"/>
        </w:rPr>
        <w:t xml:space="preserve"> commence.</w:t>
      </w:r>
    </w:p>
    <w:p w14:paraId="6E2AC846" w14:textId="77777777" w:rsidR="00AC424B" w:rsidRPr="008F2671" w:rsidRDefault="00AC424B" w:rsidP="00AC424B">
      <w:pPr>
        <w:ind w:right="91"/>
        <w:rPr>
          <w:lang w:eastAsia="en-US"/>
        </w:rPr>
      </w:pPr>
    </w:p>
    <w:p w14:paraId="7A5211FF" w14:textId="77777777" w:rsidR="00AC424B" w:rsidRPr="008F2671" w:rsidRDefault="00AC424B" w:rsidP="00AC424B">
      <w:pPr>
        <w:ind w:right="91"/>
      </w:pPr>
      <w:r w:rsidRPr="008F2671">
        <w:rPr>
          <w:lang w:eastAsia="en-US"/>
        </w:rPr>
        <w:t xml:space="preserve">The preliminary provisions in sections 1 to 4 of the </w:t>
      </w:r>
      <w:r w:rsidR="00D95C15">
        <w:rPr>
          <w:lang w:eastAsia="en-US"/>
        </w:rPr>
        <w:t>Amendment Regulations</w:t>
      </w:r>
      <w:r w:rsidRPr="008F2671">
        <w:rPr>
          <w:lang w:eastAsia="en-US"/>
        </w:rPr>
        <w:t xml:space="preserve"> commence on the day after the </w:t>
      </w:r>
      <w:r w:rsidR="00D95C15">
        <w:rPr>
          <w:lang w:eastAsia="en-US"/>
        </w:rPr>
        <w:t>Amendment Regulations</w:t>
      </w:r>
      <w:r w:rsidRPr="008F2671">
        <w:rPr>
          <w:lang w:eastAsia="en-US"/>
        </w:rPr>
        <w:t xml:space="preserve"> is registered </w:t>
      </w:r>
      <w:r w:rsidRPr="008F2671">
        <w:t>on the Federal Register of Legislation.</w:t>
      </w:r>
    </w:p>
    <w:p w14:paraId="39896B7C" w14:textId="77777777" w:rsidR="00AC424B" w:rsidRPr="008F2671" w:rsidRDefault="00AC424B" w:rsidP="00AC424B">
      <w:pPr>
        <w:ind w:right="91"/>
      </w:pPr>
    </w:p>
    <w:p w14:paraId="67ED33A9" w14:textId="77777777" w:rsidR="00AC424B" w:rsidRPr="008F2671" w:rsidRDefault="00AC424B" w:rsidP="00AC424B">
      <w:pPr>
        <w:ind w:right="91"/>
      </w:pPr>
      <w:r w:rsidRPr="008F2671">
        <w:t xml:space="preserve">Part 1 of Schedule 1 to the </w:t>
      </w:r>
      <w:r w:rsidR="00D95C15">
        <w:t>Amendment Regulations</w:t>
      </w:r>
      <w:r w:rsidRPr="008F2671">
        <w:t xml:space="preserve"> commences the day after the </w:t>
      </w:r>
      <w:r w:rsidR="00D95C15">
        <w:t>Amendment Regulations</w:t>
      </w:r>
      <w:r w:rsidRPr="008F2671">
        <w:t xml:space="preserve"> </w:t>
      </w:r>
      <w:r w:rsidR="00236FC0">
        <w:t>are</w:t>
      </w:r>
      <w:r w:rsidRPr="008F2671">
        <w:t xml:space="preserve"> registered on the Federal Register of Legislation.</w:t>
      </w:r>
    </w:p>
    <w:p w14:paraId="11E3BC67" w14:textId="77777777" w:rsidR="00AC424B" w:rsidRPr="008F2671" w:rsidRDefault="00AC424B" w:rsidP="00AC424B">
      <w:pPr>
        <w:ind w:right="91"/>
      </w:pPr>
    </w:p>
    <w:p w14:paraId="68BF855F" w14:textId="77777777" w:rsidR="00AC424B" w:rsidRPr="008F2671" w:rsidRDefault="00AC424B" w:rsidP="00AC424B">
      <w:pPr>
        <w:ind w:right="91"/>
        <w:rPr>
          <w:lang w:eastAsia="en-US"/>
        </w:rPr>
      </w:pPr>
      <w:r w:rsidRPr="008F2671">
        <w:t xml:space="preserve">Part 2 of Schedule 1 to the </w:t>
      </w:r>
      <w:r w:rsidR="00D95C15">
        <w:t>Amendment Regulations</w:t>
      </w:r>
      <w:r w:rsidRPr="008F2671">
        <w:t xml:space="preserve"> commences on 1 September 2020.</w:t>
      </w:r>
    </w:p>
    <w:p w14:paraId="166C7211" w14:textId="77777777" w:rsidR="00AC424B" w:rsidRPr="008F2671" w:rsidRDefault="00AC424B" w:rsidP="00AC424B">
      <w:pPr>
        <w:ind w:right="91"/>
      </w:pPr>
    </w:p>
    <w:p w14:paraId="5960C6DF" w14:textId="77777777" w:rsidR="00AC424B" w:rsidRPr="008F2671" w:rsidRDefault="00AC424B" w:rsidP="00AC424B">
      <w:pPr>
        <w:ind w:right="91"/>
        <w:rPr>
          <w:lang w:eastAsia="en-US"/>
        </w:rPr>
      </w:pPr>
      <w:r w:rsidRPr="008F2671">
        <w:t xml:space="preserve">Part 3 of Schedule 1 to the </w:t>
      </w:r>
      <w:r w:rsidR="00D95C15">
        <w:t>Amendment Regulations</w:t>
      </w:r>
      <w:r w:rsidRPr="008F2671">
        <w:t xml:space="preserve"> commences on 1 March 2021.</w:t>
      </w:r>
    </w:p>
    <w:p w14:paraId="70BA4AE6" w14:textId="77777777" w:rsidR="00C96CC7" w:rsidRPr="008F2671" w:rsidRDefault="00C96CC7" w:rsidP="00C96CC7">
      <w:pPr>
        <w:ind w:right="91"/>
      </w:pPr>
    </w:p>
    <w:p w14:paraId="35D85D5B" w14:textId="77777777" w:rsidR="00C96CC7" w:rsidRPr="008F2671" w:rsidRDefault="00C96CC7" w:rsidP="00C96CC7">
      <w:pPr>
        <w:ind w:right="91"/>
        <w:rPr>
          <w:b/>
          <w:bCs/>
          <w:u w:val="single"/>
          <w:lang w:eastAsia="en-US"/>
        </w:rPr>
      </w:pPr>
      <w:r w:rsidRPr="008F2671">
        <w:rPr>
          <w:b/>
          <w:bCs/>
          <w:u w:val="single"/>
          <w:lang w:eastAsia="en-US"/>
        </w:rPr>
        <w:t>Section 3 – Authority</w:t>
      </w:r>
    </w:p>
    <w:p w14:paraId="48823304" w14:textId="77777777" w:rsidR="00C96CC7" w:rsidRPr="008F2671" w:rsidRDefault="00C96CC7" w:rsidP="00C96CC7">
      <w:pPr>
        <w:ind w:right="91"/>
        <w:rPr>
          <w:bCs/>
          <w:u w:val="single"/>
          <w:lang w:eastAsia="en-US"/>
        </w:rPr>
      </w:pPr>
    </w:p>
    <w:p w14:paraId="45EBFAD1" w14:textId="77777777" w:rsidR="00C96CC7" w:rsidRPr="008F2671" w:rsidRDefault="00C96CC7" w:rsidP="00C96CC7">
      <w:pPr>
        <w:ind w:right="91"/>
        <w:rPr>
          <w:i/>
          <w:lang w:eastAsia="en-US"/>
        </w:rPr>
      </w:pPr>
      <w:r w:rsidRPr="008F2671">
        <w:rPr>
          <w:lang w:eastAsia="en-US"/>
        </w:rPr>
        <w:t xml:space="preserve">This section provides that the </w:t>
      </w:r>
      <w:r w:rsidR="00D95C15">
        <w:rPr>
          <w:lang w:eastAsia="en-US"/>
        </w:rPr>
        <w:t>Amendment Regulations</w:t>
      </w:r>
      <w:r w:rsidRPr="008F2671">
        <w:rPr>
          <w:lang w:eastAsia="en-US"/>
        </w:rPr>
        <w:t xml:space="preserve"> </w:t>
      </w:r>
      <w:r w:rsidR="00236FC0">
        <w:rPr>
          <w:lang w:eastAsia="en-US"/>
        </w:rPr>
        <w:t>are</w:t>
      </w:r>
      <w:r w:rsidRPr="008F2671">
        <w:rPr>
          <w:lang w:eastAsia="en-US"/>
        </w:rPr>
        <w:t xml:space="preserve"> made under the </w:t>
      </w:r>
      <w:r w:rsidRPr="008F2671">
        <w:rPr>
          <w:i/>
          <w:lang w:eastAsia="en-US"/>
        </w:rPr>
        <w:t xml:space="preserve">National Vocational Education and Training Regulator Act 2011 </w:t>
      </w:r>
      <w:r w:rsidRPr="008F2671">
        <w:rPr>
          <w:lang w:eastAsia="en-US"/>
        </w:rPr>
        <w:t>(the Act)</w:t>
      </w:r>
      <w:r w:rsidRPr="008F2671">
        <w:rPr>
          <w:i/>
          <w:lang w:eastAsia="en-US"/>
        </w:rPr>
        <w:t>.</w:t>
      </w:r>
    </w:p>
    <w:p w14:paraId="09020004" w14:textId="77777777" w:rsidR="00C96CC7" w:rsidRPr="008F2671" w:rsidRDefault="00C96CC7" w:rsidP="00C96CC7">
      <w:pPr>
        <w:ind w:right="91"/>
        <w:rPr>
          <w:lang w:eastAsia="en-US"/>
        </w:rPr>
      </w:pPr>
    </w:p>
    <w:p w14:paraId="2CC755FF" w14:textId="77777777" w:rsidR="00C96CC7" w:rsidRPr="008F2671" w:rsidRDefault="00C96CC7" w:rsidP="00C96CC7">
      <w:pPr>
        <w:ind w:right="91"/>
        <w:rPr>
          <w:b/>
          <w:bCs/>
          <w:u w:val="single"/>
          <w:lang w:eastAsia="en-US"/>
        </w:rPr>
      </w:pPr>
      <w:r w:rsidRPr="008F2671">
        <w:rPr>
          <w:b/>
          <w:bCs/>
          <w:u w:val="single"/>
          <w:lang w:eastAsia="en-US"/>
        </w:rPr>
        <w:t>Section 4 – Schedule</w:t>
      </w:r>
      <w:r w:rsidR="009E5990" w:rsidRPr="008F2671">
        <w:rPr>
          <w:b/>
          <w:bCs/>
          <w:u w:val="single"/>
          <w:lang w:eastAsia="en-US"/>
        </w:rPr>
        <w:t>s</w:t>
      </w:r>
    </w:p>
    <w:p w14:paraId="763AE87B" w14:textId="77777777" w:rsidR="00C96CC7" w:rsidRPr="008F2671" w:rsidRDefault="00C96CC7" w:rsidP="00C96CC7">
      <w:pPr>
        <w:ind w:right="91"/>
        <w:rPr>
          <w:bCs/>
          <w:u w:val="single"/>
          <w:lang w:eastAsia="en-US"/>
        </w:rPr>
      </w:pPr>
    </w:p>
    <w:p w14:paraId="4CF5B683" w14:textId="77777777" w:rsidR="00C96CC7" w:rsidRPr="008F2671" w:rsidRDefault="00C96CC7" w:rsidP="00C96CC7">
      <w:pPr>
        <w:ind w:right="91"/>
        <w:rPr>
          <w:lang w:eastAsia="en-US"/>
        </w:rPr>
      </w:pPr>
      <w:r w:rsidRPr="008F2671">
        <w:rPr>
          <w:lang w:eastAsia="en-US"/>
        </w:rPr>
        <w:t xml:space="preserve">This section provides that each instrument that is specified in a Schedule to the </w:t>
      </w:r>
      <w:r w:rsidR="00D95C15">
        <w:rPr>
          <w:lang w:eastAsia="en-US"/>
        </w:rPr>
        <w:t>Amendment Regulations</w:t>
      </w:r>
      <w:r w:rsidRPr="008F2671">
        <w:rPr>
          <w:lang w:eastAsia="en-US"/>
        </w:rPr>
        <w:t xml:space="preserve"> is amended or repealed as set out in the applicable items in the Schedule concerned, and any other item in a Schedule to the </w:t>
      </w:r>
      <w:r w:rsidR="00D95C15">
        <w:rPr>
          <w:lang w:eastAsia="en-US"/>
        </w:rPr>
        <w:t>Amendment Regulations</w:t>
      </w:r>
      <w:r w:rsidRPr="008F2671">
        <w:rPr>
          <w:lang w:eastAsia="en-US"/>
        </w:rPr>
        <w:t xml:space="preserve"> has effect according to its terms.</w:t>
      </w:r>
    </w:p>
    <w:p w14:paraId="096794F0" w14:textId="77777777" w:rsidR="00447EEF" w:rsidRDefault="00447EEF">
      <w:pPr>
        <w:spacing w:after="200" w:line="276" w:lineRule="auto"/>
        <w:rPr>
          <w:b/>
          <w:u w:val="single"/>
          <w:lang w:eastAsia="en-US"/>
        </w:rPr>
      </w:pPr>
      <w:r>
        <w:rPr>
          <w:b/>
          <w:u w:val="single"/>
          <w:lang w:eastAsia="en-US"/>
        </w:rPr>
        <w:br w:type="page"/>
      </w:r>
    </w:p>
    <w:p w14:paraId="65C96A64" w14:textId="77777777" w:rsidR="00AC424B" w:rsidRPr="0012418A" w:rsidRDefault="00AC424B" w:rsidP="00AC424B">
      <w:pPr>
        <w:ind w:right="91"/>
        <w:rPr>
          <w:b/>
          <w:u w:val="single"/>
          <w:lang w:eastAsia="en-US"/>
        </w:rPr>
      </w:pPr>
      <w:r w:rsidRPr="0012418A">
        <w:rPr>
          <w:b/>
          <w:u w:val="single"/>
          <w:lang w:eastAsia="en-US"/>
        </w:rPr>
        <w:t>Schedule 1 - Amendments</w:t>
      </w:r>
    </w:p>
    <w:p w14:paraId="7B0368CC" w14:textId="77777777" w:rsidR="00AC424B" w:rsidRPr="0012418A" w:rsidRDefault="00AC424B" w:rsidP="00AC424B">
      <w:pPr>
        <w:ind w:right="91"/>
        <w:rPr>
          <w:u w:val="single"/>
          <w:lang w:eastAsia="en-US"/>
        </w:rPr>
      </w:pPr>
    </w:p>
    <w:p w14:paraId="4CD85E95" w14:textId="77777777" w:rsidR="0036341F" w:rsidRPr="0012418A" w:rsidRDefault="0036341F" w:rsidP="00AC424B">
      <w:pPr>
        <w:ind w:right="91"/>
        <w:rPr>
          <w:b/>
        </w:rPr>
      </w:pPr>
      <w:r w:rsidRPr="0012418A">
        <w:rPr>
          <w:b/>
          <w:lang w:eastAsia="en-US"/>
        </w:rPr>
        <w:t xml:space="preserve">Part 1 – </w:t>
      </w:r>
      <w:r w:rsidRPr="0012418A">
        <w:rPr>
          <w:b/>
        </w:rPr>
        <w:t>Amendments commencing day after registration</w:t>
      </w:r>
    </w:p>
    <w:p w14:paraId="23B1595D" w14:textId="77777777" w:rsidR="00FC7333" w:rsidRPr="0012418A" w:rsidRDefault="00FC7333" w:rsidP="00AC424B">
      <w:pPr>
        <w:ind w:right="91"/>
        <w:rPr>
          <w:b/>
        </w:rPr>
      </w:pPr>
    </w:p>
    <w:p w14:paraId="65BE1974" w14:textId="77777777" w:rsidR="00FC7333" w:rsidRPr="0012418A" w:rsidRDefault="00FC7333" w:rsidP="00AC424B">
      <w:pPr>
        <w:ind w:right="91"/>
        <w:rPr>
          <w:b/>
          <w:i/>
        </w:rPr>
      </w:pPr>
      <w:r w:rsidRPr="0012418A">
        <w:rPr>
          <w:b/>
          <w:i/>
        </w:rPr>
        <w:t>National Vocational Education and Training Regulator Regulations 2011</w:t>
      </w:r>
    </w:p>
    <w:p w14:paraId="48E35AB8" w14:textId="77777777" w:rsidR="0036341F" w:rsidRPr="0012418A" w:rsidRDefault="0036341F" w:rsidP="0036341F">
      <w:pPr>
        <w:ind w:right="91"/>
        <w:jc w:val="center"/>
        <w:rPr>
          <w:u w:val="single"/>
        </w:rPr>
      </w:pPr>
    </w:p>
    <w:p w14:paraId="551C2E0B" w14:textId="77777777" w:rsidR="0036341F" w:rsidRPr="0012418A" w:rsidRDefault="0036341F" w:rsidP="0036341F">
      <w:pPr>
        <w:keepNext/>
        <w:tabs>
          <w:tab w:val="left" w:pos="3686"/>
          <w:tab w:val="left" w:pos="5529"/>
        </w:tabs>
        <w:ind w:right="-45"/>
        <w:rPr>
          <w:b/>
          <w:i/>
        </w:rPr>
      </w:pPr>
      <w:r w:rsidRPr="0012418A">
        <w:rPr>
          <w:b/>
          <w:i/>
        </w:rPr>
        <w:t>Item 1</w:t>
      </w:r>
    </w:p>
    <w:p w14:paraId="351F36BC" w14:textId="77777777" w:rsidR="0036341F" w:rsidRPr="0012418A" w:rsidRDefault="0036341F" w:rsidP="0036341F">
      <w:pPr>
        <w:keepNext/>
        <w:tabs>
          <w:tab w:val="left" w:pos="3686"/>
          <w:tab w:val="left" w:pos="5529"/>
        </w:tabs>
        <w:ind w:right="-45"/>
      </w:pPr>
    </w:p>
    <w:p w14:paraId="0983A2DE" w14:textId="77777777" w:rsidR="0036341F" w:rsidRPr="0012418A" w:rsidRDefault="0036341F" w:rsidP="0036341F">
      <w:pPr>
        <w:tabs>
          <w:tab w:val="left" w:pos="3686"/>
          <w:tab w:val="left" w:pos="5529"/>
        </w:tabs>
        <w:ind w:right="-46"/>
      </w:pPr>
      <w:r w:rsidRPr="0012418A">
        <w:t>Item 1 repeals Part 4 of the</w:t>
      </w:r>
      <w:r w:rsidR="00DC0D9E" w:rsidRPr="0012418A">
        <w:t xml:space="preserve"> </w:t>
      </w:r>
      <w:r w:rsidR="00DC0D9E" w:rsidRPr="0012418A">
        <w:rPr>
          <w:i/>
        </w:rPr>
        <w:t xml:space="preserve">National Vocational Education and Training Regulator Regulations 2011 </w:t>
      </w:r>
      <w:r w:rsidR="00DC0D9E" w:rsidRPr="0012418A">
        <w:t xml:space="preserve">(the </w:t>
      </w:r>
      <w:r w:rsidR="00D95C15" w:rsidRPr="0012418A">
        <w:t>Principal Regulations</w:t>
      </w:r>
      <w:r w:rsidR="00DC0D9E" w:rsidRPr="0012418A">
        <w:t>)</w:t>
      </w:r>
      <w:r w:rsidRPr="0012418A">
        <w:t>.</w:t>
      </w:r>
    </w:p>
    <w:p w14:paraId="1A0BC696" w14:textId="77777777" w:rsidR="0036341F" w:rsidRPr="0012418A" w:rsidRDefault="0036341F" w:rsidP="0036341F">
      <w:pPr>
        <w:tabs>
          <w:tab w:val="left" w:pos="3686"/>
          <w:tab w:val="left" w:pos="5529"/>
        </w:tabs>
        <w:ind w:right="-46"/>
      </w:pPr>
    </w:p>
    <w:p w14:paraId="50CE3B36" w14:textId="34B779E5" w:rsidR="0036341F" w:rsidRPr="0012418A" w:rsidRDefault="00262DDF" w:rsidP="0036341F">
      <w:pPr>
        <w:tabs>
          <w:tab w:val="left" w:pos="3686"/>
          <w:tab w:val="left" w:pos="5529"/>
        </w:tabs>
        <w:ind w:right="-46"/>
      </w:pPr>
      <w:r w:rsidRPr="0012418A">
        <w:t xml:space="preserve">Part 4 contains </w:t>
      </w:r>
      <w:r w:rsidR="00E1670A">
        <w:t xml:space="preserve">regulation </w:t>
      </w:r>
      <w:r w:rsidR="0036341F" w:rsidRPr="0012418A">
        <w:t>15</w:t>
      </w:r>
      <w:r w:rsidRPr="0012418A">
        <w:t>,</w:t>
      </w:r>
      <w:r w:rsidR="0036341F" w:rsidRPr="0012418A">
        <w:t xml:space="preserve"> which specifies that the </w:t>
      </w:r>
      <w:r w:rsidR="003A1ED9" w:rsidRPr="0012418A">
        <w:t xml:space="preserve">National Vocational Education and Training </w:t>
      </w:r>
      <w:r w:rsidR="0036341F" w:rsidRPr="0012418A">
        <w:t>Regulator</w:t>
      </w:r>
      <w:r w:rsidR="003A1ED9" w:rsidRPr="0012418A">
        <w:t xml:space="preserve"> (the Regulator)</w:t>
      </w:r>
      <w:r w:rsidR="0036341F" w:rsidRPr="0012418A">
        <w:t xml:space="preserve"> may also be known as the A</w:t>
      </w:r>
      <w:r w:rsidRPr="0012418A">
        <w:t xml:space="preserve">ustralian </w:t>
      </w:r>
      <w:r w:rsidR="00D74306" w:rsidRPr="0012418A">
        <w:t>S</w:t>
      </w:r>
      <w:r w:rsidRPr="0012418A">
        <w:t xml:space="preserve">kills </w:t>
      </w:r>
      <w:r w:rsidR="00D74306" w:rsidRPr="0012418A">
        <w:t>Q</w:t>
      </w:r>
      <w:r w:rsidRPr="0012418A">
        <w:t xml:space="preserve">uality </w:t>
      </w:r>
      <w:r w:rsidR="00D74306" w:rsidRPr="0012418A">
        <w:t>A</w:t>
      </w:r>
      <w:r w:rsidRPr="0012418A">
        <w:t>uthority (ASQA). Through amendments made to the</w:t>
      </w:r>
      <w:r w:rsidR="0036341F" w:rsidRPr="0012418A">
        <w:t xml:space="preserve"> Act </w:t>
      </w:r>
      <w:r w:rsidR="00816AD4" w:rsidRPr="0012418A">
        <w:t xml:space="preserve">by the </w:t>
      </w:r>
      <w:r w:rsidR="00816AD4" w:rsidRPr="0012418A">
        <w:rPr>
          <w:i/>
        </w:rPr>
        <w:t xml:space="preserve">National Vocational Education and Training Regulator Amendment Act 2020 </w:t>
      </w:r>
      <w:r w:rsidR="00816AD4" w:rsidRPr="0012418A">
        <w:t>(the Amendment Act),</w:t>
      </w:r>
      <w:r w:rsidR="0036341F" w:rsidRPr="0012418A">
        <w:t xml:space="preserve"> </w:t>
      </w:r>
      <w:r w:rsidR="0036341F" w:rsidRPr="0012418A">
        <w:rPr>
          <w:bCs/>
        </w:rPr>
        <w:t>subsection 155(1A)</w:t>
      </w:r>
      <w:r w:rsidR="00816AD4" w:rsidRPr="0012418A">
        <w:rPr>
          <w:bCs/>
        </w:rPr>
        <w:t xml:space="preserve"> of the Act now</w:t>
      </w:r>
      <w:r w:rsidR="0036341F" w:rsidRPr="0012418A">
        <w:rPr>
          <w:bCs/>
        </w:rPr>
        <w:t xml:space="preserve"> provides that the Regulator may be referred to as ASQA. As the Act now con</w:t>
      </w:r>
      <w:r w:rsidRPr="0012418A">
        <w:rPr>
          <w:bCs/>
        </w:rPr>
        <w:t xml:space="preserve">tains this information, Part 4 of the </w:t>
      </w:r>
      <w:r w:rsidR="00D95C15" w:rsidRPr="0012418A">
        <w:rPr>
          <w:bCs/>
        </w:rPr>
        <w:t>Principal Regulations</w:t>
      </w:r>
      <w:r w:rsidRPr="0012418A">
        <w:rPr>
          <w:bCs/>
        </w:rPr>
        <w:t xml:space="preserve"> is</w:t>
      </w:r>
      <w:r w:rsidR="0036341F" w:rsidRPr="0012418A">
        <w:rPr>
          <w:bCs/>
        </w:rPr>
        <w:t xml:space="preserve"> redundant.</w:t>
      </w:r>
      <w:r w:rsidRPr="0012418A">
        <w:rPr>
          <w:bCs/>
        </w:rPr>
        <w:t xml:space="preserve"> </w:t>
      </w:r>
    </w:p>
    <w:p w14:paraId="12C274D7" w14:textId="77777777" w:rsidR="0036341F" w:rsidRPr="0012418A" w:rsidRDefault="0036341F" w:rsidP="00C96CC7">
      <w:pPr>
        <w:ind w:right="91"/>
        <w:rPr>
          <w:lang w:eastAsia="en-US"/>
        </w:rPr>
      </w:pPr>
    </w:p>
    <w:p w14:paraId="49091700" w14:textId="77777777" w:rsidR="00C96CC7" w:rsidRPr="0012418A" w:rsidRDefault="0036341F" w:rsidP="00262DDF">
      <w:pPr>
        <w:ind w:right="91"/>
        <w:rPr>
          <w:b/>
        </w:rPr>
      </w:pPr>
      <w:r w:rsidRPr="0012418A">
        <w:rPr>
          <w:b/>
          <w:lang w:eastAsia="en-US"/>
        </w:rPr>
        <w:t>Part 2</w:t>
      </w:r>
      <w:r w:rsidR="00C96CC7" w:rsidRPr="0012418A">
        <w:rPr>
          <w:b/>
          <w:lang w:eastAsia="en-US"/>
        </w:rPr>
        <w:t xml:space="preserve"> – </w:t>
      </w:r>
      <w:r w:rsidR="00C96CC7" w:rsidRPr="0012418A">
        <w:rPr>
          <w:b/>
        </w:rPr>
        <w:t>Amendments</w:t>
      </w:r>
      <w:r w:rsidR="009E5990" w:rsidRPr="0012418A">
        <w:rPr>
          <w:b/>
        </w:rPr>
        <w:t xml:space="preserve"> commencing 1 September 2020</w:t>
      </w:r>
      <w:r w:rsidR="00C96CC7" w:rsidRPr="0012418A">
        <w:rPr>
          <w:b/>
        </w:rPr>
        <w:t xml:space="preserve"> </w:t>
      </w:r>
    </w:p>
    <w:p w14:paraId="7CC42BFE" w14:textId="77777777" w:rsidR="00C96CC7" w:rsidRPr="0012418A" w:rsidRDefault="00C96CC7" w:rsidP="0005136B">
      <w:pPr>
        <w:ind w:right="91"/>
        <w:rPr>
          <w:u w:val="single"/>
        </w:rPr>
      </w:pPr>
    </w:p>
    <w:p w14:paraId="0CD8BD0B" w14:textId="77777777" w:rsidR="00FC7333" w:rsidRPr="0012418A" w:rsidRDefault="00887FEB" w:rsidP="0005136B">
      <w:pPr>
        <w:autoSpaceDE w:val="0"/>
        <w:autoSpaceDN w:val="0"/>
        <w:adjustRightInd w:val="0"/>
        <w:rPr>
          <w:b/>
          <w:i/>
        </w:rPr>
      </w:pPr>
      <w:r w:rsidRPr="0012418A">
        <w:rPr>
          <w:b/>
          <w:i/>
        </w:rPr>
        <w:t>National Vocational Education and Training Regulator Regulations 2011</w:t>
      </w:r>
    </w:p>
    <w:p w14:paraId="71D8F595" w14:textId="77777777" w:rsidR="00FC7333" w:rsidRPr="0012418A" w:rsidRDefault="00FC7333" w:rsidP="0005136B">
      <w:pPr>
        <w:autoSpaceDE w:val="0"/>
        <w:autoSpaceDN w:val="0"/>
        <w:adjustRightInd w:val="0"/>
      </w:pPr>
    </w:p>
    <w:p w14:paraId="2B5243E0" w14:textId="77777777" w:rsidR="0005136B" w:rsidRPr="0012418A" w:rsidRDefault="0005136B" w:rsidP="0005136B">
      <w:pPr>
        <w:autoSpaceDE w:val="0"/>
        <w:autoSpaceDN w:val="0"/>
        <w:adjustRightInd w:val="0"/>
      </w:pPr>
      <w:r w:rsidRPr="0012418A">
        <w:t>Section 111 of the Act provides that a civil penalty applies if a</w:t>
      </w:r>
      <w:r w:rsidR="00236FC0">
        <w:t>n</w:t>
      </w:r>
      <w:r w:rsidRPr="0012418A">
        <w:t xml:space="preserve"> NVR</w:t>
      </w:r>
      <w:r w:rsidR="007F297E" w:rsidRPr="0012418A">
        <w:t xml:space="preserve"> </w:t>
      </w:r>
      <w:r w:rsidR="00236FC0">
        <w:t>RTO</w:t>
      </w:r>
      <w:r w:rsidRPr="0012418A">
        <w:t xml:space="preserve"> breaches certain conditions of the organisation’s registration. In particular:</w:t>
      </w:r>
      <w:r w:rsidRPr="0012418A">
        <w:br/>
      </w:r>
    </w:p>
    <w:p w14:paraId="0E02ADD6" w14:textId="77777777" w:rsidR="0005136B" w:rsidRPr="0012418A" w:rsidRDefault="0005136B" w:rsidP="0005136B">
      <w:pPr>
        <w:pStyle w:val="ListParagraph"/>
        <w:numPr>
          <w:ilvl w:val="0"/>
          <w:numId w:val="2"/>
        </w:numPr>
        <w:autoSpaceDE w:val="0"/>
        <w:autoSpaceDN w:val="0"/>
        <w:adjustRightInd w:val="0"/>
        <w:contextualSpacing w:val="0"/>
      </w:pPr>
      <w:r w:rsidRPr="0012418A">
        <w:t xml:space="preserve">subsection 111(1) provides that a civil penalty of 240 penalty units applies to a breach of a condition of an organisation’s registration if the condition is prescribed by the </w:t>
      </w:r>
      <w:r w:rsidR="00D95C15" w:rsidRPr="0012418A">
        <w:t>Principal Regulations</w:t>
      </w:r>
      <w:r w:rsidRPr="0012418A">
        <w:t xml:space="preserve"> for the purposes of subsection 111(1).</w:t>
      </w:r>
    </w:p>
    <w:p w14:paraId="17D3ACD5" w14:textId="77777777" w:rsidR="0005136B" w:rsidRPr="0012418A" w:rsidRDefault="0005136B" w:rsidP="0005136B">
      <w:pPr>
        <w:autoSpaceDE w:val="0"/>
        <w:autoSpaceDN w:val="0"/>
        <w:adjustRightInd w:val="0"/>
      </w:pPr>
    </w:p>
    <w:p w14:paraId="2E9A22CC" w14:textId="77777777" w:rsidR="0005136B" w:rsidRPr="0012418A" w:rsidRDefault="0005136B" w:rsidP="0005136B">
      <w:pPr>
        <w:pStyle w:val="ListParagraph"/>
        <w:numPr>
          <w:ilvl w:val="0"/>
          <w:numId w:val="2"/>
        </w:numPr>
        <w:autoSpaceDE w:val="0"/>
        <w:autoSpaceDN w:val="0"/>
        <w:adjustRightInd w:val="0"/>
        <w:contextualSpacing w:val="0"/>
      </w:pPr>
      <w:r w:rsidRPr="0012418A">
        <w:t xml:space="preserve">subsection 111(2) provides that a civil penalty of 120 penalty units applies to a breach of a condition of an organisation’s registration if the condition is prescribed by the </w:t>
      </w:r>
      <w:r w:rsidR="00D95C15" w:rsidRPr="0012418A">
        <w:t>Principal Regulations</w:t>
      </w:r>
      <w:r w:rsidRPr="0012418A">
        <w:t xml:space="preserve"> for the purposes of subsection 111(2).</w:t>
      </w:r>
    </w:p>
    <w:p w14:paraId="6A35C785" w14:textId="77777777" w:rsidR="0005136B" w:rsidRPr="0012418A" w:rsidRDefault="0005136B" w:rsidP="0005136B">
      <w:pPr>
        <w:autoSpaceDE w:val="0"/>
        <w:autoSpaceDN w:val="0"/>
        <w:adjustRightInd w:val="0"/>
      </w:pPr>
    </w:p>
    <w:p w14:paraId="2C342A3C" w14:textId="7B3F670F" w:rsidR="0005136B" w:rsidRPr="0012418A" w:rsidRDefault="00E1670A" w:rsidP="0005136B">
      <w:pPr>
        <w:autoSpaceDE w:val="0"/>
        <w:autoSpaceDN w:val="0"/>
        <w:adjustRightInd w:val="0"/>
      </w:pPr>
      <w:r>
        <w:t xml:space="preserve">Regulation </w:t>
      </w:r>
      <w:r w:rsidR="0005136B" w:rsidRPr="0012418A">
        <w:t xml:space="preserve">5 of the </w:t>
      </w:r>
      <w:r w:rsidR="00D95C15" w:rsidRPr="0012418A">
        <w:t>Principal Regulations</w:t>
      </w:r>
      <w:r w:rsidR="0005136B" w:rsidRPr="0012418A">
        <w:t xml:space="preserve"> lists the conditions prescribed for the purposes of subsections 111(1) and 111(2) of the Act.</w:t>
      </w:r>
    </w:p>
    <w:p w14:paraId="68450F5E" w14:textId="77777777" w:rsidR="0005136B" w:rsidRPr="0012418A" w:rsidRDefault="0005136B" w:rsidP="0005136B">
      <w:pPr>
        <w:autoSpaceDE w:val="0"/>
        <w:autoSpaceDN w:val="0"/>
        <w:adjustRightInd w:val="0"/>
      </w:pPr>
    </w:p>
    <w:p w14:paraId="3C6B859B" w14:textId="77777777" w:rsidR="0005136B" w:rsidRPr="0012418A" w:rsidRDefault="0005136B" w:rsidP="0005136B">
      <w:pPr>
        <w:autoSpaceDE w:val="0"/>
        <w:autoSpaceDN w:val="0"/>
        <w:adjustRightInd w:val="0"/>
      </w:pPr>
      <w:r w:rsidRPr="0012418A">
        <w:t xml:space="preserve">Section 149 of the Act provides for infringement notices in respect of civil penalty provisions to be prescribed in the </w:t>
      </w:r>
      <w:r w:rsidR="00D95C15" w:rsidRPr="0012418A">
        <w:t>Principal Regulations</w:t>
      </w:r>
      <w:r w:rsidRPr="0012418A">
        <w:t xml:space="preserve">. In particular, subsection 149(1) of the Act provides that the </w:t>
      </w:r>
      <w:r w:rsidR="00D95C15" w:rsidRPr="0012418A">
        <w:t>Principal Regulations</w:t>
      </w:r>
      <w:r w:rsidRPr="0012418A">
        <w:t xml:space="preserve"> may provide for a person, who is alleged to have contravened a civil penalty provision, to pay the Commonwealth a specified penalty as an alternative to civil penalty proceedings against the person.</w:t>
      </w:r>
    </w:p>
    <w:p w14:paraId="03F159D6" w14:textId="77777777" w:rsidR="0005136B" w:rsidRPr="0012418A" w:rsidRDefault="0005136B" w:rsidP="0005136B">
      <w:pPr>
        <w:autoSpaceDE w:val="0"/>
        <w:autoSpaceDN w:val="0"/>
        <w:adjustRightInd w:val="0"/>
      </w:pPr>
    </w:p>
    <w:p w14:paraId="5D102801" w14:textId="13533501" w:rsidR="0005136B" w:rsidRPr="0012418A" w:rsidRDefault="00E1670A" w:rsidP="0005136B">
      <w:pPr>
        <w:autoSpaceDE w:val="0"/>
        <w:autoSpaceDN w:val="0"/>
        <w:adjustRightInd w:val="0"/>
      </w:pPr>
      <w:r>
        <w:t xml:space="preserve">Regulation </w:t>
      </w:r>
      <w:r w:rsidR="0005136B" w:rsidRPr="0012418A">
        <w:t xml:space="preserve">7 of the </w:t>
      </w:r>
      <w:r w:rsidR="00D95C15" w:rsidRPr="0012418A">
        <w:t>Principal Regulations</w:t>
      </w:r>
      <w:r w:rsidR="0005136B" w:rsidRPr="0012418A">
        <w:t xml:space="preserve"> lists the civil</w:t>
      </w:r>
      <w:r w:rsidR="00DC0D9E" w:rsidRPr="0012418A">
        <w:t xml:space="preserve"> penalty provisions in the </w:t>
      </w:r>
      <w:r w:rsidR="0005136B" w:rsidRPr="0012418A">
        <w:t>Act subject to infringement notices.</w:t>
      </w:r>
    </w:p>
    <w:p w14:paraId="4FDB9038" w14:textId="77777777" w:rsidR="0005136B" w:rsidRPr="0012418A" w:rsidRDefault="0005136B" w:rsidP="0005136B">
      <w:pPr>
        <w:ind w:right="91"/>
        <w:rPr>
          <w:u w:val="single"/>
        </w:rPr>
      </w:pPr>
    </w:p>
    <w:p w14:paraId="353896BA" w14:textId="77777777" w:rsidR="007C0132" w:rsidRPr="0012418A" w:rsidRDefault="007C0132" w:rsidP="00C96CC7">
      <w:pPr>
        <w:ind w:right="91"/>
        <w:rPr>
          <w:b/>
          <w:i/>
          <w:lang w:eastAsia="en-US"/>
        </w:rPr>
      </w:pPr>
      <w:r w:rsidRPr="0012418A">
        <w:rPr>
          <w:b/>
          <w:i/>
          <w:lang w:eastAsia="en-US"/>
        </w:rPr>
        <w:t xml:space="preserve">Item </w:t>
      </w:r>
      <w:r w:rsidR="0036341F" w:rsidRPr="0012418A">
        <w:rPr>
          <w:b/>
          <w:i/>
          <w:lang w:eastAsia="en-US"/>
        </w:rPr>
        <w:t>2</w:t>
      </w:r>
    </w:p>
    <w:p w14:paraId="56FB2400" w14:textId="77777777" w:rsidR="007C0132" w:rsidRPr="0012418A" w:rsidRDefault="007C0132" w:rsidP="00C96CC7">
      <w:pPr>
        <w:ind w:right="91"/>
        <w:rPr>
          <w:lang w:eastAsia="en-US"/>
        </w:rPr>
      </w:pPr>
    </w:p>
    <w:p w14:paraId="7BA10A4F" w14:textId="28D2FEA7" w:rsidR="003D23C2" w:rsidRPr="0012418A" w:rsidRDefault="007C0132" w:rsidP="00F710EC">
      <w:pPr>
        <w:ind w:right="91"/>
        <w:rPr>
          <w:lang w:eastAsia="en-US"/>
        </w:rPr>
      </w:pPr>
      <w:r w:rsidRPr="0012418A">
        <w:rPr>
          <w:lang w:eastAsia="en-US"/>
        </w:rPr>
        <w:t xml:space="preserve">Item </w:t>
      </w:r>
      <w:r w:rsidR="0036341F" w:rsidRPr="0012418A">
        <w:rPr>
          <w:lang w:eastAsia="en-US"/>
        </w:rPr>
        <w:t xml:space="preserve">2 </w:t>
      </w:r>
      <w:r w:rsidRPr="0012418A">
        <w:rPr>
          <w:lang w:eastAsia="en-US"/>
        </w:rPr>
        <w:t>inserts</w:t>
      </w:r>
      <w:r w:rsidR="00262DDF" w:rsidRPr="0012418A">
        <w:rPr>
          <w:lang w:eastAsia="en-US"/>
        </w:rPr>
        <w:t xml:space="preserve"> new paragraph </w:t>
      </w:r>
      <w:r w:rsidR="00816AD4" w:rsidRPr="0012418A">
        <w:rPr>
          <w:lang w:eastAsia="en-US"/>
        </w:rPr>
        <w:t>7</w:t>
      </w:r>
      <w:r w:rsidR="00262DDF" w:rsidRPr="0012418A">
        <w:rPr>
          <w:lang w:eastAsia="en-US"/>
        </w:rPr>
        <w:t xml:space="preserve">(aa) in </w:t>
      </w:r>
      <w:r w:rsidR="00E1670A">
        <w:rPr>
          <w:lang w:eastAsia="en-US"/>
        </w:rPr>
        <w:t xml:space="preserve">regulation </w:t>
      </w:r>
      <w:r w:rsidR="00262DDF" w:rsidRPr="0012418A">
        <w:rPr>
          <w:lang w:eastAsia="en-US"/>
        </w:rPr>
        <w:t xml:space="preserve">7 of the </w:t>
      </w:r>
      <w:r w:rsidR="00D95C15" w:rsidRPr="0012418A">
        <w:rPr>
          <w:lang w:eastAsia="en-US"/>
        </w:rPr>
        <w:t>Principal Regulations</w:t>
      </w:r>
      <w:r w:rsidR="00262DDF" w:rsidRPr="0012418A">
        <w:rPr>
          <w:lang w:eastAsia="en-US"/>
        </w:rPr>
        <w:t xml:space="preserve">. Paragraph </w:t>
      </w:r>
      <w:r w:rsidR="00816AD4" w:rsidRPr="0012418A">
        <w:rPr>
          <w:lang w:eastAsia="en-US"/>
        </w:rPr>
        <w:t>7</w:t>
      </w:r>
      <w:r w:rsidR="00262DDF" w:rsidRPr="0012418A">
        <w:rPr>
          <w:lang w:eastAsia="en-US"/>
        </w:rPr>
        <w:t>(aa) references</w:t>
      </w:r>
      <w:r w:rsidRPr="0012418A">
        <w:rPr>
          <w:lang w:eastAsia="en-US"/>
        </w:rPr>
        <w:t xml:space="preserve"> section 61A of t</w:t>
      </w:r>
      <w:r w:rsidR="00262DDF" w:rsidRPr="0012418A">
        <w:rPr>
          <w:lang w:eastAsia="en-US"/>
        </w:rPr>
        <w:t>he Act, to ensure that it is</w:t>
      </w:r>
      <w:r w:rsidRPr="0012418A">
        <w:rPr>
          <w:lang w:eastAsia="en-US"/>
        </w:rPr>
        <w:t xml:space="preserve"> </w:t>
      </w:r>
      <w:r w:rsidR="00816AD4" w:rsidRPr="0012418A">
        <w:rPr>
          <w:lang w:eastAsia="en-US"/>
        </w:rPr>
        <w:t xml:space="preserve">a civil penalty provision that is </w:t>
      </w:r>
      <w:r w:rsidR="0005136B" w:rsidRPr="0012418A">
        <w:rPr>
          <w:lang w:eastAsia="en-US"/>
        </w:rPr>
        <w:t xml:space="preserve">also </w:t>
      </w:r>
      <w:r w:rsidR="00262DDF" w:rsidRPr="0012418A">
        <w:rPr>
          <w:lang w:eastAsia="en-US"/>
        </w:rPr>
        <w:t>subject to an</w:t>
      </w:r>
      <w:r w:rsidRPr="0012418A">
        <w:rPr>
          <w:lang w:eastAsia="en-US"/>
        </w:rPr>
        <w:t xml:space="preserve"> infringement notice</w:t>
      </w:r>
      <w:r w:rsidR="00F710EC" w:rsidRPr="0012418A">
        <w:rPr>
          <w:lang w:eastAsia="en-US"/>
        </w:rPr>
        <w:t>.</w:t>
      </w:r>
    </w:p>
    <w:p w14:paraId="6C1571A2" w14:textId="77777777" w:rsidR="00447EEF" w:rsidRPr="0012418A" w:rsidRDefault="00447EEF" w:rsidP="00F710EC">
      <w:pPr>
        <w:ind w:right="91"/>
        <w:rPr>
          <w:lang w:eastAsia="en-US"/>
        </w:rPr>
      </w:pPr>
    </w:p>
    <w:p w14:paraId="0DB5344A" w14:textId="77777777" w:rsidR="00784EF3" w:rsidRPr="0012418A" w:rsidRDefault="00816AD4" w:rsidP="00F710EC">
      <w:pPr>
        <w:ind w:right="91"/>
        <w:rPr>
          <w:lang w:eastAsia="en-US"/>
        </w:rPr>
      </w:pPr>
      <w:r w:rsidRPr="0012418A">
        <w:rPr>
          <w:lang w:eastAsia="en-US"/>
        </w:rPr>
        <w:t xml:space="preserve">Section 61A </w:t>
      </w:r>
      <w:r w:rsidR="00F710EC" w:rsidRPr="0012418A">
        <w:rPr>
          <w:lang w:eastAsia="en-US"/>
        </w:rPr>
        <w:t>was recently inserted into the Act by the Amendment A</w:t>
      </w:r>
      <w:r w:rsidR="00784EF3" w:rsidRPr="0012418A">
        <w:rPr>
          <w:lang w:eastAsia="en-US"/>
        </w:rPr>
        <w:t xml:space="preserve">ct. It provides that a failure to comply with a direction under subsection 56(2) of the Act (a direction by the Regulator to an </w:t>
      </w:r>
      <w:r w:rsidR="00DC0D9E" w:rsidRPr="0012418A">
        <w:rPr>
          <w:lang w:eastAsia="en-US"/>
        </w:rPr>
        <w:t xml:space="preserve">NVR </w:t>
      </w:r>
      <w:r w:rsidR="00835BF7" w:rsidRPr="0012418A">
        <w:rPr>
          <w:lang w:eastAsia="en-US"/>
        </w:rPr>
        <w:t>RTO</w:t>
      </w:r>
      <w:r w:rsidR="00784EF3" w:rsidRPr="0012418A">
        <w:rPr>
          <w:lang w:eastAsia="en-US"/>
        </w:rPr>
        <w:t xml:space="preserve"> to cancel a </w:t>
      </w:r>
      <w:r w:rsidR="00DC0D9E" w:rsidRPr="0012418A">
        <w:rPr>
          <w:lang w:eastAsia="en-US"/>
        </w:rPr>
        <w:t>VET</w:t>
      </w:r>
      <w:r w:rsidR="00784EF3" w:rsidRPr="0012418A">
        <w:rPr>
          <w:lang w:eastAsia="en-US"/>
        </w:rPr>
        <w:t xml:space="preserve"> qualification or </w:t>
      </w:r>
      <w:r w:rsidR="00FB0856" w:rsidRPr="0012418A">
        <w:rPr>
          <w:lang w:eastAsia="en-US"/>
        </w:rPr>
        <w:t xml:space="preserve">VET </w:t>
      </w:r>
      <w:r w:rsidR="00784EF3" w:rsidRPr="0012418A">
        <w:rPr>
          <w:lang w:eastAsia="en-US"/>
        </w:rPr>
        <w:t>statement of attainment) will incur a civil penalty of 100</w:t>
      </w:r>
      <w:r w:rsidR="004B3EAC" w:rsidRPr="0012418A">
        <w:rPr>
          <w:lang w:eastAsia="en-US"/>
        </w:rPr>
        <w:t> </w:t>
      </w:r>
      <w:r w:rsidR="00784EF3" w:rsidRPr="0012418A">
        <w:rPr>
          <w:lang w:eastAsia="en-US"/>
        </w:rPr>
        <w:t>penalty units.</w:t>
      </w:r>
    </w:p>
    <w:p w14:paraId="7BA3A5AA" w14:textId="77777777" w:rsidR="00784EF3" w:rsidRPr="0012418A" w:rsidRDefault="00784EF3" w:rsidP="00F710EC">
      <w:pPr>
        <w:ind w:right="91"/>
        <w:rPr>
          <w:lang w:eastAsia="en-US"/>
        </w:rPr>
      </w:pPr>
    </w:p>
    <w:p w14:paraId="50176018" w14:textId="4577BA12" w:rsidR="007C0132" w:rsidRPr="0012418A" w:rsidRDefault="00784EF3" w:rsidP="00F710EC">
      <w:pPr>
        <w:ind w:right="91"/>
        <w:rPr>
          <w:lang w:eastAsia="en-US"/>
        </w:rPr>
      </w:pPr>
      <w:r w:rsidRPr="0012418A">
        <w:rPr>
          <w:lang w:eastAsia="en-US"/>
        </w:rPr>
        <w:t xml:space="preserve">Enforcing breaches against the Act through court proceedings can be lengthy and </w:t>
      </w:r>
      <w:r w:rsidR="00A809FA" w:rsidRPr="0012418A">
        <w:rPr>
          <w:lang w:eastAsia="en-US"/>
        </w:rPr>
        <w:t>disproportiona</w:t>
      </w:r>
      <w:r w:rsidR="00A809FA">
        <w:rPr>
          <w:lang w:eastAsia="en-US"/>
        </w:rPr>
        <w:t>t</w:t>
      </w:r>
      <w:r w:rsidR="00A809FA" w:rsidRPr="0012418A">
        <w:rPr>
          <w:lang w:eastAsia="en-US"/>
        </w:rPr>
        <w:t>ely</w:t>
      </w:r>
      <w:r w:rsidRPr="0012418A">
        <w:rPr>
          <w:lang w:eastAsia="en-US"/>
        </w:rPr>
        <w:t xml:space="preserve"> time consuming compared to the seriousness of the breach. Including section 61A in the </w:t>
      </w:r>
      <w:r w:rsidR="000D612D" w:rsidRPr="0012418A">
        <w:t>provisions subject to infringement notices</w:t>
      </w:r>
      <w:r w:rsidR="000D612D" w:rsidRPr="0012418A" w:rsidDel="00715CD4">
        <w:t xml:space="preserve"> </w:t>
      </w:r>
      <w:r w:rsidRPr="0012418A">
        <w:rPr>
          <w:lang w:eastAsia="en-US"/>
        </w:rPr>
        <w:t>will allow the Regulator to quickly add</w:t>
      </w:r>
      <w:r w:rsidR="00816AD4" w:rsidRPr="0012418A">
        <w:rPr>
          <w:lang w:eastAsia="en-US"/>
        </w:rPr>
        <w:t>ress a breach by imposing an infringement notice</w:t>
      </w:r>
      <w:r w:rsidRPr="0012418A">
        <w:rPr>
          <w:lang w:eastAsia="en-US"/>
        </w:rPr>
        <w:t xml:space="preserve">. </w:t>
      </w:r>
      <w:r w:rsidR="000A27EA" w:rsidRPr="0012418A">
        <w:rPr>
          <w:lang w:eastAsia="en-US"/>
        </w:rPr>
        <w:t xml:space="preserve">Such </w:t>
      </w:r>
      <w:r w:rsidR="00816AD4" w:rsidRPr="0012418A">
        <w:rPr>
          <w:lang w:eastAsia="en-US"/>
        </w:rPr>
        <w:t>a response by the Regulator</w:t>
      </w:r>
      <w:r w:rsidR="000A27EA" w:rsidRPr="0012418A">
        <w:rPr>
          <w:lang w:eastAsia="en-US"/>
        </w:rPr>
        <w:t xml:space="preserve"> may </w:t>
      </w:r>
      <w:r w:rsidR="00816AD4" w:rsidRPr="0012418A">
        <w:rPr>
          <w:lang w:eastAsia="en-US"/>
        </w:rPr>
        <w:t xml:space="preserve">also </w:t>
      </w:r>
      <w:r w:rsidR="00746B1A" w:rsidRPr="0012418A">
        <w:rPr>
          <w:lang w:eastAsia="en-US"/>
        </w:rPr>
        <w:t>act</w:t>
      </w:r>
      <w:r w:rsidR="000A27EA" w:rsidRPr="0012418A">
        <w:rPr>
          <w:lang w:eastAsia="en-US"/>
        </w:rPr>
        <w:t xml:space="preserve"> </w:t>
      </w:r>
      <w:r w:rsidRPr="0012418A">
        <w:rPr>
          <w:lang w:eastAsia="en-US"/>
        </w:rPr>
        <w:t xml:space="preserve">as a deterrent to other </w:t>
      </w:r>
      <w:r w:rsidR="00DC0D9E" w:rsidRPr="0012418A">
        <w:rPr>
          <w:lang w:eastAsia="en-US"/>
        </w:rPr>
        <w:t xml:space="preserve">NVR </w:t>
      </w:r>
      <w:r w:rsidR="00835BF7" w:rsidRPr="0012418A">
        <w:rPr>
          <w:lang w:eastAsia="en-US"/>
        </w:rPr>
        <w:t>RTOs</w:t>
      </w:r>
      <w:r w:rsidRPr="0012418A">
        <w:rPr>
          <w:lang w:eastAsia="en-US"/>
        </w:rPr>
        <w:t>.</w:t>
      </w:r>
    </w:p>
    <w:p w14:paraId="2BCE63F1" w14:textId="77777777" w:rsidR="00F710EC" w:rsidRPr="0012418A" w:rsidRDefault="00F710EC" w:rsidP="00C96CC7">
      <w:pPr>
        <w:rPr>
          <w:lang w:eastAsia="en-US"/>
        </w:rPr>
      </w:pPr>
    </w:p>
    <w:p w14:paraId="27DCEB9F" w14:textId="77777777" w:rsidR="00C96CC7" w:rsidRPr="0012418A" w:rsidRDefault="00C96CC7" w:rsidP="00E13442">
      <w:pPr>
        <w:keepNext/>
        <w:ind w:right="-45"/>
        <w:rPr>
          <w:b/>
          <w:i/>
          <w:lang w:eastAsia="en-US"/>
        </w:rPr>
      </w:pPr>
      <w:r w:rsidRPr="0012418A">
        <w:rPr>
          <w:b/>
          <w:i/>
          <w:lang w:eastAsia="en-US"/>
        </w:rPr>
        <w:t xml:space="preserve">Item </w:t>
      </w:r>
      <w:r w:rsidR="0036341F" w:rsidRPr="0012418A">
        <w:rPr>
          <w:b/>
          <w:i/>
          <w:lang w:eastAsia="en-US"/>
        </w:rPr>
        <w:t>3</w:t>
      </w:r>
    </w:p>
    <w:p w14:paraId="6147E8C9" w14:textId="77777777" w:rsidR="00C96CC7" w:rsidRPr="0012418A" w:rsidRDefault="00C96CC7" w:rsidP="00E13442">
      <w:pPr>
        <w:keepNext/>
        <w:ind w:right="-45"/>
        <w:rPr>
          <w:lang w:eastAsia="en-US"/>
        </w:rPr>
      </w:pPr>
    </w:p>
    <w:p w14:paraId="1EBA3F70" w14:textId="703F11B1" w:rsidR="008811A8" w:rsidRPr="0012418A" w:rsidRDefault="008811A8" w:rsidP="007C0132">
      <w:pPr>
        <w:ind w:right="91"/>
        <w:rPr>
          <w:lang w:eastAsia="en-US"/>
        </w:rPr>
      </w:pPr>
      <w:r w:rsidRPr="0012418A">
        <w:rPr>
          <w:lang w:eastAsia="en-US"/>
        </w:rPr>
        <w:t xml:space="preserve">Item </w:t>
      </w:r>
      <w:r w:rsidR="0036341F" w:rsidRPr="0012418A">
        <w:rPr>
          <w:lang w:eastAsia="en-US"/>
        </w:rPr>
        <w:t xml:space="preserve">3 </w:t>
      </w:r>
      <w:r w:rsidRPr="0012418A">
        <w:rPr>
          <w:lang w:eastAsia="en-US"/>
        </w:rPr>
        <w:t>inserts</w:t>
      </w:r>
      <w:r w:rsidR="00816AD4" w:rsidRPr="0012418A">
        <w:rPr>
          <w:lang w:eastAsia="en-US"/>
        </w:rPr>
        <w:t xml:space="preserve"> </w:t>
      </w:r>
      <w:r w:rsidRPr="0012418A">
        <w:rPr>
          <w:lang w:eastAsia="en-US"/>
        </w:rPr>
        <w:t xml:space="preserve">new </w:t>
      </w:r>
      <w:r w:rsidR="00816AD4" w:rsidRPr="0012418A">
        <w:rPr>
          <w:lang w:eastAsia="en-US"/>
        </w:rPr>
        <w:t>paragraph</w:t>
      </w:r>
      <w:r w:rsidR="009D4C84" w:rsidRPr="0012418A">
        <w:rPr>
          <w:lang w:eastAsia="en-US"/>
        </w:rPr>
        <w:t xml:space="preserve"> 7(daa)</w:t>
      </w:r>
      <w:r w:rsidR="00816AD4" w:rsidRPr="0012418A">
        <w:rPr>
          <w:lang w:eastAsia="en-US"/>
        </w:rPr>
        <w:t xml:space="preserve"> in </w:t>
      </w:r>
      <w:r w:rsidR="00E1670A">
        <w:rPr>
          <w:lang w:eastAsia="en-US"/>
        </w:rPr>
        <w:t xml:space="preserve">regulation </w:t>
      </w:r>
      <w:r w:rsidR="00816AD4" w:rsidRPr="0012418A">
        <w:rPr>
          <w:lang w:eastAsia="en-US"/>
        </w:rPr>
        <w:t xml:space="preserve">7 of the </w:t>
      </w:r>
      <w:r w:rsidR="00D95C15" w:rsidRPr="0012418A">
        <w:rPr>
          <w:lang w:eastAsia="en-US"/>
        </w:rPr>
        <w:t>Principal Regulations</w:t>
      </w:r>
      <w:r w:rsidR="00816AD4" w:rsidRPr="0012418A">
        <w:rPr>
          <w:lang w:eastAsia="en-US"/>
        </w:rPr>
        <w:t xml:space="preserve">. Paragraph </w:t>
      </w:r>
      <w:r w:rsidR="0005136B" w:rsidRPr="0012418A">
        <w:rPr>
          <w:lang w:eastAsia="en-US"/>
        </w:rPr>
        <w:t>7</w:t>
      </w:r>
      <w:r w:rsidR="00816AD4" w:rsidRPr="0012418A">
        <w:rPr>
          <w:lang w:eastAsia="en-US"/>
        </w:rPr>
        <w:t xml:space="preserve">(daa) references </w:t>
      </w:r>
      <w:r w:rsidR="0005136B" w:rsidRPr="0012418A">
        <w:rPr>
          <w:lang w:eastAsia="en-US"/>
        </w:rPr>
        <w:t xml:space="preserve">a particular operation of </w:t>
      </w:r>
      <w:r w:rsidR="00816AD4" w:rsidRPr="0012418A">
        <w:rPr>
          <w:lang w:eastAsia="en-US"/>
        </w:rPr>
        <w:t xml:space="preserve">subsection 111(1) of the Act, to ensure that it is a civil penalty provision that is </w:t>
      </w:r>
      <w:r w:rsidR="0005136B" w:rsidRPr="0012418A">
        <w:rPr>
          <w:lang w:eastAsia="en-US"/>
        </w:rPr>
        <w:t xml:space="preserve">also </w:t>
      </w:r>
      <w:r w:rsidR="00816AD4" w:rsidRPr="0012418A">
        <w:rPr>
          <w:lang w:eastAsia="en-US"/>
        </w:rPr>
        <w:t>subject to an infringement notice</w:t>
      </w:r>
      <w:r w:rsidRPr="0012418A">
        <w:rPr>
          <w:lang w:eastAsia="en-US"/>
        </w:rPr>
        <w:t>.</w:t>
      </w:r>
    </w:p>
    <w:p w14:paraId="6A206C0C" w14:textId="77777777" w:rsidR="000B05C2" w:rsidRPr="0012418A" w:rsidRDefault="000B05C2" w:rsidP="007C0132">
      <w:pPr>
        <w:ind w:right="91"/>
        <w:rPr>
          <w:lang w:eastAsia="en-US"/>
        </w:rPr>
      </w:pPr>
    </w:p>
    <w:p w14:paraId="78DE09AF" w14:textId="77777777" w:rsidR="0005136B" w:rsidRPr="0012418A" w:rsidRDefault="0005136B" w:rsidP="0005136B">
      <w:pPr>
        <w:autoSpaceDE w:val="0"/>
        <w:autoSpaceDN w:val="0"/>
        <w:adjustRightInd w:val="0"/>
      </w:pPr>
      <w:r w:rsidRPr="0012418A">
        <w:t xml:space="preserve">Paragraph 7(daa) only applies to the extent that a contravention of subsection </w:t>
      </w:r>
      <w:r w:rsidR="00DA0A0A" w:rsidRPr="0012418A">
        <w:t xml:space="preserve">111(1) </w:t>
      </w:r>
      <w:r w:rsidRPr="0012418A">
        <w:t>relates to a failure to comply with the Standards for NVR Registered Training Organisations</w:t>
      </w:r>
      <w:r w:rsidR="00A60784" w:rsidRPr="0012418A">
        <w:rPr>
          <w:rStyle w:val="FootnoteReference"/>
        </w:rPr>
        <w:footnoteReference w:id="2"/>
      </w:r>
      <w:r w:rsidRPr="0012418A">
        <w:t xml:space="preserve"> (the Standards) due to the issuing of a VET qualification or a VET statement of attainment to an individual who has not been assigned a student identifier under the </w:t>
      </w:r>
      <w:r w:rsidRPr="0012418A">
        <w:rPr>
          <w:i/>
        </w:rPr>
        <w:t>Student Identifiers Act 2014</w:t>
      </w:r>
      <w:r w:rsidRPr="0012418A">
        <w:t>.</w:t>
      </w:r>
    </w:p>
    <w:p w14:paraId="79266C0B" w14:textId="77777777" w:rsidR="0005136B" w:rsidRPr="0012418A" w:rsidRDefault="0005136B" w:rsidP="0005136B">
      <w:pPr>
        <w:autoSpaceDE w:val="0"/>
        <w:autoSpaceDN w:val="0"/>
        <w:adjustRightInd w:val="0"/>
      </w:pPr>
    </w:p>
    <w:p w14:paraId="520BCA5F" w14:textId="77777777" w:rsidR="006B6EE0" w:rsidRPr="0012418A" w:rsidRDefault="006B6EE0" w:rsidP="00243D0C">
      <w:pPr>
        <w:ind w:right="91"/>
      </w:pPr>
      <w:r w:rsidRPr="0012418A">
        <w:t xml:space="preserve">Where an </w:t>
      </w:r>
      <w:r w:rsidR="0005136B" w:rsidRPr="0012418A">
        <w:t xml:space="preserve">NVR </w:t>
      </w:r>
      <w:r w:rsidR="0084400D" w:rsidRPr="0012418A">
        <w:t xml:space="preserve">RTO </w:t>
      </w:r>
      <w:r w:rsidR="00B02CE8" w:rsidRPr="0012418A">
        <w:rPr>
          <w:color w:val="000000" w:themeColor="text1"/>
        </w:rPr>
        <w:t>issu</w:t>
      </w:r>
      <w:r w:rsidRPr="0012418A">
        <w:rPr>
          <w:color w:val="000000" w:themeColor="text1"/>
        </w:rPr>
        <w:t>es</w:t>
      </w:r>
      <w:r w:rsidR="00B02CE8" w:rsidRPr="0012418A">
        <w:rPr>
          <w:color w:val="000000" w:themeColor="text1"/>
        </w:rPr>
        <w:t xml:space="preserve"> a VET qualification or </w:t>
      </w:r>
      <w:r w:rsidR="009C0BD6" w:rsidRPr="0012418A">
        <w:rPr>
          <w:color w:val="000000" w:themeColor="text1"/>
        </w:rPr>
        <w:t xml:space="preserve">VET </w:t>
      </w:r>
      <w:r w:rsidR="00B02CE8" w:rsidRPr="0012418A">
        <w:rPr>
          <w:color w:val="000000" w:themeColor="text1"/>
        </w:rPr>
        <w:t>statement of attainment to an individual who has not been assigned a student identifier</w:t>
      </w:r>
      <w:r w:rsidR="001C5261" w:rsidRPr="0012418A">
        <w:t xml:space="preserve"> under the </w:t>
      </w:r>
      <w:r w:rsidR="001C5261" w:rsidRPr="0012418A">
        <w:rPr>
          <w:i/>
        </w:rPr>
        <w:t>Student Identifiers Act 2014</w:t>
      </w:r>
      <w:r w:rsidRPr="0012418A">
        <w:t>, an infringement notice may be given</w:t>
      </w:r>
      <w:r w:rsidR="001C5261" w:rsidRPr="0012418A">
        <w:t xml:space="preserve"> </w:t>
      </w:r>
      <w:r w:rsidR="0057581B" w:rsidRPr="0012418A">
        <w:t>(</w:t>
      </w:r>
      <w:r w:rsidRPr="0012418A">
        <w:t>n</w:t>
      </w:r>
      <w:r w:rsidR="0057581B" w:rsidRPr="0012418A">
        <w:t>ot</w:t>
      </w:r>
      <w:r w:rsidRPr="0012418A">
        <w:t>ing</w:t>
      </w:r>
      <w:r w:rsidR="0057581B" w:rsidRPr="0012418A">
        <w:t xml:space="preserve"> a breach does not occur</w:t>
      </w:r>
      <w:r w:rsidR="000D619B" w:rsidRPr="0012418A">
        <w:t xml:space="preserve"> </w:t>
      </w:r>
      <w:r w:rsidR="0057581B" w:rsidRPr="0012418A">
        <w:t xml:space="preserve">if </w:t>
      </w:r>
      <w:r w:rsidR="009E0640" w:rsidRPr="0012418A">
        <w:t xml:space="preserve">an </w:t>
      </w:r>
      <w:r w:rsidR="000D619B" w:rsidRPr="0012418A">
        <w:t xml:space="preserve">exemption from requiring a student identifier </w:t>
      </w:r>
      <w:r w:rsidR="009E0640" w:rsidRPr="0012418A">
        <w:t xml:space="preserve">applies </w:t>
      </w:r>
      <w:r w:rsidR="000D619B" w:rsidRPr="0012418A">
        <w:t xml:space="preserve">under the </w:t>
      </w:r>
      <w:r w:rsidR="000D619B" w:rsidRPr="0012418A">
        <w:rPr>
          <w:i/>
        </w:rPr>
        <w:t xml:space="preserve">Student Identifiers </w:t>
      </w:r>
      <w:r w:rsidR="009E0640" w:rsidRPr="0012418A">
        <w:rPr>
          <w:i/>
        </w:rPr>
        <w:t>Act</w:t>
      </w:r>
      <w:r w:rsidR="0057581B" w:rsidRPr="0012418A">
        <w:rPr>
          <w:i/>
        </w:rPr>
        <w:t> </w:t>
      </w:r>
      <w:r w:rsidR="009E0640" w:rsidRPr="0012418A">
        <w:rPr>
          <w:i/>
        </w:rPr>
        <w:t>2014</w:t>
      </w:r>
      <w:r w:rsidR="009C0BD6" w:rsidRPr="0012418A">
        <w:t>)</w:t>
      </w:r>
      <w:r w:rsidR="009E0640" w:rsidRPr="0012418A">
        <w:t>.</w:t>
      </w:r>
      <w:r w:rsidR="00847EF1" w:rsidRPr="0012418A">
        <w:t xml:space="preserve"> </w:t>
      </w:r>
      <w:r w:rsidR="007C0132" w:rsidRPr="0012418A">
        <w:t xml:space="preserve">The purpose of this amendment is to widen the enforcement options available to the Regulator in instances where an </w:t>
      </w:r>
      <w:r w:rsidR="00DC0D9E" w:rsidRPr="0012418A">
        <w:t xml:space="preserve">NVR </w:t>
      </w:r>
      <w:r w:rsidR="0084400D" w:rsidRPr="0012418A">
        <w:t>RTO</w:t>
      </w:r>
      <w:r w:rsidR="007C0132" w:rsidRPr="0012418A">
        <w:t xml:space="preserve"> breaches the Standards</w:t>
      </w:r>
      <w:r w:rsidR="008811A8" w:rsidRPr="0012418A">
        <w:t xml:space="preserve">, by including </w:t>
      </w:r>
      <w:r w:rsidR="000D619B" w:rsidRPr="0012418A">
        <w:t xml:space="preserve">this </w:t>
      </w:r>
      <w:r w:rsidRPr="0012418A">
        <w:t>breach</w:t>
      </w:r>
      <w:r w:rsidR="000D619B" w:rsidRPr="0012418A">
        <w:t xml:space="preserve"> </w:t>
      </w:r>
      <w:r w:rsidR="008811A8" w:rsidRPr="0012418A">
        <w:t xml:space="preserve">in the </w:t>
      </w:r>
      <w:r w:rsidR="00324128" w:rsidRPr="0012418A">
        <w:t xml:space="preserve">provisions subject to </w:t>
      </w:r>
      <w:r w:rsidR="008811A8" w:rsidRPr="0012418A">
        <w:t>infringement notice</w:t>
      </w:r>
      <w:r w:rsidR="00324128" w:rsidRPr="0012418A">
        <w:t>s.</w:t>
      </w:r>
    </w:p>
    <w:p w14:paraId="295F7967" w14:textId="77777777" w:rsidR="007C0132" w:rsidRPr="0012418A" w:rsidRDefault="007C0132" w:rsidP="00243D0C">
      <w:pPr>
        <w:ind w:right="91"/>
      </w:pPr>
    </w:p>
    <w:p w14:paraId="4EC1248E" w14:textId="3C75D8A7" w:rsidR="008811A8" w:rsidRPr="0012418A" w:rsidRDefault="00DC0D9E" w:rsidP="008811A8">
      <w:pPr>
        <w:ind w:right="91"/>
        <w:rPr>
          <w:lang w:eastAsia="en-US"/>
        </w:rPr>
      </w:pPr>
      <w:r w:rsidRPr="0012418A">
        <w:rPr>
          <w:lang w:eastAsia="en-US"/>
        </w:rPr>
        <w:t>Enforcing breaches against the Act through court proceedings can be lengthy and disproportiona</w:t>
      </w:r>
      <w:r w:rsidR="00A809FA">
        <w:rPr>
          <w:lang w:eastAsia="en-US"/>
        </w:rPr>
        <w:t>te</w:t>
      </w:r>
      <w:r w:rsidRPr="0012418A">
        <w:rPr>
          <w:lang w:eastAsia="en-US"/>
        </w:rPr>
        <w:t>ly time consuming compared to the seriousness of the breach. Including subsection 111(1)</w:t>
      </w:r>
      <w:r w:rsidR="002E6552" w:rsidRPr="0012418A">
        <w:rPr>
          <w:lang w:eastAsia="en-US"/>
        </w:rPr>
        <w:t xml:space="preserve"> of the Act</w:t>
      </w:r>
      <w:r w:rsidRPr="0012418A">
        <w:rPr>
          <w:lang w:eastAsia="en-US"/>
        </w:rPr>
        <w:t xml:space="preserve"> in the </w:t>
      </w:r>
      <w:r w:rsidRPr="0012418A">
        <w:t>provisions subject to infringement notices</w:t>
      </w:r>
      <w:r w:rsidRPr="0012418A" w:rsidDel="00715CD4">
        <w:t xml:space="preserve"> </w:t>
      </w:r>
      <w:r w:rsidRPr="0012418A">
        <w:rPr>
          <w:lang w:eastAsia="en-US"/>
        </w:rPr>
        <w:t xml:space="preserve">will allow the Regulator to quickly address a breach by imposing an infringement notice. Such a response by the Regulator may also act as a deterrent to other NVR RTOs. </w:t>
      </w:r>
      <w:r w:rsidRPr="0012418A">
        <w:t>This supports</w:t>
      </w:r>
      <w:r w:rsidR="000D619B" w:rsidRPr="0012418A">
        <w:t xml:space="preserve"> a stronger student identifiers scheme</w:t>
      </w:r>
      <w:r w:rsidR="002C3FEA">
        <w:t xml:space="preserve"> </w:t>
      </w:r>
      <w:r w:rsidR="000D619B" w:rsidRPr="0012418A">
        <w:t>and inc</w:t>
      </w:r>
      <w:r w:rsidRPr="0012418A">
        <w:t xml:space="preserve">reased public confidence in VET </w:t>
      </w:r>
      <w:r w:rsidR="000D619B" w:rsidRPr="0012418A">
        <w:t xml:space="preserve">qualifications and </w:t>
      </w:r>
      <w:r w:rsidR="004F468C" w:rsidRPr="0012418A">
        <w:t xml:space="preserve">VET </w:t>
      </w:r>
      <w:r w:rsidR="000D619B" w:rsidRPr="0012418A">
        <w:t>statements of attainment</w:t>
      </w:r>
      <w:r w:rsidR="002C3FEA">
        <w:t>.</w:t>
      </w:r>
      <w:r w:rsidR="004F468C" w:rsidRPr="0012418A">
        <w:t xml:space="preserve"> If a student has been issued with a student identifier, an authenticated VET transcript for the student (under the </w:t>
      </w:r>
      <w:r w:rsidR="004F468C" w:rsidRPr="0012418A">
        <w:rPr>
          <w:i/>
        </w:rPr>
        <w:t>Student Identifiers Act 2014</w:t>
      </w:r>
      <w:r w:rsidR="004F468C" w:rsidRPr="0012418A">
        <w:t>) can be made available to</w:t>
      </w:r>
      <w:r w:rsidR="006E59CF">
        <w:t>,</w:t>
      </w:r>
      <w:r w:rsidR="004F468C" w:rsidRPr="0012418A">
        <w:t xml:space="preserve"> for example, an employer. This provides a mechanism to check that the study that has led to </w:t>
      </w:r>
      <w:r w:rsidR="004810E6">
        <w:t xml:space="preserve">a </w:t>
      </w:r>
      <w:r w:rsidR="004F468C" w:rsidRPr="0012418A">
        <w:t>VET qualification or VET statement of attainment has been undertaken by the student and therefore that the VET qualification of VET statement of attainment is authentic.</w:t>
      </w:r>
    </w:p>
    <w:p w14:paraId="62A44801" w14:textId="77777777" w:rsidR="008811A8" w:rsidRPr="0012418A" w:rsidRDefault="008811A8" w:rsidP="00C96CC7">
      <w:pPr>
        <w:rPr>
          <w:lang w:eastAsia="en-US"/>
        </w:rPr>
      </w:pPr>
    </w:p>
    <w:p w14:paraId="536B4832" w14:textId="77777777" w:rsidR="007C0132" w:rsidRPr="0012418A" w:rsidRDefault="007C0132" w:rsidP="00E13442">
      <w:pPr>
        <w:keepNext/>
        <w:ind w:right="-45"/>
        <w:rPr>
          <w:b/>
          <w:i/>
          <w:lang w:eastAsia="en-US"/>
        </w:rPr>
      </w:pPr>
      <w:r w:rsidRPr="0012418A">
        <w:rPr>
          <w:b/>
          <w:i/>
          <w:lang w:eastAsia="en-US"/>
        </w:rPr>
        <w:t xml:space="preserve">Item </w:t>
      </w:r>
      <w:r w:rsidR="0036341F" w:rsidRPr="0012418A">
        <w:rPr>
          <w:b/>
          <w:i/>
          <w:lang w:eastAsia="en-US"/>
        </w:rPr>
        <w:t>4</w:t>
      </w:r>
    </w:p>
    <w:p w14:paraId="55BD8D57" w14:textId="77777777" w:rsidR="007C0132" w:rsidRPr="0012418A" w:rsidRDefault="007C0132" w:rsidP="00E13442">
      <w:pPr>
        <w:keepNext/>
        <w:ind w:right="-45"/>
        <w:rPr>
          <w:lang w:eastAsia="en-US"/>
        </w:rPr>
      </w:pPr>
    </w:p>
    <w:p w14:paraId="63E42103" w14:textId="77777777" w:rsidR="00C96CC7" w:rsidRPr="0012418A" w:rsidRDefault="00C96CC7" w:rsidP="00C96CC7">
      <w:pPr>
        <w:rPr>
          <w:lang w:eastAsia="en-US"/>
        </w:rPr>
      </w:pPr>
      <w:r w:rsidRPr="0012418A">
        <w:rPr>
          <w:lang w:eastAsia="en-US"/>
        </w:rPr>
        <w:t xml:space="preserve">Item </w:t>
      </w:r>
      <w:r w:rsidR="0036341F" w:rsidRPr="0012418A">
        <w:rPr>
          <w:lang w:eastAsia="en-US"/>
        </w:rPr>
        <w:t xml:space="preserve">4 </w:t>
      </w:r>
      <w:r w:rsidRPr="0012418A">
        <w:rPr>
          <w:lang w:eastAsia="en-US"/>
        </w:rPr>
        <w:t xml:space="preserve">is a technical amendment </w:t>
      </w:r>
      <w:r w:rsidR="000D5BBC" w:rsidRPr="0012418A">
        <w:rPr>
          <w:lang w:eastAsia="en-US"/>
        </w:rPr>
        <w:t>that inserts a reference to the Act when referring to subsection</w:t>
      </w:r>
      <w:r w:rsidR="0084400D" w:rsidRPr="0012418A">
        <w:rPr>
          <w:lang w:eastAsia="en-US"/>
        </w:rPr>
        <w:t> </w:t>
      </w:r>
      <w:r w:rsidR="000D5BBC" w:rsidRPr="0012418A">
        <w:rPr>
          <w:lang w:eastAsia="en-US"/>
        </w:rPr>
        <w:t>22(3) of the A</w:t>
      </w:r>
      <w:r w:rsidR="00801BB0" w:rsidRPr="0012418A">
        <w:rPr>
          <w:lang w:eastAsia="en-US"/>
        </w:rPr>
        <w:t>ct in</w:t>
      </w:r>
      <w:r w:rsidR="00DC0D9E" w:rsidRPr="0012418A">
        <w:rPr>
          <w:lang w:eastAsia="en-US"/>
        </w:rPr>
        <w:t xml:space="preserve"> paragraph 7(da) of</w:t>
      </w:r>
      <w:r w:rsidR="00801BB0" w:rsidRPr="0012418A">
        <w:rPr>
          <w:lang w:eastAsia="en-US"/>
        </w:rPr>
        <w:t xml:space="preserve"> the </w:t>
      </w:r>
      <w:r w:rsidR="00D95C15" w:rsidRPr="0012418A">
        <w:rPr>
          <w:lang w:eastAsia="en-US"/>
        </w:rPr>
        <w:t>Principal Regulations</w:t>
      </w:r>
      <w:r w:rsidR="00801BB0" w:rsidRPr="0012418A">
        <w:rPr>
          <w:lang w:eastAsia="en-US"/>
        </w:rPr>
        <w:t>.</w:t>
      </w:r>
    </w:p>
    <w:p w14:paraId="41D36B32" w14:textId="77777777" w:rsidR="007C0132" w:rsidRPr="0012418A" w:rsidRDefault="007C0132" w:rsidP="00C96CC7">
      <w:pPr>
        <w:rPr>
          <w:lang w:eastAsia="en-US"/>
        </w:rPr>
      </w:pPr>
    </w:p>
    <w:p w14:paraId="66C447B6" w14:textId="77777777" w:rsidR="002C45BE" w:rsidRPr="0012418A" w:rsidRDefault="002C45BE" w:rsidP="00E13442">
      <w:pPr>
        <w:keepNext/>
        <w:tabs>
          <w:tab w:val="left" w:pos="3686"/>
          <w:tab w:val="left" w:pos="5529"/>
        </w:tabs>
        <w:ind w:right="-45"/>
        <w:rPr>
          <w:b/>
          <w:i/>
        </w:rPr>
      </w:pPr>
      <w:r w:rsidRPr="0012418A">
        <w:rPr>
          <w:b/>
          <w:i/>
        </w:rPr>
        <w:t xml:space="preserve">Item </w:t>
      </w:r>
      <w:r w:rsidR="009E5990" w:rsidRPr="0012418A">
        <w:rPr>
          <w:b/>
          <w:i/>
        </w:rPr>
        <w:t>5</w:t>
      </w:r>
    </w:p>
    <w:p w14:paraId="12FFF633" w14:textId="77777777" w:rsidR="002C45BE" w:rsidRPr="0012418A" w:rsidRDefault="002C45BE" w:rsidP="00E13442">
      <w:pPr>
        <w:keepNext/>
        <w:tabs>
          <w:tab w:val="left" w:pos="3686"/>
          <w:tab w:val="left" w:pos="5529"/>
        </w:tabs>
        <w:ind w:right="-45"/>
      </w:pPr>
    </w:p>
    <w:p w14:paraId="0094B748" w14:textId="1AB98F38" w:rsidR="002C45BE" w:rsidRPr="0012418A" w:rsidRDefault="002C45BE" w:rsidP="000D5BBC">
      <w:pPr>
        <w:tabs>
          <w:tab w:val="left" w:pos="3686"/>
          <w:tab w:val="left" w:pos="5529"/>
        </w:tabs>
        <w:ind w:right="-46"/>
      </w:pPr>
      <w:r w:rsidRPr="0012418A">
        <w:t xml:space="preserve">Item </w:t>
      </w:r>
      <w:r w:rsidR="009E5990" w:rsidRPr="0012418A">
        <w:t xml:space="preserve">5 </w:t>
      </w:r>
      <w:r w:rsidRPr="0012418A">
        <w:t xml:space="preserve">is a technical amendment that </w:t>
      </w:r>
      <w:r w:rsidR="000E58BD" w:rsidRPr="0012418A">
        <w:t>inserts the heading “</w:t>
      </w:r>
      <w:r w:rsidR="000E58BD" w:rsidRPr="0012418A">
        <w:rPr>
          <w:i/>
        </w:rPr>
        <w:t>VET accredited courses”</w:t>
      </w:r>
      <w:r w:rsidR="000E58BD" w:rsidRPr="0012418A">
        <w:t xml:space="preserve"> before </w:t>
      </w:r>
      <w:r w:rsidR="00DC0D9E" w:rsidRPr="0012418A">
        <w:t>sub</w:t>
      </w:r>
      <w:r w:rsidR="00E1670A">
        <w:t xml:space="preserve">regulation </w:t>
      </w:r>
      <w:r w:rsidR="000E58BD" w:rsidRPr="0012418A">
        <w:t>15A(2)</w:t>
      </w:r>
      <w:r w:rsidR="00DC0D9E" w:rsidRPr="0012418A">
        <w:t xml:space="preserve"> in the </w:t>
      </w:r>
      <w:r w:rsidR="00D95C15" w:rsidRPr="0012418A">
        <w:t>Principal Regulations</w:t>
      </w:r>
      <w:r w:rsidR="000E58BD" w:rsidRPr="0012418A">
        <w:t xml:space="preserve">. This helps distinguish the </w:t>
      </w:r>
      <w:r w:rsidR="00DC0D9E" w:rsidRPr="0012418A">
        <w:t>sub</w:t>
      </w:r>
      <w:r w:rsidR="00E1670A">
        <w:t xml:space="preserve">regulation </w:t>
      </w:r>
      <w:r w:rsidR="000E58BD" w:rsidRPr="0012418A">
        <w:t xml:space="preserve">relating to VET accredited courses from the other </w:t>
      </w:r>
      <w:r w:rsidR="00435308">
        <w:t>subregulations</w:t>
      </w:r>
      <w:r w:rsidR="00DC0D9E" w:rsidRPr="0012418A">
        <w:t xml:space="preserve"> in </w:t>
      </w:r>
      <w:r w:rsidR="00E1670A">
        <w:t xml:space="preserve">regulation </w:t>
      </w:r>
      <w:r w:rsidR="00DC0D9E" w:rsidRPr="0012418A">
        <w:t xml:space="preserve">15 of the </w:t>
      </w:r>
      <w:r w:rsidR="00D95C15" w:rsidRPr="0012418A">
        <w:t>Principal Regulations</w:t>
      </w:r>
      <w:r w:rsidR="00DC0D9E" w:rsidRPr="0012418A">
        <w:t xml:space="preserve"> that relate</w:t>
      </w:r>
      <w:r w:rsidR="000E58BD" w:rsidRPr="0012418A">
        <w:t xml:space="preserve"> to different subject matter</w:t>
      </w:r>
      <w:r w:rsidR="00DC0D9E" w:rsidRPr="0012418A">
        <w:t>s</w:t>
      </w:r>
      <w:r w:rsidR="000E58BD" w:rsidRPr="0012418A">
        <w:t>.</w:t>
      </w:r>
    </w:p>
    <w:p w14:paraId="6447F3D6" w14:textId="77777777" w:rsidR="009C0BD6" w:rsidRPr="0012418A" w:rsidRDefault="009C0BD6" w:rsidP="00E13442">
      <w:pPr>
        <w:keepNext/>
        <w:tabs>
          <w:tab w:val="left" w:pos="3686"/>
          <w:tab w:val="left" w:pos="5529"/>
        </w:tabs>
        <w:ind w:right="-45"/>
        <w:rPr>
          <w:b/>
          <w:i/>
        </w:rPr>
      </w:pPr>
    </w:p>
    <w:p w14:paraId="376238CD" w14:textId="77777777" w:rsidR="000E58BD" w:rsidRPr="0012418A" w:rsidRDefault="000E58BD" w:rsidP="00E13442">
      <w:pPr>
        <w:keepNext/>
        <w:tabs>
          <w:tab w:val="left" w:pos="3686"/>
          <w:tab w:val="left" w:pos="5529"/>
        </w:tabs>
        <w:ind w:right="-45"/>
        <w:rPr>
          <w:b/>
          <w:i/>
        </w:rPr>
      </w:pPr>
      <w:r w:rsidRPr="0012418A">
        <w:rPr>
          <w:b/>
          <w:i/>
        </w:rPr>
        <w:t xml:space="preserve">Item </w:t>
      </w:r>
      <w:r w:rsidR="009E5990" w:rsidRPr="0012418A">
        <w:rPr>
          <w:b/>
          <w:i/>
        </w:rPr>
        <w:t>6</w:t>
      </w:r>
    </w:p>
    <w:p w14:paraId="4E29F088" w14:textId="77777777" w:rsidR="000E58BD" w:rsidRPr="0012418A" w:rsidRDefault="000E58BD" w:rsidP="00E13442">
      <w:pPr>
        <w:keepNext/>
        <w:tabs>
          <w:tab w:val="left" w:pos="3686"/>
          <w:tab w:val="left" w:pos="5529"/>
        </w:tabs>
        <w:ind w:right="-45"/>
      </w:pPr>
    </w:p>
    <w:p w14:paraId="39FD6600" w14:textId="7E0EFC1F" w:rsidR="000E58BD" w:rsidRPr="0012418A" w:rsidRDefault="000E58BD" w:rsidP="000E58BD">
      <w:pPr>
        <w:tabs>
          <w:tab w:val="left" w:pos="3686"/>
          <w:tab w:val="left" w:pos="5529"/>
        </w:tabs>
        <w:ind w:right="-46"/>
      </w:pPr>
      <w:r w:rsidRPr="0012418A">
        <w:t xml:space="preserve">Item </w:t>
      </w:r>
      <w:r w:rsidR="009E5990" w:rsidRPr="0012418A">
        <w:t xml:space="preserve">6 </w:t>
      </w:r>
      <w:r w:rsidRPr="0012418A">
        <w:t>is a technical amendment that omits “entered in” and substitutes “entered on”</w:t>
      </w:r>
      <w:r w:rsidR="00C76568" w:rsidRPr="0012418A">
        <w:t xml:space="preserve"> in </w:t>
      </w:r>
      <w:r w:rsidR="007A1DBE">
        <w:t>subregulations</w:t>
      </w:r>
      <w:r w:rsidR="00C76568" w:rsidRPr="0012418A">
        <w:t xml:space="preserve"> 15A(2), (3) and (4)</w:t>
      </w:r>
      <w:r w:rsidRPr="0012418A">
        <w:t>. This en</w:t>
      </w:r>
      <w:r w:rsidR="00DC0D9E" w:rsidRPr="0012418A">
        <w:t xml:space="preserve">sures the language in </w:t>
      </w:r>
      <w:r w:rsidR="00E1670A">
        <w:t xml:space="preserve">regulation </w:t>
      </w:r>
      <w:r w:rsidRPr="0012418A">
        <w:t xml:space="preserve">15A </w:t>
      </w:r>
      <w:r w:rsidR="00DC0D9E" w:rsidRPr="0012418A">
        <w:t xml:space="preserve">of the </w:t>
      </w:r>
      <w:r w:rsidR="00D95C15" w:rsidRPr="0012418A">
        <w:t>Principal Regulations</w:t>
      </w:r>
      <w:r w:rsidR="00DC0D9E" w:rsidRPr="0012418A">
        <w:t xml:space="preserve"> </w:t>
      </w:r>
      <w:r w:rsidRPr="0012418A">
        <w:t>matches the language in subsection 216(3) of the Act.</w:t>
      </w:r>
    </w:p>
    <w:p w14:paraId="493EEA9C" w14:textId="77777777" w:rsidR="000E58BD" w:rsidRPr="0012418A" w:rsidRDefault="000E58BD" w:rsidP="000E58BD">
      <w:pPr>
        <w:tabs>
          <w:tab w:val="left" w:pos="3686"/>
          <w:tab w:val="left" w:pos="5529"/>
        </w:tabs>
        <w:ind w:right="-46"/>
      </w:pPr>
    </w:p>
    <w:p w14:paraId="0DBB4FFF" w14:textId="77777777" w:rsidR="000E58BD" w:rsidRPr="0012418A" w:rsidRDefault="000E58BD" w:rsidP="00E13442">
      <w:pPr>
        <w:keepNext/>
        <w:tabs>
          <w:tab w:val="left" w:pos="3686"/>
          <w:tab w:val="left" w:pos="5529"/>
        </w:tabs>
        <w:ind w:right="-45"/>
        <w:rPr>
          <w:b/>
          <w:i/>
        </w:rPr>
      </w:pPr>
      <w:r w:rsidRPr="0012418A">
        <w:rPr>
          <w:b/>
          <w:i/>
        </w:rPr>
        <w:t xml:space="preserve">Item </w:t>
      </w:r>
      <w:r w:rsidR="009E5990" w:rsidRPr="0012418A">
        <w:rPr>
          <w:b/>
          <w:i/>
        </w:rPr>
        <w:t>7</w:t>
      </w:r>
    </w:p>
    <w:p w14:paraId="65F89DA3" w14:textId="77777777" w:rsidR="000E58BD" w:rsidRPr="0012418A" w:rsidRDefault="000E58BD" w:rsidP="00E13442">
      <w:pPr>
        <w:keepNext/>
        <w:tabs>
          <w:tab w:val="left" w:pos="3686"/>
          <w:tab w:val="left" w:pos="5529"/>
        </w:tabs>
        <w:ind w:right="-45"/>
      </w:pPr>
    </w:p>
    <w:p w14:paraId="0DC4524E" w14:textId="231B924E" w:rsidR="00A56829" w:rsidRPr="0012418A" w:rsidRDefault="000E58BD" w:rsidP="000E58BD">
      <w:pPr>
        <w:tabs>
          <w:tab w:val="left" w:pos="3686"/>
          <w:tab w:val="left" w:pos="5529"/>
        </w:tabs>
        <w:ind w:right="-46"/>
      </w:pPr>
      <w:r w:rsidRPr="0012418A">
        <w:t xml:space="preserve">Item </w:t>
      </w:r>
      <w:r w:rsidR="009E5990" w:rsidRPr="0012418A">
        <w:t xml:space="preserve">7 </w:t>
      </w:r>
      <w:r w:rsidRPr="0012418A">
        <w:t>inserts</w:t>
      </w:r>
      <w:r w:rsidR="00A56829" w:rsidRPr="0012418A">
        <w:t xml:space="preserve"> </w:t>
      </w:r>
      <w:r w:rsidR="00F20CE9" w:rsidRPr="0012418A">
        <w:t xml:space="preserve">a new </w:t>
      </w:r>
      <w:r w:rsidR="00A56829" w:rsidRPr="0012418A">
        <w:t>heading “</w:t>
      </w:r>
      <w:r w:rsidR="00A56829" w:rsidRPr="0012418A">
        <w:rPr>
          <w:i/>
        </w:rPr>
        <w:t>NVR registered training organisations”</w:t>
      </w:r>
      <w:r w:rsidR="00F20CE9" w:rsidRPr="0012418A">
        <w:t xml:space="preserve"> and</w:t>
      </w:r>
      <w:r w:rsidR="00A56829" w:rsidRPr="0012418A">
        <w:t xml:space="preserve"> new sub</w:t>
      </w:r>
      <w:r w:rsidR="00E1670A">
        <w:t xml:space="preserve">regulation </w:t>
      </w:r>
      <w:r w:rsidR="00A56829" w:rsidRPr="0012418A">
        <w:t>15A(5)</w:t>
      </w:r>
      <w:r w:rsidR="00DC0D9E" w:rsidRPr="0012418A">
        <w:t xml:space="preserve"> in the </w:t>
      </w:r>
      <w:r w:rsidR="00D95C15" w:rsidRPr="0012418A">
        <w:t>Principal Regulations</w:t>
      </w:r>
      <w:r w:rsidR="00F20CE9" w:rsidRPr="0012418A">
        <w:t>.</w:t>
      </w:r>
    </w:p>
    <w:p w14:paraId="3F9636E1" w14:textId="77777777" w:rsidR="00A56829" w:rsidRPr="0012418A" w:rsidRDefault="00A56829" w:rsidP="000E58BD">
      <w:pPr>
        <w:tabs>
          <w:tab w:val="left" w:pos="3686"/>
          <w:tab w:val="left" w:pos="5529"/>
        </w:tabs>
        <w:ind w:right="-46"/>
      </w:pPr>
    </w:p>
    <w:p w14:paraId="00C42697" w14:textId="694208EC" w:rsidR="001E0328" w:rsidRPr="0012418A" w:rsidRDefault="00E1670A" w:rsidP="003C190A">
      <w:r>
        <w:t xml:space="preserve">Regulation </w:t>
      </w:r>
      <w:r w:rsidR="00A56829" w:rsidRPr="0012418A">
        <w:t>15A</w:t>
      </w:r>
      <w:r w:rsidR="003A1ED9" w:rsidRPr="0012418A">
        <w:t xml:space="preserve"> in the </w:t>
      </w:r>
      <w:r w:rsidR="00D95C15" w:rsidRPr="0012418A">
        <w:t>Principal Regulations</w:t>
      </w:r>
      <w:r w:rsidR="00A56829" w:rsidRPr="0012418A">
        <w:t xml:space="preserve"> lists</w:t>
      </w:r>
      <w:r w:rsidR="00F20CE9" w:rsidRPr="0012418A">
        <w:t xml:space="preserve"> additional</w:t>
      </w:r>
      <w:r w:rsidR="00A56829" w:rsidRPr="0012418A">
        <w:t xml:space="preserve"> information </w:t>
      </w:r>
      <w:r w:rsidR="003A1ED9" w:rsidRPr="0012418A">
        <w:t xml:space="preserve">that </w:t>
      </w:r>
      <w:r w:rsidR="00A56829" w:rsidRPr="0012418A">
        <w:t>the Regulator is required to enter on the National Register</w:t>
      </w:r>
      <w:r w:rsidR="00F20CE9" w:rsidRPr="0012418A">
        <w:t xml:space="preserve">. </w:t>
      </w:r>
      <w:r w:rsidR="00CF3251" w:rsidRPr="0012418A">
        <w:t xml:space="preserve">The purpose of </w:t>
      </w:r>
      <w:r w:rsidR="003A1ED9" w:rsidRPr="0012418A">
        <w:t>sub</w:t>
      </w:r>
      <w:r>
        <w:t xml:space="preserve">regulation </w:t>
      </w:r>
      <w:r w:rsidR="00CF3251" w:rsidRPr="0012418A">
        <w:t>15A(5)</w:t>
      </w:r>
      <w:r w:rsidR="003A1ED9" w:rsidRPr="0012418A">
        <w:t xml:space="preserve"> is to clarify that </w:t>
      </w:r>
      <w:r w:rsidR="00C76568" w:rsidRPr="0012418A">
        <w:t xml:space="preserve">the following </w:t>
      </w:r>
      <w:r w:rsidR="003A1ED9" w:rsidRPr="0012418A">
        <w:t>information about NVR RTOs is required</w:t>
      </w:r>
      <w:r w:rsidR="00CF3251" w:rsidRPr="0012418A">
        <w:t xml:space="preserve"> </w:t>
      </w:r>
      <w:r w:rsidR="003A1ED9" w:rsidRPr="0012418A">
        <w:t xml:space="preserve">to be </w:t>
      </w:r>
      <w:r w:rsidR="00CF3251" w:rsidRPr="0012418A">
        <w:t xml:space="preserve">entered on the </w:t>
      </w:r>
      <w:r w:rsidR="0084400D" w:rsidRPr="0012418A">
        <w:t>National R</w:t>
      </w:r>
      <w:r w:rsidR="00CF3251" w:rsidRPr="0012418A">
        <w:t>egister by the Regulato</w:t>
      </w:r>
      <w:r w:rsidR="003A1ED9" w:rsidRPr="0012418A">
        <w:t>r</w:t>
      </w:r>
      <w:r w:rsidR="007A57C8" w:rsidRPr="0012418A">
        <w:t>:</w:t>
      </w:r>
    </w:p>
    <w:p w14:paraId="000921F6" w14:textId="77777777" w:rsidR="003A1ED9" w:rsidRPr="0012418A" w:rsidRDefault="003A1ED9" w:rsidP="003C190A"/>
    <w:p w14:paraId="79688932" w14:textId="77777777" w:rsidR="007A57C8" w:rsidRPr="0012418A" w:rsidRDefault="007A57C8" w:rsidP="007A57C8">
      <w:pPr>
        <w:pStyle w:val="ListParagraph"/>
        <w:numPr>
          <w:ilvl w:val="0"/>
          <w:numId w:val="11"/>
        </w:numPr>
      </w:pPr>
      <w:r w:rsidRPr="0012418A">
        <w:t>the organisation’s ABN</w:t>
      </w:r>
      <w:r w:rsidR="00CE45CE">
        <w:t>;</w:t>
      </w:r>
    </w:p>
    <w:p w14:paraId="3A643CA9" w14:textId="77777777" w:rsidR="007A57C8" w:rsidRPr="0012418A" w:rsidRDefault="003A1ED9" w:rsidP="007A57C8">
      <w:pPr>
        <w:pStyle w:val="ListParagraph"/>
        <w:numPr>
          <w:ilvl w:val="0"/>
          <w:numId w:val="11"/>
        </w:numPr>
      </w:pPr>
      <w:r w:rsidRPr="0012418A">
        <w:t xml:space="preserve">the organisation’s </w:t>
      </w:r>
      <w:r w:rsidR="007A57C8" w:rsidRPr="0012418A">
        <w:t>web address (if any)</w:t>
      </w:r>
      <w:r w:rsidR="00CE45CE">
        <w:t>;</w:t>
      </w:r>
    </w:p>
    <w:p w14:paraId="3277E59A" w14:textId="77777777" w:rsidR="007A57C8" w:rsidRPr="0012418A" w:rsidRDefault="007A57C8" w:rsidP="007A57C8">
      <w:pPr>
        <w:pStyle w:val="ListParagraph"/>
        <w:numPr>
          <w:ilvl w:val="0"/>
          <w:numId w:val="11"/>
        </w:numPr>
      </w:pPr>
      <w:r w:rsidRPr="0012418A">
        <w:t>details for contacting the</w:t>
      </w:r>
      <w:r w:rsidR="003A1ED9" w:rsidRPr="0012418A">
        <w:t xml:space="preserve"> organisation’s</w:t>
      </w:r>
      <w:r w:rsidRPr="0012418A">
        <w:t xml:space="preserve"> chief executive officer</w:t>
      </w:r>
      <w:r w:rsidR="003A1ED9" w:rsidRPr="0012418A">
        <w:t xml:space="preserve"> (however described)</w:t>
      </w:r>
      <w:r w:rsidR="00CE45CE">
        <w:t>;</w:t>
      </w:r>
    </w:p>
    <w:p w14:paraId="3CB0265A" w14:textId="77777777" w:rsidR="007A57C8" w:rsidRPr="0012418A" w:rsidRDefault="007A57C8" w:rsidP="007A57C8">
      <w:pPr>
        <w:pStyle w:val="ListParagraph"/>
        <w:numPr>
          <w:ilvl w:val="0"/>
          <w:numId w:val="11"/>
        </w:numPr>
      </w:pPr>
      <w:r w:rsidRPr="0012418A">
        <w:t>details for contact</w:t>
      </w:r>
      <w:r w:rsidR="003A1ED9" w:rsidRPr="0012418A">
        <w:t xml:space="preserve">ing the </w:t>
      </w:r>
      <w:r w:rsidRPr="0012418A">
        <w:t>organisation in relation to its registration</w:t>
      </w:r>
      <w:r w:rsidR="003A1ED9" w:rsidRPr="0012418A">
        <w:t xml:space="preserve"> with the Regulator</w:t>
      </w:r>
      <w:r w:rsidR="00CE45CE">
        <w:t>;</w:t>
      </w:r>
      <w:r w:rsidRPr="0012418A">
        <w:t xml:space="preserve"> and for public enquiries.</w:t>
      </w:r>
    </w:p>
    <w:p w14:paraId="4CBC29A1" w14:textId="77777777" w:rsidR="007A57C8" w:rsidRPr="0012418A" w:rsidRDefault="007A57C8" w:rsidP="001E0328"/>
    <w:p w14:paraId="6995E4A5" w14:textId="77777777" w:rsidR="001E0328" w:rsidRPr="0012418A" w:rsidRDefault="003A1ED9" w:rsidP="001E0328">
      <w:r w:rsidRPr="0012418A">
        <w:t>While t</w:t>
      </w:r>
      <w:r w:rsidR="007A57C8" w:rsidRPr="0012418A">
        <w:t>his</w:t>
      </w:r>
      <w:r w:rsidR="001E0328" w:rsidRPr="0012418A">
        <w:t xml:space="preserve"> information m</w:t>
      </w:r>
      <w:r w:rsidR="007A57C8" w:rsidRPr="0012418A">
        <w:t xml:space="preserve">ay include personal information, particularly </w:t>
      </w:r>
      <w:r w:rsidR="00634AD0" w:rsidRPr="0012418A">
        <w:t>with regards to the</w:t>
      </w:r>
      <w:r w:rsidR="007A57C8" w:rsidRPr="0012418A">
        <w:t xml:space="preserve"> chief executive officer contact details</w:t>
      </w:r>
      <w:r w:rsidRPr="0012418A">
        <w:t>, it</w:t>
      </w:r>
      <w:r w:rsidR="001E0328" w:rsidRPr="0012418A">
        <w:t xml:space="preserve"> meet</w:t>
      </w:r>
      <w:r w:rsidRPr="0012418A">
        <w:t>s</w:t>
      </w:r>
      <w:r w:rsidR="001E0328" w:rsidRPr="0012418A">
        <w:t xml:space="preserve"> minim</w:t>
      </w:r>
      <w:r w:rsidR="009A1AF1" w:rsidRPr="0012418A">
        <w:t>um</w:t>
      </w:r>
      <w:r w:rsidR="001E0328" w:rsidRPr="0012418A">
        <w:t xml:space="preserve"> information requirements to meet</w:t>
      </w:r>
      <w:r w:rsidR="0084400D" w:rsidRPr="0012418A">
        <w:t xml:space="preserve"> the</w:t>
      </w:r>
      <w:r w:rsidR="001E0328" w:rsidRPr="0012418A">
        <w:t xml:space="preserve"> policy objectives </w:t>
      </w:r>
      <w:r w:rsidRPr="0012418A">
        <w:t xml:space="preserve">of </w:t>
      </w:r>
      <w:r w:rsidR="00634AD0" w:rsidRPr="0012418A">
        <w:t xml:space="preserve">inclusion on </w:t>
      </w:r>
      <w:r w:rsidR="001E0328" w:rsidRPr="0012418A">
        <w:t xml:space="preserve">the </w:t>
      </w:r>
      <w:r w:rsidR="0084400D" w:rsidRPr="0012418A">
        <w:t>National R</w:t>
      </w:r>
      <w:r w:rsidRPr="0012418A">
        <w:t xml:space="preserve">egister. </w:t>
      </w:r>
      <w:r w:rsidR="007950B2" w:rsidRPr="0012418A">
        <w:t>Providing this information</w:t>
      </w:r>
      <w:r w:rsidRPr="0012418A">
        <w:t xml:space="preserve"> ensures that</w:t>
      </w:r>
      <w:r w:rsidR="001E0328" w:rsidRPr="0012418A">
        <w:t xml:space="preserve"> </w:t>
      </w:r>
      <w:r w:rsidR="0084400D" w:rsidRPr="0012418A">
        <w:t>VET</w:t>
      </w:r>
      <w:r w:rsidRPr="0012418A">
        <w:t xml:space="preserve"> regulators, </w:t>
      </w:r>
      <w:r w:rsidR="0015460D" w:rsidRPr="0012418A">
        <w:t xml:space="preserve">the Commonwealth and </w:t>
      </w:r>
      <w:r w:rsidR="001E0328" w:rsidRPr="0012418A">
        <w:t xml:space="preserve">state and territory governments that fund </w:t>
      </w:r>
      <w:r w:rsidRPr="0012418A">
        <w:t xml:space="preserve">NVR RTOs </w:t>
      </w:r>
      <w:r w:rsidR="001E0328" w:rsidRPr="0012418A">
        <w:t xml:space="preserve">have up-to-date contact details for </w:t>
      </w:r>
      <w:r w:rsidR="00F91371" w:rsidRPr="0012418A">
        <w:t xml:space="preserve">the purposes of </w:t>
      </w:r>
      <w:r w:rsidR="001E0328" w:rsidRPr="0012418A">
        <w:t>effective</w:t>
      </w:r>
      <w:r w:rsidR="009F2F0B" w:rsidRPr="0012418A">
        <w:t xml:space="preserve"> regulation,</w:t>
      </w:r>
      <w:r w:rsidR="001E0328" w:rsidRPr="0012418A">
        <w:t xml:space="preserve"> program administration</w:t>
      </w:r>
      <w:r w:rsidR="00F91371" w:rsidRPr="0012418A">
        <w:t>, interactions with NVR RTOs</w:t>
      </w:r>
      <w:r w:rsidR="001E0328" w:rsidRPr="0012418A">
        <w:t xml:space="preserve"> and </w:t>
      </w:r>
      <w:r w:rsidR="00F91371" w:rsidRPr="0012418A">
        <w:t>the protection of</w:t>
      </w:r>
      <w:r w:rsidR="0084400D" w:rsidRPr="0012418A">
        <w:t xml:space="preserve"> </w:t>
      </w:r>
      <w:r w:rsidR="00F91371" w:rsidRPr="0012418A">
        <w:t>consumers</w:t>
      </w:r>
      <w:r w:rsidR="001E0328" w:rsidRPr="0012418A">
        <w:t>.</w:t>
      </w:r>
    </w:p>
    <w:p w14:paraId="36718202" w14:textId="77777777" w:rsidR="00634AD0" w:rsidRPr="0012418A" w:rsidRDefault="00634AD0" w:rsidP="001E0328"/>
    <w:p w14:paraId="3B954811" w14:textId="161463AA" w:rsidR="00181EFA" w:rsidRPr="0012418A" w:rsidRDefault="00181EFA" w:rsidP="001E0328">
      <w:r w:rsidRPr="0012418A">
        <w:t>The Regulator meets its obligations under A</w:t>
      </w:r>
      <w:r w:rsidR="003A1ED9" w:rsidRPr="0012418A">
        <w:t xml:space="preserve">ustralian </w:t>
      </w:r>
      <w:r w:rsidRPr="0012418A">
        <w:t>P</w:t>
      </w:r>
      <w:r w:rsidR="003A1ED9" w:rsidRPr="0012418A">
        <w:t xml:space="preserve">rivacy </w:t>
      </w:r>
      <w:r w:rsidRPr="0012418A">
        <w:t>P</w:t>
      </w:r>
      <w:r w:rsidR="003A1ED9" w:rsidRPr="0012418A">
        <w:t xml:space="preserve">rinciple (APP) </w:t>
      </w:r>
      <w:r w:rsidRPr="0012418A">
        <w:t xml:space="preserve">5 of the </w:t>
      </w:r>
      <w:r w:rsidR="003A1ED9" w:rsidRPr="0012418A">
        <w:rPr>
          <w:i/>
        </w:rPr>
        <w:t>Privacy Act</w:t>
      </w:r>
      <w:r w:rsidR="009864B7" w:rsidRPr="0012418A">
        <w:rPr>
          <w:i/>
        </w:rPr>
        <w:t> </w:t>
      </w:r>
      <w:r w:rsidR="003A1ED9" w:rsidRPr="0012418A">
        <w:rPr>
          <w:i/>
        </w:rPr>
        <w:t>1988</w:t>
      </w:r>
      <w:r w:rsidR="003A1ED9" w:rsidRPr="0012418A">
        <w:t>,</w:t>
      </w:r>
      <w:r w:rsidRPr="0012418A">
        <w:t xml:space="preserve"> by advising in its privacy policy that</w:t>
      </w:r>
      <w:r w:rsidR="00543BF7">
        <w:t>,</w:t>
      </w:r>
      <w:r w:rsidRPr="0012418A">
        <w:t xml:space="preserve"> if an organisation is granted registration, the names and contact details of the high managerial agents and main c</w:t>
      </w:r>
      <w:r w:rsidR="003A1ED9" w:rsidRPr="0012418A">
        <w:t>ontacts of the organisation may</w:t>
      </w:r>
      <w:r w:rsidRPr="0012418A">
        <w:t xml:space="preserve"> be published on one or more national registers. This sets the expectations </w:t>
      </w:r>
      <w:r w:rsidR="003A1ED9" w:rsidRPr="0012418A">
        <w:t xml:space="preserve">on </w:t>
      </w:r>
      <w:r w:rsidRPr="0012418A">
        <w:t xml:space="preserve">the handling of personal information at the </w:t>
      </w:r>
      <w:r w:rsidR="0084400D" w:rsidRPr="0012418A">
        <w:t xml:space="preserve">initial </w:t>
      </w:r>
      <w:r w:rsidRPr="0012418A">
        <w:t>stage of seeking registration</w:t>
      </w:r>
      <w:r w:rsidR="00BA2963" w:rsidRPr="0012418A">
        <w:t xml:space="preserve"> </w:t>
      </w:r>
      <w:r w:rsidR="0084400D" w:rsidRPr="0012418A">
        <w:t>to be approved as an</w:t>
      </w:r>
      <w:r w:rsidRPr="0012418A">
        <w:t xml:space="preserve"> </w:t>
      </w:r>
      <w:r w:rsidR="003A1ED9" w:rsidRPr="0012418A">
        <w:t xml:space="preserve">NVR </w:t>
      </w:r>
      <w:r w:rsidRPr="0012418A">
        <w:t>RTO.</w:t>
      </w:r>
    </w:p>
    <w:p w14:paraId="68FA76A3" w14:textId="77777777" w:rsidR="00A60784" w:rsidRPr="0012418A" w:rsidRDefault="00A60784" w:rsidP="001E0328"/>
    <w:p w14:paraId="6BA62979" w14:textId="54B67E15" w:rsidR="00A60784" w:rsidRPr="0012418A" w:rsidRDefault="00A60784" w:rsidP="00A60784">
      <w:pPr>
        <w:rPr>
          <w:lang w:val="en-US"/>
        </w:rPr>
      </w:pPr>
      <w:r w:rsidRPr="0012418A">
        <w:rPr>
          <w:lang w:val="en-US"/>
        </w:rPr>
        <w:t xml:space="preserve">In addition to this, a Privacy Impact Assessment (PIA) has been undertaken with respect to the minor amendments contained in the </w:t>
      </w:r>
      <w:r w:rsidR="00D95C15" w:rsidRPr="0012418A">
        <w:rPr>
          <w:lang w:val="en-US"/>
        </w:rPr>
        <w:t>Amendment Regulations</w:t>
      </w:r>
      <w:r w:rsidRPr="0012418A">
        <w:rPr>
          <w:lang w:val="en-US"/>
        </w:rPr>
        <w:t xml:space="preserve"> relating to the requirement for the National Register to contain the contact details of the chief executive officer of</w:t>
      </w:r>
      <w:r w:rsidR="009864B7" w:rsidRPr="0012418A">
        <w:rPr>
          <w:lang w:val="en-US"/>
        </w:rPr>
        <w:t xml:space="preserve"> an</w:t>
      </w:r>
      <w:r w:rsidRPr="0012418A">
        <w:rPr>
          <w:lang w:val="en-US"/>
        </w:rPr>
        <w:t xml:space="preserve"> NVR RTO. While in many instances this information is already publicly available, a PIA has nevertheless been undertaken as is best practice, and the outcomes of that PIA will be considered as part of the ongoing management of the National Register.  </w:t>
      </w:r>
    </w:p>
    <w:p w14:paraId="6091F420" w14:textId="77777777" w:rsidR="00C81B77" w:rsidRPr="0012418A" w:rsidRDefault="00C81B77" w:rsidP="001E0328"/>
    <w:p w14:paraId="5A4F627D" w14:textId="77777777" w:rsidR="00F20CE9" w:rsidRPr="0012418A" w:rsidRDefault="003A1ED9" w:rsidP="000E58BD">
      <w:pPr>
        <w:tabs>
          <w:tab w:val="left" w:pos="3686"/>
          <w:tab w:val="left" w:pos="5529"/>
        </w:tabs>
        <w:ind w:right="-46"/>
      </w:pPr>
      <w:r w:rsidRPr="0012418A">
        <w:t>O</w:t>
      </w:r>
      <w:r w:rsidR="00181EFA" w:rsidRPr="0012418A">
        <w:t xml:space="preserve">ther information, </w:t>
      </w:r>
      <w:r w:rsidRPr="0012418A">
        <w:t>such as ABN</w:t>
      </w:r>
      <w:r w:rsidR="00181EFA" w:rsidRPr="0012418A">
        <w:t>, web addresses and contact de</w:t>
      </w:r>
      <w:r w:rsidRPr="0012418A">
        <w:t xml:space="preserve">tails for public enquiries, </w:t>
      </w:r>
      <w:r w:rsidR="00181EFA" w:rsidRPr="0012418A">
        <w:t xml:space="preserve">is </w:t>
      </w:r>
      <w:r w:rsidRPr="0012418A">
        <w:t xml:space="preserve">also </w:t>
      </w:r>
      <w:r w:rsidR="00181EFA" w:rsidRPr="0012418A">
        <w:t xml:space="preserve">essential </w:t>
      </w:r>
      <w:r w:rsidRPr="0012418A">
        <w:t>to ensure</w:t>
      </w:r>
      <w:r w:rsidR="00F91371" w:rsidRPr="0012418A">
        <w:t xml:space="preserve"> that VET regulators,</w:t>
      </w:r>
      <w:r w:rsidR="0015460D" w:rsidRPr="0012418A">
        <w:t xml:space="preserve"> the Commonwealth and</w:t>
      </w:r>
      <w:r w:rsidR="00F91371" w:rsidRPr="0012418A">
        <w:t xml:space="preserve"> state and territory governments that fund NVR RTOs</w:t>
      </w:r>
      <w:r w:rsidR="009864B7" w:rsidRPr="0012418A">
        <w:t xml:space="preserve"> </w:t>
      </w:r>
      <w:r w:rsidR="0018075E" w:rsidRPr="0012418A">
        <w:t xml:space="preserve">and consumers </w:t>
      </w:r>
      <w:r w:rsidR="006E672D" w:rsidRPr="003F6543">
        <w:t>(industry bodies, individuals and businesses that purchase training)</w:t>
      </w:r>
      <w:r w:rsidR="006E672D" w:rsidRPr="0012418A">
        <w:t xml:space="preserve"> </w:t>
      </w:r>
      <w:r w:rsidR="00F91371" w:rsidRPr="0012418A">
        <w:t>have up-to-date contact details for the purposes of effective regulation, program administration, interactions with NVR RTOs, and the protection of consumers.</w:t>
      </w:r>
    </w:p>
    <w:p w14:paraId="328240B5" w14:textId="77777777" w:rsidR="00BA2963" w:rsidRPr="0012418A" w:rsidRDefault="00BA2963" w:rsidP="000E58BD">
      <w:pPr>
        <w:tabs>
          <w:tab w:val="left" w:pos="3686"/>
          <w:tab w:val="left" w:pos="5529"/>
        </w:tabs>
        <w:ind w:right="-46"/>
      </w:pPr>
    </w:p>
    <w:p w14:paraId="49F93DCA" w14:textId="1E257085" w:rsidR="00BD6B7D" w:rsidRPr="0012418A" w:rsidRDefault="00F20CE9" w:rsidP="000E58BD">
      <w:pPr>
        <w:tabs>
          <w:tab w:val="left" w:pos="3686"/>
          <w:tab w:val="left" w:pos="5529"/>
        </w:tabs>
        <w:ind w:right="-46"/>
      </w:pPr>
      <w:r w:rsidRPr="0012418A">
        <w:t xml:space="preserve">Item 7 also </w:t>
      </w:r>
      <w:r w:rsidR="005D2CBD" w:rsidRPr="0012418A">
        <w:t>inserts</w:t>
      </w:r>
      <w:r w:rsidRPr="0012418A">
        <w:t xml:space="preserve"> a new heading “</w:t>
      </w:r>
      <w:r w:rsidRPr="0012418A">
        <w:rPr>
          <w:i/>
        </w:rPr>
        <w:t>Regulatory decisions</w:t>
      </w:r>
      <w:r w:rsidRPr="0012418A">
        <w:t xml:space="preserve">” and new </w:t>
      </w:r>
      <w:r w:rsidR="00F91371" w:rsidRPr="0012418A">
        <w:t>sub</w:t>
      </w:r>
      <w:r w:rsidR="00E1670A">
        <w:t xml:space="preserve">regulation </w:t>
      </w:r>
      <w:r w:rsidRPr="0012418A">
        <w:t>15A(6)</w:t>
      </w:r>
      <w:r w:rsidR="00F91371" w:rsidRPr="0012418A">
        <w:t xml:space="preserve"> in the </w:t>
      </w:r>
      <w:r w:rsidR="00D95C15" w:rsidRPr="0012418A">
        <w:t>Principal Regulations</w:t>
      </w:r>
      <w:r w:rsidRPr="0012418A">
        <w:t>.</w:t>
      </w:r>
    </w:p>
    <w:p w14:paraId="79C446A5" w14:textId="77777777" w:rsidR="00536902" w:rsidRPr="0012418A" w:rsidRDefault="00536902" w:rsidP="000E58BD">
      <w:pPr>
        <w:tabs>
          <w:tab w:val="left" w:pos="3686"/>
          <w:tab w:val="left" w:pos="5529"/>
        </w:tabs>
        <w:ind w:right="-46"/>
      </w:pPr>
    </w:p>
    <w:p w14:paraId="79D72717" w14:textId="49FA897E" w:rsidR="00F91371" w:rsidRPr="0012418A" w:rsidRDefault="00F91371" w:rsidP="000E58BD">
      <w:pPr>
        <w:tabs>
          <w:tab w:val="left" w:pos="3686"/>
          <w:tab w:val="left" w:pos="5529"/>
        </w:tabs>
        <w:ind w:right="-46"/>
      </w:pPr>
      <w:r w:rsidRPr="0012418A">
        <w:t>Sub</w:t>
      </w:r>
      <w:r w:rsidR="00E1670A">
        <w:t xml:space="preserve">regulation </w:t>
      </w:r>
      <w:r w:rsidR="00BD6B7D" w:rsidRPr="0012418A">
        <w:t xml:space="preserve">15A(6) </w:t>
      </w:r>
      <w:r w:rsidR="00F46DD7" w:rsidRPr="0012418A">
        <w:t xml:space="preserve">supports </w:t>
      </w:r>
      <w:r w:rsidR="00BD6B7D" w:rsidRPr="0012418A">
        <w:t xml:space="preserve">the Regulator to </w:t>
      </w:r>
      <w:r w:rsidRPr="0012418A">
        <w:t>re-</w:t>
      </w:r>
      <w:r w:rsidR="00F46DD7" w:rsidRPr="0012418A">
        <w:t xml:space="preserve">enter </w:t>
      </w:r>
      <w:r w:rsidR="00BD6B7D" w:rsidRPr="0012418A">
        <w:t xml:space="preserve">information </w:t>
      </w:r>
      <w:r w:rsidR="00B55303" w:rsidRPr="0012418A">
        <w:t xml:space="preserve">on the National Register </w:t>
      </w:r>
      <w:r w:rsidR="00BD6B7D" w:rsidRPr="0012418A">
        <w:t xml:space="preserve">that </w:t>
      </w:r>
      <w:r w:rsidRPr="0012418A">
        <w:t xml:space="preserve">may be </w:t>
      </w:r>
      <w:r w:rsidR="00BD6B7D" w:rsidRPr="0012418A">
        <w:t>removed regarding</w:t>
      </w:r>
      <w:r w:rsidR="00C711CA" w:rsidRPr="0012418A">
        <w:t xml:space="preserve"> certain types of</w:t>
      </w:r>
      <w:r w:rsidR="00BD6B7D" w:rsidRPr="0012418A">
        <w:t xml:space="preserve"> </w:t>
      </w:r>
      <w:r w:rsidR="000E39FC" w:rsidRPr="0012418A">
        <w:t>regulatory decisions</w:t>
      </w:r>
      <w:r w:rsidR="00847EF1" w:rsidRPr="0012418A">
        <w:t xml:space="preserve"> against an </w:t>
      </w:r>
      <w:r w:rsidRPr="0012418A">
        <w:t xml:space="preserve">NVR </w:t>
      </w:r>
      <w:r w:rsidR="00BA2963" w:rsidRPr="0012418A">
        <w:t xml:space="preserve">RTO </w:t>
      </w:r>
      <w:r w:rsidR="009A6D04" w:rsidRPr="0012418A">
        <w:t>(namely</w:t>
      </w:r>
      <w:r w:rsidR="00847EF1" w:rsidRPr="0012418A">
        <w:t xml:space="preserve"> imposition of a condition on registration, suspension of scope of registration</w:t>
      </w:r>
      <w:r w:rsidRPr="0012418A">
        <w:t>, cancellation of registration,</w:t>
      </w:r>
      <w:r w:rsidR="009A6D04" w:rsidRPr="0012418A">
        <w:t xml:space="preserve"> </w:t>
      </w:r>
      <w:r w:rsidR="00847EF1" w:rsidRPr="0012418A">
        <w:t xml:space="preserve">or imposition of </w:t>
      </w:r>
      <w:r w:rsidRPr="0012418A">
        <w:t>a</w:t>
      </w:r>
      <w:r w:rsidR="00BA2963" w:rsidRPr="0012418A">
        <w:t xml:space="preserve"> </w:t>
      </w:r>
      <w:r w:rsidR="00847EF1" w:rsidRPr="0012418A">
        <w:t>sanction</w:t>
      </w:r>
      <w:r w:rsidR="009A6D04" w:rsidRPr="0012418A">
        <w:t>)</w:t>
      </w:r>
      <w:r w:rsidR="002F60F3" w:rsidRPr="0012418A">
        <w:t xml:space="preserve">. </w:t>
      </w:r>
    </w:p>
    <w:p w14:paraId="4E03A700" w14:textId="77777777" w:rsidR="00F91371" w:rsidRPr="0012418A" w:rsidRDefault="00F91371" w:rsidP="000E58BD">
      <w:pPr>
        <w:tabs>
          <w:tab w:val="left" w:pos="3686"/>
          <w:tab w:val="left" w:pos="5529"/>
        </w:tabs>
        <w:ind w:right="-46"/>
      </w:pPr>
    </w:p>
    <w:p w14:paraId="7D2A7866" w14:textId="77777777" w:rsidR="00847EF1" w:rsidRPr="0012418A" w:rsidRDefault="00B55303" w:rsidP="000E58BD">
      <w:pPr>
        <w:tabs>
          <w:tab w:val="left" w:pos="3686"/>
          <w:tab w:val="left" w:pos="5529"/>
        </w:tabs>
        <w:ind w:right="-46"/>
      </w:pPr>
      <w:r w:rsidRPr="0012418A">
        <w:t xml:space="preserve">Ensuring </w:t>
      </w:r>
      <w:r w:rsidR="000E39FC" w:rsidRPr="0012418A">
        <w:t>this information</w:t>
      </w:r>
      <w:r w:rsidRPr="0012418A">
        <w:t xml:space="preserve"> remains on the National Register</w:t>
      </w:r>
      <w:r w:rsidR="005F3FE9" w:rsidRPr="0012418A">
        <w:t xml:space="preserve"> improves the transparency </w:t>
      </w:r>
      <w:r w:rsidR="00F91371" w:rsidRPr="0012418A">
        <w:t>of regulatory activities,</w:t>
      </w:r>
      <w:r w:rsidR="005F3FE9" w:rsidRPr="0012418A">
        <w:t xml:space="preserve"> and ensures </w:t>
      </w:r>
      <w:r w:rsidR="00F91371" w:rsidRPr="0012418A">
        <w:t xml:space="preserve">that </w:t>
      </w:r>
      <w:r w:rsidR="005F3FE9" w:rsidRPr="0012418A">
        <w:t>the National Register is complete and informative</w:t>
      </w:r>
      <w:r w:rsidR="000E39FC" w:rsidRPr="0012418A">
        <w:t xml:space="preserve"> to assist other</w:t>
      </w:r>
      <w:r w:rsidR="00DE0931" w:rsidRPr="0012418A">
        <w:t xml:space="preserve"> VET</w:t>
      </w:r>
      <w:r w:rsidR="000E39FC" w:rsidRPr="0012418A">
        <w:t xml:space="preserve"> regulators</w:t>
      </w:r>
      <w:r w:rsidR="0015460D" w:rsidRPr="0012418A">
        <w:t>, the Commonwealth</w:t>
      </w:r>
      <w:r w:rsidR="00DE0931" w:rsidRPr="0012418A">
        <w:t xml:space="preserve"> and state and territory governments</w:t>
      </w:r>
      <w:r w:rsidR="000E39FC" w:rsidRPr="0012418A">
        <w:t xml:space="preserve"> in making informed decisions</w:t>
      </w:r>
      <w:r w:rsidR="00DE0931" w:rsidRPr="0012418A">
        <w:t xml:space="preserve"> to protect student interests</w:t>
      </w:r>
      <w:r w:rsidRPr="0012418A">
        <w:t xml:space="preserve"> and the integrity of the VET sector</w:t>
      </w:r>
      <w:r w:rsidR="005F3FE9" w:rsidRPr="0012418A">
        <w:t xml:space="preserve">. </w:t>
      </w:r>
    </w:p>
    <w:p w14:paraId="6159D33E" w14:textId="77777777" w:rsidR="00847EF1" w:rsidRPr="0012418A" w:rsidRDefault="00847EF1" w:rsidP="000E58BD">
      <w:pPr>
        <w:tabs>
          <w:tab w:val="left" w:pos="3686"/>
          <w:tab w:val="left" w:pos="5529"/>
        </w:tabs>
        <w:ind w:right="-46"/>
      </w:pPr>
    </w:p>
    <w:p w14:paraId="4E09EAD5" w14:textId="5BB80AAB" w:rsidR="007C5DC2" w:rsidRPr="0012418A" w:rsidRDefault="007C5DC2" w:rsidP="007C5DC2">
      <w:pPr>
        <w:tabs>
          <w:tab w:val="left" w:pos="3686"/>
          <w:tab w:val="left" w:pos="5529"/>
        </w:tabs>
        <w:ind w:right="-46"/>
      </w:pPr>
      <w:r w:rsidRPr="0012418A">
        <w:t>The purpose of s</w:t>
      </w:r>
      <w:r w:rsidR="00F91371" w:rsidRPr="0012418A">
        <w:t>ub</w:t>
      </w:r>
      <w:r w:rsidR="00E1670A">
        <w:t xml:space="preserve">regulation </w:t>
      </w:r>
      <w:r w:rsidRPr="0012418A">
        <w:t>15A(6) is to ensure that the National Register provides complete historical record</w:t>
      </w:r>
      <w:r w:rsidR="00543BF7">
        <w:t>s</w:t>
      </w:r>
      <w:r w:rsidRPr="0012418A">
        <w:t xml:space="preserve"> to facilitate decision making by </w:t>
      </w:r>
      <w:r w:rsidR="00B55303" w:rsidRPr="0012418A">
        <w:t xml:space="preserve">VET </w:t>
      </w:r>
      <w:r w:rsidRPr="0012418A">
        <w:t>regulators</w:t>
      </w:r>
      <w:r w:rsidR="0015460D" w:rsidRPr="0012418A">
        <w:t>, the Commonwealth</w:t>
      </w:r>
      <w:r w:rsidRPr="0012418A">
        <w:t xml:space="preserve"> and state and territory governments. It should be noted that non-current information will be displayed behind a history tab </w:t>
      </w:r>
      <w:r w:rsidR="00F91371" w:rsidRPr="0012418A">
        <w:t xml:space="preserve">for each NVR RTO, </w:t>
      </w:r>
      <w:r w:rsidRPr="0012418A">
        <w:t xml:space="preserve">so that when viewing the </w:t>
      </w:r>
      <w:r w:rsidR="00F46DD7" w:rsidRPr="0012418A">
        <w:t>National R</w:t>
      </w:r>
      <w:r w:rsidRPr="0012418A">
        <w:t>egister</w:t>
      </w:r>
      <w:r w:rsidR="00F46DD7" w:rsidRPr="0012418A">
        <w:t>,</w:t>
      </w:r>
      <w:r w:rsidRPr="0012418A">
        <w:t xml:space="preserve"> current decisions</w:t>
      </w:r>
      <w:r w:rsidR="00B55303" w:rsidRPr="0012418A">
        <w:t xml:space="preserve"> in effect</w:t>
      </w:r>
      <w:r w:rsidRPr="0012418A">
        <w:t xml:space="preserve"> have prominence.</w:t>
      </w:r>
    </w:p>
    <w:p w14:paraId="6D82CA23" w14:textId="77777777" w:rsidR="007C5DC2" w:rsidRPr="0012418A" w:rsidRDefault="007C5DC2" w:rsidP="007C5DC2">
      <w:pPr>
        <w:tabs>
          <w:tab w:val="left" w:pos="3686"/>
          <w:tab w:val="left" w:pos="5529"/>
        </w:tabs>
        <w:ind w:right="-46"/>
      </w:pPr>
    </w:p>
    <w:p w14:paraId="4D919BF9" w14:textId="6A371F7F" w:rsidR="00BD6B7D" w:rsidRPr="0012418A" w:rsidRDefault="005F3FE9" w:rsidP="000E58BD">
      <w:pPr>
        <w:tabs>
          <w:tab w:val="left" w:pos="3686"/>
          <w:tab w:val="left" w:pos="5529"/>
        </w:tabs>
        <w:ind w:right="-46"/>
      </w:pPr>
      <w:r w:rsidRPr="0012418A">
        <w:t xml:space="preserve">Information covered by </w:t>
      </w:r>
      <w:r w:rsidR="00F91371" w:rsidRPr="0012418A">
        <w:t>sub</w:t>
      </w:r>
      <w:r w:rsidR="00E1670A">
        <w:t xml:space="preserve">regulation </w:t>
      </w:r>
      <w:r w:rsidRPr="0012418A">
        <w:t>15A(6) does</w:t>
      </w:r>
      <w:r w:rsidR="002F60F3" w:rsidRPr="0012418A">
        <w:t xml:space="preserve"> not include material removed from the National Register because it was in error </w:t>
      </w:r>
      <w:r w:rsidR="000E39FC" w:rsidRPr="0012418A">
        <w:t>(t</w:t>
      </w:r>
      <w:r w:rsidR="002F60F3" w:rsidRPr="0012418A">
        <w:t xml:space="preserve">he Regulator </w:t>
      </w:r>
      <w:r w:rsidR="000E39FC" w:rsidRPr="0012418A">
        <w:t xml:space="preserve">has the </w:t>
      </w:r>
      <w:r w:rsidR="002F60F3" w:rsidRPr="0012418A">
        <w:t>ab</w:t>
      </w:r>
      <w:r w:rsidR="000E39FC" w:rsidRPr="0012418A">
        <w:t>ility</w:t>
      </w:r>
      <w:r w:rsidR="00F91371" w:rsidRPr="0012418A">
        <w:t xml:space="preserve"> to remove such information</w:t>
      </w:r>
      <w:r w:rsidR="002F60F3" w:rsidRPr="0012418A">
        <w:t xml:space="preserve"> from the National Register under subsection 216(2) of the Act</w:t>
      </w:r>
      <w:r w:rsidR="000E39FC" w:rsidRPr="0012418A">
        <w:t>)</w:t>
      </w:r>
      <w:r w:rsidR="002F60F3" w:rsidRPr="0012418A">
        <w:t>.</w:t>
      </w:r>
    </w:p>
    <w:p w14:paraId="661971A7" w14:textId="77777777" w:rsidR="00F113DF" w:rsidRPr="0012418A" w:rsidRDefault="00F113DF" w:rsidP="000E58BD">
      <w:pPr>
        <w:tabs>
          <w:tab w:val="left" w:pos="3686"/>
          <w:tab w:val="left" w:pos="5529"/>
        </w:tabs>
        <w:ind w:right="-46"/>
      </w:pPr>
    </w:p>
    <w:p w14:paraId="7929F778" w14:textId="77777777" w:rsidR="00BC5704" w:rsidRPr="0012418A" w:rsidRDefault="00BC5704" w:rsidP="00BC5704">
      <w:pPr>
        <w:keepNext/>
        <w:tabs>
          <w:tab w:val="left" w:pos="3686"/>
          <w:tab w:val="left" w:pos="5529"/>
        </w:tabs>
        <w:ind w:right="-45"/>
        <w:rPr>
          <w:b/>
          <w:i/>
        </w:rPr>
      </w:pPr>
      <w:r w:rsidRPr="0012418A">
        <w:rPr>
          <w:b/>
          <w:i/>
        </w:rPr>
        <w:t>Item 8</w:t>
      </w:r>
    </w:p>
    <w:p w14:paraId="5A07B4B2" w14:textId="77777777" w:rsidR="00BC5704" w:rsidRPr="0012418A" w:rsidRDefault="00BC5704" w:rsidP="000E58BD">
      <w:pPr>
        <w:tabs>
          <w:tab w:val="left" w:pos="3686"/>
          <w:tab w:val="left" w:pos="5529"/>
        </w:tabs>
        <w:ind w:right="-46"/>
      </w:pPr>
    </w:p>
    <w:p w14:paraId="74AC0579" w14:textId="60019E32" w:rsidR="00BC5704" w:rsidRPr="0012418A" w:rsidRDefault="00BC5704" w:rsidP="000E58BD">
      <w:pPr>
        <w:tabs>
          <w:tab w:val="left" w:pos="3686"/>
          <w:tab w:val="left" w:pos="5529"/>
        </w:tabs>
        <w:ind w:right="-46"/>
      </w:pPr>
      <w:r w:rsidRPr="0012418A">
        <w:t xml:space="preserve">Item 8 </w:t>
      </w:r>
      <w:r w:rsidR="00DB189B" w:rsidRPr="0012418A">
        <w:t xml:space="preserve">inserts </w:t>
      </w:r>
      <w:r w:rsidR="00E1670A">
        <w:t xml:space="preserve">regulation </w:t>
      </w:r>
      <w:r w:rsidRPr="0012418A">
        <w:t xml:space="preserve">18 </w:t>
      </w:r>
      <w:r w:rsidR="00DB189B" w:rsidRPr="0012418A">
        <w:t xml:space="preserve">in the </w:t>
      </w:r>
      <w:r w:rsidR="00D95C15" w:rsidRPr="0012418A">
        <w:t>Principal Regulations</w:t>
      </w:r>
      <w:r w:rsidR="00DB189B" w:rsidRPr="0012418A">
        <w:t xml:space="preserve">, </w:t>
      </w:r>
      <w:r w:rsidRPr="0012418A">
        <w:t xml:space="preserve">which is an application provision relating to </w:t>
      </w:r>
      <w:r w:rsidR="00DB189B" w:rsidRPr="0012418A">
        <w:t>sub</w:t>
      </w:r>
      <w:r w:rsidR="00E1670A">
        <w:t xml:space="preserve">regulation </w:t>
      </w:r>
      <w:r w:rsidRPr="0012418A">
        <w:t>15A</w:t>
      </w:r>
      <w:r w:rsidR="00DB189B" w:rsidRPr="0012418A">
        <w:t xml:space="preserve">(6). </w:t>
      </w:r>
      <w:r w:rsidR="00E1670A">
        <w:t xml:space="preserve">Regulation </w:t>
      </w:r>
      <w:r w:rsidR="00DB189B" w:rsidRPr="0012418A">
        <w:t>18 ensures that para</w:t>
      </w:r>
      <w:r w:rsidR="00F9352E">
        <w:t>graphs 15A(6)(a) and (b) extend</w:t>
      </w:r>
      <w:r w:rsidR="00DB189B" w:rsidRPr="0012418A">
        <w:t xml:space="preserve"> to information that may have been removed from the National Register prior to commencement of the </w:t>
      </w:r>
      <w:r w:rsidR="00D95C15" w:rsidRPr="0012418A">
        <w:t>Amendment Regulations</w:t>
      </w:r>
      <w:r w:rsidR="00DB189B" w:rsidRPr="0012418A">
        <w:t xml:space="preserve">, to further ensure that the National Register provides a complete historical record. </w:t>
      </w:r>
      <w:r w:rsidR="005D70F9" w:rsidRPr="0012418A">
        <w:t xml:space="preserve">Paragraphs </w:t>
      </w:r>
      <w:r w:rsidR="00DB189B" w:rsidRPr="0012418A">
        <w:t>15A(6)</w:t>
      </w:r>
      <w:r w:rsidR="005D70F9" w:rsidRPr="0012418A">
        <w:t>(c) and (d) applies in relation to information removed from the National Register on or after the commencement of those paragraphs.</w:t>
      </w:r>
    </w:p>
    <w:p w14:paraId="065AF9FB" w14:textId="77777777" w:rsidR="00BC5704" w:rsidRPr="0012418A" w:rsidRDefault="00BC5704" w:rsidP="000E58BD">
      <w:pPr>
        <w:tabs>
          <w:tab w:val="left" w:pos="3686"/>
          <w:tab w:val="left" w:pos="5529"/>
        </w:tabs>
        <w:ind w:right="-46"/>
      </w:pPr>
    </w:p>
    <w:p w14:paraId="6B34D1F2" w14:textId="77777777" w:rsidR="009E5990" w:rsidRPr="0012418A" w:rsidRDefault="0036341F" w:rsidP="00DB189B">
      <w:pPr>
        <w:ind w:right="91"/>
        <w:rPr>
          <w:b/>
        </w:rPr>
      </w:pPr>
      <w:r w:rsidRPr="0012418A">
        <w:rPr>
          <w:b/>
          <w:lang w:eastAsia="en-US"/>
        </w:rPr>
        <w:t>Part 3</w:t>
      </w:r>
      <w:r w:rsidR="009E5990" w:rsidRPr="0012418A">
        <w:rPr>
          <w:b/>
          <w:lang w:eastAsia="en-US"/>
        </w:rPr>
        <w:t xml:space="preserve"> – </w:t>
      </w:r>
      <w:r w:rsidR="009E5990" w:rsidRPr="0012418A">
        <w:rPr>
          <w:b/>
        </w:rPr>
        <w:t xml:space="preserve">Amendments commencing 1 March 2021 </w:t>
      </w:r>
    </w:p>
    <w:p w14:paraId="646720DB" w14:textId="77777777" w:rsidR="005D70F9" w:rsidRPr="0012418A" w:rsidRDefault="005D70F9" w:rsidP="00DB189B">
      <w:pPr>
        <w:ind w:right="91"/>
        <w:rPr>
          <w:b/>
        </w:rPr>
      </w:pPr>
    </w:p>
    <w:p w14:paraId="636459C8" w14:textId="77777777" w:rsidR="005D70F9" w:rsidRPr="0012418A" w:rsidRDefault="005D70F9" w:rsidP="00DB189B">
      <w:pPr>
        <w:ind w:right="91"/>
        <w:rPr>
          <w:b/>
          <w:i/>
        </w:rPr>
      </w:pPr>
      <w:r w:rsidRPr="0012418A">
        <w:rPr>
          <w:b/>
          <w:i/>
        </w:rPr>
        <w:t>National Vocational Education and Training Regulator Regulations 2011</w:t>
      </w:r>
    </w:p>
    <w:p w14:paraId="1BD540E6" w14:textId="77777777" w:rsidR="009E5990" w:rsidRPr="0012418A" w:rsidRDefault="009E5990" w:rsidP="009E5990">
      <w:pPr>
        <w:ind w:right="91"/>
        <w:jc w:val="center"/>
        <w:rPr>
          <w:u w:val="single"/>
        </w:rPr>
      </w:pPr>
    </w:p>
    <w:p w14:paraId="5F2778F7" w14:textId="77777777" w:rsidR="009E5990" w:rsidRPr="0012418A" w:rsidRDefault="009E5990" w:rsidP="00E13442">
      <w:pPr>
        <w:keepNext/>
        <w:ind w:right="-45"/>
        <w:rPr>
          <w:b/>
          <w:i/>
          <w:lang w:eastAsia="en-US"/>
        </w:rPr>
      </w:pPr>
      <w:r w:rsidRPr="0012418A">
        <w:rPr>
          <w:b/>
          <w:i/>
          <w:lang w:eastAsia="en-US"/>
        </w:rPr>
        <w:t xml:space="preserve">Item </w:t>
      </w:r>
      <w:r w:rsidR="0036341F" w:rsidRPr="0012418A">
        <w:rPr>
          <w:b/>
          <w:i/>
          <w:lang w:eastAsia="en-US"/>
        </w:rPr>
        <w:t>9</w:t>
      </w:r>
    </w:p>
    <w:p w14:paraId="08588B87" w14:textId="77777777" w:rsidR="009E5990" w:rsidRPr="0012418A" w:rsidRDefault="009E5990" w:rsidP="00E13442">
      <w:pPr>
        <w:keepNext/>
        <w:ind w:right="-45"/>
        <w:rPr>
          <w:lang w:eastAsia="en-US"/>
        </w:rPr>
      </w:pPr>
    </w:p>
    <w:p w14:paraId="47ED6DD1" w14:textId="1EE34107" w:rsidR="009E5990" w:rsidRPr="0012418A" w:rsidRDefault="009E5990" w:rsidP="009E5990">
      <w:pPr>
        <w:tabs>
          <w:tab w:val="left" w:pos="3686"/>
          <w:tab w:val="left" w:pos="5529"/>
        </w:tabs>
        <w:ind w:right="-46"/>
        <w:rPr>
          <w:lang w:eastAsia="en-US"/>
        </w:rPr>
      </w:pPr>
      <w:r w:rsidRPr="0012418A">
        <w:rPr>
          <w:lang w:eastAsia="en-US"/>
        </w:rPr>
        <w:t xml:space="preserve">Item </w:t>
      </w:r>
      <w:r w:rsidR="0036341F" w:rsidRPr="0012418A">
        <w:rPr>
          <w:lang w:eastAsia="en-US"/>
        </w:rPr>
        <w:t xml:space="preserve">9 </w:t>
      </w:r>
      <w:r w:rsidR="00DB189B" w:rsidRPr="0012418A">
        <w:rPr>
          <w:lang w:eastAsia="en-US"/>
        </w:rPr>
        <w:t xml:space="preserve">amends </w:t>
      </w:r>
      <w:r w:rsidR="00E1670A">
        <w:rPr>
          <w:lang w:eastAsia="en-US"/>
        </w:rPr>
        <w:t xml:space="preserve">regulation </w:t>
      </w:r>
      <w:r w:rsidRPr="0012418A">
        <w:rPr>
          <w:lang w:eastAsia="en-US"/>
        </w:rPr>
        <w:t xml:space="preserve">3 in the </w:t>
      </w:r>
      <w:r w:rsidR="00D95C15" w:rsidRPr="0012418A">
        <w:rPr>
          <w:lang w:eastAsia="en-US"/>
        </w:rPr>
        <w:t>Principal Regulations</w:t>
      </w:r>
      <w:r w:rsidRPr="0012418A">
        <w:rPr>
          <w:lang w:eastAsia="en-US"/>
        </w:rPr>
        <w:t xml:space="preserve"> by inserting definitions of:</w:t>
      </w:r>
    </w:p>
    <w:p w14:paraId="7A9AD878" w14:textId="77777777" w:rsidR="00B36BC4" w:rsidRPr="0012418A" w:rsidRDefault="00B36BC4" w:rsidP="009E5990">
      <w:pPr>
        <w:tabs>
          <w:tab w:val="left" w:pos="3686"/>
          <w:tab w:val="left" w:pos="5529"/>
        </w:tabs>
        <w:ind w:right="-46"/>
        <w:rPr>
          <w:lang w:eastAsia="en-US"/>
        </w:rPr>
      </w:pPr>
    </w:p>
    <w:p w14:paraId="216F62DD" w14:textId="69C70746" w:rsidR="009E5990" w:rsidRPr="0012418A" w:rsidRDefault="009E5990" w:rsidP="009A6D04">
      <w:pPr>
        <w:pStyle w:val="ListParagraph"/>
        <w:numPr>
          <w:ilvl w:val="0"/>
          <w:numId w:val="4"/>
        </w:numPr>
        <w:tabs>
          <w:tab w:val="left" w:pos="3686"/>
          <w:tab w:val="left" w:pos="5529"/>
        </w:tabs>
        <w:ind w:right="-46"/>
      </w:pPr>
      <w:r w:rsidRPr="0012418A">
        <w:rPr>
          <w:i/>
        </w:rPr>
        <w:t>stay decision</w:t>
      </w:r>
      <w:r w:rsidRPr="0012418A">
        <w:t xml:space="preserve"> by reference to </w:t>
      </w:r>
      <w:r w:rsidR="00DB189B" w:rsidRPr="0012418A">
        <w:t>sub</w:t>
      </w:r>
      <w:r w:rsidR="00E1670A">
        <w:t xml:space="preserve">regulation </w:t>
      </w:r>
      <w:r w:rsidR="00DB189B" w:rsidRPr="0012418A">
        <w:t>15A(12</w:t>
      </w:r>
      <w:r w:rsidRPr="0012418A">
        <w:t>)</w:t>
      </w:r>
      <w:r w:rsidR="00DB189B" w:rsidRPr="0012418A">
        <w:t xml:space="preserve"> of the </w:t>
      </w:r>
      <w:r w:rsidR="00D95C15" w:rsidRPr="0012418A">
        <w:t>Principal Regulations</w:t>
      </w:r>
    </w:p>
    <w:p w14:paraId="49308815" w14:textId="39D24E5A" w:rsidR="009E5990" w:rsidRPr="0012418A" w:rsidRDefault="009E5990" w:rsidP="009A6D04">
      <w:pPr>
        <w:pStyle w:val="ListParagraph"/>
        <w:numPr>
          <w:ilvl w:val="0"/>
          <w:numId w:val="4"/>
        </w:numPr>
        <w:tabs>
          <w:tab w:val="left" w:pos="3686"/>
          <w:tab w:val="left" w:pos="5529"/>
        </w:tabs>
        <w:ind w:right="-46"/>
      </w:pPr>
      <w:r w:rsidRPr="0012418A">
        <w:rPr>
          <w:i/>
          <w:lang w:eastAsia="en-US"/>
        </w:rPr>
        <w:t>training product</w:t>
      </w:r>
      <w:r w:rsidRPr="0012418A">
        <w:rPr>
          <w:lang w:eastAsia="en-US"/>
        </w:rPr>
        <w:t xml:space="preserve"> by </w:t>
      </w:r>
      <w:r w:rsidR="003073C2" w:rsidRPr="0012418A">
        <w:rPr>
          <w:lang w:eastAsia="en-US"/>
        </w:rPr>
        <w:t xml:space="preserve">reference to </w:t>
      </w:r>
      <w:r w:rsidR="00DB189B" w:rsidRPr="0012418A">
        <w:rPr>
          <w:lang w:eastAsia="en-US"/>
        </w:rPr>
        <w:t>sub</w:t>
      </w:r>
      <w:r w:rsidR="00E1670A">
        <w:rPr>
          <w:lang w:eastAsia="en-US"/>
        </w:rPr>
        <w:t xml:space="preserve">regulation </w:t>
      </w:r>
      <w:r w:rsidR="003073C2" w:rsidRPr="0012418A">
        <w:rPr>
          <w:lang w:eastAsia="en-US"/>
        </w:rPr>
        <w:t>15A(9</w:t>
      </w:r>
      <w:r w:rsidRPr="0012418A">
        <w:rPr>
          <w:lang w:eastAsia="en-US"/>
        </w:rPr>
        <w:t>)</w:t>
      </w:r>
      <w:r w:rsidR="00DB189B" w:rsidRPr="0012418A">
        <w:rPr>
          <w:lang w:eastAsia="en-US"/>
        </w:rPr>
        <w:t xml:space="preserve"> of the </w:t>
      </w:r>
      <w:r w:rsidR="00D95C15" w:rsidRPr="0012418A">
        <w:rPr>
          <w:lang w:eastAsia="en-US"/>
        </w:rPr>
        <w:t>Principal Regulations</w:t>
      </w:r>
      <w:r w:rsidR="006003CF" w:rsidRPr="0012418A">
        <w:rPr>
          <w:lang w:eastAsia="en-US"/>
        </w:rPr>
        <w:t>.</w:t>
      </w:r>
    </w:p>
    <w:p w14:paraId="65E178A0" w14:textId="77777777" w:rsidR="003073C2" w:rsidRPr="0012418A" w:rsidRDefault="003073C2" w:rsidP="003073C2">
      <w:pPr>
        <w:tabs>
          <w:tab w:val="left" w:pos="3686"/>
          <w:tab w:val="left" w:pos="5529"/>
        </w:tabs>
        <w:ind w:right="-46"/>
      </w:pPr>
    </w:p>
    <w:p w14:paraId="15DD7AA7" w14:textId="77777777" w:rsidR="003073C2" w:rsidRPr="0012418A" w:rsidRDefault="003073C2" w:rsidP="00E13442">
      <w:pPr>
        <w:keepNext/>
        <w:tabs>
          <w:tab w:val="left" w:pos="3686"/>
          <w:tab w:val="left" w:pos="5529"/>
        </w:tabs>
        <w:ind w:right="-45"/>
        <w:rPr>
          <w:b/>
          <w:i/>
        </w:rPr>
      </w:pPr>
      <w:r w:rsidRPr="0012418A">
        <w:rPr>
          <w:b/>
          <w:i/>
        </w:rPr>
        <w:t xml:space="preserve">Item </w:t>
      </w:r>
      <w:r w:rsidR="0036341F" w:rsidRPr="0012418A">
        <w:rPr>
          <w:b/>
          <w:i/>
        </w:rPr>
        <w:t>10</w:t>
      </w:r>
    </w:p>
    <w:p w14:paraId="6CB71B0D" w14:textId="77777777" w:rsidR="003073C2" w:rsidRPr="0012418A" w:rsidRDefault="003073C2" w:rsidP="00E13442">
      <w:pPr>
        <w:keepNext/>
        <w:tabs>
          <w:tab w:val="left" w:pos="3686"/>
          <w:tab w:val="left" w:pos="5529"/>
        </w:tabs>
        <w:ind w:right="-45"/>
      </w:pPr>
    </w:p>
    <w:p w14:paraId="4795BF61" w14:textId="3E7E2C38" w:rsidR="00A60784" w:rsidRPr="0012418A" w:rsidRDefault="003073C2" w:rsidP="003073C2">
      <w:pPr>
        <w:tabs>
          <w:tab w:val="left" w:pos="3686"/>
          <w:tab w:val="left" w:pos="5529"/>
        </w:tabs>
        <w:ind w:right="-46"/>
      </w:pPr>
      <w:r w:rsidRPr="0012418A">
        <w:t xml:space="preserve">Item </w:t>
      </w:r>
      <w:r w:rsidR="0036341F" w:rsidRPr="0012418A">
        <w:t xml:space="preserve">10 </w:t>
      </w:r>
      <w:r w:rsidRPr="0012418A">
        <w:t xml:space="preserve">inserts </w:t>
      </w:r>
      <w:r w:rsidR="0013036B" w:rsidRPr="0012418A">
        <w:t xml:space="preserve">a new </w:t>
      </w:r>
      <w:r w:rsidRPr="0012418A">
        <w:t>heading “</w:t>
      </w:r>
      <w:r w:rsidRPr="0012418A">
        <w:rPr>
          <w:i/>
        </w:rPr>
        <w:t>Transition of training products</w:t>
      </w:r>
      <w:r w:rsidRPr="0012418A">
        <w:t xml:space="preserve">” </w:t>
      </w:r>
      <w:r w:rsidR="0013036B" w:rsidRPr="0012418A">
        <w:t>and</w:t>
      </w:r>
      <w:r w:rsidRPr="0012418A">
        <w:t xml:space="preserve"> new </w:t>
      </w:r>
      <w:r w:rsidR="00435308">
        <w:t>subregulations</w:t>
      </w:r>
      <w:r w:rsidR="00097ED9" w:rsidRPr="0012418A">
        <w:t xml:space="preserve"> 15A(7), (8) and </w:t>
      </w:r>
      <w:r w:rsidRPr="0012418A">
        <w:t>(9)</w:t>
      </w:r>
      <w:r w:rsidR="00B36BC4" w:rsidRPr="0012418A">
        <w:t xml:space="preserve"> in the </w:t>
      </w:r>
      <w:r w:rsidR="00D95C15" w:rsidRPr="0012418A">
        <w:t>Principal Regulations</w:t>
      </w:r>
      <w:r w:rsidR="0013036B" w:rsidRPr="0012418A">
        <w:t>.</w:t>
      </w:r>
      <w:r w:rsidR="00A60784" w:rsidRPr="0012418A">
        <w:t xml:space="preserve"> </w:t>
      </w:r>
    </w:p>
    <w:p w14:paraId="56DBB73E" w14:textId="77777777" w:rsidR="00A60784" w:rsidRPr="0012418A" w:rsidRDefault="00A60784" w:rsidP="003073C2">
      <w:pPr>
        <w:tabs>
          <w:tab w:val="left" w:pos="3686"/>
          <w:tab w:val="left" w:pos="5529"/>
        </w:tabs>
        <w:ind w:right="-46"/>
      </w:pPr>
    </w:p>
    <w:p w14:paraId="4611988B" w14:textId="11216CA3" w:rsidR="00A60784" w:rsidRPr="0012418A" w:rsidRDefault="00E1670A" w:rsidP="003073C2">
      <w:pPr>
        <w:tabs>
          <w:tab w:val="left" w:pos="3686"/>
          <w:tab w:val="left" w:pos="5529"/>
        </w:tabs>
        <w:ind w:right="-46"/>
      </w:pPr>
      <w:r>
        <w:t xml:space="preserve">Regulation </w:t>
      </w:r>
      <w:r w:rsidR="00B36BC4" w:rsidRPr="0012418A">
        <w:t xml:space="preserve">15A in the </w:t>
      </w:r>
      <w:r w:rsidR="00D95C15" w:rsidRPr="0012418A">
        <w:t>Principal Regulations</w:t>
      </w:r>
      <w:r w:rsidR="00B36BC4" w:rsidRPr="0012418A">
        <w:t xml:space="preserve"> lists additional information that the Regulator is required to enter on the National Register.</w:t>
      </w:r>
      <w:r w:rsidR="00A60784" w:rsidRPr="0012418A">
        <w:t xml:space="preserve"> </w:t>
      </w:r>
    </w:p>
    <w:p w14:paraId="2C15F03A" w14:textId="77777777" w:rsidR="00A60784" w:rsidRPr="0012418A" w:rsidRDefault="00A60784" w:rsidP="003073C2">
      <w:pPr>
        <w:tabs>
          <w:tab w:val="left" w:pos="3686"/>
          <w:tab w:val="left" w:pos="5529"/>
        </w:tabs>
        <w:ind w:right="-46"/>
      </w:pPr>
    </w:p>
    <w:p w14:paraId="60ADB1D7" w14:textId="77777777" w:rsidR="00B36BC4" w:rsidRPr="0012418A" w:rsidRDefault="005F3FE9" w:rsidP="003073C2">
      <w:pPr>
        <w:tabs>
          <w:tab w:val="left" w:pos="3686"/>
          <w:tab w:val="left" w:pos="5529"/>
        </w:tabs>
        <w:ind w:right="-46"/>
      </w:pPr>
      <w:r w:rsidRPr="0012418A">
        <w:t>The</w:t>
      </w:r>
      <w:r w:rsidR="00B36BC4" w:rsidRPr="0012418A">
        <w:t xml:space="preserve"> Standards </w:t>
      </w:r>
      <w:r w:rsidRPr="0012418A">
        <w:t>provide general requirements for the transition of training products</w:t>
      </w:r>
      <w:r w:rsidR="00B36BC4" w:rsidRPr="0012418A">
        <w:t xml:space="preserve"> by NVR RTOs once those training products are no longer current and are being phased-out, within a particular period</w:t>
      </w:r>
      <w:r w:rsidR="00244602" w:rsidRPr="0012418A">
        <w:t>,</w:t>
      </w:r>
      <w:r w:rsidR="00B36BC4" w:rsidRPr="0012418A">
        <w:t xml:space="preserve"> unless the Regulator approves a different period</w:t>
      </w:r>
      <w:r w:rsidRPr="0012418A">
        <w:t xml:space="preserve">. </w:t>
      </w:r>
    </w:p>
    <w:p w14:paraId="028C7DF8" w14:textId="77777777" w:rsidR="00B36BC4" w:rsidRPr="0012418A" w:rsidRDefault="00B36BC4" w:rsidP="003073C2">
      <w:pPr>
        <w:tabs>
          <w:tab w:val="left" w:pos="3686"/>
          <w:tab w:val="left" w:pos="5529"/>
        </w:tabs>
        <w:ind w:right="-46"/>
      </w:pPr>
    </w:p>
    <w:p w14:paraId="62C9460B" w14:textId="0BB0C9B0" w:rsidR="00D60619" w:rsidRPr="0012418A" w:rsidRDefault="00B36BC4" w:rsidP="003073C2">
      <w:pPr>
        <w:tabs>
          <w:tab w:val="left" w:pos="3686"/>
          <w:tab w:val="left" w:pos="5529"/>
        </w:tabs>
        <w:ind w:right="-46"/>
      </w:pPr>
      <w:r w:rsidRPr="0012418A">
        <w:t>Sub</w:t>
      </w:r>
      <w:r w:rsidR="00E1670A">
        <w:t xml:space="preserve">regulation </w:t>
      </w:r>
      <w:r w:rsidRPr="0012418A">
        <w:t>15A(7</w:t>
      </w:r>
      <w:r w:rsidR="00E867D2" w:rsidRPr="0012418A">
        <w:t xml:space="preserve">) </w:t>
      </w:r>
      <w:r w:rsidR="005F3FE9" w:rsidRPr="0012418A">
        <w:t>ensure</w:t>
      </w:r>
      <w:r w:rsidRPr="0012418A">
        <w:t>s</w:t>
      </w:r>
      <w:r w:rsidR="005F3FE9" w:rsidRPr="0012418A">
        <w:t xml:space="preserve"> that</w:t>
      </w:r>
      <w:r w:rsidR="00543BF7">
        <w:t>,</w:t>
      </w:r>
      <w:r w:rsidR="005F3FE9" w:rsidRPr="0012418A">
        <w:t xml:space="preserve"> where</w:t>
      </w:r>
      <w:r w:rsidR="00FB244C" w:rsidRPr="0012418A">
        <w:t xml:space="preserve"> </w:t>
      </w:r>
      <w:r w:rsidRPr="0012418A">
        <w:t>the Regulator has approved a different period, certain details must be entered on</w:t>
      </w:r>
      <w:r w:rsidR="00FB244C" w:rsidRPr="0012418A">
        <w:t xml:space="preserve"> the National Register for transparency </w:t>
      </w:r>
      <w:r w:rsidRPr="0012418A">
        <w:t xml:space="preserve">purposes </w:t>
      </w:r>
      <w:r w:rsidR="00926EB6" w:rsidRPr="0012418A">
        <w:t>and to inform stakeholders</w:t>
      </w:r>
      <w:r w:rsidR="00FB244C" w:rsidRPr="0012418A">
        <w:t>.</w:t>
      </w:r>
    </w:p>
    <w:p w14:paraId="5E91019E" w14:textId="77777777" w:rsidR="00B36BC4" w:rsidRPr="0012418A" w:rsidRDefault="00B36BC4" w:rsidP="002C6A18">
      <w:pPr>
        <w:tabs>
          <w:tab w:val="left" w:pos="3686"/>
          <w:tab w:val="left" w:pos="5529"/>
        </w:tabs>
        <w:ind w:right="-46"/>
      </w:pPr>
    </w:p>
    <w:p w14:paraId="7BF7F146" w14:textId="37358247" w:rsidR="00926EB6" w:rsidRPr="0012418A" w:rsidRDefault="00926EB6" w:rsidP="002C6A18">
      <w:pPr>
        <w:tabs>
          <w:tab w:val="left" w:pos="3686"/>
          <w:tab w:val="left" w:pos="5529"/>
        </w:tabs>
        <w:ind w:right="-46"/>
      </w:pPr>
      <w:r w:rsidRPr="0012418A">
        <w:t>Sub</w:t>
      </w:r>
      <w:r w:rsidR="00E1670A">
        <w:t xml:space="preserve">regulation </w:t>
      </w:r>
      <w:r w:rsidRPr="0012418A">
        <w:t>15A(8) sets</w:t>
      </w:r>
      <w:r w:rsidR="00CE45CE">
        <w:t xml:space="preserve"> </w:t>
      </w:r>
      <w:r w:rsidRPr="0012418A">
        <w:t>out the details to be entered on the Nation</w:t>
      </w:r>
      <w:r w:rsidR="00BC7BBB" w:rsidRPr="0012418A">
        <w:t>al</w:t>
      </w:r>
      <w:r w:rsidRPr="0012418A">
        <w:t xml:space="preserve"> Register, being:</w:t>
      </w:r>
    </w:p>
    <w:p w14:paraId="71EFF354" w14:textId="77777777" w:rsidR="00A60784" w:rsidRPr="0012418A" w:rsidRDefault="00A60784" w:rsidP="002C6A18">
      <w:pPr>
        <w:tabs>
          <w:tab w:val="left" w:pos="3686"/>
          <w:tab w:val="left" w:pos="5529"/>
        </w:tabs>
        <w:ind w:right="-46"/>
      </w:pPr>
    </w:p>
    <w:p w14:paraId="1D56C2BF" w14:textId="77777777" w:rsidR="00926EB6" w:rsidRPr="0012418A" w:rsidRDefault="00926EB6" w:rsidP="00926EB6">
      <w:pPr>
        <w:pStyle w:val="ListParagraph"/>
        <w:numPr>
          <w:ilvl w:val="0"/>
          <w:numId w:val="11"/>
        </w:numPr>
      </w:pPr>
      <w:r w:rsidRPr="0012418A">
        <w:t>if the training product is replaced by another training product—the replacement training product</w:t>
      </w:r>
      <w:r w:rsidR="00CE45CE">
        <w:t>;</w:t>
      </w:r>
    </w:p>
    <w:p w14:paraId="2479DC26" w14:textId="77777777" w:rsidR="00926EB6" w:rsidRPr="0012418A" w:rsidRDefault="00926EB6" w:rsidP="00926EB6">
      <w:pPr>
        <w:pStyle w:val="ListParagraph"/>
        <w:numPr>
          <w:ilvl w:val="0"/>
          <w:numId w:val="11"/>
        </w:numPr>
      </w:pPr>
      <w:r w:rsidRPr="0012418A">
        <w:t>the start and end date of the period approved by the Regulator</w:t>
      </w:r>
      <w:r w:rsidR="00CE45CE">
        <w:t>;</w:t>
      </w:r>
    </w:p>
    <w:p w14:paraId="71FF7192" w14:textId="77777777" w:rsidR="00926EB6" w:rsidRPr="0012418A" w:rsidRDefault="00926EB6" w:rsidP="00926EB6">
      <w:pPr>
        <w:pStyle w:val="ListParagraph"/>
        <w:numPr>
          <w:ilvl w:val="0"/>
          <w:numId w:val="11"/>
        </w:numPr>
      </w:pPr>
      <w:r w:rsidRPr="0012418A">
        <w:t>the Regulator’s reasons for giving the approval.</w:t>
      </w:r>
    </w:p>
    <w:p w14:paraId="6FB4F116" w14:textId="77777777" w:rsidR="00926EB6" w:rsidRPr="0012418A" w:rsidRDefault="00926EB6" w:rsidP="002C6A18">
      <w:pPr>
        <w:tabs>
          <w:tab w:val="left" w:pos="3686"/>
          <w:tab w:val="left" w:pos="5529"/>
        </w:tabs>
        <w:ind w:right="-46"/>
      </w:pPr>
    </w:p>
    <w:p w14:paraId="0B91CD5C" w14:textId="165FB6F0" w:rsidR="00926EB6" w:rsidRPr="0012418A" w:rsidRDefault="00926EB6" w:rsidP="002C6A18">
      <w:pPr>
        <w:tabs>
          <w:tab w:val="left" w:pos="3686"/>
          <w:tab w:val="left" w:pos="5529"/>
        </w:tabs>
        <w:ind w:right="-46"/>
      </w:pPr>
      <w:r w:rsidRPr="0012418A">
        <w:t>Sub</w:t>
      </w:r>
      <w:r w:rsidR="00E1670A">
        <w:t xml:space="preserve">regulation </w:t>
      </w:r>
      <w:r w:rsidRPr="0012418A">
        <w:t xml:space="preserve">15A(9) defines </w:t>
      </w:r>
      <w:r w:rsidRPr="0012418A">
        <w:rPr>
          <w:i/>
        </w:rPr>
        <w:t xml:space="preserve">training product </w:t>
      </w:r>
      <w:r w:rsidRPr="0012418A">
        <w:t>by reference to its meaning in the Standards, to ensure consistency with the Standards.</w:t>
      </w:r>
    </w:p>
    <w:p w14:paraId="737FF957" w14:textId="77777777" w:rsidR="00926EB6" w:rsidRPr="0012418A" w:rsidRDefault="00926EB6" w:rsidP="002C6A18">
      <w:pPr>
        <w:tabs>
          <w:tab w:val="left" w:pos="3686"/>
          <w:tab w:val="left" w:pos="5529"/>
        </w:tabs>
        <w:ind w:right="-46"/>
      </w:pPr>
    </w:p>
    <w:p w14:paraId="0F8D8448" w14:textId="73EDF367" w:rsidR="00140DF0" w:rsidRPr="0012418A" w:rsidRDefault="00A60784" w:rsidP="002C6A18">
      <w:pPr>
        <w:tabs>
          <w:tab w:val="left" w:pos="3686"/>
          <w:tab w:val="left" w:pos="5529"/>
        </w:tabs>
        <w:ind w:right="-46"/>
      </w:pPr>
      <w:r w:rsidRPr="0012418A">
        <w:t>Sub</w:t>
      </w:r>
      <w:r w:rsidR="00435308">
        <w:t>regulation</w:t>
      </w:r>
      <w:r w:rsidRPr="0012418A">
        <w:t xml:space="preserve"> 15A(7), (8) and (9) </w:t>
      </w:r>
      <w:r w:rsidR="00097ED9" w:rsidRPr="0012418A">
        <w:t xml:space="preserve">help </w:t>
      </w:r>
      <w:r w:rsidRPr="0012418A">
        <w:t>ensure that information is entered on the National Register</w:t>
      </w:r>
      <w:r w:rsidR="00140DF0" w:rsidRPr="0012418A">
        <w:t>, wh</w:t>
      </w:r>
      <w:r w:rsidRPr="0012418A">
        <w:t xml:space="preserve">ich may </w:t>
      </w:r>
      <w:r w:rsidR="00140DF0" w:rsidRPr="0012418A">
        <w:t xml:space="preserve">not </w:t>
      </w:r>
      <w:r w:rsidRPr="0012418A">
        <w:t xml:space="preserve">have </w:t>
      </w:r>
      <w:r w:rsidR="00140DF0" w:rsidRPr="0012418A">
        <w:t>previously been</w:t>
      </w:r>
      <w:r w:rsidRPr="0012418A">
        <w:t xml:space="preserve"> made </w:t>
      </w:r>
      <w:r w:rsidR="00140DF0" w:rsidRPr="0012418A">
        <w:t xml:space="preserve">publicly available, to provide </w:t>
      </w:r>
      <w:r w:rsidR="006003CF" w:rsidRPr="0012418A">
        <w:t>VET</w:t>
      </w:r>
      <w:r w:rsidR="00097ED9" w:rsidRPr="0012418A">
        <w:t xml:space="preserve"> regulators, </w:t>
      </w:r>
      <w:r w:rsidR="0015460D" w:rsidRPr="0012418A">
        <w:t xml:space="preserve">the Commonwealth and </w:t>
      </w:r>
      <w:r w:rsidR="00140DF0" w:rsidRPr="0012418A">
        <w:t xml:space="preserve">state and territory governments that fund </w:t>
      </w:r>
      <w:r w:rsidRPr="0012418A">
        <w:t xml:space="preserve">NVR </w:t>
      </w:r>
      <w:r w:rsidR="006003CF" w:rsidRPr="0012418A">
        <w:t>RTOs</w:t>
      </w:r>
      <w:r w:rsidRPr="0012418A">
        <w:t>,</w:t>
      </w:r>
      <w:r w:rsidR="00097ED9" w:rsidRPr="0012418A">
        <w:t xml:space="preserve"> and consumers</w:t>
      </w:r>
      <w:r w:rsidR="006E672D" w:rsidRPr="0012418A">
        <w:t xml:space="preserve"> (who access the information via </w:t>
      </w:r>
      <w:r w:rsidR="00724BAF">
        <w:t>other Australian Government</w:t>
      </w:r>
      <w:r w:rsidR="00724BAF" w:rsidRPr="0012418A">
        <w:t xml:space="preserve"> </w:t>
      </w:r>
      <w:r w:rsidR="006E672D" w:rsidRPr="0012418A">
        <w:t>products</w:t>
      </w:r>
      <w:r w:rsidR="00724BAF">
        <w:t xml:space="preserve"> that </w:t>
      </w:r>
      <w:r w:rsidR="00435308">
        <w:t xml:space="preserve">have sourced their </w:t>
      </w:r>
      <w:r w:rsidR="00724BAF">
        <w:t>information from the National Register</w:t>
      </w:r>
      <w:r w:rsidR="006E672D" w:rsidRPr="0012418A">
        <w:t xml:space="preserve">) </w:t>
      </w:r>
      <w:r w:rsidR="00140DF0" w:rsidRPr="0012418A">
        <w:t>with up-to-date information on</w:t>
      </w:r>
      <w:r w:rsidR="00097ED9" w:rsidRPr="0012418A">
        <w:t xml:space="preserve"> the transition of training products.</w:t>
      </w:r>
    </w:p>
    <w:p w14:paraId="4318736E" w14:textId="77777777" w:rsidR="003073C2" w:rsidRPr="0012418A" w:rsidRDefault="003073C2" w:rsidP="003073C2">
      <w:pPr>
        <w:tabs>
          <w:tab w:val="left" w:pos="3686"/>
          <w:tab w:val="left" w:pos="5529"/>
        </w:tabs>
        <w:ind w:right="-46"/>
      </w:pPr>
    </w:p>
    <w:p w14:paraId="1C11226C" w14:textId="2A873672" w:rsidR="0013036B" w:rsidRPr="0012418A" w:rsidRDefault="0013036B" w:rsidP="000E58BD">
      <w:pPr>
        <w:tabs>
          <w:tab w:val="left" w:pos="3686"/>
          <w:tab w:val="left" w:pos="5529"/>
        </w:tabs>
        <w:ind w:right="-46"/>
      </w:pPr>
      <w:r w:rsidRPr="0012418A">
        <w:t xml:space="preserve">Item </w:t>
      </w:r>
      <w:r w:rsidR="0036341F" w:rsidRPr="0012418A">
        <w:t xml:space="preserve">10 </w:t>
      </w:r>
      <w:r w:rsidRPr="0012418A">
        <w:t>also inserts a new heading “</w:t>
      </w:r>
      <w:r w:rsidR="00097ED9" w:rsidRPr="0012418A">
        <w:rPr>
          <w:i/>
        </w:rPr>
        <w:t>Reconsideration or review of r</w:t>
      </w:r>
      <w:r w:rsidRPr="0012418A">
        <w:rPr>
          <w:i/>
        </w:rPr>
        <w:t>eviewable decisions</w:t>
      </w:r>
      <w:r w:rsidRPr="0012418A">
        <w:t xml:space="preserve">” and new </w:t>
      </w:r>
      <w:r w:rsidR="00097ED9" w:rsidRPr="0012418A">
        <w:t>sub</w:t>
      </w:r>
      <w:r w:rsidR="00435308">
        <w:t>regulations</w:t>
      </w:r>
      <w:r w:rsidR="00097ED9" w:rsidRPr="0012418A">
        <w:t xml:space="preserve"> </w:t>
      </w:r>
      <w:r w:rsidRPr="0012418A">
        <w:t>15A(10)</w:t>
      </w:r>
      <w:r w:rsidR="00097ED9" w:rsidRPr="0012418A">
        <w:t>, (11) and (12</w:t>
      </w:r>
      <w:r w:rsidRPr="0012418A">
        <w:t>)</w:t>
      </w:r>
      <w:r w:rsidR="00097ED9" w:rsidRPr="0012418A">
        <w:t xml:space="preserve"> in the </w:t>
      </w:r>
      <w:r w:rsidR="00D95C15" w:rsidRPr="0012418A">
        <w:t>Principal Regulations</w:t>
      </w:r>
      <w:r w:rsidRPr="0012418A">
        <w:t>.</w:t>
      </w:r>
    </w:p>
    <w:p w14:paraId="58624C72" w14:textId="77777777" w:rsidR="0013036B" w:rsidRPr="0012418A" w:rsidRDefault="0013036B" w:rsidP="000E58BD">
      <w:pPr>
        <w:tabs>
          <w:tab w:val="left" w:pos="3686"/>
          <w:tab w:val="left" w:pos="5529"/>
        </w:tabs>
        <w:ind w:right="-46"/>
      </w:pPr>
    </w:p>
    <w:p w14:paraId="4E1B88A1" w14:textId="08B446B5" w:rsidR="00280FD9" w:rsidRPr="0012418A" w:rsidRDefault="00097ED9">
      <w:r w:rsidRPr="0012418A">
        <w:t>Sub</w:t>
      </w:r>
      <w:r w:rsidR="00E1670A">
        <w:t xml:space="preserve">regulation </w:t>
      </w:r>
      <w:r w:rsidRPr="0012418A">
        <w:t xml:space="preserve">15A(10) </w:t>
      </w:r>
      <w:r w:rsidR="00280FD9" w:rsidRPr="0012418A">
        <w:t xml:space="preserve">ensures that where an application is made to the Regulator or the Administrative Appeals Tribunal (AAT) for reconsideration/review of certain reviewable decisions, </w:t>
      </w:r>
      <w:r w:rsidR="009337A9" w:rsidRPr="0012418A">
        <w:t xml:space="preserve">or under the </w:t>
      </w:r>
      <w:r w:rsidR="009337A9" w:rsidRPr="0012418A">
        <w:rPr>
          <w:i/>
        </w:rPr>
        <w:t>Administrative Decision (Judicial Review) Act 1977</w:t>
      </w:r>
      <w:r w:rsidR="009337A9" w:rsidRPr="0012418A">
        <w:t xml:space="preserve"> </w:t>
      </w:r>
      <w:r w:rsidR="00BE3502" w:rsidRPr="0012418A">
        <w:t>(AD(JR) Act)</w:t>
      </w:r>
      <w:r w:rsidR="0012418A" w:rsidRPr="0012418A">
        <w:t xml:space="preserve"> </w:t>
      </w:r>
      <w:r w:rsidR="009337A9" w:rsidRPr="0012418A">
        <w:t>for an order of review in respect of certain reviewable decisions,</w:t>
      </w:r>
      <w:r w:rsidR="009337A9" w:rsidRPr="0012418A">
        <w:rPr>
          <w:i/>
        </w:rPr>
        <w:t xml:space="preserve"> </w:t>
      </w:r>
      <w:r w:rsidR="00284E27" w:rsidRPr="0012418A">
        <w:t xml:space="preserve">that the Regulator must enter </w:t>
      </w:r>
      <w:r w:rsidR="009337A9" w:rsidRPr="0012418A">
        <w:t xml:space="preserve">certain </w:t>
      </w:r>
      <w:r w:rsidR="00280FD9" w:rsidRPr="0012418A">
        <w:t>information on the National Register.</w:t>
      </w:r>
    </w:p>
    <w:p w14:paraId="115572D1" w14:textId="77777777" w:rsidR="00280FD9" w:rsidRPr="0012418A" w:rsidRDefault="00280FD9"/>
    <w:p w14:paraId="162265BD" w14:textId="2983A12A" w:rsidR="0099659D" w:rsidRPr="0012418A" w:rsidRDefault="00280FD9">
      <w:r w:rsidRPr="0012418A">
        <w:t>This information is set</w:t>
      </w:r>
      <w:r w:rsidR="00CE45CE">
        <w:t xml:space="preserve"> </w:t>
      </w:r>
      <w:r w:rsidR="0099659D" w:rsidRPr="0012418A">
        <w:t>out in sub</w:t>
      </w:r>
      <w:r w:rsidR="00E1670A">
        <w:t xml:space="preserve">regulation </w:t>
      </w:r>
      <w:r w:rsidRPr="0012418A">
        <w:t xml:space="preserve">15A(11) </w:t>
      </w:r>
      <w:r w:rsidR="0099659D" w:rsidRPr="0012418A">
        <w:t>and includes information about the application a</w:t>
      </w:r>
      <w:r w:rsidR="008F02BA" w:rsidRPr="0012418A">
        <w:t xml:space="preserve">nd where </w:t>
      </w:r>
      <w:r w:rsidR="0099659D" w:rsidRPr="0012418A">
        <w:t>certain events relating to th</w:t>
      </w:r>
      <w:r w:rsidR="00684D10" w:rsidRPr="0012418A">
        <w:t>at application</w:t>
      </w:r>
      <w:r w:rsidR="008F02BA" w:rsidRPr="0012418A">
        <w:t xml:space="preserve"> occur, information about those events</w:t>
      </w:r>
      <w:r w:rsidR="00BC6FA6" w:rsidRPr="0012418A">
        <w:t>. Th</w:t>
      </w:r>
      <w:r w:rsidR="008F02BA" w:rsidRPr="0012418A">
        <w:t xml:space="preserve">ese events include where </w:t>
      </w:r>
      <w:r w:rsidR="0099659D" w:rsidRPr="0012418A">
        <w:t xml:space="preserve">the reviewable decision </w:t>
      </w:r>
      <w:r w:rsidR="008F02BA" w:rsidRPr="0012418A">
        <w:t xml:space="preserve">has been </w:t>
      </w:r>
      <w:r w:rsidR="0099659D" w:rsidRPr="0012418A">
        <w:t>affirmed, varied, revoked</w:t>
      </w:r>
      <w:r w:rsidR="00284E27" w:rsidRPr="0012418A">
        <w:t xml:space="preserve">, quashed or </w:t>
      </w:r>
      <w:r w:rsidR="0099659D" w:rsidRPr="0012418A">
        <w:t>set-aside</w:t>
      </w:r>
      <w:r w:rsidR="00BC6FA6" w:rsidRPr="0012418A">
        <w:t xml:space="preserve"> (in whole or in part)</w:t>
      </w:r>
      <w:r w:rsidR="0099659D" w:rsidRPr="0012418A">
        <w:t>,</w:t>
      </w:r>
      <w:r w:rsidR="00BC6FA6" w:rsidRPr="0012418A">
        <w:t xml:space="preserve"> an order </w:t>
      </w:r>
      <w:r w:rsidR="006E672D" w:rsidRPr="0012418A">
        <w:t>has</w:t>
      </w:r>
      <w:r w:rsidR="00BC6FA6" w:rsidRPr="0012418A">
        <w:t xml:space="preserve"> been </w:t>
      </w:r>
      <w:r w:rsidR="00BE3502" w:rsidRPr="0012418A">
        <w:t>under subsection 16(1) of the AD(JR) Act</w:t>
      </w:r>
      <w:r w:rsidR="00BC6FA6" w:rsidRPr="0012418A">
        <w:t>,</w:t>
      </w:r>
      <w:r w:rsidR="008F02BA" w:rsidRPr="0012418A">
        <w:t xml:space="preserve"> </w:t>
      </w:r>
      <w:r w:rsidR="0099659D" w:rsidRPr="0012418A">
        <w:t>any stay decision</w:t>
      </w:r>
      <w:r w:rsidR="008F02BA" w:rsidRPr="0012418A">
        <w:t>s</w:t>
      </w:r>
      <w:r w:rsidR="0099659D" w:rsidRPr="0012418A">
        <w:t xml:space="preserve"> </w:t>
      </w:r>
      <w:r w:rsidR="00BE3502" w:rsidRPr="0012418A">
        <w:t xml:space="preserve">have been </w:t>
      </w:r>
      <w:r w:rsidR="0099659D" w:rsidRPr="0012418A">
        <w:t>made in relation to the reviewable decision</w:t>
      </w:r>
      <w:r w:rsidR="00BC6FA6" w:rsidRPr="0012418A">
        <w:t xml:space="preserve"> or an appeal under subsection 44(1) of the </w:t>
      </w:r>
      <w:r w:rsidR="00BC6FA6" w:rsidRPr="0012418A">
        <w:rPr>
          <w:i/>
        </w:rPr>
        <w:t xml:space="preserve">Administrative Appeals Tribunal Act 1975 </w:t>
      </w:r>
      <w:r w:rsidR="008F02BA" w:rsidRPr="0012418A">
        <w:t xml:space="preserve">(AAT Act) </w:t>
      </w:r>
      <w:r w:rsidR="00BE3502" w:rsidRPr="0012418A">
        <w:t xml:space="preserve">has been </w:t>
      </w:r>
      <w:r w:rsidR="00BC6FA6" w:rsidRPr="0012418A">
        <w:t>instituted</w:t>
      </w:r>
      <w:r w:rsidR="0099659D" w:rsidRPr="0012418A">
        <w:t>.</w:t>
      </w:r>
    </w:p>
    <w:p w14:paraId="40A5C4C6" w14:textId="77777777" w:rsidR="0099659D" w:rsidRPr="0012418A" w:rsidRDefault="0099659D"/>
    <w:p w14:paraId="327AB3DA" w14:textId="204084CA" w:rsidR="0099659D" w:rsidRPr="0012418A" w:rsidRDefault="0099659D">
      <w:r w:rsidRPr="0012418A">
        <w:t>The reviewable decisions covered by sub</w:t>
      </w:r>
      <w:r w:rsidR="00435308">
        <w:t>regulations</w:t>
      </w:r>
      <w:r w:rsidRPr="0012418A">
        <w:t xml:space="preserve"> 15A(10), (11) and (12) are:</w:t>
      </w:r>
    </w:p>
    <w:p w14:paraId="28527675" w14:textId="77777777" w:rsidR="0099659D" w:rsidRPr="0012418A" w:rsidRDefault="0099659D"/>
    <w:p w14:paraId="7E972C2F" w14:textId="77777777" w:rsidR="0099659D" w:rsidRPr="0012418A" w:rsidRDefault="0099659D" w:rsidP="0099659D">
      <w:pPr>
        <w:pStyle w:val="ListParagraph"/>
        <w:numPr>
          <w:ilvl w:val="0"/>
          <w:numId w:val="11"/>
        </w:numPr>
      </w:pPr>
      <w:r w:rsidRPr="0012418A">
        <w:rPr>
          <w:color w:val="000000"/>
        </w:rPr>
        <w:t xml:space="preserve">a decision to impose a condition on an NVR </w:t>
      </w:r>
      <w:r w:rsidR="00420BC0" w:rsidRPr="0012418A">
        <w:rPr>
          <w:color w:val="000000"/>
        </w:rPr>
        <w:t>RTO</w:t>
      </w:r>
      <w:r w:rsidRPr="0012418A">
        <w:rPr>
          <w:color w:val="000000"/>
        </w:rPr>
        <w:t>’s registration</w:t>
      </w:r>
      <w:r w:rsidR="00CE45CE">
        <w:rPr>
          <w:color w:val="000000"/>
        </w:rPr>
        <w:t>;</w:t>
      </w:r>
    </w:p>
    <w:p w14:paraId="0887046F" w14:textId="77777777" w:rsidR="0099659D" w:rsidRPr="0012418A" w:rsidRDefault="0099659D" w:rsidP="0099659D">
      <w:pPr>
        <w:pStyle w:val="ListParagraph"/>
        <w:numPr>
          <w:ilvl w:val="0"/>
          <w:numId w:val="11"/>
        </w:numPr>
      </w:pPr>
      <w:r w:rsidRPr="0012418A">
        <w:rPr>
          <w:color w:val="000000"/>
        </w:rPr>
        <w:t xml:space="preserve">a decision to vary a condition of an NVR </w:t>
      </w:r>
      <w:r w:rsidR="00420BC0" w:rsidRPr="0012418A">
        <w:rPr>
          <w:color w:val="000000"/>
        </w:rPr>
        <w:t>RTO</w:t>
      </w:r>
      <w:r w:rsidRPr="0012418A">
        <w:rPr>
          <w:color w:val="000000"/>
        </w:rPr>
        <w:t>’s registration</w:t>
      </w:r>
      <w:r w:rsidR="00CE45CE">
        <w:rPr>
          <w:color w:val="000000"/>
        </w:rPr>
        <w:t>;</w:t>
      </w:r>
    </w:p>
    <w:p w14:paraId="3EC1C574" w14:textId="77777777" w:rsidR="0099659D" w:rsidRPr="0012418A" w:rsidRDefault="00A173FD" w:rsidP="0099659D">
      <w:pPr>
        <w:pStyle w:val="ListParagraph"/>
        <w:numPr>
          <w:ilvl w:val="0"/>
          <w:numId w:val="11"/>
        </w:numPr>
      </w:pPr>
      <w:r w:rsidRPr="0012418A">
        <w:rPr>
          <w:color w:val="000000"/>
        </w:rPr>
        <w:t xml:space="preserve">a decision to give a written direction to an NVR </w:t>
      </w:r>
      <w:r w:rsidR="00420BC0" w:rsidRPr="0012418A">
        <w:rPr>
          <w:color w:val="000000"/>
        </w:rPr>
        <w:t>RTO</w:t>
      </w:r>
      <w:r w:rsidRPr="0012418A">
        <w:rPr>
          <w:color w:val="000000"/>
        </w:rPr>
        <w:t xml:space="preserve"> requiring the organisation to notify its VET students, in writing, of a matter set out in the direction</w:t>
      </w:r>
      <w:r w:rsidR="00CE45CE">
        <w:rPr>
          <w:color w:val="000000"/>
        </w:rPr>
        <w:t>;</w:t>
      </w:r>
    </w:p>
    <w:p w14:paraId="2AC0D6A6" w14:textId="77777777" w:rsidR="002A4B59" w:rsidRPr="0012418A" w:rsidRDefault="00A173FD" w:rsidP="00DA0061">
      <w:pPr>
        <w:pStyle w:val="ListParagraph"/>
        <w:numPr>
          <w:ilvl w:val="0"/>
          <w:numId w:val="11"/>
        </w:numPr>
      </w:pPr>
      <w:r w:rsidRPr="0012418A">
        <w:rPr>
          <w:color w:val="000000"/>
        </w:rPr>
        <w:t xml:space="preserve">a decision to shorten the period of an NVR </w:t>
      </w:r>
      <w:r w:rsidR="00420BC0" w:rsidRPr="0012418A">
        <w:rPr>
          <w:color w:val="000000"/>
        </w:rPr>
        <w:t>RTO</w:t>
      </w:r>
      <w:r w:rsidRPr="0012418A">
        <w:rPr>
          <w:color w:val="000000"/>
        </w:rPr>
        <w:t>’s registration</w:t>
      </w:r>
      <w:r w:rsidR="00CE45CE">
        <w:rPr>
          <w:color w:val="000000"/>
        </w:rPr>
        <w:t>;</w:t>
      </w:r>
    </w:p>
    <w:p w14:paraId="42F75A2C" w14:textId="77777777" w:rsidR="00A173FD" w:rsidRPr="0012418A" w:rsidRDefault="00A173FD" w:rsidP="0099659D">
      <w:pPr>
        <w:pStyle w:val="ListParagraph"/>
        <w:numPr>
          <w:ilvl w:val="0"/>
          <w:numId w:val="11"/>
        </w:numPr>
      </w:pPr>
      <w:r w:rsidRPr="0012418A">
        <w:rPr>
          <w:color w:val="000000"/>
        </w:rPr>
        <w:t xml:space="preserve">a decision to amend an NVR </w:t>
      </w:r>
      <w:r w:rsidR="00DA0061" w:rsidRPr="0012418A">
        <w:rPr>
          <w:color w:val="000000"/>
        </w:rPr>
        <w:t>RTO</w:t>
      </w:r>
      <w:r w:rsidRPr="0012418A">
        <w:rPr>
          <w:color w:val="000000"/>
        </w:rPr>
        <w:t>’s scope of registration</w:t>
      </w:r>
      <w:r w:rsidR="00CE45CE">
        <w:rPr>
          <w:color w:val="000000"/>
        </w:rPr>
        <w:t>;</w:t>
      </w:r>
    </w:p>
    <w:p w14:paraId="264B28D8" w14:textId="77777777" w:rsidR="00A173FD" w:rsidRPr="0012418A" w:rsidRDefault="004810E6" w:rsidP="0099659D">
      <w:pPr>
        <w:pStyle w:val="ListParagraph"/>
        <w:numPr>
          <w:ilvl w:val="0"/>
          <w:numId w:val="11"/>
        </w:numPr>
      </w:pPr>
      <w:r>
        <w:rPr>
          <w:color w:val="000000"/>
        </w:rPr>
        <w:t xml:space="preserve">a </w:t>
      </w:r>
      <w:r w:rsidR="00A173FD" w:rsidRPr="0012418A">
        <w:rPr>
          <w:color w:val="000000"/>
        </w:rPr>
        <w:t xml:space="preserve">decision to suspend all or part of an NVR </w:t>
      </w:r>
      <w:r w:rsidR="00420BC0" w:rsidRPr="0012418A">
        <w:rPr>
          <w:color w:val="000000"/>
        </w:rPr>
        <w:t>RTO</w:t>
      </w:r>
      <w:r w:rsidR="00A173FD" w:rsidRPr="0012418A">
        <w:rPr>
          <w:color w:val="000000"/>
        </w:rPr>
        <w:t>’s scope of registration</w:t>
      </w:r>
      <w:r w:rsidR="00CE45CE">
        <w:rPr>
          <w:color w:val="000000"/>
        </w:rPr>
        <w:t>;</w:t>
      </w:r>
    </w:p>
    <w:p w14:paraId="2C6ABEA9" w14:textId="77777777" w:rsidR="00BC6FA6" w:rsidRPr="0012418A" w:rsidRDefault="004810E6" w:rsidP="0099659D">
      <w:pPr>
        <w:pStyle w:val="ListParagraph"/>
        <w:numPr>
          <w:ilvl w:val="0"/>
          <w:numId w:val="11"/>
        </w:numPr>
      </w:pPr>
      <w:r>
        <w:rPr>
          <w:color w:val="000000"/>
        </w:rPr>
        <w:t xml:space="preserve">a </w:t>
      </w:r>
      <w:r w:rsidR="00A173FD" w:rsidRPr="0012418A">
        <w:rPr>
          <w:color w:val="000000"/>
        </w:rPr>
        <w:t xml:space="preserve">decision to cancel an NVR </w:t>
      </w:r>
      <w:r w:rsidR="00420BC0" w:rsidRPr="0012418A">
        <w:rPr>
          <w:color w:val="000000"/>
        </w:rPr>
        <w:t>RTO</w:t>
      </w:r>
      <w:r w:rsidR="00A173FD" w:rsidRPr="0012418A">
        <w:rPr>
          <w:color w:val="000000"/>
        </w:rPr>
        <w:t>’s registration</w:t>
      </w:r>
      <w:r w:rsidR="00CE45CE">
        <w:rPr>
          <w:color w:val="000000"/>
        </w:rPr>
        <w:t>;</w:t>
      </w:r>
    </w:p>
    <w:p w14:paraId="16212B38" w14:textId="77777777" w:rsidR="00A173FD" w:rsidRPr="0012418A" w:rsidRDefault="00BC6FA6" w:rsidP="0099659D">
      <w:pPr>
        <w:pStyle w:val="ListParagraph"/>
        <w:numPr>
          <w:ilvl w:val="0"/>
          <w:numId w:val="11"/>
        </w:numPr>
      </w:pPr>
      <w:r w:rsidRPr="0012418A">
        <w:rPr>
          <w:color w:val="000000"/>
        </w:rPr>
        <w:t xml:space="preserve">a decision to reject an application for renewal of registration as an NVR </w:t>
      </w:r>
      <w:r w:rsidR="004810E6">
        <w:rPr>
          <w:color w:val="000000"/>
        </w:rPr>
        <w:t>RTO</w:t>
      </w:r>
      <w:r w:rsidR="00A173FD" w:rsidRPr="0012418A">
        <w:rPr>
          <w:color w:val="000000"/>
        </w:rPr>
        <w:t>.</w:t>
      </w:r>
    </w:p>
    <w:p w14:paraId="1183C44F" w14:textId="77777777" w:rsidR="00097ED9" w:rsidRPr="0012418A" w:rsidRDefault="00097ED9"/>
    <w:p w14:paraId="070ED0B0" w14:textId="77777777" w:rsidR="00684D10" w:rsidRDefault="00270E01" w:rsidP="00270E01">
      <w:pPr>
        <w:tabs>
          <w:tab w:val="left" w:pos="3686"/>
          <w:tab w:val="left" w:pos="5529"/>
        </w:tabs>
        <w:ind w:right="-46"/>
      </w:pPr>
      <w:r w:rsidRPr="0012418A">
        <w:t>The main purpose of these amendments is to enable the more timely publication of information relating to reviewable decisions, while maintaining accuracy by detailing the stage of any reconsideration</w:t>
      </w:r>
      <w:r w:rsidR="00D40865" w:rsidRPr="0012418A">
        <w:t xml:space="preserve"> or </w:t>
      </w:r>
      <w:r w:rsidRPr="0012418A">
        <w:t xml:space="preserve">review. </w:t>
      </w:r>
    </w:p>
    <w:p w14:paraId="5E689613" w14:textId="77777777" w:rsidR="00CE45CE" w:rsidRPr="0012418A" w:rsidRDefault="00CE45CE" w:rsidP="00270E01">
      <w:pPr>
        <w:tabs>
          <w:tab w:val="left" w:pos="3686"/>
          <w:tab w:val="left" w:pos="5529"/>
        </w:tabs>
        <w:ind w:right="-46"/>
      </w:pPr>
    </w:p>
    <w:p w14:paraId="6D524232" w14:textId="77777777" w:rsidR="00270E01" w:rsidRPr="0012418A" w:rsidRDefault="00270E01" w:rsidP="00270E01">
      <w:pPr>
        <w:tabs>
          <w:tab w:val="left" w:pos="3686"/>
          <w:tab w:val="left" w:pos="5529"/>
        </w:tabs>
        <w:ind w:right="-46"/>
        <w:rPr>
          <w:u w:val="single"/>
        </w:rPr>
      </w:pPr>
      <w:r w:rsidRPr="0012418A">
        <w:t>These amendments will further enhance the transparency of review processes, by entering on the National Register up-to-date information about a decision as it passes through the stages of reconsideration</w:t>
      </w:r>
      <w:r w:rsidR="00684D10" w:rsidRPr="0012418A">
        <w:t xml:space="preserve"> or </w:t>
      </w:r>
      <w:r w:rsidRPr="0012418A">
        <w:t xml:space="preserve">review. </w:t>
      </w:r>
    </w:p>
    <w:p w14:paraId="07C27C91" w14:textId="77777777" w:rsidR="00270E01" w:rsidRPr="0012418A" w:rsidRDefault="00270E01" w:rsidP="00B07A8B"/>
    <w:p w14:paraId="4B3178A7" w14:textId="77777777" w:rsidR="007D511C" w:rsidRPr="0012418A" w:rsidRDefault="007D511C" w:rsidP="00B07A8B">
      <w:r w:rsidRPr="0012418A">
        <w:t>Ens</w:t>
      </w:r>
      <w:r w:rsidR="00A173FD" w:rsidRPr="0012418A">
        <w:t>uring that this information is entered on the National Register and</w:t>
      </w:r>
      <w:r w:rsidRPr="0012418A">
        <w:t xml:space="preserve"> is publicly available</w:t>
      </w:r>
      <w:r w:rsidR="00A173FD" w:rsidRPr="0012418A">
        <w:t>,</w:t>
      </w:r>
      <w:r w:rsidRPr="0012418A">
        <w:t xml:space="preserve"> i</w:t>
      </w:r>
      <w:r w:rsidR="00A173FD" w:rsidRPr="0012418A">
        <w:t>ncreases the transparency of regulatory responses with respect to NVR RTOs</w:t>
      </w:r>
      <w:r w:rsidRPr="0012418A">
        <w:t>, supports a high quality VET sector, and ensures the National Register is up-to-date, complete and informative. This</w:t>
      </w:r>
      <w:r w:rsidR="00270E01" w:rsidRPr="0012418A">
        <w:t xml:space="preserve"> further</w:t>
      </w:r>
      <w:r w:rsidRPr="0012418A">
        <w:t xml:space="preserve"> enables better program administration by governments and better protection of students by VET regulators, </w:t>
      </w:r>
      <w:r w:rsidR="00420BC0" w:rsidRPr="0012418A">
        <w:t xml:space="preserve">the Commonwealth </w:t>
      </w:r>
      <w:r w:rsidRPr="0012418A">
        <w:t xml:space="preserve">and state and territory governments that fund </w:t>
      </w:r>
      <w:r w:rsidR="00A173FD" w:rsidRPr="0012418A">
        <w:t xml:space="preserve">NVR </w:t>
      </w:r>
      <w:r w:rsidRPr="0012418A">
        <w:t>RTOs. The improved transparency will enhance the accessibility of VET information, leading to students being able to make informed decisions about their education.</w:t>
      </w:r>
    </w:p>
    <w:p w14:paraId="43EE7E6D" w14:textId="77777777" w:rsidR="00A70063" w:rsidRPr="0012418A" w:rsidRDefault="00A70063" w:rsidP="00B07A8B"/>
    <w:p w14:paraId="2F74FAAF" w14:textId="4F50039A" w:rsidR="008F2671" w:rsidRPr="0012418A" w:rsidRDefault="008F2671" w:rsidP="008F2671">
      <w:pPr>
        <w:pStyle w:val="paragraph"/>
        <w:spacing w:before="0"/>
        <w:ind w:left="0" w:firstLine="0"/>
        <w:rPr>
          <w:sz w:val="24"/>
          <w:szCs w:val="24"/>
        </w:rPr>
      </w:pPr>
      <w:r w:rsidRPr="0012418A">
        <w:rPr>
          <w:sz w:val="24"/>
          <w:szCs w:val="24"/>
        </w:rPr>
        <w:t>Sub</w:t>
      </w:r>
      <w:r w:rsidR="00E1670A">
        <w:rPr>
          <w:sz w:val="24"/>
          <w:szCs w:val="24"/>
        </w:rPr>
        <w:t xml:space="preserve">regulation </w:t>
      </w:r>
      <w:r w:rsidRPr="0012418A">
        <w:rPr>
          <w:sz w:val="24"/>
          <w:szCs w:val="24"/>
        </w:rPr>
        <w:t xml:space="preserve">15A(12) provides a definition of </w:t>
      </w:r>
      <w:r w:rsidRPr="0012418A">
        <w:rPr>
          <w:i/>
          <w:sz w:val="24"/>
          <w:szCs w:val="24"/>
        </w:rPr>
        <w:t>stay decision</w:t>
      </w:r>
      <w:r w:rsidRPr="0012418A">
        <w:rPr>
          <w:sz w:val="24"/>
          <w:szCs w:val="24"/>
        </w:rPr>
        <w:t>, for the purposes of sub</w:t>
      </w:r>
      <w:r w:rsidR="00E1670A">
        <w:rPr>
          <w:sz w:val="24"/>
          <w:szCs w:val="24"/>
        </w:rPr>
        <w:t xml:space="preserve">regulation </w:t>
      </w:r>
      <w:r w:rsidRPr="0012418A">
        <w:rPr>
          <w:sz w:val="24"/>
          <w:szCs w:val="24"/>
        </w:rPr>
        <w:t xml:space="preserve">15A(11), to be a determination under subsection 200(6) of the Act, an order under subsection 41(2) of the </w:t>
      </w:r>
      <w:r w:rsidR="004810E6">
        <w:rPr>
          <w:sz w:val="24"/>
          <w:szCs w:val="24"/>
        </w:rPr>
        <w:t xml:space="preserve">AAT Act </w:t>
      </w:r>
      <w:r w:rsidR="00D40865" w:rsidRPr="0012418A">
        <w:rPr>
          <w:sz w:val="24"/>
          <w:szCs w:val="24"/>
        </w:rPr>
        <w:t>or an order made by a court</w:t>
      </w:r>
      <w:r w:rsidRPr="0012418A">
        <w:rPr>
          <w:sz w:val="24"/>
          <w:szCs w:val="24"/>
        </w:rPr>
        <w:t xml:space="preserve"> that has the effect of staying or otherwise affecting the operation or implementation of a reviewable decision pending the outcome of a reconsideration or review of the reviewable decision.</w:t>
      </w:r>
    </w:p>
    <w:p w14:paraId="35C1D24F" w14:textId="77777777" w:rsidR="008F2671" w:rsidRPr="0012418A" w:rsidRDefault="008F2671" w:rsidP="008F2671">
      <w:pPr>
        <w:pStyle w:val="paragraph"/>
        <w:spacing w:before="0"/>
        <w:ind w:left="0" w:firstLine="0"/>
        <w:rPr>
          <w:sz w:val="24"/>
          <w:szCs w:val="24"/>
        </w:rPr>
      </w:pPr>
    </w:p>
    <w:p w14:paraId="67ADE628" w14:textId="77777777" w:rsidR="008F2671" w:rsidRPr="0012418A" w:rsidRDefault="008F2671" w:rsidP="008F2671">
      <w:pPr>
        <w:pStyle w:val="paragraph"/>
        <w:spacing w:before="0"/>
        <w:ind w:left="0" w:firstLine="0"/>
        <w:rPr>
          <w:sz w:val="24"/>
          <w:szCs w:val="24"/>
        </w:rPr>
      </w:pPr>
      <w:r w:rsidRPr="0012418A">
        <w:rPr>
          <w:b/>
          <w:i/>
          <w:sz w:val="24"/>
          <w:szCs w:val="24"/>
        </w:rPr>
        <w:t xml:space="preserve">Item </w:t>
      </w:r>
      <w:r w:rsidRPr="004810E6">
        <w:rPr>
          <w:b/>
          <w:i/>
          <w:sz w:val="24"/>
          <w:szCs w:val="24"/>
        </w:rPr>
        <w:t>11</w:t>
      </w:r>
      <w:r w:rsidR="004810E6">
        <w:rPr>
          <w:b/>
          <w:sz w:val="24"/>
          <w:szCs w:val="24"/>
        </w:rPr>
        <w:t xml:space="preserve"> </w:t>
      </w:r>
      <w:r w:rsidRPr="004810E6">
        <w:rPr>
          <w:sz w:val="24"/>
          <w:szCs w:val="24"/>
        </w:rPr>
        <w:t>is</w:t>
      </w:r>
      <w:r w:rsidRPr="0012418A">
        <w:rPr>
          <w:sz w:val="24"/>
          <w:szCs w:val="24"/>
        </w:rPr>
        <w:t xml:space="preserve"> a consequential amendment arising from item 12. </w:t>
      </w:r>
    </w:p>
    <w:p w14:paraId="156374FC" w14:textId="77777777" w:rsidR="008F2671" w:rsidRPr="0012418A" w:rsidRDefault="008F2671" w:rsidP="008F2671"/>
    <w:p w14:paraId="238BA2F8" w14:textId="6E4258DA" w:rsidR="00390829" w:rsidRPr="0012418A" w:rsidRDefault="008F2671" w:rsidP="00390829">
      <w:r w:rsidRPr="0012418A">
        <w:rPr>
          <w:b/>
          <w:i/>
        </w:rPr>
        <w:t>Item 12</w:t>
      </w:r>
      <w:r w:rsidR="00795E7C" w:rsidRPr="0012418A">
        <w:t xml:space="preserve"> inserts sub</w:t>
      </w:r>
      <w:r w:rsidR="00E1670A">
        <w:t>regulation</w:t>
      </w:r>
      <w:r w:rsidR="00633612">
        <w:t>s</w:t>
      </w:r>
      <w:r w:rsidR="00E1670A">
        <w:t xml:space="preserve"> </w:t>
      </w:r>
      <w:r w:rsidR="00795E7C" w:rsidRPr="0012418A">
        <w:t xml:space="preserve">18(2) </w:t>
      </w:r>
      <w:r w:rsidR="00724BAF">
        <w:t xml:space="preserve">to 18(4) </w:t>
      </w:r>
      <w:r w:rsidR="00795E7C" w:rsidRPr="0012418A">
        <w:t xml:space="preserve">in the </w:t>
      </w:r>
      <w:r w:rsidR="00D95C15" w:rsidRPr="0012418A">
        <w:t>Principal Regulations</w:t>
      </w:r>
      <w:r w:rsidR="00795E7C" w:rsidRPr="0012418A">
        <w:t>, and is</w:t>
      </w:r>
      <w:r w:rsidRPr="0012418A">
        <w:t xml:space="preserve"> an application provision </w:t>
      </w:r>
      <w:r w:rsidR="00390829" w:rsidRPr="0012418A">
        <w:t>providing</w:t>
      </w:r>
      <w:r w:rsidR="00795E7C" w:rsidRPr="0012418A">
        <w:t xml:space="preserve"> that</w:t>
      </w:r>
      <w:r w:rsidR="00390829" w:rsidRPr="0012418A">
        <w:t xml:space="preserve">: </w:t>
      </w:r>
    </w:p>
    <w:p w14:paraId="3EF7B925" w14:textId="77777777" w:rsidR="00390829" w:rsidRPr="0012418A" w:rsidRDefault="00390829" w:rsidP="00390829"/>
    <w:p w14:paraId="40868AFF" w14:textId="42D7D78D" w:rsidR="00390829" w:rsidRPr="0012418A" w:rsidRDefault="00390829" w:rsidP="00390829">
      <w:pPr>
        <w:pStyle w:val="ListParagraph"/>
        <w:numPr>
          <w:ilvl w:val="0"/>
          <w:numId w:val="15"/>
        </w:numPr>
      </w:pPr>
      <w:r w:rsidRPr="0012418A">
        <w:t>sub</w:t>
      </w:r>
      <w:r w:rsidR="00E1670A">
        <w:t xml:space="preserve">regulation </w:t>
      </w:r>
      <w:r w:rsidRPr="0012418A">
        <w:t>15A(7) applies in relation to the Regulator approving a different period for the transition of training products, if that approval is given on or after the commencement of sub</w:t>
      </w:r>
      <w:r w:rsidR="00E1670A">
        <w:t xml:space="preserve">regulation </w:t>
      </w:r>
      <w:r w:rsidRPr="0012418A">
        <w:t>15A(7), or before that commencement but only if the different period has not ended as at commencement</w:t>
      </w:r>
      <w:r w:rsidR="00CE45CE">
        <w:t>;</w:t>
      </w:r>
    </w:p>
    <w:p w14:paraId="048F2837" w14:textId="65F09D6D" w:rsidR="00390829" w:rsidRPr="0012418A" w:rsidRDefault="00390829" w:rsidP="00390829">
      <w:pPr>
        <w:pStyle w:val="ListParagraph"/>
        <w:numPr>
          <w:ilvl w:val="0"/>
          <w:numId w:val="15"/>
        </w:numPr>
      </w:pPr>
      <w:r w:rsidRPr="0012418A">
        <w:t>sub</w:t>
      </w:r>
      <w:r w:rsidR="00E1670A">
        <w:t xml:space="preserve">regulation </w:t>
      </w:r>
      <w:r w:rsidRPr="0012418A">
        <w:t>15A(10) applies in relation to an application made on or after the commencement of sub</w:t>
      </w:r>
      <w:r w:rsidR="00E1670A">
        <w:t xml:space="preserve">regulation </w:t>
      </w:r>
      <w:r w:rsidRPr="0012418A">
        <w:t>15A(1</w:t>
      </w:r>
      <w:r w:rsidR="00795E7C" w:rsidRPr="0012418A">
        <w:t>0</w:t>
      </w:r>
      <w:r w:rsidRPr="0012418A">
        <w:t xml:space="preserve">), or </w:t>
      </w:r>
      <w:r w:rsidR="00795E7C" w:rsidRPr="0012418A">
        <w:t xml:space="preserve">before that commencement but only </w:t>
      </w:r>
      <w:r w:rsidRPr="0012418A">
        <w:t>if the application has not been finally determined before that commencement</w:t>
      </w:r>
      <w:r w:rsidR="00CE45CE">
        <w:t>;</w:t>
      </w:r>
    </w:p>
    <w:p w14:paraId="030675B7" w14:textId="77777777" w:rsidR="00390829" w:rsidRPr="0012418A" w:rsidRDefault="00795E7C" w:rsidP="00390829">
      <w:pPr>
        <w:pStyle w:val="ListParagraph"/>
        <w:numPr>
          <w:ilvl w:val="0"/>
          <w:numId w:val="15"/>
        </w:numPr>
      </w:pPr>
      <w:r w:rsidRPr="0012418A">
        <w:t xml:space="preserve">there is a </w:t>
      </w:r>
      <w:r w:rsidR="00390829" w:rsidRPr="0012418A">
        <w:t xml:space="preserve">definition of </w:t>
      </w:r>
      <w:r w:rsidR="00390829" w:rsidRPr="0012418A">
        <w:rPr>
          <w:i/>
        </w:rPr>
        <w:t xml:space="preserve">finally determined </w:t>
      </w:r>
      <w:r w:rsidR="00390829" w:rsidRPr="0012418A">
        <w:t xml:space="preserve">for the purposes of </w:t>
      </w:r>
      <w:r w:rsidRPr="0012418A">
        <w:t>the application provision</w:t>
      </w:r>
      <w:r w:rsidR="00390829" w:rsidRPr="0012418A">
        <w:t>.</w:t>
      </w:r>
    </w:p>
    <w:p w14:paraId="29DE95A5" w14:textId="77777777" w:rsidR="000B69CA" w:rsidRDefault="000B69CA" w:rsidP="000B69CA">
      <w:pPr>
        <w:tabs>
          <w:tab w:val="left" w:pos="3686"/>
          <w:tab w:val="left" w:pos="5529"/>
        </w:tabs>
        <w:ind w:right="-46"/>
        <w:rPr>
          <w:u w:val="single"/>
        </w:rPr>
        <w:sectPr w:rsidR="000B69CA" w:rsidSect="0028494E">
          <w:footerReference w:type="even" r:id="rId11"/>
          <w:footerReference w:type="default" r:id="rId12"/>
          <w:pgSz w:w="11906" w:h="16838"/>
          <w:pgMar w:top="1440" w:right="1134" w:bottom="1440" w:left="1134" w:header="709" w:footer="709" w:gutter="0"/>
          <w:cols w:space="708"/>
          <w:titlePg/>
          <w:docGrid w:linePitch="360"/>
        </w:sectPr>
      </w:pPr>
    </w:p>
    <w:p w14:paraId="5B1F9C34" w14:textId="77777777" w:rsidR="00B63DD4" w:rsidRPr="008F2671" w:rsidRDefault="00B63DD4" w:rsidP="00940E2C">
      <w:pPr>
        <w:tabs>
          <w:tab w:val="left" w:pos="3686"/>
          <w:tab w:val="left" w:pos="5529"/>
        </w:tabs>
        <w:ind w:right="-46"/>
        <w:jc w:val="center"/>
        <w:rPr>
          <w:b/>
          <w:u w:val="single"/>
        </w:rPr>
      </w:pPr>
      <w:r w:rsidRPr="008F2671">
        <w:rPr>
          <w:b/>
          <w:u w:val="single"/>
        </w:rPr>
        <w:t>Statement of Compatibility with Human Rights</w:t>
      </w:r>
    </w:p>
    <w:p w14:paraId="66B86FBF" w14:textId="77777777" w:rsidR="00270E01" w:rsidRPr="008F2671" w:rsidRDefault="00270E01" w:rsidP="00940E2C">
      <w:pPr>
        <w:tabs>
          <w:tab w:val="left" w:pos="3686"/>
          <w:tab w:val="left" w:pos="5529"/>
        </w:tabs>
        <w:ind w:right="-46"/>
        <w:jc w:val="center"/>
        <w:rPr>
          <w:b/>
          <w:u w:val="single"/>
        </w:rPr>
      </w:pPr>
    </w:p>
    <w:p w14:paraId="4CA3F210" w14:textId="77777777" w:rsidR="00B63DD4" w:rsidRPr="008F2671" w:rsidRDefault="00B63DD4" w:rsidP="00270E01">
      <w:pPr>
        <w:jc w:val="center"/>
        <w:rPr>
          <w:i/>
        </w:rPr>
      </w:pPr>
      <w:r w:rsidRPr="008F2671">
        <w:t>Prepared in accordance with Part 3 of the</w:t>
      </w:r>
      <w:r w:rsidRPr="008F2671">
        <w:rPr>
          <w:i/>
        </w:rPr>
        <w:t xml:space="preserve"> Human Rights (Parliamentary Scrutiny) Act 2011</w:t>
      </w:r>
    </w:p>
    <w:p w14:paraId="488A3D6F" w14:textId="77777777" w:rsidR="00270E01" w:rsidRPr="008F2671" w:rsidRDefault="00270E01" w:rsidP="00270E01">
      <w:pPr>
        <w:jc w:val="center"/>
        <w:rPr>
          <w:i/>
        </w:rPr>
      </w:pPr>
    </w:p>
    <w:p w14:paraId="7A639B32" w14:textId="77777777" w:rsidR="00D27787" w:rsidRPr="008F2671" w:rsidRDefault="00D27787" w:rsidP="00270E01">
      <w:pPr>
        <w:jc w:val="center"/>
        <w:rPr>
          <w:i/>
        </w:rPr>
      </w:pPr>
      <w:r w:rsidRPr="008F2671">
        <w:rPr>
          <w:i/>
        </w:rPr>
        <w:t>National Vocational Education and Training Regulator Amendment (2020 Measures No.1) Regulations 2020</w:t>
      </w:r>
    </w:p>
    <w:p w14:paraId="5A45BF21" w14:textId="77777777" w:rsidR="00270E01" w:rsidRPr="008F2671" w:rsidRDefault="00270E01" w:rsidP="00270E01"/>
    <w:p w14:paraId="40C23978" w14:textId="77777777" w:rsidR="00B63DD4" w:rsidRPr="008F2671" w:rsidRDefault="00B63DD4" w:rsidP="00270E01">
      <w:r w:rsidRPr="008F2671">
        <w:t>Th</w:t>
      </w:r>
      <w:r w:rsidR="0039578C" w:rsidRPr="008F2671">
        <w:t xml:space="preserve">e </w:t>
      </w:r>
      <w:r w:rsidR="0039578C" w:rsidRPr="008F2671">
        <w:rPr>
          <w:i/>
        </w:rPr>
        <w:t>National Vocational Education and Training Regulator Amendment (</w:t>
      </w:r>
      <w:r w:rsidR="00F239B8" w:rsidRPr="008F2671">
        <w:rPr>
          <w:i/>
        </w:rPr>
        <w:t xml:space="preserve">2020 </w:t>
      </w:r>
      <w:r w:rsidR="0039578C" w:rsidRPr="008F2671">
        <w:rPr>
          <w:i/>
        </w:rPr>
        <w:t>Measures</w:t>
      </w:r>
      <w:r w:rsidR="00F239B8" w:rsidRPr="008F2671">
        <w:rPr>
          <w:i/>
        </w:rPr>
        <w:t xml:space="preserve"> No. 1</w:t>
      </w:r>
      <w:r w:rsidR="0039578C" w:rsidRPr="008F2671">
        <w:rPr>
          <w:i/>
        </w:rPr>
        <w:t>) Regulations 20</w:t>
      </w:r>
      <w:r w:rsidR="00F239B8" w:rsidRPr="008F2671">
        <w:rPr>
          <w:i/>
        </w:rPr>
        <w:t>20</w:t>
      </w:r>
      <w:r w:rsidR="0039578C" w:rsidRPr="008F2671">
        <w:rPr>
          <w:i/>
        </w:rPr>
        <w:t xml:space="preserve"> </w:t>
      </w:r>
      <w:r w:rsidR="0039578C" w:rsidRPr="008F2671">
        <w:t>(</w:t>
      </w:r>
      <w:r w:rsidR="00FD51B7" w:rsidRPr="008F2671">
        <w:t xml:space="preserve">the </w:t>
      </w:r>
      <w:r w:rsidR="00D95C15">
        <w:t>Amendment Regulations</w:t>
      </w:r>
      <w:r w:rsidR="0039578C" w:rsidRPr="008F2671">
        <w:t>)</w:t>
      </w:r>
      <w:r w:rsidRPr="008F2671">
        <w:t xml:space="preserve"> is compatible with the human rights and freedoms recognised or declared in the international instruments listed in section 3 of the </w:t>
      </w:r>
      <w:r w:rsidRPr="008F2671">
        <w:rPr>
          <w:i/>
        </w:rPr>
        <w:t>Human Rights (Parliamentary Scrutiny) Act 2011</w:t>
      </w:r>
      <w:r w:rsidRPr="008F2671">
        <w:t>.</w:t>
      </w:r>
    </w:p>
    <w:p w14:paraId="76237A52" w14:textId="77777777" w:rsidR="0062699B" w:rsidRPr="008F2671" w:rsidRDefault="0062699B" w:rsidP="00270E01">
      <w:pPr>
        <w:autoSpaceDE w:val="0"/>
        <w:autoSpaceDN w:val="0"/>
        <w:adjustRightInd w:val="0"/>
      </w:pPr>
    </w:p>
    <w:p w14:paraId="4A1891CD" w14:textId="77777777" w:rsidR="003F6543" w:rsidRPr="003F6543" w:rsidRDefault="003F6543" w:rsidP="003F6543">
      <w:pPr>
        <w:autoSpaceDE w:val="0"/>
        <w:autoSpaceDN w:val="0"/>
        <w:adjustRightInd w:val="0"/>
        <w:spacing w:after="120"/>
        <w:rPr>
          <w:b/>
        </w:rPr>
      </w:pPr>
      <w:r w:rsidRPr="003F6543">
        <w:rPr>
          <w:b/>
        </w:rPr>
        <w:t>Background</w:t>
      </w:r>
    </w:p>
    <w:p w14:paraId="2B9E429C" w14:textId="77777777" w:rsidR="003F6543" w:rsidRPr="008F2671" w:rsidRDefault="003F6543" w:rsidP="003F6543">
      <w:pPr>
        <w:ind w:right="91"/>
      </w:pPr>
      <w:r w:rsidRPr="008F2671">
        <w:t xml:space="preserve">The Act establishes the National VET Regulator (the Regulator) and provides a legislative framework for the regulation of vocational education and training (VET). This legislative framework consists of the Act, the </w:t>
      </w:r>
      <w:r w:rsidRPr="008F2671">
        <w:rPr>
          <w:i/>
        </w:rPr>
        <w:t>National Vocational Education and Training Regulator (Transitional Provisions) Act 2011</w:t>
      </w:r>
      <w:r w:rsidRPr="008F2671">
        <w:t xml:space="preserve">, the </w:t>
      </w:r>
      <w:r w:rsidRPr="008F2671">
        <w:rPr>
          <w:i/>
        </w:rPr>
        <w:t>National Vocational Education and Training Regulator (Consequential Amendments) Act 2011,</w:t>
      </w:r>
      <w:r w:rsidRPr="008F2671">
        <w:t xml:space="preserve"> the </w:t>
      </w:r>
      <w:r w:rsidRPr="008F2671">
        <w:rPr>
          <w:i/>
        </w:rPr>
        <w:t xml:space="preserve">National Vocational Education and Training Regulator (Charges) Act 2012 </w:t>
      </w:r>
      <w:r w:rsidRPr="008F2671">
        <w:t>and associated subordinate legislation.</w:t>
      </w:r>
    </w:p>
    <w:p w14:paraId="716E2C0B" w14:textId="77777777" w:rsidR="003F6543" w:rsidRPr="008F2671" w:rsidRDefault="003F6543" w:rsidP="003F6543">
      <w:pPr>
        <w:ind w:right="91"/>
      </w:pPr>
    </w:p>
    <w:p w14:paraId="2A9C85E1" w14:textId="77777777" w:rsidR="003F6543" w:rsidRPr="00D95C15" w:rsidRDefault="003F6543" w:rsidP="003F6543">
      <w:pPr>
        <w:ind w:right="91"/>
      </w:pPr>
      <w:r w:rsidRPr="00D95C15">
        <w:t xml:space="preserve">The </w:t>
      </w:r>
      <w:r w:rsidRPr="00D95C15">
        <w:rPr>
          <w:i/>
        </w:rPr>
        <w:t xml:space="preserve">National Vocational Education and Training Regulator Regulations 2011 </w:t>
      </w:r>
      <w:r w:rsidRPr="00D95C15">
        <w:t xml:space="preserve">(the </w:t>
      </w:r>
      <w:r>
        <w:t>Principal Regulations</w:t>
      </w:r>
      <w:r w:rsidRPr="00D95C15">
        <w:t xml:space="preserve">) contain provisions: </w:t>
      </w:r>
    </w:p>
    <w:p w14:paraId="51C8C129" w14:textId="77777777" w:rsidR="003F6543" w:rsidRPr="00D95C15" w:rsidRDefault="003F6543" w:rsidP="003F6543">
      <w:pPr>
        <w:pStyle w:val="ListParagraph"/>
        <w:numPr>
          <w:ilvl w:val="0"/>
          <w:numId w:val="16"/>
        </w:numPr>
        <w:ind w:right="91"/>
      </w:pPr>
      <w:r w:rsidRPr="00D95C15">
        <w:t>prescribing matters for certificates of registration</w:t>
      </w:r>
      <w:r>
        <w:t xml:space="preserve"> of NVR registered training organisations </w:t>
      </w:r>
      <w:r w:rsidRPr="008F2671">
        <w:t>(</w:t>
      </w:r>
      <w:r>
        <w:t xml:space="preserve">NVR </w:t>
      </w:r>
      <w:r w:rsidRPr="008F2671">
        <w:t>RTOs)</w:t>
      </w:r>
      <w:r w:rsidRPr="00D95C15">
        <w:t xml:space="preserve">; </w:t>
      </w:r>
    </w:p>
    <w:p w14:paraId="1DA7131F" w14:textId="77777777" w:rsidR="003F6543" w:rsidRPr="00D95C15" w:rsidRDefault="003F6543" w:rsidP="003F6543">
      <w:pPr>
        <w:pStyle w:val="ListParagraph"/>
        <w:numPr>
          <w:ilvl w:val="0"/>
          <w:numId w:val="16"/>
        </w:numPr>
        <w:ind w:right="91"/>
      </w:pPr>
      <w:r w:rsidRPr="00D95C15">
        <w:t>prescribing certain conditions of registration</w:t>
      </w:r>
      <w:r>
        <w:t xml:space="preserve"> of NVR RTOs</w:t>
      </w:r>
      <w:r w:rsidRPr="00D95C15">
        <w:t>;</w:t>
      </w:r>
    </w:p>
    <w:p w14:paraId="2D953BD8" w14:textId="77777777" w:rsidR="003F6543" w:rsidRPr="00D95C15" w:rsidRDefault="003F6543" w:rsidP="003F6543">
      <w:pPr>
        <w:pStyle w:val="ListParagraph"/>
        <w:numPr>
          <w:ilvl w:val="0"/>
          <w:numId w:val="16"/>
        </w:numPr>
        <w:ind w:right="91"/>
      </w:pPr>
      <w:r w:rsidRPr="00D95C15">
        <w:t>clarifying that certain sections of the Act are subject to an infringement notice;</w:t>
      </w:r>
    </w:p>
    <w:p w14:paraId="51258E0E" w14:textId="77777777" w:rsidR="003F6543" w:rsidRPr="00D95C15" w:rsidRDefault="003F6543" w:rsidP="003F6543">
      <w:pPr>
        <w:pStyle w:val="ListParagraph"/>
        <w:numPr>
          <w:ilvl w:val="0"/>
          <w:numId w:val="16"/>
        </w:numPr>
        <w:ind w:right="91"/>
      </w:pPr>
      <w:r w:rsidRPr="00D95C15">
        <w:t xml:space="preserve">setting out the definition of an infringement officer; </w:t>
      </w:r>
    </w:p>
    <w:p w14:paraId="28C79EF5" w14:textId="2EE4EDC1" w:rsidR="003F6543" w:rsidRPr="00D95C15" w:rsidRDefault="003F6543" w:rsidP="003F6543">
      <w:pPr>
        <w:pStyle w:val="ListParagraph"/>
        <w:numPr>
          <w:ilvl w:val="0"/>
          <w:numId w:val="16"/>
        </w:numPr>
        <w:ind w:right="91"/>
      </w:pPr>
      <w:r w:rsidRPr="00D95C15">
        <w:t xml:space="preserve">specifying circumstances related to </w:t>
      </w:r>
      <w:r w:rsidR="00B529AF">
        <w:t>issuing</w:t>
      </w:r>
      <w:r w:rsidR="00B529AF" w:rsidRPr="00D95C15">
        <w:t xml:space="preserve"> </w:t>
      </w:r>
      <w:r w:rsidRPr="00D95C15">
        <w:t xml:space="preserve">and </w:t>
      </w:r>
      <w:r w:rsidR="00B529AF">
        <w:t>withdrawing</w:t>
      </w:r>
      <w:r w:rsidRPr="00D95C15">
        <w:t xml:space="preserve"> infringement notices; </w:t>
      </w:r>
    </w:p>
    <w:p w14:paraId="0D29D7C0" w14:textId="77777777" w:rsidR="003F6543" w:rsidRPr="00D95C15" w:rsidRDefault="003F6543" w:rsidP="003F6543">
      <w:pPr>
        <w:pStyle w:val="ListParagraph"/>
        <w:numPr>
          <w:ilvl w:val="0"/>
          <w:numId w:val="16"/>
        </w:numPr>
        <w:ind w:right="91"/>
      </w:pPr>
      <w:r w:rsidRPr="00D95C15">
        <w:t xml:space="preserve">clarifying time for payment and effect; </w:t>
      </w:r>
    </w:p>
    <w:p w14:paraId="1946A3D0" w14:textId="77777777" w:rsidR="003F6543" w:rsidRPr="00D95C15" w:rsidRDefault="003F6543" w:rsidP="003F6543">
      <w:pPr>
        <w:pStyle w:val="ListParagraph"/>
        <w:numPr>
          <w:ilvl w:val="0"/>
          <w:numId w:val="16"/>
        </w:numPr>
        <w:ind w:right="91"/>
      </w:pPr>
      <w:r w:rsidRPr="00D95C15">
        <w:t>allowing refunds (where appropriate);</w:t>
      </w:r>
      <w:r>
        <w:rPr>
          <w:highlight w:val="yellow"/>
        </w:rPr>
        <w:t xml:space="preserve"> </w:t>
      </w:r>
    </w:p>
    <w:p w14:paraId="46072BD8" w14:textId="77777777" w:rsidR="003F6543" w:rsidRPr="00D95C15" w:rsidRDefault="003F6543" w:rsidP="003F6543">
      <w:pPr>
        <w:pStyle w:val="ListParagraph"/>
        <w:numPr>
          <w:ilvl w:val="0"/>
          <w:numId w:val="16"/>
        </w:numPr>
        <w:autoSpaceDE w:val="0"/>
        <w:autoSpaceDN w:val="0"/>
        <w:adjustRightInd w:val="0"/>
      </w:pPr>
      <w:r w:rsidRPr="00D95C15">
        <w:t>specifying that the Regulator may also be known as the Australian Skills Quality Authority (ASQA).</w:t>
      </w:r>
    </w:p>
    <w:p w14:paraId="1C29C9AC" w14:textId="77777777" w:rsidR="003F6543" w:rsidRPr="008F2671" w:rsidRDefault="003F6543" w:rsidP="003F6543"/>
    <w:p w14:paraId="0A2A9AE9" w14:textId="77777777" w:rsidR="003F6543" w:rsidRPr="008F2671" w:rsidRDefault="003F6543" w:rsidP="003F6543">
      <w:pPr>
        <w:autoSpaceDE w:val="0"/>
        <w:autoSpaceDN w:val="0"/>
        <w:adjustRightInd w:val="0"/>
      </w:pPr>
      <w:r w:rsidRPr="008F2671">
        <w:t>On 8 June 2017, the Australian Government announced a review of the Act and its subordinate legislation to determine if the Regulator had appropriate legislative capacity to efficiently and effectively regulate the VET sector.</w:t>
      </w:r>
    </w:p>
    <w:p w14:paraId="1F85A4CE" w14:textId="77777777" w:rsidR="003F6543" w:rsidRPr="008F2671" w:rsidRDefault="003F6543" w:rsidP="003F6543">
      <w:pPr>
        <w:autoSpaceDE w:val="0"/>
        <w:autoSpaceDN w:val="0"/>
        <w:adjustRightInd w:val="0"/>
      </w:pPr>
    </w:p>
    <w:p w14:paraId="6510233D" w14:textId="1F81D224" w:rsidR="003F6543" w:rsidRPr="008F2671" w:rsidRDefault="003F6543" w:rsidP="003F6543">
      <w:pPr>
        <w:autoSpaceDE w:val="0"/>
        <w:autoSpaceDN w:val="0"/>
        <w:adjustRightInd w:val="0"/>
      </w:pPr>
      <w:r w:rsidRPr="008F2671">
        <w:t>On 22 June 2018, the “All eyes on quality: Review of the</w:t>
      </w:r>
      <w:r w:rsidRPr="008F2671">
        <w:rPr>
          <w:i/>
        </w:rPr>
        <w:t xml:space="preserve"> National Vocational Education and Training Regulator Act 2011</w:t>
      </w:r>
      <w:r w:rsidRPr="008F2671">
        <w:t xml:space="preserve"> report” by Professor Valerie Braithwaite (the Braithwaite Review) and the Australian Government response were released. The </w:t>
      </w:r>
      <w:r w:rsidR="00543BF7">
        <w:t>Braithwaite Review</w:t>
      </w:r>
      <w:r w:rsidR="00543BF7" w:rsidRPr="008F2671">
        <w:t xml:space="preserve"> </w:t>
      </w:r>
      <w:r w:rsidRPr="008F2671">
        <w:t>made 23 recommendations to enhance student outcomes by strengthening regulation in the VET sector to improve the quality of training in Australia, and ensure students are both protected and informed.</w:t>
      </w:r>
    </w:p>
    <w:p w14:paraId="3724C20A" w14:textId="77777777" w:rsidR="003F6543" w:rsidRPr="008F2671" w:rsidRDefault="003F6543" w:rsidP="003F6543">
      <w:pPr>
        <w:autoSpaceDE w:val="0"/>
        <w:autoSpaceDN w:val="0"/>
        <w:adjustRightInd w:val="0"/>
      </w:pPr>
    </w:p>
    <w:p w14:paraId="1834BC2C" w14:textId="52677E6D" w:rsidR="003F6543" w:rsidRPr="008F2671" w:rsidRDefault="003F6543" w:rsidP="003F6543">
      <w:pPr>
        <w:autoSpaceDE w:val="0"/>
        <w:autoSpaceDN w:val="0"/>
        <w:adjustRightInd w:val="0"/>
      </w:pPr>
      <w:r w:rsidRPr="008F2671">
        <w:t xml:space="preserve">The </w:t>
      </w:r>
      <w:r w:rsidRPr="008F2671">
        <w:rPr>
          <w:i/>
        </w:rPr>
        <w:t xml:space="preserve">National Vocational Education and Training Regulator Amendment Act 2020 </w:t>
      </w:r>
      <w:r w:rsidRPr="008F2671">
        <w:t xml:space="preserve">(the Amendment Act), was enacted on 26 February 2020 and addressed some of the concerns raised </w:t>
      </w:r>
      <w:r w:rsidR="00543BF7">
        <w:t>in</w:t>
      </w:r>
      <w:r w:rsidR="00543BF7" w:rsidRPr="008F2671">
        <w:t xml:space="preserve"> </w:t>
      </w:r>
      <w:r w:rsidRPr="008F2671">
        <w:t>the Braithwaite Review, including strengthening registration requirements for NVR</w:t>
      </w:r>
      <w:r>
        <w:t xml:space="preserve"> </w:t>
      </w:r>
      <w:r w:rsidRPr="008F2671">
        <w:t>RTOs, improving data sharing and increasing the transparency of regulatory information and actions by the Regulator.</w:t>
      </w:r>
    </w:p>
    <w:p w14:paraId="3A23A2DA" w14:textId="77777777" w:rsidR="003F6543" w:rsidRPr="008F2671" w:rsidRDefault="003F6543" w:rsidP="003F6543">
      <w:pPr>
        <w:autoSpaceDE w:val="0"/>
        <w:autoSpaceDN w:val="0"/>
        <w:adjustRightInd w:val="0"/>
      </w:pPr>
    </w:p>
    <w:p w14:paraId="042B47E3" w14:textId="77777777" w:rsidR="003F6543" w:rsidRDefault="003F6543" w:rsidP="003F6543">
      <w:pPr>
        <w:autoSpaceDE w:val="0"/>
        <w:autoSpaceDN w:val="0"/>
        <w:adjustRightInd w:val="0"/>
      </w:pPr>
      <w:r w:rsidRPr="008F2671">
        <w:t xml:space="preserve">The amendments to the </w:t>
      </w:r>
      <w:r>
        <w:t>Principal Regulations</w:t>
      </w:r>
      <w:r w:rsidRPr="008F2671">
        <w:t>, primarily relate to the Amendment Act and the implementation of findings from the Braithwaite Review.</w:t>
      </w:r>
    </w:p>
    <w:p w14:paraId="0B7175E8" w14:textId="77777777" w:rsidR="003F6543" w:rsidRPr="008F2671" w:rsidRDefault="003F6543" w:rsidP="003F6543">
      <w:pPr>
        <w:autoSpaceDE w:val="0"/>
        <w:autoSpaceDN w:val="0"/>
        <w:adjustRightInd w:val="0"/>
      </w:pPr>
    </w:p>
    <w:p w14:paraId="1AC4FFBA" w14:textId="77777777" w:rsidR="003F6543" w:rsidRPr="003F6543" w:rsidRDefault="003F6543" w:rsidP="003F6543">
      <w:pPr>
        <w:autoSpaceDE w:val="0"/>
        <w:autoSpaceDN w:val="0"/>
        <w:adjustRightInd w:val="0"/>
        <w:spacing w:after="120"/>
        <w:rPr>
          <w:u w:val="single"/>
        </w:rPr>
      </w:pPr>
      <w:r w:rsidRPr="003F6543">
        <w:rPr>
          <w:u w:val="single"/>
        </w:rPr>
        <w:t>Civil penalties and infringement notices</w:t>
      </w:r>
    </w:p>
    <w:p w14:paraId="12935020" w14:textId="77777777" w:rsidR="003F6543" w:rsidRPr="008F2671" w:rsidRDefault="003F6543" w:rsidP="003F6543">
      <w:pPr>
        <w:autoSpaceDE w:val="0"/>
        <w:autoSpaceDN w:val="0"/>
        <w:adjustRightInd w:val="0"/>
      </w:pPr>
      <w:r w:rsidRPr="008F2671">
        <w:t>Under the Act, the Regulator is empowered to take a range of regulatory actions against NVR RTOs.</w:t>
      </w:r>
    </w:p>
    <w:p w14:paraId="38758F07" w14:textId="77777777" w:rsidR="003F6543" w:rsidRPr="008F2671" w:rsidRDefault="003F6543" w:rsidP="003F6543">
      <w:pPr>
        <w:autoSpaceDE w:val="0"/>
        <w:autoSpaceDN w:val="0"/>
        <w:adjustRightInd w:val="0"/>
      </w:pPr>
    </w:p>
    <w:p w14:paraId="10FCCA40" w14:textId="3CEBC6F8" w:rsidR="003F6543" w:rsidRDefault="003F6543" w:rsidP="003F6543">
      <w:pPr>
        <w:autoSpaceDE w:val="0"/>
        <w:autoSpaceDN w:val="0"/>
        <w:adjustRightInd w:val="0"/>
      </w:pPr>
      <w:r w:rsidRPr="008F2671">
        <w:t>Section 111 of the Act provides that a civil penalty applies if an NVR RTO breaches certain conditions of the organisation’s registration.</w:t>
      </w:r>
      <w:r>
        <w:t xml:space="preserve"> </w:t>
      </w:r>
      <w:r w:rsidR="00E1670A">
        <w:t xml:space="preserve">Regulation </w:t>
      </w:r>
      <w:r>
        <w:t>5 of the Principal Regulations list</w:t>
      </w:r>
      <w:r w:rsidR="00A809FA">
        <w:t>s</w:t>
      </w:r>
      <w:r>
        <w:t xml:space="preserve"> the relevant conditions.</w:t>
      </w:r>
    </w:p>
    <w:p w14:paraId="4CE7B066" w14:textId="77777777" w:rsidR="003F6543" w:rsidRDefault="003F6543" w:rsidP="003F6543">
      <w:pPr>
        <w:autoSpaceDE w:val="0"/>
        <w:autoSpaceDN w:val="0"/>
        <w:adjustRightInd w:val="0"/>
      </w:pPr>
    </w:p>
    <w:p w14:paraId="6F6706E7" w14:textId="5229C4AE" w:rsidR="003F6543" w:rsidRPr="006D6029" w:rsidRDefault="003F6543" w:rsidP="003F6543">
      <w:pPr>
        <w:autoSpaceDE w:val="0"/>
        <w:autoSpaceDN w:val="0"/>
        <w:adjustRightInd w:val="0"/>
      </w:pPr>
      <w:r w:rsidRPr="008F2671">
        <w:t xml:space="preserve">Section 149 of the Act </w:t>
      </w:r>
      <w:r>
        <w:t xml:space="preserve">enables the regulations to require payment of an infringement notice, as an alternative to </w:t>
      </w:r>
      <w:r w:rsidRPr="008F2671">
        <w:t xml:space="preserve">civil penalty </w:t>
      </w:r>
      <w:r>
        <w:t>proceedings</w:t>
      </w:r>
      <w:r w:rsidRPr="008F2671">
        <w:t>.</w:t>
      </w:r>
      <w:r w:rsidRPr="00A9090B">
        <w:t xml:space="preserve"> </w:t>
      </w:r>
      <w:r w:rsidR="00E1670A">
        <w:t xml:space="preserve">Regulation </w:t>
      </w:r>
      <w:r w:rsidRPr="00CD4222">
        <w:t xml:space="preserve">7 of </w:t>
      </w:r>
      <w:r w:rsidRPr="006D6029">
        <w:t>the Principal Regulations lists the civil penalty provisions in the Act subject to infringement notices.</w:t>
      </w:r>
    </w:p>
    <w:p w14:paraId="5E80C18E" w14:textId="77777777" w:rsidR="003F6543" w:rsidRPr="006D6029" w:rsidRDefault="003F6543" w:rsidP="003F6543">
      <w:pPr>
        <w:autoSpaceDE w:val="0"/>
        <w:autoSpaceDN w:val="0"/>
        <w:adjustRightInd w:val="0"/>
      </w:pPr>
    </w:p>
    <w:p w14:paraId="0C8E4552" w14:textId="6907A3B1" w:rsidR="003F6543" w:rsidRPr="008F2671" w:rsidRDefault="003F6543" w:rsidP="003F6543">
      <w:pPr>
        <w:autoSpaceDE w:val="0"/>
        <w:autoSpaceDN w:val="0"/>
        <w:adjustRightInd w:val="0"/>
      </w:pPr>
      <w:r w:rsidRPr="006D6029" w:rsidDel="00A9090B">
        <w:t xml:space="preserve">These </w:t>
      </w:r>
      <w:r>
        <w:t xml:space="preserve">provisions </w:t>
      </w:r>
      <w:r w:rsidRPr="006D6029" w:rsidDel="00A9090B">
        <w:t>allow for the exercise of a discretion</w:t>
      </w:r>
      <w:r>
        <w:t xml:space="preserve"> by the Regulator to use an infringement notice, rather than institute civil penalty proceedings,</w:t>
      </w:r>
      <w:r w:rsidRPr="006D6029" w:rsidDel="00A9090B">
        <w:t xml:space="preserve"> where the particular breach is considered relatively minor and it is not difficult for an infringement officer to make an assessment of culpability. </w:t>
      </w:r>
      <w:r w:rsidR="00B529AF">
        <w:t>Issuing an</w:t>
      </w:r>
      <w:r w:rsidRPr="006D6029" w:rsidDel="00A9090B">
        <w:t xml:space="preserve"> infringement notices</w:t>
      </w:r>
      <w:r>
        <w:t>, rather than</w:t>
      </w:r>
      <w:r w:rsidR="00B529AF">
        <w:t xml:space="preserve"> instituting</w:t>
      </w:r>
      <w:r>
        <w:t xml:space="preserve"> civil penalty proceedings,</w:t>
      </w:r>
      <w:r w:rsidRPr="006D6029" w:rsidDel="00A9090B">
        <w:t xml:space="preserve"> provides for efficient regulation of the VET sector</w:t>
      </w:r>
      <w:r>
        <w:t xml:space="preserve">. </w:t>
      </w:r>
      <w:r w:rsidR="00B529AF">
        <w:t xml:space="preserve">It </w:t>
      </w:r>
      <w:r>
        <w:t>enable</w:t>
      </w:r>
      <w:r w:rsidR="00B529AF">
        <w:t>s</w:t>
      </w:r>
      <w:r w:rsidRPr="006D6029" w:rsidDel="00A9090B">
        <w:t xml:space="preserve"> the Regulator to manage minor non-compliance without recourse to the courts. The amount payable under an infringement notice is 1/5 of the maximum penalty the court could impose o</w:t>
      </w:r>
      <w:r w:rsidRPr="00CD4222" w:rsidDel="00A9090B">
        <w:t xml:space="preserve">n a natural person or corporate entity under the relevant offence provisions. </w:t>
      </w:r>
    </w:p>
    <w:p w14:paraId="4906215F" w14:textId="77777777" w:rsidR="003F6543" w:rsidRPr="008F2671" w:rsidRDefault="003F6543" w:rsidP="003F6543">
      <w:pPr>
        <w:autoSpaceDE w:val="0"/>
        <w:autoSpaceDN w:val="0"/>
        <w:adjustRightInd w:val="0"/>
      </w:pPr>
    </w:p>
    <w:p w14:paraId="0B3B1767" w14:textId="77777777" w:rsidR="003F6543" w:rsidRPr="003F6543" w:rsidRDefault="003F6543" w:rsidP="003F6543">
      <w:pPr>
        <w:autoSpaceDE w:val="0"/>
        <w:autoSpaceDN w:val="0"/>
        <w:adjustRightInd w:val="0"/>
        <w:spacing w:after="120"/>
        <w:rPr>
          <w:u w:val="single"/>
        </w:rPr>
      </w:pPr>
      <w:r w:rsidRPr="003F6543">
        <w:rPr>
          <w:u w:val="single"/>
        </w:rPr>
        <w:t>Publication of information on the National Register</w:t>
      </w:r>
    </w:p>
    <w:p w14:paraId="74FD6E61" w14:textId="77777777" w:rsidR="003F6543" w:rsidRPr="008F2671" w:rsidRDefault="003F6543" w:rsidP="003F6543">
      <w:pPr>
        <w:autoSpaceDE w:val="0"/>
        <w:autoSpaceDN w:val="0"/>
        <w:adjustRightInd w:val="0"/>
        <w:rPr>
          <w:u w:val="single"/>
        </w:rPr>
      </w:pPr>
      <w:r w:rsidRPr="008F2671">
        <w:t xml:space="preserve">The National Register is a publicly accessible database that contains information on </w:t>
      </w:r>
      <w:r>
        <w:t xml:space="preserve">registered training organisations </w:t>
      </w:r>
      <w:r w:rsidRPr="008F2671">
        <w:t>and nationally recognised training products. The National Register is currently maintained on the website: training.gov.au.</w:t>
      </w:r>
    </w:p>
    <w:p w14:paraId="398086A2" w14:textId="77777777" w:rsidR="003F6543" w:rsidRPr="008F2671" w:rsidRDefault="003F6543" w:rsidP="003F6543">
      <w:pPr>
        <w:autoSpaceDE w:val="0"/>
        <w:autoSpaceDN w:val="0"/>
        <w:adjustRightInd w:val="0"/>
        <w:rPr>
          <w:u w:val="single"/>
        </w:rPr>
      </w:pPr>
    </w:p>
    <w:p w14:paraId="12B9D763" w14:textId="09DBDBE6" w:rsidR="003F6543" w:rsidRPr="008F2671" w:rsidRDefault="003F6543" w:rsidP="003F6543">
      <w:pPr>
        <w:autoSpaceDE w:val="0"/>
        <w:autoSpaceDN w:val="0"/>
        <w:adjustRightInd w:val="0"/>
      </w:pPr>
      <w:r w:rsidRPr="008F2671">
        <w:t>The Braithwaite Review examined the need to remedy gaps in information for VET consumers and found that the National Register could be more informative for the benefit of students, regulators, governments and others with a vested interest in VET.</w:t>
      </w:r>
      <w:r>
        <w:t xml:space="preserve"> While the National Register is mainly used by VET regulators, the Commonwealth and states and territories, its information is sourced for </w:t>
      </w:r>
      <w:r w:rsidR="00724BAF">
        <w:t xml:space="preserve">other Australian Government </w:t>
      </w:r>
      <w:r>
        <w:t>products including myskills.gov.au, which is used by consumers of VET such as potential students, schools</w:t>
      </w:r>
      <w:r w:rsidRPr="006E672D">
        <w:t xml:space="preserve"> </w:t>
      </w:r>
      <w:r>
        <w:t>and businesses purchasing training for staff.</w:t>
      </w:r>
    </w:p>
    <w:p w14:paraId="7E889EF8" w14:textId="77777777" w:rsidR="003F6543" w:rsidRPr="008F2671" w:rsidRDefault="003F6543" w:rsidP="003F6543">
      <w:pPr>
        <w:autoSpaceDE w:val="0"/>
        <w:autoSpaceDN w:val="0"/>
        <w:adjustRightInd w:val="0"/>
      </w:pPr>
    </w:p>
    <w:p w14:paraId="5A477E2A" w14:textId="77777777" w:rsidR="003F6543" w:rsidRPr="008F2671" w:rsidRDefault="003F6543" w:rsidP="003F6543">
      <w:pPr>
        <w:autoSpaceDE w:val="0"/>
        <w:autoSpaceDN w:val="0"/>
        <w:adjustRightInd w:val="0"/>
      </w:pPr>
      <w:r w:rsidRPr="008F2671">
        <w:t xml:space="preserve">Subsection 216(3) of the Act provides that </w:t>
      </w:r>
      <w:r>
        <w:t>regulations</w:t>
      </w:r>
      <w:r w:rsidRPr="008F2671">
        <w:t xml:space="preserve"> may set out matters the Regulator must ensure are entered on the National Register.</w:t>
      </w:r>
    </w:p>
    <w:p w14:paraId="03BFE4A8" w14:textId="77777777" w:rsidR="003F6543" w:rsidRPr="008F2671" w:rsidRDefault="003F6543" w:rsidP="003F6543">
      <w:pPr>
        <w:autoSpaceDE w:val="0"/>
        <w:autoSpaceDN w:val="0"/>
        <w:adjustRightInd w:val="0"/>
      </w:pPr>
    </w:p>
    <w:p w14:paraId="73B3BAE0" w14:textId="248B86B5" w:rsidR="003F6543" w:rsidRPr="008F2671" w:rsidRDefault="00E1670A" w:rsidP="003F6543">
      <w:pPr>
        <w:autoSpaceDE w:val="0"/>
        <w:autoSpaceDN w:val="0"/>
        <w:adjustRightInd w:val="0"/>
      </w:pPr>
      <w:r>
        <w:t xml:space="preserve">Regulation </w:t>
      </w:r>
      <w:r w:rsidR="003F6543" w:rsidRPr="008F2671">
        <w:t xml:space="preserve">15A of the </w:t>
      </w:r>
      <w:r w:rsidR="003F6543">
        <w:t>Principal Regulations</w:t>
      </w:r>
      <w:r w:rsidR="003F6543" w:rsidRPr="008F2671">
        <w:t xml:space="preserve"> sets out matters the Regulator must ensure are entered on the National Register.</w:t>
      </w:r>
    </w:p>
    <w:p w14:paraId="511505E8" w14:textId="77777777" w:rsidR="003F6543" w:rsidRPr="008F2671" w:rsidRDefault="003F6543" w:rsidP="003F6543">
      <w:pPr>
        <w:autoSpaceDE w:val="0"/>
        <w:autoSpaceDN w:val="0"/>
        <w:adjustRightInd w:val="0"/>
      </w:pPr>
    </w:p>
    <w:p w14:paraId="2E9069BA" w14:textId="77777777" w:rsidR="003F6543" w:rsidRPr="003F6543" w:rsidRDefault="003F6543" w:rsidP="003F6543">
      <w:pPr>
        <w:keepNext/>
        <w:keepLines/>
        <w:autoSpaceDE w:val="0"/>
        <w:autoSpaceDN w:val="0"/>
        <w:adjustRightInd w:val="0"/>
        <w:spacing w:after="120"/>
        <w:rPr>
          <w:b/>
        </w:rPr>
      </w:pPr>
      <w:r w:rsidRPr="003F6543">
        <w:rPr>
          <w:b/>
        </w:rPr>
        <w:t>Purpose and operation</w:t>
      </w:r>
    </w:p>
    <w:p w14:paraId="7534D33E" w14:textId="77777777" w:rsidR="003F6543" w:rsidRPr="008F2671" w:rsidRDefault="003F6543" w:rsidP="003F6543">
      <w:pPr>
        <w:keepNext/>
        <w:keepLines/>
        <w:ind w:right="91"/>
        <w:rPr>
          <w:bCs/>
        </w:rPr>
      </w:pPr>
      <w:r w:rsidRPr="008F2671">
        <w:t xml:space="preserve">The </w:t>
      </w:r>
      <w:r w:rsidRPr="008F2671">
        <w:rPr>
          <w:i/>
        </w:rPr>
        <w:t xml:space="preserve">National Vocational Education and Training Regulator Amendment (2020 Measures No. 1) Regulations 2020 </w:t>
      </w:r>
      <w:r w:rsidRPr="008F2671">
        <w:t xml:space="preserve">(the </w:t>
      </w:r>
      <w:r>
        <w:t>Amendment Regulations</w:t>
      </w:r>
      <w:r w:rsidRPr="008F2671">
        <w:t>) amends the Principal Regulation for</w:t>
      </w:r>
      <w:r w:rsidRPr="008F2671">
        <w:rPr>
          <w:bCs/>
        </w:rPr>
        <w:t xml:space="preserve"> three main purposes.</w:t>
      </w:r>
    </w:p>
    <w:p w14:paraId="0698E717" w14:textId="77777777" w:rsidR="003F6543" w:rsidRPr="008F2671" w:rsidRDefault="003F6543" w:rsidP="003F6543">
      <w:pPr>
        <w:autoSpaceDE w:val="0"/>
        <w:autoSpaceDN w:val="0"/>
        <w:adjustRightInd w:val="0"/>
        <w:rPr>
          <w:bCs/>
        </w:rPr>
      </w:pPr>
    </w:p>
    <w:p w14:paraId="5DB47241" w14:textId="77777777" w:rsidR="00B75457" w:rsidRDefault="003F6543" w:rsidP="003F6543">
      <w:pPr>
        <w:autoSpaceDE w:val="0"/>
        <w:autoSpaceDN w:val="0"/>
        <w:adjustRightInd w:val="0"/>
        <w:rPr>
          <w:bCs/>
        </w:rPr>
      </w:pPr>
      <w:r w:rsidRPr="008F2671">
        <w:rPr>
          <w:bCs/>
        </w:rPr>
        <w:t xml:space="preserve">First, </w:t>
      </w:r>
      <w:r>
        <w:rPr>
          <w:bCs/>
        </w:rPr>
        <w:t xml:space="preserve">a technical amendment </w:t>
      </w:r>
      <w:r w:rsidRPr="008F2671">
        <w:rPr>
          <w:bCs/>
        </w:rPr>
        <w:t>remove</w:t>
      </w:r>
      <w:r>
        <w:rPr>
          <w:bCs/>
        </w:rPr>
        <w:t>s</w:t>
      </w:r>
      <w:r w:rsidRPr="008F2671">
        <w:rPr>
          <w:bCs/>
        </w:rPr>
        <w:t xml:space="preserve"> Part 4 of the </w:t>
      </w:r>
      <w:r>
        <w:rPr>
          <w:bCs/>
        </w:rPr>
        <w:t xml:space="preserve">Principal Regulations as it is now redundant. </w:t>
      </w:r>
    </w:p>
    <w:p w14:paraId="32E610AF" w14:textId="5583FD49" w:rsidR="003F6543" w:rsidRDefault="003F6543" w:rsidP="003F6543">
      <w:pPr>
        <w:autoSpaceDE w:val="0"/>
        <w:autoSpaceDN w:val="0"/>
        <w:adjustRightInd w:val="0"/>
      </w:pPr>
      <w:r w:rsidRPr="00447EEF">
        <w:rPr>
          <w:bCs/>
        </w:rPr>
        <w:t>Second, the Amendment Regulations will insert additional provisions into the Principal Regulations,</w:t>
      </w:r>
      <w:r w:rsidRPr="00A9090B">
        <w:rPr>
          <w:bCs/>
        </w:rPr>
        <w:t xml:space="preserve"> prescribing</w:t>
      </w:r>
      <w:r w:rsidRPr="00A9090B">
        <w:t xml:space="preserve"> that the following matters are subject to infringement notices:</w:t>
      </w:r>
    </w:p>
    <w:p w14:paraId="4398CCAF" w14:textId="77777777" w:rsidR="00F9352E" w:rsidRPr="00A9090B" w:rsidRDefault="00F9352E" w:rsidP="003F6543">
      <w:pPr>
        <w:autoSpaceDE w:val="0"/>
        <w:autoSpaceDN w:val="0"/>
        <w:adjustRightInd w:val="0"/>
      </w:pPr>
    </w:p>
    <w:p w14:paraId="3F1ACD4F" w14:textId="77777777" w:rsidR="003F6543" w:rsidRPr="00A9090B" w:rsidRDefault="003F6543" w:rsidP="003F6543">
      <w:pPr>
        <w:pStyle w:val="ListParagraph"/>
        <w:numPr>
          <w:ilvl w:val="0"/>
          <w:numId w:val="17"/>
        </w:numPr>
        <w:autoSpaceDE w:val="0"/>
        <w:autoSpaceDN w:val="0"/>
        <w:adjustRightInd w:val="0"/>
      </w:pPr>
      <w:r w:rsidRPr="00A9090B">
        <w:t xml:space="preserve">failure of an NVR RTO to comply with a specified direction by the Regulator in relation to cancellation of VET qualifications </w:t>
      </w:r>
      <w:r>
        <w:t xml:space="preserve">or VET statements of attainment </w:t>
      </w:r>
      <w:r w:rsidRPr="00A9090B">
        <w:t>and notifying the person concerned within a specified period of time; and</w:t>
      </w:r>
    </w:p>
    <w:p w14:paraId="02433156" w14:textId="77777777" w:rsidR="003F6543" w:rsidRPr="00447EEF" w:rsidRDefault="003F6543" w:rsidP="003F6543">
      <w:pPr>
        <w:pStyle w:val="ListParagraph"/>
        <w:numPr>
          <w:ilvl w:val="0"/>
          <w:numId w:val="17"/>
        </w:numPr>
        <w:autoSpaceDE w:val="0"/>
        <w:autoSpaceDN w:val="0"/>
        <w:adjustRightInd w:val="0"/>
      </w:pPr>
      <w:r w:rsidRPr="00A9090B">
        <w:t xml:space="preserve">failure to comply with the Standards for NVR Registered Training </w:t>
      </w:r>
      <w:r w:rsidRPr="00447EEF">
        <w:t xml:space="preserve">Organisations (the Standards) by issuing a VET qualification or </w:t>
      </w:r>
      <w:r>
        <w:t xml:space="preserve">VET </w:t>
      </w:r>
      <w:r w:rsidRPr="00447EEF">
        <w:t xml:space="preserve">statement of attainment to an individual who has not been assigned a student identifier under the </w:t>
      </w:r>
      <w:r w:rsidRPr="00447EEF">
        <w:rPr>
          <w:i/>
        </w:rPr>
        <w:t>Student Identifiers Act 2014</w:t>
      </w:r>
      <w:r w:rsidRPr="00447EEF">
        <w:t>.</w:t>
      </w:r>
    </w:p>
    <w:p w14:paraId="66C8575A" w14:textId="77777777" w:rsidR="003F6543" w:rsidRPr="00447EEF" w:rsidRDefault="003F6543" w:rsidP="003F6543">
      <w:pPr>
        <w:pStyle w:val="ListParagraph"/>
        <w:autoSpaceDE w:val="0"/>
        <w:autoSpaceDN w:val="0"/>
        <w:adjustRightInd w:val="0"/>
        <w:contextualSpacing w:val="0"/>
      </w:pPr>
    </w:p>
    <w:p w14:paraId="2ECC10DC" w14:textId="77777777" w:rsidR="00CB7360" w:rsidRPr="00447EEF" w:rsidRDefault="00CB7360" w:rsidP="00CB7360">
      <w:pPr>
        <w:autoSpaceDE w:val="0"/>
        <w:autoSpaceDN w:val="0"/>
        <w:adjustRightInd w:val="0"/>
      </w:pPr>
      <w:r w:rsidRPr="00447EEF">
        <w:t xml:space="preserve">These provisions allow for </w:t>
      </w:r>
      <w:r>
        <w:t xml:space="preserve">infringement </w:t>
      </w:r>
      <w:r w:rsidRPr="00447EEF">
        <w:t>notices to be issued</w:t>
      </w:r>
      <w:r>
        <w:t xml:space="preserve"> for</w:t>
      </w:r>
      <w:r w:rsidRPr="00447EEF">
        <w:t xml:space="preserve"> offences that are </w:t>
      </w:r>
      <w:r>
        <w:t xml:space="preserve">minor and </w:t>
      </w:r>
      <w:r w:rsidRPr="00447EEF">
        <w:t xml:space="preserve">regulatory in nature. </w:t>
      </w:r>
      <w:r>
        <w:t xml:space="preserve">Allowing these matters to be dealt with through infringement notices, rather than civil penalty proceedings, gives the Regulator </w:t>
      </w:r>
      <w:r w:rsidRPr="00447EEF">
        <w:t>a discretion in</w:t>
      </w:r>
      <w:r>
        <w:t xml:space="preserve"> their response to a breach of a condition. This discretion will be exercised where it</w:t>
      </w:r>
      <w:r w:rsidRPr="00447EEF">
        <w:t xml:space="preserve"> is appropriate </w:t>
      </w:r>
      <w:r w:rsidRPr="00236FC0">
        <w:t>that NVR</w:t>
      </w:r>
      <w:r w:rsidRPr="00447EEF">
        <w:t xml:space="preserve"> RTOs be given an opportunity to make a lesser payment through an infringement notice rather than </w:t>
      </w:r>
      <w:r>
        <w:t>facing</w:t>
      </w:r>
      <w:r w:rsidRPr="00447EEF">
        <w:t xml:space="preserve"> civil </w:t>
      </w:r>
      <w:r>
        <w:t xml:space="preserve">penalty </w:t>
      </w:r>
      <w:r w:rsidRPr="00447EEF">
        <w:t>p</w:t>
      </w:r>
      <w:r>
        <w:t>roceedings.</w:t>
      </w:r>
      <w:r w:rsidRPr="00447EEF">
        <w:t xml:space="preserve"> These additional matters relate to provisions where liability can be easily </w:t>
      </w:r>
      <w:r>
        <w:t>ascertained</w:t>
      </w:r>
      <w:r w:rsidRPr="00447EEF">
        <w:t xml:space="preserve"> and</w:t>
      </w:r>
      <w:r>
        <w:t xml:space="preserve"> will</w:t>
      </w:r>
      <w:r w:rsidRPr="00447EEF">
        <w:t xml:space="preserve"> improve the efficiency of the Regulator in managing the scheme</w:t>
      </w:r>
      <w:r>
        <w:t xml:space="preserve"> by ensuring time and resources are not wasted on unnecessary civil penalty proceedings in court</w:t>
      </w:r>
      <w:r w:rsidRPr="00447EEF">
        <w:t>.</w:t>
      </w:r>
    </w:p>
    <w:p w14:paraId="65AF8762" w14:textId="77777777" w:rsidR="003F6543" w:rsidRPr="00447EEF" w:rsidRDefault="003F6543" w:rsidP="003F6543">
      <w:pPr>
        <w:autoSpaceDE w:val="0"/>
        <w:autoSpaceDN w:val="0"/>
        <w:adjustRightInd w:val="0"/>
      </w:pPr>
    </w:p>
    <w:p w14:paraId="19E9B509" w14:textId="77777777" w:rsidR="003F6543" w:rsidRPr="00A9090B" w:rsidRDefault="003F6543" w:rsidP="003F6543">
      <w:pPr>
        <w:autoSpaceDE w:val="0"/>
        <w:autoSpaceDN w:val="0"/>
        <w:adjustRightInd w:val="0"/>
      </w:pPr>
      <w:r w:rsidRPr="00447EEF">
        <w:t>Third, the Amendment Regulations will insert provisions into the Principal Regulations,</w:t>
      </w:r>
      <w:r w:rsidRPr="00A9090B">
        <w:t xml:space="preserve"> prescribing under subsection 216(3) of the Act, additional matters the Regulator must ensure are entered on the National Register. These additional matters cover:</w:t>
      </w:r>
    </w:p>
    <w:p w14:paraId="35D2EC78" w14:textId="77777777" w:rsidR="003F6543" w:rsidRPr="00A9090B" w:rsidRDefault="003F6543" w:rsidP="003F6543">
      <w:pPr>
        <w:autoSpaceDE w:val="0"/>
        <w:autoSpaceDN w:val="0"/>
        <w:adjustRightInd w:val="0"/>
      </w:pPr>
    </w:p>
    <w:p w14:paraId="77C67508" w14:textId="12548893" w:rsidR="003F6543" w:rsidRPr="00A9090B" w:rsidRDefault="003F6543" w:rsidP="003F6543">
      <w:pPr>
        <w:numPr>
          <w:ilvl w:val="0"/>
          <w:numId w:val="2"/>
        </w:numPr>
        <w:spacing w:line="240" w:lineRule="atLeast"/>
      </w:pPr>
      <w:r w:rsidRPr="00A9090B">
        <w:t xml:space="preserve">information for NVR RTOs and their </w:t>
      </w:r>
      <w:r w:rsidR="00F9352E">
        <w:t>chief executive officers</w:t>
      </w:r>
    </w:p>
    <w:p w14:paraId="1384B203" w14:textId="77777777" w:rsidR="003F6543" w:rsidRPr="00A9090B" w:rsidRDefault="003F6543" w:rsidP="003F6543">
      <w:pPr>
        <w:numPr>
          <w:ilvl w:val="0"/>
          <w:numId w:val="2"/>
        </w:numPr>
        <w:spacing w:line="240" w:lineRule="atLeast"/>
      </w:pPr>
      <w:r w:rsidRPr="00A9090B">
        <w:t>the content of previously removed regulatory decisions; and</w:t>
      </w:r>
    </w:p>
    <w:p w14:paraId="64ADEB8A" w14:textId="77777777" w:rsidR="003F6543" w:rsidRPr="00447EEF" w:rsidRDefault="003F6543" w:rsidP="003F6543">
      <w:pPr>
        <w:numPr>
          <w:ilvl w:val="0"/>
          <w:numId w:val="2"/>
        </w:numPr>
        <w:spacing w:line="240" w:lineRule="atLeast"/>
      </w:pPr>
      <w:r w:rsidRPr="00A9090B">
        <w:t>the progress of reviewable decisions and their outcomes</w:t>
      </w:r>
      <w:r w:rsidRPr="00447EEF">
        <w:t>.</w:t>
      </w:r>
    </w:p>
    <w:p w14:paraId="7F31EDC9" w14:textId="77777777" w:rsidR="003F6543" w:rsidRPr="008F2671" w:rsidRDefault="003F6543" w:rsidP="003F6543">
      <w:pPr>
        <w:ind w:right="91"/>
      </w:pPr>
    </w:p>
    <w:p w14:paraId="397C445C" w14:textId="77777777" w:rsidR="003F6543" w:rsidRDefault="003F6543" w:rsidP="003F6543">
      <w:pPr>
        <w:autoSpaceDE w:val="0"/>
        <w:autoSpaceDN w:val="0"/>
        <w:adjustRightInd w:val="0"/>
        <w:spacing w:after="120"/>
      </w:pPr>
      <w:r w:rsidRPr="008F2671">
        <w:t>Ensuring these additional matters are entered on the National Register by the Regulator increases the transparency of regulatory decision making, facilitates informed consumer decisions regarding NVR RTOs and course choices, and improves student protection.</w:t>
      </w:r>
    </w:p>
    <w:p w14:paraId="6F575F80" w14:textId="77777777" w:rsidR="003F6543" w:rsidRDefault="003F6543" w:rsidP="003F6543">
      <w:pPr>
        <w:autoSpaceDE w:val="0"/>
        <w:autoSpaceDN w:val="0"/>
        <w:adjustRightInd w:val="0"/>
        <w:spacing w:after="120"/>
      </w:pPr>
    </w:p>
    <w:p w14:paraId="05F7A8CA" w14:textId="77777777" w:rsidR="00B63DD4" w:rsidRPr="008F2671" w:rsidRDefault="00B63DD4" w:rsidP="003F6543">
      <w:pPr>
        <w:autoSpaceDE w:val="0"/>
        <w:autoSpaceDN w:val="0"/>
        <w:adjustRightInd w:val="0"/>
        <w:spacing w:after="120"/>
        <w:rPr>
          <w:b/>
        </w:rPr>
      </w:pPr>
      <w:r w:rsidRPr="008F2671">
        <w:rPr>
          <w:b/>
        </w:rPr>
        <w:t>Human rights implications</w:t>
      </w:r>
    </w:p>
    <w:p w14:paraId="09130775" w14:textId="77777777" w:rsidR="00EA6FAB" w:rsidRPr="008F2671" w:rsidRDefault="00EA6FAB" w:rsidP="00270E01">
      <w:pPr>
        <w:keepNext/>
      </w:pPr>
      <w:r w:rsidRPr="008F2671">
        <w:t xml:space="preserve">The </w:t>
      </w:r>
      <w:r w:rsidR="00D95C15">
        <w:t>Amendment Regulations</w:t>
      </w:r>
      <w:r w:rsidRPr="008F2671">
        <w:t xml:space="preserve"> engages the following human rights:</w:t>
      </w:r>
    </w:p>
    <w:p w14:paraId="3A11BE37" w14:textId="77777777" w:rsidR="00270E01" w:rsidRPr="008F2671" w:rsidRDefault="00270E01" w:rsidP="00270E01">
      <w:pPr>
        <w:keepNext/>
      </w:pPr>
    </w:p>
    <w:p w14:paraId="55BB0BFC" w14:textId="77777777" w:rsidR="00B23D12" w:rsidRPr="008F2671" w:rsidRDefault="00EA6FAB" w:rsidP="00270E01">
      <w:pPr>
        <w:pStyle w:val="ListParagraph"/>
        <w:numPr>
          <w:ilvl w:val="0"/>
          <w:numId w:val="1"/>
        </w:numPr>
        <w:contextualSpacing w:val="0"/>
      </w:pPr>
      <w:r w:rsidRPr="008F2671">
        <w:t xml:space="preserve">the right to education </w:t>
      </w:r>
      <w:r w:rsidR="00FD37BF" w:rsidRPr="008F2671">
        <w:t>–</w:t>
      </w:r>
      <w:r w:rsidRPr="008F2671">
        <w:t xml:space="preserve"> Article</w:t>
      </w:r>
      <w:r w:rsidR="00FD37BF" w:rsidRPr="008F2671">
        <w:t xml:space="preserve"> 13 of the </w:t>
      </w:r>
      <w:r w:rsidR="00FD37BF" w:rsidRPr="008F2671">
        <w:rPr>
          <w:i/>
        </w:rPr>
        <w:t>International Covenant on Economic, Social and Cultural Rights</w:t>
      </w:r>
    </w:p>
    <w:p w14:paraId="03C7B1BF" w14:textId="77777777" w:rsidR="00B23D12" w:rsidRPr="008F2671" w:rsidRDefault="00B23D12" w:rsidP="00270E01">
      <w:pPr>
        <w:pStyle w:val="ListParagraph"/>
        <w:numPr>
          <w:ilvl w:val="0"/>
          <w:numId w:val="1"/>
        </w:numPr>
        <w:contextualSpacing w:val="0"/>
      </w:pPr>
      <w:r w:rsidRPr="008F2671">
        <w:t xml:space="preserve">the right to privacy and reputation – Article 17 of the </w:t>
      </w:r>
      <w:r w:rsidRPr="008F2671">
        <w:rPr>
          <w:i/>
        </w:rPr>
        <w:t>International Covenant on Civil and Political Rights</w:t>
      </w:r>
      <w:r w:rsidRPr="008F2671">
        <w:t>.</w:t>
      </w:r>
    </w:p>
    <w:p w14:paraId="1EFA8EC8" w14:textId="77777777" w:rsidR="00447EEF" w:rsidRDefault="00447EEF" w:rsidP="00447EEF">
      <w:pPr>
        <w:keepNext/>
        <w:spacing w:after="120"/>
        <w:rPr>
          <w:i/>
        </w:rPr>
      </w:pPr>
    </w:p>
    <w:p w14:paraId="0D445072" w14:textId="77777777" w:rsidR="00104F86" w:rsidRPr="008F2671" w:rsidRDefault="00104F86" w:rsidP="00447EEF">
      <w:pPr>
        <w:keepNext/>
        <w:spacing w:after="120"/>
        <w:rPr>
          <w:i/>
        </w:rPr>
      </w:pPr>
      <w:r w:rsidRPr="008F2671">
        <w:rPr>
          <w:i/>
        </w:rPr>
        <w:t>Right to education</w:t>
      </w:r>
    </w:p>
    <w:p w14:paraId="10CEEB53" w14:textId="77777777" w:rsidR="00104F86" w:rsidRPr="008F2671" w:rsidRDefault="00104F86" w:rsidP="00270E01">
      <w:r w:rsidRPr="008F2671">
        <w:t xml:space="preserve">The </w:t>
      </w:r>
      <w:r w:rsidR="00D95C15">
        <w:t>Amendment Regulations</w:t>
      </w:r>
      <w:r w:rsidRPr="008F2671">
        <w:t xml:space="preserve"> engages the r</w:t>
      </w:r>
      <w:r w:rsidR="0013119E" w:rsidRPr="008F2671">
        <w:t>ight to education contained in A</w:t>
      </w:r>
      <w:r w:rsidRPr="008F2671">
        <w:t>rticle 13 of the</w:t>
      </w:r>
      <w:r w:rsidR="003405E5">
        <w:t xml:space="preserve"> </w:t>
      </w:r>
      <w:r w:rsidR="003405E5" w:rsidRPr="003405E5">
        <w:rPr>
          <w:i/>
        </w:rPr>
        <w:t>International Covenant on Economic, Social and Cultural Rights</w:t>
      </w:r>
      <w:r w:rsidR="003405E5">
        <w:t xml:space="preserve"> (</w:t>
      </w:r>
      <w:r w:rsidR="002179B8" w:rsidRPr="008F2671">
        <w:t>ICES</w:t>
      </w:r>
      <w:r w:rsidR="00301ADC" w:rsidRPr="008F2671">
        <w:t>C</w:t>
      </w:r>
      <w:r w:rsidR="002179B8" w:rsidRPr="008F2671">
        <w:t>R</w:t>
      </w:r>
      <w:r w:rsidR="003405E5">
        <w:t>)</w:t>
      </w:r>
      <w:r w:rsidR="00851759" w:rsidRPr="008F2671">
        <w:t>.</w:t>
      </w:r>
      <w:r w:rsidR="002179B8" w:rsidRPr="008F2671">
        <w:t xml:space="preserve"> </w:t>
      </w:r>
      <w:r w:rsidRPr="008F2671">
        <w:t>Article 13 recognises the important personal, societal, economic and intellectual benefits of education.</w:t>
      </w:r>
      <w:r w:rsidR="000F7CB0" w:rsidRPr="008F2671">
        <w:t xml:space="preserve"> Article 13 provides that secondary education in its different forms, including technical and vocational secondary education, shall be made generally available and accessible to all by every appropriate means. It also requires education to be safe, with institutions and programs with appropriate physical facilities, trained teachers, teaching materials, libraries and computer facilities.</w:t>
      </w:r>
    </w:p>
    <w:p w14:paraId="6D2694AF" w14:textId="77777777" w:rsidR="00F75043" w:rsidRPr="008F2671" w:rsidRDefault="00F75043" w:rsidP="00270E01"/>
    <w:p w14:paraId="7C22ECFD" w14:textId="77777777" w:rsidR="00916782" w:rsidRPr="008F2671" w:rsidRDefault="00104F86" w:rsidP="00270E01">
      <w:r w:rsidRPr="008F2671">
        <w:t xml:space="preserve">The measures in the </w:t>
      </w:r>
      <w:r w:rsidR="00D95C15">
        <w:t>Amendment Regulations</w:t>
      </w:r>
      <w:r w:rsidR="00DB42D7" w:rsidRPr="008F2671">
        <w:t xml:space="preserve"> engage the right to education because they</w:t>
      </w:r>
      <w:r w:rsidRPr="008F2671">
        <w:t xml:space="preserve"> seek to </w:t>
      </w:r>
      <w:r w:rsidR="00DB42D7" w:rsidRPr="008F2671">
        <w:t xml:space="preserve">strengthen </w:t>
      </w:r>
      <w:r w:rsidRPr="008F2671">
        <w:t xml:space="preserve">the integrity of the </w:t>
      </w:r>
      <w:r w:rsidR="00916782" w:rsidRPr="008F2671">
        <w:t xml:space="preserve">VET </w:t>
      </w:r>
      <w:r w:rsidRPr="008F2671">
        <w:t>sector</w:t>
      </w:r>
      <w:r w:rsidR="00A05A19" w:rsidRPr="008F2671">
        <w:t xml:space="preserve"> by ensuring </w:t>
      </w:r>
      <w:r w:rsidR="002D7E30" w:rsidRPr="008F2671">
        <w:t xml:space="preserve">that </w:t>
      </w:r>
      <w:r w:rsidR="00A05A19" w:rsidRPr="008F2671">
        <w:t>there are</w:t>
      </w:r>
      <w:r w:rsidRPr="008F2671">
        <w:t xml:space="preserve"> strong quality assurance</w:t>
      </w:r>
      <w:r w:rsidR="00916782" w:rsidRPr="008F2671">
        <w:t xml:space="preserve"> mechanisms in place</w:t>
      </w:r>
      <w:r w:rsidRPr="008F2671">
        <w:t xml:space="preserve"> in </w:t>
      </w:r>
      <w:r w:rsidR="00A05A19" w:rsidRPr="008F2671">
        <w:t>order for</w:t>
      </w:r>
      <w:r w:rsidRPr="008F2671">
        <w:t xml:space="preserve"> high quality training outcomes </w:t>
      </w:r>
      <w:r w:rsidR="00A05A19" w:rsidRPr="008F2671">
        <w:t xml:space="preserve">to be delivered to </w:t>
      </w:r>
      <w:r w:rsidRPr="008F2671">
        <w:t xml:space="preserve">students. An individual’s qualifications should be a reliable measure for employers </w:t>
      </w:r>
      <w:r w:rsidR="00D50848" w:rsidRPr="008F2671">
        <w:t xml:space="preserve">of </w:t>
      </w:r>
      <w:r w:rsidRPr="008F2671">
        <w:t xml:space="preserve">the knowledge and skills that they possess, regardless </w:t>
      </w:r>
      <w:r w:rsidR="00053874" w:rsidRPr="008F2671">
        <w:t>of where they trained.</w:t>
      </w:r>
    </w:p>
    <w:p w14:paraId="62EAAA02" w14:textId="77777777" w:rsidR="00BE06A1" w:rsidRPr="008F2671" w:rsidRDefault="00BE06A1" w:rsidP="00270E01"/>
    <w:p w14:paraId="5F88F18E" w14:textId="77777777" w:rsidR="00CC07A5" w:rsidRPr="008F2671" w:rsidRDefault="00FB3269" w:rsidP="00270E01">
      <w:r w:rsidRPr="008F2671">
        <w:t>To comply with the Standards, a</w:t>
      </w:r>
      <w:r w:rsidR="00FD51B7" w:rsidRPr="008F2671">
        <w:t>n</w:t>
      </w:r>
      <w:r w:rsidRPr="008F2671">
        <w:t xml:space="preserve"> </w:t>
      </w:r>
      <w:r w:rsidR="0013119E" w:rsidRPr="008F2671">
        <w:t xml:space="preserve">NVR </w:t>
      </w:r>
      <w:r w:rsidR="00FD51B7" w:rsidRPr="008F2671">
        <w:t>RTO</w:t>
      </w:r>
      <w:r w:rsidRPr="008F2671">
        <w:t xml:space="preserve"> must not </w:t>
      </w:r>
      <w:r w:rsidR="00D50848" w:rsidRPr="008F2671">
        <w:rPr>
          <w:color w:val="000000" w:themeColor="text1"/>
        </w:rPr>
        <w:t>issue</w:t>
      </w:r>
      <w:r w:rsidRPr="008F2671">
        <w:rPr>
          <w:color w:val="000000" w:themeColor="text1"/>
        </w:rPr>
        <w:t xml:space="preserve"> a VET qualification or </w:t>
      </w:r>
      <w:r w:rsidR="00364660">
        <w:rPr>
          <w:color w:val="000000" w:themeColor="text1"/>
        </w:rPr>
        <w:t xml:space="preserve">VET </w:t>
      </w:r>
      <w:r w:rsidRPr="008F2671">
        <w:rPr>
          <w:color w:val="000000" w:themeColor="text1"/>
        </w:rPr>
        <w:t>statement of attainment to an individual without being in receipt of a verified student identifier</w:t>
      </w:r>
      <w:r w:rsidRPr="008F2671">
        <w:t xml:space="preserve"> for that individual, unless an exemption applies under the </w:t>
      </w:r>
      <w:r w:rsidRPr="008F2671">
        <w:rPr>
          <w:i/>
        </w:rPr>
        <w:t>Student Identifiers Act 2014</w:t>
      </w:r>
      <w:r w:rsidRPr="008F2671">
        <w:t xml:space="preserve">. </w:t>
      </w:r>
      <w:r w:rsidR="00245052" w:rsidRPr="008F2671">
        <w:t xml:space="preserve">The </w:t>
      </w:r>
      <w:r w:rsidR="00D95C15">
        <w:t>Amendment Regulations</w:t>
      </w:r>
      <w:r w:rsidR="00245052" w:rsidRPr="008F2671">
        <w:t xml:space="preserve"> seeks to e</w:t>
      </w:r>
      <w:r w:rsidR="00BE06A1" w:rsidRPr="008F2671">
        <w:t>nsur</w:t>
      </w:r>
      <w:r w:rsidR="00245052" w:rsidRPr="008F2671">
        <w:t>e</w:t>
      </w:r>
      <w:r w:rsidR="00BE06A1" w:rsidRPr="008F2671">
        <w:t xml:space="preserve"> compliance with</w:t>
      </w:r>
      <w:r w:rsidR="00245052" w:rsidRPr="008F2671">
        <w:t xml:space="preserve"> </w:t>
      </w:r>
      <w:r w:rsidR="00BE06A1" w:rsidRPr="008F2671">
        <w:t>the Standards through</w:t>
      </w:r>
      <w:r w:rsidR="00DE0931" w:rsidRPr="008F2671">
        <w:t xml:space="preserve"> an</w:t>
      </w:r>
      <w:r w:rsidR="00BE06A1" w:rsidRPr="008F2671">
        <w:t xml:space="preserve"> infringement notice</w:t>
      </w:r>
      <w:r w:rsidR="00DE0931" w:rsidRPr="008F2671">
        <w:t xml:space="preserve"> scheme</w:t>
      </w:r>
      <w:r w:rsidR="00245052" w:rsidRPr="008F2671">
        <w:t xml:space="preserve"> </w:t>
      </w:r>
      <w:r w:rsidR="00DE0931" w:rsidRPr="008F2671">
        <w:t>to</w:t>
      </w:r>
      <w:r w:rsidR="00BE06A1" w:rsidRPr="008F2671">
        <w:t xml:space="preserve"> support effective re</w:t>
      </w:r>
      <w:r w:rsidR="002C76D6" w:rsidRPr="008F2671">
        <w:t>g</w:t>
      </w:r>
      <w:r w:rsidR="00BE06A1" w:rsidRPr="008F2671">
        <w:t>ulation</w:t>
      </w:r>
      <w:r w:rsidR="0013119E" w:rsidRPr="008F2671">
        <w:t>,</w:t>
      </w:r>
      <w:r w:rsidR="00BE06A1" w:rsidRPr="008F2671">
        <w:t xml:space="preserve"> by adding </w:t>
      </w:r>
      <w:r w:rsidR="001B1046" w:rsidRPr="008F2671">
        <w:t>other</w:t>
      </w:r>
      <w:r w:rsidR="00BE06A1" w:rsidRPr="008F2671">
        <w:t xml:space="preserve"> regulatory mechanisms available to the Regulator. </w:t>
      </w:r>
    </w:p>
    <w:p w14:paraId="23A7C4D5" w14:textId="77777777" w:rsidR="00E316E2" w:rsidRPr="008F2671" w:rsidRDefault="00E316E2" w:rsidP="00270E01"/>
    <w:p w14:paraId="7636D699" w14:textId="0039B8B6" w:rsidR="006E672D" w:rsidRPr="008F2671" w:rsidRDefault="0039477A" w:rsidP="00270E01">
      <w:r w:rsidRPr="008F2671">
        <w:t xml:space="preserve">VET qualifications and </w:t>
      </w:r>
      <w:r w:rsidR="00364660">
        <w:t xml:space="preserve">VET </w:t>
      </w:r>
      <w:r w:rsidRPr="008F2671">
        <w:t>statement</w:t>
      </w:r>
      <w:r w:rsidR="004B7199">
        <w:t>s of attainment</w:t>
      </w:r>
      <w:r w:rsidRPr="008F2671">
        <w:t xml:space="preserve"> are important documents</w:t>
      </w:r>
      <w:r w:rsidR="00633612">
        <w:t xml:space="preserve"> issued to students</w:t>
      </w:r>
      <w:r w:rsidRPr="008F2671">
        <w:t xml:space="preserve"> that are presented to employers and licensing bodies as evidence in competencies gained by the individual in completing a course.</w:t>
      </w:r>
      <w:r w:rsidR="00524BC4" w:rsidRPr="008F2671">
        <w:t xml:space="preserve"> </w:t>
      </w:r>
    </w:p>
    <w:p w14:paraId="30D3A6C4" w14:textId="77777777" w:rsidR="003405E5" w:rsidRDefault="003405E5" w:rsidP="00270E01"/>
    <w:p w14:paraId="42B1785B" w14:textId="4433F223" w:rsidR="004F468C" w:rsidRPr="008F2671" w:rsidRDefault="00524BC4" w:rsidP="004F468C">
      <w:pPr>
        <w:ind w:right="91"/>
        <w:rPr>
          <w:lang w:eastAsia="en-US"/>
        </w:rPr>
      </w:pPr>
      <w:r w:rsidRPr="008F2671">
        <w:t xml:space="preserve">It is important that </w:t>
      </w:r>
      <w:r w:rsidR="0013119E" w:rsidRPr="008F2671">
        <w:t xml:space="preserve">NVR </w:t>
      </w:r>
      <w:r w:rsidRPr="008F2671">
        <w:t xml:space="preserve">RTOs present these documents to verified individuals who hold a student identifier (unless an exemption applies) to protect the integrity of the student identifier </w:t>
      </w:r>
      <w:r w:rsidR="00364660">
        <w:t>scheme</w:t>
      </w:r>
      <w:r w:rsidR="00364660" w:rsidRPr="008F2671">
        <w:t xml:space="preserve"> </w:t>
      </w:r>
      <w:r w:rsidRPr="008F2671">
        <w:t>and to provide confidence to industry on the authenticity of an individual’s VET qualification</w:t>
      </w:r>
      <w:r w:rsidR="004810E6">
        <w:t xml:space="preserve"> or VET statement of attainment</w:t>
      </w:r>
      <w:r w:rsidRPr="008F2671">
        <w:t>.</w:t>
      </w:r>
      <w:r w:rsidR="002B4BD7">
        <w:t xml:space="preserve"> </w:t>
      </w:r>
      <w:r w:rsidR="004F468C">
        <w:t xml:space="preserve">If a student has been issued with a student identifier, an authenticated VET transcript for the student (under the </w:t>
      </w:r>
      <w:r w:rsidR="004F468C" w:rsidRPr="0037135A">
        <w:rPr>
          <w:i/>
        </w:rPr>
        <w:t>Student Identifiers Act 2014</w:t>
      </w:r>
      <w:r w:rsidR="004F468C">
        <w:t>) can be made available to</w:t>
      </w:r>
      <w:r w:rsidR="004B7199">
        <w:t>,</w:t>
      </w:r>
      <w:r w:rsidR="004F468C">
        <w:t xml:space="preserve"> for example, an employer. This provides a mechanism to check that the study that has led to </w:t>
      </w:r>
      <w:r w:rsidR="004810E6">
        <w:t xml:space="preserve">a </w:t>
      </w:r>
      <w:r w:rsidR="004F468C">
        <w:t>VET qualification or VET statement of attainment has been undertaken by the student and therefore that the VET qualification of VET statement of attainment is authentic.</w:t>
      </w:r>
    </w:p>
    <w:p w14:paraId="2D631C04" w14:textId="77777777" w:rsidR="003E40CB" w:rsidRPr="008F2671" w:rsidRDefault="003E40CB" w:rsidP="00270E01"/>
    <w:p w14:paraId="4E36A0F1" w14:textId="77777777" w:rsidR="00CD54EA" w:rsidRPr="008F2671" w:rsidRDefault="00F75043" w:rsidP="00270E01">
      <w:r w:rsidRPr="008F2671">
        <w:t>F</w:t>
      </w:r>
      <w:r w:rsidR="007D41D8" w:rsidRPr="008F2671">
        <w:t xml:space="preserve">urther, the measures </w:t>
      </w:r>
      <w:r w:rsidR="00F55C87" w:rsidRPr="008F2671">
        <w:t xml:space="preserve">that </w:t>
      </w:r>
      <w:r w:rsidR="007D41D8" w:rsidRPr="008F2671">
        <w:t>requir</w:t>
      </w:r>
      <w:r w:rsidR="00F55C87" w:rsidRPr="008F2671">
        <w:t>e</w:t>
      </w:r>
      <w:r w:rsidR="007D41D8" w:rsidRPr="008F2671">
        <w:t xml:space="preserve"> the Regulator to ensure </w:t>
      </w:r>
      <w:r w:rsidR="00C067A9" w:rsidRPr="008F2671">
        <w:t>additional information is</w:t>
      </w:r>
      <w:r w:rsidR="007D41D8" w:rsidRPr="008F2671">
        <w:t xml:space="preserve"> entered on the National Register</w:t>
      </w:r>
      <w:r w:rsidR="00F55C87" w:rsidRPr="008F2671">
        <w:t>,</w:t>
      </w:r>
      <w:r w:rsidR="00357702" w:rsidRPr="008F2671">
        <w:t xml:space="preserve"> also </w:t>
      </w:r>
      <w:r w:rsidR="00C72476" w:rsidRPr="008F2671">
        <w:t>promote</w:t>
      </w:r>
      <w:r w:rsidR="00357702" w:rsidRPr="008F2671">
        <w:t xml:space="preserve"> the</w:t>
      </w:r>
      <w:r w:rsidR="00C72476" w:rsidRPr="008F2671">
        <w:t xml:space="preserve"> right to education. </w:t>
      </w:r>
      <w:r w:rsidR="0013119E" w:rsidRPr="008F2671">
        <w:t xml:space="preserve">This </w:t>
      </w:r>
      <w:r w:rsidR="00C72476" w:rsidRPr="008F2671">
        <w:t>include</w:t>
      </w:r>
      <w:r w:rsidR="00C067A9" w:rsidRPr="008F2671">
        <w:t>s</w:t>
      </w:r>
      <w:r w:rsidR="001B1046" w:rsidRPr="008F2671">
        <w:t xml:space="preserve"> </w:t>
      </w:r>
      <w:r w:rsidR="001C5261" w:rsidRPr="008F2671">
        <w:t xml:space="preserve">contact details for </w:t>
      </w:r>
      <w:r w:rsidR="0013119E" w:rsidRPr="008F2671">
        <w:t xml:space="preserve">NVR </w:t>
      </w:r>
      <w:r w:rsidR="00FD0C21" w:rsidRPr="008F2671">
        <w:t>RTOs</w:t>
      </w:r>
      <w:r w:rsidR="001C5261" w:rsidRPr="008F2671">
        <w:t xml:space="preserve">, </w:t>
      </w:r>
      <w:r w:rsidR="0013119E" w:rsidRPr="008F2671">
        <w:t xml:space="preserve">information about </w:t>
      </w:r>
      <w:r w:rsidR="001C5261" w:rsidRPr="008F2671">
        <w:t xml:space="preserve">regulatory decisions, transitional arrangements of training products, and the </w:t>
      </w:r>
      <w:r w:rsidR="00245052" w:rsidRPr="008F2671">
        <w:t xml:space="preserve">progress </w:t>
      </w:r>
      <w:r w:rsidR="001C5261" w:rsidRPr="008F2671">
        <w:t xml:space="preserve">of reviewable </w:t>
      </w:r>
      <w:r w:rsidR="00245052" w:rsidRPr="008F2671">
        <w:t>decisions through internal and external review</w:t>
      </w:r>
      <w:r w:rsidR="00784815" w:rsidRPr="008F2671">
        <w:t xml:space="preserve">. </w:t>
      </w:r>
      <w:r w:rsidR="00D50848" w:rsidRPr="008F2671">
        <w:t xml:space="preserve">Ensuring </w:t>
      </w:r>
      <w:r w:rsidR="0013119E" w:rsidRPr="008F2671">
        <w:t>this</w:t>
      </w:r>
      <w:r w:rsidR="000907F9" w:rsidRPr="008F2671">
        <w:t xml:space="preserve"> additional </w:t>
      </w:r>
      <w:r w:rsidR="00C067A9" w:rsidRPr="008F2671">
        <w:t xml:space="preserve">information is </w:t>
      </w:r>
      <w:r w:rsidR="000907F9" w:rsidRPr="008F2671">
        <w:t>publicly available</w:t>
      </w:r>
      <w:r w:rsidR="00774D45" w:rsidRPr="008F2671">
        <w:t xml:space="preserve"> increases the transparency of VET</w:t>
      </w:r>
      <w:r w:rsidR="009352F6" w:rsidRPr="008F2671">
        <w:t>,</w:t>
      </w:r>
      <w:r w:rsidR="00FD0C21" w:rsidRPr="008F2671">
        <w:t xml:space="preserve"> </w:t>
      </w:r>
      <w:r w:rsidR="00B32E7F" w:rsidRPr="008F2671">
        <w:t>support</w:t>
      </w:r>
      <w:r w:rsidR="009352F6" w:rsidRPr="008F2671">
        <w:t>s</w:t>
      </w:r>
      <w:r w:rsidR="00B32E7F" w:rsidRPr="008F2671">
        <w:t xml:space="preserve"> </w:t>
      </w:r>
      <w:r w:rsidR="00FD0C21" w:rsidRPr="008F2671">
        <w:t>a high quality VET sector</w:t>
      </w:r>
      <w:r w:rsidR="009352F6" w:rsidRPr="008F2671">
        <w:t>,</w:t>
      </w:r>
      <w:r w:rsidR="007B3021" w:rsidRPr="008F2671">
        <w:t xml:space="preserve"> and ensures the National Register is </w:t>
      </w:r>
      <w:r w:rsidR="0077439B" w:rsidRPr="008F2671">
        <w:t xml:space="preserve">up-to-date, </w:t>
      </w:r>
      <w:r w:rsidR="007B3021" w:rsidRPr="008F2671">
        <w:t>complete and informative</w:t>
      </w:r>
      <w:r w:rsidR="00FD0C21" w:rsidRPr="008F2671">
        <w:t>.</w:t>
      </w:r>
      <w:r w:rsidR="007B3021" w:rsidRPr="008F2671">
        <w:t xml:space="preserve"> </w:t>
      </w:r>
      <w:r w:rsidR="00FD0C21" w:rsidRPr="008F2671">
        <w:t>This</w:t>
      </w:r>
      <w:r w:rsidR="007B3021" w:rsidRPr="008F2671">
        <w:t xml:space="preserve"> enables</w:t>
      </w:r>
      <w:r w:rsidR="004479BF" w:rsidRPr="008F2671">
        <w:t xml:space="preserve"> better program administration by governments and better protection of students by</w:t>
      </w:r>
      <w:r w:rsidR="007B3021" w:rsidRPr="008F2671">
        <w:t xml:space="preserve"> </w:t>
      </w:r>
      <w:r w:rsidR="00B32E7F" w:rsidRPr="008F2671">
        <w:t>VET</w:t>
      </w:r>
      <w:r w:rsidR="007B3021" w:rsidRPr="008F2671">
        <w:t xml:space="preserve"> regulators, </w:t>
      </w:r>
      <w:r w:rsidR="00364660">
        <w:t xml:space="preserve">the Commonwealth </w:t>
      </w:r>
      <w:r w:rsidR="007B3021" w:rsidRPr="008F2671">
        <w:t>and state and terri</w:t>
      </w:r>
      <w:r w:rsidR="004479BF" w:rsidRPr="008F2671">
        <w:t xml:space="preserve">tory governments that fund </w:t>
      </w:r>
      <w:r w:rsidR="0013119E" w:rsidRPr="008F2671">
        <w:t xml:space="preserve">NVR </w:t>
      </w:r>
      <w:r w:rsidR="004479BF" w:rsidRPr="008F2671">
        <w:t xml:space="preserve">RTOs. </w:t>
      </w:r>
      <w:r w:rsidR="000907F9" w:rsidRPr="008F2671">
        <w:t xml:space="preserve">The improved transparency will enhance the accessibility of VET </w:t>
      </w:r>
      <w:r w:rsidR="00784815" w:rsidRPr="008F2671">
        <w:t xml:space="preserve">information, </w:t>
      </w:r>
      <w:r w:rsidR="000907F9" w:rsidRPr="008F2671">
        <w:t xml:space="preserve">leading to </w:t>
      </w:r>
      <w:r w:rsidR="00B51920" w:rsidRPr="008F2671">
        <w:t>students</w:t>
      </w:r>
      <w:r w:rsidR="000907F9" w:rsidRPr="008F2671">
        <w:t xml:space="preserve"> being able to make informed decisions about their education.</w:t>
      </w:r>
    </w:p>
    <w:p w14:paraId="20C90F13" w14:textId="77777777" w:rsidR="001B7EA2" w:rsidRPr="008F2671" w:rsidRDefault="001B7EA2" w:rsidP="00270E01"/>
    <w:p w14:paraId="5C54175B" w14:textId="77777777" w:rsidR="000907F9" w:rsidRPr="008F2671" w:rsidRDefault="001B324B" w:rsidP="00270E01">
      <w:r w:rsidRPr="008F2671">
        <w:t xml:space="preserve">The </w:t>
      </w:r>
      <w:r w:rsidR="00D95C15">
        <w:t>Amendment Regulations</w:t>
      </w:r>
      <w:r w:rsidRPr="008F2671">
        <w:t xml:space="preserve"> </w:t>
      </w:r>
      <w:r w:rsidR="00774D45" w:rsidRPr="008F2671">
        <w:t>promotes</w:t>
      </w:r>
      <w:r w:rsidR="009D3E94" w:rsidRPr="008F2671">
        <w:t xml:space="preserve"> and is compatible with</w:t>
      </w:r>
      <w:r w:rsidRPr="008F2671">
        <w:t xml:space="preserve"> the right to education.</w:t>
      </w:r>
    </w:p>
    <w:p w14:paraId="2110D487" w14:textId="77777777" w:rsidR="0013119E" w:rsidRPr="008F2671" w:rsidRDefault="0013119E" w:rsidP="00270E01"/>
    <w:p w14:paraId="1DB60A0C" w14:textId="77777777" w:rsidR="00357702" w:rsidRPr="008F2671" w:rsidRDefault="00357702" w:rsidP="0012418A">
      <w:pPr>
        <w:keepNext/>
        <w:spacing w:after="120"/>
        <w:rPr>
          <w:i/>
        </w:rPr>
      </w:pPr>
      <w:r w:rsidRPr="008F2671">
        <w:rPr>
          <w:i/>
        </w:rPr>
        <w:t>Right to privacy and reputation</w:t>
      </w:r>
    </w:p>
    <w:p w14:paraId="6BAC4161" w14:textId="77777777" w:rsidR="003E40CB" w:rsidRPr="008F2671" w:rsidRDefault="00357702" w:rsidP="00270E01">
      <w:r w:rsidRPr="008F2671">
        <w:t xml:space="preserve">The </w:t>
      </w:r>
      <w:r w:rsidR="00D95C15">
        <w:t>Amendment Regulations</w:t>
      </w:r>
      <w:r w:rsidRPr="008F2671">
        <w:t xml:space="preserve"> engages the right to privacy and reputation contained in </w:t>
      </w:r>
      <w:r w:rsidR="002179B8" w:rsidRPr="008F2671">
        <w:t>A</w:t>
      </w:r>
      <w:r w:rsidRPr="008F2671">
        <w:t xml:space="preserve">rticle 17 </w:t>
      </w:r>
      <w:r w:rsidR="002179B8" w:rsidRPr="008F2671">
        <w:t xml:space="preserve">of the </w:t>
      </w:r>
      <w:r w:rsidR="00CD54EA" w:rsidRPr="008F2671">
        <w:rPr>
          <w:i/>
        </w:rPr>
        <w:t>International Covenant on Civil and Political Rights</w:t>
      </w:r>
      <w:r w:rsidR="00401607" w:rsidRPr="008F2671">
        <w:t>.</w:t>
      </w:r>
      <w:r w:rsidRPr="008F2671">
        <w:t xml:space="preserve"> </w:t>
      </w:r>
      <w:r w:rsidR="005859A8" w:rsidRPr="008F2671">
        <w:t xml:space="preserve">This article prohibits the unlawful or arbitrary interferences with a person’s privacy, family, home and correspondence. </w:t>
      </w:r>
    </w:p>
    <w:p w14:paraId="4A5509F8" w14:textId="77777777" w:rsidR="003E40CB" w:rsidRPr="008F2671" w:rsidRDefault="003E40CB" w:rsidP="00270E01"/>
    <w:p w14:paraId="3B6C3FF1" w14:textId="77777777" w:rsidR="00A90D00" w:rsidRPr="008F2671" w:rsidRDefault="00E316E2" w:rsidP="00270E01">
      <w:r w:rsidRPr="008F2671">
        <w:t>M</w:t>
      </w:r>
      <w:r w:rsidR="008C6FAE" w:rsidRPr="008F2671">
        <w:t xml:space="preserve">easures </w:t>
      </w:r>
      <w:r w:rsidRPr="008F2671">
        <w:t xml:space="preserve">in </w:t>
      </w:r>
      <w:r w:rsidR="00357702" w:rsidRPr="008F2671">
        <w:t xml:space="preserve">the </w:t>
      </w:r>
      <w:r w:rsidR="00D95C15">
        <w:t>Amendment Regulations</w:t>
      </w:r>
      <w:r w:rsidR="00357702" w:rsidRPr="008F2671">
        <w:t xml:space="preserve"> </w:t>
      </w:r>
      <w:r w:rsidR="008C6FAE" w:rsidRPr="008F2671">
        <w:t>require the Regulator to ensure</w:t>
      </w:r>
      <w:r w:rsidR="005859A8" w:rsidRPr="008F2671">
        <w:t xml:space="preserve"> additional </w:t>
      </w:r>
      <w:r w:rsidR="001C5261" w:rsidRPr="008F2671">
        <w:t xml:space="preserve">contact </w:t>
      </w:r>
      <w:r w:rsidR="008C6FAE" w:rsidRPr="008F2671">
        <w:t xml:space="preserve">details </w:t>
      </w:r>
      <w:r w:rsidR="001C5261" w:rsidRPr="008F2671">
        <w:t>for</w:t>
      </w:r>
      <w:r w:rsidR="003E40CB" w:rsidRPr="008F2671">
        <w:t xml:space="preserve"> NVR</w:t>
      </w:r>
      <w:r w:rsidR="001C5261" w:rsidRPr="008F2671">
        <w:t xml:space="preserve"> </w:t>
      </w:r>
      <w:r w:rsidR="00E9760B" w:rsidRPr="008F2671">
        <w:t xml:space="preserve">RTOs </w:t>
      </w:r>
      <w:r w:rsidR="00B40EFD" w:rsidRPr="008F2671">
        <w:t>are included on the National Register</w:t>
      </w:r>
      <w:r w:rsidR="008D0827" w:rsidRPr="008F2671">
        <w:t>.</w:t>
      </w:r>
      <w:r w:rsidR="00B40EFD" w:rsidRPr="008F2671">
        <w:t xml:space="preserve"> </w:t>
      </w:r>
      <w:r w:rsidR="008D0827" w:rsidRPr="008F2671">
        <w:t xml:space="preserve">These </w:t>
      </w:r>
      <w:r w:rsidR="001C5261" w:rsidRPr="008F2671">
        <w:t>includ</w:t>
      </w:r>
      <w:r w:rsidR="008D0827" w:rsidRPr="008F2671">
        <w:t>e</w:t>
      </w:r>
      <w:r w:rsidR="00B40EFD" w:rsidRPr="008F2671">
        <w:t xml:space="preserve"> details for</w:t>
      </w:r>
      <w:r w:rsidR="001C5261" w:rsidRPr="008F2671">
        <w:t xml:space="preserve"> </w:t>
      </w:r>
      <w:r w:rsidR="00B40EFD" w:rsidRPr="008F2671">
        <w:t xml:space="preserve">contacting the </w:t>
      </w:r>
      <w:r w:rsidR="003E40CB" w:rsidRPr="008F2671">
        <w:t xml:space="preserve">NVR </w:t>
      </w:r>
      <w:r w:rsidR="001C4BF4" w:rsidRPr="008F2671">
        <w:t xml:space="preserve">RTO </w:t>
      </w:r>
      <w:r w:rsidR="003E40CB" w:rsidRPr="008F2671">
        <w:t>in relation to its registration and</w:t>
      </w:r>
      <w:r w:rsidR="00C30FDF" w:rsidRPr="008F2671">
        <w:t xml:space="preserve"> for</w:t>
      </w:r>
      <w:r w:rsidR="00B40EFD" w:rsidRPr="008F2671">
        <w:t xml:space="preserve"> public enquiries</w:t>
      </w:r>
      <w:r w:rsidR="003E40CB" w:rsidRPr="008F2671">
        <w:t>,</w:t>
      </w:r>
      <w:r w:rsidR="00B40EFD" w:rsidRPr="008F2671">
        <w:t xml:space="preserve"> and</w:t>
      </w:r>
      <w:r w:rsidR="00C30FDF" w:rsidRPr="008F2671">
        <w:t xml:space="preserve"> to contact</w:t>
      </w:r>
      <w:r w:rsidR="00B40EFD" w:rsidRPr="008F2671">
        <w:t xml:space="preserve"> </w:t>
      </w:r>
      <w:r w:rsidR="003E40CB" w:rsidRPr="008F2671">
        <w:t>the chief executive officer</w:t>
      </w:r>
      <w:r w:rsidR="00C30FDF" w:rsidRPr="008F2671">
        <w:t>.</w:t>
      </w:r>
    </w:p>
    <w:p w14:paraId="42DDDA04" w14:textId="77777777" w:rsidR="006B6959" w:rsidRPr="008F2671" w:rsidRDefault="006B6959" w:rsidP="00270E01"/>
    <w:p w14:paraId="5401A0A5" w14:textId="77777777" w:rsidR="003E40CB" w:rsidRPr="008F2671" w:rsidRDefault="003E40CB" w:rsidP="003E40CB">
      <w:r w:rsidRPr="008F2671">
        <w:t xml:space="preserve">While this information may include personal information, particularly with regards to the chief executive officer contact details, it meets the minimal information requirements to meet the policy objectives of inclusion on the National Register. This ensures that VET regulators, </w:t>
      </w:r>
      <w:r w:rsidR="00377971">
        <w:t xml:space="preserve">the Commonwealth and </w:t>
      </w:r>
      <w:r w:rsidRPr="008F2671">
        <w:t>state and territory governments that fund NVR RTOs</w:t>
      </w:r>
      <w:r w:rsidR="00377971">
        <w:t xml:space="preserve"> </w:t>
      </w:r>
      <w:r w:rsidRPr="008F2671">
        <w:t>have up-to-date contact details for the purposes of effective regulation, program administration, interactions with NVR RTOs, and the protection of consumers.</w:t>
      </w:r>
    </w:p>
    <w:p w14:paraId="5D7CC7EF" w14:textId="77777777" w:rsidR="003E40CB" w:rsidRPr="008F2671" w:rsidRDefault="003E40CB" w:rsidP="003E40CB"/>
    <w:p w14:paraId="170F0E8B" w14:textId="77777777" w:rsidR="003E40CB" w:rsidRPr="008F2671" w:rsidRDefault="003E40CB" w:rsidP="003E40CB">
      <w:r w:rsidRPr="008F2671">
        <w:t xml:space="preserve">The Regulator meets its obligations under Australian Privacy Principle (APP) 5 of the </w:t>
      </w:r>
      <w:r w:rsidRPr="008F2671">
        <w:rPr>
          <w:i/>
        </w:rPr>
        <w:t>Privacy Act</w:t>
      </w:r>
      <w:r w:rsidR="00377971">
        <w:rPr>
          <w:i/>
        </w:rPr>
        <w:t> </w:t>
      </w:r>
      <w:r w:rsidRPr="008F2671">
        <w:rPr>
          <w:i/>
        </w:rPr>
        <w:t>1988</w:t>
      </w:r>
      <w:r w:rsidRPr="008F2671">
        <w:t>, by advising in its privacy policy that if an organisation is granted registration, the names and contact details of the high managerial agents and main contacts of the organisation may be published on one or more national registers. This sets the expectations on the handling of personal information at the initial stage of seeking registration to be approved as an NVR RTO.</w:t>
      </w:r>
    </w:p>
    <w:p w14:paraId="37ADA17F" w14:textId="77777777" w:rsidR="003E40CB" w:rsidRPr="008F2671" w:rsidRDefault="003E40CB" w:rsidP="003E40CB"/>
    <w:p w14:paraId="1B19450E" w14:textId="780FC311" w:rsidR="003E40CB" w:rsidRPr="008F2671" w:rsidRDefault="003E40CB" w:rsidP="003E40CB">
      <w:pPr>
        <w:rPr>
          <w:lang w:val="en-US"/>
        </w:rPr>
      </w:pPr>
      <w:r w:rsidRPr="008F2671">
        <w:rPr>
          <w:lang w:val="en-US"/>
        </w:rPr>
        <w:t xml:space="preserve">In addition to this, a Privacy Impact Assessment (PIA) has been undertaken with respect to the minor amendments contained in the </w:t>
      </w:r>
      <w:r w:rsidR="00D95C15">
        <w:rPr>
          <w:lang w:val="en-US"/>
        </w:rPr>
        <w:t>Amendment Regulations</w:t>
      </w:r>
      <w:r w:rsidRPr="008F2671">
        <w:rPr>
          <w:lang w:val="en-US"/>
        </w:rPr>
        <w:t xml:space="preserve"> relating to the requirement for the National Register to contain the contact details of the chief executive officer of</w:t>
      </w:r>
      <w:r w:rsidR="000E3378">
        <w:rPr>
          <w:lang w:val="en-US"/>
        </w:rPr>
        <w:t xml:space="preserve"> </w:t>
      </w:r>
      <w:r w:rsidRPr="008F2671">
        <w:rPr>
          <w:lang w:val="en-US"/>
        </w:rPr>
        <w:t xml:space="preserve">NVR RTOs. While in many instances this information is already publicly available, a PIA has nevertheless been undertaken as is best practice, and the outcomes of that PIA will be considered as part of the ongoing management of the National Register.  </w:t>
      </w:r>
    </w:p>
    <w:p w14:paraId="337ADB3D" w14:textId="77777777" w:rsidR="003E40CB" w:rsidRPr="008F2671" w:rsidRDefault="003E40CB" w:rsidP="00270E01"/>
    <w:p w14:paraId="0B3992FF" w14:textId="77777777" w:rsidR="00357702" w:rsidRPr="008F2671" w:rsidRDefault="00C30FDF" w:rsidP="00270E01">
      <w:r w:rsidRPr="008F2671">
        <w:t xml:space="preserve">To the extent that the inclusion of the contact details required by the </w:t>
      </w:r>
      <w:r w:rsidR="00D95C15">
        <w:t>Amendment Regulations</w:t>
      </w:r>
      <w:r w:rsidRPr="008F2671">
        <w:t xml:space="preserve"> places any limitation on the right to privacy, this measure is necessary and proportionate.</w:t>
      </w:r>
      <w:r w:rsidR="001E19F7" w:rsidRPr="008F2671">
        <w:t xml:space="preserve"> The personal information to be disclosed is the minimal information to fulfil the policy objective of the</w:t>
      </w:r>
      <w:r w:rsidR="00DE2067" w:rsidRPr="008F2671">
        <w:t xml:space="preserve"> National</w:t>
      </w:r>
      <w:r w:rsidR="001E19F7" w:rsidRPr="008F2671">
        <w:t xml:space="preserve"> </w:t>
      </w:r>
      <w:r w:rsidR="00DE2067" w:rsidRPr="008F2671">
        <w:t>R</w:t>
      </w:r>
      <w:r w:rsidR="001E19F7" w:rsidRPr="008F2671">
        <w:t>egister.</w:t>
      </w:r>
      <w:r w:rsidRPr="008F2671">
        <w:t xml:space="preserve"> A failure to include such personal information would undermine the intent of the measure, which is to improve transparency in the VET sector</w:t>
      </w:r>
      <w:r w:rsidR="00C81B77" w:rsidRPr="008F2671">
        <w:t xml:space="preserve"> and support VET regulators and </w:t>
      </w:r>
      <w:r w:rsidR="004810E6">
        <w:t xml:space="preserve">Commonwealth, </w:t>
      </w:r>
      <w:r w:rsidR="00C81B77" w:rsidRPr="008F2671">
        <w:t>state and territory governments to</w:t>
      </w:r>
      <w:r w:rsidR="00DE2067" w:rsidRPr="008F2671">
        <w:t xml:space="preserve"> effectively</w:t>
      </w:r>
      <w:r w:rsidR="00C81B77" w:rsidRPr="008F2671">
        <w:t xml:space="preserve"> administer VET programs and funding</w:t>
      </w:r>
      <w:r w:rsidR="00DE2067" w:rsidRPr="008F2671">
        <w:t xml:space="preserve">, and to protect </w:t>
      </w:r>
      <w:r w:rsidR="006E672D" w:rsidRPr="0012418A">
        <w:t xml:space="preserve">and inform </w:t>
      </w:r>
      <w:r w:rsidR="00DE2067" w:rsidRPr="0012418A">
        <w:t>students</w:t>
      </w:r>
      <w:r w:rsidRPr="0012418A">
        <w:t>.</w:t>
      </w:r>
      <w:r w:rsidR="00C81B77" w:rsidRPr="008F2671">
        <w:t xml:space="preserve"> </w:t>
      </w:r>
    </w:p>
    <w:p w14:paraId="3AC90054" w14:textId="77777777" w:rsidR="002A0D02" w:rsidRPr="008F2671" w:rsidRDefault="002A0D02" w:rsidP="00270E01"/>
    <w:p w14:paraId="4C1E5920" w14:textId="77777777" w:rsidR="00937BC7" w:rsidRPr="008F2671" w:rsidRDefault="00937BC7" w:rsidP="00270E01">
      <w:r w:rsidRPr="008F2671">
        <w:t xml:space="preserve">The </w:t>
      </w:r>
      <w:r w:rsidR="00D95C15">
        <w:t>Amendment Regulations</w:t>
      </w:r>
      <w:r w:rsidRPr="008F2671">
        <w:t xml:space="preserve"> </w:t>
      </w:r>
      <w:r w:rsidR="009D3E94" w:rsidRPr="008F2671">
        <w:t xml:space="preserve">promotes and </w:t>
      </w:r>
      <w:r w:rsidRPr="008F2671">
        <w:t xml:space="preserve">is compatible with the right to privacy and reputation. </w:t>
      </w:r>
    </w:p>
    <w:p w14:paraId="434E0CD2" w14:textId="77777777" w:rsidR="00590730" w:rsidRPr="008F2671" w:rsidRDefault="00590730" w:rsidP="00270E01"/>
    <w:p w14:paraId="244EB938" w14:textId="77777777" w:rsidR="00104F86" w:rsidRPr="008F2671" w:rsidRDefault="00104F86" w:rsidP="004A787A">
      <w:pPr>
        <w:keepNext/>
        <w:spacing w:after="120"/>
        <w:rPr>
          <w:lang w:eastAsia="en-US"/>
        </w:rPr>
      </w:pPr>
      <w:r w:rsidRPr="008F2671">
        <w:rPr>
          <w:b/>
        </w:rPr>
        <w:t>Conclusion</w:t>
      </w:r>
    </w:p>
    <w:p w14:paraId="7B246684" w14:textId="77777777" w:rsidR="00012DF6" w:rsidRPr="008F2671" w:rsidRDefault="00104F86" w:rsidP="00270E01">
      <w:r w:rsidRPr="008F2671">
        <w:t xml:space="preserve">The </w:t>
      </w:r>
      <w:r w:rsidR="00D95C15">
        <w:t>Amendment Regulations</w:t>
      </w:r>
      <w:r w:rsidR="00FD37BF" w:rsidRPr="008F2671">
        <w:t xml:space="preserve"> </w:t>
      </w:r>
      <w:r w:rsidR="00CA2FA6" w:rsidRPr="008F2671">
        <w:t xml:space="preserve">promotes and </w:t>
      </w:r>
      <w:r w:rsidRPr="008F2671">
        <w:t>is compatible with human rights</w:t>
      </w:r>
      <w:r w:rsidR="00CA2FA6" w:rsidRPr="008F2671">
        <w:t xml:space="preserve">. </w:t>
      </w:r>
    </w:p>
    <w:sectPr w:rsidR="00012DF6" w:rsidRPr="008F2671" w:rsidSect="0028494E">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B49E0" w14:textId="77777777" w:rsidR="00866F49" w:rsidRDefault="00866F49">
      <w:r>
        <w:separator/>
      </w:r>
    </w:p>
  </w:endnote>
  <w:endnote w:type="continuationSeparator" w:id="0">
    <w:p w14:paraId="3000B4BC" w14:textId="77777777" w:rsidR="00866F49" w:rsidRDefault="00866F49">
      <w:r>
        <w:continuationSeparator/>
      </w:r>
    </w:p>
  </w:endnote>
  <w:endnote w:type="continuationNotice" w:id="1">
    <w:p w14:paraId="0E6BD3A0" w14:textId="77777777" w:rsidR="00866F49" w:rsidRDefault="00866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222C" w14:textId="77777777" w:rsidR="00153CC0" w:rsidRDefault="00153CC0"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88D471" w14:textId="77777777" w:rsidR="00153CC0" w:rsidRDefault="00153CC0" w:rsidP="002849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5EDF8" w14:textId="3A331935" w:rsidR="00153CC0" w:rsidRDefault="00153CC0"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5F51">
      <w:rPr>
        <w:rStyle w:val="PageNumber"/>
        <w:noProof/>
      </w:rPr>
      <w:t>4</w:t>
    </w:r>
    <w:r>
      <w:rPr>
        <w:rStyle w:val="PageNumber"/>
      </w:rPr>
      <w:fldChar w:fldCharType="end"/>
    </w:r>
  </w:p>
  <w:p w14:paraId="6B471609" w14:textId="77777777" w:rsidR="00153CC0" w:rsidRDefault="00153CC0" w:rsidP="002849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67D99" w14:textId="77777777" w:rsidR="00866F49" w:rsidRDefault="00866F49">
      <w:r>
        <w:separator/>
      </w:r>
    </w:p>
  </w:footnote>
  <w:footnote w:type="continuationSeparator" w:id="0">
    <w:p w14:paraId="61517519" w14:textId="77777777" w:rsidR="00866F49" w:rsidRDefault="00866F49">
      <w:r>
        <w:continuationSeparator/>
      </w:r>
    </w:p>
  </w:footnote>
  <w:footnote w:type="continuationNotice" w:id="1">
    <w:p w14:paraId="433EE94E" w14:textId="77777777" w:rsidR="00866F49" w:rsidRDefault="00866F49"/>
  </w:footnote>
  <w:footnote w:id="2">
    <w:p w14:paraId="5AC1715B" w14:textId="77777777" w:rsidR="002838BC" w:rsidRDefault="00153CC0">
      <w:r>
        <w:rPr>
          <w:rStyle w:val="FootnoteReference"/>
        </w:rPr>
        <w:footnoteRef/>
      </w:r>
      <w:r>
        <w:t xml:space="preserve"> </w:t>
      </w:r>
      <w:hyperlink r:id="rId1" w:history="1">
        <w:r w:rsidRPr="00E62960">
          <w:rPr>
            <w:rStyle w:val="Hyperlink"/>
          </w:rPr>
          <w:t>https://www.legislation.gov.au/Details/F2019C00503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35CA"/>
    <w:multiLevelType w:val="hybridMultilevel"/>
    <w:tmpl w:val="ABDEF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D77113"/>
    <w:multiLevelType w:val="hybridMultilevel"/>
    <w:tmpl w:val="72B2B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3782A"/>
    <w:multiLevelType w:val="hybridMultilevel"/>
    <w:tmpl w:val="9B3CF8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675060"/>
    <w:multiLevelType w:val="hybridMultilevel"/>
    <w:tmpl w:val="626675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5F2CF5"/>
    <w:multiLevelType w:val="multilevel"/>
    <w:tmpl w:val="02DC1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0BA0A56"/>
    <w:multiLevelType w:val="hybridMultilevel"/>
    <w:tmpl w:val="871A80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A056CB1"/>
    <w:multiLevelType w:val="hybridMultilevel"/>
    <w:tmpl w:val="07E65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EA2472"/>
    <w:multiLevelType w:val="hybridMultilevel"/>
    <w:tmpl w:val="BFCCA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A5207D"/>
    <w:multiLevelType w:val="hybridMultilevel"/>
    <w:tmpl w:val="30E2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6B3327"/>
    <w:multiLevelType w:val="hybridMultilevel"/>
    <w:tmpl w:val="39DAD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386C3E"/>
    <w:multiLevelType w:val="hybridMultilevel"/>
    <w:tmpl w:val="1D468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AC585A"/>
    <w:multiLevelType w:val="hybridMultilevel"/>
    <w:tmpl w:val="AB6E3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8F1549"/>
    <w:multiLevelType w:val="hybridMultilevel"/>
    <w:tmpl w:val="6A50E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89128A"/>
    <w:multiLevelType w:val="hybridMultilevel"/>
    <w:tmpl w:val="D18A4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13"/>
  </w:num>
  <w:num w:numId="5">
    <w:abstractNumId w:val="3"/>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2"/>
  </w:num>
  <w:num w:numId="14">
    <w:abstractNumId w:val="1"/>
  </w:num>
  <w:num w:numId="15">
    <w:abstractNumId w:val="12"/>
  </w:num>
  <w:num w:numId="16">
    <w:abstractNumId w:val="10"/>
  </w:num>
  <w:num w:numId="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F1"/>
    <w:rsid w:val="000004DD"/>
    <w:rsid w:val="00000B7F"/>
    <w:rsid w:val="00001580"/>
    <w:rsid w:val="0000301C"/>
    <w:rsid w:val="000032A2"/>
    <w:rsid w:val="00003E8E"/>
    <w:rsid w:val="00004135"/>
    <w:rsid w:val="000069B2"/>
    <w:rsid w:val="000069C4"/>
    <w:rsid w:val="00006B76"/>
    <w:rsid w:val="000103CB"/>
    <w:rsid w:val="00010FFA"/>
    <w:rsid w:val="0001160A"/>
    <w:rsid w:val="00012551"/>
    <w:rsid w:val="00012DF6"/>
    <w:rsid w:val="00014524"/>
    <w:rsid w:val="000146BC"/>
    <w:rsid w:val="00014704"/>
    <w:rsid w:val="0001513A"/>
    <w:rsid w:val="00015C94"/>
    <w:rsid w:val="00015D30"/>
    <w:rsid w:val="00016157"/>
    <w:rsid w:val="000168F4"/>
    <w:rsid w:val="0002087E"/>
    <w:rsid w:val="000214A3"/>
    <w:rsid w:val="0002170A"/>
    <w:rsid w:val="0002226A"/>
    <w:rsid w:val="0002308D"/>
    <w:rsid w:val="00023C72"/>
    <w:rsid w:val="0002459E"/>
    <w:rsid w:val="00027C86"/>
    <w:rsid w:val="000306B0"/>
    <w:rsid w:val="00032038"/>
    <w:rsid w:val="00032CB9"/>
    <w:rsid w:val="00033BD4"/>
    <w:rsid w:val="00033C8F"/>
    <w:rsid w:val="0003578C"/>
    <w:rsid w:val="00035C6F"/>
    <w:rsid w:val="00036404"/>
    <w:rsid w:val="00037257"/>
    <w:rsid w:val="00037900"/>
    <w:rsid w:val="0004067C"/>
    <w:rsid w:val="00042156"/>
    <w:rsid w:val="000442FA"/>
    <w:rsid w:val="00044F2E"/>
    <w:rsid w:val="00045249"/>
    <w:rsid w:val="000459D2"/>
    <w:rsid w:val="0004723F"/>
    <w:rsid w:val="00047D3A"/>
    <w:rsid w:val="00050FED"/>
    <w:rsid w:val="00051130"/>
    <w:rsid w:val="0005136B"/>
    <w:rsid w:val="0005146D"/>
    <w:rsid w:val="0005378B"/>
    <w:rsid w:val="00053874"/>
    <w:rsid w:val="00054297"/>
    <w:rsid w:val="0005634C"/>
    <w:rsid w:val="00056351"/>
    <w:rsid w:val="0006034B"/>
    <w:rsid w:val="00061C00"/>
    <w:rsid w:val="000630C8"/>
    <w:rsid w:val="00063941"/>
    <w:rsid w:val="0006476D"/>
    <w:rsid w:val="00064C7D"/>
    <w:rsid w:val="00065172"/>
    <w:rsid w:val="000662B2"/>
    <w:rsid w:val="00066C87"/>
    <w:rsid w:val="000709A8"/>
    <w:rsid w:val="000712F3"/>
    <w:rsid w:val="00072A59"/>
    <w:rsid w:val="000741FD"/>
    <w:rsid w:val="00074C21"/>
    <w:rsid w:val="00074EC2"/>
    <w:rsid w:val="000755FC"/>
    <w:rsid w:val="00075DF6"/>
    <w:rsid w:val="000767AF"/>
    <w:rsid w:val="000775BD"/>
    <w:rsid w:val="00080FE5"/>
    <w:rsid w:val="00081A53"/>
    <w:rsid w:val="00082AA4"/>
    <w:rsid w:val="00082B5C"/>
    <w:rsid w:val="00083AE5"/>
    <w:rsid w:val="000907F9"/>
    <w:rsid w:val="00090DB3"/>
    <w:rsid w:val="00090F8F"/>
    <w:rsid w:val="00092431"/>
    <w:rsid w:val="000932B9"/>
    <w:rsid w:val="000934CB"/>
    <w:rsid w:val="00093D56"/>
    <w:rsid w:val="00093E37"/>
    <w:rsid w:val="00094D41"/>
    <w:rsid w:val="00095814"/>
    <w:rsid w:val="000971A0"/>
    <w:rsid w:val="0009758C"/>
    <w:rsid w:val="000977AB"/>
    <w:rsid w:val="00097ED9"/>
    <w:rsid w:val="000A0CAF"/>
    <w:rsid w:val="000A17B2"/>
    <w:rsid w:val="000A19B4"/>
    <w:rsid w:val="000A27EA"/>
    <w:rsid w:val="000A37F0"/>
    <w:rsid w:val="000A4829"/>
    <w:rsid w:val="000A54C1"/>
    <w:rsid w:val="000A690F"/>
    <w:rsid w:val="000B0498"/>
    <w:rsid w:val="000B05C2"/>
    <w:rsid w:val="000B0FB3"/>
    <w:rsid w:val="000B2857"/>
    <w:rsid w:val="000B2EA7"/>
    <w:rsid w:val="000B398E"/>
    <w:rsid w:val="000B42C4"/>
    <w:rsid w:val="000B5008"/>
    <w:rsid w:val="000B5213"/>
    <w:rsid w:val="000B5AEC"/>
    <w:rsid w:val="000B668C"/>
    <w:rsid w:val="000B69CA"/>
    <w:rsid w:val="000C02DE"/>
    <w:rsid w:val="000C0A29"/>
    <w:rsid w:val="000C0FE4"/>
    <w:rsid w:val="000C11B0"/>
    <w:rsid w:val="000C3A3F"/>
    <w:rsid w:val="000C5BA8"/>
    <w:rsid w:val="000C5F6D"/>
    <w:rsid w:val="000C79C6"/>
    <w:rsid w:val="000D00A0"/>
    <w:rsid w:val="000D00E0"/>
    <w:rsid w:val="000D14CA"/>
    <w:rsid w:val="000D1C46"/>
    <w:rsid w:val="000D2925"/>
    <w:rsid w:val="000D492C"/>
    <w:rsid w:val="000D54E0"/>
    <w:rsid w:val="000D5898"/>
    <w:rsid w:val="000D5BBC"/>
    <w:rsid w:val="000D612D"/>
    <w:rsid w:val="000D619B"/>
    <w:rsid w:val="000E096F"/>
    <w:rsid w:val="000E0ABC"/>
    <w:rsid w:val="000E1263"/>
    <w:rsid w:val="000E334A"/>
    <w:rsid w:val="000E3378"/>
    <w:rsid w:val="000E39FC"/>
    <w:rsid w:val="000E4B2C"/>
    <w:rsid w:val="000E512A"/>
    <w:rsid w:val="000E58BD"/>
    <w:rsid w:val="000E5FCA"/>
    <w:rsid w:val="000F032B"/>
    <w:rsid w:val="000F22E3"/>
    <w:rsid w:val="000F2FC8"/>
    <w:rsid w:val="000F3F6A"/>
    <w:rsid w:val="000F727D"/>
    <w:rsid w:val="000F7CB0"/>
    <w:rsid w:val="00102D94"/>
    <w:rsid w:val="001030C6"/>
    <w:rsid w:val="00103224"/>
    <w:rsid w:val="00103AFD"/>
    <w:rsid w:val="00103F01"/>
    <w:rsid w:val="0010491D"/>
    <w:rsid w:val="00104F86"/>
    <w:rsid w:val="00105A59"/>
    <w:rsid w:val="00105EAC"/>
    <w:rsid w:val="00110545"/>
    <w:rsid w:val="0011072F"/>
    <w:rsid w:val="00112027"/>
    <w:rsid w:val="00112991"/>
    <w:rsid w:val="00113EAE"/>
    <w:rsid w:val="001151FC"/>
    <w:rsid w:val="00115300"/>
    <w:rsid w:val="00115A17"/>
    <w:rsid w:val="00115B18"/>
    <w:rsid w:val="0011701D"/>
    <w:rsid w:val="00120DA6"/>
    <w:rsid w:val="0012213D"/>
    <w:rsid w:val="00122367"/>
    <w:rsid w:val="001228A5"/>
    <w:rsid w:val="00122D7C"/>
    <w:rsid w:val="0012349B"/>
    <w:rsid w:val="0012418A"/>
    <w:rsid w:val="00125D84"/>
    <w:rsid w:val="001266E9"/>
    <w:rsid w:val="0013036B"/>
    <w:rsid w:val="0013065C"/>
    <w:rsid w:val="001308E1"/>
    <w:rsid w:val="0013119E"/>
    <w:rsid w:val="00134829"/>
    <w:rsid w:val="001348EE"/>
    <w:rsid w:val="001349FF"/>
    <w:rsid w:val="001350F4"/>
    <w:rsid w:val="001354C3"/>
    <w:rsid w:val="0013600F"/>
    <w:rsid w:val="00140B78"/>
    <w:rsid w:val="00140DD2"/>
    <w:rsid w:val="00140DF0"/>
    <w:rsid w:val="00141943"/>
    <w:rsid w:val="00141F31"/>
    <w:rsid w:val="001438FC"/>
    <w:rsid w:val="00143924"/>
    <w:rsid w:val="00144FFF"/>
    <w:rsid w:val="00145177"/>
    <w:rsid w:val="00147760"/>
    <w:rsid w:val="00147C22"/>
    <w:rsid w:val="001502AD"/>
    <w:rsid w:val="0015038D"/>
    <w:rsid w:val="001511A5"/>
    <w:rsid w:val="001539C3"/>
    <w:rsid w:val="00153CC0"/>
    <w:rsid w:val="0015460D"/>
    <w:rsid w:val="00154B9B"/>
    <w:rsid w:val="0015585F"/>
    <w:rsid w:val="0015597D"/>
    <w:rsid w:val="00155B16"/>
    <w:rsid w:val="00155D78"/>
    <w:rsid w:val="00157B7A"/>
    <w:rsid w:val="00160708"/>
    <w:rsid w:val="00160BCF"/>
    <w:rsid w:val="00162B7C"/>
    <w:rsid w:val="0016393C"/>
    <w:rsid w:val="00167D46"/>
    <w:rsid w:val="0017047F"/>
    <w:rsid w:val="001716D9"/>
    <w:rsid w:val="001726A6"/>
    <w:rsid w:val="00173335"/>
    <w:rsid w:val="00173DA6"/>
    <w:rsid w:val="00174F31"/>
    <w:rsid w:val="00175337"/>
    <w:rsid w:val="0017682F"/>
    <w:rsid w:val="001771F4"/>
    <w:rsid w:val="00177532"/>
    <w:rsid w:val="001775C7"/>
    <w:rsid w:val="00177F10"/>
    <w:rsid w:val="001801DC"/>
    <w:rsid w:val="0018075E"/>
    <w:rsid w:val="00180903"/>
    <w:rsid w:val="00180F7E"/>
    <w:rsid w:val="00181EFA"/>
    <w:rsid w:val="00182229"/>
    <w:rsid w:val="001822E9"/>
    <w:rsid w:val="00183D67"/>
    <w:rsid w:val="0018507D"/>
    <w:rsid w:val="00186815"/>
    <w:rsid w:val="00186B0F"/>
    <w:rsid w:val="00190563"/>
    <w:rsid w:val="00190F2F"/>
    <w:rsid w:val="0019246B"/>
    <w:rsid w:val="00193AE6"/>
    <w:rsid w:val="00194A5D"/>
    <w:rsid w:val="00194D91"/>
    <w:rsid w:val="00194EB1"/>
    <w:rsid w:val="00196871"/>
    <w:rsid w:val="00196CFD"/>
    <w:rsid w:val="0019785D"/>
    <w:rsid w:val="001A044C"/>
    <w:rsid w:val="001A197A"/>
    <w:rsid w:val="001A1B7B"/>
    <w:rsid w:val="001A306A"/>
    <w:rsid w:val="001A4118"/>
    <w:rsid w:val="001A438A"/>
    <w:rsid w:val="001A4492"/>
    <w:rsid w:val="001A5185"/>
    <w:rsid w:val="001A649D"/>
    <w:rsid w:val="001A69C7"/>
    <w:rsid w:val="001A7D2B"/>
    <w:rsid w:val="001B0122"/>
    <w:rsid w:val="001B01C3"/>
    <w:rsid w:val="001B0BE0"/>
    <w:rsid w:val="001B1046"/>
    <w:rsid w:val="001B1AD1"/>
    <w:rsid w:val="001B27E4"/>
    <w:rsid w:val="001B306A"/>
    <w:rsid w:val="001B30AA"/>
    <w:rsid w:val="001B324B"/>
    <w:rsid w:val="001B3E13"/>
    <w:rsid w:val="001B4165"/>
    <w:rsid w:val="001B4868"/>
    <w:rsid w:val="001B4AA5"/>
    <w:rsid w:val="001B5436"/>
    <w:rsid w:val="001B646D"/>
    <w:rsid w:val="001B64C0"/>
    <w:rsid w:val="001B68C0"/>
    <w:rsid w:val="001B7C53"/>
    <w:rsid w:val="001B7EA2"/>
    <w:rsid w:val="001C024D"/>
    <w:rsid w:val="001C348C"/>
    <w:rsid w:val="001C4075"/>
    <w:rsid w:val="001C4BF4"/>
    <w:rsid w:val="001C5261"/>
    <w:rsid w:val="001C57C3"/>
    <w:rsid w:val="001C5DB2"/>
    <w:rsid w:val="001C73FD"/>
    <w:rsid w:val="001C77C4"/>
    <w:rsid w:val="001C7F69"/>
    <w:rsid w:val="001D1743"/>
    <w:rsid w:val="001D1D39"/>
    <w:rsid w:val="001D29FB"/>
    <w:rsid w:val="001D2C76"/>
    <w:rsid w:val="001D6065"/>
    <w:rsid w:val="001D66A9"/>
    <w:rsid w:val="001D6B30"/>
    <w:rsid w:val="001E0328"/>
    <w:rsid w:val="001E0D6C"/>
    <w:rsid w:val="001E1038"/>
    <w:rsid w:val="001E10DF"/>
    <w:rsid w:val="001E1537"/>
    <w:rsid w:val="001E19F7"/>
    <w:rsid w:val="001E292E"/>
    <w:rsid w:val="001E4489"/>
    <w:rsid w:val="001E4B03"/>
    <w:rsid w:val="001E4C45"/>
    <w:rsid w:val="001E6979"/>
    <w:rsid w:val="001E7E14"/>
    <w:rsid w:val="001F0132"/>
    <w:rsid w:val="001F0C99"/>
    <w:rsid w:val="001F16D9"/>
    <w:rsid w:val="001F22DE"/>
    <w:rsid w:val="001F3E12"/>
    <w:rsid w:val="001F4466"/>
    <w:rsid w:val="001F47BB"/>
    <w:rsid w:val="001F5182"/>
    <w:rsid w:val="001F5723"/>
    <w:rsid w:val="001F5CCC"/>
    <w:rsid w:val="001F67EA"/>
    <w:rsid w:val="001F6F11"/>
    <w:rsid w:val="001F79C1"/>
    <w:rsid w:val="00202211"/>
    <w:rsid w:val="0020239E"/>
    <w:rsid w:val="00203376"/>
    <w:rsid w:val="0020405C"/>
    <w:rsid w:val="00205BC4"/>
    <w:rsid w:val="00206E22"/>
    <w:rsid w:val="00207BF4"/>
    <w:rsid w:val="00210259"/>
    <w:rsid w:val="00210D23"/>
    <w:rsid w:val="00211D54"/>
    <w:rsid w:val="00212DD6"/>
    <w:rsid w:val="00213D10"/>
    <w:rsid w:val="002140FA"/>
    <w:rsid w:val="00214638"/>
    <w:rsid w:val="00215DD9"/>
    <w:rsid w:val="002167C5"/>
    <w:rsid w:val="002179B8"/>
    <w:rsid w:val="00220128"/>
    <w:rsid w:val="00220150"/>
    <w:rsid w:val="00220926"/>
    <w:rsid w:val="00220D43"/>
    <w:rsid w:val="00221671"/>
    <w:rsid w:val="002218A9"/>
    <w:rsid w:val="00221DC2"/>
    <w:rsid w:val="00222C37"/>
    <w:rsid w:val="00223D46"/>
    <w:rsid w:val="00223FFF"/>
    <w:rsid w:val="0022460B"/>
    <w:rsid w:val="00225B10"/>
    <w:rsid w:val="002262E3"/>
    <w:rsid w:val="00226F2D"/>
    <w:rsid w:val="0023396B"/>
    <w:rsid w:val="0023536E"/>
    <w:rsid w:val="002361B4"/>
    <w:rsid w:val="00236FC0"/>
    <w:rsid w:val="00241119"/>
    <w:rsid w:val="00241126"/>
    <w:rsid w:val="00242D56"/>
    <w:rsid w:val="00243753"/>
    <w:rsid w:val="00243A08"/>
    <w:rsid w:val="00243BB7"/>
    <w:rsid w:val="00243D0C"/>
    <w:rsid w:val="00244602"/>
    <w:rsid w:val="002449D5"/>
    <w:rsid w:val="00244DCD"/>
    <w:rsid w:val="00245052"/>
    <w:rsid w:val="00245A6A"/>
    <w:rsid w:val="00245D0F"/>
    <w:rsid w:val="002469F0"/>
    <w:rsid w:val="00246D4C"/>
    <w:rsid w:val="00247284"/>
    <w:rsid w:val="00247657"/>
    <w:rsid w:val="00250212"/>
    <w:rsid w:val="00250827"/>
    <w:rsid w:val="00252C53"/>
    <w:rsid w:val="00253548"/>
    <w:rsid w:val="00255358"/>
    <w:rsid w:val="00255D4A"/>
    <w:rsid w:val="00257D30"/>
    <w:rsid w:val="00260314"/>
    <w:rsid w:val="00262DDF"/>
    <w:rsid w:val="00263AB6"/>
    <w:rsid w:val="00264240"/>
    <w:rsid w:val="002649F2"/>
    <w:rsid w:val="00264E8E"/>
    <w:rsid w:val="00265329"/>
    <w:rsid w:val="0026543B"/>
    <w:rsid w:val="0026586F"/>
    <w:rsid w:val="002658AD"/>
    <w:rsid w:val="00266C0F"/>
    <w:rsid w:val="002670C5"/>
    <w:rsid w:val="0027023E"/>
    <w:rsid w:val="00270CE2"/>
    <w:rsid w:val="00270E01"/>
    <w:rsid w:val="00270FF5"/>
    <w:rsid w:val="002715CE"/>
    <w:rsid w:val="0027193B"/>
    <w:rsid w:val="00271999"/>
    <w:rsid w:val="00272572"/>
    <w:rsid w:val="002739BB"/>
    <w:rsid w:val="00276F2A"/>
    <w:rsid w:val="00280FD9"/>
    <w:rsid w:val="00283174"/>
    <w:rsid w:val="002838BC"/>
    <w:rsid w:val="0028494E"/>
    <w:rsid w:val="00284E27"/>
    <w:rsid w:val="002852DA"/>
    <w:rsid w:val="00286459"/>
    <w:rsid w:val="00287AC7"/>
    <w:rsid w:val="00290480"/>
    <w:rsid w:val="00290E39"/>
    <w:rsid w:val="0029142A"/>
    <w:rsid w:val="00291C88"/>
    <w:rsid w:val="00291FCF"/>
    <w:rsid w:val="00293152"/>
    <w:rsid w:val="00293C2F"/>
    <w:rsid w:val="00294051"/>
    <w:rsid w:val="00295973"/>
    <w:rsid w:val="00295A4C"/>
    <w:rsid w:val="00296F9F"/>
    <w:rsid w:val="00297E3A"/>
    <w:rsid w:val="00297F1A"/>
    <w:rsid w:val="002A0122"/>
    <w:rsid w:val="002A04B3"/>
    <w:rsid w:val="002A0D02"/>
    <w:rsid w:val="002A19A9"/>
    <w:rsid w:val="002A317A"/>
    <w:rsid w:val="002A3D7D"/>
    <w:rsid w:val="002A49DA"/>
    <w:rsid w:val="002A4B59"/>
    <w:rsid w:val="002A5754"/>
    <w:rsid w:val="002A6C16"/>
    <w:rsid w:val="002A7058"/>
    <w:rsid w:val="002A7601"/>
    <w:rsid w:val="002A79BD"/>
    <w:rsid w:val="002B0085"/>
    <w:rsid w:val="002B0742"/>
    <w:rsid w:val="002B1EFE"/>
    <w:rsid w:val="002B22BF"/>
    <w:rsid w:val="002B43F7"/>
    <w:rsid w:val="002B49D3"/>
    <w:rsid w:val="002B4BD7"/>
    <w:rsid w:val="002B71D3"/>
    <w:rsid w:val="002B7FC7"/>
    <w:rsid w:val="002C3184"/>
    <w:rsid w:val="002C3FEA"/>
    <w:rsid w:val="002C45BE"/>
    <w:rsid w:val="002C4A28"/>
    <w:rsid w:val="002C4EFA"/>
    <w:rsid w:val="002C61DE"/>
    <w:rsid w:val="002C66BA"/>
    <w:rsid w:val="002C6912"/>
    <w:rsid w:val="002C6A18"/>
    <w:rsid w:val="002C76D6"/>
    <w:rsid w:val="002C7724"/>
    <w:rsid w:val="002D28F5"/>
    <w:rsid w:val="002D4029"/>
    <w:rsid w:val="002D4C0B"/>
    <w:rsid w:val="002D5D85"/>
    <w:rsid w:val="002D616D"/>
    <w:rsid w:val="002D75BF"/>
    <w:rsid w:val="002D7E30"/>
    <w:rsid w:val="002E0105"/>
    <w:rsid w:val="002E0535"/>
    <w:rsid w:val="002E0D1D"/>
    <w:rsid w:val="002E23DF"/>
    <w:rsid w:val="002E2D53"/>
    <w:rsid w:val="002E31C6"/>
    <w:rsid w:val="002E3344"/>
    <w:rsid w:val="002E3947"/>
    <w:rsid w:val="002E3C77"/>
    <w:rsid w:val="002E4E39"/>
    <w:rsid w:val="002E6552"/>
    <w:rsid w:val="002F0752"/>
    <w:rsid w:val="002F0B88"/>
    <w:rsid w:val="002F1E91"/>
    <w:rsid w:val="002F2837"/>
    <w:rsid w:val="002F3C01"/>
    <w:rsid w:val="002F3D84"/>
    <w:rsid w:val="002F3E45"/>
    <w:rsid w:val="002F4A08"/>
    <w:rsid w:val="002F5F4F"/>
    <w:rsid w:val="002F60F3"/>
    <w:rsid w:val="002F6979"/>
    <w:rsid w:val="003008BD"/>
    <w:rsid w:val="00301ADC"/>
    <w:rsid w:val="003023AF"/>
    <w:rsid w:val="00302522"/>
    <w:rsid w:val="003028E4"/>
    <w:rsid w:val="00303121"/>
    <w:rsid w:val="00303C11"/>
    <w:rsid w:val="003051FF"/>
    <w:rsid w:val="003073C2"/>
    <w:rsid w:val="00307AD0"/>
    <w:rsid w:val="00307FBF"/>
    <w:rsid w:val="0031026D"/>
    <w:rsid w:val="003108D5"/>
    <w:rsid w:val="00311D2C"/>
    <w:rsid w:val="00312A21"/>
    <w:rsid w:val="00312BF1"/>
    <w:rsid w:val="003139C8"/>
    <w:rsid w:val="00315489"/>
    <w:rsid w:val="00316144"/>
    <w:rsid w:val="00316CEF"/>
    <w:rsid w:val="00317D5B"/>
    <w:rsid w:val="00317D9A"/>
    <w:rsid w:val="00320F1A"/>
    <w:rsid w:val="003217A4"/>
    <w:rsid w:val="0032190D"/>
    <w:rsid w:val="00321962"/>
    <w:rsid w:val="00321A59"/>
    <w:rsid w:val="00321EE2"/>
    <w:rsid w:val="00323146"/>
    <w:rsid w:val="00323A57"/>
    <w:rsid w:val="00323A59"/>
    <w:rsid w:val="00324128"/>
    <w:rsid w:val="00324228"/>
    <w:rsid w:val="003250BA"/>
    <w:rsid w:val="00325933"/>
    <w:rsid w:val="00327031"/>
    <w:rsid w:val="00330183"/>
    <w:rsid w:val="0033061B"/>
    <w:rsid w:val="00332E86"/>
    <w:rsid w:val="00335CB4"/>
    <w:rsid w:val="0033712A"/>
    <w:rsid w:val="00337ADE"/>
    <w:rsid w:val="00340301"/>
    <w:rsid w:val="003405E5"/>
    <w:rsid w:val="00342272"/>
    <w:rsid w:val="00342FE3"/>
    <w:rsid w:val="00344C58"/>
    <w:rsid w:val="00346350"/>
    <w:rsid w:val="00347B80"/>
    <w:rsid w:val="00352FCA"/>
    <w:rsid w:val="00353210"/>
    <w:rsid w:val="00354EF5"/>
    <w:rsid w:val="0035538F"/>
    <w:rsid w:val="003563DF"/>
    <w:rsid w:val="00357702"/>
    <w:rsid w:val="003609CF"/>
    <w:rsid w:val="00361860"/>
    <w:rsid w:val="0036341F"/>
    <w:rsid w:val="00364660"/>
    <w:rsid w:val="003649A3"/>
    <w:rsid w:val="003660C4"/>
    <w:rsid w:val="00366813"/>
    <w:rsid w:val="00367811"/>
    <w:rsid w:val="00367B5F"/>
    <w:rsid w:val="003701A7"/>
    <w:rsid w:val="0037232C"/>
    <w:rsid w:val="00373336"/>
    <w:rsid w:val="00373D6C"/>
    <w:rsid w:val="00373FFF"/>
    <w:rsid w:val="003755DF"/>
    <w:rsid w:val="0037697A"/>
    <w:rsid w:val="0037785C"/>
    <w:rsid w:val="00377971"/>
    <w:rsid w:val="0038136A"/>
    <w:rsid w:val="003816B6"/>
    <w:rsid w:val="003828CD"/>
    <w:rsid w:val="00382B44"/>
    <w:rsid w:val="00382F6E"/>
    <w:rsid w:val="00385201"/>
    <w:rsid w:val="00385D1C"/>
    <w:rsid w:val="00386994"/>
    <w:rsid w:val="00386ACE"/>
    <w:rsid w:val="00387137"/>
    <w:rsid w:val="00387B53"/>
    <w:rsid w:val="00387E85"/>
    <w:rsid w:val="00390370"/>
    <w:rsid w:val="00390829"/>
    <w:rsid w:val="003925B9"/>
    <w:rsid w:val="003925E6"/>
    <w:rsid w:val="003935E8"/>
    <w:rsid w:val="00393847"/>
    <w:rsid w:val="00393A02"/>
    <w:rsid w:val="0039477A"/>
    <w:rsid w:val="0039578C"/>
    <w:rsid w:val="003961AA"/>
    <w:rsid w:val="003964C5"/>
    <w:rsid w:val="003A1A37"/>
    <w:rsid w:val="003A1ED9"/>
    <w:rsid w:val="003A3787"/>
    <w:rsid w:val="003A3991"/>
    <w:rsid w:val="003A67D8"/>
    <w:rsid w:val="003A6D4F"/>
    <w:rsid w:val="003B1362"/>
    <w:rsid w:val="003B1CB2"/>
    <w:rsid w:val="003B1D4E"/>
    <w:rsid w:val="003B2E7B"/>
    <w:rsid w:val="003B3134"/>
    <w:rsid w:val="003B35AF"/>
    <w:rsid w:val="003C068C"/>
    <w:rsid w:val="003C08CD"/>
    <w:rsid w:val="003C115C"/>
    <w:rsid w:val="003C190A"/>
    <w:rsid w:val="003C1AF2"/>
    <w:rsid w:val="003C29C4"/>
    <w:rsid w:val="003C46C4"/>
    <w:rsid w:val="003C4857"/>
    <w:rsid w:val="003C4F08"/>
    <w:rsid w:val="003C5226"/>
    <w:rsid w:val="003C5B62"/>
    <w:rsid w:val="003C6F70"/>
    <w:rsid w:val="003C7C66"/>
    <w:rsid w:val="003D08C0"/>
    <w:rsid w:val="003D1AD3"/>
    <w:rsid w:val="003D2149"/>
    <w:rsid w:val="003D23C2"/>
    <w:rsid w:val="003D349B"/>
    <w:rsid w:val="003D496F"/>
    <w:rsid w:val="003D5573"/>
    <w:rsid w:val="003E04DE"/>
    <w:rsid w:val="003E212D"/>
    <w:rsid w:val="003E30B9"/>
    <w:rsid w:val="003E40CB"/>
    <w:rsid w:val="003E4A91"/>
    <w:rsid w:val="003E5CB3"/>
    <w:rsid w:val="003E640D"/>
    <w:rsid w:val="003E73CD"/>
    <w:rsid w:val="003E7412"/>
    <w:rsid w:val="003F0D62"/>
    <w:rsid w:val="003F1A05"/>
    <w:rsid w:val="003F2A79"/>
    <w:rsid w:val="003F31D4"/>
    <w:rsid w:val="003F5773"/>
    <w:rsid w:val="003F6543"/>
    <w:rsid w:val="003F6A43"/>
    <w:rsid w:val="003F6DBB"/>
    <w:rsid w:val="003F7075"/>
    <w:rsid w:val="00401607"/>
    <w:rsid w:val="004033AA"/>
    <w:rsid w:val="00404F31"/>
    <w:rsid w:val="004069DC"/>
    <w:rsid w:val="00406C9B"/>
    <w:rsid w:val="004073EC"/>
    <w:rsid w:val="004121F7"/>
    <w:rsid w:val="004122B3"/>
    <w:rsid w:val="0041243F"/>
    <w:rsid w:val="004125CC"/>
    <w:rsid w:val="004126B0"/>
    <w:rsid w:val="00415BBA"/>
    <w:rsid w:val="00417FE0"/>
    <w:rsid w:val="004200CA"/>
    <w:rsid w:val="0042060F"/>
    <w:rsid w:val="0042079A"/>
    <w:rsid w:val="004208BA"/>
    <w:rsid w:val="00420B0A"/>
    <w:rsid w:val="00420BC0"/>
    <w:rsid w:val="00421414"/>
    <w:rsid w:val="00421B65"/>
    <w:rsid w:val="00422B59"/>
    <w:rsid w:val="00423CEA"/>
    <w:rsid w:val="00424819"/>
    <w:rsid w:val="0042606D"/>
    <w:rsid w:val="00426A57"/>
    <w:rsid w:val="00427C68"/>
    <w:rsid w:val="00427D77"/>
    <w:rsid w:val="004304F0"/>
    <w:rsid w:val="00430C71"/>
    <w:rsid w:val="00431880"/>
    <w:rsid w:val="00431B25"/>
    <w:rsid w:val="0043259F"/>
    <w:rsid w:val="004334D9"/>
    <w:rsid w:val="00433851"/>
    <w:rsid w:val="00433C29"/>
    <w:rsid w:val="00434220"/>
    <w:rsid w:val="00435308"/>
    <w:rsid w:val="004353B9"/>
    <w:rsid w:val="00435AB3"/>
    <w:rsid w:val="0044026A"/>
    <w:rsid w:val="00440DE2"/>
    <w:rsid w:val="00441ED1"/>
    <w:rsid w:val="0044334C"/>
    <w:rsid w:val="0044347D"/>
    <w:rsid w:val="00443AC4"/>
    <w:rsid w:val="004453FE"/>
    <w:rsid w:val="00446D55"/>
    <w:rsid w:val="0044743F"/>
    <w:rsid w:val="004479BF"/>
    <w:rsid w:val="00447D8F"/>
    <w:rsid w:val="00447EEF"/>
    <w:rsid w:val="00451276"/>
    <w:rsid w:val="004515AB"/>
    <w:rsid w:val="00452B6D"/>
    <w:rsid w:val="004541E9"/>
    <w:rsid w:val="00455430"/>
    <w:rsid w:val="00455E96"/>
    <w:rsid w:val="00456F3E"/>
    <w:rsid w:val="00460A9F"/>
    <w:rsid w:val="00461066"/>
    <w:rsid w:val="004612D9"/>
    <w:rsid w:val="00461793"/>
    <w:rsid w:val="00462A70"/>
    <w:rsid w:val="00462E4D"/>
    <w:rsid w:val="00462F6C"/>
    <w:rsid w:val="0046459D"/>
    <w:rsid w:val="0046467F"/>
    <w:rsid w:val="00464E1B"/>
    <w:rsid w:val="004651B0"/>
    <w:rsid w:val="00465959"/>
    <w:rsid w:val="00465B3D"/>
    <w:rsid w:val="00466580"/>
    <w:rsid w:val="00466643"/>
    <w:rsid w:val="0046782B"/>
    <w:rsid w:val="00470D03"/>
    <w:rsid w:val="00471D49"/>
    <w:rsid w:val="0047277C"/>
    <w:rsid w:val="00472790"/>
    <w:rsid w:val="004731D3"/>
    <w:rsid w:val="00473FD1"/>
    <w:rsid w:val="00474835"/>
    <w:rsid w:val="00474A26"/>
    <w:rsid w:val="00475E3E"/>
    <w:rsid w:val="0047648F"/>
    <w:rsid w:val="00476CB3"/>
    <w:rsid w:val="0047701A"/>
    <w:rsid w:val="00477C9E"/>
    <w:rsid w:val="004810E6"/>
    <w:rsid w:val="00481955"/>
    <w:rsid w:val="00483173"/>
    <w:rsid w:val="00483D60"/>
    <w:rsid w:val="0048663E"/>
    <w:rsid w:val="00487190"/>
    <w:rsid w:val="00490018"/>
    <w:rsid w:val="00491482"/>
    <w:rsid w:val="00491FDA"/>
    <w:rsid w:val="00492642"/>
    <w:rsid w:val="00492DC6"/>
    <w:rsid w:val="00492EBF"/>
    <w:rsid w:val="0049440F"/>
    <w:rsid w:val="0049516A"/>
    <w:rsid w:val="00496F2A"/>
    <w:rsid w:val="00497502"/>
    <w:rsid w:val="00497A5C"/>
    <w:rsid w:val="004A1AAB"/>
    <w:rsid w:val="004A2865"/>
    <w:rsid w:val="004A3081"/>
    <w:rsid w:val="004A3089"/>
    <w:rsid w:val="004A4C6F"/>
    <w:rsid w:val="004A4D1C"/>
    <w:rsid w:val="004A787A"/>
    <w:rsid w:val="004B0011"/>
    <w:rsid w:val="004B0351"/>
    <w:rsid w:val="004B28E6"/>
    <w:rsid w:val="004B3E89"/>
    <w:rsid w:val="004B3EAC"/>
    <w:rsid w:val="004B3F0D"/>
    <w:rsid w:val="004B433F"/>
    <w:rsid w:val="004B4474"/>
    <w:rsid w:val="004B4502"/>
    <w:rsid w:val="004B4DB7"/>
    <w:rsid w:val="004B7199"/>
    <w:rsid w:val="004B7E1B"/>
    <w:rsid w:val="004C0FC0"/>
    <w:rsid w:val="004C17B8"/>
    <w:rsid w:val="004C1B95"/>
    <w:rsid w:val="004C1C85"/>
    <w:rsid w:val="004C485B"/>
    <w:rsid w:val="004C49EE"/>
    <w:rsid w:val="004C5152"/>
    <w:rsid w:val="004C6365"/>
    <w:rsid w:val="004C796A"/>
    <w:rsid w:val="004D039B"/>
    <w:rsid w:val="004D0DDC"/>
    <w:rsid w:val="004D1360"/>
    <w:rsid w:val="004D1447"/>
    <w:rsid w:val="004D14BF"/>
    <w:rsid w:val="004D3F60"/>
    <w:rsid w:val="004D56AD"/>
    <w:rsid w:val="004D5967"/>
    <w:rsid w:val="004D6B34"/>
    <w:rsid w:val="004D7457"/>
    <w:rsid w:val="004E0EB9"/>
    <w:rsid w:val="004E1EA7"/>
    <w:rsid w:val="004E3763"/>
    <w:rsid w:val="004E4565"/>
    <w:rsid w:val="004E4DB8"/>
    <w:rsid w:val="004E5538"/>
    <w:rsid w:val="004E5A0A"/>
    <w:rsid w:val="004E6B34"/>
    <w:rsid w:val="004E6F39"/>
    <w:rsid w:val="004F0804"/>
    <w:rsid w:val="004F0EDE"/>
    <w:rsid w:val="004F3AC5"/>
    <w:rsid w:val="004F468C"/>
    <w:rsid w:val="004F4704"/>
    <w:rsid w:val="004F5247"/>
    <w:rsid w:val="004F6949"/>
    <w:rsid w:val="004F7089"/>
    <w:rsid w:val="004F7469"/>
    <w:rsid w:val="004F746A"/>
    <w:rsid w:val="005000F5"/>
    <w:rsid w:val="005004DB"/>
    <w:rsid w:val="0050143F"/>
    <w:rsid w:val="00501615"/>
    <w:rsid w:val="00501872"/>
    <w:rsid w:val="00501A3C"/>
    <w:rsid w:val="005022A4"/>
    <w:rsid w:val="00502E6E"/>
    <w:rsid w:val="00503414"/>
    <w:rsid w:val="005035B8"/>
    <w:rsid w:val="00503690"/>
    <w:rsid w:val="00503F45"/>
    <w:rsid w:val="00506696"/>
    <w:rsid w:val="005073B4"/>
    <w:rsid w:val="005109F5"/>
    <w:rsid w:val="0051488F"/>
    <w:rsid w:val="00517658"/>
    <w:rsid w:val="0052219E"/>
    <w:rsid w:val="005234E9"/>
    <w:rsid w:val="005237F7"/>
    <w:rsid w:val="00524001"/>
    <w:rsid w:val="00524820"/>
    <w:rsid w:val="00524BC4"/>
    <w:rsid w:val="00524F0F"/>
    <w:rsid w:val="005252E2"/>
    <w:rsid w:val="00526B1C"/>
    <w:rsid w:val="00527EFE"/>
    <w:rsid w:val="0053027D"/>
    <w:rsid w:val="00530CB3"/>
    <w:rsid w:val="00532776"/>
    <w:rsid w:val="00533278"/>
    <w:rsid w:val="00534C78"/>
    <w:rsid w:val="0053587D"/>
    <w:rsid w:val="00535B1F"/>
    <w:rsid w:val="00536902"/>
    <w:rsid w:val="0054013B"/>
    <w:rsid w:val="00540CF7"/>
    <w:rsid w:val="00540E01"/>
    <w:rsid w:val="005412B6"/>
    <w:rsid w:val="0054139A"/>
    <w:rsid w:val="0054152E"/>
    <w:rsid w:val="0054317B"/>
    <w:rsid w:val="00543BF7"/>
    <w:rsid w:val="005454B4"/>
    <w:rsid w:val="00545C8A"/>
    <w:rsid w:val="00550F4A"/>
    <w:rsid w:val="005517DA"/>
    <w:rsid w:val="005521AD"/>
    <w:rsid w:val="00552A86"/>
    <w:rsid w:val="005535D8"/>
    <w:rsid w:val="00554BB1"/>
    <w:rsid w:val="00556359"/>
    <w:rsid w:val="005572B5"/>
    <w:rsid w:val="005603E6"/>
    <w:rsid w:val="00560E7F"/>
    <w:rsid w:val="0056129C"/>
    <w:rsid w:val="00561560"/>
    <w:rsid w:val="00562F66"/>
    <w:rsid w:val="00563617"/>
    <w:rsid w:val="005659C1"/>
    <w:rsid w:val="00565F44"/>
    <w:rsid w:val="00566270"/>
    <w:rsid w:val="005663EB"/>
    <w:rsid w:val="005665AF"/>
    <w:rsid w:val="005679F3"/>
    <w:rsid w:val="00567D47"/>
    <w:rsid w:val="00567EC7"/>
    <w:rsid w:val="00571400"/>
    <w:rsid w:val="00571440"/>
    <w:rsid w:val="005719DC"/>
    <w:rsid w:val="0057203A"/>
    <w:rsid w:val="0057238B"/>
    <w:rsid w:val="00572952"/>
    <w:rsid w:val="00572B03"/>
    <w:rsid w:val="005741B0"/>
    <w:rsid w:val="005741F1"/>
    <w:rsid w:val="005743C0"/>
    <w:rsid w:val="00574CB3"/>
    <w:rsid w:val="0057581B"/>
    <w:rsid w:val="00575F51"/>
    <w:rsid w:val="005764D6"/>
    <w:rsid w:val="0057652A"/>
    <w:rsid w:val="0057745E"/>
    <w:rsid w:val="00577A5C"/>
    <w:rsid w:val="005802B4"/>
    <w:rsid w:val="00580E9C"/>
    <w:rsid w:val="00581FF5"/>
    <w:rsid w:val="005828B7"/>
    <w:rsid w:val="0058300A"/>
    <w:rsid w:val="0058475A"/>
    <w:rsid w:val="00584C32"/>
    <w:rsid w:val="005859A8"/>
    <w:rsid w:val="005859B5"/>
    <w:rsid w:val="00586CC7"/>
    <w:rsid w:val="005872BC"/>
    <w:rsid w:val="00587A2C"/>
    <w:rsid w:val="00590730"/>
    <w:rsid w:val="00590EA6"/>
    <w:rsid w:val="005915EC"/>
    <w:rsid w:val="0059161F"/>
    <w:rsid w:val="00591C31"/>
    <w:rsid w:val="00592094"/>
    <w:rsid w:val="00592520"/>
    <w:rsid w:val="00594300"/>
    <w:rsid w:val="00594E07"/>
    <w:rsid w:val="00594E2C"/>
    <w:rsid w:val="00595786"/>
    <w:rsid w:val="0059589D"/>
    <w:rsid w:val="005969DF"/>
    <w:rsid w:val="00597B9E"/>
    <w:rsid w:val="005A117C"/>
    <w:rsid w:val="005A3429"/>
    <w:rsid w:val="005A344B"/>
    <w:rsid w:val="005A3998"/>
    <w:rsid w:val="005A48AF"/>
    <w:rsid w:val="005A48ED"/>
    <w:rsid w:val="005A54BC"/>
    <w:rsid w:val="005A74E8"/>
    <w:rsid w:val="005A76E0"/>
    <w:rsid w:val="005B00CB"/>
    <w:rsid w:val="005B18C8"/>
    <w:rsid w:val="005B3644"/>
    <w:rsid w:val="005B3792"/>
    <w:rsid w:val="005B3AB9"/>
    <w:rsid w:val="005B4E05"/>
    <w:rsid w:val="005B5104"/>
    <w:rsid w:val="005B6FBE"/>
    <w:rsid w:val="005B7A54"/>
    <w:rsid w:val="005C1365"/>
    <w:rsid w:val="005C3223"/>
    <w:rsid w:val="005C36F9"/>
    <w:rsid w:val="005C410F"/>
    <w:rsid w:val="005C4D92"/>
    <w:rsid w:val="005C4E73"/>
    <w:rsid w:val="005C5DCC"/>
    <w:rsid w:val="005C5DF7"/>
    <w:rsid w:val="005C7300"/>
    <w:rsid w:val="005D0D47"/>
    <w:rsid w:val="005D1C89"/>
    <w:rsid w:val="005D2C22"/>
    <w:rsid w:val="005D2CBD"/>
    <w:rsid w:val="005D3AE9"/>
    <w:rsid w:val="005D3C0A"/>
    <w:rsid w:val="005D54A8"/>
    <w:rsid w:val="005D6BC8"/>
    <w:rsid w:val="005D6E74"/>
    <w:rsid w:val="005D70F9"/>
    <w:rsid w:val="005D7753"/>
    <w:rsid w:val="005E0652"/>
    <w:rsid w:val="005E257B"/>
    <w:rsid w:val="005E3464"/>
    <w:rsid w:val="005E452B"/>
    <w:rsid w:val="005E4BC9"/>
    <w:rsid w:val="005E4C33"/>
    <w:rsid w:val="005E5397"/>
    <w:rsid w:val="005E602A"/>
    <w:rsid w:val="005F223C"/>
    <w:rsid w:val="005F23D1"/>
    <w:rsid w:val="005F296A"/>
    <w:rsid w:val="005F385F"/>
    <w:rsid w:val="005F3FE9"/>
    <w:rsid w:val="005F4989"/>
    <w:rsid w:val="005F5617"/>
    <w:rsid w:val="005F5EAB"/>
    <w:rsid w:val="005F65DC"/>
    <w:rsid w:val="005F7872"/>
    <w:rsid w:val="006003CF"/>
    <w:rsid w:val="00600502"/>
    <w:rsid w:val="00600D76"/>
    <w:rsid w:val="00602CF2"/>
    <w:rsid w:val="0060347E"/>
    <w:rsid w:val="00603A6B"/>
    <w:rsid w:val="00603C9E"/>
    <w:rsid w:val="006066CC"/>
    <w:rsid w:val="00606899"/>
    <w:rsid w:val="00606913"/>
    <w:rsid w:val="00607AC8"/>
    <w:rsid w:val="00610018"/>
    <w:rsid w:val="00610054"/>
    <w:rsid w:val="00610D76"/>
    <w:rsid w:val="00611412"/>
    <w:rsid w:val="00612C19"/>
    <w:rsid w:val="00612C33"/>
    <w:rsid w:val="00613F0A"/>
    <w:rsid w:val="00613F0C"/>
    <w:rsid w:val="00614A11"/>
    <w:rsid w:val="00614C4D"/>
    <w:rsid w:val="006176B9"/>
    <w:rsid w:val="006179BB"/>
    <w:rsid w:val="00621714"/>
    <w:rsid w:val="00621EFA"/>
    <w:rsid w:val="00623554"/>
    <w:rsid w:val="00623BBE"/>
    <w:rsid w:val="00626449"/>
    <w:rsid w:val="0062699B"/>
    <w:rsid w:val="00626CED"/>
    <w:rsid w:val="00627387"/>
    <w:rsid w:val="006304AE"/>
    <w:rsid w:val="00630751"/>
    <w:rsid w:val="00631ED8"/>
    <w:rsid w:val="00632308"/>
    <w:rsid w:val="00632D38"/>
    <w:rsid w:val="00632E88"/>
    <w:rsid w:val="00633612"/>
    <w:rsid w:val="0063402C"/>
    <w:rsid w:val="00634314"/>
    <w:rsid w:val="00634AD0"/>
    <w:rsid w:val="006409ED"/>
    <w:rsid w:val="00640A9B"/>
    <w:rsid w:val="0064150A"/>
    <w:rsid w:val="00641784"/>
    <w:rsid w:val="00642CF7"/>
    <w:rsid w:val="00643F61"/>
    <w:rsid w:val="00644F68"/>
    <w:rsid w:val="00646C60"/>
    <w:rsid w:val="00647ADF"/>
    <w:rsid w:val="00651AD6"/>
    <w:rsid w:val="0065231C"/>
    <w:rsid w:val="00652CF5"/>
    <w:rsid w:val="00654D42"/>
    <w:rsid w:val="006558B9"/>
    <w:rsid w:val="00656417"/>
    <w:rsid w:val="00657E91"/>
    <w:rsid w:val="00660006"/>
    <w:rsid w:val="0066129C"/>
    <w:rsid w:val="006624E5"/>
    <w:rsid w:val="00663DE9"/>
    <w:rsid w:val="006657D4"/>
    <w:rsid w:val="00666450"/>
    <w:rsid w:val="00666507"/>
    <w:rsid w:val="00670E96"/>
    <w:rsid w:val="00671D00"/>
    <w:rsid w:val="006732DA"/>
    <w:rsid w:val="00674DDF"/>
    <w:rsid w:val="00675406"/>
    <w:rsid w:val="00675E94"/>
    <w:rsid w:val="0067670D"/>
    <w:rsid w:val="006767CD"/>
    <w:rsid w:val="00676E45"/>
    <w:rsid w:val="00677698"/>
    <w:rsid w:val="0068021A"/>
    <w:rsid w:val="00680D77"/>
    <w:rsid w:val="00681498"/>
    <w:rsid w:val="00681934"/>
    <w:rsid w:val="006828AE"/>
    <w:rsid w:val="00684D10"/>
    <w:rsid w:val="006852D4"/>
    <w:rsid w:val="006857C8"/>
    <w:rsid w:val="00686352"/>
    <w:rsid w:val="00686DA2"/>
    <w:rsid w:val="00690AA1"/>
    <w:rsid w:val="00690BC5"/>
    <w:rsid w:val="00691D36"/>
    <w:rsid w:val="00691E5B"/>
    <w:rsid w:val="0069426D"/>
    <w:rsid w:val="006956DD"/>
    <w:rsid w:val="006A0743"/>
    <w:rsid w:val="006A2966"/>
    <w:rsid w:val="006A4692"/>
    <w:rsid w:val="006A4858"/>
    <w:rsid w:val="006A4B5B"/>
    <w:rsid w:val="006A65E6"/>
    <w:rsid w:val="006A7E72"/>
    <w:rsid w:val="006B10E6"/>
    <w:rsid w:val="006B1412"/>
    <w:rsid w:val="006B1F20"/>
    <w:rsid w:val="006B2897"/>
    <w:rsid w:val="006B429B"/>
    <w:rsid w:val="006B465B"/>
    <w:rsid w:val="006B4FD8"/>
    <w:rsid w:val="006B5109"/>
    <w:rsid w:val="006B6959"/>
    <w:rsid w:val="006B6EE0"/>
    <w:rsid w:val="006C0F90"/>
    <w:rsid w:val="006C1572"/>
    <w:rsid w:val="006C1AC8"/>
    <w:rsid w:val="006C1D96"/>
    <w:rsid w:val="006C2BB1"/>
    <w:rsid w:val="006C3E9B"/>
    <w:rsid w:val="006C5669"/>
    <w:rsid w:val="006D01E6"/>
    <w:rsid w:val="006D059A"/>
    <w:rsid w:val="006D0923"/>
    <w:rsid w:val="006D0C4E"/>
    <w:rsid w:val="006D5B64"/>
    <w:rsid w:val="006D6029"/>
    <w:rsid w:val="006E0342"/>
    <w:rsid w:val="006E0921"/>
    <w:rsid w:val="006E1902"/>
    <w:rsid w:val="006E32F3"/>
    <w:rsid w:val="006E4119"/>
    <w:rsid w:val="006E42D0"/>
    <w:rsid w:val="006E4B5F"/>
    <w:rsid w:val="006E4BEA"/>
    <w:rsid w:val="006E59CF"/>
    <w:rsid w:val="006E63FA"/>
    <w:rsid w:val="006E672D"/>
    <w:rsid w:val="006E69AD"/>
    <w:rsid w:val="006E6C03"/>
    <w:rsid w:val="006E7545"/>
    <w:rsid w:val="006F0C39"/>
    <w:rsid w:val="006F3CC3"/>
    <w:rsid w:val="006F647D"/>
    <w:rsid w:val="00701DC4"/>
    <w:rsid w:val="00704DDE"/>
    <w:rsid w:val="0070568D"/>
    <w:rsid w:val="00707332"/>
    <w:rsid w:val="0070743F"/>
    <w:rsid w:val="007115DA"/>
    <w:rsid w:val="00712F87"/>
    <w:rsid w:val="0071460C"/>
    <w:rsid w:val="00715CD4"/>
    <w:rsid w:val="00715CFA"/>
    <w:rsid w:val="007172B4"/>
    <w:rsid w:val="00720158"/>
    <w:rsid w:val="0072035A"/>
    <w:rsid w:val="00720A0E"/>
    <w:rsid w:val="00720FFE"/>
    <w:rsid w:val="00721B83"/>
    <w:rsid w:val="00724485"/>
    <w:rsid w:val="00724BAF"/>
    <w:rsid w:val="00724D22"/>
    <w:rsid w:val="0072584C"/>
    <w:rsid w:val="00725925"/>
    <w:rsid w:val="00725DDE"/>
    <w:rsid w:val="00726226"/>
    <w:rsid w:val="007301CB"/>
    <w:rsid w:val="00730291"/>
    <w:rsid w:val="00730A41"/>
    <w:rsid w:val="00731EDA"/>
    <w:rsid w:val="00731F83"/>
    <w:rsid w:val="007323F3"/>
    <w:rsid w:val="00733830"/>
    <w:rsid w:val="00734425"/>
    <w:rsid w:val="007347ED"/>
    <w:rsid w:val="00737A38"/>
    <w:rsid w:val="00742681"/>
    <w:rsid w:val="00742EBE"/>
    <w:rsid w:val="00742FCB"/>
    <w:rsid w:val="007432A5"/>
    <w:rsid w:val="007441C3"/>
    <w:rsid w:val="007448CC"/>
    <w:rsid w:val="00745885"/>
    <w:rsid w:val="00746B1A"/>
    <w:rsid w:val="007510D1"/>
    <w:rsid w:val="00751628"/>
    <w:rsid w:val="00751EC6"/>
    <w:rsid w:val="00754ACB"/>
    <w:rsid w:val="00755D92"/>
    <w:rsid w:val="007560E1"/>
    <w:rsid w:val="00756DFF"/>
    <w:rsid w:val="00760CCD"/>
    <w:rsid w:val="0076179C"/>
    <w:rsid w:val="007617B0"/>
    <w:rsid w:val="00761A2E"/>
    <w:rsid w:val="007626B1"/>
    <w:rsid w:val="007634FC"/>
    <w:rsid w:val="0076468C"/>
    <w:rsid w:val="0076677D"/>
    <w:rsid w:val="007667FE"/>
    <w:rsid w:val="00770233"/>
    <w:rsid w:val="00771633"/>
    <w:rsid w:val="007732F4"/>
    <w:rsid w:val="0077370B"/>
    <w:rsid w:val="00774375"/>
    <w:rsid w:val="0077439B"/>
    <w:rsid w:val="007746AC"/>
    <w:rsid w:val="00774774"/>
    <w:rsid w:val="00774996"/>
    <w:rsid w:val="00774D45"/>
    <w:rsid w:val="00775BAB"/>
    <w:rsid w:val="00776158"/>
    <w:rsid w:val="007769B4"/>
    <w:rsid w:val="0077742E"/>
    <w:rsid w:val="00777FBD"/>
    <w:rsid w:val="00781038"/>
    <w:rsid w:val="007818C0"/>
    <w:rsid w:val="00782642"/>
    <w:rsid w:val="007837E9"/>
    <w:rsid w:val="00783987"/>
    <w:rsid w:val="00783EDD"/>
    <w:rsid w:val="007842C9"/>
    <w:rsid w:val="00784815"/>
    <w:rsid w:val="00784EF3"/>
    <w:rsid w:val="00784F3B"/>
    <w:rsid w:val="00785229"/>
    <w:rsid w:val="007852C0"/>
    <w:rsid w:val="007852F5"/>
    <w:rsid w:val="007859A9"/>
    <w:rsid w:val="007865F2"/>
    <w:rsid w:val="00786919"/>
    <w:rsid w:val="00787445"/>
    <w:rsid w:val="00790714"/>
    <w:rsid w:val="00790CD3"/>
    <w:rsid w:val="00791C51"/>
    <w:rsid w:val="007920D2"/>
    <w:rsid w:val="00793BEE"/>
    <w:rsid w:val="007947F1"/>
    <w:rsid w:val="007950B2"/>
    <w:rsid w:val="00795520"/>
    <w:rsid w:val="00795E7C"/>
    <w:rsid w:val="00795EC9"/>
    <w:rsid w:val="007A0682"/>
    <w:rsid w:val="007A1BD9"/>
    <w:rsid w:val="007A1DBE"/>
    <w:rsid w:val="007A57C8"/>
    <w:rsid w:val="007A58D9"/>
    <w:rsid w:val="007A5C94"/>
    <w:rsid w:val="007A5F01"/>
    <w:rsid w:val="007A6A82"/>
    <w:rsid w:val="007B18BE"/>
    <w:rsid w:val="007B3021"/>
    <w:rsid w:val="007B34B9"/>
    <w:rsid w:val="007B37D1"/>
    <w:rsid w:val="007B40DD"/>
    <w:rsid w:val="007B426D"/>
    <w:rsid w:val="007B56E5"/>
    <w:rsid w:val="007B70F6"/>
    <w:rsid w:val="007B792E"/>
    <w:rsid w:val="007C0132"/>
    <w:rsid w:val="007C0CA2"/>
    <w:rsid w:val="007C16AB"/>
    <w:rsid w:val="007C1E0D"/>
    <w:rsid w:val="007C1FEA"/>
    <w:rsid w:val="007C2058"/>
    <w:rsid w:val="007C351B"/>
    <w:rsid w:val="007C3F27"/>
    <w:rsid w:val="007C3F94"/>
    <w:rsid w:val="007C4C7D"/>
    <w:rsid w:val="007C4D7E"/>
    <w:rsid w:val="007C5DC2"/>
    <w:rsid w:val="007C5F61"/>
    <w:rsid w:val="007C6457"/>
    <w:rsid w:val="007C6845"/>
    <w:rsid w:val="007C6A91"/>
    <w:rsid w:val="007C7B3C"/>
    <w:rsid w:val="007D0C83"/>
    <w:rsid w:val="007D0F32"/>
    <w:rsid w:val="007D1F16"/>
    <w:rsid w:val="007D1FB5"/>
    <w:rsid w:val="007D230E"/>
    <w:rsid w:val="007D41D8"/>
    <w:rsid w:val="007D4A4C"/>
    <w:rsid w:val="007D511C"/>
    <w:rsid w:val="007D523E"/>
    <w:rsid w:val="007D55CF"/>
    <w:rsid w:val="007D66B7"/>
    <w:rsid w:val="007D6FD0"/>
    <w:rsid w:val="007D7752"/>
    <w:rsid w:val="007E1603"/>
    <w:rsid w:val="007E204B"/>
    <w:rsid w:val="007E3487"/>
    <w:rsid w:val="007E417E"/>
    <w:rsid w:val="007E4BB2"/>
    <w:rsid w:val="007E57F9"/>
    <w:rsid w:val="007F02FC"/>
    <w:rsid w:val="007F05C0"/>
    <w:rsid w:val="007F1D1C"/>
    <w:rsid w:val="007F2193"/>
    <w:rsid w:val="007F24E3"/>
    <w:rsid w:val="007F297E"/>
    <w:rsid w:val="007F2996"/>
    <w:rsid w:val="007F3584"/>
    <w:rsid w:val="007F4426"/>
    <w:rsid w:val="007F47A5"/>
    <w:rsid w:val="007F4ABF"/>
    <w:rsid w:val="007F4C12"/>
    <w:rsid w:val="007F6C0C"/>
    <w:rsid w:val="007F7EAE"/>
    <w:rsid w:val="00800452"/>
    <w:rsid w:val="00800A5D"/>
    <w:rsid w:val="00800F80"/>
    <w:rsid w:val="0080122C"/>
    <w:rsid w:val="0080169B"/>
    <w:rsid w:val="00801BB0"/>
    <w:rsid w:val="00802FD4"/>
    <w:rsid w:val="0080324A"/>
    <w:rsid w:val="008032D1"/>
    <w:rsid w:val="0080365C"/>
    <w:rsid w:val="00804301"/>
    <w:rsid w:val="00805338"/>
    <w:rsid w:val="00805E6F"/>
    <w:rsid w:val="00806B0F"/>
    <w:rsid w:val="00806D4A"/>
    <w:rsid w:val="0081006B"/>
    <w:rsid w:val="00810238"/>
    <w:rsid w:val="0081051B"/>
    <w:rsid w:val="00810BF4"/>
    <w:rsid w:val="00811936"/>
    <w:rsid w:val="008119D5"/>
    <w:rsid w:val="00812750"/>
    <w:rsid w:val="00812AB2"/>
    <w:rsid w:val="00816AD4"/>
    <w:rsid w:val="00816DD5"/>
    <w:rsid w:val="00817998"/>
    <w:rsid w:val="00820411"/>
    <w:rsid w:val="00820F20"/>
    <w:rsid w:val="008225EA"/>
    <w:rsid w:val="00822EBB"/>
    <w:rsid w:val="00823F44"/>
    <w:rsid w:val="0082447C"/>
    <w:rsid w:val="008260E3"/>
    <w:rsid w:val="0082728C"/>
    <w:rsid w:val="008318DF"/>
    <w:rsid w:val="0083297C"/>
    <w:rsid w:val="00833560"/>
    <w:rsid w:val="0083373E"/>
    <w:rsid w:val="0083374F"/>
    <w:rsid w:val="00833DF2"/>
    <w:rsid w:val="0083515E"/>
    <w:rsid w:val="00835BF7"/>
    <w:rsid w:val="008379A9"/>
    <w:rsid w:val="00840F4B"/>
    <w:rsid w:val="00842E85"/>
    <w:rsid w:val="00843423"/>
    <w:rsid w:val="0084391C"/>
    <w:rsid w:val="00843F7C"/>
    <w:rsid w:val="0084400D"/>
    <w:rsid w:val="00844A85"/>
    <w:rsid w:val="00845CFA"/>
    <w:rsid w:val="00847048"/>
    <w:rsid w:val="00847082"/>
    <w:rsid w:val="008472C7"/>
    <w:rsid w:val="00847EF1"/>
    <w:rsid w:val="00851759"/>
    <w:rsid w:val="00851B78"/>
    <w:rsid w:val="00851C59"/>
    <w:rsid w:val="0085292F"/>
    <w:rsid w:val="00854351"/>
    <w:rsid w:val="008571AD"/>
    <w:rsid w:val="008576ED"/>
    <w:rsid w:val="00857E12"/>
    <w:rsid w:val="0086058F"/>
    <w:rsid w:val="00861542"/>
    <w:rsid w:val="008616F4"/>
    <w:rsid w:val="008619ED"/>
    <w:rsid w:val="0086290A"/>
    <w:rsid w:val="00862FD0"/>
    <w:rsid w:val="00864023"/>
    <w:rsid w:val="0086443E"/>
    <w:rsid w:val="008646B3"/>
    <w:rsid w:val="008647FC"/>
    <w:rsid w:val="00864C60"/>
    <w:rsid w:val="00866F49"/>
    <w:rsid w:val="008711AC"/>
    <w:rsid w:val="00872CB9"/>
    <w:rsid w:val="00873004"/>
    <w:rsid w:val="00873767"/>
    <w:rsid w:val="008740B3"/>
    <w:rsid w:val="008749D7"/>
    <w:rsid w:val="00875B7D"/>
    <w:rsid w:val="00875FEE"/>
    <w:rsid w:val="00876554"/>
    <w:rsid w:val="00880C92"/>
    <w:rsid w:val="0088110F"/>
    <w:rsid w:val="008811A8"/>
    <w:rsid w:val="00881391"/>
    <w:rsid w:val="00881D98"/>
    <w:rsid w:val="00882023"/>
    <w:rsid w:val="008836EE"/>
    <w:rsid w:val="00883843"/>
    <w:rsid w:val="00885CDC"/>
    <w:rsid w:val="008869BE"/>
    <w:rsid w:val="00887866"/>
    <w:rsid w:val="008878CE"/>
    <w:rsid w:val="00887F47"/>
    <w:rsid w:val="00887FEB"/>
    <w:rsid w:val="00890D56"/>
    <w:rsid w:val="00891086"/>
    <w:rsid w:val="008919CF"/>
    <w:rsid w:val="00891C63"/>
    <w:rsid w:val="008921E9"/>
    <w:rsid w:val="00894EFC"/>
    <w:rsid w:val="00895236"/>
    <w:rsid w:val="00895AD0"/>
    <w:rsid w:val="00895FCB"/>
    <w:rsid w:val="008A0FB3"/>
    <w:rsid w:val="008A21E7"/>
    <w:rsid w:val="008A2232"/>
    <w:rsid w:val="008A3E8A"/>
    <w:rsid w:val="008A53B9"/>
    <w:rsid w:val="008A57EF"/>
    <w:rsid w:val="008A6503"/>
    <w:rsid w:val="008A6E90"/>
    <w:rsid w:val="008A7BCF"/>
    <w:rsid w:val="008B098D"/>
    <w:rsid w:val="008B0EA5"/>
    <w:rsid w:val="008B2A56"/>
    <w:rsid w:val="008B4456"/>
    <w:rsid w:val="008B4ABF"/>
    <w:rsid w:val="008B4CCE"/>
    <w:rsid w:val="008B5323"/>
    <w:rsid w:val="008B6E17"/>
    <w:rsid w:val="008B7CBC"/>
    <w:rsid w:val="008C0826"/>
    <w:rsid w:val="008C0ADD"/>
    <w:rsid w:val="008C193C"/>
    <w:rsid w:val="008C1D43"/>
    <w:rsid w:val="008C31A5"/>
    <w:rsid w:val="008C3A0B"/>
    <w:rsid w:val="008C464B"/>
    <w:rsid w:val="008C598B"/>
    <w:rsid w:val="008C623B"/>
    <w:rsid w:val="008C6DDC"/>
    <w:rsid w:val="008C6FAE"/>
    <w:rsid w:val="008C7039"/>
    <w:rsid w:val="008C7F6C"/>
    <w:rsid w:val="008D0107"/>
    <w:rsid w:val="008D0827"/>
    <w:rsid w:val="008D31EC"/>
    <w:rsid w:val="008D4A44"/>
    <w:rsid w:val="008D5548"/>
    <w:rsid w:val="008D6941"/>
    <w:rsid w:val="008D72AE"/>
    <w:rsid w:val="008D7755"/>
    <w:rsid w:val="008E0861"/>
    <w:rsid w:val="008E393A"/>
    <w:rsid w:val="008E44CE"/>
    <w:rsid w:val="008E4555"/>
    <w:rsid w:val="008E51ED"/>
    <w:rsid w:val="008E69D4"/>
    <w:rsid w:val="008E6ABC"/>
    <w:rsid w:val="008E72EA"/>
    <w:rsid w:val="008E792D"/>
    <w:rsid w:val="008E7CE1"/>
    <w:rsid w:val="008F02BA"/>
    <w:rsid w:val="008F07BB"/>
    <w:rsid w:val="008F1018"/>
    <w:rsid w:val="008F149E"/>
    <w:rsid w:val="008F1FFD"/>
    <w:rsid w:val="008F2671"/>
    <w:rsid w:val="008F3667"/>
    <w:rsid w:val="008F62BC"/>
    <w:rsid w:val="008F65DB"/>
    <w:rsid w:val="00900566"/>
    <w:rsid w:val="009005F4"/>
    <w:rsid w:val="0090144B"/>
    <w:rsid w:val="00901F93"/>
    <w:rsid w:val="00902C89"/>
    <w:rsid w:val="00904A4B"/>
    <w:rsid w:val="00904FF1"/>
    <w:rsid w:val="0090568D"/>
    <w:rsid w:val="009110BC"/>
    <w:rsid w:val="00911229"/>
    <w:rsid w:val="00914B81"/>
    <w:rsid w:val="009159F1"/>
    <w:rsid w:val="0091603C"/>
    <w:rsid w:val="00916782"/>
    <w:rsid w:val="00916C07"/>
    <w:rsid w:val="00916CCA"/>
    <w:rsid w:val="00917800"/>
    <w:rsid w:val="00921253"/>
    <w:rsid w:val="00921424"/>
    <w:rsid w:val="0092276D"/>
    <w:rsid w:val="0092364B"/>
    <w:rsid w:val="0092436E"/>
    <w:rsid w:val="00924404"/>
    <w:rsid w:val="009253FD"/>
    <w:rsid w:val="00925E5E"/>
    <w:rsid w:val="00926EB6"/>
    <w:rsid w:val="00930BCD"/>
    <w:rsid w:val="009311C4"/>
    <w:rsid w:val="00931762"/>
    <w:rsid w:val="0093251E"/>
    <w:rsid w:val="009337A9"/>
    <w:rsid w:val="009352F6"/>
    <w:rsid w:val="00935BBA"/>
    <w:rsid w:val="00937BC7"/>
    <w:rsid w:val="00940E2C"/>
    <w:rsid w:val="00941839"/>
    <w:rsid w:val="00942098"/>
    <w:rsid w:val="009421FC"/>
    <w:rsid w:val="00942321"/>
    <w:rsid w:val="00942BE7"/>
    <w:rsid w:val="00943286"/>
    <w:rsid w:val="00944A21"/>
    <w:rsid w:val="009450D8"/>
    <w:rsid w:val="0094660E"/>
    <w:rsid w:val="00946B44"/>
    <w:rsid w:val="00946D7B"/>
    <w:rsid w:val="009472B2"/>
    <w:rsid w:val="009504E4"/>
    <w:rsid w:val="009525F3"/>
    <w:rsid w:val="0095507C"/>
    <w:rsid w:val="00956F56"/>
    <w:rsid w:val="00957B3F"/>
    <w:rsid w:val="00961C1E"/>
    <w:rsid w:val="00961E45"/>
    <w:rsid w:val="0096297B"/>
    <w:rsid w:val="00964587"/>
    <w:rsid w:val="009657EF"/>
    <w:rsid w:val="00965A5D"/>
    <w:rsid w:val="00966451"/>
    <w:rsid w:val="009667B6"/>
    <w:rsid w:val="0096763D"/>
    <w:rsid w:val="009724E3"/>
    <w:rsid w:val="00972646"/>
    <w:rsid w:val="00973516"/>
    <w:rsid w:val="0097397A"/>
    <w:rsid w:val="00974A90"/>
    <w:rsid w:val="00974CEF"/>
    <w:rsid w:val="00976F6D"/>
    <w:rsid w:val="00977D98"/>
    <w:rsid w:val="009821BE"/>
    <w:rsid w:val="00982CBF"/>
    <w:rsid w:val="00983B70"/>
    <w:rsid w:val="00984451"/>
    <w:rsid w:val="0098646A"/>
    <w:rsid w:val="009864B7"/>
    <w:rsid w:val="00987515"/>
    <w:rsid w:val="00992759"/>
    <w:rsid w:val="009936CE"/>
    <w:rsid w:val="00994A29"/>
    <w:rsid w:val="00994B9F"/>
    <w:rsid w:val="0099659D"/>
    <w:rsid w:val="00997166"/>
    <w:rsid w:val="00997794"/>
    <w:rsid w:val="009A1655"/>
    <w:rsid w:val="009A1AF1"/>
    <w:rsid w:val="009A1B00"/>
    <w:rsid w:val="009A1B16"/>
    <w:rsid w:val="009A3190"/>
    <w:rsid w:val="009A3686"/>
    <w:rsid w:val="009A3DEC"/>
    <w:rsid w:val="009A4587"/>
    <w:rsid w:val="009A473D"/>
    <w:rsid w:val="009A4DE7"/>
    <w:rsid w:val="009A52AB"/>
    <w:rsid w:val="009A5EF9"/>
    <w:rsid w:val="009A6BD2"/>
    <w:rsid w:val="009A6D04"/>
    <w:rsid w:val="009A7D68"/>
    <w:rsid w:val="009B39CE"/>
    <w:rsid w:val="009B42F0"/>
    <w:rsid w:val="009B5599"/>
    <w:rsid w:val="009B597B"/>
    <w:rsid w:val="009B6D0A"/>
    <w:rsid w:val="009B7933"/>
    <w:rsid w:val="009C0B69"/>
    <w:rsid w:val="009C0BD6"/>
    <w:rsid w:val="009C22F1"/>
    <w:rsid w:val="009C2D1C"/>
    <w:rsid w:val="009C38E6"/>
    <w:rsid w:val="009C4CBC"/>
    <w:rsid w:val="009C4CC2"/>
    <w:rsid w:val="009C4EE5"/>
    <w:rsid w:val="009C5013"/>
    <w:rsid w:val="009C51BA"/>
    <w:rsid w:val="009C7A43"/>
    <w:rsid w:val="009C7BA2"/>
    <w:rsid w:val="009D0285"/>
    <w:rsid w:val="009D03A4"/>
    <w:rsid w:val="009D0C01"/>
    <w:rsid w:val="009D1281"/>
    <w:rsid w:val="009D3486"/>
    <w:rsid w:val="009D3E94"/>
    <w:rsid w:val="009D4A12"/>
    <w:rsid w:val="009D4C84"/>
    <w:rsid w:val="009D62F4"/>
    <w:rsid w:val="009D668C"/>
    <w:rsid w:val="009D744F"/>
    <w:rsid w:val="009D7A1F"/>
    <w:rsid w:val="009E0640"/>
    <w:rsid w:val="009E075E"/>
    <w:rsid w:val="009E106A"/>
    <w:rsid w:val="009E1286"/>
    <w:rsid w:val="009E317C"/>
    <w:rsid w:val="009E4859"/>
    <w:rsid w:val="009E4CB9"/>
    <w:rsid w:val="009E5990"/>
    <w:rsid w:val="009E5CCE"/>
    <w:rsid w:val="009E699A"/>
    <w:rsid w:val="009E6E3D"/>
    <w:rsid w:val="009E7CD1"/>
    <w:rsid w:val="009F2214"/>
    <w:rsid w:val="009F2DD0"/>
    <w:rsid w:val="009F2F0B"/>
    <w:rsid w:val="009F3659"/>
    <w:rsid w:val="009F4796"/>
    <w:rsid w:val="009F4D7A"/>
    <w:rsid w:val="009F535E"/>
    <w:rsid w:val="009F6171"/>
    <w:rsid w:val="009F6B8E"/>
    <w:rsid w:val="009F7FB3"/>
    <w:rsid w:val="00A00147"/>
    <w:rsid w:val="00A0112B"/>
    <w:rsid w:val="00A01EFB"/>
    <w:rsid w:val="00A03F57"/>
    <w:rsid w:val="00A04087"/>
    <w:rsid w:val="00A0518B"/>
    <w:rsid w:val="00A05A19"/>
    <w:rsid w:val="00A079AC"/>
    <w:rsid w:val="00A07D1D"/>
    <w:rsid w:val="00A10D5E"/>
    <w:rsid w:val="00A10F85"/>
    <w:rsid w:val="00A1332D"/>
    <w:rsid w:val="00A148E0"/>
    <w:rsid w:val="00A14DAE"/>
    <w:rsid w:val="00A16D60"/>
    <w:rsid w:val="00A173FD"/>
    <w:rsid w:val="00A177C0"/>
    <w:rsid w:val="00A17D58"/>
    <w:rsid w:val="00A20F32"/>
    <w:rsid w:val="00A21426"/>
    <w:rsid w:val="00A22272"/>
    <w:rsid w:val="00A23C67"/>
    <w:rsid w:val="00A245FE"/>
    <w:rsid w:val="00A26D1A"/>
    <w:rsid w:val="00A31343"/>
    <w:rsid w:val="00A35556"/>
    <w:rsid w:val="00A3619B"/>
    <w:rsid w:val="00A362F4"/>
    <w:rsid w:val="00A36E21"/>
    <w:rsid w:val="00A37923"/>
    <w:rsid w:val="00A37EDA"/>
    <w:rsid w:val="00A40259"/>
    <w:rsid w:val="00A419BC"/>
    <w:rsid w:val="00A421E6"/>
    <w:rsid w:val="00A423D0"/>
    <w:rsid w:val="00A42AD5"/>
    <w:rsid w:val="00A43837"/>
    <w:rsid w:val="00A45F5B"/>
    <w:rsid w:val="00A461C4"/>
    <w:rsid w:val="00A46B9E"/>
    <w:rsid w:val="00A46D16"/>
    <w:rsid w:val="00A46E9B"/>
    <w:rsid w:val="00A474FF"/>
    <w:rsid w:val="00A4797E"/>
    <w:rsid w:val="00A47FD3"/>
    <w:rsid w:val="00A50944"/>
    <w:rsid w:val="00A50A0F"/>
    <w:rsid w:val="00A514EA"/>
    <w:rsid w:val="00A51C05"/>
    <w:rsid w:val="00A52BCD"/>
    <w:rsid w:val="00A52EED"/>
    <w:rsid w:val="00A55A62"/>
    <w:rsid w:val="00A56829"/>
    <w:rsid w:val="00A56BA5"/>
    <w:rsid w:val="00A56E5B"/>
    <w:rsid w:val="00A57A95"/>
    <w:rsid w:val="00A60784"/>
    <w:rsid w:val="00A61E2F"/>
    <w:rsid w:val="00A61FE3"/>
    <w:rsid w:val="00A62380"/>
    <w:rsid w:val="00A630D9"/>
    <w:rsid w:val="00A647A7"/>
    <w:rsid w:val="00A668B3"/>
    <w:rsid w:val="00A70063"/>
    <w:rsid w:val="00A70381"/>
    <w:rsid w:val="00A706F7"/>
    <w:rsid w:val="00A70B42"/>
    <w:rsid w:val="00A7132F"/>
    <w:rsid w:val="00A71767"/>
    <w:rsid w:val="00A72078"/>
    <w:rsid w:val="00A733BE"/>
    <w:rsid w:val="00A76CFF"/>
    <w:rsid w:val="00A7726D"/>
    <w:rsid w:val="00A7747C"/>
    <w:rsid w:val="00A809FA"/>
    <w:rsid w:val="00A8197D"/>
    <w:rsid w:val="00A82B8D"/>
    <w:rsid w:val="00A837FF"/>
    <w:rsid w:val="00A83C5D"/>
    <w:rsid w:val="00A83FA2"/>
    <w:rsid w:val="00A85248"/>
    <w:rsid w:val="00A859C6"/>
    <w:rsid w:val="00A87735"/>
    <w:rsid w:val="00A87A21"/>
    <w:rsid w:val="00A87D1F"/>
    <w:rsid w:val="00A904A6"/>
    <w:rsid w:val="00A9090B"/>
    <w:rsid w:val="00A90B6A"/>
    <w:rsid w:val="00A90D00"/>
    <w:rsid w:val="00A90F04"/>
    <w:rsid w:val="00A91312"/>
    <w:rsid w:val="00A95C04"/>
    <w:rsid w:val="00A9667F"/>
    <w:rsid w:val="00A96C03"/>
    <w:rsid w:val="00AA0067"/>
    <w:rsid w:val="00AA2603"/>
    <w:rsid w:val="00AA3B6F"/>
    <w:rsid w:val="00AA3BAD"/>
    <w:rsid w:val="00AA4E4C"/>
    <w:rsid w:val="00AA5DAC"/>
    <w:rsid w:val="00AA789A"/>
    <w:rsid w:val="00AB06F9"/>
    <w:rsid w:val="00AB1B90"/>
    <w:rsid w:val="00AB2FDD"/>
    <w:rsid w:val="00AB3518"/>
    <w:rsid w:val="00AB41FD"/>
    <w:rsid w:val="00AB4386"/>
    <w:rsid w:val="00AB4735"/>
    <w:rsid w:val="00AB54BA"/>
    <w:rsid w:val="00AB5D34"/>
    <w:rsid w:val="00AB7052"/>
    <w:rsid w:val="00AB7C43"/>
    <w:rsid w:val="00AB7DBF"/>
    <w:rsid w:val="00AC0617"/>
    <w:rsid w:val="00AC1420"/>
    <w:rsid w:val="00AC1D60"/>
    <w:rsid w:val="00AC1DBB"/>
    <w:rsid w:val="00AC4127"/>
    <w:rsid w:val="00AC424B"/>
    <w:rsid w:val="00AC4DB9"/>
    <w:rsid w:val="00AC5A89"/>
    <w:rsid w:val="00AC6285"/>
    <w:rsid w:val="00AC6A14"/>
    <w:rsid w:val="00AD04CD"/>
    <w:rsid w:val="00AD0678"/>
    <w:rsid w:val="00AD16B4"/>
    <w:rsid w:val="00AD259B"/>
    <w:rsid w:val="00AD26D0"/>
    <w:rsid w:val="00AD2939"/>
    <w:rsid w:val="00AD3EC6"/>
    <w:rsid w:val="00AD4126"/>
    <w:rsid w:val="00AD449F"/>
    <w:rsid w:val="00AD5DF6"/>
    <w:rsid w:val="00AD6701"/>
    <w:rsid w:val="00AD74BF"/>
    <w:rsid w:val="00AD7949"/>
    <w:rsid w:val="00AD7EF2"/>
    <w:rsid w:val="00AE0E98"/>
    <w:rsid w:val="00AE0FE7"/>
    <w:rsid w:val="00AE289E"/>
    <w:rsid w:val="00AE2B24"/>
    <w:rsid w:val="00AE413A"/>
    <w:rsid w:val="00AE4863"/>
    <w:rsid w:val="00AE4C03"/>
    <w:rsid w:val="00AE4D15"/>
    <w:rsid w:val="00AE5A14"/>
    <w:rsid w:val="00AE6D6F"/>
    <w:rsid w:val="00AE78F8"/>
    <w:rsid w:val="00AF184B"/>
    <w:rsid w:val="00AF1C7F"/>
    <w:rsid w:val="00AF1CEE"/>
    <w:rsid w:val="00AF2765"/>
    <w:rsid w:val="00AF2877"/>
    <w:rsid w:val="00AF3701"/>
    <w:rsid w:val="00AF49E1"/>
    <w:rsid w:val="00AF4AEF"/>
    <w:rsid w:val="00AF63E8"/>
    <w:rsid w:val="00AF6CC4"/>
    <w:rsid w:val="00AF7A69"/>
    <w:rsid w:val="00AF7C6E"/>
    <w:rsid w:val="00B00DD4"/>
    <w:rsid w:val="00B02CE8"/>
    <w:rsid w:val="00B03435"/>
    <w:rsid w:val="00B03F57"/>
    <w:rsid w:val="00B04800"/>
    <w:rsid w:val="00B05CFE"/>
    <w:rsid w:val="00B06BC3"/>
    <w:rsid w:val="00B07A8B"/>
    <w:rsid w:val="00B10FD2"/>
    <w:rsid w:val="00B11D2C"/>
    <w:rsid w:val="00B11DD2"/>
    <w:rsid w:val="00B126AB"/>
    <w:rsid w:val="00B1392D"/>
    <w:rsid w:val="00B141C2"/>
    <w:rsid w:val="00B14F20"/>
    <w:rsid w:val="00B20634"/>
    <w:rsid w:val="00B20B94"/>
    <w:rsid w:val="00B2148B"/>
    <w:rsid w:val="00B21996"/>
    <w:rsid w:val="00B21A41"/>
    <w:rsid w:val="00B221DE"/>
    <w:rsid w:val="00B23516"/>
    <w:rsid w:val="00B23A03"/>
    <w:rsid w:val="00B23D12"/>
    <w:rsid w:val="00B24340"/>
    <w:rsid w:val="00B247CC"/>
    <w:rsid w:val="00B2788F"/>
    <w:rsid w:val="00B32E33"/>
    <w:rsid w:val="00B32E7F"/>
    <w:rsid w:val="00B33D7D"/>
    <w:rsid w:val="00B34488"/>
    <w:rsid w:val="00B357BF"/>
    <w:rsid w:val="00B36BC4"/>
    <w:rsid w:val="00B3754E"/>
    <w:rsid w:val="00B37FEA"/>
    <w:rsid w:val="00B40C6B"/>
    <w:rsid w:val="00B40EFD"/>
    <w:rsid w:val="00B4183D"/>
    <w:rsid w:val="00B42A39"/>
    <w:rsid w:val="00B43EBA"/>
    <w:rsid w:val="00B47169"/>
    <w:rsid w:val="00B47F43"/>
    <w:rsid w:val="00B50449"/>
    <w:rsid w:val="00B514FB"/>
    <w:rsid w:val="00B51920"/>
    <w:rsid w:val="00B529AF"/>
    <w:rsid w:val="00B542EF"/>
    <w:rsid w:val="00B545C6"/>
    <w:rsid w:val="00B55303"/>
    <w:rsid w:val="00B5539B"/>
    <w:rsid w:val="00B575C6"/>
    <w:rsid w:val="00B60E7F"/>
    <w:rsid w:val="00B63A62"/>
    <w:rsid w:val="00B63DD4"/>
    <w:rsid w:val="00B64A43"/>
    <w:rsid w:val="00B65B33"/>
    <w:rsid w:val="00B65CA1"/>
    <w:rsid w:val="00B676AC"/>
    <w:rsid w:val="00B704DC"/>
    <w:rsid w:val="00B70A0A"/>
    <w:rsid w:val="00B72461"/>
    <w:rsid w:val="00B75457"/>
    <w:rsid w:val="00B76F5C"/>
    <w:rsid w:val="00B77656"/>
    <w:rsid w:val="00B77D30"/>
    <w:rsid w:val="00B80AAC"/>
    <w:rsid w:val="00B80B26"/>
    <w:rsid w:val="00B84BA5"/>
    <w:rsid w:val="00B84FC0"/>
    <w:rsid w:val="00B87825"/>
    <w:rsid w:val="00B91CD5"/>
    <w:rsid w:val="00B93CE4"/>
    <w:rsid w:val="00B93E56"/>
    <w:rsid w:val="00B946A8"/>
    <w:rsid w:val="00B957D4"/>
    <w:rsid w:val="00B95F5F"/>
    <w:rsid w:val="00B967BC"/>
    <w:rsid w:val="00B96B7E"/>
    <w:rsid w:val="00BA05A8"/>
    <w:rsid w:val="00BA09DD"/>
    <w:rsid w:val="00BA0EB7"/>
    <w:rsid w:val="00BA2102"/>
    <w:rsid w:val="00BA2963"/>
    <w:rsid w:val="00BA3DDD"/>
    <w:rsid w:val="00BA4136"/>
    <w:rsid w:val="00BA4B14"/>
    <w:rsid w:val="00BA51CE"/>
    <w:rsid w:val="00BA52C3"/>
    <w:rsid w:val="00BA788D"/>
    <w:rsid w:val="00BB0230"/>
    <w:rsid w:val="00BB0B7B"/>
    <w:rsid w:val="00BB1347"/>
    <w:rsid w:val="00BB15CD"/>
    <w:rsid w:val="00BB1FB9"/>
    <w:rsid w:val="00BB230F"/>
    <w:rsid w:val="00BB2B86"/>
    <w:rsid w:val="00BB3F17"/>
    <w:rsid w:val="00BB4B33"/>
    <w:rsid w:val="00BB4CC1"/>
    <w:rsid w:val="00BB4E60"/>
    <w:rsid w:val="00BB678A"/>
    <w:rsid w:val="00BB6D90"/>
    <w:rsid w:val="00BB71F4"/>
    <w:rsid w:val="00BB7B4C"/>
    <w:rsid w:val="00BC2B37"/>
    <w:rsid w:val="00BC30D8"/>
    <w:rsid w:val="00BC490C"/>
    <w:rsid w:val="00BC5704"/>
    <w:rsid w:val="00BC626F"/>
    <w:rsid w:val="00BC6764"/>
    <w:rsid w:val="00BC6FA6"/>
    <w:rsid w:val="00BC7BBB"/>
    <w:rsid w:val="00BC7E42"/>
    <w:rsid w:val="00BD06F0"/>
    <w:rsid w:val="00BD1D27"/>
    <w:rsid w:val="00BD38F1"/>
    <w:rsid w:val="00BD3E90"/>
    <w:rsid w:val="00BD5C3A"/>
    <w:rsid w:val="00BD6B7D"/>
    <w:rsid w:val="00BD7003"/>
    <w:rsid w:val="00BD7A44"/>
    <w:rsid w:val="00BD7CEA"/>
    <w:rsid w:val="00BE06A1"/>
    <w:rsid w:val="00BE0BF0"/>
    <w:rsid w:val="00BE150B"/>
    <w:rsid w:val="00BE19EC"/>
    <w:rsid w:val="00BE22C6"/>
    <w:rsid w:val="00BE3502"/>
    <w:rsid w:val="00BE4981"/>
    <w:rsid w:val="00BE67F7"/>
    <w:rsid w:val="00BE7191"/>
    <w:rsid w:val="00BF280D"/>
    <w:rsid w:val="00BF2B66"/>
    <w:rsid w:val="00BF4210"/>
    <w:rsid w:val="00BF49FC"/>
    <w:rsid w:val="00BF4E52"/>
    <w:rsid w:val="00BF58C3"/>
    <w:rsid w:val="00BF6434"/>
    <w:rsid w:val="00BF6C02"/>
    <w:rsid w:val="00BF6D35"/>
    <w:rsid w:val="00BF6F50"/>
    <w:rsid w:val="00BF7EA7"/>
    <w:rsid w:val="00C009A5"/>
    <w:rsid w:val="00C00B44"/>
    <w:rsid w:val="00C01B85"/>
    <w:rsid w:val="00C0340E"/>
    <w:rsid w:val="00C04D34"/>
    <w:rsid w:val="00C063CA"/>
    <w:rsid w:val="00C067A9"/>
    <w:rsid w:val="00C06DE3"/>
    <w:rsid w:val="00C07742"/>
    <w:rsid w:val="00C10154"/>
    <w:rsid w:val="00C111F3"/>
    <w:rsid w:val="00C11BFB"/>
    <w:rsid w:val="00C11E2C"/>
    <w:rsid w:val="00C12ACB"/>
    <w:rsid w:val="00C12B5D"/>
    <w:rsid w:val="00C12CB8"/>
    <w:rsid w:val="00C16773"/>
    <w:rsid w:val="00C1694F"/>
    <w:rsid w:val="00C17211"/>
    <w:rsid w:val="00C207C2"/>
    <w:rsid w:val="00C21AA6"/>
    <w:rsid w:val="00C22B0D"/>
    <w:rsid w:val="00C23410"/>
    <w:rsid w:val="00C23DF1"/>
    <w:rsid w:val="00C24371"/>
    <w:rsid w:val="00C3027B"/>
    <w:rsid w:val="00C304E8"/>
    <w:rsid w:val="00C30FDF"/>
    <w:rsid w:val="00C3214D"/>
    <w:rsid w:val="00C321C0"/>
    <w:rsid w:val="00C32CAA"/>
    <w:rsid w:val="00C32F40"/>
    <w:rsid w:val="00C3483E"/>
    <w:rsid w:val="00C355AB"/>
    <w:rsid w:val="00C36C55"/>
    <w:rsid w:val="00C418EA"/>
    <w:rsid w:val="00C421D8"/>
    <w:rsid w:val="00C42A17"/>
    <w:rsid w:val="00C42D92"/>
    <w:rsid w:val="00C43386"/>
    <w:rsid w:val="00C439DB"/>
    <w:rsid w:val="00C458D5"/>
    <w:rsid w:val="00C45B41"/>
    <w:rsid w:val="00C464AA"/>
    <w:rsid w:val="00C467D0"/>
    <w:rsid w:val="00C47201"/>
    <w:rsid w:val="00C52382"/>
    <w:rsid w:val="00C5263A"/>
    <w:rsid w:val="00C546AA"/>
    <w:rsid w:val="00C547A5"/>
    <w:rsid w:val="00C547E0"/>
    <w:rsid w:val="00C55AD7"/>
    <w:rsid w:val="00C55E1B"/>
    <w:rsid w:val="00C567C6"/>
    <w:rsid w:val="00C5742B"/>
    <w:rsid w:val="00C57FFA"/>
    <w:rsid w:val="00C603DE"/>
    <w:rsid w:val="00C62A62"/>
    <w:rsid w:val="00C63F61"/>
    <w:rsid w:val="00C6413A"/>
    <w:rsid w:val="00C6581E"/>
    <w:rsid w:val="00C66654"/>
    <w:rsid w:val="00C668A8"/>
    <w:rsid w:val="00C66CAC"/>
    <w:rsid w:val="00C67534"/>
    <w:rsid w:val="00C704BB"/>
    <w:rsid w:val="00C70983"/>
    <w:rsid w:val="00C711CA"/>
    <w:rsid w:val="00C72476"/>
    <w:rsid w:val="00C73905"/>
    <w:rsid w:val="00C747E8"/>
    <w:rsid w:val="00C748EC"/>
    <w:rsid w:val="00C74E43"/>
    <w:rsid w:val="00C751AB"/>
    <w:rsid w:val="00C75F80"/>
    <w:rsid w:val="00C764A8"/>
    <w:rsid w:val="00C76568"/>
    <w:rsid w:val="00C77175"/>
    <w:rsid w:val="00C80173"/>
    <w:rsid w:val="00C80AA2"/>
    <w:rsid w:val="00C80AB2"/>
    <w:rsid w:val="00C81B77"/>
    <w:rsid w:val="00C82D62"/>
    <w:rsid w:val="00C82DED"/>
    <w:rsid w:val="00C83EEF"/>
    <w:rsid w:val="00C84089"/>
    <w:rsid w:val="00C85A9D"/>
    <w:rsid w:val="00C864E6"/>
    <w:rsid w:val="00C86836"/>
    <w:rsid w:val="00C8683C"/>
    <w:rsid w:val="00C870AB"/>
    <w:rsid w:val="00C929D7"/>
    <w:rsid w:val="00C92E52"/>
    <w:rsid w:val="00C9401B"/>
    <w:rsid w:val="00C95AF3"/>
    <w:rsid w:val="00C962A5"/>
    <w:rsid w:val="00C96CC7"/>
    <w:rsid w:val="00C97F23"/>
    <w:rsid w:val="00CA0BDC"/>
    <w:rsid w:val="00CA0C6C"/>
    <w:rsid w:val="00CA1785"/>
    <w:rsid w:val="00CA1BBD"/>
    <w:rsid w:val="00CA2748"/>
    <w:rsid w:val="00CA2FA6"/>
    <w:rsid w:val="00CA4C5D"/>
    <w:rsid w:val="00CA547F"/>
    <w:rsid w:val="00CA6102"/>
    <w:rsid w:val="00CA6824"/>
    <w:rsid w:val="00CA7142"/>
    <w:rsid w:val="00CB04D3"/>
    <w:rsid w:val="00CB0994"/>
    <w:rsid w:val="00CB0E88"/>
    <w:rsid w:val="00CB1A60"/>
    <w:rsid w:val="00CB1AEC"/>
    <w:rsid w:val="00CB266E"/>
    <w:rsid w:val="00CB32B4"/>
    <w:rsid w:val="00CB3561"/>
    <w:rsid w:val="00CB531F"/>
    <w:rsid w:val="00CB6830"/>
    <w:rsid w:val="00CB7360"/>
    <w:rsid w:val="00CC07A5"/>
    <w:rsid w:val="00CC0A07"/>
    <w:rsid w:val="00CC15A4"/>
    <w:rsid w:val="00CC1F8D"/>
    <w:rsid w:val="00CC2CCA"/>
    <w:rsid w:val="00CC30E6"/>
    <w:rsid w:val="00CC369E"/>
    <w:rsid w:val="00CC43B7"/>
    <w:rsid w:val="00CC64A2"/>
    <w:rsid w:val="00CC76B5"/>
    <w:rsid w:val="00CD24DC"/>
    <w:rsid w:val="00CD255C"/>
    <w:rsid w:val="00CD2B14"/>
    <w:rsid w:val="00CD2C50"/>
    <w:rsid w:val="00CD3B3A"/>
    <w:rsid w:val="00CD4222"/>
    <w:rsid w:val="00CD5337"/>
    <w:rsid w:val="00CD54EA"/>
    <w:rsid w:val="00CD5BBC"/>
    <w:rsid w:val="00CD6A8A"/>
    <w:rsid w:val="00CD7793"/>
    <w:rsid w:val="00CE0765"/>
    <w:rsid w:val="00CE266E"/>
    <w:rsid w:val="00CE2799"/>
    <w:rsid w:val="00CE45CE"/>
    <w:rsid w:val="00CE51EB"/>
    <w:rsid w:val="00CE5897"/>
    <w:rsid w:val="00CE58A1"/>
    <w:rsid w:val="00CE5B54"/>
    <w:rsid w:val="00CE5B69"/>
    <w:rsid w:val="00CE72E6"/>
    <w:rsid w:val="00CF019B"/>
    <w:rsid w:val="00CF3251"/>
    <w:rsid w:val="00CF3BEB"/>
    <w:rsid w:val="00CF45B6"/>
    <w:rsid w:val="00CF5B84"/>
    <w:rsid w:val="00CF5CEC"/>
    <w:rsid w:val="00CF6A02"/>
    <w:rsid w:val="00CF7250"/>
    <w:rsid w:val="00CF756A"/>
    <w:rsid w:val="00CF7E2D"/>
    <w:rsid w:val="00D0095C"/>
    <w:rsid w:val="00D0145F"/>
    <w:rsid w:val="00D028AB"/>
    <w:rsid w:val="00D02A51"/>
    <w:rsid w:val="00D02F22"/>
    <w:rsid w:val="00D03FB3"/>
    <w:rsid w:val="00D041D4"/>
    <w:rsid w:val="00D046B4"/>
    <w:rsid w:val="00D053BD"/>
    <w:rsid w:val="00D05A31"/>
    <w:rsid w:val="00D07B54"/>
    <w:rsid w:val="00D07CC0"/>
    <w:rsid w:val="00D114A5"/>
    <w:rsid w:val="00D126B1"/>
    <w:rsid w:val="00D139BD"/>
    <w:rsid w:val="00D13EA3"/>
    <w:rsid w:val="00D13EC9"/>
    <w:rsid w:val="00D14176"/>
    <w:rsid w:val="00D15A4B"/>
    <w:rsid w:val="00D1668F"/>
    <w:rsid w:val="00D17182"/>
    <w:rsid w:val="00D20499"/>
    <w:rsid w:val="00D2284D"/>
    <w:rsid w:val="00D254F2"/>
    <w:rsid w:val="00D25598"/>
    <w:rsid w:val="00D26365"/>
    <w:rsid w:val="00D27787"/>
    <w:rsid w:val="00D27A23"/>
    <w:rsid w:val="00D30A99"/>
    <w:rsid w:val="00D3130A"/>
    <w:rsid w:val="00D35F67"/>
    <w:rsid w:val="00D36564"/>
    <w:rsid w:val="00D366CF"/>
    <w:rsid w:val="00D3762A"/>
    <w:rsid w:val="00D40865"/>
    <w:rsid w:val="00D41665"/>
    <w:rsid w:val="00D454EE"/>
    <w:rsid w:val="00D45D4D"/>
    <w:rsid w:val="00D45DD4"/>
    <w:rsid w:val="00D4615D"/>
    <w:rsid w:val="00D464E2"/>
    <w:rsid w:val="00D46D7C"/>
    <w:rsid w:val="00D50810"/>
    <w:rsid w:val="00D50836"/>
    <w:rsid w:val="00D50848"/>
    <w:rsid w:val="00D51539"/>
    <w:rsid w:val="00D523BD"/>
    <w:rsid w:val="00D534FA"/>
    <w:rsid w:val="00D53583"/>
    <w:rsid w:val="00D53C20"/>
    <w:rsid w:val="00D5488E"/>
    <w:rsid w:val="00D549E1"/>
    <w:rsid w:val="00D56116"/>
    <w:rsid w:val="00D60619"/>
    <w:rsid w:val="00D60E4F"/>
    <w:rsid w:val="00D613BB"/>
    <w:rsid w:val="00D61C71"/>
    <w:rsid w:val="00D62C7A"/>
    <w:rsid w:val="00D640C9"/>
    <w:rsid w:val="00D65AE2"/>
    <w:rsid w:val="00D65DF6"/>
    <w:rsid w:val="00D668AF"/>
    <w:rsid w:val="00D67EDE"/>
    <w:rsid w:val="00D7102D"/>
    <w:rsid w:val="00D71089"/>
    <w:rsid w:val="00D713E5"/>
    <w:rsid w:val="00D73223"/>
    <w:rsid w:val="00D74306"/>
    <w:rsid w:val="00D74F1A"/>
    <w:rsid w:val="00D75B20"/>
    <w:rsid w:val="00D75D8D"/>
    <w:rsid w:val="00D77A06"/>
    <w:rsid w:val="00D83A3B"/>
    <w:rsid w:val="00D84A07"/>
    <w:rsid w:val="00D84E64"/>
    <w:rsid w:val="00D90868"/>
    <w:rsid w:val="00D90E86"/>
    <w:rsid w:val="00D9146E"/>
    <w:rsid w:val="00D92937"/>
    <w:rsid w:val="00D933B7"/>
    <w:rsid w:val="00D94324"/>
    <w:rsid w:val="00D94755"/>
    <w:rsid w:val="00D9487B"/>
    <w:rsid w:val="00D94EC9"/>
    <w:rsid w:val="00D956A6"/>
    <w:rsid w:val="00D95C15"/>
    <w:rsid w:val="00DA0061"/>
    <w:rsid w:val="00DA0A0A"/>
    <w:rsid w:val="00DA0A4B"/>
    <w:rsid w:val="00DA11C6"/>
    <w:rsid w:val="00DA1A7C"/>
    <w:rsid w:val="00DA1F0E"/>
    <w:rsid w:val="00DA2730"/>
    <w:rsid w:val="00DA28F4"/>
    <w:rsid w:val="00DA4720"/>
    <w:rsid w:val="00DA52B7"/>
    <w:rsid w:val="00DA52C8"/>
    <w:rsid w:val="00DA6DFA"/>
    <w:rsid w:val="00DA7D06"/>
    <w:rsid w:val="00DB109D"/>
    <w:rsid w:val="00DB10DF"/>
    <w:rsid w:val="00DB17D1"/>
    <w:rsid w:val="00DB189B"/>
    <w:rsid w:val="00DB216A"/>
    <w:rsid w:val="00DB2919"/>
    <w:rsid w:val="00DB2E1B"/>
    <w:rsid w:val="00DB3445"/>
    <w:rsid w:val="00DB3CF9"/>
    <w:rsid w:val="00DB42D7"/>
    <w:rsid w:val="00DB4BCE"/>
    <w:rsid w:val="00DB4F5C"/>
    <w:rsid w:val="00DB5A0A"/>
    <w:rsid w:val="00DB6742"/>
    <w:rsid w:val="00DC0D9E"/>
    <w:rsid w:val="00DC3EB3"/>
    <w:rsid w:val="00DC45C3"/>
    <w:rsid w:val="00DC4BC5"/>
    <w:rsid w:val="00DC695C"/>
    <w:rsid w:val="00DC7B9B"/>
    <w:rsid w:val="00DD01C3"/>
    <w:rsid w:val="00DD1173"/>
    <w:rsid w:val="00DD171C"/>
    <w:rsid w:val="00DD17C4"/>
    <w:rsid w:val="00DD3F39"/>
    <w:rsid w:val="00DD4557"/>
    <w:rsid w:val="00DD4914"/>
    <w:rsid w:val="00DD5527"/>
    <w:rsid w:val="00DE00A2"/>
    <w:rsid w:val="00DE0228"/>
    <w:rsid w:val="00DE0931"/>
    <w:rsid w:val="00DE1980"/>
    <w:rsid w:val="00DE1997"/>
    <w:rsid w:val="00DE1BAC"/>
    <w:rsid w:val="00DE2067"/>
    <w:rsid w:val="00DE3B50"/>
    <w:rsid w:val="00DE3E2F"/>
    <w:rsid w:val="00DE422B"/>
    <w:rsid w:val="00DE49F1"/>
    <w:rsid w:val="00DE7448"/>
    <w:rsid w:val="00DE781B"/>
    <w:rsid w:val="00DE795C"/>
    <w:rsid w:val="00DF093D"/>
    <w:rsid w:val="00DF0951"/>
    <w:rsid w:val="00DF1E02"/>
    <w:rsid w:val="00DF528F"/>
    <w:rsid w:val="00DF6590"/>
    <w:rsid w:val="00DF7E66"/>
    <w:rsid w:val="00E00411"/>
    <w:rsid w:val="00E00EE4"/>
    <w:rsid w:val="00E0264C"/>
    <w:rsid w:val="00E02C45"/>
    <w:rsid w:val="00E055C5"/>
    <w:rsid w:val="00E05C8D"/>
    <w:rsid w:val="00E05D3B"/>
    <w:rsid w:val="00E06134"/>
    <w:rsid w:val="00E06858"/>
    <w:rsid w:val="00E06AB5"/>
    <w:rsid w:val="00E06DC5"/>
    <w:rsid w:val="00E07128"/>
    <w:rsid w:val="00E0777E"/>
    <w:rsid w:val="00E07885"/>
    <w:rsid w:val="00E1016D"/>
    <w:rsid w:val="00E118B9"/>
    <w:rsid w:val="00E127F6"/>
    <w:rsid w:val="00E13276"/>
    <w:rsid w:val="00E13442"/>
    <w:rsid w:val="00E1411D"/>
    <w:rsid w:val="00E1417B"/>
    <w:rsid w:val="00E14C08"/>
    <w:rsid w:val="00E1670A"/>
    <w:rsid w:val="00E1770B"/>
    <w:rsid w:val="00E20E03"/>
    <w:rsid w:val="00E2121C"/>
    <w:rsid w:val="00E212EA"/>
    <w:rsid w:val="00E2190C"/>
    <w:rsid w:val="00E23ABE"/>
    <w:rsid w:val="00E243D4"/>
    <w:rsid w:val="00E24C96"/>
    <w:rsid w:val="00E252CF"/>
    <w:rsid w:val="00E26D98"/>
    <w:rsid w:val="00E27581"/>
    <w:rsid w:val="00E27C01"/>
    <w:rsid w:val="00E3123F"/>
    <w:rsid w:val="00E31418"/>
    <w:rsid w:val="00E316E2"/>
    <w:rsid w:val="00E32A95"/>
    <w:rsid w:val="00E32CA2"/>
    <w:rsid w:val="00E32F6B"/>
    <w:rsid w:val="00E33E7E"/>
    <w:rsid w:val="00E34304"/>
    <w:rsid w:val="00E348EF"/>
    <w:rsid w:val="00E35EFE"/>
    <w:rsid w:val="00E37722"/>
    <w:rsid w:val="00E40BEF"/>
    <w:rsid w:val="00E41FA1"/>
    <w:rsid w:val="00E420DB"/>
    <w:rsid w:val="00E4235C"/>
    <w:rsid w:val="00E4315C"/>
    <w:rsid w:val="00E43553"/>
    <w:rsid w:val="00E442D1"/>
    <w:rsid w:val="00E444BB"/>
    <w:rsid w:val="00E471D6"/>
    <w:rsid w:val="00E47539"/>
    <w:rsid w:val="00E47B00"/>
    <w:rsid w:val="00E51280"/>
    <w:rsid w:val="00E537A9"/>
    <w:rsid w:val="00E53EA3"/>
    <w:rsid w:val="00E57D19"/>
    <w:rsid w:val="00E60D35"/>
    <w:rsid w:val="00E612E3"/>
    <w:rsid w:val="00E62E91"/>
    <w:rsid w:val="00E6300E"/>
    <w:rsid w:val="00E6432E"/>
    <w:rsid w:val="00E647B6"/>
    <w:rsid w:val="00E6523E"/>
    <w:rsid w:val="00E6643A"/>
    <w:rsid w:val="00E66BF5"/>
    <w:rsid w:val="00E67C65"/>
    <w:rsid w:val="00E67E46"/>
    <w:rsid w:val="00E71838"/>
    <w:rsid w:val="00E72372"/>
    <w:rsid w:val="00E7267B"/>
    <w:rsid w:val="00E73118"/>
    <w:rsid w:val="00E732A2"/>
    <w:rsid w:val="00E74424"/>
    <w:rsid w:val="00E7473A"/>
    <w:rsid w:val="00E74AB5"/>
    <w:rsid w:val="00E74C4F"/>
    <w:rsid w:val="00E808A0"/>
    <w:rsid w:val="00E80C7A"/>
    <w:rsid w:val="00E82975"/>
    <w:rsid w:val="00E837EA"/>
    <w:rsid w:val="00E83CE5"/>
    <w:rsid w:val="00E85F2B"/>
    <w:rsid w:val="00E867D2"/>
    <w:rsid w:val="00E87313"/>
    <w:rsid w:val="00E904E3"/>
    <w:rsid w:val="00E92DE7"/>
    <w:rsid w:val="00E94B91"/>
    <w:rsid w:val="00E94E50"/>
    <w:rsid w:val="00E95067"/>
    <w:rsid w:val="00E96054"/>
    <w:rsid w:val="00E960E7"/>
    <w:rsid w:val="00E9636C"/>
    <w:rsid w:val="00E966C3"/>
    <w:rsid w:val="00E97364"/>
    <w:rsid w:val="00E9760B"/>
    <w:rsid w:val="00E97E03"/>
    <w:rsid w:val="00EA206B"/>
    <w:rsid w:val="00EA214E"/>
    <w:rsid w:val="00EA2866"/>
    <w:rsid w:val="00EA4B44"/>
    <w:rsid w:val="00EA533B"/>
    <w:rsid w:val="00EA5409"/>
    <w:rsid w:val="00EA5F4E"/>
    <w:rsid w:val="00EA692C"/>
    <w:rsid w:val="00EA6D6C"/>
    <w:rsid w:val="00EA6FAB"/>
    <w:rsid w:val="00EA7E84"/>
    <w:rsid w:val="00EB0B16"/>
    <w:rsid w:val="00EB10F3"/>
    <w:rsid w:val="00EB2464"/>
    <w:rsid w:val="00EB309F"/>
    <w:rsid w:val="00EB4E0E"/>
    <w:rsid w:val="00EB55B6"/>
    <w:rsid w:val="00EB5616"/>
    <w:rsid w:val="00EC0718"/>
    <w:rsid w:val="00EC1F53"/>
    <w:rsid w:val="00EC27C2"/>
    <w:rsid w:val="00EC37C5"/>
    <w:rsid w:val="00EC3B03"/>
    <w:rsid w:val="00EC46EE"/>
    <w:rsid w:val="00EC4C37"/>
    <w:rsid w:val="00EC5D48"/>
    <w:rsid w:val="00EC6AAF"/>
    <w:rsid w:val="00EC7459"/>
    <w:rsid w:val="00ED179C"/>
    <w:rsid w:val="00ED1C6D"/>
    <w:rsid w:val="00ED244C"/>
    <w:rsid w:val="00ED2BA8"/>
    <w:rsid w:val="00ED2BBA"/>
    <w:rsid w:val="00ED2F94"/>
    <w:rsid w:val="00ED5ED5"/>
    <w:rsid w:val="00ED657F"/>
    <w:rsid w:val="00ED6615"/>
    <w:rsid w:val="00ED73C8"/>
    <w:rsid w:val="00ED73D5"/>
    <w:rsid w:val="00ED7AC0"/>
    <w:rsid w:val="00EE0121"/>
    <w:rsid w:val="00EE1121"/>
    <w:rsid w:val="00EE2501"/>
    <w:rsid w:val="00EE2877"/>
    <w:rsid w:val="00EE2B43"/>
    <w:rsid w:val="00EE4AB9"/>
    <w:rsid w:val="00EE6081"/>
    <w:rsid w:val="00EE6335"/>
    <w:rsid w:val="00EE6FFE"/>
    <w:rsid w:val="00EF0001"/>
    <w:rsid w:val="00EF2373"/>
    <w:rsid w:val="00EF2E6D"/>
    <w:rsid w:val="00EF331E"/>
    <w:rsid w:val="00EF3D0E"/>
    <w:rsid w:val="00EF40CF"/>
    <w:rsid w:val="00EF5F2A"/>
    <w:rsid w:val="00EF660E"/>
    <w:rsid w:val="00F0150B"/>
    <w:rsid w:val="00F0161F"/>
    <w:rsid w:val="00F037A1"/>
    <w:rsid w:val="00F04459"/>
    <w:rsid w:val="00F04553"/>
    <w:rsid w:val="00F04EE2"/>
    <w:rsid w:val="00F053A9"/>
    <w:rsid w:val="00F06970"/>
    <w:rsid w:val="00F07EF3"/>
    <w:rsid w:val="00F10075"/>
    <w:rsid w:val="00F113DF"/>
    <w:rsid w:val="00F11B2E"/>
    <w:rsid w:val="00F11CF5"/>
    <w:rsid w:val="00F12C71"/>
    <w:rsid w:val="00F1415F"/>
    <w:rsid w:val="00F15E2E"/>
    <w:rsid w:val="00F20CE9"/>
    <w:rsid w:val="00F212F9"/>
    <w:rsid w:val="00F215EF"/>
    <w:rsid w:val="00F239B8"/>
    <w:rsid w:val="00F23B82"/>
    <w:rsid w:val="00F26668"/>
    <w:rsid w:val="00F26B14"/>
    <w:rsid w:val="00F272E0"/>
    <w:rsid w:val="00F27B49"/>
    <w:rsid w:val="00F30759"/>
    <w:rsid w:val="00F31022"/>
    <w:rsid w:val="00F32747"/>
    <w:rsid w:val="00F32853"/>
    <w:rsid w:val="00F3384F"/>
    <w:rsid w:val="00F34759"/>
    <w:rsid w:val="00F35849"/>
    <w:rsid w:val="00F362D9"/>
    <w:rsid w:val="00F4002E"/>
    <w:rsid w:val="00F4036E"/>
    <w:rsid w:val="00F4107E"/>
    <w:rsid w:val="00F420B1"/>
    <w:rsid w:val="00F42348"/>
    <w:rsid w:val="00F445C5"/>
    <w:rsid w:val="00F46DD7"/>
    <w:rsid w:val="00F47B1B"/>
    <w:rsid w:val="00F5088B"/>
    <w:rsid w:val="00F50B04"/>
    <w:rsid w:val="00F53A91"/>
    <w:rsid w:val="00F53CF0"/>
    <w:rsid w:val="00F5527B"/>
    <w:rsid w:val="00F55C87"/>
    <w:rsid w:val="00F563AD"/>
    <w:rsid w:val="00F565D0"/>
    <w:rsid w:val="00F5718D"/>
    <w:rsid w:val="00F5723F"/>
    <w:rsid w:val="00F57437"/>
    <w:rsid w:val="00F604FD"/>
    <w:rsid w:val="00F6076D"/>
    <w:rsid w:val="00F626DE"/>
    <w:rsid w:val="00F63499"/>
    <w:rsid w:val="00F63A16"/>
    <w:rsid w:val="00F646C6"/>
    <w:rsid w:val="00F65C40"/>
    <w:rsid w:val="00F65F32"/>
    <w:rsid w:val="00F703E3"/>
    <w:rsid w:val="00F70487"/>
    <w:rsid w:val="00F710EC"/>
    <w:rsid w:val="00F71963"/>
    <w:rsid w:val="00F71FEE"/>
    <w:rsid w:val="00F7204C"/>
    <w:rsid w:val="00F7287C"/>
    <w:rsid w:val="00F738C6"/>
    <w:rsid w:val="00F75043"/>
    <w:rsid w:val="00F76B20"/>
    <w:rsid w:val="00F77E7B"/>
    <w:rsid w:val="00F80A9C"/>
    <w:rsid w:val="00F815A8"/>
    <w:rsid w:val="00F821C6"/>
    <w:rsid w:val="00F8304C"/>
    <w:rsid w:val="00F84A6F"/>
    <w:rsid w:val="00F84EBC"/>
    <w:rsid w:val="00F87F1B"/>
    <w:rsid w:val="00F90048"/>
    <w:rsid w:val="00F90E9E"/>
    <w:rsid w:val="00F91371"/>
    <w:rsid w:val="00F917CA"/>
    <w:rsid w:val="00F9352E"/>
    <w:rsid w:val="00F93699"/>
    <w:rsid w:val="00F93D35"/>
    <w:rsid w:val="00F9492B"/>
    <w:rsid w:val="00F94FAC"/>
    <w:rsid w:val="00F95BE0"/>
    <w:rsid w:val="00F95DA5"/>
    <w:rsid w:val="00F963A1"/>
    <w:rsid w:val="00F96796"/>
    <w:rsid w:val="00F977E6"/>
    <w:rsid w:val="00F97F29"/>
    <w:rsid w:val="00FA032C"/>
    <w:rsid w:val="00FA0C30"/>
    <w:rsid w:val="00FA23F9"/>
    <w:rsid w:val="00FA24DA"/>
    <w:rsid w:val="00FA29D7"/>
    <w:rsid w:val="00FA2DB9"/>
    <w:rsid w:val="00FA31E8"/>
    <w:rsid w:val="00FA3858"/>
    <w:rsid w:val="00FA5150"/>
    <w:rsid w:val="00FA5B0C"/>
    <w:rsid w:val="00FA63F8"/>
    <w:rsid w:val="00FA6CB6"/>
    <w:rsid w:val="00FA7810"/>
    <w:rsid w:val="00FB05E2"/>
    <w:rsid w:val="00FB0856"/>
    <w:rsid w:val="00FB188F"/>
    <w:rsid w:val="00FB198D"/>
    <w:rsid w:val="00FB244C"/>
    <w:rsid w:val="00FB3220"/>
    <w:rsid w:val="00FB3269"/>
    <w:rsid w:val="00FB3F0E"/>
    <w:rsid w:val="00FB47CE"/>
    <w:rsid w:val="00FB4DA7"/>
    <w:rsid w:val="00FB67AB"/>
    <w:rsid w:val="00FC14D9"/>
    <w:rsid w:val="00FC1B43"/>
    <w:rsid w:val="00FC46AB"/>
    <w:rsid w:val="00FC4E78"/>
    <w:rsid w:val="00FC5AEF"/>
    <w:rsid w:val="00FC5E75"/>
    <w:rsid w:val="00FC7333"/>
    <w:rsid w:val="00FC7545"/>
    <w:rsid w:val="00FD018A"/>
    <w:rsid w:val="00FD0C21"/>
    <w:rsid w:val="00FD0EE8"/>
    <w:rsid w:val="00FD12BF"/>
    <w:rsid w:val="00FD1367"/>
    <w:rsid w:val="00FD37BF"/>
    <w:rsid w:val="00FD51B7"/>
    <w:rsid w:val="00FD6673"/>
    <w:rsid w:val="00FD774A"/>
    <w:rsid w:val="00FE044F"/>
    <w:rsid w:val="00FE0B8C"/>
    <w:rsid w:val="00FE0E26"/>
    <w:rsid w:val="00FE124B"/>
    <w:rsid w:val="00FE14AF"/>
    <w:rsid w:val="00FE6D7C"/>
    <w:rsid w:val="00FE6DAD"/>
    <w:rsid w:val="00FF2BCF"/>
    <w:rsid w:val="00FF2CBF"/>
    <w:rsid w:val="00FF397C"/>
    <w:rsid w:val="00FF3A68"/>
    <w:rsid w:val="00FF3B0C"/>
    <w:rsid w:val="00FF3C52"/>
    <w:rsid w:val="00FF651E"/>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EAC1D"/>
  <w15:docId w15:val="{BCEEF9E3-916C-495F-A2CE-BD0C2B36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5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uiPriority w:val="99"/>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105A59"/>
    <w:pPr>
      <w:ind w:left="720"/>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semiHidden/>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styleId="Header">
    <w:name w:val="header"/>
    <w:basedOn w:val="Normal"/>
    <w:link w:val="HeaderChar"/>
    <w:uiPriority w:val="99"/>
    <w:unhideWhenUsed/>
    <w:rsid w:val="00610018"/>
    <w:pPr>
      <w:tabs>
        <w:tab w:val="center" w:pos="4513"/>
        <w:tab w:val="right" w:pos="9026"/>
      </w:tabs>
    </w:pPr>
  </w:style>
  <w:style w:type="character" w:customStyle="1" w:styleId="HeaderChar">
    <w:name w:val="Header Char"/>
    <w:basedOn w:val="DefaultParagraphFont"/>
    <w:link w:val="Header"/>
    <w:uiPriority w:val="99"/>
    <w:rsid w:val="00610018"/>
    <w:rPr>
      <w:sz w:val="24"/>
      <w:szCs w:val="24"/>
    </w:rPr>
  </w:style>
  <w:style w:type="character" w:customStyle="1" w:styleId="CharAmSchText">
    <w:name w:val="CharAmSchText"/>
    <w:basedOn w:val="DefaultParagraphFont"/>
    <w:qFormat/>
    <w:rsid w:val="00283174"/>
  </w:style>
  <w:style w:type="character" w:styleId="Strong">
    <w:name w:val="Strong"/>
    <w:basedOn w:val="DefaultParagraphFont"/>
    <w:uiPriority w:val="22"/>
    <w:qFormat/>
    <w:locked/>
    <w:rsid w:val="00C00B44"/>
    <w:rPr>
      <w:b/>
      <w:bCs/>
    </w:rPr>
  </w:style>
  <w:style w:type="paragraph" w:customStyle="1" w:styleId="subsection">
    <w:name w:val="subsection"/>
    <w:aliases w:val="ss"/>
    <w:basedOn w:val="Normal"/>
    <w:link w:val="subsectionChar"/>
    <w:rsid w:val="00104F86"/>
    <w:pPr>
      <w:tabs>
        <w:tab w:val="right" w:pos="1021"/>
      </w:tabs>
      <w:spacing w:before="180"/>
      <w:ind w:left="1134" w:hanging="1134"/>
    </w:pPr>
    <w:rPr>
      <w:sz w:val="22"/>
      <w:szCs w:val="20"/>
    </w:rPr>
  </w:style>
  <w:style w:type="character" w:customStyle="1" w:styleId="subsectionChar">
    <w:name w:val="subsection Char"/>
    <w:aliases w:val="ss Char"/>
    <w:link w:val="subsection"/>
    <w:rsid w:val="00104F86"/>
    <w:rPr>
      <w:szCs w:val="20"/>
    </w:rPr>
  </w:style>
  <w:style w:type="paragraph" w:styleId="PlainText">
    <w:name w:val="Plain Text"/>
    <w:basedOn w:val="Normal"/>
    <w:link w:val="PlainTextChar"/>
    <w:uiPriority w:val="99"/>
    <w:semiHidden/>
    <w:unhideWhenUsed/>
    <w:rsid w:val="00966451"/>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966451"/>
    <w:rPr>
      <w:rFonts w:ascii="Calibri" w:eastAsiaTheme="minorHAnsi" w:hAnsi="Calibri" w:cstheme="minorBidi"/>
      <w:szCs w:val="21"/>
      <w:lang w:eastAsia="en-US"/>
    </w:rPr>
  </w:style>
  <w:style w:type="character" w:customStyle="1" w:styleId="paragraphChar">
    <w:name w:val="paragraph Char"/>
    <w:aliases w:val="a Char"/>
    <w:link w:val="paragraph"/>
    <w:rsid w:val="00E62E91"/>
    <w:rPr>
      <w:szCs w:val="20"/>
    </w:rPr>
  </w:style>
  <w:style w:type="paragraph" w:styleId="NoSpacing">
    <w:name w:val="No Spacing"/>
    <w:basedOn w:val="Normal"/>
    <w:uiPriority w:val="1"/>
    <w:qFormat/>
    <w:rsid w:val="00EA5F4E"/>
    <w:pPr>
      <w:spacing w:line="276" w:lineRule="auto"/>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84391C"/>
    <w:rPr>
      <w:color w:val="800080" w:themeColor="followedHyperlink"/>
      <w:u w:val="single"/>
    </w:rPr>
  </w:style>
  <w:style w:type="paragraph" w:customStyle="1" w:styleId="ShortT">
    <w:name w:val="ShortT"/>
    <w:basedOn w:val="Normal"/>
    <w:next w:val="Normal"/>
    <w:qFormat/>
    <w:rsid w:val="00560E7F"/>
    <w:rPr>
      <w:b/>
      <w:sz w:val="40"/>
      <w:szCs w:val="20"/>
    </w:rPr>
  </w:style>
  <w:style w:type="paragraph" w:customStyle="1" w:styleId="ActHead5">
    <w:name w:val="ActHead 5"/>
    <w:aliases w:val="s"/>
    <w:basedOn w:val="Normal"/>
    <w:next w:val="subsection"/>
    <w:qFormat/>
    <w:rsid w:val="00B946A8"/>
    <w:pPr>
      <w:keepNext/>
      <w:keepLines/>
      <w:spacing w:before="280"/>
      <w:ind w:left="1134" w:hanging="1134"/>
      <w:outlineLvl w:val="4"/>
    </w:pPr>
    <w:rPr>
      <w:b/>
      <w:kern w:val="28"/>
      <w:szCs w:val="20"/>
    </w:rPr>
  </w:style>
  <w:style w:type="character" w:customStyle="1" w:styleId="CharSectno">
    <w:name w:val="CharSectno"/>
    <w:basedOn w:val="DefaultParagraphFont"/>
    <w:qFormat/>
    <w:rsid w:val="00B946A8"/>
  </w:style>
  <w:style w:type="paragraph" w:customStyle="1" w:styleId="Item">
    <w:name w:val="Item"/>
    <w:aliases w:val="i"/>
    <w:basedOn w:val="Normal"/>
    <w:next w:val="ItemHead"/>
    <w:rsid w:val="00976F6D"/>
    <w:pPr>
      <w:keepLines/>
      <w:spacing w:before="80"/>
      <w:ind w:left="709"/>
    </w:pPr>
    <w:rPr>
      <w:sz w:val="22"/>
      <w:szCs w:val="20"/>
    </w:rPr>
  </w:style>
  <w:style w:type="paragraph" w:customStyle="1" w:styleId="ItemHead">
    <w:name w:val="ItemHead"/>
    <w:aliases w:val="ih"/>
    <w:basedOn w:val="Normal"/>
    <w:next w:val="Item"/>
    <w:rsid w:val="00976F6D"/>
    <w:pPr>
      <w:keepNext/>
      <w:keepLines/>
      <w:spacing w:before="220"/>
      <w:ind w:left="709" w:hanging="709"/>
    </w:pPr>
    <w:rPr>
      <w:rFonts w:ascii="Arial" w:hAnsi="Arial"/>
      <w:b/>
      <w:kern w:val="28"/>
      <w:szCs w:val="20"/>
    </w:rPr>
  </w:style>
  <w:style w:type="paragraph" w:customStyle="1" w:styleId="subsection2">
    <w:name w:val="subsection2"/>
    <w:aliases w:val="ss2"/>
    <w:basedOn w:val="Normal"/>
    <w:next w:val="subsection"/>
    <w:rsid w:val="00976F6D"/>
    <w:pPr>
      <w:spacing w:before="40"/>
      <w:ind w:left="1134"/>
    </w:pPr>
    <w:rPr>
      <w:sz w:val="22"/>
      <w:szCs w:val="20"/>
    </w:rPr>
  </w:style>
  <w:style w:type="paragraph" w:customStyle="1" w:styleId="paragraphsub0">
    <w:name w:val="paragraphsub"/>
    <w:basedOn w:val="Normal"/>
    <w:rsid w:val="00D60619"/>
    <w:pPr>
      <w:spacing w:before="100" w:beforeAutospacing="1" w:after="100" w:afterAutospacing="1"/>
    </w:pPr>
  </w:style>
  <w:style w:type="paragraph" w:customStyle="1" w:styleId="notedraft">
    <w:name w:val="note(draft)"/>
    <w:aliases w:val="nd"/>
    <w:basedOn w:val="Normal"/>
    <w:rsid w:val="002A0D02"/>
    <w:pPr>
      <w:spacing w:before="240"/>
      <w:ind w:left="284" w:hanging="284"/>
    </w:pPr>
    <w:rPr>
      <w:i/>
      <w:szCs w:val="20"/>
    </w:rPr>
  </w:style>
  <w:style w:type="paragraph" w:styleId="FootnoteText">
    <w:name w:val="footnote text"/>
    <w:basedOn w:val="Normal"/>
    <w:link w:val="FootnoteTextChar"/>
    <w:uiPriority w:val="99"/>
    <w:semiHidden/>
    <w:unhideWhenUsed/>
    <w:rsid w:val="00A60784"/>
    <w:rPr>
      <w:sz w:val="20"/>
      <w:szCs w:val="20"/>
    </w:rPr>
  </w:style>
  <w:style w:type="character" w:customStyle="1" w:styleId="FootnoteTextChar">
    <w:name w:val="Footnote Text Char"/>
    <w:basedOn w:val="DefaultParagraphFont"/>
    <w:link w:val="FootnoteText"/>
    <w:uiPriority w:val="99"/>
    <w:semiHidden/>
    <w:rsid w:val="00A60784"/>
    <w:rPr>
      <w:sz w:val="20"/>
      <w:szCs w:val="20"/>
    </w:rPr>
  </w:style>
  <w:style w:type="character" w:styleId="FootnoteReference">
    <w:name w:val="footnote reference"/>
    <w:basedOn w:val="DefaultParagraphFont"/>
    <w:uiPriority w:val="99"/>
    <w:semiHidden/>
    <w:unhideWhenUsed/>
    <w:rsid w:val="00A607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181">
      <w:bodyDiv w:val="1"/>
      <w:marLeft w:val="0"/>
      <w:marRight w:val="0"/>
      <w:marTop w:val="0"/>
      <w:marBottom w:val="0"/>
      <w:divBdr>
        <w:top w:val="none" w:sz="0" w:space="0" w:color="auto"/>
        <w:left w:val="none" w:sz="0" w:space="0" w:color="auto"/>
        <w:bottom w:val="none" w:sz="0" w:space="0" w:color="auto"/>
        <w:right w:val="none" w:sz="0" w:space="0" w:color="auto"/>
      </w:divBdr>
    </w:div>
    <w:div w:id="86001025">
      <w:bodyDiv w:val="1"/>
      <w:marLeft w:val="0"/>
      <w:marRight w:val="0"/>
      <w:marTop w:val="0"/>
      <w:marBottom w:val="0"/>
      <w:divBdr>
        <w:top w:val="none" w:sz="0" w:space="0" w:color="auto"/>
        <w:left w:val="none" w:sz="0" w:space="0" w:color="auto"/>
        <w:bottom w:val="none" w:sz="0" w:space="0" w:color="auto"/>
        <w:right w:val="none" w:sz="0" w:space="0" w:color="auto"/>
      </w:divBdr>
    </w:div>
    <w:div w:id="238442614">
      <w:bodyDiv w:val="1"/>
      <w:marLeft w:val="0"/>
      <w:marRight w:val="0"/>
      <w:marTop w:val="0"/>
      <w:marBottom w:val="0"/>
      <w:divBdr>
        <w:top w:val="none" w:sz="0" w:space="0" w:color="auto"/>
        <w:left w:val="none" w:sz="0" w:space="0" w:color="auto"/>
        <w:bottom w:val="none" w:sz="0" w:space="0" w:color="auto"/>
        <w:right w:val="none" w:sz="0" w:space="0" w:color="auto"/>
      </w:divBdr>
    </w:div>
    <w:div w:id="324625589">
      <w:bodyDiv w:val="1"/>
      <w:marLeft w:val="0"/>
      <w:marRight w:val="0"/>
      <w:marTop w:val="0"/>
      <w:marBottom w:val="0"/>
      <w:divBdr>
        <w:top w:val="none" w:sz="0" w:space="0" w:color="auto"/>
        <w:left w:val="none" w:sz="0" w:space="0" w:color="auto"/>
        <w:bottom w:val="none" w:sz="0" w:space="0" w:color="auto"/>
        <w:right w:val="none" w:sz="0" w:space="0" w:color="auto"/>
      </w:divBdr>
    </w:div>
    <w:div w:id="441844153">
      <w:bodyDiv w:val="1"/>
      <w:marLeft w:val="0"/>
      <w:marRight w:val="0"/>
      <w:marTop w:val="0"/>
      <w:marBottom w:val="0"/>
      <w:divBdr>
        <w:top w:val="none" w:sz="0" w:space="0" w:color="auto"/>
        <w:left w:val="none" w:sz="0" w:space="0" w:color="auto"/>
        <w:bottom w:val="none" w:sz="0" w:space="0" w:color="auto"/>
        <w:right w:val="none" w:sz="0" w:space="0" w:color="auto"/>
      </w:divBdr>
    </w:div>
    <w:div w:id="529032131">
      <w:bodyDiv w:val="1"/>
      <w:marLeft w:val="0"/>
      <w:marRight w:val="0"/>
      <w:marTop w:val="0"/>
      <w:marBottom w:val="0"/>
      <w:divBdr>
        <w:top w:val="none" w:sz="0" w:space="0" w:color="auto"/>
        <w:left w:val="none" w:sz="0" w:space="0" w:color="auto"/>
        <w:bottom w:val="none" w:sz="0" w:space="0" w:color="auto"/>
        <w:right w:val="none" w:sz="0" w:space="0" w:color="auto"/>
      </w:divBdr>
      <w:divsChild>
        <w:div w:id="984166534">
          <w:marLeft w:val="0"/>
          <w:marRight w:val="0"/>
          <w:marTop w:val="0"/>
          <w:marBottom w:val="0"/>
          <w:divBdr>
            <w:top w:val="none" w:sz="0" w:space="0" w:color="auto"/>
            <w:left w:val="none" w:sz="0" w:space="0" w:color="auto"/>
            <w:bottom w:val="none" w:sz="0" w:space="0" w:color="auto"/>
            <w:right w:val="none" w:sz="0" w:space="0" w:color="auto"/>
          </w:divBdr>
          <w:divsChild>
            <w:div w:id="1597638758">
              <w:marLeft w:val="0"/>
              <w:marRight w:val="0"/>
              <w:marTop w:val="0"/>
              <w:marBottom w:val="0"/>
              <w:divBdr>
                <w:top w:val="none" w:sz="0" w:space="0" w:color="auto"/>
                <w:left w:val="none" w:sz="0" w:space="0" w:color="auto"/>
                <w:bottom w:val="none" w:sz="0" w:space="0" w:color="auto"/>
                <w:right w:val="none" w:sz="0" w:space="0" w:color="auto"/>
              </w:divBdr>
              <w:divsChild>
                <w:div w:id="1865443084">
                  <w:marLeft w:val="0"/>
                  <w:marRight w:val="0"/>
                  <w:marTop w:val="0"/>
                  <w:marBottom w:val="0"/>
                  <w:divBdr>
                    <w:top w:val="none" w:sz="0" w:space="0" w:color="auto"/>
                    <w:left w:val="none" w:sz="0" w:space="0" w:color="auto"/>
                    <w:bottom w:val="none" w:sz="0" w:space="0" w:color="auto"/>
                    <w:right w:val="none" w:sz="0" w:space="0" w:color="auto"/>
                  </w:divBdr>
                  <w:divsChild>
                    <w:div w:id="914752248">
                      <w:marLeft w:val="0"/>
                      <w:marRight w:val="0"/>
                      <w:marTop w:val="0"/>
                      <w:marBottom w:val="0"/>
                      <w:divBdr>
                        <w:top w:val="none" w:sz="0" w:space="0" w:color="auto"/>
                        <w:left w:val="none" w:sz="0" w:space="0" w:color="auto"/>
                        <w:bottom w:val="none" w:sz="0" w:space="0" w:color="auto"/>
                        <w:right w:val="none" w:sz="0" w:space="0" w:color="auto"/>
                      </w:divBdr>
                      <w:divsChild>
                        <w:div w:id="1829781116">
                          <w:marLeft w:val="0"/>
                          <w:marRight w:val="0"/>
                          <w:marTop w:val="0"/>
                          <w:marBottom w:val="0"/>
                          <w:divBdr>
                            <w:top w:val="single" w:sz="6" w:space="0" w:color="828282"/>
                            <w:left w:val="single" w:sz="6" w:space="0" w:color="828282"/>
                            <w:bottom w:val="single" w:sz="6" w:space="0" w:color="828282"/>
                            <w:right w:val="single" w:sz="6" w:space="0" w:color="828282"/>
                          </w:divBdr>
                          <w:divsChild>
                            <w:div w:id="1670406607">
                              <w:marLeft w:val="0"/>
                              <w:marRight w:val="0"/>
                              <w:marTop w:val="0"/>
                              <w:marBottom w:val="0"/>
                              <w:divBdr>
                                <w:top w:val="none" w:sz="0" w:space="0" w:color="auto"/>
                                <w:left w:val="none" w:sz="0" w:space="0" w:color="auto"/>
                                <w:bottom w:val="none" w:sz="0" w:space="0" w:color="auto"/>
                                <w:right w:val="none" w:sz="0" w:space="0" w:color="auto"/>
                              </w:divBdr>
                              <w:divsChild>
                                <w:div w:id="743574308">
                                  <w:marLeft w:val="0"/>
                                  <w:marRight w:val="0"/>
                                  <w:marTop w:val="0"/>
                                  <w:marBottom w:val="0"/>
                                  <w:divBdr>
                                    <w:top w:val="none" w:sz="0" w:space="0" w:color="auto"/>
                                    <w:left w:val="none" w:sz="0" w:space="0" w:color="auto"/>
                                    <w:bottom w:val="none" w:sz="0" w:space="0" w:color="auto"/>
                                    <w:right w:val="none" w:sz="0" w:space="0" w:color="auto"/>
                                  </w:divBdr>
                                  <w:divsChild>
                                    <w:div w:id="1068841057">
                                      <w:marLeft w:val="0"/>
                                      <w:marRight w:val="0"/>
                                      <w:marTop w:val="0"/>
                                      <w:marBottom w:val="0"/>
                                      <w:divBdr>
                                        <w:top w:val="none" w:sz="0" w:space="0" w:color="auto"/>
                                        <w:left w:val="none" w:sz="0" w:space="0" w:color="auto"/>
                                        <w:bottom w:val="none" w:sz="0" w:space="0" w:color="auto"/>
                                        <w:right w:val="none" w:sz="0" w:space="0" w:color="auto"/>
                                      </w:divBdr>
                                      <w:divsChild>
                                        <w:div w:id="2124420956">
                                          <w:marLeft w:val="0"/>
                                          <w:marRight w:val="0"/>
                                          <w:marTop w:val="0"/>
                                          <w:marBottom w:val="0"/>
                                          <w:divBdr>
                                            <w:top w:val="none" w:sz="0" w:space="0" w:color="auto"/>
                                            <w:left w:val="none" w:sz="0" w:space="0" w:color="auto"/>
                                            <w:bottom w:val="none" w:sz="0" w:space="0" w:color="auto"/>
                                            <w:right w:val="none" w:sz="0" w:space="0" w:color="auto"/>
                                          </w:divBdr>
                                          <w:divsChild>
                                            <w:div w:id="1408653565">
                                              <w:marLeft w:val="0"/>
                                              <w:marRight w:val="0"/>
                                              <w:marTop w:val="0"/>
                                              <w:marBottom w:val="0"/>
                                              <w:divBdr>
                                                <w:top w:val="none" w:sz="0" w:space="0" w:color="auto"/>
                                                <w:left w:val="none" w:sz="0" w:space="0" w:color="auto"/>
                                                <w:bottom w:val="none" w:sz="0" w:space="0" w:color="auto"/>
                                                <w:right w:val="none" w:sz="0" w:space="0" w:color="auto"/>
                                              </w:divBdr>
                                              <w:divsChild>
                                                <w:div w:id="406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75794">
      <w:bodyDiv w:val="1"/>
      <w:marLeft w:val="0"/>
      <w:marRight w:val="0"/>
      <w:marTop w:val="0"/>
      <w:marBottom w:val="0"/>
      <w:divBdr>
        <w:top w:val="none" w:sz="0" w:space="0" w:color="auto"/>
        <w:left w:val="none" w:sz="0" w:space="0" w:color="auto"/>
        <w:bottom w:val="none" w:sz="0" w:space="0" w:color="auto"/>
        <w:right w:val="none" w:sz="0" w:space="0" w:color="auto"/>
      </w:divBdr>
    </w:div>
    <w:div w:id="644700742">
      <w:bodyDiv w:val="1"/>
      <w:marLeft w:val="0"/>
      <w:marRight w:val="0"/>
      <w:marTop w:val="0"/>
      <w:marBottom w:val="0"/>
      <w:divBdr>
        <w:top w:val="none" w:sz="0" w:space="0" w:color="auto"/>
        <w:left w:val="none" w:sz="0" w:space="0" w:color="auto"/>
        <w:bottom w:val="none" w:sz="0" w:space="0" w:color="auto"/>
        <w:right w:val="none" w:sz="0" w:space="0" w:color="auto"/>
      </w:divBdr>
    </w:div>
    <w:div w:id="766314138">
      <w:bodyDiv w:val="1"/>
      <w:marLeft w:val="0"/>
      <w:marRight w:val="0"/>
      <w:marTop w:val="0"/>
      <w:marBottom w:val="0"/>
      <w:divBdr>
        <w:top w:val="none" w:sz="0" w:space="0" w:color="auto"/>
        <w:left w:val="none" w:sz="0" w:space="0" w:color="auto"/>
        <w:bottom w:val="none" w:sz="0" w:space="0" w:color="auto"/>
        <w:right w:val="none" w:sz="0" w:space="0" w:color="auto"/>
      </w:divBdr>
    </w:div>
    <w:div w:id="793134323">
      <w:bodyDiv w:val="1"/>
      <w:marLeft w:val="0"/>
      <w:marRight w:val="0"/>
      <w:marTop w:val="0"/>
      <w:marBottom w:val="0"/>
      <w:divBdr>
        <w:top w:val="none" w:sz="0" w:space="0" w:color="auto"/>
        <w:left w:val="none" w:sz="0" w:space="0" w:color="auto"/>
        <w:bottom w:val="none" w:sz="0" w:space="0" w:color="auto"/>
        <w:right w:val="none" w:sz="0" w:space="0" w:color="auto"/>
      </w:divBdr>
    </w:div>
    <w:div w:id="800073592">
      <w:bodyDiv w:val="1"/>
      <w:marLeft w:val="0"/>
      <w:marRight w:val="0"/>
      <w:marTop w:val="0"/>
      <w:marBottom w:val="0"/>
      <w:divBdr>
        <w:top w:val="none" w:sz="0" w:space="0" w:color="auto"/>
        <w:left w:val="none" w:sz="0" w:space="0" w:color="auto"/>
        <w:bottom w:val="none" w:sz="0" w:space="0" w:color="auto"/>
        <w:right w:val="none" w:sz="0" w:space="0" w:color="auto"/>
      </w:divBdr>
    </w:div>
    <w:div w:id="930116754">
      <w:bodyDiv w:val="1"/>
      <w:marLeft w:val="0"/>
      <w:marRight w:val="0"/>
      <w:marTop w:val="0"/>
      <w:marBottom w:val="0"/>
      <w:divBdr>
        <w:top w:val="none" w:sz="0" w:space="0" w:color="auto"/>
        <w:left w:val="none" w:sz="0" w:space="0" w:color="auto"/>
        <w:bottom w:val="none" w:sz="0" w:space="0" w:color="auto"/>
        <w:right w:val="none" w:sz="0" w:space="0" w:color="auto"/>
      </w:divBdr>
    </w:div>
    <w:div w:id="1015888968">
      <w:bodyDiv w:val="1"/>
      <w:marLeft w:val="0"/>
      <w:marRight w:val="0"/>
      <w:marTop w:val="0"/>
      <w:marBottom w:val="0"/>
      <w:divBdr>
        <w:top w:val="none" w:sz="0" w:space="0" w:color="auto"/>
        <w:left w:val="none" w:sz="0" w:space="0" w:color="auto"/>
        <w:bottom w:val="none" w:sz="0" w:space="0" w:color="auto"/>
        <w:right w:val="none" w:sz="0" w:space="0" w:color="auto"/>
      </w:divBdr>
    </w:div>
    <w:div w:id="1065026795">
      <w:bodyDiv w:val="1"/>
      <w:marLeft w:val="0"/>
      <w:marRight w:val="0"/>
      <w:marTop w:val="0"/>
      <w:marBottom w:val="0"/>
      <w:divBdr>
        <w:top w:val="none" w:sz="0" w:space="0" w:color="auto"/>
        <w:left w:val="none" w:sz="0" w:space="0" w:color="auto"/>
        <w:bottom w:val="none" w:sz="0" w:space="0" w:color="auto"/>
        <w:right w:val="none" w:sz="0" w:space="0" w:color="auto"/>
      </w:divBdr>
    </w:div>
    <w:div w:id="1149905112">
      <w:marLeft w:val="0"/>
      <w:marRight w:val="0"/>
      <w:marTop w:val="0"/>
      <w:marBottom w:val="0"/>
      <w:divBdr>
        <w:top w:val="none" w:sz="0" w:space="0" w:color="auto"/>
        <w:left w:val="none" w:sz="0" w:space="0" w:color="auto"/>
        <w:bottom w:val="none" w:sz="0" w:space="0" w:color="auto"/>
        <w:right w:val="none" w:sz="0" w:space="0" w:color="auto"/>
      </w:divBdr>
    </w:div>
    <w:div w:id="1149905114">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0"/>
          <w:divBdr>
            <w:top w:val="none" w:sz="0" w:space="0" w:color="auto"/>
            <w:left w:val="none" w:sz="0" w:space="0" w:color="auto"/>
            <w:bottom w:val="none" w:sz="0" w:space="0" w:color="auto"/>
            <w:right w:val="none" w:sz="0" w:space="0" w:color="auto"/>
          </w:divBdr>
          <w:divsChild>
            <w:div w:id="1149905104">
              <w:marLeft w:val="0"/>
              <w:marRight w:val="0"/>
              <w:marTop w:val="0"/>
              <w:marBottom w:val="0"/>
              <w:divBdr>
                <w:top w:val="none" w:sz="0" w:space="0" w:color="auto"/>
                <w:left w:val="none" w:sz="0" w:space="0" w:color="auto"/>
                <w:bottom w:val="none" w:sz="0" w:space="0" w:color="auto"/>
                <w:right w:val="none" w:sz="0" w:space="0" w:color="auto"/>
              </w:divBdr>
              <w:divsChild>
                <w:div w:id="1149905101">
                  <w:marLeft w:val="0"/>
                  <w:marRight w:val="0"/>
                  <w:marTop w:val="0"/>
                  <w:marBottom w:val="0"/>
                  <w:divBdr>
                    <w:top w:val="none" w:sz="0" w:space="0" w:color="auto"/>
                    <w:left w:val="none" w:sz="0" w:space="0" w:color="auto"/>
                    <w:bottom w:val="none" w:sz="0" w:space="0" w:color="auto"/>
                    <w:right w:val="none" w:sz="0" w:space="0" w:color="auto"/>
                  </w:divBdr>
                  <w:divsChild>
                    <w:div w:id="1149905125">
                      <w:marLeft w:val="0"/>
                      <w:marRight w:val="0"/>
                      <w:marTop w:val="0"/>
                      <w:marBottom w:val="0"/>
                      <w:divBdr>
                        <w:top w:val="none" w:sz="0" w:space="0" w:color="auto"/>
                        <w:left w:val="none" w:sz="0" w:space="0" w:color="auto"/>
                        <w:bottom w:val="none" w:sz="0" w:space="0" w:color="auto"/>
                        <w:right w:val="none" w:sz="0" w:space="0" w:color="auto"/>
                      </w:divBdr>
                      <w:divsChild>
                        <w:div w:id="1149905107">
                          <w:marLeft w:val="0"/>
                          <w:marRight w:val="0"/>
                          <w:marTop w:val="0"/>
                          <w:marBottom w:val="0"/>
                          <w:divBdr>
                            <w:top w:val="none" w:sz="0" w:space="0" w:color="auto"/>
                            <w:left w:val="none" w:sz="0" w:space="0" w:color="auto"/>
                            <w:bottom w:val="none" w:sz="0" w:space="0" w:color="auto"/>
                            <w:right w:val="none" w:sz="0" w:space="0" w:color="auto"/>
                          </w:divBdr>
                          <w:divsChild>
                            <w:div w:id="1149905102">
                              <w:marLeft w:val="0"/>
                              <w:marRight w:val="0"/>
                              <w:marTop w:val="0"/>
                              <w:marBottom w:val="0"/>
                              <w:divBdr>
                                <w:top w:val="none" w:sz="0" w:space="0" w:color="auto"/>
                                <w:left w:val="none" w:sz="0" w:space="0" w:color="auto"/>
                                <w:bottom w:val="none" w:sz="0" w:space="0" w:color="auto"/>
                                <w:right w:val="none" w:sz="0" w:space="0" w:color="auto"/>
                              </w:divBdr>
                              <w:divsChild>
                                <w:div w:id="1149905113">
                                  <w:marLeft w:val="0"/>
                                  <w:marRight w:val="0"/>
                                  <w:marTop w:val="0"/>
                                  <w:marBottom w:val="0"/>
                                  <w:divBdr>
                                    <w:top w:val="none" w:sz="0" w:space="0" w:color="auto"/>
                                    <w:left w:val="none" w:sz="0" w:space="0" w:color="auto"/>
                                    <w:bottom w:val="none" w:sz="0" w:space="0" w:color="auto"/>
                                    <w:right w:val="none" w:sz="0" w:space="0" w:color="auto"/>
                                  </w:divBdr>
                                  <w:divsChild>
                                    <w:div w:id="1149905124">
                                      <w:marLeft w:val="0"/>
                                      <w:marRight w:val="0"/>
                                      <w:marTop w:val="0"/>
                                      <w:marBottom w:val="0"/>
                                      <w:divBdr>
                                        <w:top w:val="none" w:sz="0" w:space="0" w:color="auto"/>
                                        <w:left w:val="none" w:sz="0" w:space="0" w:color="auto"/>
                                        <w:bottom w:val="none" w:sz="0" w:space="0" w:color="auto"/>
                                        <w:right w:val="none" w:sz="0" w:space="0" w:color="auto"/>
                                      </w:divBdr>
                                      <w:divsChild>
                                        <w:div w:id="1149905119">
                                          <w:marLeft w:val="0"/>
                                          <w:marRight w:val="0"/>
                                          <w:marTop w:val="0"/>
                                          <w:marBottom w:val="0"/>
                                          <w:divBdr>
                                            <w:top w:val="none" w:sz="0" w:space="0" w:color="auto"/>
                                            <w:left w:val="none" w:sz="0" w:space="0" w:color="auto"/>
                                            <w:bottom w:val="none" w:sz="0" w:space="0" w:color="auto"/>
                                            <w:right w:val="none" w:sz="0" w:space="0" w:color="auto"/>
                                          </w:divBdr>
                                          <w:divsChild>
                                            <w:div w:id="1149905115">
                                              <w:marLeft w:val="0"/>
                                              <w:marRight w:val="0"/>
                                              <w:marTop w:val="0"/>
                                              <w:marBottom w:val="0"/>
                                              <w:divBdr>
                                                <w:top w:val="none" w:sz="0" w:space="0" w:color="auto"/>
                                                <w:left w:val="none" w:sz="0" w:space="0" w:color="auto"/>
                                                <w:bottom w:val="none" w:sz="0" w:space="0" w:color="auto"/>
                                                <w:right w:val="none" w:sz="0" w:space="0" w:color="auto"/>
                                              </w:divBdr>
                                              <w:divsChild>
                                                <w:div w:id="1149905123">
                                                  <w:marLeft w:val="0"/>
                                                  <w:marRight w:val="0"/>
                                                  <w:marTop w:val="0"/>
                                                  <w:marBottom w:val="0"/>
                                                  <w:divBdr>
                                                    <w:top w:val="none" w:sz="0" w:space="0" w:color="auto"/>
                                                    <w:left w:val="none" w:sz="0" w:space="0" w:color="auto"/>
                                                    <w:bottom w:val="none" w:sz="0" w:space="0" w:color="auto"/>
                                                    <w:right w:val="none" w:sz="0" w:space="0" w:color="auto"/>
                                                  </w:divBdr>
                                                  <w:divsChild>
                                                    <w:div w:id="1149905108">
                                                      <w:marLeft w:val="0"/>
                                                      <w:marRight w:val="0"/>
                                                      <w:marTop w:val="0"/>
                                                      <w:marBottom w:val="0"/>
                                                      <w:divBdr>
                                                        <w:top w:val="none" w:sz="0" w:space="0" w:color="auto"/>
                                                        <w:left w:val="none" w:sz="0" w:space="0" w:color="auto"/>
                                                        <w:bottom w:val="none" w:sz="0" w:space="0" w:color="auto"/>
                                                        <w:right w:val="none" w:sz="0" w:space="0" w:color="auto"/>
                                                      </w:divBdr>
                                                      <w:divsChild>
                                                        <w:div w:id="1149905117">
                                                          <w:marLeft w:val="0"/>
                                                          <w:marRight w:val="0"/>
                                                          <w:marTop w:val="0"/>
                                                          <w:marBottom w:val="0"/>
                                                          <w:divBdr>
                                                            <w:top w:val="none" w:sz="0" w:space="0" w:color="auto"/>
                                                            <w:left w:val="none" w:sz="0" w:space="0" w:color="auto"/>
                                                            <w:bottom w:val="none" w:sz="0" w:space="0" w:color="auto"/>
                                                            <w:right w:val="none" w:sz="0" w:space="0" w:color="auto"/>
                                                          </w:divBdr>
                                                          <w:divsChild>
                                                            <w:div w:id="1149905105">
                                                              <w:marLeft w:val="0"/>
                                                              <w:marRight w:val="0"/>
                                                              <w:marTop w:val="0"/>
                                                              <w:marBottom w:val="0"/>
                                                              <w:divBdr>
                                                                <w:top w:val="none" w:sz="0" w:space="0" w:color="auto"/>
                                                                <w:left w:val="none" w:sz="0" w:space="0" w:color="auto"/>
                                                                <w:bottom w:val="none" w:sz="0" w:space="0" w:color="auto"/>
                                                                <w:right w:val="none" w:sz="0" w:space="0" w:color="auto"/>
                                                              </w:divBdr>
                                                              <w:divsChild>
                                                                <w:div w:id="1149905120">
                                                                  <w:marLeft w:val="0"/>
                                                                  <w:marRight w:val="0"/>
                                                                  <w:marTop w:val="0"/>
                                                                  <w:marBottom w:val="0"/>
                                                                  <w:divBdr>
                                                                    <w:top w:val="none" w:sz="0" w:space="0" w:color="auto"/>
                                                                    <w:left w:val="none" w:sz="0" w:space="0" w:color="auto"/>
                                                                    <w:bottom w:val="none" w:sz="0" w:space="0" w:color="auto"/>
                                                                    <w:right w:val="none" w:sz="0" w:space="0" w:color="auto"/>
                                                                  </w:divBdr>
                                                                  <w:divsChild>
                                                                    <w:div w:id="1149905098">
                                                                      <w:marLeft w:val="0"/>
                                                                      <w:marRight w:val="0"/>
                                                                      <w:marTop w:val="0"/>
                                                                      <w:marBottom w:val="0"/>
                                                                      <w:divBdr>
                                                                        <w:top w:val="none" w:sz="0" w:space="0" w:color="auto"/>
                                                                        <w:left w:val="none" w:sz="0" w:space="0" w:color="auto"/>
                                                                        <w:bottom w:val="none" w:sz="0" w:space="0" w:color="auto"/>
                                                                        <w:right w:val="none" w:sz="0" w:space="0" w:color="auto"/>
                                                                      </w:divBdr>
                                                                      <w:divsChild>
                                                                        <w:div w:id="1149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5116">
      <w:marLeft w:val="0"/>
      <w:marRight w:val="0"/>
      <w:marTop w:val="0"/>
      <w:marBottom w:val="0"/>
      <w:divBdr>
        <w:top w:val="none" w:sz="0" w:space="0" w:color="auto"/>
        <w:left w:val="none" w:sz="0" w:space="0" w:color="auto"/>
        <w:bottom w:val="none" w:sz="0" w:space="0" w:color="auto"/>
        <w:right w:val="none" w:sz="0" w:space="0" w:color="auto"/>
      </w:divBdr>
      <w:divsChild>
        <w:div w:id="1149905111">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sChild>
                <w:div w:id="1149905110">
                  <w:marLeft w:val="0"/>
                  <w:marRight w:val="0"/>
                  <w:marTop w:val="0"/>
                  <w:marBottom w:val="0"/>
                  <w:divBdr>
                    <w:top w:val="none" w:sz="0" w:space="0" w:color="auto"/>
                    <w:left w:val="none" w:sz="0" w:space="0" w:color="auto"/>
                    <w:bottom w:val="none" w:sz="0" w:space="0" w:color="auto"/>
                    <w:right w:val="none" w:sz="0" w:space="0" w:color="auto"/>
                  </w:divBdr>
                  <w:divsChild>
                    <w:div w:id="1149905100">
                      <w:marLeft w:val="0"/>
                      <w:marRight w:val="0"/>
                      <w:marTop w:val="0"/>
                      <w:marBottom w:val="0"/>
                      <w:divBdr>
                        <w:top w:val="none" w:sz="0" w:space="0" w:color="auto"/>
                        <w:left w:val="none" w:sz="0" w:space="0" w:color="auto"/>
                        <w:bottom w:val="none" w:sz="0" w:space="0" w:color="auto"/>
                        <w:right w:val="none" w:sz="0" w:space="0" w:color="auto"/>
                      </w:divBdr>
                      <w:divsChild>
                        <w:div w:id="1149905106">
                          <w:marLeft w:val="0"/>
                          <w:marRight w:val="0"/>
                          <w:marTop w:val="0"/>
                          <w:marBottom w:val="0"/>
                          <w:divBdr>
                            <w:top w:val="none" w:sz="0" w:space="0" w:color="auto"/>
                            <w:left w:val="none" w:sz="0" w:space="0" w:color="auto"/>
                            <w:bottom w:val="none" w:sz="0" w:space="0" w:color="auto"/>
                            <w:right w:val="none" w:sz="0" w:space="0" w:color="auto"/>
                          </w:divBdr>
                          <w:divsChild>
                            <w:div w:id="1149905103">
                              <w:marLeft w:val="0"/>
                              <w:marRight w:val="0"/>
                              <w:marTop w:val="0"/>
                              <w:marBottom w:val="0"/>
                              <w:divBdr>
                                <w:top w:val="none" w:sz="0" w:space="0" w:color="auto"/>
                                <w:left w:val="none" w:sz="0" w:space="0" w:color="auto"/>
                                <w:bottom w:val="none" w:sz="0" w:space="0" w:color="auto"/>
                                <w:right w:val="none" w:sz="0" w:space="0" w:color="auto"/>
                              </w:divBdr>
                              <w:divsChild>
                                <w:div w:id="1149905118">
                                  <w:marLeft w:val="0"/>
                                  <w:marRight w:val="0"/>
                                  <w:marTop w:val="0"/>
                                  <w:marBottom w:val="0"/>
                                  <w:divBdr>
                                    <w:top w:val="none" w:sz="0" w:space="0" w:color="auto"/>
                                    <w:left w:val="none" w:sz="0" w:space="0" w:color="auto"/>
                                    <w:bottom w:val="none" w:sz="0" w:space="0" w:color="auto"/>
                                    <w:right w:val="none" w:sz="0" w:space="0" w:color="auto"/>
                                  </w:divBdr>
                                  <w:divsChild>
                                    <w:div w:id="1149905099">
                                      <w:marLeft w:val="0"/>
                                      <w:marRight w:val="0"/>
                                      <w:marTop w:val="0"/>
                                      <w:marBottom w:val="0"/>
                                      <w:divBdr>
                                        <w:top w:val="none" w:sz="0" w:space="0" w:color="auto"/>
                                        <w:left w:val="none" w:sz="0" w:space="0" w:color="auto"/>
                                        <w:bottom w:val="none" w:sz="0" w:space="0" w:color="auto"/>
                                        <w:right w:val="none" w:sz="0" w:space="0" w:color="auto"/>
                                      </w:divBdr>
                                      <w:divsChild>
                                        <w:div w:id="1149905121">
                                          <w:marLeft w:val="0"/>
                                          <w:marRight w:val="0"/>
                                          <w:marTop w:val="0"/>
                                          <w:marBottom w:val="0"/>
                                          <w:divBdr>
                                            <w:top w:val="none" w:sz="0" w:space="0" w:color="auto"/>
                                            <w:left w:val="none" w:sz="0" w:space="0" w:color="auto"/>
                                            <w:bottom w:val="none" w:sz="0" w:space="0" w:color="auto"/>
                                            <w:right w:val="none" w:sz="0" w:space="0" w:color="auto"/>
                                          </w:divBdr>
                                          <w:divsChild>
                                            <w:div w:id="1149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278858">
      <w:bodyDiv w:val="1"/>
      <w:marLeft w:val="0"/>
      <w:marRight w:val="0"/>
      <w:marTop w:val="0"/>
      <w:marBottom w:val="0"/>
      <w:divBdr>
        <w:top w:val="none" w:sz="0" w:space="0" w:color="auto"/>
        <w:left w:val="none" w:sz="0" w:space="0" w:color="auto"/>
        <w:bottom w:val="none" w:sz="0" w:space="0" w:color="auto"/>
        <w:right w:val="none" w:sz="0" w:space="0" w:color="auto"/>
      </w:divBdr>
      <w:divsChild>
        <w:div w:id="889614222">
          <w:marLeft w:val="0"/>
          <w:marRight w:val="0"/>
          <w:marTop w:val="0"/>
          <w:marBottom w:val="0"/>
          <w:divBdr>
            <w:top w:val="none" w:sz="0" w:space="0" w:color="auto"/>
            <w:left w:val="none" w:sz="0" w:space="0" w:color="auto"/>
            <w:bottom w:val="none" w:sz="0" w:space="0" w:color="auto"/>
            <w:right w:val="none" w:sz="0" w:space="0" w:color="auto"/>
          </w:divBdr>
          <w:divsChild>
            <w:div w:id="21446685">
              <w:marLeft w:val="0"/>
              <w:marRight w:val="0"/>
              <w:marTop w:val="0"/>
              <w:marBottom w:val="0"/>
              <w:divBdr>
                <w:top w:val="none" w:sz="0" w:space="0" w:color="auto"/>
                <w:left w:val="none" w:sz="0" w:space="0" w:color="auto"/>
                <w:bottom w:val="none" w:sz="0" w:space="0" w:color="auto"/>
                <w:right w:val="none" w:sz="0" w:space="0" w:color="auto"/>
              </w:divBdr>
              <w:divsChild>
                <w:div w:id="1992127356">
                  <w:marLeft w:val="0"/>
                  <w:marRight w:val="0"/>
                  <w:marTop w:val="0"/>
                  <w:marBottom w:val="0"/>
                  <w:divBdr>
                    <w:top w:val="none" w:sz="0" w:space="0" w:color="auto"/>
                    <w:left w:val="none" w:sz="0" w:space="0" w:color="auto"/>
                    <w:bottom w:val="none" w:sz="0" w:space="0" w:color="auto"/>
                    <w:right w:val="none" w:sz="0" w:space="0" w:color="auto"/>
                  </w:divBdr>
                  <w:divsChild>
                    <w:div w:id="791364953">
                      <w:marLeft w:val="0"/>
                      <w:marRight w:val="0"/>
                      <w:marTop w:val="0"/>
                      <w:marBottom w:val="0"/>
                      <w:divBdr>
                        <w:top w:val="none" w:sz="0" w:space="0" w:color="auto"/>
                        <w:left w:val="none" w:sz="0" w:space="0" w:color="auto"/>
                        <w:bottom w:val="none" w:sz="0" w:space="0" w:color="auto"/>
                        <w:right w:val="none" w:sz="0" w:space="0" w:color="auto"/>
                      </w:divBdr>
                      <w:divsChild>
                        <w:div w:id="1969897000">
                          <w:marLeft w:val="0"/>
                          <w:marRight w:val="0"/>
                          <w:marTop w:val="0"/>
                          <w:marBottom w:val="0"/>
                          <w:divBdr>
                            <w:top w:val="single" w:sz="6" w:space="0" w:color="828282"/>
                            <w:left w:val="single" w:sz="6" w:space="0" w:color="828282"/>
                            <w:bottom w:val="single" w:sz="6" w:space="0" w:color="828282"/>
                            <w:right w:val="single" w:sz="6" w:space="0" w:color="828282"/>
                          </w:divBdr>
                          <w:divsChild>
                            <w:div w:id="855657544">
                              <w:marLeft w:val="0"/>
                              <w:marRight w:val="0"/>
                              <w:marTop w:val="0"/>
                              <w:marBottom w:val="0"/>
                              <w:divBdr>
                                <w:top w:val="none" w:sz="0" w:space="0" w:color="auto"/>
                                <w:left w:val="none" w:sz="0" w:space="0" w:color="auto"/>
                                <w:bottom w:val="none" w:sz="0" w:space="0" w:color="auto"/>
                                <w:right w:val="none" w:sz="0" w:space="0" w:color="auto"/>
                              </w:divBdr>
                              <w:divsChild>
                                <w:div w:id="1944026836">
                                  <w:marLeft w:val="0"/>
                                  <w:marRight w:val="0"/>
                                  <w:marTop w:val="0"/>
                                  <w:marBottom w:val="0"/>
                                  <w:divBdr>
                                    <w:top w:val="none" w:sz="0" w:space="0" w:color="auto"/>
                                    <w:left w:val="none" w:sz="0" w:space="0" w:color="auto"/>
                                    <w:bottom w:val="none" w:sz="0" w:space="0" w:color="auto"/>
                                    <w:right w:val="none" w:sz="0" w:space="0" w:color="auto"/>
                                  </w:divBdr>
                                  <w:divsChild>
                                    <w:div w:id="1811052228">
                                      <w:marLeft w:val="0"/>
                                      <w:marRight w:val="0"/>
                                      <w:marTop w:val="0"/>
                                      <w:marBottom w:val="0"/>
                                      <w:divBdr>
                                        <w:top w:val="none" w:sz="0" w:space="0" w:color="auto"/>
                                        <w:left w:val="none" w:sz="0" w:space="0" w:color="auto"/>
                                        <w:bottom w:val="none" w:sz="0" w:space="0" w:color="auto"/>
                                        <w:right w:val="none" w:sz="0" w:space="0" w:color="auto"/>
                                      </w:divBdr>
                                      <w:divsChild>
                                        <w:div w:id="1501893835">
                                          <w:marLeft w:val="0"/>
                                          <w:marRight w:val="0"/>
                                          <w:marTop w:val="0"/>
                                          <w:marBottom w:val="0"/>
                                          <w:divBdr>
                                            <w:top w:val="none" w:sz="0" w:space="0" w:color="auto"/>
                                            <w:left w:val="none" w:sz="0" w:space="0" w:color="auto"/>
                                            <w:bottom w:val="none" w:sz="0" w:space="0" w:color="auto"/>
                                            <w:right w:val="none" w:sz="0" w:space="0" w:color="auto"/>
                                          </w:divBdr>
                                          <w:divsChild>
                                            <w:div w:id="1998338688">
                                              <w:marLeft w:val="0"/>
                                              <w:marRight w:val="0"/>
                                              <w:marTop w:val="0"/>
                                              <w:marBottom w:val="0"/>
                                              <w:divBdr>
                                                <w:top w:val="none" w:sz="0" w:space="0" w:color="auto"/>
                                                <w:left w:val="none" w:sz="0" w:space="0" w:color="auto"/>
                                                <w:bottom w:val="none" w:sz="0" w:space="0" w:color="auto"/>
                                                <w:right w:val="none" w:sz="0" w:space="0" w:color="auto"/>
                                              </w:divBdr>
                                              <w:divsChild>
                                                <w:div w:id="1435244365">
                                                  <w:marLeft w:val="0"/>
                                                  <w:marRight w:val="0"/>
                                                  <w:marTop w:val="0"/>
                                                  <w:marBottom w:val="0"/>
                                                  <w:divBdr>
                                                    <w:top w:val="none" w:sz="0" w:space="0" w:color="auto"/>
                                                    <w:left w:val="none" w:sz="0" w:space="0" w:color="auto"/>
                                                    <w:bottom w:val="none" w:sz="0" w:space="0" w:color="auto"/>
                                                    <w:right w:val="none" w:sz="0" w:space="0" w:color="auto"/>
                                                  </w:divBdr>
                                                  <w:divsChild>
                                                    <w:div w:id="160133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098532">
      <w:bodyDiv w:val="1"/>
      <w:marLeft w:val="0"/>
      <w:marRight w:val="0"/>
      <w:marTop w:val="0"/>
      <w:marBottom w:val="0"/>
      <w:divBdr>
        <w:top w:val="none" w:sz="0" w:space="0" w:color="auto"/>
        <w:left w:val="none" w:sz="0" w:space="0" w:color="auto"/>
        <w:bottom w:val="none" w:sz="0" w:space="0" w:color="auto"/>
        <w:right w:val="none" w:sz="0" w:space="0" w:color="auto"/>
      </w:divBdr>
    </w:div>
    <w:div w:id="1534996534">
      <w:bodyDiv w:val="1"/>
      <w:marLeft w:val="0"/>
      <w:marRight w:val="0"/>
      <w:marTop w:val="0"/>
      <w:marBottom w:val="0"/>
      <w:divBdr>
        <w:top w:val="none" w:sz="0" w:space="0" w:color="auto"/>
        <w:left w:val="none" w:sz="0" w:space="0" w:color="auto"/>
        <w:bottom w:val="none" w:sz="0" w:space="0" w:color="auto"/>
        <w:right w:val="none" w:sz="0" w:space="0" w:color="auto"/>
      </w:divBdr>
    </w:div>
    <w:div w:id="1540123769">
      <w:bodyDiv w:val="1"/>
      <w:marLeft w:val="0"/>
      <w:marRight w:val="0"/>
      <w:marTop w:val="0"/>
      <w:marBottom w:val="0"/>
      <w:divBdr>
        <w:top w:val="none" w:sz="0" w:space="0" w:color="auto"/>
        <w:left w:val="none" w:sz="0" w:space="0" w:color="auto"/>
        <w:bottom w:val="none" w:sz="0" w:space="0" w:color="auto"/>
        <w:right w:val="none" w:sz="0" w:space="0" w:color="auto"/>
      </w:divBdr>
    </w:div>
    <w:div w:id="1544251590">
      <w:bodyDiv w:val="1"/>
      <w:marLeft w:val="0"/>
      <w:marRight w:val="0"/>
      <w:marTop w:val="0"/>
      <w:marBottom w:val="0"/>
      <w:divBdr>
        <w:top w:val="none" w:sz="0" w:space="0" w:color="auto"/>
        <w:left w:val="none" w:sz="0" w:space="0" w:color="auto"/>
        <w:bottom w:val="none" w:sz="0" w:space="0" w:color="auto"/>
        <w:right w:val="none" w:sz="0" w:space="0" w:color="auto"/>
      </w:divBdr>
    </w:div>
    <w:div w:id="1583561385">
      <w:bodyDiv w:val="1"/>
      <w:marLeft w:val="0"/>
      <w:marRight w:val="0"/>
      <w:marTop w:val="0"/>
      <w:marBottom w:val="0"/>
      <w:divBdr>
        <w:top w:val="none" w:sz="0" w:space="0" w:color="auto"/>
        <w:left w:val="none" w:sz="0" w:space="0" w:color="auto"/>
        <w:bottom w:val="none" w:sz="0" w:space="0" w:color="auto"/>
        <w:right w:val="none" w:sz="0" w:space="0" w:color="auto"/>
      </w:divBdr>
    </w:div>
    <w:div w:id="1613173025">
      <w:bodyDiv w:val="1"/>
      <w:marLeft w:val="0"/>
      <w:marRight w:val="0"/>
      <w:marTop w:val="0"/>
      <w:marBottom w:val="0"/>
      <w:divBdr>
        <w:top w:val="none" w:sz="0" w:space="0" w:color="auto"/>
        <w:left w:val="none" w:sz="0" w:space="0" w:color="auto"/>
        <w:bottom w:val="none" w:sz="0" w:space="0" w:color="auto"/>
        <w:right w:val="none" w:sz="0" w:space="0" w:color="auto"/>
      </w:divBdr>
    </w:div>
    <w:div w:id="1651786964">
      <w:bodyDiv w:val="1"/>
      <w:marLeft w:val="0"/>
      <w:marRight w:val="0"/>
      <w:marTop w:val="0"/>
      <w:marBottom w:val="0"/>
      <w:divBdr>
        <w:top w:val="none" w:sz="0" w:space="0" w:color="auto"/>
        <w:left w:val="none" w:sz="0" w:space="0" w:color="auto"/>
        <w:bottom w:val="none" w:sz="0" w:space="0" w:color="auto"/>
        <w:right w:val="none" w:sz="0" w:space="0" w:color="auto"/>
      </w:divBdr>
    </w:div>
    <w:div w:id="1853495726">
      <w:bodyDiv w:val="1"/>
      <w:marLeft w:val="0"/>
      <w:marRight w:val="0"/>
      <w:marTop w:val="0"/>
      <w:marBottom w:val="0"/>
      <w:divBdr>
        <w:top w:val="none" w:sz="0" w:space="0" w:color="auto"/>
        <w:left w:val="none" w:sz="0" w:space="0" w:color="auto"/>
        <w:bottom w:val="none" w:sz="0" w:space="0" w:color="auto"/>
        <w:right w:val="none" w:sz="0" w:space="0" w:color="auto"/>
      </w:divBdr>
    </w:div>
    <w:div w:id="1883665182">
      <w:bodyDiv w:val="1"/>
      <w:marLeft w:val="0"/>
      <w:marRight w:val="0"/>
      <w:marTop w:val="0"/>
      <w:marBottom w:val="0"/>
      <w:divBdr>
        <w:top w:val="none" w:sz="0" w:space="0" w:color="auto"/>
        <w:left w:val="none" w:sz="0" w:space="0" w:color="auto"/>
        <w:bottom w:val="none" w:sz="0" w:space="0" w:color="auto"/>
        <w:right w:val="none" w:sz="0" w:space="0" w:color="auto"/>
      </w:divBdr>
    </w:div>
    <w:div w:id="1908412407">
      <w:bodyDiv w:val="1"/>
      <w:marLeft w:val="0"/>
      <w:marRight w:val="0"/>
      <w:marTop w:val="0"/>
      <w:marBottom w:val="0"/>
      <w:divBdr>
        <w:top w:val="none" w:sz="0" w:space="0" w:color="auto"/>
        <w:left w:val="none" w:sz="0" w:space="0" w:color="auto"/>
        <w:bottom w:val="none" w:sz="0" w:space="0" w:color="auto"/>
        <w:right w:val="none" w:sz="0" w:space="0" w:color="auto"/>
      </w:divBdr>
    </w:div>
    <w:div w:id="1918979151">
      <w:bodyDiv w:val="1"/>
      <w:marLeft w:val="0"/>
      <w:marRight w:val="0"/>
      <w:marTop w:val="0"/>
      <w:marBottom w:val="0"/>
      <w:divBdr>
        <w:top w:val="none" w:sz="0" w:space="0" w:color="auto"/>
        <w:left w:val="none" w:sz="0" w:space="0" w:color="auto"/>
        <w:bottom w:val="none" w:sz="0" w:space="0" w:color="auto"/>
        <w:right w:val="none" w:sz="0" w:space="0" w:color="auto"/>
      </w:divBdr>
    </w:div>
    <w:div w:id="1940527096">
      <w:bodyDiv w:val="1"/>
      <w:marLeft w:val="0"/>
      <w:marRight w:val="0"/>
      <w:marTop w:val="0"/>
      <w:marBottom w:val="0"/>
      <w:divBdr>
        <w:top w:val="none" w:sz="0" w:space="0" w:color="auto"/>
        <w:left w:val="none" w:sz="0" w:space="0" w:color="auto"/>
        <w:bottom w:val="none" w:sz="0" w:space="0" w:color="auto"/>
        <w:right w:val="none" w:sz="0" w:space="0" w:color="auto"/>
      </w:divBdr>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 w:id="2056272596">
      <w:bodyDiv w:val="1"/>
      <w:marLeft w:val="0"/>
      <w:marRight w:val="0"/>
      <w:marTop w:val="0"/>
      <w:marBottom w:val="0"/>
      <w:divBdr>
        <w:top w:val="none" w:sz="0" w:space="0" w:color="auto"/>
        <w:left w:val="none" w:sz="0" w:space="0" w:color="auto"/>
        <w:bottom w:val="none" w:sz="0" w:space="0" w:color="auto"/>
        <w:right w:val="none" w:sz="0" w:space="0" w:color="auto"/>
      </w:divBdr>
      <w:divsChild>
        <w:div w:id="1368985250">
          <w:marLeft w:val="0"/>
          <w:marRight w:val="0"/>
          <w:marTop w:val="0"/>
          <w:marBottom w:val="0"/>
          <w:divBdr>
            <w:top w:val="none" w:sz="0" w:space="0" w:color="auto"/>
            <w:left w:val="none" w:sz="0" w:space="0" w:color="auto"/>
            <w:bottom w:val="none" w:sz="0" w:space="0" w:color="auto"/>
            <w:right w:val="none" w:sz="0" w:space="0" w:color="auto"/>
          </w:divBdr>
          <w:divsChild>
            <w:div w:id="1054548916">
              <w:marLeft w:val="0"/>
              <w:marRight w:val="0"/>
              <w:marTop w:val="0"/>
              <w:marBottom w:val="0"/>
              <w:divBdr>
                <w:top w:val="none" w:sz="0" w:space="0" w:color="auto"/>
                <w:left w:val="none" w:sz="0" w:space="0" w:color="auto"/>
                <w:bottom w:val="none" w:sz="0" w:space="0" w:color="auto"/>
                <w:right w:val="none" w:sz="0" w:space="0" w:color="auto"/>
              </w:divBdr>
              <w:divsChild>
                <w:div w:id="966158361">
                  <w:marLeft w:val="0"/>
                  <w:marRight w:val="0"/>
                  <w:marTop w:val="0"/>
                  <w:marBottom w:val="0"/>
                  <w:divBdr>
                    <w:top w:val="none" w:sz="0" w:space="0" w:color="auto"/>
                    <w:left w:val="none" w:sz="0" w:space="0" w:color="auto"/>
                    <w:bottom w:val="none" w:sz="0" w:space="0" w:color="auto"/>
                    <w:right w:val="none" w:sz="0" w:space="0" w:color="auto"/>
                  </w:divBdr>
                  <w:divsChild>
                    <w:div w:id="1748959797">
                      <w:marLeft w:val="0"/>
                      <w:marRight w:val="0"/>
                      <w:marTop w:val="0"/>
                      <w:marBottom w:val="0"/>
                      <w:divBdr>
                        <w:top w:val="none" w:sz="0" w:space="0" w:color="auto"/>
                        <w:left w:val="none" w:sz="0" w:space="0" w:color="auto"/>
                        <w:bottom w:val="none" w:sz="0" w:space="0" w:color="auto"/>
                        <w:right w:val="none" w:sz="0" w:space="0" w:color="auto"/>
                      </w:divBdr>
                      <w:divsChild>
                        <w:div w:id="838740167">
                          <w:marLeft w:val="0"/>
                          <w:marRight w:val="0"/>
                          <w:marTop w:val="0"/>
                          <w:marBottom w:val="0"/>
                          <w:divBdr>
                            <w:top w:val="single" w:sz="6" w:space="0" w:color="828282"/>
                            <w:left w:val="single" w:sz="6" w:space="0" w:color="828282"/>
                            <w:bottom w:val="single" w:sz="6" w:space="0" w:color="828282"/>
                            <w:right w:val="single" w:sz="6" w:space="0" w:color="828282"/>
                          </w:divBdr>
                          <w:divsChild>
                            <w:div w:id="1493180573">
                              <w:marLeft w:val="0"/>
                              <w:marRight w:val="0"/>
                              <w:marTop w:val="0"/>
                              <w:marBottom w:val="0"/>
                              <w:divBdr>
                                <w:top w:val="none" w:sz="0" w:space="0" w:color="auto"/>
                                <w:left w:val="none" w:sz="0" w:space="0" w:color="auto"/>
                                <w:bottom w:val="none" w:sz="0" w:space="0" w:color="auto"/>
                                <w:right w:val="none" w:sz="0" w:space="0" w:color="auto"/>
                              </w:divBdr>
                              <w:divsChild>
                                <w:div w:id="454061780">
                                  <w:marLeft w:val="0"/>
                                  <w:marRight w:val="0"/>
                                  <w:marTop w:val="0"/>
                                  <w:marBottom w:val="0"/>
                                  <w:divBdr>
                                    <w:top w:val="none" w:sz="0" w:space="0" w:color="auto"/>
                                    <w:left w:val="none" w:sz="0" w:space="0" w:color="auto"/>
                                    <w:bottom w:val="none" w:sz="0" w:space="0" w:color="auto"/>
                                    <w:right w:val="none" w:sz="0" w:space="0" w:color="auto"/>
                                  </w:divBdr>
                                  <w:divsChild>
                                    <w:div w:id="1278174112">
                                      <w:marLeft w:val="0"/>
                                      <w:marRight w:val="0"/>
                                      <w:marTop w:val="0"/>
                                      <w:marBottom w:val="0"/>
                                      <w:divBdr>
                                        <w:top w:val="none" w:sz="0" w:space="0" w:color="auto"/>
                                        <w:left w:val="none" w:sz="0" w:space="0" w:color="auto"/>
                                        <w:bottom w:val="none" w:sz="0" w:space="0" w:color="auto"/>
                                        <w:right w:val="none" w:sz="0" w:space="0" w:color="auto"/>
                                      </w:divBdr>
                                      <w:divsChild>
                                        <w:div w:id="1509099221">
                                          <w:marLeft w:val="0"/>
                                          <w:marRight w:val="0"/>
                                          <w:marTop w:val="0"/>
                                          <w:marBottom w:val="0"/>
                                          <w:divBdr>
                                            <w:top w:val="none" w:sz="0" w:space="0" w:color="auto"/>
                                            <w:left w:val="none" w:sz="0" w:space="0" w:color="auto"/>
                                            <w:bottom w:val="none" w:sz="0" w:space="0" w:color="auto"/>
                                            <w:right w:val="none" w:sz="0" w:space="0" w:color="auto"/>
                                          </w:divBdr>
                                          <w:divsChild>
                                            <w:div w:id="880020226">
                                              <w:marLeft w:val="0"/>
                                              <w:marRight w:val="0"/>
                                              <w:marTop w:val="0"/>
                                              <w:marBottom w:val="0"/>
                                              <w:divBdr>
                                                <w:top w:val="none" w:sz="0" w:space="0" w:color="auto"/>
                                                <w:left w:val="none" w:sz="0" w:space="0" w:color="auto"/>
                                                <w:bottom w:val="none" w:sz="0" w:space="0" w:color="auto"/>
                                                <w:right w:val="none" w:sz="0" w:space="0" w:color="auto"/>
                                              </w:divBdr>
                                              <w:divsChild>
                                                <w:div w:id="1739403602">
                                                  <w:marLeft w:val="0"/>
                                                  <w:marRight w:val="0"/>
                                                  <w:marTop w:val="0"/>
                                                  <w:marBottom w:val="0"/>
                                                  <w:divBdr>
                                                    <w:top w:val="none" w:sz="0" w:space="0" w:color="auto"/>
                                                    <w:left w:val="none" w:sz="0" w:space="0" w:color="auto"/>
                                                    <w:bottom w:val="none" w:sz="0" w:space="0" w:color="auto"/>
                                                    <w:right w:val="none" w:sz="0" w:space="0" w:color="auto"/>
                                                  </w:divBdr>
                                                  <w:divsChild>
                                                    <w:div w:id="1221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9226697">
      <w:bodyDiv w:val="1"/>
      <w:marLeft w:val="0"/>
      <w:marRight w:val="0"/>
      <w:marTop w:val="0"/>
      <w:marBottom w:val="0"/>
      <w:divBdr>
        <w:top w:val="none" w:sz="0" w:space="0" w:color="auto"/>
        <w:left w:val="none" w:sz="0" w:space="0" w:color="auto"/>
        <w:bottom w:val="none" w:sz="0" w:space="0" w:color="auto"/>
        <w:right w:val="none" w:sz="0" w:space="0" w:color="auto"/>
      </w:divBdr>
    </w:div>
    <w:div w:id="211852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19C00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13B102BF049F04489A0EA3A6B49D985" ma:contentTypeVersion="" ma:contentTypeDescription="PDMS Document Site Content Type" ma:contentTypeScope="" ma:versionID="f6fbcb78111cbc431db7f9782a1ae064">
  <xsd:schema xmlns:xsd="http://www.w3.org/2001/XMLSchema" xmlns:xs="http://www.w3.org/2001/XMLSchema" xmlns:p="http://schemas.microsoft.com/office/2006/metadata/properties" xmlns:ns2="04E8C859-517E-47CE-AD10-D9F8B24CA503" targetNamespace="http://schemas.microsoft.com/office/2006/metadata/properties" ma:root="true" ma:fieldsID="a6adcbee811a9579e2d9ca94a38d79ee" ns2:_="">
    <xsd:import namespace="04E8C859-517E-47CE-AD10-D9F8B24CA50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8C859-517E-47CE-AD10-D9F8B24CA50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4E8C859-517E-47CE-AD10-D9F8B24CA50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C3CE-A86A-4EEF-A18F-B6DD1FFAE383}">
  <ds:schemaRefs>
    <ds:schemaRef ds:uri="http://schemas.microsoft.com/sharepoint/v3/contenttype/forms"/>
  </ds:schemaRefs>
</ds:datastoreItem>
</file>

<file path=customXml/itemProps2.xml><?xml version="1.0" encoding="utf-8"?>
<ds:datastoreItem xmlns:ds="http://schemas.openxmlformats.org/officeDocument/2006/customXml" ds:itemID="{EA98958D-67A9-4863-A27E-C7A00AD9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8C859-517E-47CE-AD10-D9F8B24CA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ECBBF-2110-4842-9B78-8218AC8CA4B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04E8C859-517E-47CE-AD10-D9F8B24CA503"/>
    <ds:schemaRef ds:uri="http://www.w3.org/XML/1998/namespace"/>
  </ds:schemaRefs>
</ds:datastoreItem>
</file>

<file path=customXml/itemProps4.xml><?xml version="1.0" encoding="utf-8"?>
<ds:datastoreItem xmlns:ds="http://schemas.openxmlformats.org/officeDocument/2006/customXml" ds:itemID="{8A9472D3-87ED-483F-9BDD-5EA43AEE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6598</Words>
  <Characters>37613</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Attachment B</vt:lpstr>
    </vt:vector>
  </TitlesOfParts>
  <Company>Australian Government</Company>
  <LinksUpToDate>false</LinksUpToDate>
  <CharactersWithSpaces>44123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Zoe Nadimi</dc:creator>
  <cp:lastModifiedBy>PALENSCHUS,Johanna</cp:lastModifiedBy>
  <cp:revision>2</cp:revision>
  <cp:lastPrinted>2020-07-09T06:21:00Z</cp:lastPrinted>
  <dcterms:created xsi:type="dcterms:W3CDTF">2020-08-06T01:53:00Z</dcterms:created>
  <dcterms:modified xsi:type="dcterms:W3CDTF">2020-08-06T01:53:00Z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0x010100266966F133664895A6EE3632470D45F500A13B102BF049F04489A0EA3A6B49D985</vt:lpwstr>
  </property>
</Properties>
</file>