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3EB10" w14:textId="77777777" w:rsidR="009E308D" w:rsidRPr="009E308D" w:rsidRDefault="009E308D" w:rsidP="009E308D">
      <w:pPr>
        <w:pStyle w:val="NormalWeb"/>
        <w:jc w:val="center"/>
        <w:rPr>
          <w:b/>
        </w:rPr>
      </w:pPr>
      <w:r w:rsidRPr="009E308D">
        <w:rPr>
          <w:b/>
        </w:rPr>
        <w:t>EXPLANATORY STATEMENT</w:t>
      </w:r>
    </w:p>
    <w:p w14:paraId="1BDDA459" w14:textId="77777777" w:rsidR="000F374A" w:rsidRPr="000F374A" w:rsidRDefault="000F374A" w:rsidP="000F374A">
      <w:pPr>
        <w:pStyle w:val="NormalWeb"/>
        <w:jc w:val="center"/>
        <w:rPr>
          <w:u w:val="single"/>
        </w:rPr>
      </w:pPr>
      <w:r w:rsidRPr="000F374A">
        <w:rPr>
          <w:u w:val="single"/>
        </w:rPr>
        <w:t>Issued by the authority of the Greenhouse and Energy Minimum Standards Regulator</w:t>
      </w:r>
    </w:p>
    <w:p w14:paraId="20F6B497" w14:textId="77777777" w:rsidR="009E308D" w:rsidRPr="007F61BB" w:rsidRDefault="009E308D" w:rsidP="009E308D">
      <w:pPr>
        <w:pStyle w:val="NormalWeb"/>
        <w:jc w:val="center"/>
        <w:rPr>
          <w:i/>
          <w:u w:val="single"/>
        </w:rPr>
      </w:pPr>
      <w:r w:rsidRPr="007F61BB">
        <w:rPr>
          <w:i/>
          <w:u w:val="single"/>
        </w:rPr>
        <w:t>Greenhouse and Energy Minimum Standards Act 2012</w:t>
      </w:r>
    </w:p>
    <w:p w14:paraId="337AB88F" w14:textId="77777777" w:rsidR="009E308D" w:rsidRPr="007F61BB" w:rsidRDefault="009E308D" w:rsidP="009E308D">
      <w:pPr>
        <w:pStyle w:val="NormalWeb"/>
        <w:jc w:val="center"/>
        <w:rPr>
          <w:i/>
          <w:u w:val="single"/>
        </w:rPr>
      </w:pPr>
      <w:r w:rsidRPr="007F61BB">
        <w:rPr>
          <w:i/>
          <w:u w:val="single"/>
        </w:rPr>
        <w:t xml:space="preserve">Greenhouse and Energy Minimum Standards (Exemption) Instrument </w:t>
      </w:r>
      <w:r w:rsidR="00883F25" w:rsidRPr="007F61BB">
        <w:rPr>
          <w:i/>
          <w:u w:val="single"/>
        </w:rPr>
        <w:t xml:space="preserve">(No. </w:t>
      </w:r>
      <w:r w:rsidR="008F243A">
        <w:rPr>
          <w:i/>
          <w:u w:val="single"/>
        </w:rPr>
        <w:t>2</w:t>
      </w:r>
      <w:r w:rsidR="002C1AB6" w:rsidRPr="007F61BB">
        <w:rPr>
          <w:i/>
          <w:u w:val="single"/>
        </w:rPr>
        <w:t xml:space="preserve">) </w:t>
      </w:r>
      <w:r w:rsidRPr="007F61BB">
        <w:rPr>
          <w:i/>
          <w:u w:val="single"/>
        </w:rPr>
        <w:t>20</w:t>
      </w:r>
      <w:r w:rsidR="007D3AEA" w:rsidRPr="007F61BB">
        <w:rPr>
          <w:i/>
          <w:u w:val="single"/>
        </w:rPr>
        <w:t>20</w:t>
      </w:r>
    </w:p>
    <w:p w14:paraId="0607062B" w14:textId="77777777" w:rsidR="009E308D" w:rsidRPr="009E308D" w:rsidRDefault="009E308D" w:rsidP="009E308D">
      <w:pPr>
        <w:pStyle w:val="NormalWeb"/>
        <w:rPr>
          <w:b/>
        </w:rPr>
      </w:pPr>
      <w:r w:rsidRPr="009E308D">
        <w:rPr>
          <w:b/>
        </w:rPr>
        <w:t xml:space="preserve">Purpose and operation </w:t>
      </w:r>
    </w:p>
    <w:p w14:paraId="56844648" w14:textId="77777777" w:rsidR="00344F0C" w:rsidRDefault="00344F0C" w:rsidP="00344F0C">
      <w:pPr>
        <w:pStyle w:val="NormalWeb"/>
      </w:pPr>
      <w:r>
        <w:t xml:space="preserve">Section 37 of the </w:t>
      </w:r>
      <w:r w:rsidRPr="000876AD">
        <w:rPr>
          <w:i/>
        </w:rPr>
        <w:t>Greenhouse and Energy Minimum Standards Act 2012</w:t>
      </w:r>
      <w:r>
        <w:t xml:space="preserve"> (</w:t>
      </w:r>
      <w:r w:rsidR="000F374A">
        <w:t xml:space="preserve">the </w:t>
      </w:r>
      <w:r w:rsidRPr="00344F0C">
        <w:rPr>
          <w:b/>
        </w:rPr>
        <w:t>Act</w:t>
      </w:r>
      <w:r>
        <w:t xml:space="preserve">) enables the </w:t>
      </w:r>
      <w:r w:rsidR="00BB1ECA">
        <w:t>Greenhouse and Energy Minimum Standards (</w:t>
      </w:r>
      <w:r>
        <w:t>GEMS</w:t>
      </w:r>
      <w:r w:rsidR="00BB1ECA">
        <w:t>)</w:t>
      </w:r>
      <w:r>
        <w:t xml:space="preserve"> Regulator, by legislative instrument, to exempt models of GEMS products from one or more requirements of a GEMS determination in relation to all or specified supplies or uses of products of that model</w:t>
      </w:r>
      <w:r w:rsidR="00CC248F">
        <w:t>,</w:t>
      </w:r>
      <w:r>
        <w:t xml:space="preserve"> and enables the GEMS Regulator to specify conditions to which the exemption is subject. GEMS determinations are defined in section 11 of the Act.</w:t>
      </w:r>
    </w:p>
    <w:p w14:paraId="2B892DDF" w14:textId="77777777" w:rsidR="00344F0C" w:rsidRDefault="00344F0C" w:rsidP="00344F0C">
      <w:pPr>
        <w:pStyle w:val="NormalWeb"/>
      </w:pPr>
      <w:r>
        <w:t xml:space="preserve">Section 37 also provides that regulations may be made in order to provide a framework for administrative processes around the submission and assessment of applications for exemption. Division 4.1 of the </w:t>
      </w:r>
      <w:r w:rsidRPr="00344F0C">
        <w:rPr>
          <w:i/>
        </w:rPr>
        <w:t>Greenhouse and Energy Minimum Standards Regulation 2012</w:t>
      </w:r>
      <w:r>
        <w:t xml:space="preserve"> (</w:t>
      </w:r>
      <w:r w:rsidR="00BB1ECA">
        <w:t xml:space="preserve">the </w:t>
      </w:r>
      <w:r w:rsidRPr="00344F0C">
        <w:rPr>
          <w:b/>
        </w:rPr>
        <w:t>Regulation</w:t>
      </w:r>
      <w:r>
        <w:t>) sets out the circumstances in which the GEMS Regulator may exempt a model of a GEMS product from the requirements of a GEMS determination.</w:t>
      </w:r>
    </w:p>
    <w:p w14:paraId="48B18533" w14:textId="77777777" w:rsidR="00BB58CB" w:rsidRDefault="00344F0C" w:rsidP="00344F0C">
      <w:pPr>
        <w:pStyle w:val="NormalWeb"/>
      </w:pPr>
      <w:r>
        <w:t xml:space="preserve">The purpose of the </w:t>
      </w:r>
      <w:r>
        <w:rPr>
          <w:i/>
        </w:rPr>
        <w:t>Greenhouse and Energy Minimum Standards (Exemption) Instrument (No.</w:t>
      </w:r>
      <w:r w:rsidR="008F243A">
        <w:rPr>
          <w:i/>
        </w:rPr>
        <w:t>2</w:t>
      </w:r>
      <w:r>
        <w:rPr>
          <w:i/>
        </w:rPr>
        <w:t xml:space="preserve">) </w:t>
      </w:r>
      <w:r w:rsidRPr="00DB589D">
        <w:rPr>
          <w:i/>
        </w:rPr>
        <w:t>20</w:t>
      </w:r>
      <w:r w:rsidR="007D3AEA">
        <w:rPr>
          <w:i/>
        </w:rPr>
        <w:t>20</w:t>
      </w:r>
      <w:r>
        <w:rPr>
          <w:i/>
        </w:rPr>
        <w:t xml:space="preserve"> </w:t>
      </w:r>
      <w:r w:rsidRPr="009741DE">
        <w:t>(</w:t>
      </w:r>
      <w:r w:rsidR="00BB1ECA">
        <w:t xml:space="preserve">the </w:t>
      </w:r>
      <w:r w:rsidRPr="00191E27">
        <w:rPr>
          <w:b/>
        </w:rPr>
        <w:t>Instrument</w:t>
      </w:r>
      <w:r>
        <w:t xml:space="preserve">) is to exempt the specified </w:t>
      </w:r>
      <w:r w:rsidR="007D3AEA">
        <w:t>air conditioners</w:t>
      </w:r>
      <w:r w:rsidR="009245C9">
        <w:t xml:space="preserve"> from the</w:t>
      </w:r>
      <w:r w:rsidR="00883F25">
        <w:t xml:space="preserve"> </w:t>
      </w:r>
      <w:r w:rsidR="008F243A">
        <w:t>GEMS level requirements related to testing of products</w:t>
      </w:r>
      <w:r w:rsidR="00883F25">
        <w:t xml:space="preserve"> </w:t>
      </w:r>
      <w:r w:rsidR="00612DAF">
        <w:t xml:space="preserve">set </w:t>
      </w:r>
      <w:r w:rsidR="008F243A">
        <w:t>out in</w:t>
      </w:r>
      <w:r w:rsidR="00612DAF">
        <w:t xml:space="preserve"> </w:t>
      </w:r>
      <w:r w:rsidR="007D3AEA">
        <w:t xml:space="preserve">Schedule </w:t>
      </w:r>
      <w:r w:rsidR="008F243A">
        <w:t>2</w:t>
      </w:r>
      <w:r w:rsidR="00883F25">
        <w:t xml:space="preserve"> </w:t>
      </w:r>
      <w:r w:rsidR="009245C9">
        <w:t xml:space="preserve">of the </w:t>
      </w:r>
      <w:r w:rsidR="009245C9">
        <w:rPr>
          <w:i/>
        </w:rPr>
        <w:t>Greenhouse and Energy Minimum Standards (</w:t>
      </w:r>
      <w:r w:rsidR="007D3AEA">
        <w:rPr>
          <w:i/>
        </w:rPr>
        <w:t>Air Conditioners up to 65kW</w:t>
      </w:r>
      <w:r w:rsidR="00883F25">
        <w:rPr>
          <w:i/>
        </w:rPr>
        <w:t>) Determination 2019</w:t>
      </w:r>
      <w:r w:rsidR="002C1AB6">
        <w:rPr>
          <w:i/>
        </w:rPr>
        <w:t xml:space="preserve"> </w:t>
      </w:r>
      <w:r w:rsidR="002C1AB6">
        <w:t>(</w:t>
      </w:r>
      <w:r w:rsidR="00BB1ECA">
        <w:t xml:space="preserve">the </w:t>
      </w:r>
      <w:r w:rsidR="002C1AB6" w:rsidRPr="00344F0C">
        <w:rPr>
          <w:b/>
        </w:rPr>
        <w:t>Determination</w:t>
      </w:r>
      <w:r w:rsidR="002C1AB6">
        <w:t>)</w:t>
      </w:r>
      <w:r w:rsidR="009245C9">
        <w:t>.</w:t>
      </w:r>
    </w:p>
    <w:p w14:paraId="5D4FD06A" w14:textId="24C13013" w:rsidR="00F90280" w:rsidRDefault="008F243A" w:rsidP="009E308D">
      <w:pPr>
        <w:pStyle w:val="NormalWeb"/>
      </w:pPr>
      <w:r>
        <w:t>Seeley International</w:t>
      </w:r>
      <w:r w:rsidR="00612DAF">
        <w:t xml:space="preserve"> Pty Ltd (</w:t>
      </w:r>
      <w:r>
        <w:rPr>
          <w:b/>
        </w:rPr>
        <w:t>Seeley</w:t>
      </w:r>
      <w:r w:rsidR="00612DAF">
        <w:t>)</w:t>
      </w:r>
      <w:r w:rsidR="002F28B0" w:rsidRPr="006D7FC2">
        <w:t xml:space="preserve"> </w:t>
      </w:r>
      <w:r>
        <w:t>has commenc</w:t>
      </w:r>
      <w:r w:rsidR="002C3CC5">
        <w:t>ed the importation of certain</w:t>
      </w:r>
      <w:r w:rsidR="00612DAF">
        <w:t xml:space="preserve"> </w:t>
      </w:r>
      <w:r>
        <w:t>Braemar</w:t>
      </w:r>
      <w:r w:rsidR="00612DAF">
        <w:t xml:space="preserve"> brand </w:t>
      </w:r>
      <w:r>
        <w:t>duct</w:t>
      </w:r>
      <w:r w:rsidR="002C3CC5">
        <w:t>ed split system air conditioner models</w:t>
      </w:r>
      <w:r>
        <w:t>, which are rebranded versions of models also supplied and registered by the manufacturer</w:t>
      </w:r>
      <w:r w:rsidR="00612DAF">
        <w:t xml:space="preserve">. </w:t>
      </w:r>
      <w:r w:rsidR="00F90280">
        <w:t>Seeley has a shipment of the models arriving from overseas and scheduled to be delivered to a customer, Cold Front Air Conditioning QLD/NSW Pty Ltd (</w:t>
      </w:r>
      <w:r w:rsidR="00F90280">
        <w:rPr>
          <w:b/>
        </w:rPr>
        <w:t>Cold Front</w:t>
      </w:r>
      <w:r w:rsidR="00F90280">
        <w:t xml:space="preserve">), on or around 2 August 2020. </w:t>
      </w:r>
      <w:r w:rsidR="002C3CC5">
        <w:t>Due to the commencement of the Determination on 1</w:t>
      </w:r>
      <w:r w:rsidR="00F90280">
        <w:t> </w:t>
      </w:r>
      <w:r w:rsidR="002C3CC5">
        <w:t>April 2020, which contains revised testing requirements for demonstrating compliance with the GEMS level requirements</w:t>
      </w:r>
      <w:r w:rsidR="00F90280">
        <w:t xml:space="preserve">, Seeley is unable to rely on the testing done by the manufacturer to support the registration of its models. </w:t>
      </w:r>
    </w:p>
    <w:p w14:paraId="59FB5902" w14:textId="225E187A" w:rsidR="000876AD" w:rsidRDefault="00F90280" w:rsidP="009E308D">
      <w:pPr>
        <w:pStyle w:val="NormalWeb"/>
      </w:pPr>
      <w:r>
        <w:t xml:space="preserve">Instead, the manufacturer has commissioned testing of the Braemar branded models on Seeley’s behalf. Seeley had anticipated this testing </w:t>
      </w:r>
      <w:r w:rsidR="00711CAF">
        <w:t>would</w:t>
      </w:r>
      <w:r>
        <w:t xml:space="preserve"> be completed in time for the products to be registered to the Determination before supplying them to Cold Front. </w:t>
      </w:r>
      <w:r w:rsidR="008F5EBD">
        <w:t xml:space="preserve">However, Seeley </w:t>
      </w:r>
      <w:r w:rsidR="0086771B">
        <w:t xml:space="preserve">was </w:t>
      </w:r>
      <w:r w:rsidR="008F5EBD">
        <w:t>recently informed by the manufacturer that, due to the impact of COVID-19 on the capacity of the test laboratory, the testing would not be completed until some weeks after the date of the scheduled supply to Cold Front</w:t>
      </w:r>
      <w:r w:rsidR="00692184">
        <w:t>.</w:t>
      </w:r>
    </w:p>
    <w:p w14:paraId="1A928E27" w14:textId="77777777" w:rsidR="00883F25" w:rsidRDefault="00711CAF" w:rsidP="009E308D">
      <w:pPr>
        <w:pStyle w:val="NormalWeb"/>
      </w:pPr>
      <w:r>
        <w:t>Seeley</w:t>
      </w:r>
      <w:r w:rsidR="007B71D0">
        <w:t xml:space="preserve"> sought</w:t>
      </w:r>
      <w:r w:rsidR="0083276A" w:rsidRPr="006D7FC2">
        <w:t xml:space="preserve"> an exemption </w:t>
      </w:r>
      <w:r w:rsidR="007B71D0">
        <w:t xml:space="preserve">from the </w:t>
      </w:r>
      <w:r w:rsidR="008F5EBD">
        <w:t>GEMS</w:t>
      </w:r>
      <w:r w:rsidR="007B71D0">
        <w:t xml:space="preserve"> level requirements </w:t>
      </w:r>
      <w:r w:rsidR="008F5EBD">
        <w:t xml:space="preserve">related to testing </w:t>
      </w:r>
      <w:r w:rsidR="0083276A" w:rsidRPr="006D7FC2">
        <w:t xml:space="preserve">for the </w:t>
      </w:r>
      <w:r w:rsidR="007B71D0">
        <w:t xml:space="preserve">ordered units to allow them to be supplied </w:t>
      </w:r>
      <w:r w:rsidR="008F5EBD">
        <w:t xml:space="preserve">to Cold Front as scheduled </w:t>
      </w:r>
      <w:r w:rsidR="007B71D0">
        <w:t xml:space="preserve">when they arrive in Australia, </w:t>
      </w:r>
      <w:r w:rsidR="008F5EBD">
        <w:t>noting that they are identical in specification to products currently registered by the manufacturer and therefore would</w:t>
      </w:r>
      <w:r w:rsidR="0086771B">
        <w:t xml:space="preserve"> be likely to</w:t>
      </w:r>
      <w:r w:rsidR="008F5EBD">
        <w:t xml:space="preserve"> also meet the GEMS level requirements for efficiency.</w:t>
      </w:r>
    </w:p>
    <w:p w14:paraId="03641B47" w14:textId="470C356E" w:rsidR="00722DE8" w:rsidRDefault="009245C9" w:rsidP="009E308D">
      <w:pPr>
        <w:pStyle w:val="NormalWeb"/>
      </w:pPr>
      <w:r>
        <w:t>The GEMS Regulator considered all the matters set out in</w:t>
      </w:r>
      <w:r w:rsidR="0086771B">
        <w:t xml:space="preserve"> reg 4.1.5 of</w:t>
      </w:r>
      <w:r>
        <w:t xml:space="preserve"> </w:t>
      </w:r>
      <w:r w:rsidR="00590448">
        <w:t xml:space="preserve">the </w:t>
      </w:r>
      <w:r w:rsidR="00344F0C" w:rsidRPr="00344F0C">
        <w:t>Regulation</w:t>
      </w:r>
      <w:r w:rsidR="00590448">
        <w:t xml:space="preserve"> and </w:t>
      </w:r>
      <w:r w:rsidR="0093637D">
        <w:t xml:space="preserve">has </w:t>
      </w:r>
      <w:r w:rsidR="00590448">
        <w:t xml:space="preserve">decided to grant </w:t>
      </w:r>
      <w:r w:rsidR="0040043B">
        <w:t>the</w:t>
      </w:r>
      <w:r w:rsidR="00590448">
        <w:t xml:space="preserve"> exemption </w:t>
      </w:r>
      <w:r w:rsidR="0040043B">
        <w:t xml:space="preserve">requested by </w:t>
      </w:r>
      <w:r w:rsidR="008F5EBD">
        <w:t>Seeley</w:t>
      </w:r>
      <w:r w:rsidR="005B08C5" w:rsidRPr="005B08C5">
        <w:rPr>
          <w:color w:val="FF0000"/>
        </w:rPr>
        <w:t xml:space="preserve"> </w:t>
      </w:r>
      <w:r w:rsidR="005B08C5" w:rsidRPr="00007944">
        <w:t>under paragraph 4.1.2(a) of the Regulations</w:t>
      </w:r>
      <w:r w:rsidR="0040043B">
        <w:t xml:space="preserve">. </w:t>
      </w:r>
      <w:r w:rsidR="003B60A2">
        <w:t xml:space="preserve">The circumstances that led to the testing not being completed in the anticipated </w:t>
      </w:r>
      <w:r w:rsidR="003B60A2">
        <w:lastRenderedPageBreak/>
        <w:t xml:space="preserve">timeframe were beyond Seeley’s control. </w:t>
      </w:r>
      <w:r w:rsidR="008F5EBD">
        <w:t xml:space="preserve">The models are expected to meet the GEMS level requirements, and Seeley has undertaken to provide the results of testing to the GEMS Regulator </w:t>
      </w:r>
      <w:r w:rsidR="003B60A2">
        <w:t>once it is completed, and before supplying any further models.</w:t>
      </w:r>
      <w:r w:rsidR="00590448" w:rsidRPr="00722DE8">
        <w:t xml:space="preserve"> </w:t>
      </w:r>
      <w:r w:rsidR="0040043B">
        <w:t>Consequently, the</w:t>
      </w:r>
      <w:r w:rsidR="003B60A2">
        <w:t xml:space="preserve">re will be no </w:t>
      </w:r>
      <w:r w:rsidR="00590448" w:rsidRPr="00722DE8">
        <w:t>negative impact on Australia’s greenhouse gas emissions as a result of the exemption.</w:t>
      </w:r>
    </w:p>
    <w:p w14:paraId="3277339B" w14:textId="77777777" w:rsidR="00722DE8" w:rsidRDefault="00722DE8" w:rsidP="00722DE8">
      <w:pPr>
        <w:pStyle w:val="NormalWeb"/>
      </w:pPr>
      <w:r>
        <w:t xml:space="preserve">Models covered by exemptions must still be registered under the Act. </w:t>
      </w:r>
    </w:p>
    <w:p w14:paraId="22039FB8" w14:textId="77777777" w:rsidR="008D1C53" w:rsidRDefault="00BB1ECA" w:rsidP="00BB58CB">
      <w:pPr>
        <w:pStyle w:val="NormalWeb"/>
        <w:rPr>
          <w:b/>
        </w:rPr>
      </w:pPr>
      <w:r>
        <w:rPr>
          <w:b/>
        </w:rPr>
        <w:t xml:space="preserve">Authority </w:t>
      </w:r>
    </w:p>
    <w:p w14:paraId="00132A98" w14:textId="77777777" w:rsidR="00BB58CB" w:rsidRPr="00BB58CB" w:rsidRDefault="00BB58CB" w:rsidP="00BB58CB">
      <w:pPr>
        <w:pStyle w:val="NormalWeb"/>
      </w:pPr>
      <w:r>
        <w:t xml:space="preserve">Section 37 of the </w:t>
      </w:r>
      <w:r w:rsidR="008D1C53">
        <w:t>Act</w:t>
      </w:r>
      <w:r>
        <w:t xml:space="preserve"> enables the GEMS Regulator to exempt models of GEMS products from one or more requirements of a GEMS determination. An exemption can be in relation to all supplies or uses of products of that model or limited to specified supplies and uses. The GEMS Regulator can specify conditions to which the exemption is subject.  </w:t>
      </w:r>
    </w:p>
    <w:p w14:paraId="7A55A709" w14:textId="77777777" w:rsidR="00BB58CB" w:rsidRDefault="00BB58CB" w:rsidP="00BB58CB">
      <w:pPr>
        <w:pStyle w:val="NormalWeb"/>
      </w:pPr>
      <w:r>
        <w:t xml:space="preserve">Division 4.1 of the </w:t>
      </w:r>
      <w:r w:rsidR="00590448">
        <w:t>R</w:t>
      </w:r>
      <w:r w:rsidRPr="00BB58CB">
        <w:t>egulation</w:t>
      </w:r>
      <w:r>
        <w:t xml:space="preserve"> sets out the circumstances in which the GEMS Regulator may exempt a model of a GEMS product from the requirements of a GEMS determination.</w:t>
      </w:r>
    </w:p>
    <w:p w14:paraId="42F60FB6" w14:textId="77777777" w:rsidR="009E308D" w:rsidRPr="009E308D" w:rsidRDefault="009E308D" w:rsidP="009E308D">
      <w:pPr>
        <w:pStyle w:val="NormalWeb"/>
        <w:rPr>
          <w:b/>
        </w:rPr>
      </w:pPr>
      <w:r w:rsidRPr="009E308D">
        <w:rPr>
          <w:b/>
        </w:rPr>
        <w:t xml:space="preserve">Consultation </w:t>
      </w:r>
    </w:p>
    <w:p w14:paraId="74C5A1F0" w14:textId="77777777" w:rsidR="009E308D" w:rsidRDefault="009E308D" w:rsidP="009E308D">
      <w:pPr>
        <w:pStyle w:val="NormalWeb"/>
      </w:pPr>
      <w:r>
        <w:t>The exemption set out in the Instrument was considered on application from the applicant. Consultation was</w:t>
      </w:r>
      <w:r w:rsidR="009245C9">
        <w:t xml:space="preserve"> undertaken with the applica</w:t>
      </w:r>
      <w:r w:rsidR="00621634">
        <w:t>n</w:t>
      </w:r>
      <w:r w:rsidR="009245C9">
        <w:t>t for the purpose of clarifying the exemption application.</w:t>
      </w:r>
    </w:p>
    <w:p w14:paraId="5CE278CF" w14:textId="77777777" w:rsidR="007F61BB" w:rsidRDefault="00BB1ECA" w:rsidP="00BB1ECA">
      <w:pPr>
        <w:pStyle w:val="NormalWeb"/>
        <w:rPr>
          <w:b/>
        </w:rPr>
      </w:pPr>
      <w:r w:rsidRPr="00BB1ECA">
        <w:rPr>
          <w:b/>
        </w:rPr>
        <w:t>Regulatory Impact</w:t>
      </w:r>
    </w:p>
    <w:p w14:paraId="77418A84" w14:textId="77777777" w:rsidR="00621634" w:rsidRDefault="007F61BB" w:rsidP="00BB1ECA">
      <w:pPr>
        <w:pStyle w:val="NormalWeb"/>
      </w:pPr>
      <w:r>
        <w:t xml:space="preserve">There will be no regulatory burden arising from the Instrument. The OBPR has </w:t>
      </w:r>
      <w:r w:rsidR="00A4694A">
        <w:t>advised</w:t>
      </w:r>
      <w:r>
        <w:t xml:space="preserve"> </w:t>
      </w:r>
      <w:r w:rsidR="00A4694A">
        <w:t>that such</w:t>
      </w:r>
      <w:r>
        <w:t xml:space="preserve"> proposal</w:t>
      </w:r>
      <w:r w:rsidR="00A4694A">
        <w:t>s</w:t>
      </w:r>
      <w:r>
        <w:t xml:space="preserve"> a</w:t>
      </w:r>
      <w:r w:rsidR="00A4694A">
        <w:t>re</w:t>
      </w:r>
      <w:r>
        <w:t xml:space="preserve"> not likely to have a regulatory impact on business, community organisations or individuals</w:t>
      </w:r>
      <w:r w:rsidR="00A4694A">
        <w:t>, and therefore the preparation of a Regulation Impact Statement is not required.</w:t>
      </w:r>
      <w:r w:rsidR="00621634">
        <w:br w:type="page"/>
      </w:r>
    </w:p>
    <w:p w14:paraId="286BEAAF" w14:textId="77777777" w:rsidR="00621634" w:rsidRPr="00621634" w:rsidRDefault="00621634" w:rsidP="00621634">
      <w:pPr>
        <w:autoSpaceDE w:val="0"/>
        <w:autoSpaceDN w:val="0"/>
        <w:adjustRightInd w:val="0"/>
        <w:spacing w:after="240" w:line="240" w:lineRule="auto"/>
        <w:rPr>
          <w:rFonts w:ascii="Times New Roman" w:hAnsi="Times New Roman"/>
          <w:b/>
          <w:sz w:val="24"/>
          <w:szCs w:val="24"/>
          <w:lang w:eastAsia="en-AU"/>
        </w:rPr>
      </w:pPr>
      <w:r w:rsidRPr="00621634">
        <w:rPr>
          <w:rFonts w:ascii="Times New Roman" w:hAnsi="Times New Roman"/>
          <w:b/>
          <w:sz w:val="24"/>
          <w:szCs w:val="24"/>
          <w:lang w:eastAsia="en-AU"/>
        </w:rPr>
        <w:lastRenderedPageBreak/>
        <w:t>Detailed description of provisions in the Instrument</w:t>
      </w:r>
    </w:p>
    <w:p w14:paraId="4F16F172" w14:textId="77777777" w:rsidR="00621634" w:rsidRPr="00621634" w:rsidRDefault="009A10D2" w:rsidP="00621634">
      <w:pPr>
        <w:numPr>
          <w:ilvl w:val="0"/>
          <w:numId w:val="50"/>
        </w:numPr>
        <w:autoSpaceDE w:val="0"/>
        <w:autoSpaceDN w:val="0"/>
        <w:adjustRightInd w:val="0"/>
        <w:spacing w:after="240" w:line="240" w:lineRule="auto"/>
        <w:ind w:left="426"/>
        <w:rPr>
          <w:rFonts w:ascii="Times New Roman" w:hAnsi="Times New Roman"/>
          <w:b/>
          <w:sz w:val="24"/>
        </w:rPr>
      </w:pPr>
      <w:r>
        <w:rPr>
          <w:rFonts w:ascii="Times New Roman" w:hAnsi="Times New Roman"/>
          <w:b/>
          <w:sz w:val="24"/>
        </w:rPr>
        <w:t>Name</w:t>
      </w:r>
    </w:p>
    <w:p w14:paraId="3E399342" w14:textId="77777777" w:rsidR="00621634" w:rsidRPr="00621634" w:rsidRDefault="00621634" w:rsidP="00621634">
      <w:pPr>
        <w:autoSpaceDE w:val="0"/>
        <w:autoSpaceDN w:val="0"/>
        <w:adjustRightInd w:val="0"/>
        <w:spacing w:after="240" w:line="240" w:lineRule="auto"/>
        <w:ind w:left="426"/>
        <w:rPr>
          <w:rFonts w:ascii="Times New Roman" w:hAnsi="Times New Roman"/>
          <w:sz w:val="24"/>
        </w:rPr>
      </w:pPr>
      <w:r w:rsidRPr="00621634">
        <w:rPr>
          <w:rFonts w:ascii="Times New Roman" w:hAnsi="Times New Roman"/>
          <w:sz w:val="24"/>
        </w:rPr>
        <w:t xml:space="preserve">Section 1 </w:t>
      </w:r>
      <w:r w:rsidR="00051DF8">
        <w:rPr>
          <w:rFonts w:ascii="Times New Roman" w:hAnsi="Times New Roman"/>
          <w:sz w:val="24"/>
        </w:rPr>
        <w:t xml:space="preserve">specifies </w:t>
      </w:r>
      <w:r w:rsidRPr="00621634">
        <w:rPr>
          <w:rFonts w:ascii="Times New Roman" w:hAnsi="Times New Roman"/>
          <w:sz w:val="24"/>
        </w:rPr>
        <w:t>the name of the Instrument</w:t>
      </w:r>
      <w:r w:rsidR="00051DF8">
        <w:rPr>
          <w:rFonts w:ascii="Times New Roman" w:hAnsi="Times New Roman"/>
          <w:sz w:val="24"/>
        </w:rPr>
        <w:t xml:space="preserve"> as the </w:t>
      </w:r>
      <w:r w:rsidR="00051DF8" w:rsidRPr="00051DF8">
        <w:rPr>
          <w:rFonts w:ascii="Times New Roman" w:hAnsi="Times New Roman"/>
          <w:i/>
          <w:sz w:val="24"/>
        </w:rPr>
        <w:t xml:space="preserve">Greenhouse and Energy Minimum Standards (Exemption) Instrument (No. </w:t>
      </w:r>
      <w:r w:rsidR="003B60A2">
        <w:rPr>
          <w:rFonts w:ascii="Times New Roman" w:hAnsi="Times New Roman"/>
          <w:i/>
          <w:sz w:val="24"/>
        </w:rPr>
        <w:t>2</w:t>
      </w:r>
      <w:r w:rsidR="00051DF8" w:rsidRPr="00051DF8">
        <w:rPr>
          <w:rFonts w:ascii="Times New Roman" w:hAnsi="Times New Roman"/>
          <w:i/>
          <w:sz w:val="24"/>
        </w:rPr>
        <w:t>) 2020</w:t>
      </w:r>
      <w:r w:rsidRPr="00621634">
        <w:rPr>
          <w:rFonts w:ascii="Times New Roman" w:hAnsi="Times New Roman"/>
          <w:sz w:val="24"/>
        </w:rPr>
        <w:t>.</w:t>
      </w:r>
    </w:p>
    <w:p w14:paraId="41D31395" w14:textId="77777777" w:rsidR="009A10D2" w:rsidRPr="00621634" w:rsidRDefault="009A10D2" w:rsidP="009A10D2">
      <w:pPr>
        <w:numPr>
          <w:ilvl w:val="0"/>
          <w:numId w:val="50"/>
        </w:numPr>
        <w:autoSpaceDE w:val="0"/>
        <w:autoSpaceDN w:val="0"/>
        <w:adjustRightInd w:val="0"/>
        <w:spacing w:after="240" w:line="240" w:lineRule="auto"/>
        <w:ind w:left="426"/>
        <w:rPr>
          <w:rFonts w:ascii="Times New Roman" w:hAnsi="Times New Roman"/>
          <w:b/>
          <w:sz w:val="24"/>
        </w:rPr>
      </w:pPr>
      <w:r w:rsidRPr="00621634">
        <w:rPr>
          <w:rFonts w:ascii="Times New Roman" w:hAnsi="Times New Roman"/>
          <w:b/>
          <w:sz w:val="24"/>
        </w:rPr>
        <w:t>Commencement</w:t>
      </w:r>
    </w:p>
    <w:p w14:paraId="59A31557" w14:textId="77777777" w:rsidR="009A10D2" w:rsidRPr="00621634" w:rsidRDefault="00004060" w:rsidP="009A10D2">
      <w:pPr>
        <w:autoSpaceDE w:val="0"/>
        <w:autoSpaceDN w:val="0"/>
        <w:adjustRightInd w:val="0"/>
        <w:spacing w:after="240" w:line="240" w:lineRule="auto"/>
        <w:ind w:left="426"/>
        <w:rPr>
          <w:rFonts w:ascii="Times New Roman" w:hAnsi="Times New Roman"/>
          <w:sz w:val="24"/>
        </w:rPr>
      </w:pPr>
      <w:r>
        <w:rPr>
          <w:rFonts w:ascii="Times New Roman" w:hAnsi="Times New Roman"/>
          <w:sz w:val="24"/>
        </w:rPr>
        <w:t>Section 2</w:t>
      </w:r>
      <w:r w:rsidR="009A10D2" w:rsidRPr="00621634">
        <w:rPr>
          <w:rFonts w:ascii="Times New Roman" w:hAnsi="Times New Roman"/>
          <w:sz w:val="24"/>
        </w:rPr>
        <w:t xml:space="preserve"> </w:t>
      </w:r>
      <w:r w:rsidR="00051DF8">
        <w:rPr>
          <w:rFonts w:ascii="Times New Roman" w:hAnsi="Times New Roman"/>
          <w:sz w:val="24"/>
        </w:rPr>
        <w:t>provides that</w:t>
      </w:r>
      <w:r w:rsidR="009A10D2" w:rsidRPr="00621634">
        <w:rPr>
          <w:rFonts w:ascii="Times New Roman" w:hAnsi="Times New Roman"/>
          <w:sz w:val="24"/>
        </w:rPr>
        <w:t xml:space="preserve"> the Instrument</w:t>
      </w:r>
      <w:r w:rsidR="00051DF8">
        <w:rPr>
          <w:rFonts w:ascii="Times New Roman" w:hAnsi="Times New Roman"/>
          <w:sz w:val="24"/>
        </w:rPr>
        <w:t xml:space="preserve"> commenced on the day it is </w:t>
      </w:r>
      <w:r w:rsidR="003B60A2">
        <w:rPr>
          <w:rFonts w:ascii="Times New Roman" w:hAnsi="Times New Roman"/>
          <w:sz w:val="24"/>
        </w:rPr>
        <w:t>made</w:t>
      </w:r>
      <w:r w:rsidR="009A10D2" w:rsidRPr="00621634">
        <w:rPr>
          <w:rFonts w:ascii="Times New Roman" w:hAnsi="Times New Roman"/>
          <w:sz w:val="24"/>
        </w:rPr>
        <w:t>.</w:t>
      </w:r>
      <w:r w:rsidR="003B60A2">
        <w:rPr>
          <w:rFonts w:ascii="Times New Roman" w:hAnsi="Times New Roman"/>
          <w:sz w:val="24"/>
        </w:rPr>
        <w:t xml:space="preserve"> This is due to the short timeframe between the making of the Instrument and the date of the scheduled first supply of the products.</w:t>
      </w:r>
      <w:r w:rsidR="00561A12">
        <w:rPr>
          <w:rFonts w:ascii="Times New Roman" w:hAnsi="Times New Roman"/>
          <w:sz w:val="24"/>
        </w:rPr>
        <w:t xml:space="preserve"> </w:t>
      </w:r>
      <w:r w:rsidR="00561A12">
        <w:rPr>
          <w:rFonts w:ascii="Times New Roman" w:hAnsi="Times New Roman"/>
          <w:sz w:val="24"/>
          <w:szCs w:val="24"/>
        </w:rPr>
        <w:t xml:space="preserve">Commencement before registration is consistent with subsection 12(1A) of the </w:t>
      </w:r>
      <w:r w:rsidR="00561A12">
        <w:rPr>
          <w:rFonts w:ascii="Times New Roman" w:hAnsi="Times New Roman"/>
          <w:i/>
          <w:iCs/>
          <w:sz w:val="24"/>
          <w:szCs w:val="24"/>
        </w:rPr>
        <w:t>Legislation Act 2003</w:t>
      </w:r>
      <w:r w:rsidR="00561A12">
        <w:rPr>
          <w:rFonts w:ascii="Times New Roman" w:hAnsi="Times New Roman"/>
          <w:sz w:val="24"/>
          <w:szCs w:val="24"/>
        </w:rPr>
        <w:t xml:space="preserve">. The exemption provided by the Instrument is beneficial in nature through providing an exception to the offence in section 16 of the Act and so there is no reason why subsection 12(2) of the </w:t>
      </w:r>
      <w:r w:rsidR="00561A12">
        <w:rPr>
          <w:rFonts w:ascii="Times New Roman" w:hAnsi="Times New Roman"/>
          <w:i/>
          <w:iCs/>
          <w:sz w:val="24"/>
          <w:szCs w:val="24"/>
        </w:rPr>
        <w:t>Legislation Act 2003</w:t>
      </w:r>
      <w:r w:rsidR="00561A12">
        <w:rPr>
          <w:rFonts w:ascii="Times New Roman" w:hAnsi="Times New Roman"/>
          <w:sz w:val="24"/>
          <w:szCs w:val="24"/>
        </w:rPr>
        <w:t xml:space="preserve"> would be engaged to prevent any retrospective application of the Instrument</w:t>
      </w:r>
    </w:p>
    <w:p w14:paraId="60769F1E" w14:textId="77777777" w:rsidR="00621634" w:rsidRPr="00621634" w:rsidRDefault="00621634" w:rsidP="00621634">
      <w:pPr>
        <w:numPr>
          <w:ilvl w:val="0"/>
          <w:numId w:val="50"/>
        </w:numPr>
        <w:autoSpaceDE w:val="0"/>
        <w:autoSpaceDN w:val="0"/>
        <w:adjustRightInd w:val="0"/>
        <w:spacing w:after="240" w:line="240" w:lineRule="auto"/>
        <w:ind w:left="426"/>
        <w:rPr>
          <w:rFonts w:ascii="Times New Roman" w:hAnsi="Times New Roman"/>
          <w:b/>
          <w:sz w:val="24"/>
        </w:rPr>
      </w:pPr>
      <w:r w:rsidRPr="00621634">
        <w:rPr>
          <w:rFonts w:ascii="Times New Roman" w:hAnsi="Times New Roman"/>
          <w:b/>
          <w:sz w:val="24"/>
        </w:rPr>
        <w:t>Authority</w:t>
      </w:r>
    </w:p>
    <w:p w14:paraId="41C32D0C" w14:textId="77777777" w:rsidR="00621634" w:rsidRPr="00621634" w:rsidRDefault="00621634" w:rsidP="00621634">
      <w:pPr>
        <w:autoSpaceDE w:val="0"/>
        <w:autoSpaceDN w:val="0"/>
        <w:adjustRightInd w:val="0"/>
        <w:spacing w:after="240" w:line="240" w:lineRule="auto"/>
        <w:ind w:left="426"/>
        <w:rPr>
          <w:rFonts w:ascii="Times New Roman" w:hAnsi="Times New Roman"/>
          <w:sz w:val="24"/>
        </w:rPr>
      </w:pPr>
      <w:r w:rsidRPr="00621634">
        <w:rPr>
          <w:rFonts w:ascii="Times New Roman" w:hAnsi="Times New Roman"/>
          <w:sz w:val="24"/>
        </w:rPr>
        <w:t xml:space="preserve">Section </w:t>
      </w:r>
      <w:r w:rsidR="009A10D2">
        <w:rPr>
          <w:rFonts w:ascii="Times New Roman" w:hAnsi="Times New Roman"/>
          <w:sz w:val="24"/>
        </w:rPr>
        <w:t>3</w:t>
      </w:r>
      <w:r w:rsidRPr="00621634">
        <w:rPr>
          <w:rFonts w:ascii="Times New Roman" w:hAnsi="Times New Roman"/>
          <w:sz w:val="24"/>
        </w:rPr>
        <w:t xml:space="preserve"> sets out the provision of the Act under which the Instrument is made.</w:t>
      </w:r>
    </w:p>
    <w:p w14:paraId="77A3F574" w14:textId="77777777" w:rsidR="00621634" w:rsidRPr="00621634" w:rsidRDefault="00621634" w:rsidP="00621634">
      <w:pPr>
        <w:keepNext/>
        <w:numPr>
          <w:ilvl w:val="0"/>
          <w:numId w:val="50"/>
        </w:numPr>
        <w:autoSpaceDE w:val="0"/>
        <w:autoSpaceDN w:val="0"/>
        <w:adjustRightInd w:val="0"/>
        <w:spacing w:after="240" w:line="240" w:lineRule="auto"/>
        <w:ind w:left="425" w:hanging="357"/>
        <w:rPr>
          <w:rFonts w:ascii="Times New Roman" w:hAnsi="Times New Roman"/>
          <w:b/>
          <w:sz w:val="24"/>
        </w:rPr>
      </w:pPr>
      <w:r w:rsidRPr="00621634">
        <w:rPr>
          <w:rFonts w:ascii="Times New Roman" w:hAnsi="Times New Roman"/>
          <w:b/>
          <w:sz w:val="24"/>
        </w:rPr>
        <w:t>Definitions</w:t>
      </w:r>
    </w:p>
    <w:p w14:paraId="680C6A02" w14:textId="77777777" w:rsidR="00621634" w:rsidRPr="00621634" w:rsidRDefault="00621634" w:rsidP="00621634">
      <w:pPr>
        <w:autoSpaceDE w:val="0"/>
        <w:autoSpaceDN w:val="0"/>
        <w:adjustRightInd w:val="0"/>
        <w:spacing w:after="240" w:line="240" w:lineRule="auto"/>
        <w:ind w:left="426"/>
        <w:rPr>
          <w:rFonts w:ascii="Times New Roman" w:hAnsi="Times New Roman"/>
          <w:sz w:val="24"/>
        </w:rPr>
      </w:pPr>
      <w:r w:rsidRPr="00621634">
        <w:rPr>
          <w:rFonts w:ascii="Times New Roman" w:hAnsi="Times New Roman"/>
          <w:sz w:val="24"/>
        </w:rPr>
        <w:t>Section 4 sets out definition</w:t>
      </w:r>
      <w:r w:rsidR="009A10D2">
        <w:rPr>
          <w:rFonts w:ascii="Times New Roman" w:hAnsi="Times New Roman"/>
          <w:sz w:val="24"/>
        </w:rPr>
        <w:t>s</w:t>
      </w:r>
      <w:r w:rsidRPr="00621634">
        <w:rPr>
          <w:rFonts w:ascii="Times New Roman" w:hAnsi="Times New Roman"/>
          <w:sz w:val="24"/>
        </w:rPr>
        <w:t xml:space="preserve"> of terms used in the Instrument. The term ‘</w:t>
      </w:r>
      <w:r w:rsidR="009A10D2" w:rsidRPr="009A10D2">
        <w:rPr>
          <w:rFonts w:ascii="Times New Roman" w:hAnsi="Times New Roman"/>
          <w:i/>
          <w:sz w:val="24"/>
        </w:rPr>
        <w:t>e</w:t>
      </w:r>
      <w:r w:rsidRPr="00621634">
        <w:rPr>
          <w:rFonts w:ascii="Times New Roman" w:hAnsi="Times New Roman"/>
          <w:i/>
          <w:sz w:val="24"/>
        </w:rPr>
        <w:t xml:space="preserve">xempt </w:t>
      </w:r>
      <w:r w:rsidR="009A10D2" w:rsidRPr="009A10D2">
        <w:rPr>
          <w:rFonts w:ascii="Times New Roman" w:hAnsi="Times New Roman"/>
          <w:i/>
          <w:sz w:val="24"/>
        </w:rPr>
        <w:t>m</w:t>
      </w:r>
      <w:r w:rsidRPr="00621634">
        <w:rPr>
          <w:rFonts w:ascii="Times New Roman" w:hAnsi="Times New Roman"/>
          <w:i/>
          <w:sz w:val="24"/>
        </w:rPr>
        <w:t>odel</w:t>
      </w:r>
      <w:r w:rsidRPr="00621634">
        <w:rPr>
          <w:rFonts w:ascii="Times New Roman" w:hAnsi="Times New Roman"/>
          <w:sz w:val="24"/>
        </w:rPr>
        <w:t xml:space="preserve">’ is defined in section 5 of the Instrument. </w:t>
      </w:r>
      <w:r w:rsidR="00561A12">
        <w:rPr>
          <w:rFonts w:ascii="Times New Roman" w:hAnsi="Times New Roman"/>
          <w:sz w:val="24"/>
        </w:rPr>
        <w:t xml:space="preserve"> </w:t>
      </w:r>
      <w:r w:rsidR="00561A12" w:rsidRPr="00561A12">
        <w:rPr>
          <w:rFonts w:ascii="Times New Roman" w:hAnsi="Times New Roman"/>
          <w:sz w:val="24"/>
        </w:rPr>
        <w:t xml:space="preserve">The </w:t>
      </w:r>
      <w:r w:rsidR="00561A12" w:rsidRPr="00DB285E">
        <w:rPr>
          <w:rFonts w:ascii="Times New Roman" w:hAnsi="Times New Roman"/>
          <w:i/>
          <w:sz w:val="24"/>
        </w:rPr>
        <w:t xml:space="preserve">Greenhouse and Energy Minimum Standards (Air Conditioners up to 65kW) Determination 2019 </w:t>
      </w:r>
      <w:r w:rsidR="00561A12" w:rsidRPr="00561A12">
        <w:rPr>
          <w:rFonts w:ascii="Times New Roman" w:hAnsi="Times New Roman"/>
          <w:sz w:val="24"/>
        </w:rPr>
        <w:t>is incorporated by the Instrument as in force from time to time and is available at www.legislation.gov.au.</w:t>
      </w:r>
    </w:p>
    <w:p w14:paraId="3F4BCD22" w14:textId="77777777" w:rsidR="00621634" w:rsidRPr="00621634" w:rsidRDefault="00621634" w:rsidP="00621634">
      <w:pPr>
        <w:numPr>
          <w:ilvl w:val="0"/>
          <w:numId w:val="50"/>
        </w:numPr>
        <w:autoSpaceDE w:val="0"/>
        <w:autoSpaceDN w:val="0"/>
        <w:adjustRightInd w:val="0"/>
        <w:spacing w:after="240" w:line="240" w:lineRule="auto"/>
        <w:ind w:left="426"/>
        <w:rPr>
          <w:rFonts w:ascii="Times New Roman" w:hAnsi="Times New Roman"/>
          <w:b/>
          <w:sz w:val="24"/>
        </w:rPr>
      </w:pPr>
      <w:r w:rsidRPr="00621634">
        <w:rPr>
          <w:rFonts w:ascii="Times New Roman" w:hAnsi="Times New Roman"/>
          <w:b/>
          <w:sz w:val="24"/>
        </w:rPr>
        <w:t>Exemption</w:t>
      </w:r>
    </w:p>
    <w:p w14:paraId="5A09553C" w14:textId="77777777" w:rsidR="00621634" w:rsidRPr="00621634" w:rsidRDefault="00621634" w:rsidP="00621634">
      <w:pPr>
        <w:autoSpaceDE w:val="0"/>
        <w:autoSpaceDN w:val="0"/>
        <w:adjustRightInd w:val="0"/>
        <w:spacing w:after="240" w:line="240" w:lineRule="auto"/>
        <w:ind w:left="426"/>
        <w:rPr>
          <w:rFonts w:ascii="Times New Roman" w:hAnsi="Times New Roman"/>
          <w:sz w:val="24"/>
        </w:rPr>
      </w:pPr>
      <w:r w:rsidRPr="00621634">
        <w:rPr>
          <w:rFonts w:ascii="Times New Roman" w:hAnsi="Times New Roman"/>
          <w:sz w:val="24"/>
        </w:rPr>
        <w:t xml:space="preserve">Section 5 exempts the models specified in clause 1 of Schedule </w:t>
      </w:r>
      <w:r w:rsidR="009A10D2">
        <w:rPr>
          <w:rFonts w:ascii="Times New Roman" w:hAnsi="Times New Roman"/>
          <w:sz w:val="24"/>
        </w:rPr>
        <w:t xml:space="preserve">1 </w:t>
      </w:r>
      <w:r w:rsidRPr="00621634">
        <w:rPr>
          <w:rFonts w:ascii="Times New Roman" w:hAnsi="Times New Roman"/>
          <w:sz w:val="24"/>
        </w:rPr>
        <w:t>to the Instrument (</w:t>
      </w:r>
      <w:r w:rsidR="009A10D2">
        <w:rPr>
          <w:rFonts w:ascii="Times New Roman" w:hAnsi="Times New Roman"/>
          <w:sz w:val="24"/>
        </w:rPr>
        <w:t xml:space="preserve">the </w:t>
      </w:r>
      <w:r w:rsidR="009A10D2" w:rsidRPr="009A10D2">
        <w:rPr>
          <w:rFonts w:ascii="Times New Roman" w:hAnsi="Times New Roman"/>
          <w:b/>
          <w:i/>
          <w:sz w:val="24"/>
        </w:rPr>
        <w:t>exempt m</w:t>
      </w:r>
      <w:r w:rsidRPr="00621634">
        <w:rPr>
          <w:rFonts w:ascii="Times New Roman" w:hAnsi="Times New Roman"/>
          <w:b/>
          <w:i/>
          <w:sz w:val="24"/>
        </w:rPr>
        <w:t>odel</w:t>
      </w:r>
      <w:r w:rsidR="009A10D2" w:rsidRPr="009A10D2">
        <w:rPr>
          <w:rFonts w:ascii="Times New Roman" w:hAnsi="Times New Roman"/>
          <w:b/>
          <w:i/>
          <w:sz w:val="24"/>
        </w:rPr>
        <w:t>s</w:t>
      </w:r>
      <w:r w:rsidRPr="00621634">
        <w:rPr>
          <w:rFonts w:ascii="Times New Roman" w:hAnsi="Times New Roman"/>
          <w:sz w:val="24"/>
        </w:rPr>
        <w:t xml:space="preserve">) from the </w:t>
      </w:r>
      <w:r w:rsidR="009A10D2">
        <w:rPr>
          <w:rFonts w:ascii="Times New Roman" w:hAnsi="Times New Roman"/>
          <w:sz w:val="24"/>
        </w:rPr>
        <w:t>requirements specified in clause 2 of Schedule 1</w:t>
      </w:r>
      <w:r w:rsidR="003B60A2">
        <w:rPr>
          <w:rFonts w:ascii="Times New Roman" w:hAnsi="Times New Roman"/>
          <w:sz w:val="24"/>
        </w:rPr>
        <w:t xml:space="preserve"> for the supplies specified in clause 3 of Schedule 1</w:t>
      </w:r>
      <w:r w:rsidRPr="00621634">
        <w:rPr>
          <w:rFonts w:ascii="Times New Roman" w:hAnsi="Times New Roman"/>
          <w:sz w:val="24"/>
        </w:rPr>
        <w:t>.</w:t>
      </w:r>
    </w:p>
    <w:p w14:paraId="3317CE5E" w14:textId="77777777" w:rsidR="00621634" w:rsidRPr="0063004E" w:rsidRDefault="009A10D2" w:rsidP="00621634">
      <w:pPr>
        <w:numPr>
          <w:ilvl w:val="0"/>
          <w:numId w:val="50"/>
        </w:numPr>
        <w:autoSpaceDE w:val="0"/>
        <w:autoSpaceDN w:val="0"/>
        <w:adjustRightInd w:val="0"/>
        <w:spacing w:after="240" w:line="240" w:lineRule="auto"/>
        <w:ind w:left="426"/>
        <w:rPr>
          <w:rFonts w:ascii="Times New Roman" w:hAnsi="Times New Roman"/>
          <w:b/>
          <w:sz w:val="24"/>
        </w:rPr>
      </w:pPr>
      <w:r w:rsidRPr="0063004E">
        <w:rPr>
          <w:rFonts w:ascii="Times New Roman" w:hAnsi="Times New Roman"/>
          <w:b/>
          <w:sz w:val="24"/>
        </w:rPr>
        <w:t>Conditions of e</w:t>
      </w:r>
      <w:r w:rsidR="00621634" w:rsidRPr="0063004E">
        <w:rPr>
          <w:rFonts w:ascii="Times New Roman" w:hAnsi="Times New Roman"/>
          <w:b/>
          <w:sz w:val="24"/>
        </w:rPr>
        <w:t>xemption</w:t>
      </w:r>
    </w:p>
    <w:p w14:paraId="3354B162" w14:textId="77777777" w:rsidR="00621634" w:rsidRDefault="00621634" w:rsidP="00621634">
      <w:pPr>
        <w:autoSpaceDE w:val="0"/>
        <w:autoSpaceDN w:val="0"/>
        <w:adjustRightInd w:val="0"/>
        <w:spacing w:after="240" w:line="240" w:lineRule="auto"/>
        <w:ind w:left="426"/>
        <w:rPr>
          <w:rFonts w:ascii="Times New Roman" w:hAnsi="Times New Roman"/>
          <w:sz w:val="24"/>
        </w:rPr>
      </w:pPr>
      <w:r w:rsidRPr="0063004E">
        <w:rPr>
          <w:rFonts w:ascii="Times New Roman" w:hAnsi="Times New Roman"/>
          <w:sz w:val="24"/>
        </w:rPr>
        <w:t xml:space="preserve">Section 6 </w:t>
      </w:r>
      <w:r w:rsidR="009A10D2" w:rsidRPr="0063004E">
        <w:rPr>
          <w:rFonts w:ascii="Times New Roman" w:hAnsi="Times New Roman"/>
          <w:sz w:val="24"/>
        </w:rPr>
        <w:t>provides</w:t>
      </w:r>
      <w:r w:rsidRPr="0063004E">
        <w:rPr>
          <w:rFonts w:ascii="Times New Roman" w:hAnsi="Times New Roman"/>
          <w:sz w:val="24"/>
        </w:rPr>
        <w:t xml:space="preserve"> that the conditions specified for the purposes of subsection 37(2) of the Act</w:t>
      </w:r>
      <w:r w:rsidR="00004060">
        <w:rPr>
          <w:rFonts w:ascii="Times New Roman" w:hAnsi="Times New Roman"/>
          <w:sz w:val="24"/>
        </w:rPr>
        <w:t xml:space="preserve"> are set out at clause 4</w:t>
      </w:r>
      <w:r w:rsidR="00051DF8">
        <w:rPr>
          <w:rFonts w:ascii="Times New Roman" w:hAnsi="Times New Roman"/>
          <w:sz w:val="24"/>
        </w:rPr>
        <w:t xml:space="preserve"> of the Schedule</w:t>
      </w:r>
      <w:r w:rsidRPr="0063004E">
        <w:rPr>
          <w:rFonts w:ascii="Times New Roman" w:hAnsi="Times New Roman"/>
          <w:sz w:val="24"/>
        </w:rPr>
        <w:t xml:space="preserve">. </w:t>
      </w:r>
      <w:r w:rsidR="00C51444">
        <w:rPr>
          <w:rFonts w:ascii="Times New Roman" w:hAnsi="Times New Roman"/>
          <w:sz w:val="24"/>
        </w:rPr>
        <w:t xml:space="preserve">The purpose of the conditions is to </w:t>
      </w:r>
      <w:r w:rsidR="00A60868">
        <w:rPr>
          <w:rFonts w:ascii="Times New Roman" w:hAnsi="Times New Roman"/>
          <w:sz w:val="24"/>
        </w:rPr>
        <w:t>ensure that Seeley International complies with its obligations under the Act in relation to any future supplies of the products, subsequent to the supplies covered by this Instrument</w:t>
      </w:r>
      <w:r w:rsidR="00481537">
        <w:rPr>
          <w:rFonts w:ascii="Times New Roman" w:hAnsi="Times New Roman"/>
          <w:sz w:val="24"/>
        </w:rPr>
        <w:t>, including having</w:t>
      </w:r>
      <w:r w:rsidR="0086771B">
        <w:rPr>
          <w:rFonts w:ascii="Times New Roman" w:hAnsi="Times New Roman"/>
          <w:sz w:val="24"/>
        </w:rPr>
        <w:t xml:space="preserve"> an up-to-date registration in relation to those models</w:t>
      </w:r>
      <w:r w:rsidR="00C51444">
        <w:rPr>
          <w:rFonts w:ascii="Times New Roman" w:hAnsi="Times New Roman"/>
          <w:sz w:val="24"/>
        </w:rPr>
        <w:t>.</w:t>
      </w:r>
      <w:r w:rsidR="004901C7">
        <w:rPr>
          <w:rFonts w:ascii="Times New Roman" w:hAnsi="Times New Roman"/>
          <w:sz w:val="24"/>
        </w:rPr>
        <w:t xml:space="preserve"> It also reflects the obligation that models covered by exemptions must still be registered under the Act.</w:t>
      </w:r>
    </w:p>
    <w:p w14:paraId="5325D025" w14:textId="77777777" w:rsidR="0040043B" w:rsidRDefault="0040043B" w:rsidP="0040043B">
      <w:pPr>
        <w:numPr>
          <w:ilvl w:val="0"/>
          <w:numId w:val="50"/>
        </w:numPr>
        <w:autoSpaceDE w:val="0"/>
        <w:autoSpaceDN w:val="0"/>
        <w:adjustRightInd w:val="0"/>
        <w:spacing w:after="240" w:line="240" w:lineRule="auto"/>
        <w:ind w:left="426"/>
        <w:rPr>
          <w:rFonts w:ascii="Times New Roman" w:hAnsi="Times New Roman"/>
          <w:b/>
          <w:sz w:val="24"/>
        </w:rPr>
      </w:pPr>
      <w:r>
        <w:rPr>
          <w:rFonts w:ascii="Times New Roman" w:hAnsi="Times New Roman"/>
          <w:b/>
          <w:sz w:val="24"/>
        </w:rPr>
        <w:t>Repeal</w:t>
      </w:r>
    </w:p>
    <w:p w14:paraId="6CAF0995" w14:textId="77777777" w:rsidR="0040043B" w:rsidRPr="0040043B" w:rsidRDefault="0040043B" w:rsidP="0040043B">
      <w:pPr>
        <w:autoSpaceDE w:val="0"/>
        <w:autoSpaceDN w:val="0"/>
        <w:adjustRightInd w:val="0"/>
        <w:spacing w:after="240" w:line="240" w:lineRule="auto"/>
        <w:ind w:left="426"/>
        <w:rPr>
          <w:rFonts w:ascii="Times New Roman" w:hAnsi="Times New Roman"/>
          <w:sz w:val="24"/>
        </w:rPr>
      </w:pPr>
      <w:r>
        <w:rPr>
          <w:rFonts w:ascii="Times New Roman" w:hAnsi="Times New Roman"/>
          <w:sz w:val="24"/>
        </w:rPr>
        <w:t xml:space="preserve">Section 7 provides that the Instrument is repealed </w:t>
      </w:r>
      <w:r w:rsidR="00051DF8">
        <w:rPr>
          <w:rFonts w:ascii="Times New Roman" w:hAnsi="Times New Roman"/>
          <w:sz w:val="24"/>
        </w:rPr>
        <w:t xml:space="preserve">on the day after </w:t>
      </w:r>
      <w:r>
        <w:rPr>
          <w:rFonts w:ascii="Times New Roman" w:hAnsi="Times New Roman"/>
          <w:sz w:val="24"/>
        </w:rPr>
        <w:t>the end of the period of 1 year after it is registered.</w:t>
      </w:r>
    </w:p>
    <w:p w14:paraId="120F99C9" w14:textId="77777777" w:rsidR="00621634" w:rsidRPr="00621634" w:rsidRDefault="00621634" w:rsidP="00621634">
      <w:pPr>
        <w:autoSpaceDE w:val="0"/>
        <w:autoSpaceDN w:val="0"/>
        <w:adjustRightInd w:val="0"/>
        <w:spacing w:after="240" w:line="240" w:lineRule="auto"/>
        <w:rPr>
          <w:rFonts w:ascii="Times New Roman" w:hAnsi="Times New Roman"/>
          <w:b/>
          <w:sz w:val="24"/>
        </w:rPr>
      </w:pPr>
      <w:r w:rsidRPr="00621634">
        <w:rPr>
          <w:rFonts w:ascii="Times New Roman" w:hAnsi="Times New Roman"/>
          <w:b/>
          <w:sz w:val="24"/>
        </w:rPr>
        <w:t xml:space="preserve">Schedule </w:t>
      </w:r>
      <w:r w:rsidR="009A10D2">
        <w:rPr>
          <w:rFonts w:ascii="Times New Roman" w:hAnsi="Times New Roman"/>
          <w:b/>
          <w:sz w:val="24"/>
        </w:rPr>
        <w:t>1</w:t>
      </w:r>
      <w:r w:rsidRPr="00621634">
        <w:rPr>
          <w:rFonts w:ascii="Times New Roman" w:hAnsi="Times New Roman"/>
          <w:b/>
          <w:sz w:val="24"/>
        </w:rPr>
        <w:t xml:space="preserve"> </w:t>
      </w:r>
      <w:r w:rsidR="009A10D2">
        <w:rPr>
          <w:rFonts w:ascii="Times New Roman" w:hAnsi="Times New Roman"/>
          <w:b/>
          <w:sz w:val="24"/>
        </w:rPr>
        <w:t>–</w:t>
      </w:r>
      <w:r w:rsidRPr="00621634">
        <w:rPr>
          <w:rFonts w:ascii="Times New Roman" w:hAnsi="Times New Roman"/>
          <w:b/>
          <w:sz w:val="24"/>
        </w:rPr>
        <w:t xml:space="preserve"> Exemption </w:t>
      </w:r>
    </w:p>
    <w:p w14:paraId="7B8B62D9" w14:textId="0EDDD66B" w:rsidR="00621634" w:rsidRPr="00621634" w:rsidRDefault="00621634" w:rsidP="00621634">
      <w:pPr>
        <w:autoSpaceDE w:val="0"/>
        <w:autoSpaceDN w:val="0"/>
        <w:adjustRightInd w:val="0"/>
        <w:spacing w:after="240" w:line="240" w:lineRule="auto"/>
        <w:ind w:firstLine="426"/>
        <w:rPr>
          <w:rFonts w:ascii="Times New Roman" w:hAnsi="Times New Roman"/>
          <w:sz w:val="24"/>
          <w:szCs w:val="24"/>
          <w:lang w:eastAsia="en-AU"/>
        </w:rPr>
      </w:pPr>
      <w:r w:rsidRPr="00621634">
        <w:rPr>
          <w:rFonts w:ascii="Times New Roman" w:hAnsi="Times New Roman"/>
          <w:sz w:val="24"/>
        </w:rPr>
        <w:t xml:space="preserve">Schedule </w:t>
      </w:r>
      <w:r w:rsidR="00E562A9">
        <w:rPr>
          <w:rFonts w:ascii="Times New Roman" w:hAnsi="Times New Roman"/>
          <w:sz w:val="24"/>
        </w:rPr>
        <w:t xml:space="preserve">1 </w:t>
      </w:r>
      <w:r w:rsidRPr="00621634">
        <w:rPr>
          <w:rFonts w:ascii="Times New Roman" w:hAnsi="Times New Roman"/>
          <w:sz w:val="24"/>
        </w:rPr>
        <w:t>to the Instrument sets out the following</w:t>
      </w:r>
      <w:r w:rsidR="001D5663">
        <w:rPr>
          <w:rFonts w:ascii="Times New Roman" w:hAnsi="Times New Roman"/>
          <w:sz w:val="24"/>
        </w:rPr>
        <w:t>:</w:t>
      </w:r>
      <w:r w:rsidRPr="00621634">
        <w:rPr>
          <w:rFonts w:ascii="Times New Roman" w:hAnsi="Times New Roman"/>
          <w:sz w:val="24"/>
        </w:rPr>
        <w:t xml:space="preserve">: </w:t>
      </w:r>
    </w:p>
    <w:p w14:paraId="2D5C0CD4" w14:textId="77777777" w:rsidR="00621634" w:rsidRPr="00621634" w:rsidRDefault="00621634" w:rsidP="00621634">
      <w:pPr>
        <w:numPr>
          <w:ilvl w:val="0"/>
          <w:numId w:val="49"/>
        </w:numPr>
        <w:autoSpaceDE w:val="0"/>
        <w:autoSpaceDN w:val="0"/>
        <w:adjustRightInd w:val="0"/>
        <w:spacing w:after="240" w:line="240" w:lineRule="auto"/>
        <w:rPr>
          <w:rFonts w:ascii="Times New Roman" w:hAnsi="Times New Roman"/>
          <w:sz w:val="24"/>
          <w:szCs w:val="24"/>
          <w:lang w:eastAsia="en-AU"/>
        </w:rPr>
      </w:pPr>
      <w:r w:rsidRPr="00621634">
        <w:rPr>
          <w:rFonts w:ascii="Times New Roman" w:hAnsi="Times New Roman"/>
          <w:sz w:val="24"/>
        </w:rPr>
        <w:t xml:space="preserve">the </w:t>
      </w:r>
      <w:r w:rsidR="009A10D2">
        <w:rPr>
          <w:rFonts w:ascii="Times New Roman" w:hAnsi="Times New Roman"/>
          <w:sz w:val="24"/>
        </w:rPr>
        <w:t xml:space="preserve">specified </w:t>
      </w:r>
      <w:r w:rsidR="009A10D2" w:rsidRPr="009A10D2">
        <w:rPr>
          <w:rFonts w:ascii="Times New Roman" w:hAnsi="Times New Roman"/>
          <w:i/>
          <w:sz w:val="24"/>
        </w:rPr>
        <w:t>e</w:t>
      </w:r>
      <w:r w:rsidRPr="00621634">
        <w:rPr>
          <w:rFonts w:ascii="Times New Roman" w:hAnsi="Times New Roman"/>
          <w:i/>
          <w:sz w:val="24"/>
        </w:rPr>
        <w:t xml:space="preserve">xempt </w:t>
      </w:r>
      <w:r w:rsidR="009A10D2" w:rsidRPr="009A10D2">
        <w:rPr>
          <w:rFonts w:ascii="Times New Roman" w:hAnsi="Times New Roman"/>
          <w:i/>
          <w:sz w:val="24"/>
        </w:rPr>
        <w:t>m</w:t>
      </w:r>
      <w:r w:rsidRPr="00621634">
        <w:rPr>
          <w:rFonts w:ascii="Times New Roman" w:hAnsi="Times New Roman"/>
          <w:i/>
          <w:sz w:val="24"/>
        </w:rPr>
        <w:t>odels</w:t>
      </w:r>
      <w:r w:rsidR="002B08FD">
        <w:rPr>
          <w:rFonts w:ascii="Times New Roman" w:hAnsi="Times New Roman"/>
          <w:sz w:val="24"/>
        </w:rPr>
        <w:t>, including model numbers,</w:t>
      </w:r>
      <w:r w:rsidR="009A10D2">
        <w:rPr>
          <w:rFonts w:ascii="Times New Roman" w:hAnsi="Times New Roman"/>
          <w:sz w:val="24"/>
        </w:rPr>
        <w:t xml:space="preserve"> product descriptions</w:t>
      </w:r>
      <w:r w:rsidR="002B08FD">
        <w:rPr>
          <w:rFonts w:ascii="Times New Roman" w:hAnsi="Times New Roman"/>
          <w:sz w:val="24"/>
        </w:rPr>
        <w:t xml:space="preserve"> and the number o</w:t>
      </w:r>
      <w:r w:rsidR="00AD7895">
        <w:rPr>
          <w:rFonts w:ascii="Times New Roman" w:hAnsi="Times New Roman"/>
          <w:sz w:val="24"/>
        </w:rPr>
        <w:t>f units covered by the Instrument</w:t>
      </w:r>
      <w:r w:rsidRPr="00621634">
        <w:rPr>
          <w:rFonts w:ascii="Times New Roman" w:hAnsi="Times New Roman"/>
          <w:sz w:val="24"/>
        </w:rPr>
        <w:t xml:space="preserve"> (clause 1);</w:t>
      </w:r>
    </w:p>
    <w:p w14:paraId="3F64ED5E" w14:textId="77777777" w:rsidR="00621634" w:rsidRPr="00621634" w:rsidRDefault="00621634" w:rsidP="00621634">
      <w:pPr>
        <w:numPr>
          <w:ilvl w:val="0"/>
          <w:numId w:val="49"/>
        </w:numPr>
        <w:autoSpaceDE w:val="0"/>
        <w:autoSpaceDN w:val="0"/>
        <w:adjustRightInd w:val="0"/>
        <w:spacing w:after="240" w:line="240" w:lineRule="auto"/>
        <w:rPr>
          <w:rFonts w:ascii="Times New Roman" w:hAnsi="Times New Roman"/>
          <w:sz w:val="24"/>
          <w:szCs w:val="24"/>
          <w:lang w:eastAsia="en-AU"/>
        </w:rPr>
      </w:pPr>
      <w:r w:rsidRPr="00621634">
        <w:rPr>
          <w:rFonts w:ascii="Times New Roman" w:hAnsi="Times New Roman"/>
          <w:sz w:val="24"/>
        </w:rPr>
        <w:t>the requirements of the Determination from which the m</w:t>
      </w:r>
      <w:r w:rsidR="001A13D2">
        <w:rPr>
          <w:rFonts w:ascii="Times New Roman" w:hAnsi="Times New Roman"/>
          <w:sz w:val="24"/>
        </w:rPr>
        <w:t>odels are exempt (clause 2)</w:t>
      </w:r>
      <w:r w:rsidR="00A60868">
        <w:rPr>
          <w:rFonts w:ascii="Times New Roman" w:hAnsi="Times New Roman"/>
          <w:sz w:val="24"/>
        </w:rPr>
        <w:t>, which are the GEMS level requirements in relation to the testing of products</w:t>
      </w:r>
      <w:r w:rsidR="00481537">
        <w:rPr>
          <w:rFonts w:ascii="Times New Roman" w:hAnsi="Times New Roman"/>
          <w:sz w:val="24"/>
        </w:rPr>
        <w:t xml:space="preserve"> </w:t>
      </w:r>
      <w:r w:rsidR="0086771B">
        <w:rPr>
          <w:rFonts w:ascii="Times New Roman" w:hAnsi="Times New Roman"/>
          <w:sz w:val="24"/>
        </w:rPr>
        <w:t>in Schedule 2 of the Determination</w:t>
      </w:r>
      <w:r w:rsidR="001A13D2">
        <w:rPr>
          <w:rFonts w:ascii="Times New Roman" w:hAnsi="Times New Roman"/>
          <w:sz w:val="24"/>
        </w:rPr>
        <w:t xml:space="preserve">; </w:t>
      </w:r>
    </w:p>
    <w:p w14:paraId="1DF30C83" w14:textId="53EB6D88" w:rsidR="001A13D2" w:rsidRPr="001A13D2" w:rsidRDefault="00621634" w:rsidP="00621634">
      <w:pPr>
        <w:numPr>
          <w:ilvl w:val="0"/>
          <w:numId w:val="49"/>
        </w:numPr>
        <w:autoSpaceDE w:val="0"/>
        <w:autoSpaceDN w:val="0"/>
        <w:adjustRightInd w:val="0"/>
        <w:spacing w:after="240" w:line="240" w:lineRule="auto"/>
        <w:rPr>
          <w:rFonts w:ascii="Times New Roman" w:hAnsi="Times New Roman"/>
          <w:sz w:val="24"/>
          <w:szCs w:val="24"/>
          <w:lang w:eastAsia="en-AU"/>
        </w:rPr>
      </w:pPr>
      <w:r w:rsidRPr="00621634">
        <w:rPr>
          <w:rFonts w:ascii="Times New Roman" w:hAnsi="Times New Roman"/>
          <w:sz w:val="24"/>
        </w:rPr>
        <w:t>the supplies to which the exemption applies (clause 3)</w:t>
      </w:r>
      <w:r w:rsidR="00A60868">
        <w:rPr>
          <w:rFonts w:ascii="Times New Roman" w:hAnsi="Times New Roman"/>
          <w:sz w:val="24"/>
        </w:rPr>
        <w:t xml:space="preserve">, which are the supply of the models specified in clause 1 by Seeley to Cold Front, and subsequent supplies </w:t>
      </w:r>
      <w:r w:rsidR="0086771B">
        <w:rPr>
          <w:rFonts w:ascii="Times New Roman" w:hAnsi="Times New Roman"/>
          <w:sz w:val="24"/>
        </w:rPr>
        <w:t xml:space="preserve">of those models by Cold Front or any </w:t>
      </w:r>
      <w:r w:rsidR="001D5663">
        <w:rPr>
          <w:rFonts w:ascii="Times New Roman" w:hAnsi="Times New Roman"/>
          <w:sz w:val="24"/>
        </w:rPr>
        <w:t>other party who re-supplies those models after Seeley supplies them to Cold Front</w:t>
      </w:r>
      <w:r w:rsidR="0086771B">
        <w:rPr>
          <w:rFonts w:ascii="Times New Roman" w:hAnsi="Times New Roman"/>
          <w:sz w:val="24"/>
        </w:rPr>
        <w:t xml:space="preserve">; </w:t>
      </w:r>
      <w:r w:rsidR="001A13D2">
        <w:rPr>
          <w:rFonts w:ascii="Times New Roman" w:hAnsi="Times New Roman"/>
          <w:sz w:val="24"/>
        </w:rPr>
        <w:t>and</w:t>
      </w:r>
    </w:p>
    <w:p w14:paraId="1033BD82" w14:textId="77777777" w:rsidR="00D15A79" w:rsidRPr="00D15A79" w:rsidRDefault="001A13D2" w:rsidP="00621634">
      <w:pPr>
        <w:numPr>
          <w:ilvl w:val="0"/>
          <w:numId w:val="49"/>
        </w:numPr>
        <w:autoSpaceDE w:val="0"/>
        <w:autoSpaceDN w:val="0"/>
        <w:adjustRightInd w:val="0"/>
        <w:spacing w:after="240" w:line="240" w:lineRule="auto"/>
        <w:rPr>
          <w:rFonts w:ascii="Times New Roman" w:hAnsi="Times New Roman"/>
          <w:sz w:val="24"/>
          <w:szCs w:val="24"/>
          <w:lang w:eastAsia="en-AU"/>
        </w:rPr>
      </w:pPr>
      <w:r>
        <w:rPr>
          <w:rFonts w:ascii="Times New Roman" w:hAnsi="Times New Roman"/>
          <w:sz w:val="24"/>
        </w:rPr>
        <w:t>the condition</w:t>
      </w:r>
      <w:r w:rsidR="00D15A79">
        <w:rPr>
          <w:rFonts w:ascii="Times New Roman" w:hAnsi="Times New Roman"/>
          <w:sz w:val="24"/>
        </w:rPr>
        <w:t xml:space="preserve">s to which the </w:t>
      </w:r>
      <w:r>
        <w:rPr>
          <w:rFonts w:ascii="Times New Roman" w:hAnsi="Times New Roman"/>
          <w:sz w:val="24"/>
        </w:rPr>
        <w:t>exemption</w:t>
      </w:r>
      <w:r w:rsidR="00D15A79">
        <w:rPr>
          <w:rFonts w:ascii="Times New Roman" w:hAnsi="Times New Roman"/>
          <w:sz w:val="24"/>
        </w:rPr>
        <w:t xml:space="preserve"> is subject (clause 4),</w:t>
      </w:r>
      <w:r>
        <w:rPr>
          <w:rFonts w:ascii="Times New Roman" w:hAnsi="Times New Roman"/>
          <w:sz w:val="24"/>
        </w:rPr>
        <w:t xml:space="preserve"> </w:t>
      </w:r>
      <w:r w:rsidR="002B08FD">
        <w:rPr>
          <w:rFonts w:ascii="Times New Roman" w:hAnsi="Times New Roman"/>
          <w:sz w:val="24"/>
        </w:rPr>
        <w:t xml:space="preserve">which </w:t>
      </w:r>
      <w:r w:rsidR="00D15A79">
        <w:rPr>
          <w:rFonts w:ascii="Times New Roman" w:hAnsi="Times New Roman"/>
          <w:sz w:val="24"/>
        </w:rPr>
        <w:t>include:</w:t>
      </w:r>
    </w:p>
    <w:p w14:paraId="2BF9D562" w14:textId="77777777" w:rsidR="00A60868" w:rsidRPr="00A60868" w:rsidRDefault="00A60868" w:rsidP="00D15A79">
      <w:pPr>
        <w:numPr>
          <w:ilvl w:val="1"/>
          <w:numId w:val="49"/>
        </w:numPr>
        <w:autoSpaceDE w:val="0"/>
        <w:autoSpaceDN w:val="0"/>
        <w:adjustRightInd w:val="0"/>
        <w:spacing w:after="240" w:line="240" w:lineRule="auto"/>
        <w:rPr>
          <w:rFonts w:ascii="Times New Roman" w:hAnsi="Times New Roman"/>
          <w:sz w:val="24"/>
          <w:szCs w:val="24"/>
          <w:lang w:eastAsia="en-AU"/>
        </w:rPr>
      </w:pPr>
      <w:r>
        <w:rPr>
          <w:rFonts w:ascii="Times New Roman" w:hAnsi="Times New Roman"/>
          <w:sz w:val="24"/>
        </w:rPr>
        <w:t>notifying the GEMS Regulator of the results of testing for the models as soon as practicable after receiving those results</w:t>
      </w:r>
    </w:p>
    <w:p w14:paraId="2A7BCA13" w14:textId="77777777" w:rsidR="00621634" w:rsidRPr="00D15A79" w:rsidRDefault="00A60868" w:rsidP="00D15A79">
      <w:pPr>
        <w:numPr>
          <w:ilvl w:val="1"/>
          <w:numId w:val="49"/>
        </w:numPr>
        <w:autoSpaceDE w:val="0"/>
        <w:autoSpaceDN w:val="0"/>
        <w:adjustRightInd w:val="0"/>
        <w:spacing w:after="240" w:line="240" w:lineRule="auto"/>
        <w:rPr>
          <w:rFonts w:ascii="Times New Roman" w:hAnsi="Times New Roman"/>
          <w:sz w:val="24"/>
          <w:szCs w:val="24"/>
          <w:lang w:eastAsia="en-AU"/>
        </w:rPr>
      </w:pPr>
      <w:r>
        <w:rPr>
          <w:rFonts w:ascii="Times New Roman" w:hAnsi="Times New Roman"/>
          <w:sz w:val="24"/>
        </w:rPr>
        <w:t xml:space="preserve">updating </w:t>
      </w:r>
      <w:r w:rsidR="00711CAF">
        <w:rPr>
          <w:rFonts w:ascii="Times New Roman" w:hAnsi="Times New Roman"/>
          <w:sz w:val="24"/>
        </w:rPr>
        <w:t>the registrations of the models to include the results of testing and any other relevant information</w:t>
      </w:r>
      <w:r w:rsidR="00D15A79">
        <w:rPr>
          <w:rFonts w:ascii="Times New Roman" w:hAnsi="Times New Roman"/>
          <w:sz w:val="24"/>
        </w:rPr>
        <w:t>;</w:t>
      </w:r>
      <w:r w:rsidR="003A7B65">
        <w:rPr>
          <w:rFonts w:ascii="Times New Roman" w:hAnsi="Times New Roman"/>
          <w:sz w:val="24"/>
        </w:rPr>
        <w:t xml:space="preserve"> and</w:t>
      </w:r>
    </w:p>
    <w:p w14:paraId="6A03FA97" w14:textId="77777777" w:rsidR="00621634" w:rsidRPr="003A7B65" w:rsidRDefault="00711CAF" w:rsidP="0086771B">
      <w:pPr>
        <w:numPr>
          <w:ilvl w:val="1"/>
          <w:numId w:val="49"/>
        </w:numPr>
        <w:autoSpaceDE w:val="0"/>
        <w:autoSpaceDN w:val="0"/>
        <w:adjustRightInd w:val="0"/>
        <w:spacing w:after="240" w:line="240" w:lineRule="auto"/>
        <w:rPr>
          <w:rFonts w:ascii="Times New Roman" w:hAnsi="Times New Roman"/>
          <w:sz w:val="24"/>
          <w:szCs w:val="24"/>
          <w:lang w:eastAsia="en-AU"/>
        </w:rPr>
      </w:pPr>
      <w:r>
        <w:rPr>
          <w:rFonts w:ascii="Times New Roman" w:hAnsi="Times New Roman"/>
          <w:sz w:val="24"/>
        </w:rPr>
        <w:t>not supplying any other units of the models until the GEMS Regulator is satisfied with Seeley’s actions in relation to the previous conditions</w:t>
      </w:r>
      <w:r w:rsidR="003A7B65">
        <w:rPr>
          <w:rFonts w:ascii="Times New Roman" w:hAnsi="Times New Roman"/>
          <w:sz w:val="24"/>
        </w:rPr>
        <w:t>.</w:t>
      </w:r>
      <w:r w:rsidR="00621634" w:rsidRPr="003A7B65">
        <w:rPr>
          <w:rFonts w:ascii="Times New Roman" w:hAnsi="Times New Roman"/>
          <w:sz w:val="24"/>
          <w:szCs w:val="24"/>
        </w:rPr>
        <w:br w:type="page"/>
      </w:r>
      <w:r w:rsidR="00621634" w:rsidRPr="003A7B65">
        <w:rPr>
          <w:rFonts w:ascii="Times New Roman" w:hAnsi="Times New Roman"/>
          <w:b/>
          <w:sz w:val="28"/>
          <w:szCs w:val="28"/>
        </w:rPr>
        <w:t>Statement of Compatibility with Human Rights</w:t>
      </w:r>
    </w:p>
    <w:p w14:paraId="35B15BD5" w14:textId="77777777" w:rsidR="00621634" w:rsidRPr="00621634" w:rsidRDefault="00621634" w:rsidP="00621634">
      <w:pPr>
        <w:spacing w:before="120" w:after="120"/>
        <w:jc w:val="center"/>
        <w:rPr>
          <w:rFonts w:ascii="Times New Roman" w:hAnsi="Times New Roman"/>
          <w:sz w:val="24"/>
          <w:szCs w:val="24"/>
        </w:rPr>
      </w:pPr>
      <w:r w:rsidRPr="00621634">
        <w:rPr>
          <w:rFonts w:ascii="Times New Roman" w:hAnsi="Times New Roman"/>
          <w:i/>
          <w:sz w:val="24"/>
          <w:szCs w:val="24"/>
        </w:rPr>
        <w:t>Prepared in accordance with Part 3 of the Human Rights (Parliamentary Scrutiny) Act 2011</w:t>
      </w:r>
    </w:p>
    <w:p w14:paraId="701CC036" w14:textId="77777777" w:rsidR="00621634" w:rsidRPr="00621634" w:rsidRDefault="00621634" w:rsidP="00621634">
      <w:pPr>
        <w:spacing w:before="120" w:after="120"/>
        <w:jc w:val="center"/>
        <w:rPr>
          <w:rFonts w:ascii="Times New Roman" w:hAnsi="Times New Roman"/>
          <w:sz w:val="24"/>
          <w:szCs w:val="24"/>
        </w:rPr>
      </w:pPr>
    </w:p>
    <w:p w14:paraId="1A06BC8C" w14:textId="77777777" w:rsidR="00621634" w:rsidRPr="00621634" w:rsidRDefault="00621634" w:rsidP="00621634">
      <w:pPr>
        <w:jc w:val="center"/>
        <w:rPr>
          <w:rFonts w:ascii="Times New Roman" w:hAnsi="Times New Roman"/>
          <w:i/>
          <w:sz w:val="24"/>
          <w:szCs w:val="24"/>
        </w:rPr>
      </w:pPr>
      <w:r w:rsidRPr="00621634">
        <w:rPr>
          <w:rFonts w:ascii="Times New Roman" w:hAnsi="Times New Roman"/>
          <w:i/>
          <w:sz w:val="24"/>
        </w:rPr>
        <w:t>Greenhouse and Energy Minimum Standards (Exemption) Instrument (No.</w:t>
      </w:r>
      <w:r w:rsidR="00711CAF">
        <w:rPr>
          <w:rFonts w:ascii="Times New Roman" w:hAnsi="Times New Roman"/>
          <w:i/>
          <w:sz w:val="24"/>
        </w:rPr>
        <w:t xml:space="preserve"> 2</w:t>
      </w:r>
      <w:r w:rsidRPr="00621634">
        <w:rPr>
          <w:rFonts w:ascii="Times New Roman" w:hAnsi="Times New Roman"/>
          <w:i/>
          <w:sz w:val="24"/>
        </w:rPr>
        <w:t>) 20</w:t>
      </w:r>
      <w:r w:rsidR="0040043B">
        <w:rPr>
          <w:rFonts w:ascii="Times New Roman" w:hAnsi="Times New Roman"/>
          <w:i/>
          <w:sz w:val="24"/>
        </w:rPr>
        <w:t>20</w:t>
      </w:r>
    </w:p>
    <w:p w14:paraId="0F7C141D" w14:textId="77777777" w:rsidR="00621634" w:rsidRPr="00621634" w:rsidRDefault="00621634" w:rsidP="00621634">
      <w:pPr>
        <w:spacing w:before="120" w:after="120"/>
        <w:jc w:val="center"/>
        <w:rPr>
          <w:rFonts w:ascii="Times New Roman" w:hAnsi="Times New Roman"/>
          <w:sz w:val="24"/>
          <w:szCs w:val="24"/>
        </w:rPr>
      </w:pPr>
    </w:p>
    <w:p w14:paraId="261C5A6E" w14:textId="77777777" w:rsidR="00621634" w:rsidRPr="00621634" w:rsidRDefault="00621634" w:rsidP="00621634">
      <w:pPr>
        <w:spacing w:before="120" w:after="120"/>
        <w:rPr>
          <w:rFonts w:ascii="Times New Roman" w:hAnsi="Times New Roman"/>
          <w:sz w:val="24"/>
          <w:szCs w:val="24"/>
        </w:rPr>
      </w:pPr>
      <w:r w:rsidRPr="00621634">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621634">
        <w:rPr>
          <w:rFonts w:ascii="Times New Roman" w:hAnsi="Times New Roman"/>
          <w:i/>
          <w:sz w:val="24"/>
          <w:szCs w:val="24"/>
        </w:rPr>
        <w:t>Human Rights (Parliamentary Scrutiny) Act 2011</w:t>
      </w:r>
      <w:r w:rsidRPr="00621634">
        <w:rPr>
          <w:rFonts w:ascii="Times New Roman" w:hAnsi="Times New Roman"/>
          <w:sz w:val="24"/>
          <w:szCs w:val="24"/>
        </w:rPr>
        <w:t>.</w:t>
      </w:r>
    </w:p>
    <w:p w14:paraId="28C5E2CA" w14:textId="77777777" w:rsidR="00621634" w:rsidRPr="00621634" w:rsidRDefault="00621634" w:rsidP="00621634">
      <w:pPr>
        <w:spacing w:before="120" w:after="120"/>
        <w:jc w:val="center"/>
        <w:rPr>
          <w:rFonts w:ascii="Times New Roman" w:hAnsi="Times New Roman"/>
          <w:sz w:val="24"/>
          <w:szCs w:val="24"/>
        </w:rPr>
      </w:pPr>
    </w:p>
    <w:p w14:paraId="4A9A1508" w14:textId="77777777" w:rsidR="00621634" w:rsidRPr="00621634" w:rsidRDefault="00621634" w:rsidP="00621634">
      <w:pPr>
        <w:spacing w:before="120" w:after="120"/>
        <w:jc w:val="both"/>
        <w:rPr>
          <w:rFonts w:ascii="Times New Roman" w:hAnsi="Times New Roman"/>
          <w:b/>
          <w:sz w:val="24"/>
          <w:szCs w:val="24"/>
        </w:rPr>
      </w:pPr>
      <w:r w:rsidRPr="00621634">
        <w:rPr>
          <w:rFonts w:ascii="Times New Roman" w:hAnsi="Times New Roman"/>
          <w:b/>
          <w:sz w:val="24"/>
          <w:szCs w:val="24"/>
        </w:rPr>
        <w:t>Overview of the Legislative Instrument</w:t>
      </w:r>
    </w:p>
    <w:p w14:paraId="1425AFD9" w14:textId="77777777" w:rsidR="00621634" w:rsidRPr="00621634" w:rsidRDefault="00621634" w:rsidP="00621634">
      <w:pPr>
        <w:rPr>
          <w:rFonts w:ascii="Times New Roman" w:hAnsi="Times New Roman"/>
          <w:sz w:val="24"/>
          <w:szCs w:val="24"/>
        </w:rPr>
      </w:pPr>
      <w:bookmarkStart w:id="0" w:name="_GoBack"/>
      <w:r w:rsidRPr="00621634">
        <w:rPr>
          <w:rFonts w:ascii="Times New Roman" w:hAnsi="Times New Roman"/>
          <w:sz w:val="24"/>
          <w:szCs w:val="24"/>
        </w:rPr>
        <w:t xml:space="preserve">The </w:t>
      </w:r>
      <w:r w:rsidRPr="00621634">
        <w:rPr>
          <w:rFonts w:ascii="Times New Roman" w:hAnsi="Times New Roman"/>
          <w:i/>
          <w:sz w:val="24"/>
        </w:rPr>
        <w:t>Greenhouse and Energy Minimum Standards (Exemption) Instrument (No.</w:t>
      </w:r>
      <w:r w:rsidR="00711CAF">
        <w:rPr>
          <w:rFonts w:ascii="Times New Roman" w:hAnsi="Times New Roman"/>
          <w:i/>
          <w:sz w:val="24"/>
        </w:rPr>
        <w:t xml:space="preserve"> 2</w:t>
      </w:r>
      <w:r w:rsidRPr="00621634">
        <w:rPr>
          <w:rFonts w:ascii="Times New Roman" w:hAnsi="Times New Roman"/>
          <w:i/>
          <w:sz w:val="24"/>
        </w:rPr>
        <w:t>) 20</w:t>
      </w:r>
      <w:r w:rsidR="0040043B">
        <w:rPr>
          <w:rFonts w:ascii="Times New Roman" w:hAnsi="Times New Roman"/>
          <w:i/>
          <w:sz w:val="24"/>
        </w:rPr>
        <w:t>20</w:t>
      </w:r>
      <w:r w:rsidRPr="00621634">
        <w:rPr>
          <w:rFonts w:ascii="Times New Roman" w:hAnsi="Times New Roman"/>
          <w:i/>
          <w:sz w:val="24"/>
        </w:rPr>
        <w:t xml:space="preserve"> </w:t>
      </w:r>
      <w:r w:rsidRPr="00621634">
        <w:rPr>
          <w:rFonts w:ascii="Times New Roman" w:hAnsi="Times New Roman"/>
          <w:sz w:val="24"/>
          <w:szCs w:val="24"/>
        </w:rPr>
        <w:t xml:space="preserve">specifies models of </w:t>
      </w:r>
      <w:r w:rsidR="00051DF8">
        <w:rPr>
          <w:rFonts w:ascii="Times New Roman" w:hAnsi="Times New Roman"/>
          <w:sz w:val="24"/>
          <w:szCs w:val="24"/>
        </w:rPr>
        <w:t>Greenhouse and Energy Minimum Standards (</w:t>
      </w:r>
      <w:r w:rsidRPr="00621634">
        <w:rPr>
          <w:rFonts w:ascii="Times New Roman" w:hAnsi="Times New Roman"/>
          <w:sz w:val="24"/>
          <w:szCs w:val="24"/>
        </w:rPr>
        <w:t>GEMS</w:t>
      </w:r>
      <w:r w:rsidR="00051DF8">
        <w:rPr>
          <w:rFonts w:ascii="Times New Roman" w:hAnsi="Times New Roman"/>
          <w:sz w:val="24"/>
          <w:szCs w:val="24"/>
        </w:rPr>
        <w:t>)</w:t>
      </w:r>
      <w:r w:rsidRPr="00621634">
        <w:rPr>
          <w:rFonts w:ascii="Times New Roman" w:hAnsi="Times New Roman"/>
          <w:sz w:val="24"/>
          <w:szCs w:val="24"/>
        </w:rPr>
        <w:t xml:space="preserve"> products that the GEMS Regulator has exempted from the </w:t>
      </w:r>
      <w:r w:rsidRPr="00621634">
        <w:rPr>
          <w:rFonts w:ascii="Times New Roman" w:hAnsi="Times New Roman"/>
          <w:sz w:val="24"/>
          <w:szCs w:val="24"/>
          <w:lang w:eastAsia="en-AU"/>
        </w:rPr>
        <w:t xml:space="preserve">requirements of </w:t>
      </w:r>
      <w:r w:rsidR="0040043B">
        <w:rPr>
          <w:rFonts w:ascii="Times New Roman" w:hAnsi="Times New Roman"/>
          <w:sz w:val="24"/>
          <w:szCs w:val="24"/>
          <w:lang w:eastAsia="en-AU"/>
        </w:rPr>
        <w:t xml:space="preserve">Schedule </w:t>
      </w:r>
      <w:r w:rsidR="00711CAF">
        <w:rPr>
          <w:rFonts w:ascii="Times New Roman" w:hAnsi="Times New Roman"/>
          <w:sz w:val="24"/>
          <w:szCs w:val="24"/>
          <w:lang w:eastAsia="en-AU"/>
        </w:rPr>
        <w:t>2</w:t>
      </w:r>
      <w:r w:rsidRPr="00621634">
        <w:rPr>
          <w:rFonts w:ascii="Times New Roman" w:hAnsi="Times New Roman"/>
          <w:sz w:val="24"/>
          <w:szCs w:val="24"/>
          <w:lang w:eastAsia="en-AU"/>
        </w:rPr>
        <w:t xml:space="preserve"> of the </w:t>
      </w:r>
      <w:r w:rsidRPr="00621634">
        <w:rPr>
          <w:rFonts w:ascii="Times New Roman" w:hAnsi="Times New Roman"/>
          <w:i/>
          <w:sz w:val="24"/>
          <w:szCs w:val="24"/>
        </w:rPr>
        <w:t>Greenhouse and Energy Minimum Standards (</w:t>
      </w:r>
      <w:r>
        <w:rPr>
          <w:rFonts w:ascii="Times New Roman" w:hAnsi="Times New Roman"/>
          <w:i/>
          <w:sz w:val="24"/>
        </w:rPr>
        <w:t xml:space="preserve">Air Conditioners </w:t>
      </w:r>
      <w:r w:rsidR="0040043B">
        <w:rPr>
          <w:rFonts w:ascii="Times New Roman" w:hAnsi="Times New Roman"/>
          <w:i/>
          <w:sz w:val="24"/>
        </w:rPr>
        <w:t>up to 65kW</w:t>
      </w:r>
      <w:r w:rsidRPr="00621634">
        <w:rPr>
          <w:rFonts w:ascii="Times New Roman" w:hAnsi="Times New Roman"/>
          <w:i/>
          <w:sz w:val="24"/>
        </w:rPr>
        <w:t>)</w:t>
      </w:r>
      <w:r w:rsidRPr="00621634">
        <w:rPr>
          <w:rFonts w:ascii="Times New Roman" w:hAnsi="Times New Roman"/>
          <w:i/>
          <w:sz w:val="24"/>
          <w:szCs w:val="24"/>
        </w:rPr>
        <w:t xml:space="preserve"> Determination 201</w:t>
      </w:r>
      <w:r w:rsidR="0040043B">
        <w:rPr>
          <w:rFonts w:ascii="Times New Roman" w:hAnsi="Times New Roman"/>
          <w:i/>
          <w:sz w:val="24"/>
          <w:szCs w:val="24"/>
        </w:rPr>
        <w:t>9</w:t>
      </w:r>
      <w:r w:rsidRPr="00621634">
        <w:rPr>
          <w:rFonts w:ascii="Times New Roman" w:hAnsi="Times New Roman"/>
          <w:sz w:val="24"/>
          <w:szCs w:val="24"/>
        </w:rPr>
        <w:t>.</w:t>
      </w:r>
    </w:p>
    <w:bookmarkEnd w:id="0"/>
    <w:p w14:paraId="04D7C671" w14:textId="77777777" w:rsidR="00621634" w:rsidRPr="00621634" w:rsidRDefault="00621634" w:rsidP="00621634">
      <w:pPr>
        <w:spacing w:before="120" w:after="120"/>
        <w:rPr>
          <w:rFonts w:ascii="Times New Roman" w:hAnsi="Times New Roman"/>
          <w:b/>
          <w:sz w:val="24"/>
          <w:szCs w:val="24"/>
        </w:rPr>
      </w:pPr>
      <w:r w:rsidRPr="00621634">
        <w:rPr>
          <w:rFonts w:ascii="Times New Roman" w:hAnsi="Times New Roman"/>
          <w:b/>
          <w:sz w:val="24"/>
          <w:szCs w:val="24"/>
        </w:rPr>
        <w:t>Human rights implications</w:t>
      </w:r>
    </w:p>
    <w:p w14:paraId="64E48FC6" w14:textId="77777777" w:rsidR="00621634" w:rsidRPr="00621634" w:rsidRDefault="00621634" w:rsidP="00621634">
      <w:pPr>
        <w:spacing w:before="120" w:after="120"/>
        <w:rPr>
          <w:rFonts w:ascii="Times New Roman" w:hAnsi="Times New Roman"/>
          <w:sz w:val="24"/>
          <w:szCs w:val="24"/>
        </w:rPr>
      </w:pPr>
      <w:r w:rsidRPr="00621634">
        <w:rPr>
          <w:rFonts w:ascii="Times New Roman" w:hAnsi="Times New Roman"/>
          <w:sz w:val="24"/>
          <w:szCs w:val="24"/>
        </w:rPr>
        <w:t>This Legislative Instrument does not engage any of the applicable rights or freedoms.</w:t>
      </w:r>
    </w:p>
    <w:p w14:paraId="2F6C9E02" w14:textId="77777777" w:rsidR="00621634" w:rsidRPr="00621634" w:rsidRDefault="00621634" w:rsidP="00621634">
      <w:pPr>
        <w:spacing w:before="120" w:after="120"/>
        <w:rPr>
          <w:rFonts w:ascii="Times New Roman" w:hAnsi="Times New Roman"/>
          <w:b/>
          <w:sz w:val="24"/>
          <w:szCs w:val="24"/>
        </w:rPr>
      </w:pPr>
      <w:r w:rsidRPr="00621634">
        <w:rPr>
          <w:rFonts w:ascii="Times New Roman" w:hAnsi="Times New Roman"/>
          <w:b/>
          <w:sz w:val="24"/>
          <w:szCs w:val="24"/>
        </w:rPr>
        <w:t>Conclusion</w:t>
      </w:r>
    </w:p>
    <w:p w14:paraId="74F68EF6" w14:textId="77777777" w:rsidR="00621634" w:rsidRDefault="00621634" w:rsidP="00621634">
      <w:pPr>
        <w:autoSpaceDE w:val="0"/>
        <w:autoSpaceDN w:val="0"/>
        <w:adjustRightInd w:val="0"/>
        <w:spacing w:after="240" w:line="240" w:lineRule="auto"/>
        <w:rPr>
          <w:rFonts w:ascii="Times New Roman" w:hAnsi="Times New Roman"/>
          <w:sz w:val="24"/>
          <w:szCs w:val="24"/>
        </w:rPr>
      </w:pPr>
      <w:r w:rsidRPr="00621634">
        <w:rPr>
          <w:rFonts w:ascii="Times New Roman" w:hAnsi="Times New Roman"/>
          <w:sz w:val="24"/>
          <w:szCs w:val="24"/>
        </w:rPr>
        <w:t>This Legislative Instrument is compatible with human rights as it does not raise any human rights issues.</w:t>
      </w:r>
    </w:p>
    <w:p w14:paraId="31D76436" w14:textId="77777777" w:rsidR="00051DF8" w:rsidRPr="00621634" w:rsidRDefault="00051DF8" w:rsidP="00621634">
      <w:pPr>
        <w:autoSpaceDE w:val="0"/>
        <w:autoSpaceDN w:val="0"/>
        <w:adjustRightInd w:val="0"/>
        <w:spacing w:after="240" w:line="240" w:lineRule="auto"/>
        <w:rPr>
          <w:rFonts w:ascii="Times New Roman" w:hAnsi="Times New Roman"/>
          <w:sz w:val="24"/>
          <w:szCs w:val="24"/>
        </w:rPr>
      </w:pPr>
    </w:p>
    <w:p w14:paraId="2F2C3460" w14:textId="77777777" w:rsidR="00621634" w:rsidRDefault="007F61BB" w:rsidP="00051DF8">
      <w:pPr>
        <w:pStyle w:val="NormalWeb"/>
        <w:jc w:val="center"/>
        <w:rPr>
          <w:b/>
        </w:rPr>
      </w:pPr>
      <w:r>
        <w:rPr>
          <w:b/>
        </w:rPr>
        <w:t>Shane Gaddes</w:t>
      </w:r>
    </w:p>
    <w:p w14:paraId="4DE208A9" w14:textId="77777777" w:rsidR="00B102F0" w:rsidRPr="00B102F0" w:rsidRDefault="00B102F0" w:rsidP="00051DF8">
      <w:pPr>
        <w:pStyle w:val="NormalWeb"/>
        <w:jc w:val="center"/>
        <w:rPr>
          <w:b/>
        </w:rPr>
      </w:pPr>
      <w:r w:rsidRPr="00B102F0">
        <w:rPr>
          <w:b/>
          <w:szCs w:val="22"/>
        </w:rPr>
        <w:t>GEMS Regulator</w:t>
      </w:r>
    </w:p>
    <w:p w14:paraId="737327AA" w14:textId="77777777" w:rsidR="00051DF8" w:rsidRPr="00051DF8" w:rsidRDefault="00051DF8" w:rsidP="00051DF8">
      <w:pPr>
        <w:pStyle w:val="NormalWeb"/>
        <w:jc w:val="center"/>
        <w:rPr>
          <w:b/>
        </w:rPr>
      </w:pPr>
    </w:p>
    <w:sectPr w:rsidR="00051DF8" w:rsidRPr="00051DF8" w:rsidSect="00FA4CF0">
      <w:headerReference w:type="even" r:id="rId12"/>
      <w:footerReference w:type="default" r:id="rId13"/>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DDA34" w14:textId="77777777" w:rsidR="000A1C89" w:rsidRDefault="000A1C89" w:rsidP="00A60185">
      <w:pPr>
        <w:spacing w:after="0" w:line="240" w:lineRule="auto"/>
      </w:pPr>
      <w:r>
        <w:separator/>
      </w:r>
    </w:p>
  </w:endnote>
  <w:endnote w:type="continuationSeparator" w:id="0">
    <w:p w14:paraId="55B9D0A2" w14:textId="77777777" w:rsidR="000A1C89" w:rsidRDefault="000A1C89"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42C974AE" w14:textId="77777777" w:rsidR="00100BEF" w:rsidRDefault="00FC62B3">
        <w:pPr>
          <w:pStyle w:val="Footer"/>
          <w:jc w:val="center"/>
        </w:pPr>
        <w:r>
          <w:rPr>
            <w:noProof/>
          </w:rPr>
          <w:fldChar w:fldCharType="begin"/>
        </w:r>
        <w:r>
          <w:rPr>
            <w:noProof/>
          </w:rPr>
          <w:instrText xml:space="preserve"> PAGE   \* MERGEFORMAT </w:instrText>
        </w:r>
        <w:r>
          <w:rPr>
            <w:noProof/>
          </w:rPr>
          <w:fldChar w:fldCharType="separate"/>
        </w:r>
        <w:r w:rsidR="00B65AF1">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2BD9A" w14:textId="77777777" w:rsidR="000A1C89" w:rsidRDefault="000A1C89" w:rsidP="00A60185">
      <w:pPr>
        <w:spacing w:after="0" w:line="240" w:lineRule="auto"/>
      </w:pPr>
      <w:r>
        <w:separator/>
      </w:r>
    </w:p>
  </w:footnote>
  <w:footnote w:type="continuationSeparator" w:id="0">
    <w:p w14:paraId="6DFD34D3" w14:textId="77777777" w:rsidR="000A1C89" w:rsidRDefault="000A1C89"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F0AE0" w14:textId="77777777" w:rsidR="00100BEF" w:rsidRDefault="00CF009A" w:rsidP="00E45765">
    <w:pPr>
      <w:pStyle w:val="Classification"/>
    </w:pPr>
    <w:r>
      <w:fldChar w:fldCharType="begin"/>
    </w:r>
    <w:r>
      <w:instrText xml:space="preserve"> DOCPROPERTY SecurityClassification \* MERGEFORMAT </w:instrText>
    </w:r>
    <w:r>
      <w:fldChar w:fldCharType="separate"/>
    </w:r>
    <w:r w:rsidR="008952B8">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91970"/>
    <w:multiLevelType w:val="multilevel"/>
    <w:tmpl w:val="E898CC72"/>
    <w:numStyleLink w:val="KeyPoints"/>
  </w:abstractNum>
  <w:abstractNum w:abstractNumId="18" w15:restartNumberingAfterBreak="0">
    <w:nsid w:val="1F745BC2"/>
    <w:multiLevelType w:val="multilevel"/>
    <w:tmpl w:val="E5E89F92"/>
    <w:numStyleLink w:val="BulletList"/>
  </w:abstractNum>
  <w:abstractNum w:abstractNumId="19" w15:restartNumberingAfterBreak="0">
    <w:nsid w:val="29253B4A"/>
    <w:multiLevelType w:val="multilevel"/>
    <w:tmpl w:val="E898CC72"/>
    <w:numStyleLink w:val="KeyPoints"/>
  </w:abstractNum>
  <w:abstractNum w:abstractNumId="20" w15:restartNumberingAfterBreak="0">
    <w:nsid w:val="2C1B4F6C"/>
    <w:multiLevelType w:val="multilevel"/>
    <w:tmpl w:val="E898CC72"/>
    <w:numStyleLink w:val="KeyPoints"/>
  </w:abstractNum>
  <w:abstractNum w:abstractNumId="21"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816F9C"/>
    <w:multiLevelType w:val="multilevel"/>
    <w:tmpl w:val="E5E89F92"/>
    <w:numStyleLink w:val="BulletList"/>
  </w:abstractNum>
  <w:abstractNum w:abstractNumId="25" w15:restartNumberingAfterBreak="0">
    <w:nsid w:val="3B351B82"/>
    <w:multiLevelType w:val="multilevel"/>
    <w:tmpl w:val="E5E89F92"/>
    <w:numStyleLink w:val="BulletList"/>
  </w:abstractNum>
  <w:abstractNum w:abstractNumId="26" w15:restartNumberingAfterBreak="0">
    <w:nsid w:val="41146A9C"/>
    <w:multiLevelType w:val="hybridMultilevel"/>
    <w:tmpl w:val="FFA86E22"/>
    <w:lvl w:ilvl="0" w:tplc="68A4EF94">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B871CF"/>
    <w:multiLevelType w:val="multilevel"/>
    <w:tmpl w:val="E5E89F92"/>
    <w:numStyleLink w:val="BulletList"/>
  </w:abstractNum>
  <w:abstractNum w:abstractNumId="28" w15:restartNumberingAfterBreak="0">
    <w:nsid w:val="49016841"/>
    <w:multiLevelType w:val="multilevel"/>
    <w:tmpl w:val="E5E89F92"/>
    <w:numStyleLink w:val="BulletList"/>
  </w:abstractNum>
  <w:abstractNum w:abstractNumId="29" w15:restartNumberingAfterBreak="0">
    <w:nsid w:val="4DEA626B"/>
    <w:multiLevelType w:val="hybridMultilevel"/>
    <w:tmpl w:val="02025C4E"/>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51A44175"/>
    <w:multiLevelType w:val="multilevel"/>
    <w:tmpl w:val="E5E89F92"/>
    <w:numStyleLink w:val="BulletList"/>
  </w:abstractNum>
  <w:abstractNum w:abstractNumId="31" w15:restartNumberingAfterBreak="0">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DE1B75"/>
    <w:multiLevelType w:val="hybridMultilevel"/>
    <w:tmpl w:val="47D8B2AC"/>
    <w:lvl w:ilvl="0" w:tplc="2DB28E22">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5456429"/>
    <w:multiLevelType w:val="multilevel"/>
    <w:tmpl w:val="E898CC72"/>
    <w:numStyleLink w:val="KeyPoints"/>
  </w:abstractNum>
  <w:abstractNum w:abstractNumId="34" w15:restartNumberingAfterBreak="0">
    <w:nsid w:val="672E0C2A"/>
    <w:multiLevelType w:val="multilevel"/>
    <w:tmpl w:val="E5E89F92"/>
    <w:numStyleLink w:val="BulletList"/>
  </w:abstractNum>
  <w:abstractNum w:abstractNumId="35"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823B13"/>
    <w:multiLevelType w:val="multilevel"/>
    <w:tmpl w:val="E5E89F92"/>
    <w:numStyleLink w:val="BulletList"/>
  </w:abstractNum>
  <w:abstractNum w:abstractNumId="38" w15:restartNumberingAfterBreak="0">
    <w:nsid w:val="6DF2198A"/>
    <w:multiLevelType w:val="multilevel"/>
    <w:tmpl w:val="E5E89F92"/>
    <w:numStyleLink w:val="BulletList"/>
  </w:abstractNum>
  <w:abstractNum w:abstractNumId="39" w15:restartNumberingAfterBreak="0">
    <w:nsid w:val="6F032444"/>
    <w:multiLevelType w:val="multilevel"/>
    <w:tmpl w:val="E5E89F92"/>
    <w:numStyleLink w:val="BulletList"/>
  </w:abstractNum>
  <w:abstractNum w:abstractNumId="40" w15:restartNumberingAfterBreak="0">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C700E0"/>
    <w:multiLevelType w:val="multilevel"/>
    <w:tmpl w:val="E898CC72"/>
    <w:numStyleLink w:val="KeyPoints"/>
  </w:abstractNum>
  <w:abstractNum w:abstractNumId="43"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4" w15:restartNumberingAfterBreak="0">
    <w:nsid w:val="788260C9"/>
    <w:multiLevelType w:val="multilevel"/>
    <w:tmpl w:val="E898CC72"/>
    <w:numStyleLink w:val="KeyPoints"/>
  </w:abstractNum>
  <w:abstractNum w:abstractNumId="45"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3708B3"/>
    <w:multiLevelType w:val="multilevel"/>
    <w:tmpl w:val="E5E89F92"/>
    <w:numStyleLink w:val="BulletList"/>
  </w:abstractNum>
  <w:num w:numId="1">
    <w:abstractNumId w:val="43"/>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7"/>
  </w:num>
  <w:num w:numId="5">
    <w:abstractNumId w:val="40"/>
  </w:num>
  <w:num w:numId="6">
    <w:abstractNumId w:val="41"/>
  </w:num>
  <w:num w:numId="7">
    <w:abstractNumId w:val="36"/>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5"/>
  </w:num>
  <w:num w:numId="17">
    <w:abstractNumId w:val="12"/>
  </w:num>
  <w:num w:numId="18">
    <w:abstractNumId w:val="34"/>
  </w:num>
  <w:num w:numId="19">
    <w:abstractNumId w:val="11"/>
  </w:num>
  <w:num w:numId="20">
    <w:abstractNumId w:val="20"/>
  </w:num>
  <w:num w:numId="21">
    <w:abstractNumId w:val="14"/>
  </w:num>
  <w:num w:numId="22">
    <w:abstractNumId w:val="19"/>
  </w:num>
  <w:num w:numId="23">
    <w:abstractNumId w:val="28"/>
  </w:num>
  <w:num w:numId="24">
    <w:abstractNumId w:val="39"/>
  </w:num>
  <w:num w:numId="25">
    <w:abstractNumId w:val="35"/>
  </w:num>
  <w:num w:numId="26">
    <w:abstractNumId w:val="25"/>
  </w:num>
  <w:num w:numId="27">
    <w:abstractNumId w:val="42"/>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8"/>
  </w:num>
  <w:num w:numId="32">
    <w:abstractNumId w:val="35"/>
  </w:num>
  <w:num w:numId="33">
    <w:abstractNumId w:val="30"/>
  </w:num>
  <w:num w:numId="34">
    <w:abstractNumId w:val="17"/>
  </w:num>
  <w:num w:numId="35">
    <w:abstractNumId w:val="31"/>
  </w:num>
  <w:num w:numId="36">
    <w:abstractNumId w:val="46"/>
  </w:num>
  <w:num w:numId="37">
    <w:abstractNumId w:val="46"/>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4"/>
  </w:num>
  <w:num w:numId="45">
    <w:abstractNumId w:val="37"/>
  </w:num>
  <w:num w:numId="46">
    <w:abstractNumId w:val="47"/>
  </w:num>
  <w:num w:numId="47">
    <w:abstractNumId w:val="33"/>
  </w:num>
  <w:num w:numId="48">
    <w:abstractNumId w:val="18"/>
  </w:num>
  <w:num w:numId="49">
    <w:abstractNumId w:val="29"/>
  </w:num>
  <w:num w:numId="50">
    <w:abstractNumId w:val="26"/>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9E308D"/>
    <w:rsid w:val="00004060"/>
    <w:rsid w:val="00004AEE"/>
    <w:rsid w:val="00005CAA"/>
    <w:rsid w:val="00007944"/>
    <w:rsid w:val="00010210"/>
    <w:rsid w:val="000122BB"/>
    <w:rsid w:val="00012D66"/>
    <w:rsid w:val="00013EB6"/>
    <w:rsid w:val="00015ADA"/>
    <w:rsid w:val="00020C99"/>
    <w:rsid w:val="00021306"/>
    <w:rsid w:val="0002707B"/>
    <w:rsid w:val="00044DAA"/>
    <w:rsid w:val="0005148E"/>
    <w:rsid w:val="00051DF8"/>
    <w:rsid w:val="00072C5A"/>
    <w:rsid w:val="000759E5"/>
    <w:rsid w:val="00077A37"/>
    <w:rsid w:val="00084653"/>
    <w:rsid w:val="00084AC6"/>
    <w:rsid w:val="000876AD"/>
    <w:rsid w:val="00091608"/>
    <w:rsid w:val="0009333C"/>
    <w:rsid w:val="0009704F"/>
    <w:rsid w:val="000A0F11"/>
    <w:rsid w:val="000A125A"/>
    <w:rsid w:val="000A1C89"/>
    <w:rsid w:val="000A57CD"/>
    <w:rsid w:val="000B3758"/>
    <w:rsid w:val="000B7681"/>
    <w:rsid w:val="000B7B42"/>
    <w:rsid w:val="000C02B7"/>
    <w:rsid w:val="000C5100"/>
    <w:rsid w:val="000C5342"/>
    <w:rsid w:val="000C706A"/>
    <w:rsid w:val="000D2887"/>
    <w:rsid w:val="000D5597"/>
    <w:rsid w:val="000D6D63"/>
    <w:rsid w:val="000E0081"/>
    <w:rsid w:val="000E07CF"/>
    <w:rsid w:val="000E31C1"/>
    <w:rsid w:val="000F2CF2"/>
    <w:rsid w:val="000F374A"/>
    <w:rsid w:val="00100BEF"/>
    <w:rsid w:val="00111326"/>
    <w:rsid w:val="00111ADA"/>
    <w:rsid w:val="0011498E"/>
    <w:rsid w:val="00117A45"/>
    <w:rsid w:val="001224AE"/>
    <w:rsid w:val="001225D4"/>
    <w:rsid w:val="0013309A"/>
    <w:rsid w:val="001337D4"/>
    <w:rsid w:val="00147C12"/>
    <w:rsid w:val="001527A1"/>
    <w:rsid w:val="001530DC"/>
    <w:rsid w:val="00154989"/>
    <w:rsid w:val="00155A9F"/>
    <w:rsid w:val="00157BD6"/>
    <w:rsid w:val="00160262"/>
    <w:rsid w:val="0016780A"/>
    <w:rsid w:val="001713FA"/>
    <w:rsid w:val="00173EBF"/>
    <w:rsid w:val="00175ED3"/>
    <w:rsid w:val="001842A2"/>
    <w:rsid w:val="00185D97"/>
    <w:rsid w:val="00187FA8"/>
    <w:rsid w:val="00190BD5"/>
    <w:rsid w:val="00192F5E"/>
    <w:rsid w:val="001968CC"/>
    <w:rsid w:val="00197772"/>
    <w:rsid w:val="001A13D2"/>
    <w:rsid w:val="001A51C8"/>
    <w:rsid w:val="001B4CA8"/>
    <w:rsid w:val="001B5EA1"/>
    <w:rsid w:val="001C4F3D"/>
    <w:rsid w:val="001D0CDC"/>
    <w:rsid w:val="001D1D82"/>
    <w:rsid w:val="001D4A69"/>
    <w:rsid w:val="001D5663"/>
    <w:rsid w:val="001E1182"/>
    <w:rsid w:val="00202C90"/>
    <w:rsid w:val="00203285"/>
    <w:rsid w:val="00213DE8"/>
    <w:rsid w:val="00216118"/>
    <w:rsid w:val="0022060B"/>
    <w:rsid w:val="002209AB"/>
    <w:rsid w:val="002251E3"/>
    <w:rsid w:val="00227A95"/>
    <w:rsid w:val="002316BD"/>
    <w:rsid w:val="002473FC"/>
    <w:rsid w:val="00252A91"/>
    <w:rsid w:val="00252E3C"/>
    <w:rsid w:val="00253614"/>
    <w:rsid w:val="00262198"/>
    <w:rsid w:val="00267B7D"/>
    <w:rsid w:val="002807AB"/>
    <w:rsid w:val="00285F1B"/>
    <w:rsid w:val="002863C4"/>
    <w:rsid w:val="00292B81"/>
    <w:rsid w:val="002A75C5"/>
    <w:rsid w:val="002B08FD"/>
    <w:rsid w:val="002B18AE"/>
    <w:rsid w:val="002B1E2C"/>
    <w:rsid w:val="002C1AB6"/>
    <w:rsid w:val="002C1C93"/>
    <w:rsid w:val="002C2CC2"/>
    <w:rsid w:val="002C3511"/>
    <w:rsid w:val="002C3CC5"/>
    <w:rsid w:val="002C5066"/>
    <w:rsid w:val="002C5813"/>
    <w:rsid w:val="002D0BC9"/>
    <w:rsid w:val="002D25DF"/>
    <w:rsid w:val="002D4AAC"/>
    <w:rsid w:val="002F045A"/>
    <w:rsid w:val="002F28B0"/>
    <w:rsid w:val="0030039D"/>
    <w:rsid w:val="0030326F"/>
    <w:rsid w:val="00310701"/>
    <w:rsid w:val="00310860"/>
    <w:rsid w:val="00315980"/>
    <w:rsid w:val="00316F7F"/>
    <w:rsid w:val="00320DF4"/>
    <w:rsid w:val="003218E8"/>
    <w:rsid w:val="00323CBF"/>
    <w:rsid w:val="00325E34"/>
    <w:rsid w:val="00330DCE"/>
    <w:rsid w:val="00331E11"/>
    <w:rsid w:val="003323A4"/>
    <w:rsid w:val="00334761"/>
    <w:rsid w:val="00337EBC"/>
    <w:rsid w:val="00341DCD"/>
    <w:rsid w:val="00342306"/>
    <w:rsid w:val="00344F0C"/>
    <w:rsid w:val="0034563E"/>
    <w:rsid w:val="003518D6"/>
    <w:rsid w:val="0035460C"/>
    <w:rsid w:val="003556BD"/>
    <w:rsid w:val="00365147"/>
    <w:rsid w:val="0037016E"/>
    <w:rsid w:val="00372908"/>
    <w:rsid w:val="00383020"/>
    <w:rsid w:val="00394D7E"/>
    <w:rsid w:val="003975FD"/>
    <w:rsid w:val="003A12A0"/>
    <w:rsid w:val="003A7B65"/>
    <w:rsid w:val="003B057D"/>
    <w:rsid w:val="003B3415"/>
    <w:rsid w:val="003B60A2"/>
    <w:rsid w:val="003B60CC"/>
    <w:rsid w:val="003C1B25"/>
    <w:rsid w:val="003C2443"/>
    <w:rsid w:val="003C5DA3"/>
    <w:rsid w:val="003C5E6E"/>
    <w:rsid w:val="003D4BCD"/>
    <w:rsid w:val="003D6C2B"/>
    <w:rsid w:val="003E01D8"/>
    <w:rsid w:val="003E2100"/>
    <w:rsid w:val="003F6F5B"/>
    <w:rsid w:val="0040043B"/>
    <w:rsid w:val="0040342D"/>
    <w:rsid w:val="0041192D"/>
    <w:rsid w:val="00413EE1"/>
    <w:rsid w:val="0042128E"/>
    <w:rsid w:val="00426AD3"/>
    <w:rsid w:val="00432B60"/>
    <w:rsid w:val="004351B3"/>
    <w:rsid w:val="00440698"/>
    <w:rsid w:val="004540E2"/>
    <w:rsid w:val="00454454"/>
    <w:rsid w:val="00467924"/>
    <w:rsid w:val="004712A5"/>
    <w:rsid w:val="0047266F"/>
    <w:rsid w:val="00476D6B"/>
    <w:rsid w:val="00481537"/>
    <w:rsid w:val="004901C7"/>
    <w:rsid w:val="00492C16"/>
    <w:rsid w:val="004948FB"/>
    <w:rsid w:val="004A0678"/>
    <w:rsid w:val="004A068B"/>
    <w:rsid w:val="004A48A3"/>
    <w:rsid w:val="004B0D92"/>
    <w:rsid w:val="004B0EC0"/>
    <w:rsid w:val="004B66F1"/>
    <w:rsid w:val="004C3EA0"/>
    <w:rsid w:val="004F7169"/>
    <w:rsid w:val="00500D66"/>
    <w:rsid w:val="00514C8E"/>
    <w:rsid w:val="005158F5"/>
    <w:rsid w:val="00521944"/>
    <w:rsid w:val="00522B0E"/>
    <w:rsid w:val="0052431C"/>
    <w:rsid w:val="00531DBF"/>
    <w:rsid w:val="005341A9"/>
    <w:rsid w:val="00545759"/>
    <w:rsid w:val="00545BE0"/>
    <w:rsid w:val="00546930"/>
    <w:rsid w:val="0055337B"/>
    <w:rsid w:val="00554C6A"/>
    <w:rsid w:val="00557845"/>
    <w:rsid w:val="00561A12"/>
    <w:rsid w:val="00562E85"/>
    <w:rsid w:val="0056332F"/>
    <w:rsid w:val="005719B3"/>
    <w:rsid w:val="0057295E"/>
    <w:rsid w:val="00581C39"/>
    <w:rsid w:val="005839D4"/>
    <w:rsid w:val="005903B6"/>
    <w:rsid w:val="00590448"/>
    <w:rsid w:val="00596F7A"/>
    <w:rsid w:val="005A0247"/>
    <w:rsid w:val="005A126E"/>
    <w:rsid w:val="005A452F"/>
    <w:rsid w:val="005A65AF"/>
    <w:rsid w:val="005B08C5"/>
    <w:rsid w:val="005B140D"/>
    <w:rsid w:val="005C1FEA"/>
    <w:rsid w:val="005C200F"/>
    <w:rsid w:val="005C3495"/>
    <w:rsid w:val="005E3DFC"/>
    <w:rsid w:val="005E479B"/>
    <w:rsid w:val="005E5942"/>
    <w:rsid w:val="005E598C"/>
    <w:rsid w:val="005E60AF"/>
    <w:rsid w:val="005F1DEA"/>
    <w:rsid w:val="005F66B2"/>
    <w:rsid w:val="00607FC9"/>
    <w:rsid w:val="00612DAF"/>
    <w:rsid w:val="00616189"/>
    <w:rsid w:val="00620D74"/>
    <w:rsid w:val="00621634"/>
    <w:rsid w:val="00622FE1"/>
    <w:rsid w:val="0062521C"/>
    <w:rsid w:val="0063004E"/>
    <w:rsid w:val="00630A2B"/>
    <w:rsid w:val="00632DC7"/>
    <w:rsid w:val="006357FB"/>
    <w:rsid w:val="006406FC"/>
    <w:rsid w:val="00640E57"/>
    <w:rsid w:val="00646122"/>
    <w:rsid w:val="00650BAD"/>
    <w:rsid w:val="00652611"/>
    <w:rsid w:val="00653E16"/>
    <w:rsid w:val="00657220"/>
    <w:rsid w:val="00657362"/>
    <w:rsid w:val="0066104B"/>
    <w:rsid w:val="006655EE"/>
    <w:rsid w:val="00667C10"/>
    <w:rsid w:val="00667EF4"/>
    <w:rsid w:val="00676FCA"/>
    <w:rsid w:val="00677177"/>
    <w:rsid w:val="0068612E"/>
    <w:rsid w:val="00687C92"/>
    <w:rsid w:val="00692184"/>
    <w:rsid w:val="0069534E"/>
    <w:rsid w:val="0069669C"/>
    <w:rsid w:val="006A1200"/>
    <w:rsid w:val="006A4F4E"/>
    <w:rsid w:val="006A5B17"/>
    <w:rsid w:val="006A6C23"/>
    <w:rsid w:val="006B14DB"/>
    <w:rsid w:val="006B21C4"/>
    <w:rsid w:val="006B4839"/>
    <w:rsid w:val="006B5C6A"/>
    <w:rsid w:val="006C1CAA"/>
    <w:rsid w:val="006C2376"/>
    <w:rsid w:val="006C3DDB"/>
    <w:rsid w:val="006C4A1A"/>
    <w:rsid w:val="006D0393"/>
    <w:rsid w:val="006D194E"/>
    <w:rsid w:val="006D1A83"/>
    <w:rsid w:val="006D7FC2"/>
    <w:rsid w:val="006E1CFE"/>
    <w:rsid w:val="006E46C2"/>
    <w:rsid w:val="006F0054"/>
    <w:rsid w:val="006F10C4"/>
    <w:rsid w:val="006F40E9"/>
    <w:rsid w:val="006F4DD2"/>
    <w:rsid w:val="006F5603"/>
    <w:rsid w:val="006F7B87"/>
    <w:rsid w:val="00701400"/>
    <w:rsid w:val="007037CF"/>
    <w:rsid w:val="00711CAF"/>
    <w:rsid w:val="007167C0"/>
    <w:rsid w:val="00720481"/>
    <w:rsid w:val="00722DE8"/>
    <w:rsid w:val="00726388"/>
    <w:rsid w:val="00733193"/>
    <w:rsid w:val="00744DDA"/>
    <w:rsid w:val="00745E03"/>
    <w:rsid w:val="0075732A"/>
    <w:rsid w:val="007600F8"/>
    <w:rsid w:val="00760262"/>
    <w:rsid w:val="0076310C"/>
    <w:rsid w:val="0076744F"/>
    <w:rsid w:val="00767BCE"/>
    <w:rsid w:val="00767EFC"/>
    <w:rsid w:val="007707DE"/>
    <w:rsid w:val="00770B5D"/>
    <w:rsid w:val="007752F1"/>
    <w:rsid w:val="007759F6"/>
    <w:rsid w:val="00776768"/>
    <w:rsid w:val="007815AF"/>
    <w:rsid w:val="0078187A"/>
    <w:rsid w:val="00794ED8"/>
    <w:rsid w:val="007A2573"/>
    <w:rsid w:val="007B106C"/>
    <w:rsid w:val="007B1A4E"/>
    <w:rsid w:val="007B3D05"/>
    <w:rsid w:val="007B5503"/>
    <w:rsid w:val="007B71D0"/>
    <w:rsid w:val="007C1384"/>
    <w:rsid w:val="007C1451"/>
    <w:rsid w:val="007C179C"/>
    <w:rsid w:val="007C6BB3"/>
    <w:rsid w:val="007D14B4"/>
    <w:rsid w:val="007D3AD7"/>
    <w:rsid w:val="007D3AEA"/>
    <w:rsid w:val="007E24F6"/>
    <w:rsid w:val="007F61BB"/>
    <w:rsid w:val="00800F64"/>
    <w:rsid w:val="00801050"/>
    <w:rsid w:val="00802F0B"/>
    <w:rsid w:val="00810A67"/>
    <w:rsid w:val="0083276A"/>
    <w:rsid w:val="00833CF7"/>
    <w:rsid w:val="00834CDE"/>
    <w:rsid w:val="0083678F"/>
    <w:rsid w:val="00837913"/>
    <w:rsid w:val="00842464"/>
    <w:rsid w:val="00845601"/>
    <w:rsid w:val="008526BC"/>
    <w:rsid w:val="00855C5C"/>
    <w:rsid w:val="008626DD"/>
    <w:rsid w:val="0086771B"/>
    <w:rsid w:val="008757BD"/>
    <w:rsid w:val="008804DD"/>
    <w:rsid w:val="00883F25"/>
    <w:rsid w:val="008952B8"/>
    <w:rsid w:val="008A3C96"/>
    <w:rsid w:val="008A7B30"/>
    <w:rsid w:val="008B4019"/>
    <w:rsid w:val="008B65C9"/>
    <w:rsid w:val="008C2D4A"/>
    <w:rsid w:val="008D1C53"/>
    <w:rsid w:val="008D3900"/>
    <w:rsid w:val="008D6E1D"/>
    <w:rsid w:val="008F243A"/>
    <w:rsid w:val="008F39B4"/>
    <w:rsid w:val="008F4162"/>
    <w:rsid w:val="008F5EBD"/>
    <w:rsid w:val="00903E02"/>
    <w:rsid w:val="00913175"/>
    <w:rsid w:val="00916EDB"/>
    <w:rsid w:val="00920861"/>
    <w:rsid w:val="00922B13"/>
    <w:rsid w:val="009242EF"/>
    <w:rsid w:val="009245C9"/>
    <w:rsid w:val="00925162"/>
    <w:rsid w:val="00932291"/>
    <w:rsid w:val="00932861"/>
    <w:rsid w:val="0093408E"/>
    <w:rsid w:val="0093637D"/>
    <w:rsid w:val="00952082"/>
    <w:rsid w:val="00952DDF"/>
    <w:rsid w:val="009610A3"/>
    <w:rsid w:val="00963B6A"/>
    <w:rsid w:val="00970950"/>
    <w:rsid w:val="0097121B"/>
    <w:rsid w:val="009812D4"/>
    <w:rsid w:val="009920D8"/>
    <w:rsid w:val="009952F5"/>
    <w:rsid w:val="009A10D2"/>
    <w:rsid w:val="009A1674"/>
    <w:rsid w:val="009A4611"/>
    <w:rsid w:val="009B38BE"/>
    <w:rsid w:val="009C3D0F"/>
    <w:rsid w:val="009E0743"/>
    <w:rsid w:val="009E1B19"/>
    <w:rsid w:val="009E308D"/>
    <w:rsid w:val="009F35E2"/>
    <w:rsid w:val="009F6557"/>
    <w:rsid w:val="009F65F9"/>
    <w:rsid w:val="009F68BA"/>
    <w:rsid w:val="00A06277"/>
    <w:rsid w:val="00A079DC"/>
    <w:rsid w:val="00A111C2"/>
    <w:rsid w:val="00A167BB"/>
    <w:rsid w:val="00A27865"/>
    <w:rsid w:val="00A338E7"/>
    <w:rsid w:val="00A35CAA"/>
    <w:rsid w:val="00A36E7F"/>
    <w:rsid w:val="00A41E65"/>
    <w:rsid w:val="00A43E0A"/>
    <w:rsid w:val="00A4694A"/>
    <w:rsid w:val="00A530C7"/>
    <w:rsid w:val="00A55F5B"/>
    <w:rsid w:val="00A5777D"/>
    <w:rsid w:val="00A60185"/>
    <w:rsid w:val="00A60868"/>
    <w:rsid w:val="00A661EA"/>
    <w:rsid w:val="00A830E5"/>
    <w:rsid w:val="00A85EB1"/>
    <w:rsid w:val="00A87135"/>
    <w:rsid w:val="00A9030A"/>
    <w:rsid w:val="00A93280"/>
    <w:rsid w:val="00A951EA"/>
    <w:rsid w:val="00A95BEF"/>
    <w:rsid w:val="00AA2548"/>
    <w:rsid w:val="00AA58C4"/>
    <w:rsid w:val="00AA7003"/>
    <w:rsid w:val="00AB11C8"/>
    <w:rsid w:val="00AB5E3E"/>
    <w:rsid w:val="00AC08A8"/>
    <w:rsid w:val="00AD0A88"/>
    <w:rsid w:val="00AD56C8"/>
    <w:rsid w:val="00AD58F2"/>
    <w:rsid w:val="00AD7895"/>
    <w:rsid w:val="00B0512A"/>
    <w:rsid w:val="00B0529F"/>
    <w:rsid w:val="00B102F0"/>
    <w:rsid w:val="00B1418B"/>
    <w:rsid w:val="00B21195"/>
    <w:rsid w:val="00B22654"/>
    <w:rsid w:val="00B24B22"/>
    <w:rsid w:val="00B25310"/>
    <w:rsid w:val="00B32F8F"/>
    <w:rsid w:val="00B3492A"/>
    <w:rsid w:val="00B45F88"/>
    <w:rsid w:val="00B54DE9"/>
    <w:rsid w:val="00B553EC"/>
    <w:rsid w:val="00B55E3F"/>
    <w:rsid w:val="00B63C1E"/>
    <w:rsid w:val="00B65AF1"/>
    <w:rsid w:val="00B85A65"/>
    <w:rsid w:val="00B9301A"/>
    <w:rsid w:val="00B93DD0"/>
    <w:rsid w:val="00B953F6"/>
    <w:rsid w:val="00B97732"/>
    <w:rsid w:val="00BA4472"/>
    <w:rsid w:val="00BA65A8"/>
    <w:rsid w:val="00BA6D19"/>
    <w:rsid w:val="00BA7461"/>
    <w:rsid w:val="00BA7DA9"/>
    <w:rsid w:val="00BB1ECA"/>
    <w:rsid w:val="00BB3F0A"/>
    <w:rsid w:val="00BB58CB"/>
    <w:rsid w:val="00BC4215"/>
    <w:rsid w:val="00BD1A6F"/>
    <w:rsid w:val="00BE6D3C"/>
    <w:rsid w:val="00BE7852"/>
    <w:rsid w:val="00BF6231"/>
    <w:rsid w:val="00BF7CEE"/>
    <w:rsid w:val="00C0102A"/>
    <w:rsid w:val="00C03880"/>
    <w:rsid w:val="00C135CF"/>
    <w:rsid w:val="00C1476E"/>
    <w:rsid w:val="00C14C55"/>
    <w:rsid w:val="00C20619"/>
    <w:rsid w:val="00C2683F"/>
    <w:rsid w:val="00C3184D"/>
    <w:rsid w:val="00C31DA4"/>
    <w:rsid w:val="00C45ED9"/>
    <w:rsid w:val="00C4714E"/>
    <w:rsid w:val="00C51444"/>
    <w:rsid w:val="00C51CCA"/>
    <w:rsid w:val="00C5504F"/>
    <w:rsid w:val="00C57B55"/>
    <w:rsid w:val="00C63376"/>
    <w:rsid w:val="00C74F97"/>
    <w:rsid w:val="00C75A70"/>
    <w:rsid w:val="00C8276E"/>
    <w:rsid w:val="00C842AC"/>
    <w:rsid w:val="00C96688"/>
    <w:rsid w:val="00CA0723"/>
    <w:rsid w:val="00CA12D8"/>
    <w:rsid w:val="00CB1690"/>
    <w:rsid w:val="00CB4207"/>
    <w:rsid w:val="00CC248F"/>
    <w:rsid w:val="00CC4365"/>
    <w:rsid w:val="00CD11B0"/>
    <w:rsid w:val="00CE3105"/>
    <w:rsid w:val="00CE4330"/>
    <w:rsid w:val="00CE71C2"/>
    <w:rsid w:val="00CF009A"/>
    <w:rsid w:val="00CF019A"/>
    <w:rsid w:val="00CF34E9"/>
    <w:rsid w:val="00CF42D5"/>
    <w:rsid w:val="00CF4EDA"/>
    <w:rsid w:val="00D021CB"/>
    <w:rsid w:val="00D10F1A"/>
    <w:rsid w:val="00D116F8"/>
    <w:rsid w:val="00D15A79"/>
    <w:rsid w:val="00D17596"/>
    <w:rsid w:val="00D21D54"/>
    <w:rsid w:val="00D22640"/>
    <w:rsid w:val="00D26D3A"/>
    <w:rsid w:val="00D41FF4"/>
    <w:rsid w:val="00D43944"/>
    <w:rsid w:val="00D45EE3"/>
    <w:rsid w:val="00D50618"/>
    <w:rsid w:val="00D509E9"/>
    <w:rsid w:val="00D53B1C"/>
    <w:rsid w:val="00D767A6"/>
    <w:rsid w:val="00DA1B12"/>
    <w:rsid w:val="00DA320F"/>
    <w:rsid w:val="00DA54C9"/>
    <w:rsid w:val="00DA6739"/>
    <w:rsid w:val="00DA6CAE"/>
    <w:rsid w:val="00DB1A9E"/>
    <w:rsid w:val="00DB2733"/>
    <w:rsid w:val="00DB285E"/>
    <w:rsid w:val="00DB31D6"/>
    <w:rsid w:val="00DB3D47"/>
    <w:rsid w:val="00DB4005"/>
    <w:rsid w:val="00DC34EB"/>
    <w:rsid w:val="00DD766A"/>
    <w:rsid w:val="00DF1E5B"/>
    <w:rsid w:val="00DF2275"/>
    <w:rsid w:val="00DF3F5E"/>
    <w:rsid w:val="00DF5653"/>
    <w:rsid w:val="00E01A91"/>
    <w:rsid w:val="00E0596E"/>
    <w:rsid w:val="00E06F66"/>
    <w:rsid w:val="00E1123A"/>
    <w:rsid w:val="00E33ABD"/>
    <w:rsid w:val="00E356E5"/>
    <w:rsid w:val="00E36DB3"/>
    <w:rsid w:val="00E36F81"/>
    <w:rsid w:val="00E44709"/>
    <w:rsid w:val="00E45765"/>
    <w:rsid w:val="00E5098C"/>
    <w:rsid w:val="00E531F5"/>
    <w:rsid w:val="00E562A9"/>
    <w:rsid w:val="00E60213"/>
    <w:rsid w:val="00E661B2"/>
    <w:rsid w:val="00E74B9F"/>
    <w:rsid w:val="00E74D29"/>
    <w:rsid w:val="00E83C74"/>
    <w:rsid w:val="00E83CEE"/>
    <w:rsid w:val="00E86878"/>
    <w:rsid w:val="00E91F18"/>
    <w:rsid w:val="00E9226D"/>
    <w:rsid w:val="00EA416C"/>
    <w:rsid w:val="00EA5941"/>
    <w:rsid w:val="00EB60CE"/>
    <w:rsid w:val="00EB7D53"/>
    <w:rsid w:val="00EC3014"/>
    <w:rsid w:val="00EE1E2D"/>
    <w:rsid w:val="00EE3146"/>
    <w:rsid w:val="00EF2BC3"/>
    <w:rsid w:val="00EF50BB"/>
    <w:rsid w:val="00EF53FF"/>
    <w:rsid w:val="00EF54BF"/>
    <w:rsid w:val="00EF74B1"/>
    <w:rsid w:val="00F00192"/>
    <w:rsid w:val="00F01DF6"/>
    <w:rsid w:val="00F0340D"/>
    <w:rsid w:val="00F059A6"/>
    <w:rsid w:val="00F23756"/>
    <w:rsid w:val="00F2523A"/>
    <w:rsid w:val="00F25CD4"/>
    <w:rsid w:val="00F25FFA"/>
    <w:rsid w:val="00F262F7"/>
    <w:rsid w:val="00F310D2"/>
    <w:rsid w:val="00F36F3D"/>
    <w:rsid w:val="00F40279"/>
    <w:rsid w:val="00F406C4"/>
    <w:rsid w:val="00F477BD"/>
    <w:rsid w:val="00F53491"/>
    <w:rsid w:val="00F55451"/>
    <w:rsid w:val="00F65A1C"/>
    <w:rsid w:val="00F66F50"/>
    <w:rsid w:val="00F8018D"/>
    <w:rsid w:val="00F82FF8"/>
    <w:rsid w:val="00F8330D"/>
    <w:rsid w:val="00F84305"/>
    <w:rsid w:val="00F8485C"/>
    <w:rsid w:val="00F87149"/>
    <w:rsid w:val="00F87FFE"/>
    <w:rsid w:val="00F90280"/>
    <w:rsid w:val="00F954C9"/>
    <w:rsid w:val="00FA437C"/>
    <w:rsid w:val="00FA4CF0"/>
    <w:rsid w:val="00FA57BD"/>
    <w:rsid w:val="00FA61AA"/>
    <w:rsid w:val="00FA69A4"/>
    <w:rsid w:val="00FB1279"/>
    <w:rsid w:val="00FB1495"/>
    <w:rsid w:val="00FC43DD"/>
    <w:rsid w:val="00FC62B3"/>
    <w:rsid w:val="00FD1694"/>
    <w:rsid w:val="00FD2D0A"/>
    <w:rsid w:val="00FD7636"/>
    <w:rsid w:val="00FE3229"/>
    <w:rsid w:val="00FE3D37"/>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46C6"/>
  <w15:chartTrackingRefBased/>
  <w15:docId w15:val="{3D63F48D-4017-4786-B679-718C3DDD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styleId="NormalWeb">
    <w:name w:val="Normal (Web)"/>
    <w:basedOn w:val="Normal"/>
    <w:uiPriority w:val="99"/>
    <w:semiHidden/>
    <w:unhideWhenUsed/>
    <w:rsid w:val="009E308D"/>
    <w:pPr>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52431C"/>
    <w:rPr>
      <w:sz w:val="16"/>
      <w:szCs w:val="16"/>
    </w:rPr>
  </w:style>
  <w:style w:type="paragraph" w:styleId="CommentText">
    <w:name w:val="annotation text"/>
    <w:basedOn w:val="Normal"/>
    <w:link w:val="CommentTextChar"/>
    <w:uiPriority w:val="99"/>
    <w:semiHidden/>
    <w:unhideWhenUsed/>
    <w:rsid w:val="0052431C"/>
    <w:pPr>
      <w:spacing w:line="240" w:lineRule="auto"/>
    </w:pPr>
    <w:rPr>
      <w:sz w:val="20"/>
      <w:szCs w:val="20"/>
    </w:rPr>
  </w:style>
  <w:style w:type="character" w:customStyle="1" w:styleId="CommentTextChar">
    <w:name w:val="Comment Text Char"/>
    <w:basedOn w:val="DefaultParagraphFont"/>
    <w:link w:val="CommentText"/>
    <w:uiPriority w:val="99"/>
    <w:semiHidden/>
    <w:rsid w:val="0052431C"/>
    <w:rPr>
      <w:lang w:eastAsia="en-US"/>
    </w:rPr>
  </w:style>
  <w:style w:type="paragraph" w:styleId="CommentSubject">
    <w:name w:val="annotation subject"/>
    <w:basedOn w:val="CommentText"/>
    <w:next w:val="CommentText"/>
    <w:link w:val="CommentSubjectChar"/>
    <w:uiPriority w:val="99"/>
    <w:semiHidden/>
    <w:unhideWhenUsed/>
    <w:rsid w:val="0052431C"/>
    <w:rPr>
      <w:b/>
      <w:bCs/>
    </w:rPr>
  </w:style>
  <w:style w:type="character" w:customStyle="1" w:styleId="CommentSubjectChar">
    <w:name w:val="Comment Subject Char"/>
    <w:basedOn w:val="CommentTextChar"/>
    <w:link w:val="CommentSubject"/>
    <w:uiPriority w:val="99"/>
    <w:semiHidden/>
    <w:rsid w:val="0052431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150454">
      <w:bodyDiv w:val="1"/>
      <w:marLeft w:val="0"/>
      <w:marRight w:val="0"/>
      <w:marTop w:val="0"/>
      <w:marBottom w:val="0"/>
      <w:divBdr>
        <w:top w:val="none" w:sz="0" w:space="0" w:color="auto"/>
        <w:left w:val="none" w:sz="0" w:space="0" w:color="auto"/>
        <w:bottom w:val="none" w:sz="0" w:space="0" w:color="auto"/>
        <w:right w:val="none" w:sz="0" w:space="0" w:color="auto"/>
      </w:divBdr>
    </w:div>
    <w:div w:id="859898551">
      <w:bodyDiv w:val="1"/>
      <w:marLeft w:val="0"/>
      <w:marRight w:val="0"/>
      <w:marTop w:val="0"/>
      <w:marBottom w:val="0"/>
      <w:divBdr>
        <w:top w:val="none" w:sz="0" w:space="0" w:color="auto"/>
        <w:left w:val="none" w:sz="0" w:space="0" w:color="auto"/>
        <w:bottom w:val="none" w:sz="0" w:space="0" w:color="auto"/>
        <w:right w:val="none" w:sz="0" w:space="0" w:color="auto"/>
      </w:divBdr>
    </w:div>
    <w:div w:id="98162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1BFBF94633B4096CEE0E7EF5992F9" ma:contentTypeVersion="21" ma:contentTypeDescription="Create a new document." ma:contentTypeScope="" ma:versionID="9ad4d81a6e5302e0979be0df84c457d5">
  <xsd:schema xmlns:xsd="http://www.w3.org/2001/XMLSchema" xmlns:xs="http://www.w3.org/2001/XMLSchema" xmlns:p="http://schemas.microsoft.com/office/2006/metadata/properties" xmlns:ns1="http://schemas.microsoft.com/sharepoint/v3" xmlns:ns2="64628879-cb16-4650-8031-de1b8c98cea4" xmlns:ns3="http://schemas.microsoft.com/sharepoint/v4" targetNamespace="http://schemas.microsoft.com/office/2006/metadata/properties" ma:root="true" ma:fieldsID="ce442112ef5b7b974722a52ac1992e38" ns1:_="" ns2:_="" ns3:_="">
    <xsd:import namespace="http://schemas.microsoft.com/sharepoint/v3"/>
    <xsd:import namespace="64628879-cb16-4650-8031-de1b8c98cea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LegalLexID" minOccurs="0"/>
                <xsd:element ref="ns2:c4141c357104478eb39a303f85ca3b32" minOccurs="0"/>
                <xsd:element ref="ns2:nd2e77b4082547e79ceed512ba07a64b" minOccurs="0"/>
                <xsd:element ref="ns2:SharedWithUsers" minOccurs="0"/>
                <xsd:element ref="ns3:IconOverlay" minOccurs="0"/>
                <xsd:element ref="ns2:DocHub_PDMS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8879-cb16-4650-8031-de1b8c98ce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d4026b-8082-4ed5-a9b7-244138351d65}" ma:internalName="TaxCatchAll" ma:showField="CatchAllData" ma:web="64628879-cb16-4650-8031-de1b8c98cea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1429a93-9848-403c-96fb-a026c2e7aa4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LegalLexID" ma:index="23" nillable="true" ma:displayName="Legal / Lex ID" ma:description="Legal / LEX ID assigned by Legal Services LEX system for legal documentation" ma:indexed="true" ma:internalName="DocHub_LegalLexID">
      <xsd:simpleType>
        <xsd:restriction base="dms:Text">
          <xsd:maxLength value="255"/>
        </xsd:restriction>
      </xsd:simpleType>
    </xsd:element>
    <xsd:element name="c4141c357104478eb39a303f85ca3b32" ma:index="25" nillable="true" ma:taxonomy="true" ma:internalName="c4141c357104478eb39a303f85ca3b32" ma:taxonomyFieldName="DocHub_LegalKeywords" ma:displayName="Legal Keywords" ma:fieldId="{c4141c35-7104-478e-b39a-303f85ca3b32}" ma:taxonomyMulti="true" ma:sspId="fb0313f7-9433-48c0-866e-9e0bbee59a50" ma:termSetId="414acef4-4c1e-4c76-9f34-b3d2044c4e00" ma:anchorId="00000000-0000-0000-0000-000000000000" ma:open="false" ma:isKeyword="false">
      <xsd:complexType>
        <xsd:sequence>
          <xsd:element ref="pc:Terms" minOccurs="0" maxOccurs="1"/>
        </xsd:sequence>
      </xsd:complexType>
    </xsd:element>
    <xsd:element name="nd2e77b4082547e79ceed512ba07a64b" ma:index="28" nillable="true" ma:taxonomy="true" ma:internalName="nd2e77b4082547e79ceed512ba07a64b" ma:taxonomyFieldName="DocHub_LegalClient" ma:displayName="Legal Client" ma:indexed="true" ma:default="" ma:fieldId="{7d2e77b4-0825-47e7-9cee-d512ba07a64b}" ma:sspId="fb0313f7-9433-48c0-866e-9e0bbee59a50" ma:termSetId="1bfad094-94d8-4518-8464-6ac3a9765f5c" ma:anchorId="00000000-0000-0000-0000-000000000000" ma:open="false" ma:isKeyword="false">
      <xsd:complexType>
        <xsd:sequence>
          <xsd:element ref="pc:Terms" minOccurs="0" maxOccurs="1"/>
        </xsd:sequence>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Hub_PDMSNumber" ma:index="31" nillable="true" ma:displayName="PDMS Number" ma:description="Parliamentary Document Management System (PDMS) Reference Number" ma:indexed="true" ma:internalName="DocHub_PDMS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TaxCatchAll xmlns="64628879-cb16-4650-8031-de1b8c98cea4">
      <Value>434</Value>
      <Value>524</Value>
    </TaxCatchAll>
    <DocHub_LegalLexID xmlns="64628879-cb16-4650-8031-de1b8c98cea4" xsi:nil="true"/>
    <g7bcb40ba23249a78edca7d43a67c1c9 xmlns="64628879-cb16-4650-8031-de1b8c98cea4">
      <Terms xmlns="http://schemas.microsoft.com/office/infopath/2007/PartnerControls"/>
    </g7bcb40ba23249a78edca7d43a67c1c9>
    <nd2e77b4082547e79ceed512ba07a64b xmlns="64628879-cb16-4650-8031-de1b8c98cea4">
      <Terms xmlns="http://schemas.microsoft.com/office/infopath/2007/PartnerControls"/>
    </nd2e77b4082547e79ceed512ba07a64b>
    <aa25a1a23adf4c92a153145de6afe324 xmlns="64628879-cb16-4650-8031-de1b8c98cea4">
      <Terms xmlns="http://schemas.microsoft.com/office/infopath/2007/PartnerControls">
        <TermInfo xmlns="http://schemas.microsoft.com/office/infopath/2007/PartnerControls">
          <TermName xmlns="http://schemas.microsoft.com/office/infopath/2007/PartnerControls">Sensitive: Legal</TermName>
          <TermId xmlns="http://schemas.microsoft.com/office/infopath/2007/PartnerControls">e0e7653a-6457-4726-a51f-c98e23f83bad</TermId>
        </TermInfo>
      </Terms>
    </aa25a1a23adf4c92a153145de6afe324>
    <pe2555c81638466f9eb614edb9ecde52 xmlns="64628879-cb16-4650-8031-de1b8c98cea4">
      <Terms xmlns="http://schemas.microsoft.com/office/infopath/2007/PartnerControls">
        <TermInfo xmlns="http://schemas.microsoft.com/office/infopath/2007/PartnerControls">
          <TermName xmlns="http://schemas.microsoft.com/office/infopath/2007/PartnerControls">Legislative Instrument</TermName>
          <TermId xmlns="http://schemas.microsoft.com/office/infopath/2007/PartnerControls">edbe159b-95f5-40e7-bf23-9dfb62f2e7f0</TermId>
        </TermInfo>
      </Terms>
    </pe2555c81638466f9eb614edb9ecde52>
    <n99e4c9942c6404eb103464a00e6097b xmlns="64628879-cb16-4650-8031-de1b8c98cea4">
      <Terms xmlns="http://schemas.microsoft.com/office/infopath/2007/PartnerControls"/>
    </n99e4c9942c6404eb103464a00e6097b>
    <adb9bed2e36e4a93af574aeb444da63e xmlns="64628879-cb16-4650-8031-de1b8c98cea4">
      <Terms xmlns="http://schemas.microsoft.com/office/infopath/2007/PartnerControls"/>
    </adb9bed2e36e4a93af574aeb444da63e>
    <c4141c357104478eb39a303f85ca3b32 xmlns="64628879-cb16-4650-8031-de1b8c98cea4">
      <Terms xmlns="http://schemas.microsoft.com/office/infopath/2007/PartnerControls"/>
    </c4141c357104478eb39a303f85ca3b32>
    <DocHub_PDMSNumber xmlns="64628879-cb16-4650-8031-de1b8c98cea4" xsi:nil="true"/>
    <Comments xmlns="http://schemas.microsoft.com/sharepoint/v3" xsi:nil="true"/>
    <_dlc_DocId xmlns="64628879-cb16-4650-8031-de1b8c98cea4">SEF43VY7DDAF-832118599-544</_dlc_DocId>
    <_dlc_DocIdUrl xmlns="64628879-cb16-4650-8031-de1b8c98cea4">
      <Url>https://dochub/div/corporate/businessfunctions/legalservices/legislation/legislativeinstruments/_layouts/15/DocIdRedir.aspx?ID=SEF43VY7DDAF-832118599-544</Url>
      <Description>SEF43VY7DDAF-832118599-544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D1125-778E-496A-BAE5-CE4E3B79F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628879-cb16-4650-8031-de1b8c98ce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D3DB7-147D-407B-B034-A63C38F3EB9D}">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628879-cb16-4650-8031-de1b8c98cea4"/>
    <ds:schemaRef ds:uri="http://www.w3.org/XML/1998/namespace"/>
    <ds:schemaRef ds:uri="http://purl.org/dc/dcmitype/"/>
  </ds:schemaRefs>
</ds:datastoreItem>
</file>

<file path=customXml/itemProps3.xml><?xml version="1.0" encoding="utf-8"?>
<ds:datastoreItem xmlns:ds="http://schemas.openxmlformats.org/officeDocument/2006/customXml" ds:itemID="{0E6B7E8B-9FB2-4F86-B797-4A276DBAD43A}">
  <ds:schemaRefs>
    <ds:schemaRef ds:uri="http://schemas.microsoft.com/sharepoint/events"/>
  </ds:schemaRefs>
</ds:datastoreItem>
</file>

<file path=customXml/itemProps4.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5.xml><?xml version="1.0" encoding="utf-8"?>
<ds:datastoreItem xmlns:ds="http://schemas.openxmlformats.org/officeDocument/2006/customXml" ds:itemID="{3C79C257-50FF-492B-B576-8C956C7B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7788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4. Sullair explanatory statement</vt:lpstr>
    </vt:vector>
  </TitlesOfParts>
  <Company>The Department of the Environment</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Sullair explanatory statement</dc:title>
  <dc:subject/>
  <dc:creator>Jones, Angela</dc:creator>
  <cp:keywords/>
  <dc:description/>
  <cp:lastModifiedBy>Roberts, Anna</cp:lastModifiedBy>
  <cp:revision>2</cp:revision>
  <cp:lastPrinted>2019-08-22T23:42:00Z</cp:lastPrinted>
  <dcterms:created xsi:type="dcterms:W3CDTF">2020-08-04T06:52:00Z</dcterms:created>
  <dcterms:modified xsi:type="dcterms:W3CDTF">2020-08-04T06:52:00Z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0x0101006211BFBF94633B4096CEE0E7EF5992F9</vt:lpwstr>
  </property>
  <property fmtid="{D5CDD505-2E9C-101B-9397-08002B2CF9AE}" pid="3" name="RecordPoint_ActiveItemUniqueId">
    <vt:lpwstr>{dacd015c-ac2a-4dae-afce-8dfc794b1cad}</vt:lpwstr>
  </property>
  <property fmtid="{D5CDD505-2E9C-101B-9397-08002B2CF9AE}" pid="4" name="RecordPoint_WorkflowType">
    <vt:lpwstr>ActiveSubmitStub</vt:lpwstr>
  </property>
  <property fmtid="{D5CDD505-2E9C-101B-9397-08002B2CF9AE}" pid="5" name="RecordPoint_ActiveItemSiteId">
    <vt:lpwstr>{5d5943af-3559-4aa8-b232-61db5aa26396}</vt:lpwstr>
  </property>
  <property fmtid="{D5CDD505-2E9C-101B-9397-08002B2CF9AE}" pid="6" name="RecordPoint_ActiveItemListId">
    <vt:lpwstr>{684bad70-42cd-4509-af5f-8a519130c780}</vt:lpwstr>
  </property>
  <property fmtid="{D5CDD505-2E9C-101B-9397-08002B2CF9AE}" pid="7" name="RecordPoint_ActiveItemWebId">
    <vt:lpwstr>{68fee9b5-4f7b-4b2f-a0dd-073f48edd636}</vt:lpwstr>
  </property>
  <property fmtid="{D5CDD505-2E9C-101B-9397-08002B2CF9AE}" pid="8" name="RecordPoint_SubmissionDate">
    <vt:lpwstr/>
  </property>
  <property fmtid="{D5CDD505-2E9C-101B-9397-08002B2CF9AE}" pid="9" name="RecordPoint_RecordNumberSubmitted">
    <vt:lpwstr>002966688</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2019-08-31T18:32:34.4843005+10:00</vt:lpwstr>
  </property>
  <property fmtid="{D5CDD505-2E9C-101B-9397-08002B2CF9AE}" pid="13" name="DocHub_LegalKeywords">
    <vt:lpwstr/>
  </property>
  <property fmtid="{D5CDD505-2E9C-101B-9397-08002B2CF9AE}" pid="14" name="DocHub_Year">
    <vt:lpwstr/>
  </property>
  <property fmtid="{D5CDD505-2E9C-101B-9397-08002B2CF9AE}" pid="15" name="DocHub_DocumentType">
    <vt:lpwstr>524;#Legislative Instrument|edbe159b-95f5-40e7-bf23-9dfb62f2e7f0</vt:lpwstr>
  </property>
  <property fmtid="{D5CDD505-2E9C-101B-9397-08002B2CF9AE}" pid="16" name="DocHub_SecurityClassification">
    <vt:lpwstr>434;#Sensitive: Legal|e0e7653a-6457-4726-a51f-c98e23f83bad</vt:lpwstr>
  </property>
  <property fmtid="{D5CDD505-2E9C-101B-9397-08002B2CF9AE}" pid="17" name="DocHub_LegalClient">
    <vt:lpwstr/>
  </property>
  <property fmtid="{D5CDD505-2E9C-101B-9397-08002B2CF9AE}" pid="18" name="DocHub_Keywords">
    <vt:lpwstr/>
  </property>
  <property fmtid="{D5CDD505-2E9C-101B-9397-08002B2CF9AE}" pid="19" name="DocHub_WorkActivity">
    <vt:lpwstr/>
  </property>
  <property fmtid="{D5CDD505-2E9C-101B-9397-08002B2CF9AE}" pid="20" name="_dlc_DocIdItemGuid">
    <vt:lpwstr>52c85dbf-e51f-4d59-99c3-771e29ee0b0f</vt:lpwstr>
  </property>
</Properties>
</file>