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61EB6" w14:textId="77777777" w:rsidR="00FF6E25" w:rsidRPr="00792FEC" w:rsidRDefault="00FF6E25" w:rsidP="00FF6E25">
      <w:pPr>
        <w:jc w:val="center"/>
        <w:rPr>
          <w:rFonts w:cs="Times New Roman"/>
          <w:b/>
          <w:szCs w:val="24"/>
          <w:u w:val="single"/>
        </w:rPr>
      </w:pPr>
      <w:r w:rsidRPr="00792FEC">
        <w:rPr>
          <w:rFonts w:cs="Times New Roman"/>
          <w:b/>
          <w:szCs w:val="24"/>
          <w:u w:val="single"/>
        </w:rPr>
        <w:t>EXPLANATORY STATEMENT</w:t>
      </w:r>
    </w:p>
    <w:p w14:paraId="25751060" w14:textId="77777777" w:rsidR="0088497A" w:rsidRPr="00792FEC" w:rsidRDefault="0088497A" w:rsidP="00FF6E25">
      <w:pPr>
        <w:jc w:val="center"/>
        <w:rPr>
          <w:rFonts w:cs="Times New Roman"/>
          <w:szCs w:val="24"/>
          <w:u w:val="single"/>
        </w:rPr>
      </w:pPr>
      <w:r w:rsidRPr="000549AF">
        <w:rPr>
          <w:rFonts w:cs="Times New Roman"/>
          <w:szCs w:val="24"/>
          <w:u w:val="single"/>
        </w:rPr>
        <w:t xml:space="preserve">Issued by the authority of </w:t>
      </w:r>
      <w:r w:rsidR="0057612E" w:rsidRPr="000549AF">
        <w:rPr>
          <w:rFonts w:cs="Times New Roman"/>
          <w:szCs w:val="24"/>
          <w:u w:val="single"/>
        </w:rPr>
        <w:t>the VSL Tuition Protection Director</w:t>
      </w:r>
    </w:p>
    <w:p w14:paraId="1701E7B4" w14:textId="77777777" w:rsidR="00455C2A" w:rsidRPr="00792FEC" w:rsidRDefault="0057612E" w:rsidP="00FF6E25">
      <w:pPr>
        <w:jc w:val="center"/>
        <w:rPr>
          <w:rFonts w:cs="Times New Roman"/>
          <w:b/>
          <w:i/>
          <w:szCs w:val="24"/>
        </w:rPr>
      </w:pPr>
      <w:r w:rsidRPr="00792FEC">
        <w:rPr>
          <w:rFonts w:cs="Times New Roman"/>
          <w:b/>
          <w:i/>
          <w:szCs w:val="24"/>
        </w:rPr>
        <w:t>VET Student Loans (VSL Tuition Protection Levy) Act 2020</w:t>
      </w:r>
    </w:p>
    <w:p w14:paraId="3F229A0A" w14:textId="77777777" w:rsidR="00503218" w:rsidRPr="00792FEC" w:rsidRDefault="00A36883" w:rsidP="00DA552F">
      <w:pPr>
        <w:jc w:val="center"/>
        <w:rPr>
          <w:rFonts w:cs="Times New Roman"/>
          <w:b/>
          <w:i/>
          <w:szCs w:val="24"/>
        </w:rPr>
      </w:pPr>
      <w:r w:rsidRPr="00792FEC">
        <w:rPr>
          <w:rFonts w:cs="Times New Roman"/>
          <w:b/>
          <w:i/>
          <w:szCs w:val="24"/>
        </w:rPr>
        <w:t>VET Student Loans (VSL Tuition Protection Levy) (Risk Rated Premium and Special Tuition Protection Components) Determination 2020</w:t>
      </w:r>
    </w:p>
    <w:p w14:paraId="2D7C4D92" w14:textId="77777777" w:rsidR="00A36883" w:rsidRPr="00792FEC" w:rsidRDefault="00A36883" w:rsidP="00A36883">
      <w:pPr>
        <w:pStyle w:val="Heading2"/>
        <w:rPr>
          <w:rFonts w:cs="Times New Roman"/>
          <w:color w:val="auto"/>
          <w:szCs w:val="24"/>
        </w:rPr>
      </w:pPr>
      <w:bookmarkStart w:id="0" w:name="_Toc23942238"/>
      <w:bookmarkStart w:id="1" w:name="_Toc34293358"/>
      <w:r w:rsidRPr="00792FEC">
        <w:rPr>
          <w:rFonts w:cs="Times New Roman"/>
          <w:color w:val="auto"/>
          <w:szCs w:val="24"/>
        </w:rPr>
        <w:t>PURPOSE AND OPERATION</w:t>
      </w:r>
      <w:bookmarkStart w:id="2" w:name="_GoBack"/>
      <w:bookmarkEnd w:id="2"/>
    </w:p>
    <w:p w14:paraId="14B8AF03" w14:textId="77777777" w:rsidR="00A36883" w:rsidRPr="00792FEC" w:rsidRDefault="00A36883" w:rsidP="00C12BA6">
      <w:pPr>
        <w:spacing w:before="120" w:after="120" w:line="240" w:lineRule="auto"/>
        <w:rPr>
          <w:rFonts w:cs="Times New Roman"/>
          <w:szCs w:val="24"/>
        </w:rPr>
      </w:pPr>
      <w:r w:rsidRPr="00792FEC">
        <w:rPr>
          <w:rFonts w:cs="Times New Roman"/>
          <w:szCs w:val="24"/>
        </w:rPr>
        <w:t xml:space="preserve">The purpose of the </w:t>
      </w:r>
      <w:r w:rsidRPr="00792FEC">
        <w:rPr>
          <w:rFonts w:cs="Times New Roman"/>
          <w:i/>
          <w:szCs w:val="24"/>
        </w:rPr>
        <w:t>VET Student Loans (VSL Tuition Protection Levy) (Risk Rated Premium and Special Tuition Protection Components) Determination 2020</w:t>
      </w:r>
      <w:r w:rsidRPr="00792FEC">
        <w:rPr>
          <w:rFonts w:cs="Times New Roman"/>
          <w:szCs w:val="24"/>
        </w:rPr>
        <w:t xml:space="preserve"> (the Instrument) is to determine </w:t>
      </w:r>
      <w:r w:rsidR="00BF1379" w:rsidRPr="00792FEC">
        <w:rPr>
          <w:rFonts w:cs="Times New Roman"/>
          <w:szCs w:val="24"/>
        </w:rPr>
        <w:t xml:space="preserve">various matters relevant to the calculation of </w:t>
      </w:r>
      <w:r w:rsidRPr="00792FEC">
        <w:rPr>
          <w:rFonts w:cs="Times New Roman"/>
          <w:szCs w:val="24"/>
        </w:rPr>
        <w:t xml:space="preserve">the risk rated premium component and special tuition protection component of the </w:t>
      </w:r>
      <w:r w:rsidR="00BF1379" w:rsidRPr="00792FEC">
        <w:rPr>
          <w:rFonts w:cs="Times New Roman"/>
          <w:szCs w:val="24"/>
        </w:rPr>
        <w:t>VSL Tuition Protection Levy (the VSL Levy)</w:t>
      </w:r>
      <w:r w:rsidR="00584937" w:rsidRPr="00792FEC">
        <w:rPr>
          <w:rFonts w:cs="Times New Roman"/>
          <w:szCs w:val="24"/>
        </w:rPr>
        <w:t xml:space="preserve"> for the 2020 calendar year</w:t>
      </w:r>
      <w:r w:rsidR="00BF1379" w:rsidRPr="00792FEC">
        <w:rPr>
          <w:rFonts w:cs="Times New Roman"/>
          <w:szCs w:val="24"/>
        </w:rPr>
        <w:t xml:space="preserve">. </w:t>
      </w:r>
    </w:p>
    <w:p w14:paraId="0C1EB8D2" w14:textId="77777777" w:rsidR="004011CE" w:rsidRPr="00792FEC" w:rsidRDefault="00BF1379" w:rsidP="00C12BA6">
      <w:pPr>
        <w:spacing w:before="120" w:after="120" w:line="240" w:lineRule="auto"/>
        <w:rPr>
          <w:rFonts w:cs="Times New Roman"/>
          <w:szCs w:val="24"/>
        </w:rPr>
      </w:pPr>
      <w:r w:rsidRPr="00792FEC">
        <w:rPr>
          <w:rFonts w:cs="Times New Roman"/>
          <w:szCs w:val="24"/>
        </w:rPr>
        <w:t xml:space="preserve">The VSL Levy is imposed </w:t>
      </w:r>
      <w:r w:rsidR="008D3C43" w:rsidRPr="00792FEC">
        <w:rPr>
          <w:rFonts w:cs="Times New Roman"/>
          <w:szCs w:val="24"/>
        </w:rPr>
        <w:t xml:space="preserve">under section 6 of the </w:t>
      </w:r>
      <w:r w:rsidR="008D3C43" w:rsidRPr="00792FEC">
        <w:rPr>
          <w:rFonts w:cs="Times New Roman"/>
          <w:i/>
          <w:szCs w:val="24"/>
        </w:rPr>
        <w:t>VET Student Loans (VSL Tuition Protection Levy) Act 2020</w:t>
      </w:r>
      <w:r w:rsidR="008D3C43" w:rsidRPr="00792FEC">
        <w:rPr>
          <w:rFonts w:cs="Times New Roman"/>
          <w:szCs w:val="24"/>
        </w:rPr>
        <w:t xml:space="preserve"> (the Act) </w:t>
      </w:r>
      <w:r w:rsidRPr="00792FEC">
        <w:rPr>
          <w:rFonts w:cs="Times New Roman"/>
          <w:szCs w:val="24"/>
        </w:rPr>
        <w:t xml:space="preserve">on all leviable providers </w:t>
      </w:r>
      <w:r w:rsidR="008D3C43" w:rsidRPr="00792FEC">
        <w:rPr>
          <w:rFonts w:cs="Times New Roman"/>
          <w:szCs w:val="24"/>
        </w:rPr>
        <w:t xml:space="preserve">(as defined in section 5 of the Act), </w:t>
      </w:r>
      <w:r w:rsidRPr="00792FEC">
        <w:rPr>
          <w:rFonts w:cs="Times New Roman"/>
          <w:szCs w:val="24"/>
        </w:rPr>
        <w:t>and provides an industry contribution towards the costs of tuition protection for students with a VET student loan. The amount of the VSL Levy for a year for a leviable provider is the sum of the provider’s administrative fee component, risk rated premium component and special tuition protection component. The VSL Levy is payable into the VSL Tuition Protection Fund (the Fund)</w:t>
      </w:r>
      <w:r w:rsidR="00BF6014">
        <w:rPr>
          <w:rFonts w:cs="Times New Roman"/>
          <w:szCs w:val="24"/>
        </w:rPr>
        <w:t>,</w:t>
      </w:r>
      <w:r w:rsidRPr="00792FEC">
        <w:rPr>
          <w:rFonts w:cs="Times New Roman"/>
          <w:szCs w:val="24"/>
        </w:rPr>
        <w:t xml:space="preserve"> which is established under section 66K of the </w:t>
      </w:r>
      <w:r w:rsidRPr="00792FEC">
        <w:rPr>
          <w:rFonts w:cs="Times New Roman"/>
          <w:i/>
          <w:szCs w:val="24"/>
        </w:rPr>
        <w:t>VET Student Loans Act 2016</w:t>
      </w:r>
      <w:r w:rsidRPr="00792FEC">
        <w:rPr>
          <w:rFonts w:cs="Times New Roman"/>
          <w:szCs w:val="24"/>
        </w:rPr>
        <w:t xml:space="preserve"> </w:t>
      </w:r>
      <w:r w:rsidR="00067669">
        <w:rPr>
          <w:rFonts w:cs="Times New Roman"/>
          <w:szCs w:val="24"/>
        </w:rPr>
        <w:t xml:space="preserve">(VSL Act) </w:t>
      </w:r>
      <w:r w:rsidRPr="00792FEC">
        <w:rPr>
          <w:rFonts w:cs="Times New Roman"/>
          <w:szCs w:val="24"/>
        </w:rPr>
        <w:t>and managed by the VSL Tuition Protection Director (the Director).</w:t>
      </w:r>
      <w:r w:rsidR="004011CE" w:rsidRPr="00792FEC">
        <w:rPr>
          <w:rFonts w:cs="Times New Roman"/>
          <w:szCs w:val="24"/>
        </w:rPr>
        <w:t xml:space="preserve"> </w:t>
      </w:r>
    </w:p>
    <w:p w14:paraId="026329D2" w14:textId="3800B798" w:rsidR="00067669" w:rsidRPr="00C12BA6" w:rsidRDefault="00067669" w:rsidP="00C12BA6">
      <w:pPr>
        <w:pStyle w:val="Heading2"/>
        <w:spacing w:line="240" w:lineRule="auto"/>
        <w:rPr>
          <w:rFonts w:cs="Times New Roman"/>
          <w:b w:val="0"/>
          <w:szCs w:val="24"/>
        </w:rPr>
      </w:pPr>
      <w:r w:rsidRPr="00067669">
        <w:rPr>
          <w:rFonts w:cs="Times New Roman"/>
          <w:b w:val="0"/>
          <w:szCs w:val="24"/>
        </w:rPr>
        <w:t xml:space="preserve">The Director is accountable for the appropriate and sustainable management of the Fund. This Instrument assists the Director in exercising his or her functions under the </w:t>
      </w:r>
      <w:r>
        <w:rPr>
          <w:rFonts w:cs="Times New Roman"/>
          <w:b w:val="0"/>
          <w:szCs w:val="24"/>
        </w:rPr>
        <w:t>VSL Act</w:t>
      </w:r>
      <w:r w:rsidRPr="00067669">
        <w:rPr>
          <w:rFonts w:cs="Times New Roman"/>
          <w:b w:val="0"/>
          <w:szCs w:val="24"/>
        </w:rPr>
        <w:t xml:space="preserve"> by maintaining a high level of student protection and ensuring sufficient funds are held in the Fund to place students or re-credit their HELP balance in the event of provider closures.</w:t>
      </w:r>
    </w:p>
    <w:bookmarkEnd w:id="0"/>
    <w:bookmarkEnd w:id="1"/>
    <w:p w14:paraId="3069B970" w14:textId="77777777" w:rsidR="00C12BA6" w:rsidRDefault="00C12BA6" w:rsidP="00A36883">
      <w:pPr>
        <w:pStyle w:val="Heading2"/>
        <w:rPr>
          <w:rFonts w:cs="Times New Roman"/>
          <w:color w:val="auto"/>
          <w:szCs w:val="24"/>
        </w:rPr>
      </w:pPr>
    </w:p>
    <w:p w14:paraId="31480168" w14:textId="04A105D7" w:rsidR="00A36883" w:rsidRPr="00792FEC" w:rsidRDefault="00A36883" w:rsidP="00A36883">
      <w:pPr>
        <w:pStyle w:val="Heading2"/>
        <w:rPr>
          <w:rFonts w:cs="Times New Roman"/>
          <w:color w:val="auto"/>
          <w:szCs w:val="24"/>
        </w:rPr>
      </w:pPr>
      <w:r w:rsidRPr="00792FEC">
        <w:rPr>
          <w:rFonts w:cs="Times New Roman"/>
          <w:color w:val="auto"/>
          <w:szCs w:val="24"/>
        </w:rPr>
        <w:t>AUTHORITY</w:t>
      </w:r>
    </w:p>
    <w:p w14:paraId="326ABB64" w14:textId="77777777" w:rsidR="00584937" w:rsidRPr="00792FEC" w:rsidRDefault="00584937" w:rsidP="00C12BA6">
      <w:pPr>
        <w:spacing w:before="120" w:after="120" w:line="240" w:lineRule="auto"/>
        <w:rPr>
          <w:rFonts w:cs="Times New Roman"/>
          <w:szCs w:val="24"/>
        </w:rPr>
      </w:pPr>
      <w:r w:rsidRPr="00792FEC">
        <w:rPr>
          <w:rFonts w:cs="Times New Roman"/>
          <w:szCs w:val="24"/>
        </w:rPr>
        <w:t xml:space="preserve">This instrument is made by the Director under section 13 of the Act. </w:t>
      </w:r>
    </w:p>
    <w:p w14:paraId="43A3B62E" w14:textId="77777777" w:rsidR="003B3656" w:rsidRPr="00792FEC" w:rsidRDefault="00584937" w:rsidP="00C12BA6">
      <w:pPr>
        <w:spacing w:before="120" w:after="120" w:line="240" w:lineRule="auto"/>
        <w:rPr>
          <w:rFonts w:cs="Times New Roman"/>
          <w:szCs w:val="24"/>
        </w:rPr>
      </w:pPr>
      <w:r w:rsidRPr="00792FEC">
        <w:rPr>
          <w:rFonts w:cs="Times New Roman"/>
          <w:szCs w:val="24"/>
        </w:rPr>
        <w:t xml:space="preserve">Subsection 13(1) of the </w:t>
      </w:r>
      <w:r w:rsidR="003B3656" w:rsidRPr="00792FEC">
        <w:rPr>
          <w:rFonts w:cs="Times New Roman"/>
          <w:szCs w:val="24"/>
        </w:rPr>
        <w:t>Act provides that, before 1 Augus</w:t>
      </w:r>
      <w:r w:rsidR="00F63B9B" w:rsidRPr="00792FEC">
        <w:rPr>
          <w:rFonts w:cs="Times New Roman"/>
          <w:szCs w:val="24"/>
        </w:rPr>
        <w:t xml:space="preserve">t 2020 and each later year, the </w:t>
      </w:r>
      <w:r w:rsidR="003B3656" w:rsidRPr="00792FEC">
        <w:rPr>
          <w:rFonts w:cs="Times New Roman"/>
          <w:szCs w:val="24"/>
        </w:rPr>
        <w:t>Director must</w:t>
      </w:r>
      <w:r w:rsidR="00BF6014">
        <w:rPr>
          <w:rFonts w:cs="Times New Roman"/>
          <w:szCs w:val="24"/>
        </w:rPr>
        <w:t>,</w:t>
      </w:r>
      <w:r w:rsidR="003B3656" w:rsidRPr="00792FEC">
        <w:rPr>
          <w:rFonts w:cs="Times New Roman"/>
          <w:szCs w:val="24"/>
        </w:rPr>
        <w:t xml:space="preserve"> by legislative instrument, determine the matters set out in section 13 of the Act for the purposes of </w:t>
      </w:r>
      <w:r w:rsidR="00F63B9B" w:rsidRPr="00792FEC">
        <w:rPr>
          <w:rFonts w:cs="Times New Roman"/>
          <w:szCs w:val="24"/>
        </w:rPr>
        <w:t>sections 11 and 12 of the Act</w:t>
      </w:r>
      <w:r w:rsidR="00BF6014">
        <w:rPr>
          <w:rFonts w:cs="Times New Roman"/>
          <w:szCs w:val="24"/>
        </w:rPr>
        <w:t xml:space="preserve">. Such matters </w:t>
      </w:r>
      <w:r w:rsidR="00F63B9B" w:rsidRPr="00792FEC">
        <w:rPr>
          <w:rFonts w:cs="Times New Roman"/>
          <w:szCs w:val="24"/>
        </w:rPr>
        <w:t xml:space="preserve">relate to </w:t>
      </w:r>
      <w:r w:rsidR="003B3656" w:rsidRPr="00792FEC">
        <w:rPr>
          <w:rFonts w:cs="Times New Roman"/>
          <w:szCs w:val="24"/>
        </w:rPr>
        <w:t xml:space="preserve">the </w:t>
      </w:r>
      <w:r w:rsidR="00F63B9B" w:rsidRPr="00792FEC">
        <w:rPr>
          <w:rFonts w:cs="Times New Roman"/>
          <w:szCs w:val="24"/>
        </w:rPr>
        <w:t xml:space="preserve">calculation of the </w:t>
      </w:r>
      <w:r w:rsidR="003B3656" w:rsidRPr="00792FEC">
        <w:rPr>
          <w:rFonts w:cs="Times New Roman"/>
          <w:szCs w:val="24"/>
        </w:rPr>
        <w:t xml:space="preserve">risk rated premium component and special tuition protection component </w:t>
      </w:r>
      <w:r w:rsidR="00F63B9B" w:rsidRPr="00792FEC">
        <w:rPr>
          <w:rFonts w:cs="Times New Roman"/>
          <w:szCs w:val="24"/>
        </w:rPr>
        <w:t xml:space="preserve">of the VSL Levy for the year. </w:t>
      </w:r>
      <w:r w:rsidR="003B3656" w:rsidRPr="00792FEC">
        <w:rPr>
          <w:rFonts w:cs="Times New Roman"/>
          <w:szCs w:val="24"/>
        </w:rPr>
        <w:t xml:space="preserve">  </w:t>
      </w:r>
    </w:p>
    <w:p w14:paraId="7A90EE28" w14:textId="77777777" w:rsidR="003B3656" w:rsidRPr="00792FEC" w:rsidRDefault="00F63B9B" w:rsidP="00C12BA6">
      <w:pPr>
        <w:spacing w:before="120" w:after="120" w:line="240" w:lineRule="auto"/>
        <w:rPr>
          <w:rFonts w:cs="Times New Roman"/>
          <w:szCs w:val="24"/>
        </w:rPr>
      </w:pPr>
      <w:r w:rsidRPr="00792FEC">
        <w:rPr>
          <w:rFonts w:cs="Times New Roman"/>
          <w:szCs w:val="24"/>
        </w:rPr>
        <w:t>In making an instrument under section 13</w:t>
      </w:r>
      <w:r w:rsidR="003B3656" w:rsidRPr="00792FEC">
        <w:rPr>
          <w:rFonts w:cs="Times New Roman"/>
          <w:szCs w:val="24"/>
        </w:rPr>
        <w:t xml:space="preserve">, the Director must have regard to any advice of the </w:t>
      </w:r>
      <w:r w:rsidRPr="00792FEC">
        <w:rPr>
          <w:rFonts w:cs="Times New Roman"/>
          <w:szCs w:val="24"/>
        </w:rPr>
        <w:t>VSL</w:t>
      </w:r>
      <w:r w:rsidR="003B3656" w:rsidRPr="00792FEC">
        <w:rPr>
          <w:rFonts w:cs="Times New Roman"/>
          <w:szCs w:val="24"/>
        </w:rPr>
        <w:t xml:space="preserve"> Tuition Protection Fund Advisory Board </w:t>
      </w:r>
      <w:r w:rsidRPr="00792FEC">
        <w:rPr>
          <w:rFonts w:cs="Times New Roman"/>
          <w:szCs w:val="24"/>
        </w:rPr>
        <w:t xml:space="preserve">(the </w:t>
      </w:r>
      <w:r w:rsidR="00ED5A55" w:rsidRPr="00792FEC">
        <w:rPr>
          <w:rFonts w:cs="Times New Roman"/>
          <w:szCs w:val="24"/>
        </w:rPr>
        <w:t xml:space="preserve">Advisory </w:t>
      </w:r>
      <w:r w:rsidRPr="00792FEC">
        <w:rPr>
          <w:rFonts w:cs="Times New Roman"/>
          <w:szCs w:val="24"/>
        </w:rPr>
        <w:t xml:space="preserve">Board) </w:t>
      </w:r>
      <w:r w:rsidR="003B3656" w:rsidRPr="00792FEC">
        <w:rPr>
          <w:rFonts w:cs="Times New Roman"/>
          <w:szCs w:val="24"/>
        </w:rPr>
        <w:t xml:space="preserve">and the sustainability of the Fund (subsection 13(4) of the Act). The Director may also have regard to any other matter that the </w:t>
      </w:r>
      <w:r w:rsidRPr="00792FEC">
        <w:rPr>
          <w:rFonts w:cs="Times New Roman"/>
          <w:szCs w:val="24"/>
        </w:rPr>
        <w:t xml:space="preserve">Director considers appropriate (subsection 13(5) of the Act). </w:t>
      </w:r>
    </w:p>
    <w:p w14:paraId="250D6081" w14:textId="77777777" w:rsidR="003B3656" w:rsidRPr="00792FEC" w:rsidRDefault="003B3656" w:rsidP="00C12BA6">
      <w:pPr>
        <w:spacing w:before="120" w:after="120" w:line="240" w:lineRule="auto"/>
        <w:rPr>
          <w:rFonts w:cs="Times New Roman"/>
          <w:szCs w:val="24"/>
        </w:rPr>
      </w:pPr>
      <w:r w:rsidRPr="00792FEC">
        <w:rPr>
          <w:rFonts w:cs="Times New Roman"/>
          <w:szCs w:val="24"/>
        </w:rPr>
        <w:t>The Treasurer must approve</w:t>
      </w:r>
      <w:r w:rsidR="00F63B9B" w:rsidRPr="00792FEC">
        <w:rPr>
          <w:rFonts w:cs="Times New Roman"/>
          <w:szCs w:val="24"/>
        </w:rPr>
        <w:t xml:space="preserve"> the instrument </w:t>
      </w:r>
      <w:r w:rsidRPr="00792FEC">
        <w:rPr>
          <w:rFonts w:cs="Times New Roman"/>
          <w:szCs w:val="24"/>
        </w:rPr>
        <w:t xml:space="preserve">in writing </w:t>
      </w:r>
      <w:r w:rsidR="00F63B9B" w:rsidRPr="00792FEC">
        <w:rPr>
          <w:rFonts w:cs="Times New Roman"/>
          <w:szCs w:val="24"/>
        </w:rPr>
        <w:t xml:space="preserve">before it is made by the Director </w:t>
      </w:r>
      <w:r w:rsidRPr="00792FEC">
        <w:rPr>
          <w:rFonts w:cs="Times New Roman"/>
          <w:szCs w:val="24"/>
        </w:rPr>
        <w:t xml:space="preserve">(subsection 13(6) of the Act). </w:t>
      </w:r>
    </w:p>
    <w:p w14:paraId="6E9475E3" w14:textId="77777777" w:rsidR="00C12BA6" w:rsidRDefault="00C12BA6" w:rsidP="00350779">
      <w:pPr>
        <w:pStyle w:val="Heading2"/>
        <w:rPr>
          <w:rFonts w:cs="Times New Roman"/>
          <w:color w:val="auto"/>
          <w:szCs w:val="24"/>
        </w:rPr>
      </w:pPr>
    </w:p>
    <w:p w14:paraId="0D3C04F7" w14:textId="7D09732D" w:rsidR="00A36883" w:rsidRPr="00792FEC" w:rsidRDefault="00A36883" w:rsidP="00350779">
      <w:pPr>
        <w:pStyle w:val="Heading2"/>
        <w:rPr>
          <w:rFonts w:cs="Times New Roman"/>
          <w:color w:val="auto"/>
          <w:szCs w:val="24"/>
        </w:rPr>
      </w:pPr>
      <w:r w:rsidRPr="00792FEC">
        <w:rPr>
          <w:rFonts w:cs="Times New Roman"/>
          <w:color w:val="auto"/>
          <w:szCs w:val="24"/>
        </w:rPr>
        <w:t xml:space="preserve">BACKGROUND </w:t>
      </w:r>
    </w:p>
    <w:p w14:paraId="529731E0" w14:textId="77777777" w:rsidR="00E17050" w:rsidRPr="00792FEC" w:rsidRDefault="00F63B9B" w:rsidP="00C12BA6">
      <w:pPr>
        <w:spacing w:before="120" w:after="120" w:line="240" w:lineRule="auto"/>
        <w:rPr>
          <w:rFonts w:cs="Times New Roman"/>
          <w:szCs w:val="24"/>
        </w:rPr>
      </w:pPr>
      <w:r w:rsidRPr="00792FEC">
        <w:rPr>
          <w:rFonts w:cs="Times New Roman"/>
          <w:szCs w:val="24"/>
        </w:rPr>
        <w:t xml:space="preserve">The Act commenced on 1 January 2020 and imposes the </w:t>
      </w:r>
      <w:r w:rsidR="00E17050" w:rsidRPr="00792FEC">
        <w:rPr>
          <w:rFonts w:cs="Times New Roman"/>
          <w:szCs w:val="24"/>
        </w:rPr>
        <w:t xml:space="preserve">VSL </w:t>
      </w:r>
      <w:r w:rsidRPr="00792FEC">
        <w:rPr>
          <w:rFonts w:cs="Times New Roman"/>
          <w:szCs w:val="24"/>
        </w:rPr>
        <w:t>Levy on leviable providers</w:t>
      </w:r>
      <w:r w:rsidR="005265B4" w:rsidRPr="00792FEC">
        <w:rPr>
          <w:rFonts w:cs="Times New Roman"/>
          <w:szCs w:val="24"/>
        </w:rPr>
        <w:t xml:space="preserve"> (as defined in section 5 of the Act)</w:t>
      </w:r>
      <w:r w:rsidRPr="00792FEC">
        <w:rPr>
          <w:rFonts w:cs="Times New Roman"/>
          <w:szCs w:val="24"/>
        </w:rPr>
        <w:t xml:space="preserve">. </w:t>
      </w:r>
      <w:r w:rsidR="00E17050" w:rsidRPr="00792FEC">
        <w:rPr>
          <w:rFonts w:cs="Times New Roman"/>
          <w:szCs w:val="24"/>
        </w:rPr>
        <w:t xml:space="preserve">The Act is part of a package of legislation to implement a </w:t>
      </w:r>
      <w:r w:rsidR="00E17050" w:rsidRPr="00792FEC">
        <w:rPr>
          <w:rFonts w:cs="Times New Roman"/>
          <w:szCs w:val="24"/>
        </w:rPr>
        <w:lastRenderedPageBreak/>
        <w:t>new tuition protection model for students participating in the VET Student Loans program and for higher education students accessing FEE-HELP or HECS-HELP assistance at private higher education providers.</w:t>
      </w:r>
    </w:p>
    <w:p w14:paraId="0D61366B" w14:textId="77777777" w:rsidR="00E17050" w:rsidRPr="00792FEC" w:rsidRDefault="00E17050" w:rsidP="00C12BA6">
      <w:pPr>
        <w:spacing w:before="120" w:after="120" w:line="240" w:lineRule="auto"/>
        <w:rPr>
          <w:rFonts w:cs="Times New Roman"/>
          <w:szCs w:val="24"/>
        </w:rPr>
      </w:pPr>
      <w:r w:rsidRPr="00792FEC">
        <w:rPr>
          <w:rFonts w:cs="Times New Roman"/>
          <w:szCs w:val="24"/>
        </w:rPr>
        <w:t xml:space="preserve">The VSL Levy </w:t>
      </w:r>
      <w:r w:rsidR="00C705B1" w:rsidRPr="00792FEC">
        <w:rPr>
          <w:rFonts w:cs="Times New Roman"/>
          <w:szCs w:val="24"/>
        </w:rPr>
        <w:t>comprises</w:t>
      </w:r>
      <w:r w:rsidRPr="00792FEC">
        <w:rPr>
          <w:rFonts w:cs="Times New Roman"/>
          <w:szCs w:val="24"/>
        </w:rPr>
        <w:t xml:space="preserve"> three components:</w:t>
      </w:r>
    </w:p>
    <w:p w14:paraId="65716AC1"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the administrative fee component;</w:t>
      </w:r>
    </w:p>
    <w:p w14:paraId="4B195DAE"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 xml:space="preserve">the risk rated premium component; and </w:t>
      </w:r>
    </w:p>
    <w:p w14:paraId="272BC7CF"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 xml:space="preserve">the special tuition protection component. </w:t>
      </w:r>
    </w:p>
    <w:p w14:paraId="559D23BE" w14:textId="77777777" w:rsidR="00F63B9B" w:rsidRPr="00792FEC" w:rsidRDefault="00F63B9B" w:rsidP="00C12BA6">
      <w:pPr>
        <w:spacing w:before="120" w:after="120" w:line="240" w:lineRule="auto"/>
        <w:rPr>
          <w:rFonts w:cs="Times New Roman"/>
          <w:szCs w:val="24"/>
        </w:rPr>
      </w:pPr>
      <w:r w:rsidRPr="00792FEC">
        <w:rPr>
          <w:rFonts w:cs="Times New Roman"/>
          <w:szCs w:val="24"/>
        </w:rPr>
        <w:t>The Act specifies the amounts</w:t>
      </w:r>
      <w:r w:rsidR="00E17050" w:rsidRPr="00792FEC">
        <w:rPr>
          <w:rFonts w:cs="Times New Roman"/>
          <w:szCs w:val="24"/>
        </w:rPr>
        <w:t>, or methods for calculating the amounts, for each component of the VSL Levy. It also specifies the</w:t>
      </w:r>
      <w:r w:rsidRPr="00792FEC">
        <w:rPr>
          <w:rFonts w:cs="Times New Roman"/>
          <w:szCs w:val="24"/>
        </w:rPr>
        <w:t xml:space="preserve"> manner in which, and by whom,</w:t>
      </w:r>
      <w:r w:rsidR="005265B4" w:rsidRPr="00792FEC">
        <w:rPr>
          <w:rFonts w:cs="Times New Roman"/>
          <w:szCs w:val="24"/>
        </w:rPr>
        <w:t xml:space="preserve"> various matters relevant to </w:t>
      </w:r>
      <w:r w:rsidR="008D3C43" w:rsidRPr="00792FEC">
        <w:rPr>
          <w:rFonts w:cs="Times New Roman"/>
          <w:szCs w:val="24"/>
        </w:rPr>
        <w:t xml:space="preserve">each component of the VSL Levy must </w:t>
      </w:r>
      <w:r w:rsidRPr="00792FEC">
        <w:rPr>
          <w:rFonts w:cs="Times New Roman"/>
          <w:szCs w:val="24"/>
        </w:rPr>
        <w:t xml:space="preserve">be determined each year. </w:t>
      </w:r>
    </w:p>
    <w:p w14:paraId="08711E2C" w14:textId="77777777" w:rsidR="005265B4" w:rsidRPr="00792FEC" w:rsidRDefault="00F63B9B" w:rsidP="00C12BA6">
      <w:pPr>
        <w:spacing w:before="120" w:after="120" w:line="240" w:lineRule="auto"/>
        <w:rPr>
          <w:rFonts w:cs="Times New Roman"/>
          <w:szCs w:val="24"/>
        </w:rPr>
      </w:pPr>
      <w:r w:rsidRPr="00792FEC">
        <w:rPr>
          <w:rFonts w:cs="Times New Roman"/>
          <w:szCs w:val="24"/>
        </w:rPr>
        <w:t>The Director is responsible for determining</w:t>
      </w:r>
      <w:r w:rsidR="005265B4" w:rsidRPr="00792FEC">
        <w:rPr>
          <w:rFonts w:cs="Times New Roman"/>
          <w:szCs w:val="24"/>
        </w:rPr>
        <w:t>,</w:t>
      </w:r>
      <w:r w:rsidRPr="00792FEC">
        <w:rPr>
          <w:rFonts w:cs="Times New Roman"/>
          <w:szCs w:val="24"/>
        </w:rPr>
        <w:t xml:space="preserve"> </w:t>
      </w:r>
      <w:r w:rsidR="005265B4" w:rsidRPr="00792FEC">
        <w:rPr>
          <w:rFonts w:cs="Times New Roman"/>
          <w:szCs w:val="24"/>
        </w:rPr>
        <w:t>through a legislative instrument each year, various</w:t>
      </w:r>
      <w:r w:rsidRPr="00792FEC">
        <w:rPr>
          <w:rFonts w:cs="Times New Roman"/>
          <w:szCs w:val="24"/>
        </w:rPr>
        <w:t xml:space="preserve"> </w:t>
      </w:r>
      <w:r w:rsidR="005265B4" w:rsidRPr="00792FEC">
        <w:rPr>
          <w:rFonts w:cs="Times New Roman"/>
          <w:szCs w:val="24"/>
        </w:rPr>
        <w:t xml:space="preserve">matters relevant to the calculation of </w:t>
      </w:r>
      <w:r w:rsidR="00C705B1" w:rsidRPr="00792FEC">
        <w:rPr>
          <w:rFonts w:cs="Times New Roman"/>
          <w:szCs w:val="24"/>
        </w:rPr>
        <w:t xml:space="preserve">the </w:t>
      </w:r>
      <w:r w:rsidRPr="00792FEC">
        <w:rPr>
          <w:rFonts w:cs="Times New Roman"/>
          <w:szCs w:val="24"/>
        </w:rPr>
        <w:t xml:space="preserve">risk rated premium component and special tuition protection component. </w:t>
      </w:r>
    </w:p>
    <w:p w14:paraId="769F31E8" w14:textId="42638748" w:rsidR="00F63B9B" w:rsidRPr="00792FEC" w:rsidRDefault="00F63B9B" w:rsidP="00C12BA6">
      <w:pPr>
        <w:spacing w:before="120" w:after="120" w:line="240" w:lineRule="auto"/>
        <w:rPr>
          <w:rFonts w:cs="Times New Roman"/>
          <w:szCs w:val="24"/>
        </w:rPr>
      </w:pPr>
      <w:r w:rsidRPr="00792FEC">
        <w:rPr>
          <w:rFonts w:cs="Times New Roman"/>
          <w:szCs w:val="24"/>
        </w:rPr>
        <w:t>The Minister</w:t>
      </w:r>
      <w:r w:rsidR="008D3C43" w:rsidRPr="00792FEC">
        <w:rPr>
          <w:rFonts w:cs="Times New Roman"/>
          <w:szCs w:val="24"/>
        </w:rPr>
        <w:t xml:space="preserve"> is responsible for determining, also th</w:t>
      </w:r>
      <w:r w:rsidR="001210BA">
        <w:rPr>
          <w:rFonts w:cs="Times New Roman"/>
          <w:szCs w:val="24"/>
        </w:rPr>
        <w:t>r</w:t>
      </w:r>
      <w:r w:rsidR="008D3C43" w:rsidRPr="00792FEC">
        <w:rPr>
          <w:rFonts w:cs="Times New Roman"/>
          <w:szCs w:val="24"/>
        </w:rPr>
        <w:t xml:space="preserve">ough a legislative instrument, </w:t>
      </w:r>
      <w:r w:rsidR="005265B4" w:rsidRPr="00792FEC">
        <w:rPr>
          <w:rFonts w:cs="Times New Roman"/>
          <w:szCs w:val="24"/>
        </w:rPr>
        <w:t xml:space="preserve">amounts relevant to the calculation of the </w:t>
      </w:r>
      <w:r w:rsidRPr="00792FEC">
        <w:rPr>
          <w:rFonts w:cs="Times New Roman"/>
          <w:szCs w:val="24"/>
        </w:rPr>
        <w:t xml:space="preserve">administrative fee component. </w:t>
      </w:r>
    </w:p>
    <w:p w14:paraId="544A8CC3" w14:textId="16FE1CE6" w:rsidR="00F63B9B" w:rsidRPr="00792FEC" w:rsidRDefault="005265B4" w:rsidP="00C12BA6">
      <w:pPr>
        <w:spacing w:before="120" w:after="120" w:line="240" w:lineRule="auto"/>
        <w:rPr>
          <w:rFonts w:cs="Times New Roman"/>
          <w:szCs w:val="24"/>
        </w:rPr>
      </w:pPr>
      <w:r w:rsidRPr="00792FEC">
        <w:rPr>
          <w:rFonts w:cs="Times New Roman"/>
          <w:szCs w:val="24"/>
        </w:rPr>
        <w:t xml:space="preserve">If </w:t>
      </w:r>
      <w:r w:rsidR="008D3C43" w:rsidRPr="00792FEC">
        <w:rPr>
          <w:rFonts w:cs="Times New Roman"/>
          <w:szCs w:val="24"/>
        </w:rPr>
        <w:t xml:space="preserve">a leviable provider is a new provider for a year, the new provider only pays part of the administrative fee component in their first year (noting the </w:t>
      </w:r>
      <w:r w:rsidR="008D3C43" w:rsidRPr="00067669">
        <w:rPr>
          <w:rFonts w:cs="Times New Roman"/>
          <w:szCs w:val="24"/>
        </w:rPr>
        <w:t xml:space="preserve">amount of both the </w:t>
      </w:r>
      <w:r w:rsidR="003B7171" w:rsidRPr="00067669">
        <w:rPr>
          <w:rFonts w:cs="Times New Roman"/>
          <w:szCs w:val="24"/>
        </w:rPr>
        <w:t xml:space="preserve">new </w:t>
      </w:r>
      <w:r w:rsidR="008D3C43" w:rsidRPr="00067669">
        <w:rPr>
          <w:rFonts w:cs="Times New Roman"/>
          <w:szCs w:val="24"/>
        </w:rPr>
        <w:t xml:space="preserve">provider’s risk rated premium component and special tuition protection </w:t>
      </w:r>
      <w:r w:rsidR="00AD5EE0">
        <w:rPr>
          <w:rFonts w:cs="Times New Roman"/>
          <w:szCs w:val="24"/>
        </w:rPr>
        <w:t xml:space="preserve">component </w:t>
      </w:r>
      <w:r w:rsidR="008D3C43" w:rsidRPr="00067669">
        <w:rPr>
          <w:rFonts w:cs="Times New Roman"/>
          <w:szCs w:val="24"/>
        </w:rPr>
        <w:t>is zero)</w:t>
      </w:r>
      <w:r w:rsidR="00067669" w:rsidRPr="00067669">
        <w:rPr>
          <w:rFonts w:cs="Times New Roman"/>
          <w:szCs w:val="24"/>
        </w:rPr>
        <w:t xml:space="preserve"> – subsections 11(1) and 12(1) of the Act)</w:t>
      </w:r>
      <w:r w:rsidR="008D3C43" w:rsidRPr="00067669">
        <w:rPr>
          <w:rFonts w:cs="Times New Roman"/>
          <w:szCs w:val="24"/>
        </w:rPr>
        <w:t>.</w:t>
      </w:r>
      <w:r w:rsidR="008D3C43" w:rsidRPr="00792FEC">
        <w:rPr>
          <w:rFonts w:cs="Times New Roman"/>
          <w:szCs w:val="24"/>
        </w:rPr>
        <w:t xml:space="preserve"> </w:t>
      </w:r>
    </w:p>
    <w:p w14:paraId="4B06FBDE" w14:textId="2DA75CCD" w:rsidR="00F63B9B" w:rsidRPr="00792FEC" w:rsidRDefault="00F63B9B" w:rsidP="00C12BA6">
      <w:pPr>
        <w:spacing w:before="120" w:after="120" w:line="240" w:lineRule="auto"/>
        <w:rPr>
          <w:rFonts w:cs="Times New Roman"/>
          <w:szCs w:val="24"/>
        </w:rPr>
      </w:pPr>
      <w:r w:rsidRPr="00792FEC">
        <w:rPr>
          <w:rFonts w:cs="Times New Roman"/>
          <w:szCs w:val="24"/>
        </w:rPr>
        <w:t>The risk rated premium component is intended to cover the risk of each provider defaulting</w:t>
      </w:r>
      <w:r w:rsidR="00F93C27" w:rsidRPr="00792FEC">
        <w:rPr>
          <w:rFonts w:cs="Times New Roman"/>
          <w:szCs w:val="24"/>
        </w:rPr>
        <w:t xml:space="preserve"> (</w:t>
      </w:r>
      <w:r w:rsidR="00AD5EE0">
        <w:rPr>
          <w:rFonts w:cs="Times New Roman"/>
          <w:szCs w:val="24"/>
        </w:rPr>
        <w:t>including where</w:t>
      </w:r>
      <w:r w:rsidR="00AD5EE0" w:rsidRPr="00792FEC">
        <w:rPr>
          <w:rFonts w:cs="Times New Roman"/>
          <w:szCs w:val="24"/>
        </w:rPr>
        <w:t xml:space="preserve"> </w:t>
      </w:r>
      <w:r w:rsidR="00F93C27" w:rsidRPr="00792FEC">
        <w:rPr>
          <w:rFonts w:cs="Times New Roman"/>
          <w:szCs w:val="24"/>
        </w:rPr>
        <w:t>the provider fails to start to provide, or ceases to provide, a course or part of a course)</w:t>
      </w:r>
      <w:r w:rsidR="00BF6014">
        <w:rPr>
          <w:rFonts w:cs="Times New Roman"/>
          <w:szCs w:val="24"/>
        </w:rPr>
        <w:t xml:space="preserve">. It </w:t>
      </w:r>
      <w:r w:rsidRPr="00792FEC">
        <w:rPr>
          <w:rFonts w:cs="Times New Roman"/>
          <w:szCs w:val="24"/>
        </w:rPr>
        <w:t>is calculated according to a detailed methodology provided for in</w:t>
      </w:r>
      <w:r w:rsidR="00F250D4" w:rsidRPr="00792FEC">
        <w:rPr>
          <w:rFonts w:cs="Times New Roman"/>
          <w:szCs w:val="24"/>
        </w:rPr>
        <w:t xml:space="preserve"> sub</w:t>
      </w:r>
      <w:r w:rsidR="00A471A5" w:rsidRPr="00792FEC">
        <w:rPr>
          <w:rFonts w:cs="Times New Roman"/>
          <w:szCs w:val="24"/>
        </w:rPr>
        <w:t>section 11</w:t>
      </w:r>
      <w:r w:rsidR="00F250D4" w:rsidRPr="00792FEC">
        <w:rPr>
          <w:rFonts w:cs="Times New Roman"/>
          <w:szCs w:val="24"/>
        </w:rPr>
        <w:t>(2)</w:t>
      </w:r>
      <w:r w:rsidR="00A471A5" w:rsidRPr="00792FEC">
        <w:rPr>
          <w:rFonts w:cs="Times New Roman"/>
          <w:szCs w:val="24"/>
        </w:rPr>
        <w:t xml:space="preserve"> of </w:t>
      </w:r>
      <w:r w:rsidRPr="00792FEC">
        <w:rPr>
          <w:rFonts w:cs="Times New Roman"/>
          <w:szCs w:val="24"/>
        </w:rPr>
        <w:t xml:space="preserve">the Act and </w:t>
      </w:r>
      <w:r w:rsidR="00AD5EE0">
        <w:rPr>
          <w:rFonts w:cs="Times New Roman"/>
          <w:szCs w:val="24"/>
        </w:rPr>
        <w:t xml:space="preserve">as </w:t>
      </w:r>
      <w:r w:rsidR="00A471A5" w:rsidRPr="00792FEC">
        <w:rPr>
          <w:rFonts w:cs="Times New Roman"/>
          <w:szCs w:val="24"/>
        </w:rPr>
        <w:t>represented by the formula</w:t>
      </w:r>
      <w:r w:rsidRPr="00792FEC">
        <w:rPr>
          <w:rFonts w:cs="Times New Roman"/>
          <w:szCs w:val="24"/>
        </w:rPr>
        <w:t xml:space="preserve"> below.</w:t>
      </w:r>
    </w:p>
    <w:p w14:paraId="65F9441F" w14:textId="77777777" w:rsidR="00F63B9B" w:rsidRPr="00067669" w:rsidRDefault="00067669" w:rsidP="00F63B9B">
      <w:pPr>
        <w:spacing w:before="120" w:after="120" w:line="240" w:lineRule="auto"/>
        <w:rPr>
          <w:rFonts w:cs="Times New Roman"/>
          <w:b/>
          <w:i/>
          <w:szCs w:val="24"/>
        </w:rPr>
      </w:pPr>
      <w:r w:rsidRPr="00067669">
        <w:rPr>
          <w:rFonts w:cs="Times New Roman"/>
          <w:b/>
          <w:i/>
          <w:szCs w:val="24"/>
        </w:rPr>
        <w:t>R</w:t>
      </w:r>
      <w:r w:rsidR="00F63B9B" w:rsidRPr="00067669">
        <w:rPr>
          <w:rFonts w:cs="Times New Roman"/>
          <w:b/>
          <w:i/>
          <w:szCs w:val="24"/>
        </w:rPr>
        <w:t>isk rated premium component</w:t>
      </w:r>
      <w:r w:rsidR="00A471A5" w:rsidRPr="00067669">
        <w:rPr>
          <w:rFonts w:cs="Times New Roman"/>
          <w:b/>
          <w:i/>
          <w:szCs w:val="24"/>
        </w:rPr>
        <w:t xml:space="preserve"> </w:t>
      </w:r>
    </w:p>
    <w:p w14:paraId="26B73640" w14:textId="14FA50E6" w:rsidR="00F63B9B" w:rsidRPr="00792FEC" w:rsidRDefault="00F250D4" w:rsidP="00F63B9B">
      <w:pPr>
        <w:spacing w:before="120" w:after="120" w:line="240" w:lineRule="auto"/>
        <w:rPr>
          <w:rFonts w:cs="Times New Roman"/>
          <w:szCs w:val="24"/>
        </w:rPr>
      </w:pPr>
      <m:oMathPara>
        <m:oMath>
          <m:r>
            <w:rPr>
              <w:rFonts w:ascii="Cambria Math" w:eastAsiaTheme="minorEastAsia" w:hAnsi="Cambria Math" w:cs="Times New Roman"/>
              <w:szCs w:val="24"/>
            </w:rPr>
            <m:t>=</m:t>
          </m:r>
          <m:d>
            <m:dPr>
              <m:begChr m:val="{"/>
              <m:endChr m:val="}"/>
              <m:ctrlPr>
                <w:rPr>
                  <w:rFonts w:ascii="Cambria Math" w:hAnsi="Cambria Math" w:cs="Times New Roman"/>
                  <w:szCs w:val="24"/>
                </w:rPr>
              </m:ctrlPr>
            </m:dPr>
            <m:e>
              <m:d>
                <m:dPr>
                  <m:ctrlPr>
                    <w:rPr>
                      <w:rFonts w:ascii="Cambria Math" w:hAnsi="Cambria Math" w:cs="Times New Roman"/>
                      <w:szCs w:val="24"/>
                    </w:rPr>
                  </m:ctrlPr>
                </m:dPr>
                <m:e>
                  <m:eqArr>
                    <m:eqArrPr>
                      <m:ctrlPr>
                        <w:rPr>
                          <w:rFonts w:ascii="Cambria Math" w:hAnsi="Cambria Math" w:cs="Times New Roman"/>
                          <w:szCs w:val="24"/>
                        </w:rPr>
                      </m:ctrlPr>
                    </m:eqArrPr>
                    <m:e>
                      <m:r>
                        <m:rPr>
                          <m:nor/>
                        </m:rPr>
                        <w:rPr>
                          <w:rFonts w:cs="Times New Roman"/>
                          <w:szCs w:val="24"/>
                        </w:rPr>
                        <m:t>total VSL students</m:t>
                      </m:r>
                      <m:r>
                        <m:rPr>
                          <m:sty m:val="p"/>
                        </m:rPr>
                        <w:rPr>
                          <w:rFonts w:ascii="Cambria Math" w:hAnsi="Cambria Math" w:cs="Times New Roman"/>
                          <w:szCs w:val="24"/>
                        </w:rPr>
                        <m:t xml:space="preserve"> </m:t>
                      </m:r>
                    </m:e>
                    <m:e>
                      <m:r>
                        <m:rPr>
                          <m:nor/>
                        </m:rPr>
                        <w:rPr>
                          <w:rFonts w:cs="Times New Roman"/>
                          <w:szCs w:val="24"/>
                        </w:rPr>
                        <m:t>for the year</m:t>
                      </m:r>
                    </m:e>
                    <m:e>
                      <m:r>
                        <m:rPr>
                          <m:sty m:val="p"/>
                        </m:rPr>
                        <w:rPr>
                          <w:rFonts w:ascii="Cambria Math" w:hAnsi="Cambria Math" w:cs="Times New Roman"/>
                          <w:szCs w:val="24"/>
                        </w:rPr>
                        <m:t>×</m:t>
                      </m:r>
                    </m:e>
                    <m:e>
                      <m:r>
                        <m:rPr>
                          <m:nor/>
                        </m:rPr>
                        <w:rPr>
                          <w:rFonts w:cs="Times New Roman"/>
                          <w:szCs w:val="24"/>
                        </w:rPr>
                        <m:t>amount determined</m:t>
                      </m:r>
                      <m:r>
                        <m:rPr>
                          <m:sty m:val="p"/>
                        </m:rPr>
                        <w:rPr>
                          <w:rFonts w:ascii="Cambria Math" w:hAnsi="Cambria Math" w:cs="Times New Roman"/>
                          <w:szCs w:val="24"/>
                        </w:rPr>
                        <m:t xml:space="preserve"> </m:t>
                      </m:r>
                    </m:e>
                    <m:e>
                      <m:r>
                        <m:rPr>
                          <m:nor/>
                        </m:rPr>
                        <w:rPr>
                          <w:rFonts w:cs="Times New Roman"/>
                          <w:szCs w:val="24"/>
                        </w:rPr>
                        <m:t>by the Director</m:t>
                      </m:r>
                    </m:e>
                  </m:eqArr>
                </m:e>
              </m:d>
              <m:r>
                <m:rPr>
                  <m:sty m:val="p"/>
                </m:rPr>
                <w:rPr>
                  <w:rFonts w:ascii="Cambria Math" w:hAnsi="Cambria Math" w:cs="Times New Roman"/>
                  <w:szCs w:val="24"/>
                </w:rPr>
                <m:t>+</m:t>
              </m:r>
              <m:d>
                <m:dPr>
                  <m:ctrlPr>
                    <w:rPr>
                      <w:rFonts w:ascii="Cambria Math" w:hAnsi="Cambria Math" w:cs="Times New Roman"/>
                      <w:szCs w:val="24"/>
                    </w:rPr>
                  </m:ctrlPr>
                </m:dPr>
                <m:e>
                  <m:eqArr>
                    <m:eqArrPr>
                      <m:ctrlPr>
                        <w:rPr>
                          <w:rFonts w:ascii="Cambria Math" w:hAnsi="Cambria Math" w:cs="Times New Roman"/>
                          <w:szCs w:val="24"/>
                        </w:rPr>
                      </m:ctrlPr>
                    </m:eqArrPr>
                    <m:e>
                      <m:r>
                        <m:rPr>
                          <m:nor/>
                        </m:rPr>
                        <w:rPr>
                          <w:rFonts w:cs="Times New Roman"/>
                          <w:szCs w:val="24"/>
                        </w:rPr>
                        <m:t xml:space="preserve">VET student </m:t>
                      </m:r>
                      <m:r>
                        <m:rPr>
                          <m:sty m:val="p"/>
                        </m:rPr>
                        <w:rPr>
                          <w:rFonts w:ascii="Cambria Math" w:hAnsi="Cambria Math" w:cs="Times New Roman"/>
                          <w:szCs w:val="24"/>
                        </w:rPr>
                        <m:t xml:space="preserve"> </m:t>
                      </m:r>
                    </m:e>
                    <m:e>
                      <m:r>
                        <m:rPr>
                          <m:nor/>
                        </m:rPr>
                        <w:rPr>
                          <w:rFonts w:cs="Times New Roman"/>
                          <w:szCs w:val="24"/>
                        </w:rPr>
                        <m:t>loan amounts paid for</m:t>
                      </m:r>
                    </m:e>
                    <m:e>
                      <m:r>
                        <m:rPr>
                          <m:sty m:val="p"/>
                        </m:rPr>
                        <w:rPr>
                          <w:rFonts w:ascii="Cambria Math" w:hAnsi="Cambria Math" w:cs="Times New Roman"/>
                          <w:szCs w:val="24"/>
                        </w:rPr>
                        <m:t xml:space="preserve">previous year </m:t>
                      </m:r>
                      <m:ctrlPr>
                        <w:rPr>
                          <w:rFonts w:ascii="Cambria Math" w:eastAsia="Cambria Math" w:hAnsi="Cambria Math" w:cs="Times New Roman"/>
                          <w:szCs w:val="24"/>
                        </w:rPr>
                      </m:ctrlPr>
                    </m:e>
                    <m:e>
                      <m:r>
                        <m:rPr>
                          <m:sty m:val="p"/>
                        </m:rPr>
                        <w:rPr>
                          <w:rFonts w:ascii="Cambria Math" w:hAnsi="Cambria Math" w:cs="Times New Roman"/>
                          <w:szCs w:val="24"/>
                        </w:rPr>
                        <m:t xml:space="preserve">× </m:t>
                      </m:r>
                    </m:e>
                    <m:e>
                      <m:r>
                        <m:rPr>
                          <m:nor/>
                        </m:rPr>
                        <w:rPr>
                          <w:rFonts w:cs="Times New Roman"/>
                          <w:szCs w:val="24"/>
                        </w:rPr>
                        <m:t>percentage determined</m:t>
                      </m:r>
                      <m:r>
                        <m:rPr>
                          <m:sty m:val="p"/>
                        </m:rPr>
                        <w:rPr>
                          <w:rFonts w:ascii="Cambria Math" w:hAnsi="Cambria Math" w:cs="Times New Roman"/>
                          <w:szCs w:val="24"/>
                        </w:rPr>
                        <m:t xml:space="preserve"> </m:t>
                      </m:r>
                    </m:e>
                    <m:e>
                      <m:r>
                        <m:rPr>
                          <m:nor/>
                        </m:rPr>
                        <w:rPr>
                          <w:rFonts w:cs="Times New Roman"/>
                          <w:szCs w:val="24"/>
                        </w:rPr>
                        <m:t>by the Director</m:t>
                      </m:r>
                    </m:e>
                  </m:eqArr>
                </m:e>
              </m:d>
            </m:e>
          </m:d>
          <m:r>
            <m:rPr>
              <m:sty m:val="p"/>
            </m:rPr>
            <w:rPr>
              <w:rFonts w:ascii="Cambria Math" w:hAnsi="Cambria Math" w:cs="Times New Roman"/>
              <w:szCs w:val="24"/>
            </w:rPr>
            <m:t xml:space="preserve"> ×</m:t>
          </m:r>
          <m:d>
            <m:dPr>
              <m:begChr m:val="{"/>
              <m:endChr m:val="}"/>
              <m:ctrlPr>
                <w:rPr>
                  <w:rFonts w:ascii="Cambria Math" w:hAnsi="Cambria Math" w:cs="Times New Roman"/>
                  <w:szCs w:val="24"/>
                </w:rPr>
              </m:ctrlPr>
            </m:dPr>
            <m:e>
              <m:d>
                <m:dPr>
                  <m:ctrlPr>
                    <w:rPr>
                      <w:rFonts w:ascii="Cambria Math" w:hAnsi="Cambria Math" w:cs="Times New Roman"/>
                      <w:szCs w:val="24"/>
                    </w:rPr>
                  </m:ctrlPr>
                </m:dPr>
                <m:e>
                  <m:r>
                    <w:rPr>
                      <w:rFonts w:ascii="Cambria Math" w:hAnsi="Cambria Math" w:cs="Times New Roman"/>
                      <w:szCs w:val="24"/>
                    </w:rPr>
                    <m:t>risk</m:t>
                  </m:r>
                  <m:r>
                    <m:rPr>
                      <m:sty m:val="p"/>
                    </m:rPr>
                    <w:rPr>
                      <w:rFonts w:ascii="Cambria Math" w:hAnsi="Cambria Math" w:cs="Times New Roman"/>
                      <w:szCs w:val="24"/>
                    </w:rPr>
                    <m:t xml:space="preserve"> </m:t>
                  </m:r>
                  <m:r>
                    <w:rPr>
                      <w:rFonts w:ascii="Cambria Math" w:hAnsi="Cambria Math" w:cs="Times New Roman"/>
                      <w:szCs w:val="24"/>
                    </w:rPr>
                    <m:t>factor values</m:t>
                  </m:r>
                </m:e>
              </m:d>
              <m:r>
                <m:rPr>
                  <m:sty m:val="p"/>
                </m:rPr>
                <w:rPr>
                  <w:rFonts w:ascii="Cambria Math" w:hAnsi="Cambria Math" w:cs="Times New Roman"/>
                  <w:szCs w:val="24"/>
                </w:rPr>
                <m:t>+1</m:t>
              </m:r>
            </m:e>
          </m:d>
        </m:oMath>
      </m:oMathPara>
    </w:p>
    <w:p w14:paraId="5DA8F8AF" w14:textId="77777777" w:rsidR="00F63B9B" w:rsidRPr="00792FEC" w:rsidRDefault="003E0ACA" w:rsidP="00C12BA6">
      <w:pPr>
        <w:spacing w:before="120" w:after="120" w:line="240" w:lineRule="auto"/>
        <w:ind w:right="91"/>
        <w:rPr>
          <w:rFonts w:cs="Times New Roman"/>
          <w:szCs w:val="24"/>
        </w:rPr>
      </w:pPr>
      <w:r w:rsidRPr="00792FEC">
        <w:rPr>
          <w:rFonts w:cs="Times New Roman"/>
          <w:szCs w:val="24"/>
        </w:rPr>
        <w:t xml:space="preserve">‘Total VSL students’ means the total number of students who were enrolled with the provider in an approved course with a census </w:t>
      </w:r>
      <w:r w:rsidR="00BF6014">
        <w:rPr>
          <w:rFonts w:cs="Times New Roman"/>
          <w:szCs w:val="24"/>
        </w:rPr>
        <w:t>date</w:t>
      </w:r>
      <w:r w:rsidRPr="00792FEC">
        <w:rPr>
          <w:rFonts w:cs="Times New Roman"/>
          <w:szCs w:val="24"/>
        </w:rPr>
        <w:t xml:space="preserve"> occurring in the previous calendar year and have been approved for a VET student loan for the course.</w:t>
      </w:r>
    </w:p>
    <w:p w14:paraId="36593DB2" w14:textId="089FF5A0" w:rsidR="00F63B9B" w:rsidRPr="00792FEC" w:rsidRDefault="00F63B9B" w:rsidP="00C12BA6">
      <w:pPr>
        <w:spacing w:before="120" w:after="120" w:line="240" w:lineRule="auto"/>
        <w:rPr>
          <w:rFonts w:cs="Times New Roman"/>
          <w:szCs w:val="24"/>
        </w:rPr>
      </w:pPr>
      <w:r w:rsidRPr="00792FEC">
        <w:rPr>
          <w:rFonts w:cs="Times New Roman"/>
          <w:szCs w:val="24"/>
        </w:rPr>
        <w:t xml:space="preserve">The special tuition protection component of the </w:t>
      </w:r>
      <w:r w:rsidR="003E0ACA" w:rsidRPr="00792FEC">
        <w:rPr>
          <w:rFonts w:cs="Times New Roman"/>
          <w:szCs w:val="24"/>
        </w:rPr>
        <w:t xml:space="preserve">VSL Levy </w:t>
      </w:r>
      <w:r w:rsidRPr="00792FEC">
        <w:rPr>
          <w:rFonts w:cs="Times New Roman"/>
          <w:szCs w:val="24"/>
        </w:rPr>
        <w:t xml:space="preserve">is intended </w:t>
      </w:r>
      <w:r w:rsidR="003E0ACA" w:rsidRPr="00792FEC">
        <w:rPr>
          <w:rFonts w:cs="Times New Roman"/>
          <w:szCs w:val="24"/>
        </w:rPr>
        <w:t xml:space="preserve">to </w:t>
      </w:r>
      <w:r w:rsidRPr="00792FEC">
        <w:rPr>
          <w:rFonts w:cs="Times New Roman"/>
          <w:szCs w:val="24"/>
        </w:rPr>
        <w:t>enable the Fund to grow</w:t>
      </w:r>
      <w:r w:rsidR="00C705B1" w:rsidRPr="00792FEC">
        <w:rPr>
          <w:rFonts w:cs="Times New Roman"/>
          <w:szCs w:val="24"/>
        </w:rPr>
        <w:t xml:space="preserve"> and to ensure against future systemic shocks. Subsection 12(2) of the Act sets out how the special tuition protection component is to be calculated, </w:t>
      </w:r>
      <w:r w:rsidR="00AD5EE0">
        <w:rPr>
          <w:rFonts w:cs="Times New Roman"/>
          <w:szCs w:val="24"/>
        </w:rPr>
        <w:t xml:space="preserve">as represented by </w:t>
      </w:r>
      <w:r w:rsidR="00C705B1" w:rsidRPr="00792FEC">
        <w:rPr>
          <w:rFonts w:cs="Times New Roman"/>
          <w:szCs w:val="24"/>
        </w:rPr>
        <w:t>the formula below.</w:t>
      </w:r>
    </w:p>
    <w:p w14:paraId="18A0B3A0" w14:textId="77777777" w:rsidR="00F63B9B" w:rsidRPr="00067669" w:rsidRDefault="00067669" w:rsidP="00F63B9B">
      <w:pPr>
        <w:spacing w:before="120" w:after="120" w:line="240" w:lineRule="auto"/>
        <w:rPr>
          <w:rFonts w:cs="Times New Roman"/>
          <w:b/>
          <w:i/>
          <w:szCs w:val="24"/>
        </w:rPr>
      </w:pPr>
      <w:r w:rsidRPr="00067669">
        <w:rPr>
          <w:rFonts w:cs="Times New Roman"/>
          <w:b/>
          <w:i/>
          <w:szCs w:val="24"/>
        </w:rPr>
        <w:t>S</w:t>
      </w:r>
      <w:r w:rsidR="00F63B9B" w:rsidRPr="00067669">
        <w:rPr>
          <w:rFonts w:cs="Times New Roman"/>
          <w:b/>
          <w:i/>
          <w:szCs w:val="24"/>
        </w:rPr>
        <w:t>pecial tuition protection component</w:t>
      </w:r>
    </w:p>
    <w:p w14:paraId="6817D26C" w14:textId="77777777" w:rsidR="00F63B9B" w:rsidRPr="00792FEC" w:rsidRDefault="00F63B9B" w:rsidP="00F63B9B">
      <w:pPr>
        <w:spacing w:before="120" w:after="120" w:line="240" w:lineRule="auto"/>
        <w:rPr>
          <w:rFonts w:cs="Times New Roman"/>
          <w:szCs w:val="24"/>
        </w:rPr>
      </w:pPr>
      <m:oMathPara>
        <m:oMath>
          <m:r>
            <m:rPr>
              <m:sty m:val="p"/>
            </m:rPr>
            <w:rPr>
              <w:rFonts w:ascii="Cambria Math" w:hAnsi="Cambria Math" w:cs="Times New Roman"/>
              <w:szCs w:val="24"/>
            </w:rPr>
            <m:t>=</m:t>
          </m:r>
          <m:d>
            <m:dPr>
              <m:ctrlPr>
                <w:rPr>
                  <w:rFonts w:ascii="Cambria Math" w:hAnsi="Cambria Math" w:cs="Times New Roman"/>
                  <w:szCs w:val="24"/>
                </w:rPr>
              </m:ctrlPr>
            </m:dPr>
            <m:e>
              <m:f>
                <m:fPr>
                  <m:type m:val="noBar"/>
                  <m:ctrlPr>
                    <w:rPr>
                      <w:rFonts w:ascii="Cambria Math" w:hAnsi="Cambria Math" w:cs="Times New Roman"/>
                      <w:szCs w:val="24"/>
                    </w:rPr>
                  </m:ctrlPr>
                </m:fPr>
                <m:num>
                  <m:eqArr>
                    <m:eqArrPr>
                      <m:ctrlPr>
                        <w:rPr>
                          <w:rFonts w:ascii="Cambria Math" w:hAnsi="Cambria Math" w:cs="Times New Roman"/>
                          <w:szCs w:val="24"/>
                        </w:rPr>
                      </m:ctrlPr>
                    </m:eqArrPr>
                    <m:e>
                      <m:r>
                        <m:rPr>
                          <m:nor/>
                        </m:rPr>
                        <w:rPr>
                          <w:rFonts w:cs="Times New Roman"/>
                          <w:szCs w:val="24"/>
                        </w:rPr>
                        <m:t xml:space="preserve">VET student </m:t>
                      </m:r>
                    </m:e>
                    <m:e>
                      <m:r>
                        <m:rPr>
                          <m:nor/>
                        </m:rPr>
                        <w:rPr>
                          <w:rFonts w:cs="Times New Roman"/>
                          <w:szCs w:val="24"/>
                        </w:rPr>
                        <m:t>loan amounts</m:t>
                      </m:r>
                    </m:e>
                  </m:eqArr>
                </m:num>
                <m:den>
                  <m:r>
                    <m:rPr>
                      <m:nor/>
                    </m:rPr>
                    <w:rPr>
                      <w:rFonts w:cs="Times New Roman"/>
                      <w:szCs w:val="24"/>
                    </w:rPr>
                    <m:t xml:space="preserve">paid for previous year </m:t>
                  </m:r>
                </m:den>
              </m:f>
            </m:e>
          </m:d>
          <m:r>
            <m:rPr>
              <m:sty m:val="p"/>
            </m:rPr>
            <w:rPr>
              <w:rFonts w:ascii="Cambria Math" w:hAnsi="Cambria Math" w:cs="Times New Roman"/>
              <w:szCs w:val="24"/>
            </w:rPr>
            <m:t>×</m:t>
          </m:r>
          <m:d>
            <m:dPr>
              <m:ctrlPr>
                <w:rPr>
                  <w:rFonts w:ascii="Cambria Math" w:hAnsi="Cambria Math" w:cs="Times New Roman"/>
                  <w:szCs w:val="24"/>
                </w:rPr>
              </m:ctrlPr>
            </m:dPr>
            <m:e>
              <m:f>
                <m:fPr>
                  <m:type m:val="noBar"/>
                  <m:ctrlPr>
                    <w:rPr>
                      <w:rFonts w:ascii="Cambria Math" w:hAnsi="Cambria Math" w:cs="Times New Roman"/>
                      <w:szCs w:val="24"/>
                    </w:rPr>
                  </m:ctrlPr>
                </m:fPr>
                <m:num>
                  <m:r>
                    <m:rPr>
                      <m:nor/>
                    </m:rPr>
                    <w:rPr>
                      <w:rFonts w:cs="Times New Roman"/>
                      <w:szCs w:val="24"/>
                    </w:rPr>
                    <m:t>percentage determined</m:t>
                  </m:r>
                </m:num>
                <m:den>
                  <m:r>
                    <m:rPr>
                      <m:nor/>
                    </m:rPr>
                    <w:rPr>
                      <w:rFonts w:cs="Times New Roman"/>
                      <w:szCs w:val="24"/>
                    </w:rPr>
                    <m:t>by the Director</m:t>
                  </m:r>
                  <m:r>
                    <m:rPr>
                      <m:nor/>
                    </m:rPr>
                    <w:rPr>
                      <w:rFonts w:ascii="Cambria Math" w:cs="Times New Roman"/>
                      <w:szCs w:val="24"/>
                    </w:rPr>
                    <m:t xml:space="preserve"> </m:t>
                  </m:r>
                </m:den>
              </m:f>
            </m:e>
          </m:d>
        </m:oMath>
      </m:oMathPara>
    </w:p>
    <w:p w14:paraId="74F05624" w14:textId="77777777" w:rsidR="00F63B9B" w:rsidRPr="00792FEC" w:rsidRDefault="00F63B9B" w:rsidP="00F63B9B">
      <w:pPr>
        <w:spacing w:before="120" w:after="120" w:line="240" w:lineRule="auto"/>
        <w:rPr>
          <w:rFonts w:cs="Times New Roman"/>
          <w:szCs w:val="24"/>
        </w:rPr>
      </w:pPr>
    </w:p>
    <w:p w14:paraId="4325AC46" w14:textId="77777777" w:rsidR="00696CF0" w:rsidRPr="00792FEC" w:rsidRDefault="00144950" w:rsidP="00696CF0">
      <w:pPr>
        <w:pStyle w:val="Heading2"/>
        <w:rPr>
          <w:rFonts w:cs="Times New Roman"/>
          <w:color w:val="auto"/>
          <w:szCs w:val="24"/>
        </w:rPr>
      </w:pPr>
      <w:bookmarkStart w:id="3" w:name="_Toc34293360"/>
      <w:r w:rsidRPr="00792FEC">
        <w:rPr>
          <w:rFonts w:cs="Times New Roman"/>
          <w:color w:val="auto"/>
          <w:szCs w:val="24"/>
        </w:rPr>
        <w:lastRenderedPageBreak/>
        <w:t>CONSULTATION</w:t>
      </w:r>
      <w:bookmarkEnd w:id="3"/>
    </w:p>
    <w:p w14:paraId="174EC363" w14:textId="77777777" w:rsidR="000C541F" w:rsidRPr="00067669" w:rsidRDefault="000C541F" w:rsidP="000C541F">
      <w:pPr>
        <w:spacing w:before="120" w:after="120" w:line="240" w:lineRule="auto"/>
        <w:rPr>
          <w:rFonts w:cs="Times New Roman"/>
          <w:szCs w:val="24"/>
        </w:rPr>
      </w:pPr>
      <w:r w:rsidRPr="00067669">
        <w:rPr>
          <w:rFonts w:cs="Times New Roman"/>
          <w:szCs w:val="24"/>
        </w:rPr>
        <w:t xml:space="preserve">The Director has consulted and considered the Advisory Board’s advice in making this Instrument. Members of the Advisory Board are members of the TPS Advisory Board (section </w:t>
      </w:r>
      <w:r w:rsidR="00067669">
        <w:rPr>
          <w:rFonts w:cs="Times New Roman"/>
          <w:szCs w:val="24"/>
        </w:rPr>
        <w:t>66Q</w:t>
      </w:r>
      <w:r w:rsidRPr="00067669">
        <w:rPr>
          <w:rFonts w:cs="Times New Roman"/>
          <w:szCs w:val="24"/>
        </w:rPr>
        <w:t xml:space="preserve"> of</w:t>
      </w:r>
      <w:r w:rsidR="00067669">
        <w:rPr>
          <w:rFonts w:cs="Times New Roman"/>
          <w:szCs w:val="24"/>
        </w:rPr>
        <w:t xml:space="preserve"> the VSL Act)</w:t>
      </w:r>
      <w:r w:rsidRPr="00067669">
        <w:rPr>
          <w:rFonts w:cs="Times New Roman"/>
          <w:szCs w:val="24"/>
        </w:rPr>
        <w:t xml:space="preserve">, who are appointed by the Minister under section 55D of the </w:t>
      </w:r>
      <w:r w:rsidRPr="00067669">
        <w:rPr>
          <w:rFonts w:cs="Times New Roman"/>
          <w:i/>
          <w:szCs w:val="24"/>
        </w:rPr>
        <w:t xml:space="preserve">Education Services for Overseas Students Act 2000 </w:t>
      </w:r>
      <w:r w:rsidRPr="00067669">
        <w:rPr>
          <w:rFonts w:cs="Times New Roman"/>
          <w:szCs w:val="24"/>
        </w:rPr>
        <w:t xml:space="preserve">(taking into account the membership specifications set out in section 55C of that Act). The Advisory Board currently comprises four non-government sector representatives, selected on the basis of their qualifications and experience in the sector, and five government representatives. </w:t>
      </w:r>
    </w:p>
    <w:p w14:paraId="43AA6B28" w14:textId="77777777" w:rsidR="000C541F" w:rsidRDefault="000C541F" w:rsidP="000C541F">
      <w:pPr>
        <w:spacing w:before="120" w:after="120" w:line="240" w:lineRule="auto"/>
        <w:rPr>
          <w:rFonts w:cs="Times New Roman"/>
          <w:szCs w:val="24"/>
        </w:rPr>
      </w:pPr>
      <w:r w:rsidRPr="00067669">
        <w:rPr>
          <w:rFonts w:cs="Times New Roman"/>
          <w:szCs w:val="24"/>
        </w:rPr>
        <w:t>The Director has also worked extensively with the Australian Government Actuary (AGA) in determining the risk factors and methods for working out the risk factor values.</w:t>
      </w:r>
      <w:r>
        <w:rPr>
          <w:rFonts w:cs="Times New Roman"/>
          <w:szCs w:val="24"/>
        </w:rPr>
        <w:t xml:space="preserve"> </w:t>
      </w:r>
    </w:p>
    <w:p w14:paraId="7BDDAE3A" w14:textId="77777777" w:rsidR="00CC5880" w:rsidRPr="00792FEC" w:rsidRDefault="00CC5880" w:rsidP="001A4262">
      <w:pPr>
        <w:spacing w:before="120" w:after="120" w:line="240" w:lineRule="auto"/>
        <w:rPr>
          <w:rFonts w:cs="Times New Roman"/>
          <w:szCs w:val="24"/>
        </w:rPr>
      </w:pPr>
      <w:r w:rsidRPr="00792FEC">
        <w:rPr>
          <w:rFonts w:cs="Times New Roman"/>
          <w:szCs w:val="24"/>
        </w:rPr>
        <w:t xml:space="preserve">The Director and the </w:t>
      </w:r>
      <w:r w:rsidR="00ED5A55" w:rsidRPr="00792FEC">
        <w:rPr>
          <w:rFonts w:cs="Times New Roman"/>
          <w:szCs w:val="24"/>
        </w:rPr>
        <w:t xml:space="preserve">Advisory </w:t>
      </w:r>
      <w:r w:rsidRPr="00792FEC">
        <w:rPr>
          <w:rFonts w:cs="Times New Roman"/>
          <w:szCs w:val="24"/>
        </w:rPr>
        <w:t xml:space="preserve">Board have undertaken extensive consultation with </w:t>
      </w:r>
      <w:r w:rsidR="00ED5A55" w:rsidRPr="00792FEC">
        <w:rPr>
          <w:rFonts w:cs="Times New Roman"/>
          <w:szCs w:val="24"/>
        </w:rPr>
        <w:t>VSL</w:t>
      </w:r>
      <w:r w:rsidRPr="00792FEC">
        <w:rPr>
          <w:rFonts w:cs="Times New Roman"/>
          <w:szCs w:val="24"/>
        </w:rPr>
        <w:t xml:space="preserve"> providers and their representatives on the levy framework and the risk rated premium and special tuition protection components of the </w:t>
      </w:r>
      <w:r w:rsidR="00ED5A55" w:rsidRPr="00792FEC">
        <w:rPr>
          <w:rFonts w:cs="Times New Roman"/>
          <w:szCs w:val="24"/>
        </w:rPr>
        <w:t xml:space="preserve">VSL Levy. </w:t>
      </w:r>
      <w:r w:rsidRPr="00792FEC">
        <w:rPr>
          <w:rFonts w:cs="Times New Roman"/>
          <w:szCs w:val="24"/>
        </w:rPr>
        <w:t xml:space="preserve">The </w:t>
      </w:r>
      <w:r w:rsidR="00ED5A55" w:rsidRPr="00792FEC">
        <w:rPr>
          <w:rFonts w:cs="Times New Roman"/>
          <w:szCs w:val="24"/>
        </w:rPr>
        <w:t xml:space="preserve">Advisory </w:t>
      </w:r>
      <w:r w:rsidRPr="00792FEC">
        <w:rPr>
          <w:rFonts w:cs="Times New Roman"/>
          <w:szCs w:val="24"/>
        </w:rPr>
        <w:t>Board released its draft advice in relation to the proposed settings for the risk rated premium and special tuition protection compo</w:t>
      </w:r>
      <w:r w:rsidR="00BF6014">
        <w:rPr>
          <w:rFonts w:cs="Times New Roman"/>
          <w:szCs w:val="24"/>
        </w:rPr>
        <w:t xml:space="preserve">nents of the Levy in May 2020. </w:t>
      </w:r>
      <w:r w:rsidR="00BF6014">
        <w:t xml:space="preserve">A copy of the draft advice is available on the Australian Government Tuition Protection Service website: </w:t>
      </w:r>
      <w:hyperlink r:id="rId11" w:history="1">
        <w:r w:rsidR="00BF6014" w:rsidRPr="00515AAB">
          <w:rPr>
            <w:rStyle w:val="Hyperlink"/>
          </w:rPr>
          <w:t>https://tps.gov.au</w:t>
        </w:r>
      </w:hyperlink>
      <w:r w:rsidR="00BF6014">
        <w:t xml:space="preserve">. </w:t>
      </w:r>
      <w:r w:rsidRPr="00792FEC">
        <w:rPr>
          <w:rFonts w:cs="Times New Roman"/>
          <w:szCs w:val="24"/>
        </w:rPr>
        <w:t>Providers and industry peak bodies were invited to provide feedback during this public consultation</w:t>
      </w:r>
      <w:r w:rsidR="00ED5A55" w:rsidRPr="00792FEC">
        <w:rPr>
          <w:rFonts w:cs="Times New Roman"/>
          <w:szCs w:val="24"/>
        </w:rPr>
        <w:t xml:space="preserve">, which feedback was considered by the </w:t>
      </w:r>
      <w:r w:rsidRPr="00792FEC">
        <w:rPr>
          <w:rFonts w:cs="Times New Roman"/>
          <w:szCs w:val="24"/>
        </w:rPr>
        <w:t xml:space="preserve">Director and the </w:t>
      </w:r>
      <w:r w:rsidR="00ED5A55" w:rsidRPr="00792FEC">
        <w:rPr>
          <w:rFonts w:cs="Times New Roman"/>
          <w:szCs w:val="24"/>
        </w:rPr>
        <w:t>Advisory Board</w:t>
      </w:r>
      <w:r w:rsidRPr="00792FEC">
        <w:rPr>
          <w:rFonts w:cs="Times New Roman"/>
          <w:szCs w:val="24"/>
        </w:rPr>
        <w:t>.</w:t>
      </w:r>
    </w:p>
    <w:p w14:paraId="0271D8F7" w14:textId="77777777" w:rsidR="00CC5880" w:rsidRPr="00792FEC" w:rsidRDefault="00CC5880" w:rsidP="001A4262">
      <w:pPr>
        <w:spacing w:before="120" w:after="120" w:line="240" w:lineRule="auto"/>
        <w:rPr>
          <w:rFonts w:cs="Times New Roman"/>
          <w:szCs w:val="24"/>
        </w:rPr>
      </w:pPr>
      <w:r w:rsidRPr="00792FEC">
        <w:rPr>
          <w:rFonts w:cs="Times New Roman"/>
          <w:szCs w:val="24"/>
        </w:rPr>
        <w:t xml:space="preserve">The Director also consulted the Department of Education, Skills and Employment regarding the </w:t>
      </w:r>
      <w:r w:rsidR="00ED5A55" w:rsidRPr="00792FEC">
        <w:rPr>
          <w:rFonts w:cs="Times New Roman"/>
          <w:szCs w:val="24"/>
        </w:rPr>
        <w:t xml:space="preserve">Advisory </w:t>
      </w:r>
      <w:r w:rsidRPr="00792FEC">
        <w:rPr>
          <w:rFonts w:cs="Times New Roman"/>
          <w:szCs w:val="24"/>
        </w:rPr>
        <w:t>Board’s draft advice.</w:t>
      </w:r>
    </w:p>
    <w:p w14:paraId="066855F8" w14:textId="77777777" w:rsidR="00C12BA6" w:rsidRDefault="00C12BA6" w:rsidP="00891889">
      <w:pPr>
        <w:pStyle w:val="Heading2"/>
        <w:rPr>
          <w:rFonts w:cs="Times New Roman"/>
          <w:color w:val="auto"/>
          <w:szCs w:val="24"/>
        </w:rPr>
      </w:pPr>
      <w:bookmarkStart w:id="4" w:name="_Toc23942241"/>
      <w:bookmarkStart w:id="5" w:name="_Toc34293362"/>
    </w:p>
    <w:p w14:paraId="649D32CD" w14:textId="1FEDF1F7" w:rsidR="00891889" w:rsidRPr="00792FEC" w:rsidRDefault="00891889" w:rsidP="00891889">
      <w:pPr>
        <w:pStyle w:val="Heading2"/>
        <w:rPr>
          <w:rFonts w:cs="Times New Roman"/>
          <w:color w:val="auto"/>
          <w:szCs w:val="24"/>
        </w:rPr>
      </w:pPr>
      <w:r w:rsidRPr="00792FEC">
        <w:rPr>
          <w:rFonts w:cs="Times New Roman"/>
          <w:color w:val="auto"/>
          <w:szCs w:val="24"/>
        </w:rPr>
        <w:t>REGULATORY IMPACT</w:t>
      </w:r>
    </w:p>
    <w:p w14:paraId="1E311F6C" w14:textId="77777777" w:rsidR="00C12BA6" w:rsidRPr="00C12BA6" w:rsidRDefault="000C541F" w:rsidP="00E50D49">
      <w:pPr>
        <w:pStyle w:val="Heading2"/>
        <w:rPr>
          <w:b w:val="0"/>
        </w:rPr>
      </w:pPr>
      <w:r w:rsidRPr="00C12BA6">
        <w:rPr>
          <w:b w:val="0"/>
        </w:rPr>
        <w:t xml:space="preserve">The Office of Best Practice Regulation (OBPR) has advised a regulatory impact statement is not required for this Instrument (OBPR ID 23228).   </w:t>
      </w:r>
    </w:p>
    <w:p w14:paraId="659E1339" w14:textId="77777777" w:rsidR="00C12BA6" w:rsidRDefault="00C12BA6" w:rsidP="00E50D49">
      <w:pPr>
        <w:pStyle w:val="Heading2"/>
      </w:pPr>
    </w:p>
    <w:p w14:paraId="209111AB" w14:textId="74727276" w:rsidR="00891889" w:rsidRPr="00792FEC" w:rsidRDefault="00E50D49" w:rsidP="00E50D49">
      <w:pPr>
        <w:pStyle w:val="Heading2"/>
        <w:rPr>
          <w:rFonts w:cs="Times New Roman"/>
          <w:color w:val="auto"/>
          <w:szCs w:val="24"/>
        </w:rPr>
      </w:pPr>
      <w:r w:rsidRPr="00792FEC">
        <w:rPr>
          <w:rFonts w:cs="Times New Roman"/>
          <w:color w:val="auto"/>
          <w:szCs w:val="24"/>
        </w:rPr>
        <w:t xml:space="preserve">FINANCIAL IMPACT STATEMENT </w:t>
      </w:r>
    </w:p>
    <w:p w14:paraId="785F8A1C" w14:textId="34C68A09" w:rsidR="00891889" w:rsidRPr="00792FEC" w:rsidRDefault="00891889" w:rsidP="00E50D49">
      <w:pPr>
        <w:spacing w:before="120" w:after="120" w:line="240" w:lineRule="auto"/>
        <w:rPr>
          <w:rFonts w:cs="Times New Roman"/>
          <w:szCs w:val="24"/>
        </w:rPr>
      </w:pPr>
      <w:r w:rsidRPr="00792FEC">
        <w:rPr>
          <w:rFonts w:cs="Times New Roman"/>
          <w:szCs w:val="24"/>
        </w:rPr>
        <w:t xml:space="preserve">This Instrument will result in a projected revenue </w:t>
      </w:r>
      <w:r w:rsidR="00AC5359">
        <w:rPr>
          <w:rFonts w:cs="Times New Roman"/>
          <w:szCs w:val="24"/>
        </w:rPr>
        <w:t>of approximately</w:t>
      </w:r>
      <w:r w:rsidR="00AC5359" w:rsidRPr="00792FEC">
        <w:rPr>
          <w:rFonts w:cs="Times New Roman"/>
          <w:szCs w:val="24"/>
        </w:rPr>
        <w:t xml:space="preserve"> </w:t>
      </w:r>
      <w:r w:rsidRPr="00792FEC">
        <w:rPr>
          <w:rFonts w:cs="Times New Roman"/>
          <w:szCs w:val="24"/>
        </w:rPr>
        <w:t>$1.</w:t>
      </w:r>
      <w:r w:rsidR="00AC5359">
        <w:rPr>
          <w:rFonts w:cs="Times New Roman"/>
          <w:szCs w:val="24"/>
        </w:rPr>
        <w:t>4</w:t>
      </w:r>
      <w:r w:rsidR="00AC5359" w:rsidRPr="00792FEC">
        <w:rPr>
          <w:rFonts w:cs="Times New Roman"/>
          <w:szCs w:val="24"/>
        </w:rPr>
        <w:t xml:space="preserve"> </w:t>
      </w:r>
      <w:r w:rsidRPr="00792FEC">
        <w:rPr>
          <w:rFonts w:cs="Times New Roman"/>
          <w:szCs w:val="24"/>
        </w:rPr>
        <w:t>million.</w:t>
      </w:r>
    </w:p>
    <w:p w14:paraId="04424ED5" w14:textId="77777777" w:rsidR="000C541F" w:rsidRDefault="000C541F" w:rsidP="000C541F">
      <w:pPr>
        <w:spacing w:before="120" w:after="120" w:line="240" w:lineRule="auto"/>
        <w:rPr>
          <w:rFonts w:eastAsia="Times New Roman" w:cs="Arial"/>
          <w:color w:val="000000" w:themeColor="text1"/>
          <w:szCs w:val="24"/>
          <w:lang w:eastAsia="en-AU"/>
        </w:rPr>
      </w:pPr>
      <w:r w:rsidRPr="000C541F">
        <w:rPr>
          <w:rFonts w:eastAsia="Times New Roman" w:cs="Arial"/>
          <w:color w:val="000000" w:themeColor="text1"/>
          <w:szCs w:val="24"/>
          <w:lang w:eastAsia="en-AU"/>
        </w:rPr>
        <w:t>Given the funds are credited to a special account, and are derived from industry contributions, the funds cannot be redirected toward any other program or portfolio, as the funds can only be appropriated for the purposes of the special account.</w:t>
      </w:r>
      <w:r>
        <w:rPr>
          <w:rFonts w:eastAsia="Times New Roman" w:cs="Arial"/>
          <w:color w:val="000000" w:themeColor="text1"/>
          <w:szCs w:val="24"/>
          <w:lang w:eastAsia="en-AU"/>
        </w:rPr>
        <w:t xml:space="preserve"> </w:t>
      </w:r>
    </w:p>
    <w:p w14:paraId="7ED70230" w14:textId="5CFD3B2A" w:rsidR="00891889" w:rsidRPr="00792FEC" w:rsidRDefault="00891889" w:rsidP="00E50D49">
      <w:pPr>
        <w:spacing w:before="120" w:after="120" w:line="240" w:lineRule="auto"/>
        <w:rPr>
          <w:rFonts w:cs="Times New Roman"/>
          <w:szCs w:val="24"/>
        </w:rPr>
      </w:pPr>
      <w:r w:rsidRPr="00792FEC">
        <w:rPr>
          <w:rFonts w:cs="Times New Roman"/>
          <w:szCs w:val="24"/>
        </w:rPr>
        <w:t xml:space="preserve">In </w:t>
      </w:r>
      <w:r w:rsidR="00E50D49" w:rsidRPr="00792FEC">
        <w:rPr>
          <w:rFonts w:cs="Times New Roman"/>
          <w:szCs w:val="24"/>
        </w:rPr>
        <w:t xml:space="preserve">determining the matters relevant to the calculation of the risk rated premium component and special tuition protection component of the VSL Levy, the Director </w:t>
      </w:r>
      <w:r w:rsidRPr="00792FEC">
        <w:rPr>
          <w:rFonts w:cs="Times New Roman"/>
          <w:szCs w:val="24"/>
        </w:rPr>
        <w:t xml:space="preserve">considered not only the sustainability of the Fund, but also the reality of the economy-wide ramifications and impact of the COVID-19 pandemic on businesses and education in Australia. The </w:t>
      </w:r>
      <w:r w:rsidR="00E50D49" w:rsidRPr="00792FEC">
        <w:rPr>
          <w:rFonts w:cs="Times New Roman"/>
          <w:szCs w:val="24"/>
        </w:rPr>
        <w:t>Director’s</w:t>
      </w:r>
      <w:r w:rsidRPr="00792FEC">
        <w:rPr>
          <w:rFonts w:cs="Times New Roman"/>
          <w:szCs w:val="24"/>
        </w:rPr>
        <w:t xml:space="preserve"> focus and intention in </w:t>
      </w:r>
      <w:r w:rsidR="00E50D49" w:rsidRPr="00792FEC">
        <w:rPr>
          <w:rFonts w:cs="Times New Roman"/>
          <w:szCs w:val="24"/>
        </w:rPr>
        <w:t>determining those matters</w:t>
      </w:r>
      <w:r w:rsidRPr="00792FEC">
        <w:rPr>
          <w:rFonts w:cs="Times New Roman"/>
          <w:szCs w:val="24"/>
        </w:rPr>
        <w:t xml:space="preserve"> was on supporting Australian businesses</w:t>
      </w:r>
      <w:r w:rsidR="00AC5359">
        <w:rPr>
          <w:rFonts w:cs="Times New Roman"/>
          <w:szCs w:val="24"/>
        </w:rPr>
        <w:t xml:space="preserve"> and</w:t>
      </w:r>
      <w:r w:rsidRPr="00792FEC">
        <w:rPr>
          <w:rFonts w:cs="Times New Roman"/>
          <w:szCs w:val="24"/>
        </w:rPr>
        <w:t xml:space="preserve"> student welfare. </w:t>
      </w:r>
    </w:p>
    <w:p w14:paraId="197BF037" w14:textId="77777777" w:rsidR="0088497A" w:rsidRPr="00792FEC" w:rsidRDefault="0088497A">
      <w:pPr>
        <w:spacing w:after="160" w:line="259" w:lineRule="auto"/>
        <w:rPr>
          <w:rFonts w:eastAsiaTheme="majorEastAsia" w:cs="Times New Roman"/>
          <w:b/>
          <w:szCs w:val="24"/>
        </w:rPr>
      </w:pPr>
    </w:p>
    <w:p w14:paraId="42BB1C5C" w14:textId="77777777" w:rsidR="004A1BE4" w:rsidRPr="00792FEC" w:rsidRDefault="004A1BE4">
      <w:pPr>
        <w:spacing w:after="160" w:line="259" w:lineRule="auto"/>
        <w:rPr>
          <w:rFonts w:eastAsiaTheme="majorEastAsia" w:cs="Times New Roman"/>
          <w:b/>
          <w:szCs w:val="24"/>
        </w:rPr>
      </w:pPr>
      <w:r w:rsidRPr="00792FEC">
        <w:rPr>
          <w:rFonts w:cs="Times New Roman"/>
          <w:szCs w:val="24"/>
        </w:rPr>
        <w:br w:type="page"/>
      </w:r>
    </w:p>
    <w:p w14:paraId="1F3BDFF9" w14:textId="77777777" w:rsidR="00DA552F" w:rsidRPr="00792FEC" w:rsidRDefault="00DA552F" w:rsidP="00F62708">
      <w:pPr>
        <w:pStyle w:val="Heading2"/>
        <w:jc w:val="center"/>
        <w:rPr>
          <w:rFonts w:cs="Times New Roman"/>
          <w:color w:val="auto"/>
          <w:szCs w:val="24"/>
        </w:rPr>
      </w:pPr>
      <w:r w:rsidRPr="00792FEC">
        <w:rPr>
          <w:rFonts w:cs="Times New Roman"/>
          <w:color w:val="auto"/>
          <w:szCs w:val="24"/>
        </w:rPr>
        <w:t>STATEMENT OF COMPATIBILITY WITH HUMAN RIGHTS</w:t>
      </w:r>
      <w:bookmarkEnd w:id="4"/>
      <w:bookmarkEnd w:id="5"/>
    </w:p>
    <w:p w14:paraId="570C122C" w14:textId="77777777" w:rsidR="00DA552F" w:rsidRPr="00792FEC" w:rsidRDefault="00DA552F" w:rsidP="00DA552F">
      <w:pPr>
        <w:spacing w:before="120" w:after="120"/>
        <w:jc w:val="center"/>
        <w:rPr>
          <w:rFonts w:cs="Times New Roman"/>
          <w:szCs w:val="24"/>
        </w:rPr>
      </w:pPr>
      <w:r w:rsidRPr="00792FEC">
        <w:rPr>
          <w:rFonts w:cs="Times New Roman"/>
          <w:i/>
          <w:szCs w:val="24"/>
        </w:rPr>
        <w:t xml:space="preserve">Prepared in accordance with Part 3 of the Human Rights (Parliamentary </w:t>
      </w:r>
      <w:r w:rsidR="003440C7" w:rsidRPr="00792FEC">
        <w:rPr>
          <w:rFonts w:cs="Times New Roman"/>
          <w:i/>
          <w:szCs w:val="24"/>
        </w:rPr>
        <w:t>Scrutiny) Act 2011</w:t>
      </w:r>
    </w:p>
    <w:p w14:paraId="0521FD1A" w14:textId="77777777" w:rsidR="00DA552F" w:rsidRPr="00792FEC" w:rsidRDefault="00ED5A55" w:rsidP="00DA552F">
      <w:pPr>
        <w:spacing w:before="120" w:after="120"/>
        <w:jc w:val="center"/>
        <w:rPr>
          <w:rFonts w:cs="Times New Roman"/>
          <w:szCs w:val="24"/>
          <w:u w:val="single"/>
        </w:rPr>
      </w:pPr>
      <w:r w:rsidRPr="00792FEC">
        <w:rPr>
          <w:rFonts w:cs="Times New Roman"/>
          <w:szCs w:val="24"/>
          <w:u w:val="single"/>
        </w:rPr>
        <w:t>VET Student Loans (VSL Tuition Protection Levy) (Risk Rated Premium and Special Tuition Protection Components) Determination 2020</w:t>
      </w:r>
    </w:p>
    <w:p w14:paraId="03F77D21" w14:textId="77777777" w:rsidR="00DA552F" w:rsidRPr="00792FEC" w:rsidRDefault="00F9205E" w:rsidP="00DA552F">
      <w:pPr>
        <w:spacing w:before="120" w:after="120"/>
        <w:rPr>
          <w:rFonts w:cs="Times New Roman"/>
          <w:szCs w:val="24"/>
        </w:rPr>
      </w:pPr>
      <w:r w:rsidRPr="00792FEC">
        <w:rPr>
          <w:rFonts w:cs="Times New Roman"/>
          <w:szCs w:val="24"/>
        </w:rPr>
        <w:t>The</w:t>
      </w:r>
      <w:r w:rsidR="00527564" w:rsidRPr="00792FEC">
        <w:rPr>
          <w:rFonts w:cs="Times New Roman"/>
          <w:szCs w:val="24"/>
        </w:rPr>
        <w:t xml:space="preserve"> </w:t>
      </w:r>
      <w:r w:rsidR="00527564" w:rsidRPr="00792FEC">
        <w:rPr>
          <w:rFonts w:cs="Times New Roman"/>
          <w:i/>
          <w:szCs w:val="24"/>
        </w:rPr>
        <w:t>VET Student Loans (VSL Tuition Protection Levy) (Risk Rated Premium and Special Tuition Protection Components) Determination 2020</w:t>
      </w:r>
      <w:r w:rsidR="00527564" w:rsidRPr="00792FEC">
        <w:rPr>
          <w:rFonts w:cs="Times New Roman"/>
          <w:szCs w:val="24"/>
        </w:rPr>
        <w:t xml:space="preserve"> </w:t>
      </w:r>
      <w:r w:rsidR="001E52EB" w:rsidRPr="00792FEC">
        <w:rPr>
          <w:rFonts w:cs="Times New Roman"/>
          <w:szCs w:val="24"/>
        </w:rPr>
        <w:t xml:space="preserve">(the </w:t>
      </w:r>
      <w:r w:rsidR="00FF6E25" w:rsidRPr="00792FEC">
        <w:rPr>
          <w:rFonts w:cs="Times New Roman"/>
          <w:szCs w:val="24"/>
        </w:rPr>
        <w:t>Instrument</w:t>
      </w:r>
      <w:r w:rsidR="001E52EB" w:rsidRPr="00792FEC">
        <w:rPr>
          <w:rFonts w:cs="Times New Roman"/>
          <w:szCs w:val="24"/>
        </w:rPr>
        <w:t xml:space="preserve">) </w:t>
      </w:r>
      <w:r w:rsidR="002B5C28" w:rsidRPr="00792FEC">
        <w:rPr>
          <w:rFonts w:cs="Times New Roman"/>
          <w:szCs w:val="24"/>
        </w:rPr>
        <w:t xml:space="preserve">is </w:t>
      </w:r>
      <w:r w:rsidRPr="00792FEC">
        <w:rPr>
          <w:rFonts w:cs="Times New Roman"/>
          <w:szCs w:val="24"/>
        </w:rPr>
        <w:t xml:space="preserve">compatible with the human rights and freedoms recognised or declared in the international instruments listed in section 3 of the </w:t>
      </w:r>
      <w:r w:rsidRPr="00792FEC">
        <w:rPr>
          <w:rFonts w:cs="Times New Roman"/>
          <w:i/>
          <w:szCs w:val="24"/>
        </w:rPr>
        <w:t>Human Rights (Parliamentary Scrutiny) Act 2011</w:t>
      </w:r>
      <w:r w:rsidRPr="00792FEC">
        <w:rPr>
          <w:rFonts w:cs="Times New Roman"/>
          <w:szCs w:val="24"/>
        </w:rPr>
        <w:t>.</w:t>
      </w:r>
    </w:p>
    <w:p w14:paraId="488814AF" w14:textId="77777777" w:rsidR="00F9205E" w:rsidRPr="00792FEC" w:rsidRDefault="00527564" w:rsidP="00DA552F">
      <w:pPr>
        <w:spacing w:before="120" w:after="120"/>
        <w:rPr>
          <w:rFonts w:cs="Times New Roman"/>
          <w:szCs w:val="24"/>
        </w:rPr>
      </w:pPr>
      <w:r w:rsidRPr="00792FEC">
        <w:rPr>
          <w:rFonts w:cs="Times New Roman"/>
          <w:b/>
          <w:szCs w:val="24"/>
        </w:rPr>
        <w:t xml:space="preserve">Overview of the Legislative Instrument </w:t>
      </w:r>
    </w:p>
    <w:p w14:paraId="278E522C" w14:textId="2398501B" w:rsidR="00527564" w:rsidRPr="00792FEC" w:rsidRDefault="00527564" w:rsidP="00C12BA6">
      <w:pPr>
        <w:spacing w:before="120" w:after="120" w:line="240" w:lineRule="auto"/>
        <w:rPr>
          <w:rFonts w:cs="Times New Roman"/>
          <w:szCs w:val="24"/>
        </w:rPr>
      </w:pPr>
      <w:r w:rsidRPr="00792FEC">
        <w:rPr>
          <w:rFonts w:cs="Times New Roman"/>
          <w:szCs w:val="24"/>
        </w:rPr>
        <w:t xml:space="preserve">The purpose of the Instrument is to determine various matters relevant to the calculation of the risk rated premium component and special tuition protection component of the VSL Tuition Protection Levy (the VSL Levy) for the 2020 calendar year. </w:t>
      </w:r>
    </w:p>
    <w:p w14:paraId="19F3183C" w14:textId="77777777" w:rsidR="00527564" w:rsidRPr="00792FEC" w:rsidRDefault="00527564" w:rsidP="00C12BA6">
      <w:pPr>
        <w:spacing w:before="120" w:after="120" w:line="240" w:lineRule="auto"/>
        <w:rPr>
          <w:rFonts w:cs="Times New Roman"/>
          <w:szCs w:val="24"/>
        </w:rPr>
      </w:pPr>
      <w:r w:rsidRPr="00792FEC">
        <w:rPr>
          <w:rFonts w:cs="Times New Roman"/>
          <w:szCs w:val="24"/>
        </w:rPr>
        <w:t xml:space="preserve">The VSL Levy is imposed under section 6 of the </w:t>
      </w:r>
      <w:r w:rsidRPr="00792FEC">
        <w:rPr>
          <w:rFonts w:cs="Times New Roman"/>
          <w:i/>
          <w:szCs w:val="24"/>
        </w:rPr>
        <w:t>VET Student Loans (VSL Tuition Protection Levy) Act 2020</w:t>
      </w:r>
      <w:r w:rsidRPr="00792FEC">
        <w:rPr>
          <w:rFonts w:cs="Times New Roman"/>
          <w:szCs w:val="24"/>
        </w:rPr>
        <w:t xml:space="preserve"> (the Act) on all leviable providers (as defined in section 5 of the Act), and provides an industry contribution towards the costs of tuition protection for students with a VET student loan. The amount of the VSL Levy for a year for a leviable provider is the sum of the provider’s administrative fee component, risk rated premium component and special tuition protection component. The VSL Levy is payable into the VSL Tuition Protection Fund (the Fund) which is established under section 66K of the </w:t>
      </w:r>
      <w:r w:rsidRPr="00792FEC">
        <w:rPr>
          <w:rFonts w:cs="Times New Roman"/>
          <w:i/>
          <w:szCs w:val="24"/>
        </w:rPr>
        <w:t>VET Student Loans Act 2016</w:t>
      </w:r>
      <w:r w:rsidRPr="00792FEC">
        <w:rPr>
          <w:rFonts w:cs="Times New Roman"/>
          <w:szCs w:val="24"/>
        </w:rPr>
        <w:t xml:space="preserve"> and managed by the VSL Tuition Protection Director (the Director). </w:t>
      </w:r>
    </w:p>
    <w:p w14:paraId="1DF57CC2" w14:textId="77777777" w:rsidR="00E8671C" w:rsidRPr="00792FEC" w:rsidRDefault="00527564" w:rsidP="00C12BA6">
      <w:pPr>
        <w:spacing w:before="120" w:after="120" w:line="240" w:lineRule="auto"/>
        <w:rPr>
          <w:rFonts w:cs="Times New Roman"/>
          <w:szCs w:val="24"/>
        </w:rPr>
      </w:pPr>
      <w:r w:rsidRPr="00792FEC">
        <w:rPr>
          <w:rFonts w:cs="Times New Roman"/>
          <w:szCs w:val="24"/>
        </w:rPr>
        <w:t xml:space="preserve">This Instrument ensures sufficient funds are held in the Fund to cover the ongoing administration costs of tuition protection for students with a VET student loan and therefore maintains a high level of student protection. </w:t>
      </w:r>
    </w:p>
    <w:p w14:paraId="6DBFD279" w14:textId="77777777" w:rsidR="00F9205E" w:rsidRPr="00792FEC" w:rsidRDefault="00F9205E" w:rsidP="00DA552F">
      <w:pPr>
        <w:spacing w:before="120" w:after="120"/>
        <w:rPr>
          <w:rFonts w:cs="Times New Roman"/>
          <w:b/>
          <w:szCs w:val="24"/>
        </w:rPr>
      </w:pPr>
      <w:r w:rsidRPr="00792FEC">
        <w:rPr>
          <w:rFonts w:cs="Times New Roman"/>
          <w:b/>
          <w:szCs w:val="24"/>
        </w:rPr>
        <w:t>Human rights implications</w:t>
      </w:r>
    </w:p>
    <w:p w14:paraId="72FA6E68" w14:textId="77777777" w:rsidR="008310AA" w:rsidRPr="00792FEC" w:rsidRDefault="00A80D57" w:rsidP="00DA552F">
      <w:pPr>
        <w:spacing w:before="120" w:after="120"/>
        <w:rPr>
          <w:rFonts w:cs="Times New Roman"/>
          <w:szCs w:val="24"/>
          <w:u w:val="single"/>
        </w:rPr>
      </w:pPr>
      <w:r w:rsidRPr="00792FEC">
        <w:rPr>
          <w:rFonts w:cs="Times New Roman"/>
          <w:szCs w:val="24"/>
          <w:u w:val="single"/>
        </w:rPr>
        <w:t xml:space="preserve">Right to education </w:t>
      </w:r>
    </w:p>
    <w:p w14:paraId="0C6A6EC4" w14:textId="77777777" w:rsidR="003A3B41" w:rsidRPr="00792FEC" w:rsidRDefault="00A80D57" w:rsidP="00C12BA6">
      <w:pPr>
        <w:spacing w:before="120" w:after="120" w:line="240" w:lineRule="auto"/>
        <w:rPr>
          <w:rFonts w:cs="Times New Roman"/>
          <w:szCs w:val="24"/>
        </w:rPr>
      </w:pPr>
      <w:r w:rsidRPr="00792FEC">
        <w:rPr>
          <w:rFonts w:cs="Times New Roman"/>
          <w:szCs w:val="24"/>
        </w:rPr>
        <w:t>The Instrument engages the right to education, contained in Article 13 of the International Covenant on Economic, Social, and Cultural Rights. In particular, it provides that ‘[h]igher education shall be made equally accessible to all, on the basis of capacity, by every appropriate means…’.</w:t>
      </w:r>
    </w:p>
    <w:p w14:paraId="6A2806BA" w14:textId="77777777" w:rsidR="003A3B41" w:rsidRPr="00792FEC" w:rsidRDefault="003A3B41" w:rsidP="00C12BA6">
      <w:pPr>
        <w:spacing w:before="120" w:after="120" w:line="240" w:lineRule="auto"/>
        <w:rPr>
          <w:rFonts w:cs="Times New Roman"/>
          <w:szCs w:val="24"/>
        </w:rPr>
      </w:pPr>
      <w:r w:rsidRPr="00792FEC">
        <w:rPr>
          <w:rFonts w:cs="Times New Roman"/>
          <w:szCs w:val="24"/>
        </w:rPr>
        <w:t xml:space="preserve">The Instrument </w:t>
      </w:r>
      <w:r w:rsidR="00527564" w:rsidRPr="00792FEC">
        <w:rPr>
          <w:rFonts w:cs="Times New Roman"/>
          <w:szCs w:val="24"/>
        </w:rPr>
        <w:t xml:space="preserve">is part of the broader </w:t>
      </w:r>
      <w:r w:rsidRPr="00792FEC">
        <w:rPr>
          <w:rFonts w:cs="Times New Roman"/>
          <w:szCs w:val="24"/>
        </w:rPr>
        <w:t>VSL</w:t>
      </w:r>
      <w:r w:rsidR="00527564" w:rsidRPr="00792FEC">
        <w:rPr>
          <w:rFonts w:cs="Times New Roman"/>
          <w:szCs w:val="24"/>
        </w:rPr>
        <w:t xml:space="preserve"> tuition protection scheme </w:t>
      </w:r>
      <w:r w:rsidRPr="00792FEC">
        <w:rPr>
          <w:rFonts w:cs="Times New Roman"/>
          <w:szCs w:val="24"/>
        </w:rPr>
        <w:t>(the Scheme) set out in Part 5A and Part 5</w:t>
      </w:r>
      <w:r w:rsidR="00527564" w:rsidRPr="00792FEC">
        <w:rPr>
          <w:rFonts w:cs="Times New Roman"/>
          <w:szCs w:val="24"/>
        </w:rPr>
        <w:t xml:space="preserve">B of the </w:t>
      </w:r>
      <w:r w:rsidRPr="007B5A79">
        <w:rPr>
          <w:rFonts w:cs="Times New Roman"/>
          <w:i/>
          <w:szCs w:val="24"/>
        </w:rPr>
        <w:t>VET Student Loans Act 2016</w:t>
      </w:r>
      <w:r w:rsidRPr="00792FEC">
        <w:rPr>
          <w:rFonts w:cs="Times New Roman"/>
          <w:szCs w:val="24"/>
        </w:rPr>
        <w:t xml:space="preserve">. </w:t>
      </w:r>
      <w:r w:rsidR="00527564" w:rsidRPr="00792FEC">
        <w:rPr>
          <w:rFonts w:cs="Times New Roman"/>
          <w:szCs w:val="24"/>
        </w:rPr>
        <w:t>The</w:t>
      </w:r>
      <w:r w:rsidRPr="00792FEC">
        <w:rPr>
          <w:rFonts w:cs="Times New Roman"/>
          <w:szCs w:val="24"/>
        </w:rPr>
        <w:t xml:space="preserve"> S</w:t>
      </w:r>
      <w:r w:rsidR="00527564" w:rsidRPr="00792FEC">
        <w:rPr>
          <w:rFonts w:cs="Times New Roman"/>
          <w:szCs w:val="24"/>
        </w:rPr>
        <w:t>cheme</w:t>
      </w:r>
      <w:r w:rsidRPr="00792FEC">
        <w:rPr>
          <w:rFonts w:cs="Times New Roman"/>
          <w:szCs w:val="24"/>
        </w:rPr>
        <w:t xml:space="preserve">’s aim is </w:t>
      </w:r>
      <w:r w:rsidR="00527564" w:rsidRPr="00792FEC">
        <w:rPr>
          <w:rFonts w:cs="Times New Roman"/>
          <w:szCs w:val="24"/>
        </w:rPr>
        <w:t xml:space="preserve">to ensure students </w:t>
      </w:r>
      <w:r w:rsidRPr="00792FEC">
        <w:rPr>
          <w:rFonts w:cs="Times New Roman"/>
          <w:szCs w:val="24"/>
        </w:rPr>
        <w:t xml:space="preserve">accessing VET student loans </w:t>
      </w:r>
      <w:r w:rsidR="00527564" w:rsidRPr="00792FEC">
        <w:rPr>
          <w:rFonts w:cs="Times New Roman"/>
          <w:szCs w:val="24"/>
        </w:rPr>
        <w:t>are protected and supported in the event that the</w:t>
      </w:r>
      <w:r w:rsidRPr="00792FEC">
        <w:rPr>
          <w:rFonts w:cs="Times New Roman"/>
          <w:szCs w:val="24"/>
        </w:rPr>
        <w:t xml:space="preserve">ir approved course </w:t>
      </w:r>
      <w:r w:rsidR="007B5A79">
        <w:rPr>
          <w:rFonts w:cs="Times New Roman"/>
          <w:szCs w:val="24"/>
        </w:rPr>
        <w:t xml:space="preserve">provider </w:t>
      </w:r>
      <w:r w:rsidR="00527564" w:rsidRPr="00792FEC">
        <w:rPr>
          <w:rFonts w:cs="Times New Roman"/>
          <w:szCs w:val="24"/>
        </w:rPr>
        <w:t xml:space="preserve">defaults </w:t>
      </w:r>
      <w:r w:rsidRPr="00792FEC">
        <w:rPr>
          <w:rFonts w:cs="Times New Roman"/>
          <w:szCs w:val="24"/>
        </w:rPr>
        <w:t xml:space="preserve">(meaning the provider fails to start to provide, or ceases to provide, a course or part of a course) </w:t>
      </w:r>
      <w:r w:rsidR="00527564" w:rsidRPr="00792FEC">
        <w:rPr>
          <w:rFonts w:cs="Times New Roman"/>
          <w:szCs w:val="24"/>
        </w:rPr>
        <w:t xml:space="preserve">by either providing a suitable replacement course or re-credit to their HELP balance. </w:t>
      </w:r>
    </w:p>
    <w:p w14:paraId="1C97103F" w14:textId="77777777" w:rsidR="00340E25" w:rsidRPr="00792FEC" w:rsidRDefault="003A3B41" w:rsidP="00C12BA6">
      <w:pPr>
        <w:spacing w:before="120" w:after="120" w:line="240" w:lineRule="auto"/>
        <w:rPr>
          <w:rFonts w:cs="Times New Roman"/>
          <w:szCs w:val="24"/>
        </w:rPr>
      </w:pPr>
      <w:r w:rsidRPr="00792FEC">
        <w:rPr>
          <w:rFonts w:cs="Times New Roman"/>
          <w:szCs w:val="24"/>
        </w:rPr>
        <w:t xml:space="preserve">Through the Instrument, the Director determines various matters relevant to the calculation of the risk rated premium component and special tuition protection component of the VSL Levy for the 2020 calendar year. </w:t>
      </w:r>
    </w:p>
    <w:p w14:paraId="6A571255" w14:textId="02E4BFE2" w:rsidR="00527564" w:rsidRPr="00792FEC" w:rsidRDefault="00527564" w:rsidP="00C12BA6">
      <w:pPr>
        <w:spacing w:before="120" w:after="120" w:line="240" w:lineRule="auto"/>
        <w:rPr>
          <w:rFonts w:cs="Times New Roman"/>
          <w:szCs w:val="24"/>
        </w:rPr>
      </w:pPr>
      <w:r w:rsidRPr="00792FEC">
        <w:rPr>
          <w:rFonts w:cs="Times New Roman"/>
          <w:szCs w:val="24"/>
        </w:rPr>
        <w:t xml:space="preserve">The risk rated premium </w:t>
      </w:r>
      <w:r w:rsidR="00340E25" w:rsidRPr="00792FEC">
        <w:rPr>
          <w:rFonts w:cs="Times New Roman"/>
          <w:szCs w:val="24"/>
        </w:rPr>
        <w:t>component</w:t>
      </w:r>
      <w:r w:rsidRPr="00792FEC">
        <w:rPr>
          <w:rFonts w:cs="Times New Roman"/>
          <w:szCs w:val="24"/>
        </w:rPr>
        <w:t xml:space="preserve"> ensures that a leviable provider’s risk</w:t>
      </w:r>
      <w:r w:rsidR="00340E25" w:rsidRPr="00792FEC">
        <w:rPr>
          <w:rFonts w:cs="Times New Roman"/>
          <w:szCs w:val="24"/>
        </w:rPr>
        <w:t xml:space="preserve"> of default</w:t>
      </w:r>
      <w:r w:rsidRPr="00792FEC">
        <w:rPr>
          <w:rFonts w:cs="Times New Roman"/>
          <w:szCs w:val="24"/>
        </w:rPr>
        <w:t xml:space="preserve"> is reflected in the </w:t>
      </w:r>
      <w:r w:rsidR="00340E25" w:rsidRPr="00792FEC">
        <w:rPr>
          <w:rFonts w:cs="Times New Roman"/>
          <w:szCs w:val="24"/>
        </w:rPr>
        <w:t xml:space="preserve">amount of VSL </w:t>
      </w:r>
      <w:r w:rsidRPr="00792FEC">
        <w:rPr>
          <w:rFonts w:cs="Times New Roman"/>
          <w:szCs w:val="24"/>
        </w:rPr>
        <w:t>Levy payable</w:t>
      </w:r>
      <w:r w:rsidR="00340E25" w:rsidRPr="00792FEC">
        <w:rPr>
          <w:rFonts w:cs="Times New Roman"/>
          <w:szCs w:val="24"/>
        </w:rPr>
        <w:t xml:space="preserve"> by that provider and ensures </w:t>
      </w:r>
      <w:r w:rsidRPr="00792FEC">
        <w:rPr>
          <w:rFonts w:cs="Times New Roman"/>
          <w:szCs w:val="24"/>
        </w:rPr>
        <w:t xml:space="preserve">providers are financially incentivised to reduce their risk of </w:t>
      </w:r>
      <w:r w:rsidR="00AC5359">
        <w:rPr>
          <w:rFonts w:cs="Times New Roman"/>
          <w:szCs w:val="24"/>
        </w:rPr>
        <w:t xml:space="preserve">defaulting. </w:t>
      </w:r>
    </w:p>
    <w:p w14:paraId="296731BA" w14:textId="77777777" w:rsidR="00340E25" w:rsidRPr="00792FEC" w:rsidRDefault="00340E25" w:rsidP="00C12BA6">
      <w:pPr>
        <w:spacing w:before="120" w:after="120" w:line="240" w:lineRule="auto"/>
        <w:rPr>
          <w:rFonts w:cs="Times New Roman"/>
          <w:szCs w:val="24"/>
        </w:rPr>
      </w:pPr>
      <w:r w:rsidRPr="00792FEC">
        <w:rPr>
          <w:rFonts w:cs="Times New Roman"/>
          <w:szCs w:val="24"/>
        </w:rPr>
        <w:t xml:space="preserve">The </w:t>
      </w:r>
      <w:r w:rsidR="00527564" w:rsidRPr="00792FEC">
        <w:rPr>
          <w:rFonts w:cs="Times New Roman"/>
          <w:szCs w:val="24"/>
        </w:rPr>
        <w:t xml:space="preserve">special tuition protection component of the </w:t>
      </w:r>
      <w:r w:rsidRPr="00792FEC">
        <w:rPr>
          <w:rFonts w:cs="Times New Roman"/>
          <w:szCs w:val="24"/>
        </w:rPr>
        <w:t xml:space="preserve">VSL </w:t>
      </w:r>
      <w:r w:rsidR="00527564" w:rsidRPr="00792FEC">
        <w:rPr>
          <w:rFonts w:cs="Times New Roman"/>
          <w:szCs w:val="24"/>
        </w:rPr>
        <w:t>Levy ensures that the Fund builds to a sufficient balance</w:t>
      </w:r>
      <w:r w:rsidRPr="00792FEC">
        <w:rPr>
          <w:rFonts w:cs="Times New Roman"/>
          <w:szCs w:val="24"/>
        </w:rPr>
        <w:t xml:space="preserve">. </w:t>
      </w:r>
    </w:p>
    <w:p w14:paraId="76EB8728" w14:textId="77777777" w:rsidR="00340E25" w:rsidRPr="00792FEC" w:rsidRDefault="00340E25" w:rsidP="00C12BA6">
      <w:pPr>
        <w:spacing w:before="120" w:after="120" w:line="240" w:lineRule="auto"/>
        <w:rPr>
          <w:rFonts w:cs="Times New Roman"/>
          <w:szCs w:val="24"/>
        </w:rPr>
      </w:pPr>
      <w:r w:rsidRPr="00792FEC">
        <w:rPr>
          <w:rFonts w:cs="Times New Roman"/>
          <w:szCs w:val="24"/>
        </w:rPr>
        <w:t xml:space="preserve">Therefore, this Instrument will ensure that sufficient funds are held in the Fund to cover the ongoing administration costs of tuition protection for students with a VET student loan, thereby maintaining a high level of student protection in the event a course provider is no longer able to deliver a course. The Instrument is compatible with and will enhance the right to education by ensuring that there are appropriately funded tuition protection arrangements in place for VET students. </w:t>
      </w:r>
    </w:p>
    <w:p w14:paraId="44ACFA86" w14:textId="77777777" w:rsidR="00340E25" w:rsidRPr="00792FEC" w:rsidRDefault="00340E25" w:rsidP="00C12BA6">
      <w:pPr>
        <w:spacing w:before="120" w:after="120" w:line="240" w:lineRule="auto"/>
        <w:rPr>
          <w:rFonts w:cs="Times New Roman"/>
          <w:szCs w:val="24"/>
        </w:rPr>
      </w:pPr>
      <w:r w:rsidRPr="00792FEC">
        <w:rPr>
          <w:rFonts w:cs="Times New Roman"/>
          <w:szCs w:val="24"/>
        </w:rPr>
        <w:t xml:space="preserve">The instrument is compatible with the right to education. </w:t>
      </w:r>
    </w:p>
    <w:p w14:paraId="3B13BD39" w14:textId="77777777" w:rsidR="00DA552F" w:rsidRPr="00792FEC" w:rsidRDefault="00F9205E" w:rsidP="00DA552F">
      <w:pPr>
        <w:spacing w:before="120" w:after="120"/>
        <w:rPr>
          <w:rFonts w:cs="Times New Roman"/>
          <w:szCs w:val="24"/>
        </w:rPr>
      </w:pPr>
      <w:r w:rsidRPr="00792FEC">
        <w:rPr>
          <w:rFonts w:cs="Times New Roman"/>
          <w:b/>
          <w:szCs w:val="24"/>
        </w:rPr>
        <w:t>Conclusion</w:t>
      </w:r>
    </w:p>
    <w:p w14:paraId="7F4F05AD" w14:textId="77777777" w:rsidR="00A80D57" w:rsidRPr="00792FEC" w:rsidRDefault="00A80D57" w:rsidP="00340E25">
      <w:pPr>
        <w:spacing w:before="120" w:after="120" w:line="240" w:lineRule="auto"/>
        <w:rPr>
          <w:rFonts w:cs="Times New Roman"/>
          <w:szCs w:val="24"/>
        </w:rPr>
      </w:pPr>
      <w:r w:rsidRPr="00792FEC">
        <w:rPr>
          <w:rFonts w:cs="Times New Roman"/>
          <w:szCs w:val="24"/>
        </w:rPr>
        <w:t xml:space="preserve">This Instrument is compatible with human rights because it advances the protection of human rights. </w:t>
      </w:r>
    </w:p>
    <w:p w14:paraId="1599B31D" w14:textId="77777777" w:rsidR="00DA552F" w:rsidRDefault="00067669" w:rsidP="00A80D57">
      <w:pPr>
        <w:spacing w:before="120" w:after="120"/>
        <w:jc w:val="center"/>
        <w:rPr>
          <w:rFonts w:cs="Times New Roman"/>
          <w:b/>
          <w:szCs w:val="24"/>
        </w:rPr>
      </w:pPr>
      <w:r>
        <w:rPr>
          <w:rFonts w:cs="Times New Roman"/>
          <w:b/>
          <w:szCs w:val="24"/>
        </w:rPr>
        <w:t>VSL Tuition Protection Director</w:t>
      </w:r>
    </w:p>
    <w:p w14:paraId="44791D5A" w14:textId="77777777" w:rsidR="00525093" w:rsidRDefault="00525093" w:rsidP="00525093">
      <w:pPr>
        <w:spacing w:before="120" w:after="120"/>
        <w:rPr>
          <w:rFonts w:cs="Times New Roman"/>
          <w:b/>
          <w:szCs w:val="24"/>
        </w:rPr>
      </w:pPr>
    </w:p>
    <w:p w14:paraId="7567D9E9" w14:textId="77777777" w:rsidR="00525093" w:rsidRPr="00792FEC" w:rsidRDefault="00525093" w:rsidP="00525093">
      <w:pPr>
        <w:spacing w:before="120" w:after="120"/>
        <w:rPr>
          <w:rFonts w:cs="Times New Roman"/>
          <w:b/>
          <w:szCs w:val="24"/>
        </w:rPr>
        <w:sectPr w:rsidR="00525093" w:rsidRPr="00792FEC" w:rsidSect="00785B13">
          <w:footerReference w:type="default" r:id="rId12"/>
          <w:pgSz w:w="11906" w:h="16838"/>
          <w:pgMar w:top="1440" w:right="1440" w:bottom="1440" w:left="1440" w:header="708" w:footer="708" w:gutter="0"/>
          <w:pgNumType w:start="1"/>
          <w:cols w:space="708"/>
          <w:docGrid w:linePitch="360"/>
        </w:sectPr>
      </w:pPr>
    </w:p>
    <w:p w14:paraId="2C1FC624" w14:textId="77777777" w:rsidR="00552BB9" w:rsidRPr="00792FEC" w:rsidRDefault="00552BB9" w:rsidP="00416EF2">
      <w:pPr>
        <w:jc w:val="center"/>
        <w:rPr>
          <w:rFonts w:cs="Times New Roman"/>
          <w:b/>
          <w:caps/>
          <w:szCs w:val="24"/>
        </w:rPr>
      </w:pPr>
      <w:r w:rsidRPr="00792FEC">
        <w:rPr>
          <w:rFonts w:cs="Times New Roman"/>
          <w:b/>
          <w:caps/>
          <w:szCs w:val="24"/>
        </w:rPr>
        <w:t>VET Student Loans (VSL Tuition Protection Levy) (Risk Rated Premium and Special Tuition Protection Components) Determination 2020</w:t>
      </w:r>
    </w:p>
    <w:p w14:paraId="5A012EB7" w14:textId="77777777" w:rsidR="00DA552F" w:rsidRDefault="00DB6247">
      <w:pPr>
        <w:pStyle w:val="Heading2"/>
        <w:jc w:val="center"/>
        <w:rPr>
          <w:rFonts w:cs="Times New Roman"/>
          <w:color w:val="auto"/>
          <w:szCs w:val="24"/>
        </w:rPr>
      </w:pPr>
      <w:r w:rsidRPr="00792FEC">
        <w:rPr>
          <w:rFonts w:cs="Times New Roman"/>
          <w:color w:val="auto"/>
          <w:szCs w:val="24"/>
        </w:rPr>
        <w:t>EXPLANATION OF PROVISIONS</w:t>
      </w:r>
    </w:p>
    <w:p w14:paraId="7A6A01F0" w14:textId="77777777" w:rsidR="00416EF2" w:rsidRPr="00416EF2" w:rsidRDefault="00416EF2" w:rsidP="00416EF2"/>
    <w:p w14:paraId="4FD93DC3" w14:textId="77777777" w:rsidR="00121330" w:rsidRPr="00792FEC" w:rsidRDefault="00121330" w:rsidP="00F62708">
      <w:pPr>
        <w:keepNext/>
        <w:rPr>
          <w:rFonts w:cs="Times New Roman"/>
          <w:b/>
          <w:szCs w:val="24"/>
          <w:u w:val="single"/>
        </w:rPr>
      </w:pPr>
      <w:r w:rsidRPr="00792FEC">
        <w:rPr>
          <w:rFonts w:cs="Times New Roman"/>
          <w:b/>
          <w:szCs w:val="24"/>
          <w:u w:val="single"/>
        </w:rPr>
        <w:t xml:space="preserve">Part 1 – Introduction </w:t>
      </w:r>
    </w:p>
    <w:p w14:paraId="5C233921" w14:textId="77777777" w:rsidR="00552BB9" w:rsidRPr="0048290C" w:rsidRDefault="00DB6247" w:rsidP="00552BB9">
      <w:pPr>
        <w:keepNext/>
        <w:rPr>
          <w:rFonts w:cs="Times New Roman"/>
          <w:b/>
          <w:i/>
          <w:szCs w:val="24"/>
          <w:u w:val="single"/>
        </w:rPr>
      </w:pPr>
      <w:r w:rsidRPr="0048290C">
        <w:rPr>
          <w:rFonts w:cs="Times New Roman"/>
          <w:b/>
          <w:i/>
          <w:szCs w:val="24"/>
          <w:u w:val="single"/>
        </w:rPr>
        <w:t>Section</w:t>
      </w:r>
      <w:r w:rsidR="00DA552F" w:rsidRPr="0048290C">
        <w:rPr>
          <w:rFonts w:cs="Times New Roman"/>
          <w:b/>
          <w:i/>
          <w:szCs w:val="24"/>
          <w:u w:val="single"/>
        </w:rPr>
        <w:t xml:space="preserve"> 1: </w:t>
      </w:r>
      <w:r w:rsidR="00E631F9" w:rsidRPr="0048290C">
        <w:rPr>
          <w:rFonts w:cs="Times New Roman"/>
          <w:b/>
          <w:i/>
          <w:szCs w:val="24"/>
          <w:u w:val="single"/>
        </w:rPr>
        <w:t>Name</w:t>
      </w:r>
      <w:r w:rsidR="00001F1D" w:rsidRPr="0048290C">
        <w:rPr>
          <w:rFonts w:cs="Times New Roman"/>
          <w:b/>
          <w:i/>
          <w:szCs w:val="24"/>
          <w:u w:val="single"/>
        </w:rPr>
        <w:t xml:space="preserve"> and </w:t>
      </w:r>
      <w:r w:rsidR="00552BB9" w:rsidRPr="0048290C">
        <w:rPr>
          <w:rFonts w:cs="Times New Roman"/>
          <w:b/>
          <w:i/>
          <w:szCs w:val="24"/>
          <w:u w:val="single"/>
        </w:rPr>
        <w:t xml:space="preserve">Section 2: Commencement </w:t>
      </w:r>
    </w:p>
    <w:p w14:paraId="4E539848" w14:textId="77777777" w:rsidR="00E631F9" w:rsidRPr="00792FEC" w:rsidRDefault="00552BB9" w:rsidP="00C12BA6">
      <w:pPr>
        <w:spacing w:before="120" w:after="120" w:line="240" w:lineRule="auto"/>
        <w:rPr>
          <w:rFonts w:cs="Times New Roman"/>
          <w:szCs w:val="24"/>
        </w:rPr>
      </w:pPr>
      <w:r w:rsidRPr="00792FEC">
        <w:rPr>
          <w:rFonts w:cs="Times New Roman"/>
          <w:szCs w:val="24"/>
        </w:rPr>
        <w:t xml:space="preserve">Sections </w:t>
      </w:r>
      <w:r w:rsidR="00001F1D" w:rsidRPr="00792FEC">
        <w:rPr>
          <w:rFonts w:cs="Times New Roman"/>
          <w:szCs w:val="24"/>
        </w:rPr>
        <w:t xml:space="preserve">1 and </w:t>
      </w:r>
      <w:r w:rsidRPr="00792FEC">
        <w:rPr>
          <w:rFonts w:cs="Times New Roman"/>
          <w:szCs w:val="24"/>
        </w:rPr>
        <w:t xml:space="preserve">2 of the </w:t>
      </w:r>
      <w:r w:rsidRPr="00792FEC">
        <w:rPr>
          <w:rFonts w:cs="Times New Roman"/>
          <w:i/>
          <w:szCs w:val="24"/>
        </w:rPr>
        <w:t>VET Student Loans (VSL Tuition Protection Levy) (Risk Rated Premium and Special Tuition Protection Components) Determination 2020</w:t>
      </w:r>
      <w:r w:rsidRPr="00792FEC">
        <w:rPr>
          <w:rFonts w:cs="Times New Roman"/>
          <w:szCs w:val="24"/>
        </w:rPr>
        <w:t xml:space="preserve"> (the Instrument) are formal p</w:t>
      </w:r>
      <w:r w:rsidR="00001F1D" w:rsidRPr="00792FEC">
        <w:rPr>
          <w:rFonts w:cs="Times New Roman"/>
          <w:szCs w:val="24"/>
        </w:rPr>
        <w:t xml:space="preserve">rovisions setting out the name and </w:t>
      </w:r>
      <w:r w:rsidRPr="00792FEC">
        <w:rPr>
          <w:rFonts w:cs="Times New Roman"/>
          <w:szCs w:val="24"/>
        </w:rPr>
        <w:t xml:space="preserve">date of commencement </w:t>
      </w:r>
      <w:r w:rsidR="00001F1D" w:rsidRPr="00792FEC">
        <w:rPr>
          <w:rFonts w:cs="Times New Roman"/>
          <w:szCs w:val="24"/>
        </w:rPr>
        <w:t>of</w:t>
      </w:r>
      <w:r w:rsidRPr="00792FEC">
        <w:rPr>
          <w:rFonts w:cs="Times New Roman"/>
          <w:szCs w:val="24"/>
        </w:rPr>
        <w:t xml:space="preserve"> the Instrument. </w:t>
      </w:r>
    </w:p>
    <w:p w14:paraId="7805CE35" w14:textId="77777777" w:rsidR="00001F1D" w:rsidRPr="0048290C" w:rsidRDefault="00001F1D" w:rsidP="00552BB9">
      <w:pPr>
        <w:keepNext/>
        <w:rPr>
          <w:rFonts w:cs="Times New Roman"/>
          <w:b/>
          <w:i/>
          <w:szCs w:val="24"/>
          <w:u w:val="single"/>
        </w:rPr>
      </w:pPr>
      <w:r w:rsidRPr="0048290C">
        <w:rPr>
          <w:rFonts w:cs="Times New Roman"/>
          <w:b/>
          <w:i/>
          <w:szCs w:val="24"/>
          <w:u w:val="single"/>
        </w:rPr>
        <w:t>Section</w:t>
      </w:r>
      <w:r w:rsidR="00067669">
        <w:rPr>
          <w:rFonts w:cs="Times New Roman"/>
          <w:b/>
          <w:i/>
          <w:szCs w:val="24"/>
          <w:u w:val="single"/>
        </w:rPr>
        <w:t xml:space="preserve"> </w:t>
      </w:r>
      <w:r w:rsidRPr="0048290C">
        <w:rPr>
          <w:rFonts w:cs="Times New Roman"/>
          <w:b/>
          <w:i/>
          <w:szCs w:val="24"/>
          <w:u w:val="single"/>
        </w:rPr>
        <w:t xml:space="preserve">3: Authority </w:t>
      </w:r>
    </w:p>
    <w:p w14:paraId="11C4AF1C" w14:textId="77777777" w:rsidR="00001F1D" w:rsidRPr="00792FEC" w:rsidRDefault="00001F1D" w:rsidP="00C12BA6">
      <w:pPr>
        <w:spacing w:before="120" w:after="120" w:line="240" w:lineRule="auto"/>
        <w:rPr>
          <w:rFonts w:cs="Times New Roman"/>
          <w:szCs w:val="24"/>
        </w:rPr>
      </w:pPr>
      <w:r w:rsidRPr="00792FEC">
        <w:rPr>
          <w:rFonts w:cs="Times New Roman"/>
          <w:szCs w:val="24"/>
        </w:rPr>
        <w:t xml:space="preserve">Section 3 sets out the VSL Tuition Protection Director’s (the Director) authority to make the Instrument. </w:t>
      </w:r>
    </w:p>
    <w:p w14:paraId="417E6F5B" w14:textId="77777777" w:rsidR="00001F1D" w:rsidRPr="00792FEC" w:rsidRDefault="00001F1D" w:rsidP="00C12BA6">
      <w:pPr>
        <w:spacing w:before="120" w:after="120" w:line="240" w:lineRule="auto"/>
        <w:rPr>
          <w:rFonts w:cs="Times New Roman"/>
          <w:szCs w:val="24"/>
        </w:rPr>
      </w:pPr>
      <w:r w:rsidRPr="00792FEC">
        <w:rPr>
          <w:rFonts w:cs="Times New Roman"/>
          <w:szCs w:val="24"/>
        </w:rPr>
        <w:t xml:space="preserve">The Instrument is made under section 13 of the </w:t>
      </w:r>
      <w:r w:rsidR="0062006D" w:rsidRPr="00792FEC">
        <w:rPr>
          <w:rFonts w:cs="Times New Roman"/>
          <w:i/>
          <w:color w:val="000000" w:themeColor="text1"/>
          <w:szCs w:val="24"/>
        </w:rPr>
        <w:t>VET Student Loans (VSL Tuition Protection Levy) Act 2020</w:t>
      </w:r>
      <w:r w:rsidR="0062006D" w:rsidRPr="00792FEC">
        <w:rPr>
          <w:rFonts w:cs="Times New Roman"/>
          <w:color w:val="000000" w:themeColor="text1"/>
          <w:szCs w:val="24"/>
        </w:rPr>
        <w:t xml:space="preserve"> (the Act)</w:t>
      </w:r>
      <w:r w:rsidRPr="00792FEC">
        <w:rPr>
          <w:rFonts w:cs="Times New Roman"/>
          <w:szCs w:val="24"/>
        </w:rPr>
        <w:t xml:space="preserve">, for the purposes of sections 11 and 12 of the Act, which relate to the calculation of the risk rated premium component and special tuition protection component of the </w:t>
      </w:r>
      <w:r w:rsidR="0062006D" w:rsidRPr="00792FEC">
        <w:rPr>
          <w:rFonts w:cs="Times New Roman"/>
          <w:szCs w:val="24"/>
        </w:rPr>
        <w:t xml:space="preserve">VSL tuition protection levy (the </w:t>
      </w:r>
      <w:r w:rsidRPr="00792FEC">
        <w:rPr>
          <w:rFonts w:cs="Times New Roman"/>
          <w:szCs w:val="24"/>
        </w:rPr>
        <w:t>VSL Levy</w:t>
      </w:r>
      <w:r w:rsidR="0062006D" w:rsidRPr="00792FEC">
        <w:rPr>
          <w:rFonts w:cs="Times New Roman"/>
          <w:szCs w:val="24"/>
        </w:rPr>
        <w:t>)</w:t>
      </w:r>
      <w:r w:rsidRPr="00792FEC">
        <w:rPr>
          <w:rFonts w:cs="Times New Roman"/>
          <w:szCs w:val="24"/>
        </w:rPr>
        <w:t xml:space="preserve"> for the year.   </w:t>
      </w:r>
    </w:p>
    <w:p w14:paraId="2A82DA04" w14:textId="77777777" w:rsidR="00001F1D" w:rsidRPr="00792FEC" w:rsidRDefault="00001F1D" w:rsidP="00C12BA6">
      <w:pPr>
        <w:spacing w:before="120" w:after="120" w:line="240" w:lineRule="auto"/>
        <w:rPr>
          <w:rFonts w:cs="Times New Roman"/>
          <w:szCs w:val="24"/>
        </w:rPr>
      </w:pPr>
      <w:r w:rsidRPr="00792FEC">
        <w:rPr>
          <w:rFonts w:cs="Times New Roman"/>
          <w:szCs w:val="24"/>
        </w:rPr>
        <w:t>In accordance with subsection 13(4) of the Act, in making this Instrument, the Director had regard to the advice of the VSL Tuition Protection Fund Advisory Board (the Advisory Board) and the sustainability of the Fund. The Director also had regard to other matter</w:t>
      </w:r>
      <w:r w:rsidR="00F81E21">
        <w:rPr>
          <w:rFonts w:cs="Times New Roman"/>
          <w:szCs w:val="24"/>
        </w:rPr>
        <w:t>s</w:t>
      </w:r>
      <w:r w:rsidRPr="00792FEC">
        <w:rPr>
          <w:rFonts w:cs="Times New Roman"/>
          <w:szCs w:val="24"/>
        </w:rPr>
        <w:t xml:space="preserve"> that the Director considers appropriate (subsection 13(5) of the Act).</w:t>
      </w:r>
    </w:p>
    <w:p w14:paraId="78F28AC4" w14:textId="77777777" w:rsidR="00487B82" w:rsidRPr="00792FEC" w:rsidRDefault="0062006D" w:rsidP="00C12BA6">
      <w:pPr>
        <w:spacing w:before="120" w:after="120" w:line="240" w:lineRule="auto"/>
        <w:rPr>
          <w:rFonts w:cs="Times New Roman"/>
          <w:szCs w:val="24"/>
        </w:rPr>
      </w:pPr>
      <w:r w:rsidRPr="00792FEC">
        <w:rPr>
          <w:rFonts w:cs="Times New Roman"/>
          <w:szCs w:val="24"/>
        </w:rPr>
        <w:t>In accordance with subsection 13(6) of the Act, the Treasure</w:t>
      </w:r>
      <w:r w:rsidR="00F96F34">
        <w:rPr>
          <w:rFonts w:cs="Times New Roman"/>
          <w:szCs w:val="24"/>
        </w:rPr>
        <w:t>r</w:t>
      </w:r>
      <w:r w:rsidRPr="00792FEC">
        <w:rPr>
          <w:rFonts w:cs="Times New Roman"/>
          <w:szCs w:val="24"/>
        </w:rPr>
        <w:t xml:space="preserve"> </w:t>
      </w:r>
      <w:r w:rsidR="00001F1D" w:rsidRPr="00792FEC">
        <w:rPr>
          <w:rFonts w:cs="Times New Roman"/>
          <w:szCs w:val="24"/>
        </w:rPr>
        <w:t>approve</w:t>
      </w:r>
      <w:r w:rsidRPr="00792FEC">
        <w:rPr>
          <w:rFonts w:cs="Times New Roman"/>
          <w:szCs w:val="24"/>
        </w:rPr>
        <w:t>d</w:t>
      </w:r>
      <w:r w:rsidR="00001F1D" w:rsidRPr="00792FEC">
        <w:rPr>
          <w:rFonts w:cs="Times New Roman"/>
          <w:szCs w:val="24"/>
        </w:rPr>
        <w:t xml:space="preserve"> the </w:t>
      </w:r>
      <w:r w:rsidRPr="00792FEC">
        <w:rPr>
          <w:rFonts w:cs="Times New Roman"/>
          <w:szCs w:val="24"/>
        </w:rPr>
        <w:t xml:space="preserve">Instrument. </w:t>
      </w:r>
    </w:p>
    <w:p w14:paraId="0BC26DB4" w14:textId="77777777" w:rsidR="00552BB9" w:rsidRPr="0048290C" w:rsidRDefault="00552BB9" w:rsidP="00552BB9">
      <w:pPr>
        <w:keepNext/>
        <w:rPr>
          <w:rFonts w:cs="Times New Roman"/>
          <w:b/>
          <w:i/>
          <w:szCs w:val="24"/>
          <w:u w:val="single"/>
        </w:rPr>
      </w:pPr>
      <w:r w:rsidRPr="0048290C">
        <w:rPr>
          <w:rFonts w:cs="Times New Roman"/>
          <w:b/>
          <w:i/>
          <w:szCs w:val="24"/>
          <w:u w:val="single"/>
        </w:rPr>
        <w:t>Section 4: Definitions</w:t>
      </w:r>
    </w:p>
    <w:p w14:paraId="3CF74677" w14:textId="77777777" w:rsidR="00552BB9" w:rsidRPr="00792FEC" w:rsidRDefault="00552BB9" w:rsidP="00C12BA6">
      <w:pPr>
        <w:keepNext/>
        <w:spacing w:line="240" w:lineRule="auto"/>
        <w:rPr>
          <w:rFonts w:cs="Times New Roman"/>
          <w:szCs w:val="24"/>
        </w:rPr>
      </w:pPr>
      <w:r w:rsidRPr="00792FEC">
        <w:rPr>
          <w:rFonts w:cs="Times New Roman"/>
          <w:szCs w:val="24"/>
        </w:rPr>
        <w:t xml:space="preserve">Section 4 includes definitions for the purposes of the Instrument. </w:t>
      </w:r>
    </w:p>
    <w:p w14:paraId="75572648" w14:textId="77777777" w:rsidR="008D00F4" w:rsidRPr="00792FEC" w:rsidRDefault="008D00F4" w:rsidP="00C12BA6">
      <w:pPr>
        <w:keepNext/>
        <w:spacing w:line="240" w:lineRule="auto"/>
        <w:rPr>
          <w:rFonts w:cs="Times New Roman"/>
          <w:szCs w:val="24"/>
        </w:rPr>
      </w:pPr>
      <w:r w:rsidRPr="00792FEC">
        <w:rPr>
          <w:rFonts w:cs="Times New Roman"/>
          <w:szCs w:val="24"/>
        </w:rPr>
        <w:t xml:space="preserve">In particular, </w:t>
      </w:r>
      <w:r w:rsidR="00792FEC">
        <w:rPr>
          <w:rFonts w:cs="Times New Roman"/>
          <w:szCs w:val="24"/>
        </w:rPr>
        <w:t>‘</w:t>
      </w:r>
      <w:r w:rsidRPr="00792FEC">
        <w:rPr>
          <w:rFonts w:cs="Times New Roman"/>
          <w:szCs w:val="24"/>
        </w:rPr>
        <w:t>financial statements</w:t>
      </w:r>
      <w:r w:rsidR="00792FEC">
        <w:rPr>
          <w:rFonts w:cs="Times New Roman"/>
          <w:szCs w:val="24"/>
        </w:rPr>
        <w:t>’</w:t>
      </w:r>
      <w:r w:rsidRPr="00792FEC">
        <w:rPr>
          <w:rFonts w:cs="Times New Roman"/>
          <w:szCs w:val="24"/>
        </w:rPr>
        <w:t xml:space="preserve"> means the general purpose financial statements given by a leviable provider to the Secretary in accordance with section 52 of the </w:t>
      </w:r>
      <w:r w:rsidRPr="00792FEC">
        <w:rPr>
          <w:rFonts w:cs="Times New Roman"/>
          <w:i/>
          <w:szCs w:val="24"/>
        </w:rPr>
        <w:t>VET Student Loans Act 2016</w:t>
      </w:r>
      <w:r w:rsidRPr="00792FEC">
        <w:rPr>
          <w:rFonts w:cs="Times New Roman"/>
          <w:szCs w:val="24"/>
        </w:rPr>
        <w:t xml:space="preserve"> and section 113 of the </w:t>
      </w:r>
      <w:r w:rsidRPr="00792FEC">
        <w:rPr>
          <w:rFonts w:cs="Times New Roman"/>
          <w:i/>
          <w:szCs w:val="24"/>
        </w:rPr>
        <w:t>VET Student Loan Rules 2016</w:t>
      </w:r>
      <w:r w:rsidRPr="00792FEC">
        <w:rPr>
          <w:rFonts w:cs="Times New Roman"/>
          <w:szCs w:val="24"/>
        </w:rPr>
        <w:t xml:space="preserve"> for the financial year ending on a date in 2019. Th</w:t>
      </w:r>
      <w:r w:rsidR="0057699A" w:rsidRPr="00792FEC">
        <w:rPr>
          <w:rFonts w:cs="Times New Roman"/>
          <w:szCs w:val="24"/>
        </w:rPr>
        <w:t>is term is used in section 6</w:t>
      </w:r>
      <w:r w:rsidRPr="00792FEC">
        <w:rPr>
          <w:rFonts w:cs="Times New Roman"/>
          <w:szCs w:val="24"/>
        </w:rPr>
        <w:t xml:space="preserve"> and is relevant to the determination of the risk factor value </w:t>
      </w:r>
      <w:r w:rsidR="0057699A" w:rsidRPr="00792FEC">
        <w:rPr>
          <w:rFonts w:cs="Times New Roman"/>
          <w:szCs w:val="24"/>
        </w:rPr>
        <w:t>for the financial strength risk factor for a leviable provider.</w:t>
      </w:r>
    </w:p>
    <w:p w14:paraId="2B649D4E" w14:textId="77777777" w:rsidR="0057699A" w:rsidRPr="00792FEC" w:rsidRDefault="00792FEC" w:rsidP="00C12BA6">
      <w:pPr>
        <w:widowControl w:val="0"/>
        <w:spacing w:line="240" w:lineRule="auto"/>
        <w:rPr>
          <w:rFonts w:cs="Times New Roman"/>
          <w:szCs w:val="24"/>
        </w:rPr>
      </w:pPr>
      <w:r>
        <w:rPr>
          <w:rFonts w:cs="Times New Roman"/>
          <w:szCs w:val="24"/>
        </w:rPr>
        <w:t>‘</w:t>
      </w:r>
      <w:r w:rsidR="0057699A" w:rsidRPr="00792FEC">
        <w:rPr>
          <w:rFonts w:cs="Times New Roman"/>
          <w:szCs w:val="24"/>
        </w:rPr>
        <w:t>St</w:t>
      </w:r>
      <w:r>
        <w:rPr>
          <w:rFonts w:cs="Times New Roman"/>
          <w:szCs w:val="24"/>
        </w:rPr>
        <w:t xml:space="preserve">atements of general information’ </w:t>
      </w:r>
      <w:r w:rsidR="0057699A" w:rsidRPr="00792FEC">
        <w:rPr>
          <w:rFonts w:cs="Times New Roman"/>
          <w:szCs w:val="24"/>
        </w:rPr>
        <w:t xml:space="preserve">means the information provided by a leviable provider to the Secretary in accordance with a notice under section 53 of the </w:t>
      </w:r>
      <w:r w:rsidR="0057699A" w:rsidRPr="00792FEC">
        <w:rPr>
          <w:rFonts w:cs="Times New Roman"/>
          <w:i/>
          <w:szCs w:val="24"/>
        </w:rPr>
        <w:t>VET Student Loans Act 2016</w:t>
      </w:r>
      <w:r w:rsidR="0057699A" w:rsidRPr="00792FEC">
        <w:rPr>
          <w:rFonts w:cs="Times New Roman"/>
          <w:szCs w:val="24"/>
        </w:rPr>
        <w:t xml:space="preserve">. </w:t>
      </w:r>
      <w:r w:rsidR="0062006D" w:rsidRPr="00792FEC">
        <w:rPr>
          <w:rFonts w:cs="Times New Roman"/>
          <w:szCs w:val="24"/>
        </w:rPr>
        <w:t xml:space="preserve">This term is used in section 7 and is relevant to the determination of the risk factor value for the completion rate risk factor for a leviable provider. </w:t>
      </w:r>
    </w:p>
    <w:p w14:paraId="4DF38AA2" w14:textId="77777777" w:rsidR="00121330" w:rsidRPr="00792FEC" w:rsidRDefault="00121330" w:rsidP="00552BB9">
      <w:pPr>
        <w:keepNext/>
        <w:rPr>
          <w:rFonts w:cs="Times New Roman"/>
          <w:b/>
          <w:szCs w:val="24"/>
          <w:u w:val="single"/>
        </w:rPr>
      </w:pPr>
      <w:r w:rsidRPr="00792FEC">
        <w:rPr>
          <w:rFonts w:cs="Times New Roman"/>
          <w:b/>
          <w:szCs w:val="24"/>
          <w:u w:val="single"/>
        </w:rPr>
        <w:t xml:space="preserve">Part 2 – Risk rated premium component </w:t>
      </w:r>
    </w:p>
    <w:p w14:paraId="131A45C4" w14:textId="77777777" w:rsidR="00792FEC" w:rsidRPr="00792FEC" w:rsidRDefault="00792FEC" w:rsidP="00C12BA6">
      <w:pPr>
        <w:widowControl w:val="0"/>
        <w:spacing w:line="240" w:lineRule="auto"/>
        <w:rPr>
          <w:rFonts w:cs="Times New Roman"/>
          <w:szCs w:val="24"/>
        </w:rPr>
      </w:pPr>
      <w:r w:rsidRPr="00792FEC">
        <w:rPr>
          <w:rFonts w:cs="Times New Roman"/>
          <w:szCs w:val="24"/>
        </w:rPr>
        <w:t xml:space="preserve">Section 11 </w:t>
      </w:r>
      <w:r>
        <w:rPr>
          <w:rFonts w:cs="Times New Roman"/>
          <w:szCs w:val="24"/>
        </w:rPr>
        <w:t xml:space="preserve">of the Act </w:t>
      </w:r>
      <w:r w:rsidRPr="00792FEC">
        <w:rPr>
          <w:rFonts w:cs="Times New Roman"/>
          <w:szCs w:val="24"/>
        </w:rPr>
        <w:t>deals with the risk rated pre</w:t>
      </w:r>
      <w:r w:rsidR="00011C76">
        <w:rPr>
          <w:rFonts w:cs="Times New Roman"/>
          <w:szCs w:val="24"/>
        </w:rPr>
        <w:t xml:space="preserve">mium component of the VSL Levy: </w:t>
      </w:r>
    </w:p>
    <w:p w14:paraId="71F32CAB" w14:textId="77777777" w:rsidR="00011C76" w:rsidRDefault="00011C76" w:rsidP="00C12BA6">
      <w:pPr>
        <w:pStyle w:val="ListParagraph"/>
        <w:widowControl w:val="0"/>
        <w:numPr>
          <w:ilvl w:val="0"/>
          <w:numId w:val="12"/>
        </w:numPr>
        <w:spacing w:line="240" w:lineRule="auto"/>
        <w:rPr>
          <w:rFonts w:cs="Times New Roman"/>
          <w:szCs w:val="24"/>
        </w:rPr>
      </w:pPr>
      <w:r>
        <w:rPr>
          <w:rFonts w:cs="Times New Roman"/>
          <w:szCs w:val="24"/>
        </w:rPr>
        <w:t>subsection</w:t>
      </w:r>
      <w:r w:rsidR="00792FEC" w:rsidRPr="00011C76">
        <w:rPr>
          <w:rFonts w:cs="Times New Roman"/>
          <w:szCs w:val="24"/>
        </w:rPr>
        <w:t xml:space="preserve"> 11(1) </w:t>
      </w:r>
      <w:r w:rsidRPr="00011C76">
        <w:rPr>
          <w:rFonts w:cs="Times New Roman"/>
          <w:szCs w:val="24"/>
        </w:rPr>
        <w:t xml:space="preserve">of the Act </w:t>
      </w:r>
      <w:r w:rsidR="00792FEC" w:rsidRPr="00011C76">
        <w:rPr>
          <w:rFonts w:cs="Times New Roman"/>
          <w:szCs w:val="24"/>
        </w:rPr>
        <w:t>provides that if a leviable provider is a new provider for a year, the amount of the provider’s risk rated premium component f</w:t>
      </w:r>
      <w:r>
        <w:rPr>
          <w:rFonts w:cs="Times New Roman"/>
          <w:szCs w:val="24"/>
        </w:rPr>
        <w:t>or the year is zero;</w:t>
      </w:r>
    </w:p>
    <w:p w14:paraId="19058C5E" w14:textId="77777777" w:rsidR="00792FEC" w:rsidRPr="00011C76" w:rsidRDefault="00011C76" w:rsidP="00C12BA6">
      <w:pPr>
        <w:pStyle w:val="ListParagraph"/>
        <w:widowControl w:val="0"/>
        <w:numPr>
          <w:ilvl w:val="0"/>
          <w:numId w:val="12"/>
        </w:numPr>
        <w:spacing w:line="240" w:lineRule="auto"/>
        <w:rPr>
          <w:rFonts w:cs="Times New Roman"/>
          <w:szCs w:val="24"/>
        </w:rPr>
      </w:pPr>
      <w:r>
        <w:rPr>
          <w:rFonts w:cs="Times New Roman"/>
          <w:szCs w:val="24"/>
        </w:rPr>
        <w:t xml:space="preserve">subsection </w:t>
      </w:r>
      <w:r w:rsidR="00792FEC" w:rsidRPr="00011C76">
        <w:rPr>
          <w:rFonts w:cs="Times New Roman"/>
          <w:szCs w:val="24"/>
        </w:rPr>
        <w:t xml:space="preserve">11(2) </w:t>
      </w:r>
      <w:r>
        <w:rPr>
          <w:rFonts w:cs="Times New Roman"/>
          <w:szCs w:val="24"/>
        </w:rPr>
        <w:t xml:space="preserve">of the Act </w:t>
      </w:r>
      <w:r w:rsidR="00792FEC" w:rsidRPr="00011C76">
        <w:rPr>
          <w:rFonts w:cs="Times New Roman"/>
          <w:szCs w:val="24"/>
        </w:rPr>
        <w:t>sets out a six-step method statement for calculating a leviable provider’s risk rated premium component. The Director is responsible for determining various matters for the purposes of different steps in the method statement i</w:t>
      </w:r>
      <w:r w:rsidR="00013B17" w:rsidRPr="00011C76">
        <w:rPr>
          <w:rFonts w:cs="Times New Roman"/>
          <w:szCs w:val="24"/>
        </w:rPr>
        <w:t xml:space="preserve">n subsection 11(2). </w:t>
      </w:r>
    </w:p>
    <w:p w14:paraId="04E6A986" w14:textId="77777777" w:rsidR="00792FEC" w:rsidRDefault="008E0CA6" w:rsidP="00C12BA6">
      <w:pPr>
        <w:widowControl w:val="0"/>
        <w:spacing w:line="240" w:lineRule="auto"/>
        <w:rPr>
          <w:rFonts w:cs="Times New Roman"/>
          <w:szCs w:val="24"/>
        </w:rPr>
      </w:pPr>
      <w:r>
        <w:rPr>
          <w:rFonts w:cs="Times New Roman"/>
          <w:szCs w:val="24"/>
        </w:rPr>
        <w:t>Sections 5 to 8 of the Instrument set out the matters determined by the Director for the purposes</w:t>
      </w:r>
      <w:r w:rsidR="0072580A">
        <w:rPr>
          <w:rFonts w:cs="Times New Roman"/>
          <w:szCs w:val="24"/>
        </w:rPr>
        <w:t xml:space="preserve"> of subsection 11(2) of the Act</w:t>
      </w:r>
      <w:r w:rsidR="00011C76">
        <w:rPr>
          <w:rFonts w:cs="Times New Roman"/>
          <w:szCs w:val="24"/>
        </w:rPr>
        <w:t>,</w:t>
      </w:r>
      <w:r w:rsidR="0072580A">
        <w:rPr>
          <w:rFonts w:cs="Times New Roman"/>
          <w:szCs w:val="24"/>
        </w:rPr>
        <w:t xml:space="preserve"> allowing the risk rated premium component of the VSL Levy for the 2020 calendar to be calculated. </w:t>
      </w:r>
    </w:p>
    <w:p w14:paraId="20023613" w14:textId="77777777" w:rsidR="008E0CA6" w:rsidRPr="0048290C" w:rsidRDefault="008E0CA6" w:rsidP="00487B82">
      <w:pPr>
        <w:widowControl w:val="0"/>
        <w:rPr>
          <w:rFonts w:cs="Times New Roman"/>
          <w:b/>
          <w:i/>
          <w:szCs w:val="24"/>
          <w:u w:val="single"/>
        </w:rPr>
      </w:pPr>
      <w:r w:rsidRPr="0048290C">
        <w:rPr>
          <w:rFonts w:cs="Times New Roman"/>
          <w:b/>
          <w:i/>
          <w:szCs w:val="24"/>
          <w:u w:val="single"/>
        </w:rPr>
        <w:t xml:space="preserve">Section 5: Risk rated premium component </w:t>
      </w:r>
    </w:p>
    <w:p w14:paraId="0FE139D1" w14:textId="77777777" w:rsidR="008E0CA6" w:rsidRDefault="00432D7C" w:rsidP="00C12BA6">
      <w:pPr>
        <w:widowControl w:val="0"/>
        <w:spacing w:line="240" w:lineRule="auto"/>
        <w:rPr>
          <w:rFonts w:cs="Times New Roman"/>
          <w:szCs w:val="24"/>
        </w:rPr>
      </w:pPr>
      <w:r>
        <w:rPr>
          <w:rFonts w:cs="Times New Roman"/>
          <w:szCs w:val="24"/>
        </w:rPr>
        <w:t>Subsection 5(1) provide</w:t>
      </w:r>
      <w:r w:rsidR="008E0CA6">
        <w:rPr>
          <w:rFonts w:cs="Times New Roman"/>
          <w:szCs w:val="24"/>
        </w:rPr>
        <w:t xml:space="preserve">s that the amount for the purposes of step 1 of the method statement </w:t>
      </w:r>
      <w:r>
        <w:rPr>
          <w:rFonts w:cs="Times New Roman"/>
          <w:szCs w:val="24"/>
        </w:rPr>
        <w:t xml:space="preserve">in subsection 11(2) of the Act is $6.00. </w:t>
      </w:r>
    </w:p>
    <w:p w14:paraId="4E73C245" w14:textId="77777777" w:rsidR="00432D7C" w:rsidRDefault="00432D7C" w:rsidP="00C12BA6">
      <w:pPr>
        <w:widowControl w:val="0"/>
        <w:spacing w:line="240" w:lineRule="auto"/>
      </w:pPr>
      <w:r>
        <w:t xml:space="preserve">Subsection 5(2) provides that the percentage for the </w:t>
      </w:r>
      <w:r w:rsidRPr="00DE601E">
        <w:t>purposes of step 2 of the method statement in subsection 11(2) of the Act is 0.17%</w:t>
      </w:r>
      <w:r>
        <w:t xml:space="preserve">. </w:t>
      </w:r>
    </w:p>
    <w:p w14:paraId="49F0A583" w14:textId="77777777" w:rsidR="00432D7C" w:rsidRDefault="00432D7C" w:rsidP="00C12BA6">
      <w:pPr>
        <w:widowControl w:val="0"/>
        <w:spacing w:line="240" w:lineRule="auto"/>
      </w:pPr>
      <w:r>
        <w:t xml:space="preserve">For the purposes of step 4 of the method statement in subsection 11(2) of the Act, subsection 5(3) </w:t>
      </w:r>
      <w:r w:rsidR="00067669">
        <w:t xml:space="preserve">of the Instrument </w:t>
      </w:r>
      <w:r>
        <w:t xml:space="preserve">specifies three risk factors that reflect the risk of payments being made out of the Fund in respect of leviable providers with those factors. They are: </w:t>
      </w:r>
    </w:p>
    <w:p w14:paraId="300A6144" w14:textId="77777777" w:rsid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financial strength risk factor; </w:t>
      </w:r>
    </w:p>
    <w:p w14:paraId="19423CE8" w14:textId="77777777" w:rsid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completion rate risk factor; </w:t>
      </w:r>
    </w:p>
    <w:p w14:paraId="1D274389" w14:textId="2058240D" w:rsidR="00432D7C" w:rsidRP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non-compliance </w:t>
      </w:r>
      <w:r w:rsidR="00AD38AD">
        <w:rPr>
          <w:rFonts w:cs="Times New Roman"/>
          <w:szCs w:val="24"/>
        </w:rPr>
        <w:t xml:space="preserve">history </w:t>
      </w:r>
      <w:r>
        <w:rPr>
          <w:rFonts w:cs="Times New Roman"/>
          <w:szCs w:val="24"/>
        </w:rPr>
        <w:t xml:space="preserve">risk factor. </w:t>
      </w:r>
    </w:p>
    <w:p w14:paraId="06569B8A" w14:textId="77777777" w:rsidR="00432D7C" w:rsidRPr="0048290C" w:rsidRDefault="00432D7C" w:rsidP="00487B82">
      <w:pPr>
        <w:widowControl w:val="0"/>
        <w:rPr>
          <w:rFonts w:cs="Times New Roman"/>
          <w:b/>
          <w:i/>
          <w:szCs w:val="24"/>
          <w:u w:val="single"/>
        </w:rPr>
      </w:pPr>
      <w:r w:rsidRPr="0048290C">
        <w:rPr>
          <w:rFonts w:cs="Times New Roman"/>
          <w:b/>
          <w:i/>
          <w:szCs w:val="24"/>
          <w:u w:val="single"/>
        </w:rPr>
        <w:t>Section 6: Risk factor – financial strength</w:t>
      </w:r>
    </w:p>
    <w:p w14:paraId="4399BC86" w14:textId="77777777" w:rsidR="00432D7C" w:rsidRDefault="0072580A" w:rsidP="00C12BA6">
      <w:pPr>
        <w:widowControl w:val="0"/>
        <w:spacing w:line="240" w:lineRule="auto"/>
        <w:rPr>
          <w:rFonts w:cs="Times New Roman"/>
          <w:szCs w:val="24"/>
        </w:rPr>
      </w:pPr>
      <w:r>
        <w:rPr>
          <w:rFonts w:cs="Times New Roman"/>
          <w:szCs w:val="24"/>
        </w:rPr>
        <w:t xml:space="preserve">Subsection 6(1) of the Instrument specifies the risk factor value for the financial strength risk factor for a leviable provider, for the purposes of step 4 of the method statement in subsection 11(2) of the Act. </w:t>
      </w:r>
    </w:p>
    <w:p w14:paraId="7BE22DC7" w14:textId="77777777" w:rsidR="0072580A" w:rsidRDefault="0072580A" w:rsidP="00C12BA6">
      <w:pPr>
        <w:widowControl w:val="0"/>
        <w:spacing w:line="240" w:lineRule="auto"/>
        <w:rPr>
          <w:rFonts w:cs="Times New Roman"/>
          <w:szCs w:val="24"/>
        </w:rPr>
      </w:pPr>
      <w:r>
        <w:rPr>
          <w:rFonts w:cs="Times New Roman"/>
          <w:szCs w:val="24"/>
        </w:rPr>
        <w:t xml:space="preserve">The risk factor value is: </w:t>
      </w:r>
    </w:p>
    <w:p w14:paraId="2F0327FA" w14:textId="77777777" w:rsidR="0072580A" w:rsidRDefault="0072580A" w:rsidP="00C12BA6">
      <w:pPr>
        <w:pStyle w:val="ListParagraph"/>
        <w:widowControl w:val="0"/>
        <w:numPr>
          <w:ilvl w:val="0"/>
          <w:numId w:val="7"/>
        </w:numPr>
        <w:spacing w:line="240" w:lineRule="auto"/>
        <w:rPr>
          <w:rFonts w:cs="Times New Roman"/>
          <w:szCs w:val="24"/>
        </w:rPr>
      </w:pPr>
      <w:r>
        <w:rPr>
          <w:rFonts w:cs="Times New Roman"/>
          <w:szCs w:val="24"/>
        </w:rPr>
        <w:t xml:space="preserve">2.50, if the provider did not submit financial statements; </w:t>
      </w:r>
    </w:p>
    <w:p w14:paraId="27215EE4" w14:textId="77777777" w:rsidR="0072580A" w:rsidRDefault="0072580A" w:rsidP="00C12BA6">
      <w:pPr>
        <w:pStyle w:val="ListParagraph"/>
        <w:widowControl w:val="0"/>
        <w:numPr>
          <w:ilvl w:val="0"/>
          <w:numId w:val="7"/>
        </w:numPr>
        <w:spacing w:line="240" w:lineRule="auto"/>
        <w:rPr>
          <w:rFonts w:cs="Times New Roman"/>
          <w:szCs w:val="24"/>
        </w:rPr>
      </w:pPr>
      <w:r>
        <w:rPr>
          <w:rFonts w:cs="Times New Roman"/>
          <w:szCs w:val="24"/>
        </w:rPr>
        <w:t>as set out in the table in paragraph 6(1)(b), if the provider submitted financial statements.</w:t>
      </w:r>
      <w:r w:rsidR="001F3C74">
        <w:rPr>
          <w:rFonts w:cs="Times New Roman"/>
          <w:szCs w:val="24"/>
        </w:rPr>
        <w:t xml:space="preserve"> </w:t>
      </w:r>
      <w:r w:rsidRPr="001F3C74">
        <w:rPr>
          <w:rFonts w:cs="Times New Roman"/>
          <w:szCs w:val="24"/>
        </w:rPr>
        <w:t>Under the table, the risk factor value will depend on the financial</w:t>
      </w:r>
      <w:r w:rsidR="001F3C74">
        <w:rPr>
          <w:rFonts w:cs="Times New Roman"/>
          <w:szCs w:val="24"/>
        </w:rPr>
        <w:t xml:space="preserve"> strength score of the provider. </w:t>
      </w:r>
    </w:p>
    <w:p w14:paraId="464205BA" w14:textId="77777777" w:rsidR="001F3C74" w:rsidRDefault="001F3C74" w:rsidP="00C12BA6">
      <w:pPr>
        <w:widowControl w:val="0"/>
        <w:spacing w:line="240" w:lineRule="auto"/>
        <w:rPr>
          <w:rFonts w:cs="Times New Roman"/>
          <w:szCs w:val="24"/>
        </w:rPr>
      </w:pPr>
      <w:r>
        <w:rPr>
          <w:rFonts w:cs="Times New Roman"/>
          <w:szCs w:val="24"/>
        </w:rPr>
        <w:t xml:space="preserve">Subsections 6(2) and (3) explain how a provider’s financial strength </w:t>
      </w:r>
      <w:r w:rsidR="00F96F34">
        <w:rPr>
          <w:rFonts w:cs="Times New Roman"/>
          <w:szCs w:val="24"/>
        </w:rPr>
        <w:t>s</w:t>
      </w:r>
      <w:r>
        <w:rPr>
          <w:rFonts w:cs="Times New Roman"/>
          <w:szCs w:val="24"/>
        </w:rPr>
        <w:t xml:space="preserve">core is to be determined. </w:t>
      </w:r>
      <w:r w:rsidR="00F96F34">
        <w:rPr>
          <w:rFonts w:cs="Times New Roman"/>
          <w:szCs w:val="24"/>
        </w:rPr>
        <w:t xml:space="preserve">A </w:t>
      </w:r>
      <w:r>
        <w:rPr>
          <w:rFonts w:cs="Times New Roman"/>
          <w:szCs w:val="24"/>
        </w:rPr>
        <w:t xml:space="preserve">provider’s financial strength score is the sum of the scores for the net profit ratio, the return on assets and the debt to equity. The table in subsections 6(3) sets out formulas for calculating the score for each ratio, with the relevant information for those formula being taken or derived from the provider’s financial statements. </w:t>
      </w:r>
    </w:p>
    <w:p w14:paraId="6DE2938C" w14:textId="77777777" w:rsidR="00067669" w:rsidRPr="0048290C" w:rsidRDefault="00067669" w:rsidP="00C12BA6">
      <w:pPr>
        <w:widowControl w:val="0"/>
        <w:spacing w:line="240" w:lineRule="auto"/>
        <w:rPr>
          <w:rFonts w:cs="Times New Roman"/>
          <w:szCs w:val="24"/>
        </w:rPr>
      </w:pPr>
      <w:r w:rsidRPr="0048290C">
        <w:rPr>
          <w:rFonts w:cs="Times New Roman"/>
          <w:szCs w:val="24"/>
        </w:rPr>
        <w:t>In order to work out the score for the ‘Net profit ratio’:</w:t>
      </w:r>
    </w:p>
    <w:p w14:paraId="2843600A" w14:textId="77777777" w:rsidR="00067669" w:rsidRPr="0048290C" w:rsidRDefault="00067669" w:rsidP="00C12BA6">
      <w:pPr>
        <w:pStyle w:val="ListParagraph"/>
        <w:widowControl w:val="0"/>
        <w:spacing w:line="240" w:lineRule="auto"/>
        <w:rPr>
          <w:rFonts w:cs="Times New Roman"/>
          <w:szCs w:val="24"/>
        </w:rPr>
      </w:pPr>
      <w:r w:rsidRPr="0048290C">
        <w:rPr>
          <w:rFonts w:cs="Times New Roman"/>
          <w:szCs w:val="24"/>
        </w:rPr>
        <w:t xml:space="preserve">Based on the leviable provider’s financial statement, the provider’s ‘net profit before tax’ (NPBT) is divided by the provider’s ‘total revenue’. If the result is less than or equal to zero, then the provider’s score is one. If the result is greater than zero but less than or equal to 0.7, then the provider’s score is two. If the result is greater than 0.7, then the provider’s score is three. </w:t>
      </w:r>
    </w:p>
    <w:p w14:paraId="3BC834FA" w14:textId="77777777" w:rsidR="00067669" w:rsidRPr="0048290C" w:rsidRDefault="00067669" w:rsidP="00C12BA6">
      <w:pPr>
        <w:pStyle w:val="ListParagraph"/>
        <w:widowControl w:val="0"/>
        <w:spacing w:line="240" w:lineRule="auto"/>
        <w:rPr>
          <w:rFonts w:cs="Times New Roman"/>
          <w:szCs w:val="24"/>
        </w:rPr>
      </w:pPr>
    </w:p>
    <w:p w14:paraId="0AA53064" w14:textId="77777777" w:rsidR="00067669" w:rsidRPr="0048290C" w:rsidRDefault="00067669" w:rsidP="00C12BA6">
      <w:pPr>
        <w:pStyle w:val="ListParagraph"/>
        <w:widowControl w:val="0"/>
        <w:spacing w:line="240" w:lineRule="auto"/>
        <w:ind w:left="0"/>
        <w:rPr>
          <w:rFonts w:cs="Times New Roman"/>
          <w:szCs w:val="24"/>
        </w:rPr>
      </w:pPr>
      <w:r w:rsidRPr="0048290C">
        <w:rPr>
          <w:rFonts w:cs="Times New Roman"/>
          <w:szCs w:val="24"/>
        </w:rPr>
        <w:t xml:space="preserve">In order to work out the score for the ‘return on assets’ ratio: </w:t>
      </w:r>
    </w:p>
    <w:p w14:paraId="7E3E306F" w14:textId="77777777" w:rsidR="00067669" w:rsidRPr="0048290C" w:rsidRDefault="00067669" w:rsidP="00C12BA6">
      <w:pPr>
        <w:pStyle w:val="ListParagraph"/>
        <w:widowControl w:val="0"/>
        <w:spacing w:line="240" w:lineRule="auto"/>
        <w:ind w:left="0"/>
        <w:rPr>
          <w:rFonts w:cs="Times New Roman"/>
          <w:szCs w:val="24"/>
        </w:rPr>
      </w:pPr>
    </w:p>
    <w:p w14:paraId="32D516CC" w14:textId="77777777" w:rsidR="00067669" w:rsidRPr="0048290C" w:rsidRDefault="00067669" w:rsidP="00C12BA6">
      <w:pPr>
        <w:pStyle w:val="ListParagraph"/>
        <w:widowControl w:val="0"/>
        <w:spacing w:line="240" w:lineRule="auto"/>
        <w:ind w:left="0"/>
        <w:rPr>
          <w:rFonts w:cs="Times New Roman"/>
          <w:szCs w:val="24"/>
        </w:rPr>
      </w:pPr>
      <w:r w:rsidRPr="0048290C">
        <w:rPr>
          <w:rFonts w:cs="Times New Roman"/>
          <w:szCs w:val="24"/>
        </w:rPr>
        <w:tab/>
        <w:t xml:space="preserve">Based on the leviable provider’s financial statement, the provider’s NPBT is divided </w:t>
      </w:r>
      <w:r w:rsidRPr="0048290C">
        <w:rPr>
          <w:rFonts w:cs="Times New Roman"/>
          <w:szCs w:val="24"/>
        </w:rPr>
        <w:tab/>
        <w:t xml:space="preserve">by the provider’s ‘total assets’. If the result is less than or equal to zero, then the </w:t>
      </w:r>
      <w:r w:rsidRPr="0048290C">
        <w:rPr>
          <w:rFonts w:cs="Times New Roman"/>
          <w:szCs w:val="24"/>
        </w:rPr>
        <w:tab/>
        <w:t xml:space="preserve">provider’s score is one. If the result is greater than zero but less than or equal to 0.1, </w:t>
      </w:r>
      <w:r w:rsidRPr="0048290C">
        <w:rPr>
          <w:rFonts w:cs="Times New Roman"/>
          <w:szCs w:val="24"/>
        </w:rPr>
        <w:tab/>
        <w:t xml:space="preserve">then the provider’s score is two. If the result is greater than 0.1, then the provider’s </w:t>
      </w:r>
      <w:r w:rsidRPr="0048290C">
        <w:rPr>
          <w:rFonts w:cs="Times New Roman"/>
          <w:szCs w:val="24"/>
        </w:rPr>
        <w:tab/>
        <w:t xml:space="preserve">score is three. </w:t>
      </w:r>
    </w:p>
    <w:p w14:paraId="33D86F58" w14:textId="77777777" w:rsidR="00067669" w:rsidRPr="0048290C" w:rsidRDefault="00067669" w:rsidP="00C12BA6">
      <w:pPr>
        <w:pStyle w:val="ListParagraph"/>
        <w:widowControl w:val="0"/>
        <w:spacing w:line="240" w:lineRule="auto"/>
        <w:ind w:left="0"/>
        <w:rPr>
          <w:rFonts w:cs="Times New Roman"/>
          <w:szCs w:val="24"/>
        </w:rPr>
      </w:pPr>
    </w:p>
    <w:p w14:paraId="113457A4" w14:textId="77777777" w:rsidR="00067669" w:rsidRPr="0048290C" w:rsidRDefault="00067669" w:rsidP="00C12BA6">
      <w:pPr>
        <w:pStyle w:val="ListParagraph"/>
        <w:widowControl w:val="0"/>
        <w:spacing w:line="240" w:lineRule="auto"/>
        <w:ind w:left="0"/>
        <w:rPr>
          <w:rFonts w:cs="Times New Roman"/>
          <w:szCs w:val="24"/>
        </w:rPr>
      </w:pPr>
      <w:r w:rsidRPr="0048290C">
        <w:rPr>
          <w:rFonts w:cs="Times New Roman"/>
          <w:szCs w:val="24"/>
        </w:rPr>
        <w:t xml:space="preserve">In order to work out the score for the ‘debt to equity’ ratio: </w:t>
      </w:r>
    </w:p>
    <w:p w14:paraId="2012EBCC" w14:textId="77777777" w:rsidR="00067669" w:rsidRPr="0048290C" w:rsidRDefault="00067669" w:rsidP="00C12BA6">
      <w:pPr>
        <w:pStyle w:val="ListParagraph"/>
        <w:widowControl w:val="0"/>
        <w:spacing w:line="240" w:lineRule="auto"/>
        <w:ind w:left="0"/>
        <w:rPr>
          <w:rFonts w:cs="Times New Roman"/>
          <w:szCs w:val="24"/>
        </w:rPr>
      </w:pPr>
    </w:p>
    <w:p w14:paraId="10ECB3F3" w14:textId="7383A332" w:rsidR="00067669" w:rsidRPr="00732DEF" w:rsidRDefault="00067669" w:rsidP="00C12BA6">
      <w:pPr>
        <w:pStyle w:val="ListParagraph"/>
        <w:widowControl w:val="0"/>
        <w:spacing w:line="240" w:lineRule="auto"/>
        <w:ind w:left="0"/>
        <w:rPr>
          <w:rFonts w:cs="Times New Roman"/>
          <w:szCs w:val="24"/>
        </w:rPr>
      </w:pPr>
      <w:r w:rsidRPr="0048290C">
        <w:rPr>
          <w:rFonts w:cs="Times New Roman"/>
          <w:szCs w:val="24"/>
        </w:rPr>
        <w:tab/>
        <w:t xml:space="preserve">Based on the leviable provider’s financial statement, the provider’s ‘total liabilities’ is </w:t>
      </w:r>
      <w:r w:rsidRPr="0048290C">
        <w:rPr>
          <w:rFonts w:cs="Times New Roman"/>
          <w:szCs w:val="24"/>
        </w:rPr>
        <w:tab/>
        <w:t>divided by the provider’s ‘total equity’. If the result is greater than or equal to 2.5,</w:t>
      </w:r>
      <w:r w:rsidR="00920415">
        <w:rPr>
          <w:rFonts w:cs="Times New Roman"/>
          <w:szCs w:val="24"/>
        </w:rPr>
        <w:t xml:space="preserve"> </w:t>
      </w:r>
      <w:r w:rsidR="00920415">
        <w:rPr>
          <w:rFonts w:cs="Times New Roman"/>
          <w:szCs w:val="24"/>
        </w:rPr>
        <w:tab/>
        <w:t>then the provider’s score is one</w:t>
      </w:r>
      <w:r w:rsidRPr="0048290C">
        <w:rPr>
          <w:rFonts w:cs="Times New Roman"/>
          <w:szCs w:val="24"/>
        </w:rPr>
        <w:t xml:space="preserve">. Alternatively, if the provider’s total equity is less </w:t>
      </w:r>
      <w:r w:rsidR="00920415">
        <w:rPr>
          <w:rFonts w:cs="Times New Roman"/>
          <w:szCs w:val="24"/>
        </w:rPr>
        <w:tab/>
        <w:t xml:space="preserve">than </w:t>
      </w:r>
      <w:r w:rsidRPr="0048290C">
        <w:rPr>
          <w:rFonts w:cs="Times New Roman"/>
          <w:szCs w:val="24"/>
        </w:rPr>
        <w:t>or equal to zero (i.e. the provider has a negative value o</w:t>
      </w:r>
      <w:r w:rsidR="00920415">
        <w:rPr>
          <w:rFonts w:cs="Times New Roman"/>
          <w:szCs w:val="24"/>
        </w:rPr>
        <w:t xml:space="preserve">f equity or zero equity), </w:t>
      </w:r>
      <w:r w:rsidR="00920415">
        <w:rPr>
          <w:rFonts w:cs="Times New Roman"/>
          <w:szCs w:val="24"/>
        </w:rPr>
        <w:tab/>
        <w:t xml:space="preserve">then </w:t>
      </w:r>
      <w:r w:rsidRPr="0048290C">
        <w:rPr>
          <w:rFonts w:cs="Times New Roman"/>
          <w:szCs w:val="24"/>
        </w:rPr>
        <w:t xml:space="preserve">the provider’s score is also one. If the result is less than 2.5 but greater than or </w:t>
      </w:r>
      <w:r w:rsidR="00920415">
        <w:rPr>
          <w:rFonts w:cs="Times New Roman"/>
          <w:szCs w:val="24"/>
        </w:rPr>
        <w:tab/>
        <w:t xml:space="preserve">equal </w:t>
      </w:r>
      <w:r w:rsidRPr="0048290C">
        <w:rPr>
          <w:rFonts w:cs="Times New Roman"/>
          <w:szCs w:val="24"/>
        </w:rPr>
        <w:t>to 1.5, then the provider’s score is two. If the result is les</w:t>
      </w:r>
      <w:r w:rsidR="00920415">
        <w:rPr>
          <w:rFonts w:cs="Times New Roman"/>
          <w:szCs w:val="24"/>
        </w:rPr>
        <w:t xml:space="preserve">s than 1.5 but greater </w:t>
      </w:r>
      <w:r w:rsidR="00920415">
        <w:rPr>
          <w:rFonts w:cs="Times New Roman"/>
          <w:szCs w:val="24"/>
        </w:rPr>
        <w:tab/>
        <w:t xml:space="preserve">than or </w:t>
      </w:r>
      <w:r w:rsidRPr="0048290C">
        <w:rPr>
          <w:rFonts w:cs="Times New Roman"/>
          <w:szCs w:val="24"/>
        </w:rPr>
        <w:t>equal to zero, then the provider’s score is three.</w:t>
      </w:r>
      <w:r>
        <w:rPr>
          <w:rFonts w:cs="Times New Roman"/>
          <w:szCs w:val="24"/>
        </w:rPr>
        <w:t xml:space="preserve"> </w:t>
      </w:r>
    </w:p>
    <w:p w14:paraId="63C025A6" w14:textId="77777777" w:rsidR="001163C5" w:rsidRPr="00067669" w:rsidRDefault="001163C5" w:rsidP="00487B82">
      <w:pPr>
        <w:widowControl w:val="0"/>
        <w:rPr>
          <w:rFonts w:cs="Times New Roman"/>
          <w:b/>
          <w:i/>
          <w:szCs w:val="24"/>
          <w:u w:val="single"/>
        </w:rPr>
      </w:pPr>
      <w:r w:rsidRPr="00067669">
        <w:rPr>
          <w:rFonts w:cs="Times New Roman"/>
          <w:b/>
          <w:i/>
          <w:szCs w:val="24"/>
          <w:u w:val="single"/>
        </w:rPr>
        <w:t>Section 7: Risk factor – completion rate</w:t>
      </w:r>
    </w:p>
    <w:p w14:paraId="5D71503B" w14:textId="77777777" w:rsidR="006C784A" w:rsidRDefault="006C784A" w:rsidP="00C12BA6">
      <w:pPr>
        <w:widowControl w:val="0"/>
        <w:spacing w:line="240" w:lineRule="auto"/>
        <w:rPr>
          <w:rFonts w:cs="Times New Roman"/>
          <w:szCs w:val="24"/>
        </w:rPr>
      </w:pPr>
      <w:r>
        <w:rPr>
          <w:rFonts w:cs="Times New Roman"/>
          <w:szCs w:val="24"/>
        </w:rPr>
        <w:t>Subsection 7(1) of the Instrument specifies the risk factor value for the completion rate risk factor for a leviable provider, for the purposes of step 4 of the method statement in subsection 11(2) of the Act.</w:t>
      </w:r>
    </w:p>
    <w:p w14:paraId="5F1FDC18" w14:textId="77777777" w:rsidR="001F3C74" w:rsidRDefault="006C784A" w:rsidP="00C12BA6">
      <w:pPr>
        <w:widowControl w:val="0"/>
        <w:spacing w:line="240" w:lineRule="auto"/>
        <w:rPr>
          <w:rFonts w:cs="Times New Roman"/>
          <w:szCs w:val="24"/>
        </w:rPr>
      </w:pPr>
      <w:r>
        <w:rPr>
          <w:rFonts w:cs="Times New Roman"/>
          <w:szCs w:val="24"/>
        </w:rPr>
        <w:t xml:space="preserve">The risk factor value is determined by reference to information reported by leviable providers in their statements of general information and is: </w:t>
      </w:r>
    </w:p>
    <w:p w14:paraId="644B7DCD" w14:textId="77777777" w:rsidR="006C784A" w:rsidRDefault="00067669" w:rsidP="00C12BA6">
      <w:pPr>
        <w:pStyle w:val="ListParagraph"/>
        <w:widowControl w:val="0"/>
        <w:numPr>
          <w:ilvl w:val="0"/>
          <w:numId w:val="9"/>
        </w:numPr>
        <w:spacing w:line="240" w:lineRule="auto"/>
        <w:rPr>
          <w:rFonts w:cs="Times New Roman"/>
          <w:szCs w:val="24"/>
        </w:rPr>
      </w:pPr>
      <w:r>
        <w:rPr>
          <w:rFonts w:cs="Times New Roman"/>
          <w:szCs w:val="24"/>
        </w:rPr>
        <w:t>zero</w:t>
      </w:r>
      <w:r w:rsidR="006C784A">
        <w:rPr>
          <w:rFonts w:cs="Times New Roman"/>
          <w:szCs w:val="24"/>
        </w:rPr>
        <w:t xml:space="preserve">, if the provider </w:t>
      </w:r>
      <w:r w:rsidR="006C784A">
        <w:t>did not report any units of study for the calendar year beginning o</w:t>
      </w:r>
      <w:r w:rsidR="006C784A" w:rsidRPr="00067669">
        <w:t>n 1 January 2019 (previous calendar year) in its statements of general information</w:t>
      </w:r>
      <w:r w:rsidRPr="00067669">
        <w:t>. For example, the provider did not deliver any units in 2019 and therefore there were no units to report</w:t>
      </w:r>
      <w:r w:rsidR="006C784A" w:rsidRPr="00067669">
        <w:rPr>
          <w:rFonts w:cs="Times New Roman"/>
          <w:szCs w:val="24"/>
        </w:rPr>
        <w:t>;</w:t>
      </w:r>
      <w:r w:rsidR="006C784A">
        <w:rPr>
          <w:rFonts w:cs="Times New Roman"/>
          <w:szCs w:val="24"/>
        </w:rPr>
        <w:t xml:space="preserve"> </w:t>
      </w:r>
    </w:p>
    <w:p w14:paraId="3F260FB1" w14:textId="77777777" w:rsidR="006C784A" w:rsidRDefault="006C784A" w:rsidP="00C12BA6">
      <w:pPr>
        <w:pStyle w:val="ListParagraph"/>
        <w:widowControl w:val="0"/>
        <w:numPr>
          <w:ilvl w:val="0"/>
          <w:numId w:val="9"/>
        </w:numPr>
        <w:spacing w:line="240" w:lineRule="auto"/>
        <w:rPr>
          <w:rFonts w:cs="Times New Roman"/>
          <w:szCs w:val="24"/>
        </w:rPr>
      </w:pPr>
      <w:r>
        <w:rPr>
          <w:rFonts w:cs="Times New Roman"/>
          <w:szCs w:val="24"/>
        </w:rPr>
        <w:t>as set out in the table in paragraph 7(1)(b), otherwise. Under the table, the risk factor value will depend on the provider’</w:t>
      </w:r>
      <w:r w:rsidR="00B44679">
        <w:rPr>
          <w:rFonts w:cs="Times New Roman"/>
          <w:szCs w:val="24"/>
        </w:rPr>
        <w:t xml:space="preserve">s completion rate percentage. </w:t>
      </w:r>
    </w:p>
    <w:p w14:paraId="3234DA8F" w14:textId="77777777" w:rsidR="00E40E5A" w:rsidRDefault="006C784A" w:rsidP="00C12BA6">
      <w:pPr>
        <w:widowControl w:val="0"/>
        <w:spacing w:line="240" w:lineRule="auto"/>
        <w:rPr>
          <w:rFonts w:cs="Times New Roman"/>
          <w:szCs w:val="24"/>
        </w:rPr>
      </w:pPr>
      <w:r>
        <w:rPr>
          <w:rFonts w:cs="Times New Roman"/>
          <w:szCs w:val="24"/>
        </w:rPr>
        <w:t xml:space="preserve">Subsection 7(2) sets out the formula </w:t>
      </w:r>
      <w:r w:rsidR="00B44679">
        <w:rPr>
          <w:rFonts w:cs="Times New Roman"/>
          <w:szCs w:val="24"/>
        </w:rPr>
        <w:t xml:space="preserve">for determining a provider’s completion rate percentage, with the relevant information for that formula also being taken from the provider’s statements of general information. </w:t>
      </w:r>
      <w:r w:rsidR="00E40E5A">
        <w:rPr>
          <w:rFonts w:cs="Times New Roman"/>
          <w:szCs w:val="24"/>
        </w:rPr>
        <w:t xml:space="preserve">This includes: </w:t>
      </w:r>
    </w:p>
    <w:p w14:paraId="30B170F3" w14:textId="77777777" w:rsidR="006C784A" w:rsidRDefault="00E40E5A" w:rsidP="00C12BA6">
      <w:pPr>
        <w:pStyle w:val="ListParagraph"/>
        <w:widowControl w:val="0"/>
        <w:numPr>
          <w:ilvl w:val="0"/>
          <w:numId w:val="11"/>
        </w:numPr>
        <w:spacing w:line="240" w:lineRule="auto"/>
        <w:rPr>
          <w:rFonts w:cs="Times New Roman"/>
          <w:szCs w:val="24"/>
        </w:rPr>
      </w:pPr>
      <w:r w:rsidRPr="00E40E5A">
        <w:rPr>
          <w:rFonts w:cs="Times New Roman"/>
          <w:szCs w:val="24"/>
        </w:rPr>
        <w:t xml:space="preserve">the total EFTSL value for units with a census day in the previous calendar year for which no unit of study completion status has been </w:t>
      </w:r>
      <w:r>
        <w:rPr>
          <w:rFonts w:cs="Times New Roman"/>
          <w:szCs w:val="24"/>
        </w:rPr>
        <w:t xml:space="preserve">reported (Data missing EFTL); </w:t>
      </w:r>
    </w:p>
    <w:p w14:paraId="2246DB51" w14:textId="77777777" w:rsidR="00E40E5A" w:rsidRPr="00E40E5A"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year reported by the provider as having a unit of study completion status of ‘failed’ (Failed EFTSL); </w:t>
      </w:r>
    </w:p>
    <w:p w14:paraId="13587F61" w14:textId="77777777" w:rsidR="00E40E5A" w:rsidRPr="00E40E5A"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year reported by the provider as having a unit of study completion status of ‘unit of study to be commenced later in the year or still in process of completing or completion status not yet determined’ (Ongoing EFTSL); </w:t>
      </w:r>
    </w:p>
    <w:p w14:paraId="451B749E" w14:textId="77777777" w:rsidR="00E40E5A" w:rsidRPr="00E40E5A" w:rsidRDefault="00E40E5A" w:rsidP="00C12BA6">
      <w:pPr>
        <w:pStyle w:val="ListParagraph"/>
        <w:widowControl w:val="0"/>
        <w:numPr>
          <w:ilvl w:val="0"/>
          <w:numId w:val="11"/>
        </w:numPr>
        <w:spacing w:line="240" w:lineRule="auto"/>
        <w:rPr>
          <w:rFonts w:cs="Times New Roman"/>
          <w:szCs w:val="24"/>
        </w:rPr>
      </w:pPr>
      <w:r>
        <w:t>the total EFTSL value for units of study with a census day in the previous calendar year reported by the provider as having a unit of study completion status of ‘successfully completed all the requirements’ (Passed EFTSL);</w:t>
      </w:r>
    </w:p>
    <w:p w14:paraId="4955BD12" w14:textId="77777777" w:rsidR="00E40E5A" w:rsidRPr="00E40E5A"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year reported by the provider as having a unit of study completion status of ‘withdrew without penalty’ (Withdrawn EFTSL). </w:t>
      </w:r>
    </w:p>
    <w:p w14:paraId="7943360D" w14:textId="0FFC4E5F" w:rsidR="00E40E5A" w:rsidRPr="00E40E5A" w:rsidRDefault="00E40E5A" w:rsidP="00C12BA6">
      <w:pPr>
        <w:widowControl w:val="0"/>
        <w:spacing w:line="240" w:lineRule="auto"/>
        <w:rPr>
          <w:rFonts w:cs="Times New Roman"/>
          <w:szCs w:val="24"/>
        </w:rPr>
      </w:pPr>
      <w:r>
        <w:rPr>
          <w:rFonts w:cs="Times New Roman"/>
          <w:szCs w:val="24"/>
        </w:rPr>
        <w:t xml:space="preserve">Subsections 7(3) to (7) define ‘EFTSL’ and </w:t>
      </w:r>
      <w:r w:rsidR="00AD5EE0">
        <w:rPr>
          <w:rFonts w:cs="Times New Roman"/>
          <w:szCs w:val="24"/>
        </w:rPr>
        <w:t>‘</w:t>
      </w:r>
      <w:r>
        <w:rPr>
          <w:rFonts w:cs="Times New Roman"/>
          <w:szCs w:val="24"/>
        </w:rPr>
        <w:t>EFTSL value’</w:t>
      </w:r>
      <w:r w:rsidR="0080481C">
        <w:rPr>
          <w:rFonts w:cs="Times New Roman"/>
          <w:szCs w:val="24"/>
        </w:rPr>
        <w:t xml:space="preserve"> in a similar way to how those terms are defined in the </w:t>
      </w:r>
      <w:r w:rsidR="0080481C" w:rsidRPr="0080481C">
        <w:rPr>
          <w:rFonts w:cs="Times New Roman"/>
          <w:i/>
          <w:szCs w:val="24"/>
        </w:rPr>
        <w:t>Higher Education Support Act 2003</w:t>
      </w:r>
      <w:r w:rsidR="0080481C">
        <w:rPr>
          <w:rFonts w:cs="Times New Roman"/>
          <w:szCs w:val="24"/>
        </w:rPr>
        <w:t>.</w:t>
      </w:r>
    </w:p>
    <w:p w14:paraId="227D7AC0" w14:textId="77777777" w:rsidR="00F52CED" w:rsidRPr="0048290C" w:rsidRDefault="00F52CED" w:rsidP="0048290C">
      <w:pPr>
        <w:keepNext/>
        <w:widowControl w:val="0"/>
        <w:rPr>
          <w:rFonts w:cs="Times New Roman"/>
          <w:b/>
          <w:i/>
          <w:szCs w:val="24"/>
          <w:u w:val="single"/>
        </w:rPr>
      </w:pPr>
      <w:r w:rsidRPr="0048290C">
        <w:rPr>
          <w:rFonts w:cs="Times New Roman"/>
          <w:b/>
          <w:i/>
          <w:szCs w:val="24"/>
          <w:u w:val="single"/>
        </w:rPr>
        <w:t>Section 8: Risk factor – non-compliance history</w:t>
      </w:r>
    </w:p>
    <w:p w14:paraId="42DACC20" w14:textId="77777777" w:rsidR="00B61234" w:rsidRDefault="00B61234" w:rsidP="00C12BA6">
      <w:pPr>
        <w:widowControl w:val="0"/>
        <w:spacing w:line="240" w:lineRule="auto"/>
        <w:rPr>
          <w:rFonts w:cs="Times New Roman"/>
          <w:szCs w:val="24"/>
        </w:rPr>
      </w:pPr>
      <w:r>
        <w:rPr>
          <w:rFonts w:cs="Times New Roman"/>
          <w:szCs w:val="24"/>
        </w:rPr>
        <w:t>Subsection 8(1) of the Instrument specifies the risk factor value for the non-compliance history risk factor for a leviable provider, for the purposes of step 4 of the method statement in subsection 11(2) of the Act.</w:t>
      </w:r>
    </w:p>
    <w:p w14:paraId="5ED5C030" w14:textId="77777777" w:rsidR="00432D7C" w:rsidRPr="00B61234" w:rsidRDefault="00B61234" w:rsidP="00C12BA6">
      <w:pPr>
        <w:widowControl w:val="0"/>
        <w:spacing w:line="240" w:lineRule="auto"/>
        <w:rPr>
          <w:rFonts w:cs="Times New Roman"/>
          <w:szCs w:val="24"/>
        </w:rPr>
      </w:pPr>
      <w:r>
        <w:rPr>
          <w:rFonts w:cs="Times New Roman"/>
          <w:szCs w:val="24"/>
        </w:rPr>
        <w:t xml:space="preserve">As set out in the table in subsection 8(1), the risk factor value will depend on the provider’s weighted late payment measure as determined </w:t>
      </w:r>
      <w:r w:rsidR="00F426D9">
        <w:rPr>
          <w:rFonts w:cs="Times New Roman"/>
          <w:szCs w:val="24"/>
        </w:rPr>
        <w:t xml:space="preserve">under subsection 8(2). A provider’s weighted late payment measure </w:t>
      </w:r>
      <w:r w:rsidR="007E1EA5">
        <w:rPr>
          <w:rFonts w:cs="Times New Roman"/>
          <w:szCs w:val="24"/>
        </w:rPr>
        <w:t xml:space="preserve">is worked out by </w:t>
      </w:r>
      <w:r w:rsidR="0021309F">
        <w:rPr>
          <w:rFonts w:cs="Times New Roman"/>
          <w:szCs w:val="24"/>
        </w:rPr>
        <w:t xml:space="preserve">reference to </w:t>
      </w:r>
      <w:r w:rsidR="007E1EA5">
        <w:rPr>
          <w:rFonts w:cs="Times New Roman"/>
          <w:szCs w:val="24"/>
        </w:rPr>
        <w:t>the number o</w:t>
      </w:r>
      <w:r w:rsidR="00086821">
        <w:rPr>
          <w:rFonts w:cs="Times New Roman"/>
          <w:szCs w:val="24"/>
        </w:rPr>
        <w:t>f</w:t>
      </w:r>
      <w:r w:rsidR="007E1EA5">
        <w:rPr>
          <w:rFonts w:cs="Times New Roman"/>
          <w:szCs w:val="24"/>
        </w:rPr>
        <w:t xml:space="preserve"> days after the due date on which the approved course provider charge for that year was received. </w:t>
      </w:r>
    </w:p>
    <w:p w14:paraId="493AE61A" w14:textId="77777777" w:rsidR="00756D99" w:rsidRPr="00792FEC" w:rsidRDefault="00552BB9" w:rsidP="00487B82">
      <w:pPr>
        <w:widowControl w:val="0"/>
        <w:spacing w:before="360" w:after="120"/>
        <w:rPr>
          <w:rFonts w:cs="Times New Roman"/>
          <w:b/>
          <w:szCs w:val="24"/>
          <w:u w:val="single"/>
        </w:rPr>
      </w:pPr>
      <w:bookmarkStart w:id="6" w:name="_Toc23942243"/>
      <w:bookmarkEnd w:id="6"/>
      <w:r w:rsidRPr="00792FEC">
        <w:rPr>
          <w:rFonts w:cs="Times New Roman"/>
          <w:b/>
          <w:szCs w:val="24"/>
          <w:u w:val="single"/>
        </w:rPr>
        <w:t xml:space="preserve">Part 3 – Special tuition protection component </w:t>
      </w:r>
    </w:p>
    <w:p w14:paraId="739A462A" w14:textId="77777777" w:rsidR="007E1EA5" w:rsidRPr="0048290C" w:rsidRDefault="007E1EA5" w:rsidP="007E1EA5">
      <w:pPr>
        <w:widowControl w:val="0"/>
        <w:rPr>
          <w:rFonts w:cs="Times New Roman"/>
          <w:b/>
          <w:i/>
          <w:szCs w:val="24"/>
          <w:u w:val="single"/>
        </w:rPr>
      </w:pPr>
      <w:r w:rsidRPr="0048290C">
        <w:rPr>
          <w:rFonts w:cs="Times New Roman"/>
          <w:b/>
          <w:i/>
          <w:szCs w:val="24"/>
          <w:u w:val="single"/>
        </w:rPr>
        <w:t xml:space="preserve">Section 9: Special tuition protection component </w:t>
      </w:r>
    </w:p>
    <w:p w14:paraId="0082A77B" w14:textId="77777777" w:rsidR="00EE08AD" w:rsidRPr="00792FEC" w:rsidRDefault="00EE08AD" w:rsidP="00C12BA6">
      <w:pPr>
        <w:widowControl w:val="0"/>
        <w:spacing w:line="240" w:lineRule="auto"/>
        <w:rPr>
          <w:rFonts w:cs="Times New Roman"/>
          <w:szCs w:val="24"/>
        </w:rPr>
      </w:pPr>
      <w:r>
        <w:rPr>
          <w:rFonts w:cs="Times New Roman"/>
          <w:szCs w:val="24"/>
        </w:rPr>
        <w:t>Section 12</w:t>
      </w:r>
      <w:r w:rsidRPr="00792FEC">
        <w:rPr>
          <w:rFonts w:cs="Times New Roman"/>
          <w:szCs w:val="24"/>
        </w:rPr>
        <w:t xml:space="preserve"> </w:t>
      </w:r>
      <w:r>
        <w:rPr>
          <w:rFonts w:cs="Times New Roman"/>
          <w:szCs w:val="24"/>
        </w:rPr>
        <w:t xml:space="preserve">of the Act </w:t>
      </w:r>
      <w:r w:rsidRPr="00792FEC">
        <w:rPr>
          <w:rFonts w:cs="Times New Roman"/>
          <w:szCs w:val="24"/>
        </w:rPr>
        <w:t xml:space="preserve">deals with the </w:t>
      </w:r>
      <w:r>
        <w:rPr>
          <w:rFonts w:cs="Times New Roman"/>
          <w:szCs w:val="24"/>
        </w:rPr>
        <w:t xml:space="preserve">special tuition protection component </w:t>
      </w:r>
      <w:r w:rsidR="0021309F">
        <w:rPr>
          <w:rFonts w:cs="Times New Roman"/>
          <w:szCs w:val="24"/>
        </w:rPr>
        <w:t xml:space="preserve">of the VSL Levy: </w:t>
      </w:r>
    </w:p>
    <w:p w14:paraId="2F5FD4A7" w14:textId="77777777" w:rsidR="0021309F" w:rsidRDefault="0021309F" w:rsidP="00C12BA6">
      <w:pPr>
        <w:pStyle w:val="ListParagraph"/>
        <w:widowControl w:val="0"/>
        <w:numPr>
          <w:ilvl w:val="0"/>
          <w:numId w:val="13"/>
        </w:numPr>
        <w:spacing w:line="240" w:lineRule="auto"/>
        <w:rPr>
          <w:rFonts w:cs="Times New Roman"/>
          <w:szCs w:val="24"/>
        </w:rPr>
      </w:pPr>
      <w:r>
        <w:rPr>
          <w:rFonts w:cs="Times New Roman"/>
          <w:szCs w:val="24"/>
        </w:rPr>
        <w:t>s</w:t>
      </w:r>
      <w:r w:rsidRPr="0021309F">
        <w:rPr>
          <w:rFonts w:cs="Times New Roman"/>
          <w:szCs w:val="24"/>
        </w:rPr>
        <w:t>ubsection</w:t>
      </w:r>
      <w:r w:rsidR="00EE08AD" w:rsidRPr="0021309F">
        <w:rPr>
          <w:rFonts w:cs="Times New Roman"/>
          <w:szCs w:val="24"/>
        </w:rPr>
        <w:t xml:space="preserve"> 12(1) provides that if a leviable provider is a new provider for a year, the amount of the provider’s special tuition protection component </w:t>
      </w:r>
      <w:r>
        <w:rPr>
          <w:rFonts w:cs="Times New Roman"/>
          <w:szCs w:val="24"/>
        </w:rPr>
        <w:t>for the year is zero;</w:t>
      </w:r>
    </w:p>
    <w:p w14:paraId="0A6DE2A3" w14:textId="77777777" w:rsidR="007E1EA5" w:rsidRPr="0021309F" w:rsidRDefault="0021309F" w:rsidP="00C12BA6">
      <w:pPr>
        <w:pStyle w:val="ListParagraph"/>
        <w:widowControl w:val="0"/>
        <w:numPr>
          <w:ilvl w:val="0"/>
          <w:numId w:val="13"/>
        </w:numPr>
        <w:spacing w:line="240" w:lineRule="auto"/>
        <w:rPr>
          <w:rFonts w:cs="Times New Roman"/>
          <w:szCs w:val="24"/>
        </w:rPr>
      </w:pPr>
      <w:r>
        <w:rPr>
          <w:rFonts w:cs="Times New Roman"/>
          <w:szCs w:val="24"/>
        </w:rPr>
        <w:t>o</w:t>
      </w:r>
      <w:r w:rsidR="00EE08AD" w:rsidRPr="0021309F">
        <w:rPr>
          <w:rFonts w:cs="Times New Roman"/>
          <w:szCs w:val="24"/>
        </w:rPr>
        <w:t xml:space="preserve">therwise, a leviable provider’s special tuition protection component for a year is the total loan amounts paid to the provider under section 19 of the </w:t>
      </w:r>
      <w:r w:rsidR="00EE08AD" w:rsidRPr="0021309F">
        <w:rPr>
          <w:rFonts w:cs="Times New Roman"/>
          <w:i/>
          <w:szCs w:val="24"/>
        </w:rPr>
        <w:t>VET Student Loans Act 2016</w:t>
      </w:r>
      <w:r w:rsidR="00EE08AD" w:rsidRPr="0021309F">
        <w:rPr>
          <w:rFonts w:cs="Times New Roman"/>
          <w:szCs w:val="24"/>
        </w:rPr>
        <w:t xml:space="preserve"> for the previous year, multiplied by the percentage determined in an instrument made under section 13 for the purposes of subsection 12(2) for a year.</w:t>
      </w:r>
    </w:p>
    <w:p w14:paraId="349C4FA2" w14:textId="77777777" w:rsidR="00552BB9" w:rsidRPr="00EE08AD" w:rsidRDefault="00EE08AD" w:rsidP="00C12BA6">
      <w:pPr>
        <w:widowControl w:val="0"/>
        <w:spacing w:line="240" w:lineRule="auto"/>
        <w:rPr>
          <w:rFonts w:cs="Times New Roman"/>
          <w:szCs w:val="24"/>
        </w:rPr>
      </w:pPr>
      <w:r>
        <w:rPr>
          <w:rFonts w:cs="Times New Roman"/>
          <w:szCs w:val="24"/>
        </w:rPr>
        <w:t xml:space="preserve">Section 9 of the Instrument provides that </w:t>
      </w:r>
      <w:r w:rsidRPr="00EE08AD">
        <w:rPr>
          <w:rFonts w:cs="Times New Roman"/>
          <w:szCs w:val="24"/>
        </w:rPr>
        <w:t>the percentage for the purposes of subsection 12(2) of the Act is 0.15%.</w:t>
      </w:r>
    </w:p>
    <w:sectPr w:rsidR="00552BB9" w:rsidRPr="00EE08A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5D52F" w16cid:durableId="22A6D709"/>
  <w16cid:commentId w16cid:paraId="2A6A0F7A" w16cid:durableId="22A6D148"/>
  <w16cid:commentId w16cid:paraId="0025D97A" w16cid:durableId="22A6D149"/>
  <w16cid:commentId w16cid:paraId="00BB449C" w16cid:durableId="22A6D14A"/>
  <w16cid:commentId w16cid:paraId="6347DC6B" w16cid:durableId="22A6D14B"/>
  <w16cid:commentId w16cid:paraId="3A9DB25D" w16cid:durableId="22A6D1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C46D6" w14:textId="77777777" w:rsidR="00717D0D" w:rsidRDefault="00717D0D" w:rsidP="00783FAB">
      <w:pPr>
        <w:spacing w:after="0" w:line="240" w:lineRule="auto"/>
      </w:pPr>
      <w:r>
        <w:separator/>
      </w:r>
    </w:p>
  </w:endnote>
  <w:endnote w:type="continuationSeparator" w:id="0">
    <w:p w14:paraId="205B8345" w14:textId="77777777" w:rsidR="00717D0D" w:rsidRDefault="00717D0D" w:rsidP="00783FAB">
      <w:pPr>
        <w:spacing w:after="0" w:line="240" w:lineRule="auto"/>
      </w:pPr>
      <w:r>
        <w:continuationSeparator/>
      </w:r>
    </w:p>
  </w:endnote>
  <w:endnote w:type="continuationNotice" w:id="1">
    <w:p w14:paraId="126D8498" w14:textId="77777777" w:rsidR="00717D0D" w:rsidRDefault="00717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61254"/>
      <w:docPartObj>
        <w:docPartGallery w:val="Page Numbers (Bottom of Page)"/>
        <w:docPartUnique/>
      </w:docPartObj>
    </w:sdtPr>
    <w:sdtEndPr>
      <w:rPr>
        <w:noProof/>
      </w:rPr>
    </w:sdtEndPr>
    <w:sdtContent>
      <w:p w14:paraId="132E4BF5" w14:textId="4DDA69FD" w:rsidR="00432D7C" w:rsidRDefault="00432D7C">
        <w:pPr>
          <w:pStyle w:val="Footer"/>
          <w:jc w:val="center"/>
        </w:pPr>
        <w:r>
          <w:fldChar w:fldCharType="begin"/>
        </w:r>
        <w:r>
          <w:instrText xml:space="preserve"> PAGE   \* MERGEFORMAT </w:instrText>
        </w:r>
        <w:r>
          <w:fldChar w:fldCharType="separate"/>
        </w:r>
        <w:r w:rsidR="001955E1">
          <w:rPr>
            <w:noProof/>
          </w:rPr>
          <w:t>1</w:t>
        </w:r>
        <w:r>
          <w:rPr>
            <w:noProof/>
          </w:rPr>
          <w:fldChar w:fldCharType="end"/>
        </w:r>
      </w:p>
    </w:sdtContent>
  </w:sdt>
  <w:p w14:paraId="7224AE6C" w14:textId="77777777" w:rsidR="00432D7C" w:rsidRDefault="00432D7C"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97D55" w14:textId="77777777" w:rsidR="00717D0D" w:rsidRDefault="00717D0D" w:rsidP="00783FAB">
      <w:pPr>
        <w:spacing w:after="0" w:line="240" w:lineRule="auto"/>
      </w:pPr>
      <w:r>
        <w:separator/>
      </w:r>
    </w:p>
  </w:footnote>
  <w:footnote w:type="continuationSeparator" w:id="0">
    <w:p w14:paraId="51BA0DB9" w14:textId="77777777" w:rsidR="00717D0D" w:rsidRDefault="00717D0D" w:rsidP="00783FAB">
      <w:pPr>
        <w:spacing w:after="0" w:line="240" w:lineRule="auto"/>
      </w:pPr>
      <w:r>
        <w:continuationSeparator/>
      </w:r>
    </w:p>
  </w:footnote>
  <w:footnote w:type="continuationNotice" w:id="1">
    <w:p w14:paraId="391FF076" w14:textId="77777777" w:rsidR="00717D0D" w:rsidRDefault="00717D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173C"/>
    <w:multiLevelType w:val="hybridMultilevel"/>
    <w:tmpl w:val="0346D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471E0D"/>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BF0D4D"/>
    <w:multiLevelType w:val="hybridMultilevel"/>
    <w:tmpl w:val="F18E6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95BFB"/>
    <w:multiLevelType w:val="hybridMultilevel"/>
    <w:tmpl w:val="0C0A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50F74"/>
    <w:multiLevelType w:val="hybridMultilevel"/>
    <w:tmpl w:val="FB26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4A67A7"/>
    <w:multiLevelType w:val="hybridMultilevel"/>
    <w:tmpl w:val="91AE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BC6544"/>
    <w:multiLevelType w:val="hybridMultilevel"/>
    <w:tmpl w:val="3E7C9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5214E0"/>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9F5BFE"/>
    <w:multiLevelType w:val="hybridMultilevel"/>
    <w:tmpl w:val="E6608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1B28B3"/>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10"/>
  </w:num>
  <w:num w:numId="5">
    <w:abstractNumId w:val="0"/>
  </w:num>
  <w:num w:numId="6">
    <w:abstractNumId w:val="9"/>
  </w:num>
  <w:num w:numId="7">
    <w:abstractNumId w:val="11"/>
  </w:num>
  <w:num w:numId="8">
    <w:abstractNumId w:val="5"/>
  </w:num>
  <w:num w:numId="9">
    <w:abstractNumId w:val="3"/>
  </w:num>
  <w:num w:numId="10">
    <w:abstractNumId w:val="7"/>
  </w:num>
  <w:num w:numId="11">
    <w:abstractNumId w:val="4"/>
  </w:num>
  <w:num w:numId="12">
    <w:abstractNumId w:val="8"/>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2F"/>
    <w:rsid w:val="000009D4"/>
    <w:rsid w:val="00000F56"/>
    <w:rsid w:val="00001F1D"/>
    <w:rsid w:val="00003184"/>
    <w:rsid w:val="000036EB"/>
    <w:rsid w:val="0000395C"/>
    <w:rsid w:val="00011C76"/>
    <w:rsid w:val="00011E4D"/>
    <w:rsid w:val="000138CF"/>
    <w:rsid w:val="00013B17"/>
    <w:rsid w:val="000140D5"/>
    <w:rsid w:val="000146FA"/>
    <w:rsid w:val="0001554B"/>
    <w:rsid w:val="00016AFF"/>
    <w:rsid w:val="00017F54"/>
    <w:rsid w:val="000249AF"/>
    <w:rsid w:val="000305EA"/>
    <w:rsid w:val="00031E3C"/>
    <w:rsid w:val="00032CB3"/>
    <w:rsid w:val="00036FAE"/>
    <w:rsid w:val="00044508"/>
    <w:rsid w:val="00047668"/>
    <w:rsid w:val="00047A2A"/>
    <w:rsid w:val="0005020B"/>
    <w:rsid w:val="000549AF"/>
    <w:rsid w:val="00057815"/>
    <w:rsid w:val="00057A1E"/>
    <w:rsid w:val="000614A1"/>
    <w:rsid w:val="00062794"/>
    <w:rsid w:val="0006484E"/>
    <w:rsid w:val="000668B0"/>
    <w:rsid w:val="00067669"/>
    <w:rsid w:val="00076E76"/>
    <w:rsid w:val="00083F41"/>
    <w:rsid w:val="000846B7"/>
    <w:rsid w:val="00086821"/>
    <w:rsid w:val="000A2A28"/>
    <w:rsid w:val="000A2D3A"/>
    <w:rsid w:val="000A3124"/>
    <w:rsid w:val="000A35D6"/>
    <w:rsid w:val="000B1BE1"/>
    <w:rsid w:val="000B3914"/>
    <w:rsid w:val="000B6430"/>
    <w:rsid w:val="000C224C"/>
    <w:rsid w:val="000C34FD"/>
    <w:rsid w:val="000C4D6B"/>
    <w:rsid w:val="000C541F"/>
    <w:rsid w:val="000D1472"/>
    <w:rsid w:val="000D3195"/>
    <w:rsid w:val="000D5E6D"/>
    <w:rsid w:val="000E3516"/>
    <w:rsid w:val="000E57DB"/>
    <w:rsid w:val="000E6FD6"/>
    <w:rsid w:val="000F0777"/>
    <w:rsid w:val="000F1811"/>
    <w:rsid w:val="000F3CC1"/>
    <w:rsid w:val="000F7A8C"/>
    <w:rsid w:val="00103015"/>
    <w:rsid w:val="00103253"/>
    <w:rsid w:val="001042BA"/>
    <w:rsid w:val="001163C5"/>
    <w:rsid w:val="00120A34"/>
    <w:rsid w:val="001210BA"/>
    <w:rsid w:val="00121330"/>
    <w:rsid w:val="00124260"/>
    <w:rsid w:val="00125A8E"/>
    <w:rsid w:val="00127CD8"/>
    <w:rsid w:val="001301AD"/>
    <w:rsid w:val="001334D9"/>
    <w:rsid w:val="0013558A"/>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55E1"/>
    <w:rsid w:val="00197C3F"/>
    <w:rsid w:val="001A2FE9"/>
    <w:rsid w:val="001A4262"/>
    <w:rsid w:val="001A4389"/>
    <w:rsid w:val="001B3C7A"/>
    <w:rsid w:val="001D00E3"/>
    <w:rsid w:val="001D0AF3"/>
    <w:rsid w:val="001D1D8A"/>
    <w:rsid w:val="001D36EE"/>
    <w:rsid w:val="001E07CE"/>
    <w:rsid w:val="001E52EB"/>
    <w:rsid w:val="001E5A0B"/>
    <w:rsid w:val="001F127D"/>
    <w:rsid w:val="001F3626"/>
    <w:rsid w:val="001F3C74"/>
    <w:rsid w:val="001F7336"/>
    <w:rsid w:val="00200358"/>
    <w:rsid w:val="002005CD"/>
    <w:rsid w:val="00201F75"/>
    <w:rsid w:val="00202EC1"/>
    <w:rsid w:val="00204283"/>
    <w:rsid w:val="00204EEF"/>
    <w:rsid w:val="00205DBD"/>
    <w:rsid w:val="00207297"/>
    <w:rsid w:val="00212962"/>
    <w:rsid w:val="0021309F"/>
    <w:rsid w:val="0021337D"/>
    <w:rsid w:val="00216A1C"/>
    <w:rsid w:val="00223F82"/>
    <w:rsid w:val="00224C52"/>
    <w:rsid w:val="00232304"/>
    <w:rsid w:val="002378EE"/>
    <w:rsid w:val="002445E3"/>
    <w:rsid w:val="00247EBF"/>
    <w:rsid w:val="00261499"/>
    <w:rsid w:val="002672A4"/>
    <w:rsid w:val="002747E8"/>
    <w:rsid w:val="00274EEA"/>
    <w:rsid w:val="0027686D"/>
    <w:rsid w:val="002808A9"/>
    <w:rsid w:val="00284C9D"/>
    <w:rsid w:val="00292863"/>
    <w:rsid w:val="00294430"/>
    <w:rsid w:val="00296CA7"/>
    <w:rsid w:val="00296FAF"/>
    <w:rsid w:val="00297EAB"/>
    <w:rsid w:val="002A15F1"/>
    <w:rsid w:val="002A4961"/>
    <w:rsid w:val="002B313C"/>
    <w:rsid w:val="002B5C28"/>
    <w:rsid w:val="002C1F84"/>
    <w:rsid w:val="002D1504"/>
    <w:rsid w:val="002D564A"/>
    <w:rsid w:val="002E12E6"/>
    <w:rsid w:val="002F76C6"/>
    <w:rsid w:val="00304A88"/>
    <w:rsid w:val="00304E64"/>
    <w:rsid w:val="00307358"/>
    <w:rsid w:val="0031070C"/>
    <w:rsid w:val="00311D30"/>
    <w:rsid w:val="00313612"/>
    <w:rsid w:val="00316053"/>
    <w:rsid w:val="003170AC"/>
    <w:rsid w:val="00326C24"/>
    <w:rsid w:val="0033070E"/>
    <w:rsid w:val="00340E25"/>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957E1"/>
    <w:rsid w:val="003A0965"/>
    <w:rsid w:val="003A373E"/>
    <w:rsid w:val="003A3B41"/>
    <w:rsid w:val="003A3D0E"/>
    <w:rsid w:val="003A4424"/>
    <w:rsid w:val="003A530C"/>
    <w:rsid w:val="003A5841"/>
    <w:rsid w:val="003A7B17"/>
    <w:rsid w:val="003B29B0"/>
    <w:rsid w:val="003B2DA8"/>
    <w:rsid w:val="003B3044"/>
    <w:rsid w:val="003B3656"/>
    <w:rsid w:val="003B6C2D"/>
    <w:rsid w:val="003B7171"/>
    <w:rsid w:val="003C0D20"/>
    <w:rsid w:val="003C16A9"/>
    <w:rsid w:val="003C202D"/>
    <w:rsid w:val="003D47C4"/>
    <w:rsid w:val="003D7CE2"/>
    <w:rsid w:val="003E0ACA"/>
    <w:rsid w:val="003E4413"/>
    <w:rsid w:val="003E5B26"/>
    <w:rsid w:val="003F09F7"/>
    <w:rsid w:val="003F1AA1"/>
    <w:rsid w:val="003F24BC"/>
    <w:rsid w:val="004011CE"/>
    <w:rsid w:val="00402CC7"/>
    <w:rsid w:val="00402D70"/>
    <w:rsid w:val="00403CE4"/>
    <w:rsid w:val="004075A3"/>
    <w:rsid w:val="00410A3F"/>
    <w:rsid w:val="0041144F"/>
    <w:rsid w:val="004143B1"/>
    <w:rsid w:val="00415A55"/>
    <w:rsid w:val="00416EF2"/>
    <w:rsid w:val="00425A1E"/>
    <w:rsid w:val="00425FCB"/>
    <w:rsid w:val="00430F1B"/>
    <w:rsid w:val="004327E1"/>
    <w:rsid w:val="00432D7C"/>
    <w:rsid w:val="00434240"/>
    <w:rsid w:val="00434641"/>
    <w:rsid w:val="00434CDD"/>
    <w:rsid w:val="004355D0"/>
    <w:rsid w:val="004355E8"/>
    <w:rsid w:val="00436435"/>
    <w:rsid w:val="00443CC0"/>
    <w:rsid w:val="00445460"/>
    <w:rsid w:val="00446B03"/>
    <w:rsid w:val="0044797F"/>
    <w:rsid w:val="00455C2A"/>
    <w:rsid w:val="00462314"/>
    <w:rsid w:val="00472F61"/>
    <w:rsid w:val="00481DE1"/>
    <w:rsid w:val="0048290C"/>
    <w:rsid w:val="00484DBC"/>
    <w:rsid w:val="00487B82"/>
    <w:rsid w:val="00490BA0"/>
    <w:rsid w:val="00494834"/>
    <w:rsid w:val="0049486C"/>
    <w:rsid w:val="004A1BE4"/>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5093"/>
    <w:rsid w:val="005265B4"/>
    <w:rsid w:val="00527330"/>
    <w:rsid w:val="00527564"/>
    <w:rsid w:val="00533466"/>
    <w:rsid w:val="00536596"/>
    <w:rsid w:val="005366FF"/>
    <w:rsid w:val="00537A32"/>
    <w:rsid w:val="0054602B"/>
    <w:rsid w:val="00546375"/>
    <w:rsid w:val="00550F73"/>
    <w:rsid w:val="00552BB9"/>
    <w:rsid w:val="005620CA"/>
    <w:rsid w:val="00572401"/>
    <w:rsid w:val="005732E6"/>
    <w:rsid w:val="0057612E"/>
    <w:rsid w:val="0057699A"/>
    <w:rsid w:val="00577C30"/>
    <w:rsid w:val="005812FF"/>
    <w:rsid w:val="005819C8"/>
    <w:rsid w:val="0058422E"/>
    <w:rsid w:val="00584937"/>
    <w:rsid w:val="00584B84"/>
    <w:rsid w:val="005905A0"/>
    <w:rsid w:val="00591EC0"/>
    <w:rsid w:val="00597535"/>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17D7D"/>
    <w:rsid w:val="0062006D"/>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1F78"/>
    <w:rsid w:val="006A666D"/>
    <w:rsid w:val="006B2D99"/>
    <w:rsid w:val="006B6E38"/>
    <w:rsid w:val="006C784A"/>
    <w:rsid w:val="006D58E2"/>
    <w:rsid w:val="006D7B6B"/>
    <w:rsid w:val="006E3838"/>
    <w:rsid w:val="006E3C40"/>
    <w:rsid w:val="006E7699"/>
    <w:rsid w:val="006F27AC"/>
    <w:rsid w:val="006F3E5C"/>
    <w:rsid w:val="006F627D"/>
    <w:rsid w:val="00701CB8"/>
    <w:rsid w:val="00701E47"/>
    <w:rsid w:val="00707E57"/>
    <w:rsid w:val="00707F49"/>
    <w:rsid w:val="007103B5"/>
    <w:rsid w:val="00717D0D"/>
    <w:rsid w:val="007213BB"/>
    <w:rsid w:val="0072580A"/>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7606A"/>
    <w:rsid w:val="00782538"/>
    <w:rsid w:val="007828DD"/>
    <w:rsid w:val="00783FAB"/>
    <w:rsid w:val="00785B13"/>
    <w:rsid w:val="00791AAC"/>
    <w:rsid w:val="00792FEC"/>
    <w:rsid w:val="00795969"/>
    <w:rsid w:val="007A6AF0"/>
    <w:rsid w:val="007B44CD"/>
    <w:rsid w:val="007B4836"/>
    <w:rsid w:val="007B5A79"/>
    <w:rsid w:val="007C5020"/>
    <w:rsid w:val="007D12B2"/>
    <w:rsid w:val="007D1F16"/>
    <w:rsid w:val="007D4E08"/>
    <w:rsid w:val="007E00A8"/>
    <w:rsid w:val="007E16D6"/>
    <w:rsid w:val="007E1EA5"/>
    <w:rsid w:val="007E2197"/>
    <w:rsid w:val="007E3446"/>
    <w:rsid w:val="007E3447"/>
    <w:rsid w:val="007E36E5"/>
    <w:rsid w:val="007E6EC6"/>
    <w:rsid w:val="007F563E"/>
    <w:rsid w:val="00803447"/>
    <w:rsid w:val="008035CF"/>
    <w:rsid w:val="0080481C"/>
    <w:rsid w:val="0080584E"/>
    <w:rsid w:val="00805FEB"/>
    <w:rsid w:val="00811E34"/>
    <w:rsid w:val="00812C37"/>
    <w:rsid w:val="008134D5"/>
    <w:rsid w:val="00813A38"/>
    <w:rsid w:val="00816EE1"/>
    <w:rsid w:val="00823B66"/>
    <w:rsid w:val="00824A98"/>
    <w:rsid w:val="008310AA"/>
    <w:rsid w:val="00834114"/>
    <w:rsid w:val="00844D23"/>
    <w:rsid w:val="008517D8"/>
    <w:rsid w:val="00855239"/>
    <w:rsid w:val="00855A95"/>
    <w:rsid w:val="00856BC4"/>
    <w:rsid w:val="00867101"/>
    <w:rsid w:val="008755D8"/>
    <w:rsid w:val="0088497A"/>
    <w:rsid w:val="00891889"/>
    <w:rsid w:val="008A1F97"/>
    <w:rsid w:val="008A6224"/>
    <w:rsid w:val="008B478B"/>
    <w:rsid w:val="008B61B7"/>
    <w:rsid w:val="008C48EF"/>
    <w:rsid w:val="008C497B"/>
    <w:rsid w:val="008C76FD"/>
    <w:rsid w:val="008D00F4"/>
    <w:rsid w:val="008D3C43"/>
    <w:rsid w:val="008D72EA"/>
    <w:rsid w:val="008D7625"/>
    <w:rsid w:val="008E0181"/>
    <w:rsid w:val="008E0CA6"/>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20415"/>
    <w:rsid w:val="00933AD6"/>
    <w:rsid w:val="00933D25"/>
    <w:rsid w:val="009421AA"/>
    <w:rsid w:val="0094476A"/>
    <w:rsid w:val="0094774B"/>
    <w:rsid w:val="009561B8"/>
    <w:rsid w:val="00970AAB"/>
    <w:rsid w:val="00974504"/>
    <w:rsid w:val="00975A4A"/>
    <w:rsid w:val="00976413"/>
    <w:rsid w:val="009767B4"/>
    <w:rsid w:val="00977D37"/>
    <w:rsid w:val="009807AE"/>
    <w:rsid w:val="00990334"/>
    <w:rsid w:val="00991158"/>
    <w:rsid w:val="0099199E"/>
    <w:rsid w:val="00995C44"/>
    <w:rsid w:val="00996C57"/>
    <w:rsid w:val="009A04A5"/>
    <w:rsid w:val="009A35A0"/>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E6C"/>
    <w:rsid w:val="00A36883"/>
    <w:rsid w:val="00A40E3D"/>
    <w:rsid w:val="00A40EA6"/>
    <w:rsid w:val="00A471A5"/>
    <w:rsid w:val="00A47C4E"/>
    <w:rsid w:val="00A52753"/>
    <w:rsid w:val="00A550E8"/>
    <w:rsid w:val="00A556D1"/>
    <w:rsid w:val="00A56E8B"/>
    <w:rsid w:val="00A71133"/>
    <w:rsid w:val="00A7209C"/>
    <w:rsid w:val="00A761C7"/>
    <w:rsid w:val="00A77D42"/>
    <w:rsid w:val="00A80D57"/>
    <w:rsid w:val="00A82E17"/>
    <w:rsid w:val="00A85075"/>
    <w:rsid w:val="00A90245"/>
    <w:rsid w:val="00A93F1F"/>
    <w:rsid w:val="00AA12F7"/>
    <w:rsid w:val="00AA3173"/>
    <w:rsid w:val="00AA3A3E"/>
    <w:rsid w:val="00AB19B6"/>
    <w:rsid w:val="00AC5359"/>
    <w:rsid w:val="00AC6ABA"/>
    <w:rsid w:val="00AD1C80"/>
    <w:rsid w:val="00AD2E24"/>
    <w:rsid w:val="00AD38AD"/>
    <w:rsid w:val="00AD5627"/>
    <w:rsid w:val="00AD5EE0"/>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44679"/>
    <w:rsid w:val="00B52CD8"/>
    <w:rsid w:val="00B604EB"/>
    <w:rsid w:val="00B6108C"/>
    <w:rsid w:val="00B61234"/>
    <w:rsid w:val="00B67F7B"/>
    <w:rsid w:val="00B739E2"/>
    <w:rsid w:val="00B8151D"/>
    <w:rsid w:val="00B819AA"/>
    <w:rsid w:val="00B92BC4"/>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1379"/>
    <w:rsid w:val="00BF2A9B"/>
    <w:rsid w:val="00BF3DAE"/>
    <w:rsid w:val="00BF4DCF"/>
    <w:rsid w:val="00BF6014"/>
    <w:rsid w:val="00C02595"/>
    <w:rsid w:val="00C12197"/>
    <w:rsid w:val="00C12BA6"/>
    <w:rsid w:val="00C1330A"/>
    <w:rsid w:val="00C145EB"/>
    <w:rsid w:val="00C2416A"/>
    <w:rsid w:val="00C30E45"/>
    <w:rsid w:val="00C325A5"/>
    <w:rsid w:val="00C36A15"/>
    <w:rsid w:val="00C3701B"/>
    <w:rsid w:val="00C37043"/>
    <w:rsid w:val="00C4300F"/>
    <w:rsid w:val="00C44977"/>
    <w:rsid w:val="00C45661"/>
    <w:rsid w:val="00C5010C"/>
    <w:rsid w:val="00C62BC1"/>
    <w:rsid w:val="00C64879"/>
    <w:rsid w:val="00C66953"/>
    <w:rsid w:val="00C705B1"/>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C5880"/>
    <w:rsid w:val="00CD20F8"/>
    <w:rsid w:val="00CD3705"/>
    <w:rsid w:val="00CD6E72"/>
    <w:rsid w:val="00CE3EA5"/>
    <w:rsid w:val="00CF1C96"/>
    <w:rsid w:val="00CF5A8C"/>
    <w:rsid w:val="00D010D3"/>
    <w:rsid w:val="00D05A8C"/>
    <w:rsid w:val="00D119DD"/>
    <w:rsid w:val="00D14A9D"/>
    <w:rsid w:val="00D17A67"/>
    <w:rsid w:val="00D17FC6"/>
    <w:rsid w:val="00D217D1"/>
    <w:rsid w:val="00D2517F"/>
    <w:rsid w:val="00D25298"/>
    <w:rsid w:val="00D306B5"/>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30CC"/>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DF620A"/>
    <w:rsid w:val="00E01C32"/>
    <w:rsid w:val="00E01F85"/>
    <w:rsid w:val="00E1257E"/>
    <w:rsid w:val="00E17050"/>
    <w:rsid w:val="00E24E50"/>
    <w:rsid w:val="00E251EE"/>
    <w:rsid w:val="00E302D5"/>
    <w:rsid w:val="00E33927"/>
    <w:rsid w:val="00E33FED"/>
    <w:rsid w:val="00E40E5A"/>
    <w:rsid w:val="00E43542"/>
    <w:rsid w:val="00E50D49"/>
    <w:rsid w:val="00E53A3E"/>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C0A15"/>
    <w:rsid w:val="00ED36C7"/>
    <w:rsid w:val="00ED5A55"/>
    <w:rsid w:val="00EE08AD"/>
    <w:rsid w:val="00EE412B"/>
    <w:rsid w:val="00EF4ACB"/>
    <w:rsid w:val="00F00674"/>
    <w:rsid w:val="00F03635"/>
    <w:rsid w:val="00F0455E"/>
    <w:rsid w:val="00F0609A"/>
    <w:rsid w:val="00F1230D"/>
    <w:rsid w:val="00F14BCE"/>
    <w:rsid w:val="00F21042"/>
    <w:rsid w:val="00F21FAC"/>
    <w:rsid w:val="00F250D4"/>
    <w:rsid w:val="00F3264E"/>
    <w:rsid w:val="00F32E7B"/>
    <w:rsid w:val="00F36014"/>
    <w:rsid w:val="00F36E18"/>
    <w:rsid w:val="00F37BC2"/>
    <w:rsid w:val="00F426D9"/>
    <w:rsid w:val="00F43DAD"/>
    <w:rsid w:val="00F45857"/>
    <w:rsid w:val="00F513EB"/>
    <w:rsid w:val="00F5236B"/>
    <w:rsid w:val="00F5252A"/>
    <w:rsid w:val="00F52CED"/>
    <w:rsid w:val="00F54266"/>
    <w:rsid w:val="00F552D2"/>
    <w:rsid w:val="00F5679F"/>
    <w:rsid w:val="00F60D6A"/>
    <w:rsid w:val="00F60F15"/>
    <w:rsid w:val="00F615B0"/>
    <w:rsid w:val="00F62708"/>
    <w:rsid w:val="00F63B9B"/>
    <w:rsid w:val="00F6460E"/>
    <w:rsid w:val="00F64CB4"/>
    <w:rsid w:val="00F65889"/>
    <w:rsid w:val="00F72398"/>
    <w:rsid w:val="00F74CC9"/>
    <w:rsid w:val="00F77106"/>
    <w:rsid w:val="00F81E21"/>
    <w:rsid w:val="00F85B48"/>
    <w:rsid w:val="00F861AE"/>
    <w:rsid w:val="00F871D7"/>
    <w:rsid w:val="00F87FB6"/>
    <w:rsid w:val="00F90098"/>
    <w:rsid w:val="00F9205E"/>
    <w:rsid w:val="00F92FA5"/>
    <w:rsid w:val="00F935BD"/>
    <w:rsid w:val="00F93C27"/>
    <w:rsid w:val="00F96889"/>
    <w:rsid w:val="00F96F34"/>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B59E95"/>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nhideWhenUsed/>
    <w:rsid w:val="00627EDA"/>
    <w:rPr>
      <w:sz w:val="16"/>
      <w:szCs w:val="16"/>
    </w:rPr>
  </w:style>
  <w:style w:type="paragraph" w:styleId="CommentText">
    <w:name w:val="annotation text"/>
    <w:basedOn w:val="Normal"/>
    <w:link w:val="CommentTextChar"/>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CABNETParagraphChar">
    <w:name w:val="CABNET Paragraph. Char"/>
    <w:basedOn w:val="DefaultParagraphFont"/>
    <w:link w:val="CABNETParagraph"/>
    <w:uiPriority w:val="98"/>
    <w:locked/>
    <w:rsid w:val="00891889"/>
    <w:rPr>
      <w:rFonts w:ascii="Arial" w:hAnsi="Arial" w:cs="Arial"/>
    </w:rPr>
  </w:style>
  <w:style w:type="paragraph" w:customStyle="1" w:styleId="CABNETParagraph">
    <w:name w:val="CABNET Paragraph."/>
    <w:basedOn w:val="Normal"/>
    <w:link w:val="CABNETParagraphChar"/>
    <w:uiPriority w:val="98"/>
    <w:qFormat/>
    <w:rsid w:val="00891889"/>
    <w:pPr>
      <w:spacing w:before="120" w:after="120" w:line="240" w:lineRule="auto"/>
    </w:pPr>
    <w:rPr>
      <w:rFonts w:ascii="Arial" w:hAnsi="Arial" w:cs="Arial"/>
    </w:rPr>
  </w:style>
  <w:style w:type="paragraph" w:customStyle="1" w:styleId="paragraphsub">
    <w:name w:val="paragraph(sub)"/>
    <w:aliases w:val="aa"/>
    <w:basedOn w:val="Normal"/>
    <w:rsid w:val="00EE08AD"/>
    <w:pPr>
      <w:tabs>
        <w:tab w:val="right" w:pos="1985"/>
      </w:tabs>
      <w:spacing w:before="40" w:after="0" w:line="240" w:lineRule="auto"/>
      <w:ind w:left="2098" w:hanging="2098"/>
    </w:pPr>
    <w:rPr>
      <w:rFonts w:eastAsia="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3169">
      <w:bodyDiv w:val="1"/>
      <w:marLeft w:val="0"/>
      <w:marRight w:val="0"/>
      <w:marTop w:val="0"/>
      <w:marBottom w:val="0"/>
      <w:divBdr>
        <w:top w:val="none" w:sz="0" w:space="0" w:color="auto"/>
        <w:left w:val="none" w:sz="0" w:space="0" w:color="auto"/>
        <w:bottom w:val="none" w:sz="0" w:space="0" w:color="auto"/>
        <w:right w:val="none" w:sz="0" w:space="0" w:color="auto"/>
      </w:divBdr>
    </w:div>
    <w:div w:id="170416469">
      <w:bodyDiv w:val="1"/>
      <w:marLeft w:val="0"/>
      <w:marRight w:val="0"/>
      <w:marTop w:val="0"/>
      <w:marBottom w:val="0"/>
      <w:divBdr>
        <w:top w:val="none" w:sz="0" w:space="0" w:color="auto"/>
        <w:left w:val="none" w:sz="0" w:space="0" w:color="auto"/>
        <w:bottom w:val="none" w:sz="0" w:space="0" w:color="auto"/>
        <w:right w:val="none" w:sz="0" w:space="0" w:color="auto"/>
      </w:divBdr>
    </w:div>
    <w:div w:id="25220406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83118512">
      <w:bodyDiv w:val="1"/>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578705778">
              <w:marLeft w:val="0"/>
              <w:marRight w:val="0"/>
              <w:marTop w:val="0"/>
              <w:marBottom w:val="0"/>
              <w:divBdr>
                <w:top w:val="none" w:sz="0" w:space="0" w:color="auto"/>
                <w:left w:val="none" w:sz="0" w:space="0" w:color="auto"/>
                <w:bottom w:val="none" w:sz="0" w:space="0" w:color="auto"/>
                <w:right w:val="none" w:sz="0" w:space="0" w:color="auto"/>
              </w:divBdr>
              <w:divsChild>
                <w:div w:id="2051831859">
                  <w:marLeft w:val="0"/>
                  <w:marRight w:val="0"/>
                  <w:marTop w:val="0"/>
                  <w:marBottom w:val="0"/>
                  <w:divBdr>
                    <w:top w:val="none" w:sz="0" w:space="0" w:color="auto"/>
                    <w:left w:val="none" w:sz="0" w:space="0" w:color="auto"/>
                    <w:bottom w:val="none" w:sz="0" w:space="0" w:color="auto"/>
                    <w:right w:val="none" w:sz="0" w:space="0" w:color="auto"/>
                  </w:divBdr>
                  <w:divsChild>
                    <w:div w:id="1555192771">
                      <w:marLeft w:val="0"/>
                      <w:marRight w:val="0"/>
                      <w:marTop w:val="0"/>
                      <w:marBottom w:val="0"/>
                      <w:divBdr>
                        <w:top w:val="none" w:sz="0" w:space="0" w:color="auto"/>
                        <w:left w:val="none" w:sz="0" w:space="0" w:color="auto"/>
                        <w:bottom w:val="none" w:sz="0" w:space="0" w:color="auto"/>
                        <w:right w:val="none" w:sz="0" w:space="0" w:color="auto"/>
                      </w:divBdr>
                      <w:divsChild>
                        <w:div w:id="851191129">
                          <w:marLeft w:val="0"/>
                          <w:marRight w:val="0"/>
                          <w:marTop w:val="0"/>
                          <w:marBottom w:val="0"/>
                          <w:divBdr>
                            <w:top w:val="none" w:sz="0" w:space="0" w:color="auto"/>
                            <w:left w:val="none" w:sz="0" w:space="0" w:color="auto"/>
                            <w:bottom w:val="none" w:sz="0" w:space="0" w:color="auto"/>
                            <w:right w:val="none" w:sz="0" w:space="0" w:color="auto"/>
                          </w:divBdr>
                          <w:divsChild>
                            <w:div w:id="1459176714">
                              <w:marLeft w:val="0"/>
                              <w:marRight w:val="0"/>
                              <w:marTop w:val="0"/>
                              <w:marBottom w:val="0"/>
                              <w:divBdr>
                                <w:top w:val="none" w:sz="0" w:space="0" w:color="auto"/>
                                <w:left w:val="none" w:sz="0" w:space="0" w:color="auto"/>
                                <w:bottom w:val="none" w:sz="0" w:space="0" w:color="auto"/>
                                <w:right w:val="none" w:sz="0" w:space="0" w:color="auto"/>
                              </w:divBdr>
                              <w:divsChild>
                                <w:div w:id="518007546">
                                  <w:marLeft w:val="0"/>
                                  <w:marRight w:val="0"/>
                                  <w:marTop w:val="0"/>
                                  <w:marBottom w:val="0"/>
                                  <w:divBdr>
                                    <w:top w:val="none" w:sz="0" w:space="0" w:color="auto"/>
                                    <w:left w:val="none" w:sz="0" w:space="0" w:color="auto"/>
                                    <w:bottom w:val="none" w:sz="0" w:space="0" w:color="auto"/>
                                    <w:right w:val="none" w:sz="0" w:space="0" w:color="auto"/>
                                  </w:divBdr>
                                  <w:divsChild>
                                    <w:div w:id="1597129917">
                                      <w:marLeft w:val="0"/>
                                      <w:marRight w:val="0"/>
                                      <w:marTop w:val="0"/>
                                      <w:marBottom w:val="0"/>
                                      <w:divBdr>
                                        <w:top w:val="none" w:sz="0" w:space="0" w:color="auto"/>
                                        <w:left w:val="none" w:sz="0" w:space="0" w:color="auto"/>
                                        <w:bottom w:val="none" w:sz="0" w:space="0" w:color="auto"/>
                                        <w:right w:val="none" w:sz="0" w:space="0" w:color="auto"/>
                                      </w:divBdr>
                                      <w:divsChild>
                                        <w:div w:id="1110709375">
                                          <w:marLeft w:val="0"/>
                                          <w:marRight w:val="0"/>
                                          <w:marTop w:val="0"/>
                                          <w:marBottom w:val="0"/>
                                          <w:divBdr>
                                            <w:top w:val="none" w:sz="0" w:space="0" w:color="auto"/>
                                            <w:left w:val="none" w:sz="0" w:space="0" w:color="auto"/>
                                            <w:bottom w:val="none" w:sz="0" w:space="0" w:color="auto"/>
                                            <w:right w:val="none" w:sz="0" w:space="0" w:color="auto"/>
                                          </w:divBdr>
                                          <w:divsChild>
                                            <w:div w:id="1798180309">
                                              <w:marLeft w:val="0"/>
                                              <w:marRight w:val="0"/>
                                              <w:marTop w:val="0"/>
                                              <w:marBottom w:val="0"/>
                                              <w:divBdr>
                                                <w:top w:val="none" w:sz="0" w:space="0" w:color="auto"/>
                                                <w:left w:val="none" w:sz="0" w:space="0" w:color="auto"/>
                                                <w:bottom w:val="none" w:sz="0" w:space="0" w:color="auto"/>
                                                <w:right w:val="none" w:sz="0" w:space="0" w:color="auto"/>
                                              </w:divBdr>
                                              <w:divsChild>
                                                <w:div w:id="2034454129">
                                                  <w:marLeft w:val="0"/>
                                                  <w:marRight w:val="0"/>
                                                  <w:marTop w:val="0"/>
                                                  <w:marBottom w:val="0"/>
                                                  <w:divBdr>
                                                    <w:top w:val="none" w:sz="0" w:space="0" w:color="auto"/>
                                                    <w:left w:val="none" w:sz="0" w:space="0" w:color="auto"/>
                                                    <w:bottom w:val="none" w:sz="0" w:space="0" w:color="auto"/>
                                                    <w:right w:val="none" w:sz="0" w:space="0" w:color="auto"/>
                                                  </w:divBdr>
                                                  <w:divsChild>
                                                    <w:div w:id="1438601121">
                                                      <w:marLeft w:val="0"/>
                                                      <w:marRight w:val="0"/>
                                                      <w:marTop w:val="0"/>
                                                      <w:marBottom w:val="0"/>
                                                      <w:divBdr>
                                                        <w:top w:val="none" w:sz="0" w:space="0" w:color="auto"/>
                                                        <w:left w:val="none" w:sz="0" w:space="0" w:color="auto"/>
                                                        <w:bottom w:val="none" w:sz="0" w:space="0" w:color="auto"/>
                                                        <w:right w:val="none" w:sz="0" w:space="0" w:color="auto"/>
                                                      </w:divBdr>
                                                      <w:divsChild>
                                                        <w:div w:id="9234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625234">
      <w:bodyDiv w:val="1"/>
      <w:marLeft w:val="0"/>
      <w:marRight w:val="0"/>
      <w:marTop w:val="0"/>
      <w:marBottom w:val="0"/>
      <w:divBdr>
        <w:top w:val="none" w:sz="0" w:space="0" w:color="auto"/>
        <w:left w:val="none" w:sz="0" w:space="0" w:color="auto"/>
        <w:bottom w:val="none" w:sz="0" w:space="0" w:color="auto"/>
        <w:right w:val="none" w:sz="0" w:space="0" w:color="auto"/>
      </w:divBdr>
    </w:div>
    <w:div w:id="1065184371">
      <w:bodyDiv w:val="1"/>
      <w:marLeft w:val="0"/>
      <w:marRight w:val="0"/>
      <w:marTop w:val="0"/>
      <w:marBottom w:val="0"/>
      <w:divBdr>
        <w:top w:val="none" w:sz="0" w:space="0" w:color="auto"/>
        <w:left w:val="none" w:sz="0" w:space="0" w:color="auto"/>
        <w:bottom w:val="none" w:sz="0" w:space="0" w:color="auto"/>
        <w:right w:val="none" w:sz="0" w:space="0" w:color="auto"/>
      </w:divBdr>
    </w:div>
    <w:div w:id="1169829083">
      <w:bodyDiv w:val="1"/>
      <w:marLeft w:val="0"/>
      <w:marRight w:val="0"/>
      <w:marTop w:val="0"/>
      <w:marBottom w:val="0"/>
      <w:divBdr>
        <w:top w:val="none" w:sz="0" w:space="0" w:color="auto"/>
        <w:left w:val="none" w:sz="0" w:space="0" w:color="auto"/>
        <w:bottom w:val="none" w:sz="0" w:space="0" w:color="auto"/>
        <w:right w:val="none" w:sz="0" w:space="0" w:color="auto"/>
      </w:divBdr>
    </w:div>
    <w:div w:id="1227375840">
      <w:bodyDiv w:val="1"/>
      <w:marLeft w:val="0"/>
      <w:marRight w:val="0"/>
      <w:marTop w:val="0"/>
      <w:marBottom w:val="0"/>
      <w:divBdr>
        <w:top w:val="none" w:sz="0" w:space="0" w:color="auto"/>
        <w:left w:val="none" w:sz="0" w:space="0" w:color="auto"/>
        <w:bottom w:val="none" w:sz="0" w:space="0" w:color="auto"/>
        <w:right w:val="none" w:sz="0" w:space="0" w:color="auto"/>
      </w:divBdr>
    </w:div>
    <w:div w:id="1381897492">
      <w:bodyDiv w:val="1"/>
      <w:marLeft w:val="0"/>
      <w:marRight w:val="0"/>
      <w:marTop w:val="0"/>
      <w:marBottom w:val="0"/>
      <w:divBdr>
        <w:top w:val="none" w:sz="0" w:space="0" w:color="auto"/>
        <w:left w:val="none" w:sz="0" w:space="0" w:color="auto"/>
        <w:bottom w:val="none" w:sz="0" w:space="0" w:color="auto"/>
        <w:right w:val="none" w:sz="0" w:space="0" w:color="auto"/>
      </w:divBdr>
    </w:div>
    <w:div w:id="1398747811">
      <w:bodyDiv w:val="1"/>
      <w:marLeft w:val="0"/>
      <w:marRight w:val="0"/>
      <w:marTop w:val="0"/>
      <w:marBottom w:val="0"/>
      <w:divBdr>
        <w:top w:val="none" w:sz="0" w:space="0" w:color="auto"/>
        <w:left w:val="none" w:sz="0" w:space="0" w:color="auto"/>
        <w:bottom w:val="none" w:sz="0" w:space="0" w:color="auto"/>
        <w:right w:val="none" w:sz="0" w:space="0" w:color="auto"/>
      </w:divBdr>
      <w:divsChild>
        <w:div w:id="1810047517">
          <w:marLeft w:val="0"/>
          <w:marRight w:val="0"/>
          <w:marTop w:val="0"/>
          <w:marBottom w:val="0"/>
          <w:divBdr>
            <w:top w:val="none" w:sz="0" w:space="0" w:color="auto"/>
            <w:left w:val="none" w:sz="0" w:space="0" w:color="auto"/>
            <w:bottom w:val="none" w:sz="0" w:space="0" w:color="auto"/>
            <w:right w:val="none" w:sz="0" w:space="0" w:color="auto"/>
          </w:divBdr>
          <w:divsChild>
            <w:div w:id="1269655629">
              <w:marLeft w:val="0"/>
              <w:marRight w:val="0"/>
              <w:marTop w:val="0"/>
              <w:marBottom w:val="0"/>
              <w:divBdr>
                <w:top w:val="none" w:sz="0" w:space="0" w:color="auto"/>
                <w:left w:val="none" w:sz="0" w:space="0" w:color="auto"/>
                <w:bottom w:val="none" w:sz="0" w:space="0" w:color="auto"/>
                <w:right w:val="none" w:sz="0" w:space="0" w:color="auto"/>
              </w:divBdr>
              <w:divsChild>
                <w:div w:id="598294478">
                  <w:marLeft w:val="0"/>
                  <w:marRight w:val="0"/>
                  <w:marTop w:val="0"/>
                  <w:marBottom w:val="0"/>
                  <w:divBdr>
                    <w:top w:val="none" w:sz="0" w:space="0" w:color="auto"/>
                    <w:left w:val="none" w:sz="0" w:space="0" w:color="auto"/>
                    <w:bottom w:val="none" w:sz="0" w:space="0" w:color="auto"/>
                    <w:right w:val="none" w:sz="0" w:space="0" w:color="auto"/>
                  </w:divBdr>
                  <w:divsChild>
                    <w:div w:id="1581332795">
                      <w:marLeft w:val="0"/>
                      <w:marRight w:val="0"/>
                      <w:marTop w:val="0"/>
                      <w:marBottom w:val="0"/>
                      <w:divBdr>
                        <w:top w:val="none" w:sz="0" w:space="0" w:color="auto"/>
                        <w:left w:val="none" w:sz="0" w:space="0" w:color="auto"/>
                        <w:bottom w:val="none" w:sz="0" w:space="0" w:color="auto"/>
                        <w:right w:val="none" w:sz="0" w:space="0" w:color="auto"/>
                      </w:divBdr>
                      <w:divsChild>
                        <w:div w:id="239145250">
                          <w:marLeft w:val="0"/>
                          <w:marRight w:val="0"/>
                          <w:marTop w:val="0"/>
                          <w:marBottom w:val="0"/>
                          <w:divBdr>
                            <w:top w:val="none" w:sz="0" w:space="0" w:color="auto"/>
                            <w:left w:val="none" w:sz="0" w:space="0" w:color="auto"/>
                            <w:bottom w:val="none" w:sz="0" w:space="0" w:color="auto"/>
                            <w:right w:val="none" w:sz="0" w:space="0" w:color="auto"/>
                          </w:divBdr>
                          <w:divsChild>
                            <w:div w:id="1176533064">
                              <w:marLeft w:val="0"/>
                              <w:marRight w:val="0"/>
                              <w:marTop w:val="0"/>
                              <w:marBottom w:val="0"/>
                              <w:divBdr>
                                <w:top w:val="none" w:sz="0" w:space="0" w:color="auto"/>
                                <w:left w:val="none" w:sz="0" w:space="0" w:color="auto"/>
                                <w:bottom w:val="none" w:sz="0" w:space="0" w:color="auto"/>
                                <w:right w:val="none" w:sz="0" w:space="0" w:color="auto"/>
                              </w:divBdr>
                              <w:divsChild>
                                <w:div w:id="901793145">
                                  <w:marLeft w:val="0"/>
                                  <w:marRight w:val="0"/>
                                  <w:marTop w:val="0"/>
                                  <w:marBottom w:val="0"/>
                                  <w:divBdr>
                                    <w:top w:val="none" w:sz="0" w:space="0" w:color="auto"/>
                                    <w:left w:val="none" w:sz="0" w:space="0" w:color="auto"/>
                                    <w:bottom w:val="none" w:sz="0" w:space="0" w:color="auto"/>
                                    <w:right w:val="none" w:sz="0" w:space="0" w:color="auto"/>
                                  </w:divBdr>
                                  <w:divsChild>
                                    <w:div w:id="1674992541">
                                      <w:marLeft w:val="0"/>
                                      <w:marRight w:val="0"/>
                                      <w:marTop w:val="0"/>
                                      <w:marBottom w:val="0"/>
                                      <w:divBdr>
                                        <w:top w:val="none" w:sz="0" w:space="0" w:color="auto"/>
                                        <w:left w:val="none" w:sz="0" w:space="0" w:color="auto"/>
                                        <w:bottom w:val="none" w:sz="0" w:space="0" w:color="auto"/>
                                        <w:right w:val="none" w:sz="0" w:space="0" w:color="auto"/>
                                      </w:divBdr>
                                      <w:divsChild>
                                        <w:div w:id="2003661775">
                                          <w:marLeft w:val="0"/>
                                          <w:marRight w:val="0"/>
                                          <w:marTop w:val="0"/>
                                          <w:marBottom w:val="0"/>
                                          <w:divBdr>
                                            <w:top w:val="none" w:sz="0" w:space="0" w:color="auto"/>
                                            <w:left w:val="none" w:sz="0" w:space="0" w:color="auto"/>
                                            <w:bottom w:val="none" w:sz="0" w:space="0" w:color="auto"/>
                                            <w:right w:val="none" w:sz="0" w:space="0" w:color="auto"/>
                                          </w:divBdr>
                                          <w:divsChild>
                                            <w:div w:id="260845598">
                                              <w:marLeft w:val="0"/>
                                              <w:marRight w:val="0"/>
                                              <w:marTop w:val="0"/>
                                              <w:marBottom w:val="0"/>
                                              <w:divBdr>
                                                <w:top w:val="none" w:sz="0" w:space="0" w:color="auto"/>
                                                <w:left w:val="none" w:sz="0" w:space="0" w:color="auto"/>
                                                <w:bottom w:val="none" w:sz="0" w:space="0" w:color="auto"/>
                                                <w:right w:val="none" w:sz="0" w:space="0" w:color="auto"/>
                                              </w:divBdr>
                                              <w:divsChild>
                                                <w:div w:id="1182934753">
                                                  <w:marLeft w:val="0"/>
                                                  <w:marRight w:val="0"/>
                                                  <w:marTop w:val="0"/>
                                                  <w:marBottom w:val="0"/>
                                                  <w:divBdr>
                                                    <w:top w:val="none" w:sz="0" w:space="0" w:color="auto"/>
                                                    <w:left w:val="none" w:sz="0" w:space="0" w:color="auto"/>
                                                    <w:bottom w:val="none" w:sz="0" w:space="0" w:color="auto"/>
                                                    <w:right w:val="none" w:sz="0" w:space="0" w:color="auto"/>
                                                  </w:divBdr>
                                                  <w:divsChild>
                                                    <w:div w:id="331182783">
                                                      <w:marLeft w:val="0"/>
                                                      <w:marRight w:val="0"/>
                                                      <w:marTop w:val="0"/>
                                                      <w:marBottom w:val="0"/>
                                                      <w:divBdr>
                                                        <w:top w:val="none" w:sz="0" w:space="0" w:color="auto"/>
                                                        <w:left w:val="none" w:sz="0" w:space="0" w:color="auto"/>
                                                        <w:bottom w:val="none" w:sz="0" w:space="0" w:color="auto"/>
                                                        <w:right w:val="none" w:sz="0" w:space="0" w:color="auto"/>
                                                      </w:divBdr>
                                                      <w:divsChild>
                                                        <w:div w:id="1616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703473">
      <w:bodyDiv w:val="1"/>
      <w:marLeft w:val="0"/>
      <w:marRight w:val="0"/>
      <w:marTop w:val="0"/>
      <w:marBottom w:val="0"/>
      <w:divBdr>
        <w:top w:val="none" w:sz="0" w:space="0" w:color="auto"/>
        <w:left w:val="none" w:sz="0" w:space="0" w:color="auto"/>
        <w:bottom w:val="none" w:sz="0" w:space="0" w:color="auto"/>
        <w:right w:val="none" w:sz="0" w:space="0" w:color="auto"/>
      </w:divBdr>
    </w:div>
    <w:div w:id="1579943088">
      <w:bodyDiv w:val="1"/>
      <w:marLeft w:val="0"/>
      <w:marRight w:val="0"/>
      <w:marTop w:val="0"/>
      <w:marBottom w:val="0"/>
      <w:divBdr>
        <w:top w:val="none" w:sz="0" w:space="0" w:color="auto"/>
        <w:left w:val="none" w:sz="0" w:space="0" w:color="auto"/>
        <w:bottom w:val="none" w:sz="0" w:space="0" w:color="auto"/>
        <w:right w:val="none" w:sz="0" w:space="0" w:color="auto"/>
      </w:divBdr>
    </w:div>
    <w:div w:id="1635327648">
      <w:bodyDiv w:val="1"/>
      <w:marLeft w:val="0"/>
      <w:marRight w:val="0"/>
      <w:marTop w:val="0"/>
      <w:marBottom w:val="0"/>
      <w:divBdr>
        <w:top w:val="none" w:sz="0" w:space="0" w:color="auto"/>
        <w:left w:val="none" w:sz="0" w:space="0" w:color="auto"/>
        <w:bottom w:val="none" w:sz="0" w:space="0" w:color="auto"/>
        <w:right w:val="none" w:sz="0" w:space="0" w:color="auto"/>
      </w:divBdr>
    </w:div>
    <w:div w:id="1805000969">
      <w:bodyDiv w:val="1"/>
      <w:marLeft w:val="0"/>
      <w:marRight w:val="0"/>
      <w:marTop w:val="0"/>
      <w:marBottom w:val="0"/>
      <w:divBdr>
        <w:top w:val="none" w:sz="0" w:space="0" w:color="auto"/>
        <w:left w:val="none" w:sz="0" w:space="0" w:color="auto"/>
        <w:bottom w:val="none" w:sz="0" w:space="0" w:color="auto"/>
        <w:right w:val="none" w:sz="0" w:space="0" w:color="auto"/>
      </w:divBdr>
    </w:div>
    <w:div w:id="1935088208">
      <w:bodyDiv w:val="1"/>
      <w:marLeft w:val="0"/>
      <w:marRight w:val="0"/>
      <w:marTop w:val="0"/>
      <w:marBottom w:val="0"/>
      <w:divBdr>
        <w:top w:val="none" w:sz="0" w:space="0" w:color="auto"/>
        <w:left w:val="none" w:sz="0" w:space="0" w:color="auto"/>
        <w:bottom w:val="none" w:sz="0" w:space="0" w:color="auto"/>
        <w:right w:val="none" w:sz="0" w:space="0" w:color="auto"/>
      </w:divBdr>
    </w:div>
    <w:div w:id="1962345400">
      <w:bodyDiv w:val="1"/>
      <w:marLeft w:val="0"/>
      <w:marRight w:val="0"/>
      <w:marTop w:val="0"/>
      <w:marBottom w:val="0"/>
      <w:divBdr>
        <w:top w:val="none" w:sz="0" w:space="0" w:color="auto"/>
        <w:left w:val="none" w:sz="0" w:space="0" w:color="auto"/>
        <w:bottom w:val="none" w:sz="0" w:space="0" w:color="auto"/>
        <w:right w:val="none" w:sz="0" w:space="0" w:color="auto"/>
      </w:divBdr>
    </w:div>
    <w:div w:id="2025325137">
      <w:bodyDiv w:val="1"/>
      <w:marLeft w:val="0"/>
      <w:marRight w:val="0"/>
      <w:marTop w:val="0"/>
      <w:marBottom w:val="0"/>
      <w:divBdr>
        <w:top w:val="none" w:sz="0" w:space="0" w:color="auto"/>
        <w:left w:val="none" w:sz="0" w:space="0" w:color="auto"/>
        <w:bottom w:val="none" w:sz="0" w:space="0" w:color="auto"/>
        <w:right w:val="none" w:sz="0" w:space="0" w:color="auto"/>
      </w:divBdr>
    </w:div>
    <w:div w:id="2049446967">
      <w:bodyDiv w:val="1"/>
      <w:marLeft w:val="0"/>
      <w:marRight w:val="0"/>
      <w:marTop w:val="0"/>
      <w:marBottom w:val="0"/>
      <w:divBdr>
        <w:top w:val="none" w:sz="0" w:space="0" w:color="auto"/>
        <w:left w:val="none" w:sz="0" w:space="0" w:color="auto"/>
        <w:bottom w:val="none" w:sz="0" w:space="0" w:color="auto"/>
        <w:right w:val="none" w:sz="0" w:space="0" w:color="auto"/>
      </w:divBdr>
    </w:div>
    <w:div w:id="21095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p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4E8C859-517E-47CE-AD10-D9F8B24CA5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3B102BF049F04489A0EA3A6B49D985" ma:contentTypeVersion="" ma:contentTypeDescription="PDMS Document Site Content Type" ma:contentTypeScope="" ma:versionID="f6fbcb78111cbc431db7f9782a1ae064">
  <xsd:schema xmlns:xsd="http://www.w3.org/2001/XMLSchema" xmlns:xs="http://www.w3.org/2001/XMLSchema" xmlns:p="http://schemas.microsoft.com/office/2006/metadata/properties" xmlns:ns2="04E8C859-517E-47CE-AD10-D9F8B24CA503" targetNamespace="http://schemas.microsoft.com/office/2006/metadata/properties" ma:root="true" ma:fieldsID="a6adcbee811a9579e2d9ca94a38d79ee" ns2:_="">
    <xsd:import namespace="04E8C859-517E-47CE-AD10-D9F8B24CA5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8C859-517E-47CE-AD10-D9F8B24CA5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purl.org/dc/elements/1.1/"/>
    <ds:schemaRef ds:uri="http://schemas.microsoft.com/office/2006/metadata/properties"/>
    <ds:schemaRef ds:uri="http://purl.org/dc/terms/"/>
    <ds:schemaRef ds:uri="http://schemas.openxmlformats.org/package/2006/metadata/core-properties"/>
    <ds:schemaRef ds:uri="04E8C859-517E-47CE-AD10-D9F8B24CA50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4F56C708-C97E-4CD1-83E4-DD40117F0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8C859-517E-47CE-AD10-D9F8B24CA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C81EF-390E-4537-98BD-FB57791B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6DC83586</Template>
  <TotalTime>1</TotalTime>
  <Pages>9</Pages>
  <Words>3275</Words>
  <Characters>18670</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HARRIS,Sonia</cp:lastModifiedBy>
  <cp:revision>2</cp:revision>
  <cp:lastPrinted>2019-11-17T23:12:00Z</cp:lastPrinted>
  <dcterms:created xsi:type="dcterms:W3CDTF">2020-07-29T07:02:00Z</dcterms:created>
  <dcterms:modified xsi:type="dcterms:W3CDTF">2020-07-29T07:02:00Z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0x010100266966F133664895A6EE3632470D45F500A13B102BF049F04489A0EA3A6B49D985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