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20DBE" w14:textId="77777777" w:rsidR="00703DBF" w:rsidRDefault="002D1F31" w:rsidP="00FE467A">
      <w:pPr>
        <w:spacing w:line="240" w:lineRule="auto"/>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ELECTRONIC TRANSACTIONS REGULATIONS 2020</w:t>
      </w:r>
      <w:r>
        <w:rPr>
          <w:rFonts w:ascii="Times New Roman" w:hAnsi="Times New Roman" w:cs="Times New Roman"/>
          <w:b/>
          <w:sz w:val="24"/>
          <w:szCs w:val="24"/>
          <w:u w:val="single"/>
        </w:rPr>
        <w:br/>
      </w:r>
      <w:r w:rsidR="00FE467A">
        <w:rPr>
          <w:rFonts w:ascii="Times New Roman" w:hAnsi="Times New Roman" w:cs="Times New Roman"/>
          <w:b/>
          <w:sz w:val="24"/>
          <w:szCs w:val="24"/>
          <w:u w:val="single"/>
        </w:rPr>
        <w:br/>
      </w:r>
    </w:p>
    <w:p w14:paraId="0DE609FE" w14:textId="77777777" w:rsidR="00E153D8" w:rsidRDefault="0056306D" w:rsidP="00703DBF">
      <w:pPr>
        <w:spacing w:line="240" w:lineRule="auto"/>
        <w:jc w:val="center"/>
        <w:rPr>
          <w:rFonts w:ascii="Times New Roman" w:hAnsi="Times New Roman" w:cs="Times New Roman"/>
          <w:b/>
          <w:sz w:val="24"/>
          <w:szCs w:val="24"/>
          <w:u w:val="single"/>
        </w:rPr>
      </w:pPr>
      <w:r w:rsidRPr="00E403BD">
        <w:rPr>
          <w:rFonts w:ascii="Times New Roman" w:hAnsi="Times New Roman" w:cs="Times New Roman"/>
          <w:b/>
          <w:sz w:val="24"/>
          <w:szCs w:val="24"/>
          <w:u w:val="single"/>
        </w:rPr>
        <w:t>EXPLANATORY STATEMENT</w:t>
      </w:r>
    </w:p>
    <w:p w14:paraId="4D1A1231" w14:textId="77777777" w:rsidR="00703DBF" w:rsidRPr="00E403BD" w:rsidRDefault="00703DBF" w:rsidP="00703DBF">
      <w:pPr>
        <w:spacing w:line="240" w:lineRule="auto"/>
        <w:jc w:val="center"/>
        <w:rPr>
          <w:rFonts w:ascii="Times New Roman" w:hAnsi="Times New Roman" w:cs="Times New Roman"/>
          <w:b/>
          <w:sz w:val="24"/>
          <w:szCs w:val="24"/>
          <w:u w:val="single"/>
        </w:rPr>
      </w:pPr>
    </w:p>
    <w:p w14:paraId="7C38AF20" w14:textId="77777777" w:rsidR="0056306D" w:rsidRPr="00E403BD" w:rsidRDefault="0056306D" w:rsidP="00703DBF">
      <w:pPr>
        <w:spacing w:line="240" w:lineRule="auto"/>
        <w:jc w:val="center"/>
        <w:rPr>
          <w:rFonts w:ascii="Times New Roman" w:hAnsi="Times New Roman" w:cs="Times New Roman"/>
          <w:sz w:val="24"/>
          <w:szCs w:val="24"/>
        </w:rPr>
      </w:pPr>
      <w:r w:rsidRPr="00E403BD">
        <w:rPr>
          <w:rFonts w:ascii="Times New Roman" w:hAnsi="Times New Roman" w:cs="Times New Roman"/>
          <w:sz w:val="24"/>
          <w:szCs w:val="24"/>
        </w:rPr>
        <w:t>Issued by authority of the Attorney-General</w:t>
      </w:r>
    </w:p>
    <w:p w14:paraId="25A349D9" w14:textId="77777777" w:rsidR="0056306D" w:rsidRDefault="00703DBF" w:rsidP="00703DBF">
      <w:pPr>
        <w:spacing w:line="240" w:lineRule="auto"/>
        <w:jc w:val="center"/>
        <w:rPr>
          <w:rFonts w:ascii="Times New Roman" w:hAnsi="Times New Roman" w:cs="Times New Roman"/>
          <w:i/>
          <w:sz w:val="24"/>
          <w:szCs w:val="24"/>
        </w:rPr>
      </w:pPr>
      <w:r>
        <w:rPr>
          <w:rFonts w:ascii="Times New Roman" w:hAnsi="Times New Roman" w:cs="Times New Roman"/>
          <w:sz w:val="24"/>
          <w:szCs w:val="24"/>
        </w:rPr>
        <w:br/>
      </w:r>
      <w:r w:rsidR="002D1F31">
        <w:rPr>
          <w:rFonts w:ascii="Times New Roman" w:hAnsi="Times New Roman" w:cs="Times New Roman"/>
          <w:sz w:val="24"/>
          <w:szCs w:val="24"/>
        </w:rPr>
        <w:t xml:space="preserve">in compliance with section 15J of the </w:t>
      </w:r>
      <w:r w:rsidR="002D1F31" w:rsidRPr="002D1F31">
        <w:rPr>
          <w:rFonts w:ascii="Times New Roman" w:hAnsi="Times New Roman" w:cs="Times New Roman"/>
          <w:i/>
          <w:sz w:val="24"/>
          <w:szCs w:val="24"/>
        </w:rPr>
        <w:t>Legislation Act 2003</w:t>
      </w:r>
    </w:p>
    <w:p w14:paraId="0454E0FA" w14:textId="77777777" w:rsidR="00703DBF" w:rsidRPr="002D1F31" w:rsidRDefault="00703DBF" w:rsidP="00703DBF">
      <w:pPr>
        <w:spacing w:line="240" w:lineRule="auto"/>
        <w:jc w:val="center"/>
        <w:rPr>
          <w:rFonts w:ascii="Times New Roman" w:hAnsi="Times New Roman" w:cs="Times New Roman"/>
          <w:sz w:val="24"/>
          <w:szCs w:val="24"/>
        </w:rPr>
      </w:pPr>
    </w:p>
    <w:p w14:paraId="474793D0" w14:textId="5CA4CECC" w:rsidR="00703DBF" w:rsidRDefault="009C3DEA" w:rsidP="00703DBF">
      <w:pPr>
        <w:spacing w:line="240" w:lineRule="auto"/>
        <w:rPr>
          <w:rFonts w:ascii="Times New Roman" w:hAnsi="Times New Roman" w:cs="Times New Roman"/>
          <w:b/>
          <w:sz w:val="24"/>
          <w:szCs w:val="24"/>
        </w:rPr>
      </w:pPr>
      <w:r>
        <w:rPr>
          <w:rFonts w:ascii="Times New Roman" w:hAnsi="Times New Roman" w:cs="Times New Roman"/>
          <w:b/>
          <w:sz w:val="24"/>
          <w:szCs w:val="24"/>
        </w:rPr>
        <w:t>PURPOSE AND OPERATION OF THE INSTRUMENT</w:t>
      </w:r>
    </w:p>
    <w:p w14:paraId="78FB7741" w14:textId="518D8AF4" w:rsidR="00505DEC" w:rsidRPr="000E46FC" w:rsidRDefault="00505DEC" w:rsidP="00505DEC">
      <w:pPr>
        <w:pStyle w:val="NormalWeb"/>
      </w:pPr>
      <w:r w:rsidRPr="000E46FC">
        <w:t xml:space="preserve">The </w:t>
      </w:r>
      <w:r w:rsidRPr="000E46FC">
        <w:rPr>
          <w:i/>
        </w:rPr>
        <w:t xml:space="preserve">Electronic Transactions Regulations 2020 </w:t>
      </w:r>
      <w:r w:rsidRPr="000E46FC">
        <w:t xml:space="preserve">provide an updated list of Commonwealth laws that are exempt from the </w:t>
      </w:r>
      <w:r w:rsidRPr="000E46FC">
        <w:rPr>
          <w:i/>
        </w:rPr>
        <w:t xml:space="preserve">Electronic Transactions Act 1999 </w:t>
      </w:r>
      <w:r w:rsidRPr="000E46FC">
        <w:t xml:space="preserve">(the Act). </w:t>
      </w:r>
    </w:p>
    <w:p w14:paraId="621B0314" w14:textId="036D5816" w:rsidR="00505DEC" w:rsidRDefault="00505DEC" w:rsidP="00505DEC">
      <w:pPr>
        <w:pStyle w:val="NormalWeb"/>
      </w:pPr>
      <w:r w:rsidRPr="000E46FC">
        <w:t>The Act facilitates the use of electronic transactions and enabl</w:t>
      </w:r>
      <w:r>
        <w:t>es</w:t>
      </w:r>
      <w:r w:rsidRPr="000E46FC">
        <w:t xml:space="preserve"> business and the community to use electronic communications in their dealings with the government. Subject to specific requirements</w:t>
      </w:r>
      <w:r>
        <w:t xml:space="preserve"> that may be</w:t>
      </w:r>
      <w:r w:rsidRPr="000E46FC">
        <w:t xml:space="preserve"> contained in the exempted legislation, the effect of </w:t>
      </w:r>
      <w:r>
        <w:t>an</w:t>
      </w:r>
      <w:r w:rsidRPr="000E46FC">
        <w:t xml:space="preserve"> exemption is that requirement</w:t>
      </w:r>
      <w:r>
        <w:t xml:space="preserve">s </w:t>
      </w:r>
      <w:r w:rsidRPr="000E46FC">
        <w:t>for writing, signature, production and retention of documents</w:t>
      </w:r>
      <w:r>
        <w:t xml:space="preserve"> in that exempted legislation</w:t>
      </w:r>
      <w:r w:rsidRPr="000E46FC">
        <w:t xml:space="preserve"> cannot be satisfied by electronic communications</w:t>
      </w:r>
      <w:r>
        <w:t>.</w:t>
      </w:r>
    </w:p>
    <w:p w14:paraId="32EB5F78" w14:textId="77777777" w:rsidR="00505DEC" w:rsidRDefault="00505DEC" w:rsidP="00505DEC">
      <w:pPr>
        <w:spacing w:line="240" w:lineRule="auto"/>
        <w:rPr>
          <w:rFonts w:ascii="Times New Roman" w:hAnsi="Times New Roman" w:cs="Times New Roman"/>
          <w:sz w:val="24"/>
          <w:szCs w:val="24"/>
        </w:rPr>
      </w:pPr>
      <w:r>
        <w:rPr>
          <w:rFonts w:ascii="Times New Roman" w:hAnsi="Times New Roman" w:cs="Times New Roman"/>
          <w:sz w:val="24"/>
          <w:szCs w:val="24"/>
        </w:rPr>
        <w:t xml:space="preserve">Section 16 of the Act provides that the Governor-General may make regulations prescribing all matters required or permitted to be prescribed or necessary or convenient to be prescribed for carrying out or giving effect to the Act. </w:t>
      </w:r>
    </w:p>
    <w:p w14:paraId="0ABA59A3" w14:textId="77777777" w:rsidR="00505DEC" w:rsidRPr="00CB6A91" w:rsidRDefault="00505DEC" w:rsidP="00505DEC">
      <w:pPr>
        <w:ind w:right="91"/>
        <w:rPr>
          <w:rFonts w:ascii="Times New Roman" w:hAnsi="Times New Roman" w:cs="Times New Roman"/>
          <w:sz w:val="24"/>
          <w:szCs w:val="24"/>
        </w:rPr>
      </w:pPr>
      <w:r w:rsidRPr="00CB6A91">
        <w:rPr>
          <w:rFonts w:ascii="Times New Roman" w:hAnsi="Times New Roman" w:cs="Times New Roman"/>
          <w:sz w:val="24"/>
          <w:szCs w:val="24"/>
        </w:rPr>
        <w:t xml:space="preserve">Section 7A(2) of the Act provides that the regulations may provide that all or specified provisions of the Act do not apply to specified laws of the Commonwealth. </w:t>
      </w:r>
    </w:p>
    <w:p w14:paraId="1FFE66DC" w14:textId="515296AE" w:rsidR="00AC0BBA" w:rsidRDefault="009B32BA" w:rsidP="00703DB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Act ensures that a transaction under a Commonwealth law will not be invalid simply because it was conducted through electronic communication. If a Commonwealth law requires an individual to give information </w:t>
      </w:r>
      <w:r>
        <w:rPr>
          <w:rFonts w:ascii="Times New Roman" w:hAnsi="Times New Roman" w:cs="Times New Roman"/>
          <w:sz w:val="24"/>
          <w:szCs w:val="24"/>
        </w:rPr>
        <w:lastRenderedPageBreak/>
        <w:t>in writing, provide a handwritten signature, produce a document in material form or record or reta</w:t>
      </w:r>
      <w:r w:rsidR="007250A3">
        <w:rPr>
          <w:rFonts w:ascii="Times New Roman" w:hAnsi="Times New Roman" w:cs="Times New Roman"/>
          <w:sz w:val="24"/>
          <w:szCs w:val="24"/>
        </w:rPr>
        <w:t>in information, the Act operates</w:t>
      </w:r>
      <w:r>
        <w:rPr>
          <w:rFonts w:ascii="Times New Roman" w:hAnsi="Times New Roman" w:cs="Times New Roman"/>
          <w:sz w:val="24"/>
          <w:szCs w:val="24"/>
        </w:rPr>
        <w:t xml:space="preserve"> to ensure these things can be done electronically. </w:t>
      </w:r>
    </w:p>
    <w:p w14:paraId="0DB95792" w14:textId="714D64FD" w:rsidR="00CB6A91" w:rsidRPr="00CB6A91" w:rsidRDefault="00CB6A91" w:rsidP="00CB6A91">
      <w:pPr>
        <w:ind w:right="91"/>
        <w:rPr>
          <w:rFonts w:ascii="Times New Roman" w:hAnsi="Times New Roman" w:cs="Times New Roman"/>
          <w:sz w:val="24"/>
          <w:szCs w:val="24"/>
        </w:rPr>
      </w:pPr>
      <w:r w:rsidRPr="00CB6A91">
        <w:rPr>
          <w:rFonts w:ascii="Times New Roman" w:hAnsi="Times New Roman" w:cs="Times New Roman"/>
          <w:sz w:val="24"/>
          <w:szCs w:val="24"/>
        </w:rPr>
        <w:t>The Act is based upon the principles of functional equivalence, which means that paper based commerce and electronic commerce should be treated equally by the law, and technology neutrality, which means that the law should not discriminate between forms of technology.</w:t>
      </w:r>
      <w:r w:rsidR="00505DEC">
        <w:rPr>
          <w:rFonts w:ascii="Times New Roman" w:hAnsi="Times New Roman" w:cs="Times New Roman"/>
          <w:sz w:val="24"/>
          <w:szCs w:val="24"/>
        </w:rPr>
        <w:t xml:space="preserve"> </w:t>
      </w:r>
      <w:r w:rsidRPr="00CB6A91">
        <w:rPr>
          <w:rFonts w:ascii="Times New Roman" w:hAnsi="Times New Roman" w:cs="Times New Roman"/>
          <w:sz w:val="24"/>
          <w:szCs w:val="24"/>
        </w:rPr>
        <w:t xml:space="preserve">The Act does not remove any legal obligations that may be imposed upon an individual by other Commonwealth laws. </w:t>
      </w:r>
    </w:p>
    <w:p w14:paraId="02177352" w14:textId="4659A0F6" w:rsidR="00CB6A91" w:rsidRPr="00CB6A91" w:rsidRDefault="00CB6A91" w:rsidP="00CB6A91">
      <w:pPr>
        <w:ind w:right="91"/>
        <w:rPr>
          <w:rFonts w:ascii="Times New Roman" w:hAnsi="Times New Roman" w:cs="Times New Roman"/>
          <w:sz w:val="24"/>
          <w:szCs w:val="24"/>
        </w:rPr>
      </w:pPr>
      <w:r w:rsidRPr="00CB6A91">
        <w:rPr>
          <w:rFonts w:ascii="Times New Roman" w:hAnsi="Times New Roman" w:cs="Times New Roman"/>
          <w:sz w:val="24"/>
          <w:szCs w:val="24"/>
        </w:rPr>
        <w:t xml:space="preserve">The Act applies to all laws of the Commonwealth unless, pursuant to section 7A of the Act, they are specifically exempted by the </w:t>
      </w:r>
      <w:r w:rsidR="002234EF">
        <w:rPr>
          <w:rFonts w:ascii="Times New Roman" w:hAnsi="Times New Roman" w:cs="Times New Roman"/>
          <w:sz w:val="24"/>
          <w:szCs w:val="24"/>
        </w:rPr>
        <w:t xml:space="preserve">regulations </w:t>
      </w:r>
      <w:r w:rsidRPr="00CB6A91">
        <w:rPr>
          <w:rFonts w:ascii="Times New Roman" w:hAnsi="Times New Roman" w:cs="Times New Roman"/>
          <w:sz w:val="24"/>
          <w:szCs w:val="24"/>
        </w:rPr>
        <w:t xml:space="preserve">or are exempted pursuant to section 7B of the Act. Schedule 1 to the </w:t>
      </w:r>
      <w:r w:rsidR="002234EF" w:rsidRPr="00CB6A91">
        <w:rPr>
          <w:rFonts w:ascii="Times New Roman" w:hAnsi="Times New Roman" w:cs="Times New Roman"/>
          <w:i/>
          <w:sz w:val="24"/>
          <w:szCs w:val="24"/>
        </w:rPr>
        <w:t>Electronic Transactions Regulations 2000</w:t>
      </w:r>
      <w:r w:rsidRPr="00CB6A91">
        <w:rPr>
          <w:rFonts w:ascii="Times New Roman" w:hAnsi="Times New Roman" w:cs="Times New Roman"/>
          <w:sz w:val="24"/>
          <w:szCs w:val="24"/>
        </w:rPr>
        <w:t xml:space="preserve"> contains a list of Commonwealth laws that are exempt from the application of the Act. </w:t>
      </w:r>
      <w:r w:rsidR="007250A3">
        <w:rPr>
          <w:rFonts w:ascii="Times New Roman" w:hAnsi="Times New Roman" w:cs="Times New Roman"/>
          <w:sz w:val="24"/>
          <w:szCs w:val="24"/>
        </w:rPr>
        <w:t>E</w:t>
      </w:r>
      <w:r w:rsidRPr="00CB6A91">
        <w:rPr>
          <w:rFonts w:ascii="Times New Roman" w:hAnsi="Times New Roman" w:cs="Times New Roman"/>
          <w:sz w:val="24"/>
          <w:szCs w:val="24"/>
        </w:rPr>
        <w:t xml:space="preserve">xemptions are necessary to account for circumstances where it is not appropriate to provide information, documents or signatures electronically. </w:t>
      </w:r>
    </w:p>
    <w:p w14:paraId="68B325C4" w14:textId="197E4CF5" w:rsidR="00CB6A91" w:rsidRPr="00CB6A91" w:rsidRDefault="00CB6A91" w:rsidP="00CB6A91">
      <w:pPr>
        <w:ind w:right="91"/>
        <w:rPr>
          <w:rFonts w:ascii="Times New Roman" w:hAnsi="Times New Roman" w:cs="Times New Roman"/>
          <w:color w:val="000000"/>
          <w:sz w:val="24"/>
          <w:szCs w:val="24"/>
          <w:lang w:eastAsia="en-AU"/>
        </w:rPr>
      </w:pPr>
      <w:r w:rsidRPr="00CB6A91">
        <w:rPr>
          <w:rFonts w:ascii="Times New Roman" w:hAnsi="Times New Roman" w:cs="Times New Roman"/>
          <w:sz w:val="24"/>
          <w:szCs w:val="24"/>
          <w:lang w:eastAsia="en-AU"/>
        </w:rPr>
        <w:t>The</w:t>
      </w:r>
      <w:r w:rsidR="002234EF">
        <w:rPr>
          <w:rFonts w:ascii="Times New Roman" w:hAnsi="Times New Roman" w:cs="Times New Roman"/>
          <w:sz w:val="24"/>
          <w:szCs w:val="24"/>
          <w:lang w:eastAsia="en-AU"/>
        </w:rPr>
        <w:t xml:space="preserve"> </w:t>
      </w:r>
      <w:r w:rsidR="002234EF" w:rsidRPr="00EE4E57">
        <w:rPr>
          <w:rFonts w:ascii="Times New Roman" w:hAnsi="Times New Roman" w:cs="Times New Roman"/>
          <w:i/>
          <w:sz w:val="24"/>
          <w:szCs w:val="24"/>
          <w:lang w:eastAsia="en-AU"/>
        </w:rPr>
        <w:t>Electronic Transactions</w:t>
      </w:r>
      <w:r w:rsidRPr="00EE4E57">
        <w:rPr>
          <w:rFonts w:ascii="Times New Roman" w:hAnsi="Times New Roman" w:cs="Times New Roman"/>
          <w:i/>
          <w:sz w:val="24"/>
          <w:szCs w:val="24"/>
          <w:lang w:eastAsia="en-AU"/>
        </w:rPr>
        <w:t xml:space="preserve"> Regulations </w:t>
      </w:r>
      <w:r w:rsidR="002234EF" w:rsidRPr="00EE4E57">
        <w:rPr>
          <w:rFonts w:ascii="Times New Roman" w:hAnsi="Times New Roman" w:cs="Times New Roman"/>
          <w:i/>
          <w:sz w:val="24"/>
          <w:szCs w:val="24"/>
          <w:lang w:eastAsia="en-AU"/>
        </w:rPr>
        <w:t>2000</w:t>
      </w:r>
      <w:r w:rsidR="002234EF">
        <w:rPr>
          <w:rFonts w:ascii="Times New Roman" w:hAnsi="Times New Roman" w:cs="Times New Roman"/>
          <w:sz w:val="24"/>
          <w:szCs w:val="24"/>
          <w:lang w:eastAsia="en-AU"/>
        </w:rPr>
        <w:t xml:space="preserve"> </w:t>
      </w:r>
      <w:r w:rsidRPr="00CB6A91">
        <w:rPr>
          <w:rFonts w:ascii="Times New Roman" w:hAnsi="Times New Roman" w:cs="Times New Roman"/>
          <w:sz w:val="24"/>
          <w:szCs w:val="24"/>
          <w:lang w:eastAsia="en-AU"/>
        </w:rPr>
        <w:t xml:space="preserve">sunset on 1 October 2020. The purpose of the </w:t>
      </w:r>
      <w:r w:rsidRPr="00CB6A91">
        <w:rPr>
          <w:rFonts w:ascii="Times New Roman" w:hAnsi="Times New Roman" w:cs="Times New Roman"/>
          <w:i/>
          <w:sz w:val="24"/>
          <w:szCs w:val="24"/>
          <w:lang w:eastAsia="en-AU"/>
        </w:rPr>
        <w:t>Electronic Transactions Regulations 2020</w:t>
      </w:r>
      <w:r w:rsidRPr="00CB6A91">
        <w:rPr>
          <w:rFonts w:ascii="Times New Roman" w:hAnsi="Times New Roman" w:cs="Times New Roman"/>
          <w:sz w:val="24"/>
          <w:szCs w:val="24"/>
          <w:lang w:eastAsia="en-AU"/>
        </w:rPr>
        <w:t xml:space="preserve"> (the Regulations) is to remake the </w:t>
      </w:r>
      <w:r w:rsidR="002234EF" w:rsidRPr="00A661CE">
        <w:rPr>
          <w:rFonts w:ascii="Times New Roman" w:hAnsi="Times New Roman" w:cs="Times New Roman"/>
          <w:i/>
          <w:sz w:val="24"/>
          <w:szCs w:val="24"/>
          <w:lang w:eastAsia="en-AU"/>
        </w:rPr>
        <w:t>Electronic Transactions Regulations 2000</w:t>
      </w:r>
      <w:r w:rsidRPr="00CB6A91">
        <w:rPr>
          <w:rFonts w:ascii="Times New Roman" w:hAnsi="Times New Roman" w:cs="Times New Roman"/>
          <w:sz w:val="24"/>
          <w:szCs w:val="24"/>
          <w:lang w:eastAsia="en-AU"/>
        </w:rPr>
        <w:t xml:space="preserve"> with amendments to ensure that the exemptions to the operation of the Act remain relevant in light of current and emerging digital channels and consumer and business preferences. </w:t>
      </w:r>
    </w:p>
    <w:p w14:paraId="51F66118" w14:textId="6D58F321" w:rsidR="00CB6A91" w:rsidRDefault="00CB6A91" w:rsidP="00CB6A91">
      <w:pPr>
        <w:ind w:right="91"/>
        <w:rPr>
          <w:rFonts w:ascii="Times New Roman" w:hAnsi="Times New Roman" w:cs="Times New Roman"/>
          <w:color w:val="000000"/>
          <w:sz w:val="24"/>
          <w:szCs w:val="24"/>
          <w:lang w:eastAsia="en-AU"/>
        </w:rPr>
      </w:pPr>
      <w:r w:rsidRPr="00CB6A91">
        <w:rPr>
          <w:rFonts w:ascii="Times New Roman" w:hAnsi="Times New Roman" w:cs="Times New Roman"/>
          <w:color w:val="000000"/>
          <w:sz w:val="24"/>
          <w:szCs w:val="24"/>
          <w:lang w:eastAsia="en-AU"/>
        </w:rPr>
        <w:t xml:space="preserve">The </w:t>
      </w:r>
      <w:r w:rsidR="002234EF" w:rsidRPr="00A661CE">
        <w:rPr>
          <w:rFonts w:ascii="Times New Roman" w:hAnsi="Times New Roman" w:cs="Times New Roman"/>
          <w:i/>
          <w:sz w:val="24"/>
          <w:szCs w:val="24"/>
          <w:lang w:eastAsia="en-AU"/>
        </w:rPr>
        <w:t>Electronic Transactions Regulations 2000</w:t>
      </w:r>
      <w:r w:rsidRPr="00CB6A91">
        <w:rPr>
          <w:rFonts w:ascii="Times New Roman" w:hAnsi="Times New Roman" w:cs="Times New Roman"/>
          <w:color w:val="000000"/>
          <w:sz w:val="24"/>
          <w:szCs w:val="24"/>
          <w:lang w:eastAsia="en-AU"/>
        </w:rPr>
        <w:t xml:space="preserve"> contain 147 exemptions. The </w:t>
      </w:r>
      <w:r w:rsidR="002234EF">
        <w:rPr>
          <w:rFonts w:ascii="Times New Roman" w:hAnsi="Times New Roman" w:cs="Times New Roman"/>
          <w:color w:val="000000"/>
          <w:sz w:val="24"/>
          <w:szCs w:val="24"/>
          <w:lang w:eastAsia="en-AU"/>
        </w:rPr>
        <w:t xml:space="preserve">new </w:t>
      </w:r>
      <w:r w:rsidRPr="00CB6A91">
        <w:rPr>
          <w:rFonts w:ascii="Times New Roman" w:hAnsi="Times New Roman" w:cs="Times New Roman"/>
          <w:color w:val="000000"/>
          <w:sz w:val="24"/>
          <w:szCs w:val="24"/>
          <w:lang w:eastAsia="en-AU"/>
        </w:rPr>
        <w:t xml:space="preserve">Regulations </w:t>
      </w:r>
      <w:r w:rsidR="007914C0" w:rsidRPr="00EE4E57">
        <w:rPr>
          <w:rFonts w:ascii="Times New Roman" w:hAnsi="Times New Roman" w:cs="Times New Roman"/>
          <w:color w:val="000000"/>
          <w:sz w:val="24"/>
          <w:szCs w:val="24"/>
          <w:lang w:eastAsia="en-AU"/>
        </w:rPr>
        <w:t>would contain 9</w:t>
      </w:r>
      <w:r w:rsidR="003A67BA">
        <w:rPr>
          <w:rFonts w:ascii="Times New Roman" w:hAnsi="Times New Roman" w:cs="Times New Roman"/>
          <w:color w:val="000000"/>
          <w:sz w:val="24"/>
          <w:szCs w:val="24"/>
          <w:lang w:eastAsia="en-AU"/>
        </w:rPr>
        <w:t>3</w:t>
      </w:r>
      <w:r w:rsidR="007914C0" w:rsidRPr="00EE4E57">
        <w:rPr>
          <w:rFonts w:ascii="Times New Roman" w:hAnsi="Times New Roman" w:cs="Times New Roman"/>
          <w:color w:val="000000"/>
          <w:sz w:val="24"/>
          <w:szCs w:val="24"/>
          <w:lang w:eastAsia="en-AU"/>
        </w:rPr>
        <w:t xml:space="preserve"> exemptions including (i) existing exemptions that have been maintained with no change, reduced in scope or amended to reflect changes to agency legislation, and (ii) new exemptions that have been requested by government agencies to account for legislative requirements which require these agencies to request hard copy documents.</w:t>
      </w:r>
    </w:p>
    <w:p w14:paraId="774041AE" w14:textId="25AEF812" w:rsidR="0044646D" w:rsidRPr="0044646D" w:rsidRDefault="0044646D" w:rsidP="0044646D">
      <w:pPr>
        <w:ind w:right="91"/>
        <w:rPr>
          <w:rFonts w:ascii="Times New Roman" w:hAnsi="Times New Roman" w:cs="Times New Roman"/>
          <w:color w:val="000000"/>
          <w:sz w:val="24"/>
          <w:szCs w:val="24"/>
          <w:lang w:eastAsia="en-AU"/>
        </w:rPr>
      </w:pPr>
      <w:r w:rsidRPr="0044646D">
        <w:rPr>
          <w:rFonts w:ascii="Times New Roman" w:hAnsi="Times New Roman" w:cs="Times New Roman"/>
          <w:color w:val="000000"/>
          <w:sz w:val="24"/>
          <w:szCs w:val="24"/>
          <w:lang w:eastAsia="en-AU"/>
        </w:rPr>
        <w:t xml:space="preserve">For example, the Regulations contain a new exemption in relation to subsection 65(3) and section 66 of the </w:t>
      </w:r>
      <w:r w:rsidRPr="0044646D">
        <w:rPr>
          <w:rFonts w:ascii="Times New Roman" w:hAnsi="Times New Roman" w:cs="Times New Roman"/>
          <w:i/>
          <w:color w:val="000000"/>
          <w:sz w:val="24"/>
          <w:szCs w:val="24"/>
          <w:lang w:eastAsia="en-AU"/>
        </w:rPr>
        <w:t>International Criminal Court Act 2002</w:t>
      </w:r>
      <w:r w:rsidRPr="0044646D">
        <w:rPr>
          <w:rFonts w:ascii="Times New Roman" w:hAnsi="Times New Roman" w:cs="Times New Roman"/>
          <w:color w:val="000000"/>
          <w:sz w:val="24"/>
          <w:szCs w:val="24"/>
          <w:lang w:eastAsia="en-AU"/>
        </w:rPr>
        <w:t xml:space="preserve"> from sections 9 (provision of information in writing electronically) and 10 (provision of signatures electronically) of the Act. This exemption is necessary because hard copies of warrants, and transcription and certification of witness testimony, are necessary for compliance with the International Criminal Court’s admissibility requirements. </w:t>
      </w:r>
    </w:p>
    <w:p w14:paraId="53F2B6E0" w14:textId="18CE586F" w:rsidR="0044646D" w:rsidRDefault="0044646D" w:rsidP="0044646D">
      <w:pPr>
        <w:ind w:right="91"/>
        <w:rPr>
          <w:rFonts w:ascii="Times New Roman" w:hAnsi="Times New Roman" w:cs="Times New Roman"/>
          <w:color w:val="000000"/>
          <w:sz w:val="24"/>
          <w:szCs w:val="24"/>
          <w:lang w:eastAsia="en-AU"/>
        </w:rPr>
      </w:pPr>
      <w:r w:rsidRPr="0044646D">
        <w:rPr>
          <w:rFonts w:ascii="Times New Roman" w:hAnsi="Times New Roman" w:cs="Times New Roman"/>
          <w:color w:val="000000"/>
          <w:sz w:val="24"/>
          <w:szCs w:val="24"/>
          <w:lang w:eastAsia="en-AU"/>
        </w:rPr>
        <w:lastRenderedPageBreak/>
        <w:t xml:space="preserve">The Regulations also contain a number of exemptions that have been amended and/or reduced in scope. For example, a number of exemptions to the </w:t>
      </w:r>
      <w:r w:rsidRPr="0044646D">
        <w:rPr>
          <w:rFonts w:ascii="Times New Roman" w:hAnsi="Times New Roman" w:cs="Times New Roman"/>
          <w:i/>
          <w:color w:val="000000"/>
          <w:sz w:val="24"/>
          <w:szCs w:val="24"/>
          <w:lang w:eastAsia="en-AU"/>
        </w:rPr>
        <w:t>Statutory Declaration Act 1959</w:t>
      </w:r>
      <w:r w:rsidRPr="0044646D">
        <w:rPr>
          <w:rFonts w:ascii="Times New Roman" w:hAnsi="Times New Roman" w:cs="Times New Roman"/>
          <w:color w:val="000000"/>
          <w:sz w:val="24"/>
          <w:szCs w:val="24"/>
          <w:lang w:eastAsia="en-AU"/>
        </w:rPr>
        <w:t xml:space="preserve"> have been removed to facilitate the provision of statutory declarations electronically. The </w:t>
      </w:r>
      <w:r w:rsidR="00BA2B4A">
        <w:rPr>
          <w:rFonts w:ascii="Times New Roman" w:hAnsi="Times New Roman" w:cs="Times New Roman"/>
          <w:color w:val="000000"/>
          <w:sz w:val="24"/>
          <w:szCs w:val="24"/>
          <w:lang w:eastAsia="en-AU"/>
        </w:rPr>
        <w:t>new</w:t>
      </w:r>
      <w:r w:rsidRPr="0044646D">
        <w:rPr>
          <w:rFonts w:ascii="Times New Roman" w:hAnsi="Times New Roman" w:cs="Times New Roman"/>
          <w:color w:val="000000"/>
          <w:sz w:val="24"/>
          <w:szCs w:val="24"/>
          <w:lang w:eastAsia="en-AU"/>
        </w:rPr>
        <w:t xml:space="preserve"> Regulations also contain a number of exemptions that have been remade such as subregulation 4(1) of the </w:t>
      </w:r>
      <w:r w:rsidRPr="00BA2B4A">
        <w:rPr>
          <w:rFonts w:ascii="Times New Roman" w:hAnsi="Times New Roman" w:cs="Times New Roman"/>
          <w:i/>
          <w:color w:val="000000"/>
          <w:sz w:val="24"/>
          <w:szCs w:val="24"/>
          <w:lang w:eastAsia="en-AU"/>
        </w:rPr>
        <w:t>Extradition Regulations 1988</w:t>
      </w:r>
      <w:r w:rsidRPr="0044646D">
        <w:rPr>
          <w:rFonts w:ascii="Times New Roman" w:hAnsi="Times New Roman" w:cs="Times New Roman"/>
          <w:color w:val="000000"/>
          <w:sz w:val="24"/>
          <w:szCs w:val="24"/>
          <w:lang w:eastAsia="en-AU"/>
        </w:rPr>
        <w:t xml:space="preserve"> which requires a magistrate or eligible circuit court judge to issue a summons in physical form in order for it to be served on a person.</w:t>
      </w:r>
    </w:p>
    <w:p w14:paraId="4EEA1DBA" w14:textId="70704DC2" w:rsidR="00450C8D" w:rsidRPr="0044646D" w:rsidRDefault="00450C8D" w:rsidP="0044646D">
      <w:pPr>
        <w:ind w:right="91"/>
        <w:rPr>
          <w:rFonts w:ascii="Times New Roman" w:hAnsi="Times New Roman" w:cs="Times New Roman"/>
          <w:color w:val="000000"/>
          <w:sz w:val="24"/>
          <w:szCs w:val="24"/>
          <w:lang w:eastAsia="en-AU"/>
        </w:rPr>
      </w:pPr>
      <w:r w:rsidRPr="00450C8D">
        <w:rPr>
          <w:rFonts w:ascii="Times New Roman" w:hAnsi="Times New Roman" w:cs="Times New Roman"/>
          <w:color w:val="000000"/>
          <w:sz w:val="24"/>
          <w:szCs w:val="24"/>
          <w:lang w:eastAsia="en-AU"/>
        </w:rPr>
        <w:t>For legislation administered by the Australian Prudential Regulation Authority (APRA) only specified information gathering</w:t>
      </w:r>
      <w:r>
        <w:rPr>
          <w:rFonts w:ascii="Times New Roman" w:hAnsi="Times New Roman" w:cs="Times New Roman"/>
          <w:color w:val="000000"/>
          <w:sz w:val="24"/>
          <w:szCs w:val="24"/>
          <w:lang w:eastAsia="en-AU"/>
        </w:rPr>
        <w:t xml:space="preserve"> </w:t>
      </w:r>
      <w:r w:rsidRPr="00450C8D">
        <w:rPr>
          <w:rFonts w:ascii="Times New Roman" w:hAnsi="Times New Roman" w:cs="Times New Roman"/>
          <w:color w:val="000000"/>
          <w:sz w:val="24"/>
          <w:szCs w:val="24"/>
          <w:lang w:eastAsia="en-AU"/>
        </w:rPr>
        <w:t>provisions are now exempt from the Act. This will enable technolog</w:t>
      </w:r>
      <w:r w:rsidR="00546D1B">
        <w:rPr>
          <w:rFonts w:ascii="Times New Roman" w:hAnsi="Times New Roman" w:cs="Times New Roman"/>
          <w:color w:val="000000"/>
          <w:sz w:val="24"/>
          <w:szCs w:val="24"/>
          <w:lang w:eastAsia="en-AU"/>
        </w:rPr>
        <w:t>y</w:t>
      </w:r>
      <w:r w:rsidRPr="00450C8D">
        <w:rPr>
          <w:rFonts w:ascii="Times New Roman" w:hAnsi="Times New Roman" w:cs="Times New Roman"/>
          <w:color w:val="000000"/>
          <w:sz w:val="24"/>
          <w:szCs w:val="24"/>
          <w:lang w:eastAsia="en-AU"/>
        </w:rPr>
        <w:t xml:space="preserve"> neutral communication between APRA and businesses and individuals that have dealings with APRA. The remaining exemptions are necessary to enable APRA to obtain hard copy materials when </w:t>
      </w:r>
      <w:r w:rsidR="00546D1B">
        <w:rPr>
          <w:rFonts w:ascii="Times New Roman" w:hAnsi="Times New Roman" w:cs="Times New Roman"/>
          <w:color w:val="000000"/>
          <w:sz w:val="24"/>
          <w:szCs w:val="24"/>
          <w:lang w:eastAsia="en-AU"/>
        </w:rPr>
        <w:t>APRA</w:t>
      </w:r>
      <w:r w:rsidRPr="00450C8D">
        <w:rPr>
          <w:rFonts w:ascii="Times New Roman" w:hAnsi="Times New Roman" w:cs="Times New Roman"/>
          <w:color w:val="000000"/>
          <w:sz w:val="24"/>
          <w:szCs w:val="24"/>
          <w:lang w:eastAsia="en-AU"/>
        </w:rPr>
        <w:t xml:space="preserve"> needs them to undertake its regulatory functions. </w:t>
      </w:r>
    </w:p>
    <w:p w14:paraId="73ABA2AE" w14:textId="6640A9FB" w:rsidR="00AC0BBA" w:rsidRDefault="00503931" w:rsidP="00703DBF">
      <w:pPr>
        <w:spacing w:line="240" w:lineRule="auto"/>
        <w:rPr>
          <w:rFonts w:ascii="Times New Roman" w:hAnsi="Times New Roman" w:cs="Times New Roman"/>
          <w:sz w:val="24"/>
          <w:szCs w:val="24"/>
        </w:rPr>
      </w:pPr>
      <w:r>
        <w:rPr>
          <w:rFonts w:ascii="Times New Roman" w:hAnsi="Times New Roman" w:cs="Times New Roman"/>
          <w:sz w:val="24"/>
          <w:szCs w:val="24"/>
        </w:rPr>
        <w:t xml:space="preserve">To ensure that the </w:t>
      </w:r>
      <w:r w:rsidR="00B57C42">
        <w:rPr>
          <w:rFonts w:ascii="Times New Roman" w:hAnsi="Times New Roman" w:cs="Times New Roman"/>
          <w:sz w:val="24"/>
          <w:szCs w:val="24"/>
        </w:rPr>
        <w:t>exemptions</w:t>
      </w:r>
      <w:r>
        <w:rPr>
          <w:rFonts w:ascii="Times New Roman" w:hAnsi="Times New Roman" w:cs="Times New Roman"/>
          <w:sz w:val="24"/>
          <w:szCs w:val="24"/>
        </w:rPr>
        <w:t xml:space="preserve"> to the operation of the Act remain relevant in ligh</w:t>
      </w:r>
      <w:r w:rsidR="004D1541">
        <w:rPr>
          <w:rFonts w:ascii="Times New Roman" w:hAnsi="Times New Roman" w:cs="Times New Roman"/>
          <w:sz w:val="24"/>
          <w:szCs w:val="24"/>
        </w:rPr>
        <w:t>t</w:t>
      </w:r>
      <w:r>
        <w:rPr>
          <w:rFonts w:ascii="Times New Roman" w:hAnsi="Times New Roman" w:cs="Times New Roman"/>
          <w:sz w:val="24"/>
          <w:szCs w:val="24"/>
        </w:rPr>
        <w:t xml:space="preserve"> of current and emerging digital channels and consumer preferences, exemptions are regularly reviewed. Business practices, and consumer behaviours and expectations, have evolved since many of the </w:t>
      </w:r>
      <w:r w:rsidR="00B57C42">
        <w:rPr>
          <w:rFonts w:ascii="Times New Roman" w:hAnsi="Times New Roman" w:cs="Times New Roman"/>
          <w:sz w:val="24"/>
          <w:szCs w:val="24"/>
        </w:rPr>
        <w:t>exemptions</w:t>
      </w:r>
      <w:r>
        <w:rPr>
          <w:rFonts w:ascii="Times New Roman" w:hAnsi="Times New Roman" w:cs="Times New Roman"/>
          <w:sz w:val="24"/>
          <w:szCs w:val="24"/>
        </w:rPr>
        <w:t xml:space="preserve"> were introduced. </w:t>
      </w:r>
    </w:p>
    <w:p w14:paraId="1A8CDE5B" w14:textId="59C5F13A" w:rsidR="00503931" w:rsidRDefault="00503931" w:rsidP="00703DBF">
      <w:pPr>
        <w:spacing w:line="240" w:lineRule="auto"/>
        <w:rPr>
          <w:rFonts w:ascii="Times New Roman" w:hAnsi="Times New Roman" w:cs="Times New Roman"/>
          <w:sz w:val="24"/>
          <w:szCs w:val="24"/>
        </w:rPr>
      </w:pPr>
      <w:r>
        <w:rPr>
          <w:rFonts w:ascii="Times New Roman" w:hAnsi="Times New Roman" w:cs="Times New Roman"/>
          <w:sz w:val="24"/>
          <w:szCs w:val="24"/>
        </w:rPr>
        <w:t xml:space="preserve">Repealing an exemption enables, but does not compel or mandate, the use of electronic communications by business and individuals in their dealings with government. </w:t>
      </w:r>
    </w:p>
    <w:p w14:paraId="293B0753" w14:textId="713DE119" w:rsidR="009B32BA" w:rsidRDefault="00AC0BBA" w:rsidP="00703DBF">
      <w:pPr>
        <w:spacing w:line="240" w:lineRule="auto"/>
        <w:rPr>
          <w:rFonts w:ascii="Times New Roman" w:hAnsi="Times New Roman" w:cs="Times New Roman"/>
          <w:sz w:val="24"/>
          <w:szCs w:val="24"/>
        </w:rPr>
      </w:pPr>
      <w:r>
        <w:rPr>
          <w:rFonts w:ascii="Times New Roman" w:hAnsi="Times New Roman" w:cs="Times New Roman"/>
          <w:sz w:val="24"/>
          <w:szCs w:val="24"/>
        </w:rPr>
        <w:t>The Regulation</w:t>
      </w:r>
      <w:r w:rsidR="002234EF">
        <w:rPr>
          <w:rFonts w:ascii="Times New Roman" w:hAnsi="Times New Roman" w:cs="Times New Roman"/>
          <w:sz w:val="24"/>
          <w:szCs w:val="24"/>
        </w:rPr>
        <w:t>s</w:t>
      </w:r>
      <w:r>
        <w:rPr>
          <w:rFonts w:ascii="Times New Roman" w:hAnsi="Times New Roman" w:cs="Times New Roman"/>
          <w:sz w:val="24"/>
          <w:szCs w:val="24"/>
        </w:rPr>
        <w:t xml:space="preserve"> commence on the day after </w:t>
      </w:r>
      <w:r w:rsidR="002234EF">
        <w:rPr>
          <w:rFonts w:ascii="Times New Roman" w:hAnsi="Times New Roman" w:cs="Times New Roman"/>
          <w:sz w:val="24"/>
          <w:szCs w:val="24"/>
        </w:rPr>
        <w:t>they are</w:t>
      </w:r>
      <w:r>
        <w:rPr>
          <w:rFonts w:ascii="Times New Roman" w:hAnsi="Times New Roman" w:cs="Times New Roman"/>
          <w:sz w:val="24"/>
          <w:szCs w:val="24"/>
        </w:rPr>
        <w:t xml:space="preserve"> registered on the Federal Register of Legislat</w:t>
      </w:r>
      <w:r w:rsidR="002234EF">
        <w:rPr>
          <w:rFonts w:ascii="Times New Roman" w:hAnsi="Times New Roman" w:cs="Times New Roman"/>
          <w:sz w:val="24"/>
          <w:szCs w:val="24"/>
        </w:rPr>
        <w:t>ion</w:t>
      </w:r>
      <w:r>
        <w:rPr>
          <w:rFonts w:ascii="Times New Roman" w:hAnsi="Times New Roman" w:cs="Times New Roman"/>
          <w:sz w:val="24"/>
          <w:szCs w:val="24"/>
        </w:rPr>
        <w:t xml:space="preserve">. </w:t>
      </w:r>
    </w:p>
    <w:p w14:paraId="1E2821D0" w14:textId="77777777" w:rsidR="00505DEC" w:rsidRDefault="009B32BA" w:rsidP="00505DEC">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Details of the Regulations are set out in </w:t>
      </w:r>
      <w:r w:rsidRPr="00A51C7B">
        <w:rPr>
          <w:rFonts w:ascii="Times New Roman" w:hAnsi="Times New Roman" w:cs="Times New Roman"/>
          <w:b/>
          <w:sz w:val="24"/>
          <w:szCs w:val="24"/>
          <w:u w:val="single"/>
        </w:rPr>
        <w:t>Attachment</w:t>
      </w:r>
      <w:r w:rsidR="00A51C7B" w:rsidRPr="00A51C7B">
        <w:rPr>
          <w:rFonts w:ascii="Times New Roman" w:hAnsi="Times New Roman" w:cs="Times New Roman"/>
          <w:b/>
          <w:sz w:val="24"/>
          <w:szCs w:val="24"/>
          <w:u w:val="single"/>
        </w:rPr>
        <w:t xml:space="preserve"> A</w:t>
      </w:r>
      <w:r>
        <w:rPr>
          <w:rFonts w:ascii="Times New Roman" w:hAnsi="Times New Roman" w:cs="Times New Roman"/>
          <w:sz w:val="24"/>
          <w:szCs w:val="24"/>
          <w:u w:val="single"/>
        </w:rPr>
        <w:t xml:space="preserve">. </w:t>
      </w:r>
    </w:p>
    <w:p w14:paraId="74DC4D26" w14:textId="6A4D796C" w:rsidR="00505DEC" w:rsidRDefault="009C3DEA" w:rsidP="00505DE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CONSULTATION </w:t>
      </w:r>
    </w:p>
    <w:p w14:paraId="7F5E4258" w14:textId="0CF6216E"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 xml:space="preserve">Consistent with the requirements of the </w:t>
      </w:r>
      <w:r w:rsidRPr="00505DEC">
        <w:rPr>
          <w:rFonts w:ascii="Times New Roman" w:eastAsia="Times New Roman" w:hAnsi="Times New Roman" w:cs="Times New Roman"/>
          <w:i/>
          <w:color w:val="000000"/>
          <w:sz w:val="24"/>
          <w:szCs w:val="24"/>
          <w:lang w:val="en-AU" w:eastAsia="en-AU"/>
        </w:rPr>
        <w:t>Legislation Act 2003</w:t>
      </w:r>
      <w:r w:rsidRPr="00505DEC">
        <w:rPr>
          <w:rFonts w:ascii="Times New Roman" w:eastAsia="Times New Roman" w:hAnsi="Times New Roman" w:cs="Times New Roman"/>
          <w:color w:val="000000"/>
          <w:sz w:val="24"/>
          <w:szCs w:val="24"/>
          <w:lang w:val="en-AU" w:eastAsia="en-AU"/>
        </w:rPr>
        <w:t xml:space="preserve">, the proposed Regulations have been informed by consultation with the government agencies that have policy responsibility for the legislation specified in the existing and proposed Regulations. Removal of exemptions facilitates additional avenues of communication with the government and does not prevent people communicating with government agencies through the usual means i.e. via hard copy correspondence. The addition of new exemptions are needed to reflect existing practice for government agencies that require hard copy communication for the purposes of their legislation. Consultation with non-government stakeholders was not conducted by the Attorney-General’s Department as agencies with responsibility for exempted legislation were best placed to review and consult relevant stakeholders.  </w:t>
      </w:r>
    </w:p>
    <w:p w14:paraId="294AF026" w14:textId="77777777" w:rsidR="00505DEC" w:rsidRPr="00505DEC" w:rsidRDefault="00505DEC" w:rsidP="00505DEC">
      <w:pPr>
        <w:spacing w:after="0" w:line="240" w:lineRule="auto"/>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lastRenderedPageBreak/>
        <w:t xml:space="preserve">The following government agencies were consulted by the Attorney-General's Department and are supportive of the proposed amendments: </w:t>
      </w:r>
    </w:p>
    <w:p w14:paraId="3AEBA9E3" w14:textId="77777777" w:rsidR="00505DEC" w:rsidRPr="00505DEC" w:rsidRDefault="00505DEC" w:rsidP="00505DEC">
      <w:pPr>
        <w:spacing w:after="0" w:line="240" w:lineRule="auto"/>
        <w:ind w:right="91"/>
        <w:rPr>
          <w:rFonts w:ascii="Times New Roman" w:eastAsia="Times New Roman" w:hAnsi="Times New Roman" w:cs="Times New Roman"/>
          <w:color w:val="000000"/>
          <w:sz w:val="24"/>
          <w:szCs w:val="24"/>
          <w:lang w:val="en-AU"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05DEC" w:rsidRPr="00505DEC" w14:paraId="2F8080F4" w14:textId="77777777" w:rsidTr="00505DEC">
        <w:tc>
          <w:tcPr>
            <w:tcW w:w="3005" w:type="dxa"/>
          </w:tcPr>
          <w:p w14:paraId="7DE13943"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Agriculture, Water and the Environment</w:t>
            </w:r>
          </w:p>
        </w:tc>
        <w:tc>
          <w:tcPr>
            <w:tcW w:w="3005" w:type="dxa"/>
          </w:tcPr>
          <w:p w14:paraId="445EAA56"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Defence</w:t>
            </w:r>
          </w:p>
        </w:tc>
        <w:tc>
          <w:tcPr>
            <w:tcW w:w="3006" w:type="dxa"/>
          </w:tcPr>
          <w:p w14:paraId="7EB98DC3"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Education, Skills and Employment</w:t>
            </w:r>
          </w:p>
        </w:tc>
      </w:tr>
      <w:tr w:rsidR="00505DEC" w:rsidRPr="00505DEC" w14:paraId="1299A155" w14:textId="77777777" w:rsidTr="00505DEC">
        <w:tc>
          <w:tcPr>
            <w:tcW w:w="3005" w:type="dxa"/>
          </w:tcPr>
          <w:p w14:paraId="72E2AE13" w14:textId="77777777" w:rsidR="00D05293" w:rsidRDefault="00D05293" w:rsidP="00505DEC">
            <w:pPr>
              <w:ind w:right="91"/>
              <w:rPr>
                <w:rFonts w:ascii="Times New Roman" w:eastAsia="Times New Roman" w:hAnsi="Times New Roman" w:cs="Times New Roman"/>
                <w:color w:val="000000"/>
                <w:sz w:val="24"/>
                <w:szCs w:val="24"/>
                <w:lang w:val="en-AU" w:eastAsia="en-AU"/>
              </w:rPr>
            </w:pPr>
          </w:p>
          <w:p w14:paraId="6FDFE814"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Finance</w:t>
            </w:r>
          </w:p>
        </w:tc>
        <w:tc>
          <w:tcPr>
            <w:tcW w:w="3005" w:type="dxa"/>
          </w:tcPr>
          <w:p w14:paraId="257D3CB4" w14:textId="77777777" w:rsidR="00A91875" w:rsidRDefault="00A91875" w:rsidP="00505DEC">
            <w:pPr>
              <w:ind w:right="91"/>
              <w:rPr>
                <w:rFonts w:ascii="Times New Roman" w:eastAsia="Times New Roman" w:hAnsi="Times New Roman" w:cs="Times New Roman"/>
                <w:color w:val="000000"/>
                <w:sz w:val="24"/>
                <w:szCs w:val="24"/>
                <w:lang w:val="en-AU" w:eastAsia="en-AU"/>
              </w:rPr>
            </w:pPr>
          </w:p>
          <w:p w14:paraId="7BD7467E"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Foreign Affairs and Trade</w:t>
            </w:r>
          </w:p>
        </w:tc>
        <w:tc>
          <w:tcPr>
            <w:tcW w:w="3006" w:type="dxa"/>
          </w:tcPr>
          <w:p w14:paraId="2267B878" w14:textId="77777777" w:rsidR="00D05293" w:rsidRDefault="00D05293" w:rsidP="00505DEC">
            <w:pPr>
              <w:ind w:right="91"/>
              <w:rPr>
                <w:rFonts w:ascii="Times New Roman" w:eastAsia="Times New Roman" w:hAnsi="Times New Roman" w:cs="Times New Roman"/>
                <w:color w:val="000000"/>
                <w:sz w:val="24"/>
                <w:szCs w:val="24"/>
                <w:lang w:val="en-AU" w:eastAsia="en-AU"/>
              </w:rPr>
            </w:pPr>
          </w:p>
          <w:p w14:paraId="0CB83A1A"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Health</w:t>
            </w:r>
          </w:p>
        </w:tc>
      </w:tr>
      <w:tr w:rsidR="00505DEC" w:rsidRPr="00505DEC" w14:paraId="46A21E23" w14:textId="77777777" w:rsidTr="00505DEC">
        <w:tc>
          <w:tcPr>
            <w:tcW w:w="3005" w:type="dxa"/>
          </w:tcPr>
          <w:p w14:paraId="3E6725C3" w14:textId="77777777" w:rsidR="00D05293" w:rsidRDefault="00D05293" w:rsidP="00505DEC">
            <w:pPr>
              <w:ind w:right="91"/>
              <w:rPr>
                <w:rFonts w:ascii="Times New Roman" w:eastAsia="Times New Roman" w:hAnsi="Times New Roman" w:cs="Times New Roman"/>
                <w:color w:val="000000"/>
                <w:sz w:val="24"/>
                <w:szCs w:val="24"/>
                <w:lang w:val="en-AU" w:eastAsia="en-AU"/>
              </w:rPr>
            </w:pPr>
          </w:p>
          <w:p w14:paraId="2ACF01F6"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Home Affairs</w:t>
            </w:r>
          </w:p>
        </w:tc>
        <w:tc>
          <w:tcPr>
            <w:tcW w:w="3005" w:type="dxa"/>
          </w:tcPr>
          <w:p w14:paraId="03B4470F" w14:textId="77777777" w:rsidR="00D05293" w:rsidRDefault="00D05293" w:rsidP="00505DEC">
            <w:pPr>
              <w:ind w:right="91"/>
              <w:rPr>
                <w:rFonts w:ascii="Times New Roman" w:eastAsia="Times New Roman" w:hAnsi="Times New Roman" w:cs="Times New Roman"/>
                <w:color w:val="000000"/>
                <w:sz w:val="24"/>
                <w:szCs w:val="24"/>
                <w:lang w:val="en-AU" w:eastAsia="en-AU"/>
              </w:rPr>
            </w:pPr>
          </w:p>
          <w:p w14:paraId="628B0A2A"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Infrastructure, Transport, Regional Development and Communications;</w:t>
            </w:r>
          </w:p>
        </w:tc>
        <w:tc>
          <w:tcPr>
            <w:tcW w:w="3006" w:type="dxa"/>
          </w:tcPr>
          <w:p w14:paraId="3964B565" w14:textId="77777777" w:rsidR="00D05293" w:rsidRDefault="00D05293" w:rsidP="00505DEC">
            <w:pPr>
              <w:ind w:right="91"/>
              <w:rPr>
                <w:rFonts w:ascii="Times New Roman" w:eastAsia="Times New Roman" w:hAnsi="Times New Roman" w:cs="Times New Roman"/>
                <w:color w:val="000000"/>
                <w:sz w:val="24"/>
                <w:szCs w:val="24"/>
                <w:lang w:val="en-AU" w:eastAsia="en-AU"/>
              </w:rPr>
            </w:pPr>
          </w:p>
          <w:p w14:paraId="0B11D842"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the Prime Minister and Cabinet</w:t>
            </w:r>
          </w:p>
        </w:tc>
      </w:tr>
      <w:tr w:rsidR="00505DEC" w:rsidRPr="00505DEC" w14:paraId="1A7F7CBA" w14:textId="77777777" w:rsidTr="00505DEC">
        <w:tc>
          <w:tcPr>
            <w:tcW w:w="3005" w:type="dxa"/>
          </w:tcPr>
          <w:p w14:paraId="1AA0CFCA" w14:textId="77777777" w:rsidR="00A91875" w:rsidRDefault="00A91875" w:rsidP="00505DEC">
            <w:pPr>
              <w:ind w:right="91"/>
              <w:rPr>
                <w:rFonts w:ascii="Times New Roman" w:eastAsia="Times New Roman" w:hAnsi="Times New Roman" w:cs="Times New Roman"/>
                <w:color w:val="000000"/>
                <w:sz w:val="24"/>
                <w:szCs w:val="24"/>
                <w:lang w:val="en-AU" w:eastAsia="en-AU"/>
              </w:rPr>
            </w:pPr>
          </w:p>
          <w:p w14:paraId="546B0D77"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Social Services</w:t>
            </w:r>
          </w:p>
        </w:tc>
        <w:tc>
          <w:tcPr>
            <w:tcW w:w="3005" w:type="dxa"/>
          </w:tcPr>
          <w:p w14:paraId="29E04EDD" w14:textId="77777777" w:rsidR="00D05293" w:rsidRDefault="00D05293" w:rsidP="00505DEC">
            <w:pPr>
              <w:ind w:right="91"/>
              <w:rPr>
                <w:rFonts w:ascii="Times New Roman" w:eastAsia="Times New Roman" w:hAnsi="Times New Roman" w:cs="Times New Roman"/>
                <w:color w:val="000000"/>
                <w:sz w:val="24"/>
                <w:szCs w:val="24"/>
                <w:lang w:val="en-AU" w:eastAsia="en-AU"/>
              </w:rPr>
            </w:pPr>
          </w:p>
          <w:p w14:paraId="29F06586" w14:textId="77777777" w:rsidR="00505DEC" w:rsidRPr="00505DEC" w:rsidRDefault="00505DEC"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Department of Veterans’ Affairs</w:t>
            </w:r>
          </w:p>
        </w:tc>
        <w:tc>
          <w:tcPr>
            <w:tcW w:w="3006" w:type="dxa"/>
          </w:tcPr>
          <w:p w14:paraId="49261368" w14:textId="77777777" w:rsidR="00A91875" w:rsidRDefault="00A91875" w:rsidP="00505DEC">
            <w:pPr>
              <w:ind w:right="91"/>
              <w:rPr>
                <w:rFonts w:ascii="Times New Roman" w:eastAsia="Times New Roman" w:hAnsi="Times New Roman" w:cs="Times New Roman"/>
                <w:color w:val="000000"/>
                <w:sz w:val="24"/>
                <w:szCs w:val="24"/>
                <w:lang w:val="en-AU" w:eastAsia="en-AU"/>
              </w:rPr>
            </w:pPr>
          </w:p>
          <w:p w14:paraId="0673909D" w14:textId="00ED3A78" w:rsidR="00505DEC" w:rsidRPr="00505DEC" w:rsidRDefault="00F15C93" w:rsidP="00505DEC">
            <w:pPr>
              <w:ind w:right="91"/>
              <w:rPr>
                <w:rFonts w:ascii="Times New Roman" w:eastAsia="Times New Roman" w:hAnsi="Times New Roman" w:cs="Times New Roman"/>
                <w:color w:val="000000"/>
                <w:sz w:val="24"/>
                <w:szCs w:val="24"/>
                <w:lang w:val="en-AU" w:eastAsia="en-AU"/>
              </w:rPr>
            </w:pPr>
            <w:r>
              <w:rPr>
                <w:rFonts w:ascii="Times New Roman" w:eastAsia="Times New Roman" w:hAnsi="Times New Roman" w:cs="Times New Roman"/>
                <w:color w:val="000000"/>
                <w:sz w:val="24"/>
                <w:szCs w:val="24"/>
                <w:lang w:val="en-AU" w:eastAsia="en-AU"/>
              </w:rPr>
              <w:t>National Indigenous Australians Agency</w:t>
            </w:r>
          </w:p>
        </w:tc>
      </w:tr>
      <w:tr w:rsidR="00505DEC" w:rsidRPr="00505DEC" w14:paraId="29744CC1" w14:textId="77777777" w:rsidTr="00505DEC">
        <w:tc>
          <w:tcPr>
            <w:tcW w:w="3005" w:type="dxa"/>
          </w:tcPr>
          <w:p w14:paraId="4F864488" w14:textId="77777777" w:rsidR="00A91875" w:rsidRDefault="00A91875" w:rsidP="00D05293">
            <w:pPr>
              <w:ind w:right="91"/>
              <w:rPr>
                <w:rFonts w:ascii="Times New Roman" w:eastAsia="Times New Roman" w:hAnsi="Times New Roman" w:cs="Times New Roman"/>
                <w:color w:val="000000"/>
                <w:sz w:val="24"/>
                <w:szCs w:val="24"/>
                <w:lang w:val="en-AU" w:eastAsia="en-AU"/>
              </w:rPr>
            </w:pPr>
          </w:p>
          <w:p w14:paraId="27E0AD0F" w14:textId="0D78DEBC" w:rsidR="00505DEC" w:rsidRPr="00505DEC" w:rsidRDefault="00F15C93" w:rsidP="00D05293">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Services Australia</w:t>
            </w:r>
          </w:p>
        </w:tc>
        <w:tc>
          <w:tcPr>
            <w:tcW w:w="3005" w:type="dxa"/>
          </w:tcPr>
          <w:p w14:paraId="152FCF8E" w14:textId="77777777" w:rsidR="00F15C93" w:rsidRDefault="00F15C93" w:rsidP="00505DEC">
            <w:pPr>
              <w:ind w:right="91"/>
              <w:rPr>
                <w:rFonts w:ascii="Times New Roman" w:eastAsia="Times New Roman" w:hAnsi="Times New Roman" w:cs="Times New Roman"/>
                <w:color w:val="000000"/>
                <w:sz w:val="24"/>
                <w:szCs w:val="24"/>
                <w:lang w:val="en-AU" w:eastAsia="en-AU"/>
              </w:rPr>
            </w:pPr>
          </w:p>
          <w:p w14:paraId="715BE8D8" w14:textId="10C807E0" w:rsidR="00505DEC" w:rsidRPr="00505DEC" w:rsidRDefault="00F15C93" w:rsidP="00505DEC">
            <w:pPr>
              <w:ind w:right="91"/>
              <w:rPr>
                <w:rFonts w:ascii="Times New Roman" w:eastAsia="Times New Roman" w:hAnsi="Times New Roman" w:cs="Times New Roman"/>
                <w:color w:val="000000"/>
                <w:sz w:val="24"/>
                <w:szCs w:val="24"/>
                <w:lang w:val="en-AU" w:eastAsia="en-AU"/>
              </w:rPr>
            </w:pPr>
            <w:r w:rsidRPr="00505DEC">
              <w:rPr>
                <w:rFonts w:ascii="Times New Roman" w:eastAsia="Times New Roman" w:hAnsi="Times New Roman" w:cs="Times New Roman"/>
                <w:color w:val="000000"/>
                <w:sz w:val="24"/>
                <w:szCs w:val="24"/>
                <w:lang w:val="en-AU" w:eastAsia="en-AU"/>
              </w:rPr>
              <w:t>The Treasury</w:t>
            </w:r>
            <w:r w:rsidRPr="00505DEC" w:rsidDel="00F15C93">
              <w:rPr>
                <w:rFonts w:ascii="Times New Roman" w:eastAsia="Times New Roman" w:hAnsi="Times New Roman" w:cs="Times New Roman"/>
                <w:color w:val="000000"/>
                <w:sz w:val="24"/>
                <w:szCs w:val="24"/>
                <w:lang w:val="en-AU" w:eastAsia="en-AU"/>
              </w:rPr>
              <w:t xml:space="preserve"> </w:t>
            </w:r>
          </w:p>
        </w:tc>
        <w:tc>
          <w:tcPr>
            <w:tcW w:w="3006" w:type="dxa"/>
          </w:tcPr>
          <w:p w14:paraId="77543ADE" w14:textId="77777777" w:rsidR="00A91875" w:rsidRDefault="00A91875" w:rsidP="00505DEC">
            <w:pPr>
              <w:ind w:right="91"/>
              <w:rPr>
                <w:rFonts w:ascii="Times New Roman" w:eastAsia="Times New Roman" w:hAnsi="Times New Roman" w:cs="Times New Roman"/>
                <w:color w:val="000000"/>
                <w:sz w:val="24"/>
                <w:szCs w:val="24"/>
                <w:lang w:val="en-AU" w:eastAsia="en-AU"/>
              </w:rPr>
            </w:pPr>
          </w:p>
          <w:p w14:paraId="49B9BB93" w14:textId="77777777" w:rsidR="00A91875" w:rsidRDefault="00A91875" w:rsidP="00505DEC">
            <w:pPr>
              <w:ind w:right="91"/>
              <w:rPr>
                <w:rFonts w:ascii="Times New Roman" w:eastAsia="Times New Roman" w:hAnsi="Times New Roman" w:cs="Times New Roman"/>
                <w:color w:val="000000"/>
                <w:sz w:val="24"/>
                <w:szCs w:val="24"/>
                <w:lang w:val="en-AU" w:eastAsia="en-AU"/>
              </w:rPr>
            </w:pPr>
          </w:p>
          <w:p w14:paraId="6E00A2D9" w14:textId="64E2DFCF" w:rsidR="00505DEC" w:rsidRPr="00505DEC" w:rsidRDefault="00505DEC" w:rsidP="00505DEC">
            <w:pPr>
              <w:ind w:right="91"/>
              <w:rPr>
                <w:rFonts w:ascii="Times New Roman" w:eastAsia="Times New Roman" w:hAnsi="Times New Roman" w:cs="Times New Roman"/>
                <w:color w:val="000000"/>
                <w:sz w:val="24"/>
                <w:szCs w:val="24"/>
                <w:lang w:val="en-AU" w:eastAsia="en-AU"/>
              </w:rPr>
            </w:pPr>
          </w:p>
        </w:tc>
      </w:tr>
    </w:tbl>
    <w:p w14:paraId="517CBB3C" w14:textId="77777777" w:rsidR="00D05293" w:rsidRDefault="00D05293" w:rsidP="00505DEC">
      <w:pPr>
        <w:spacing w:after="240" w:line="240" w:lineRule="auto"/>
        <w:rPr>
          <w:rFonts w:ascii="Times New Roman" w:hAnsi="Times New Roman" w:cs="Times New Roman"/>
          <w:b/>
          <w:sz w:val="24"/>
          <w:szCs w:val="24"/>
        </w:rPr>
      </w:pPr>
    </w:p>
    <w:p w14:paraId="2B197F4D" w14:textId="77777777" w:rsidR="00505DEC" w:rsidRDefault="009C3DEA" w:rsidP="00505DEC">
      <w:pPr>
        <w:spacing w:after="240" w:line="240" w:lineRule="auto"/>
        <w:rPr>
          <w:rFonts w:ascii="Times New Roman" w:hAnsi="Times New Roman" w:cs="Times New Roman"/>
          <w:b/>
          <w:sz w:val="24"/>
          <w:szCs w:val="24"/>
        </w:rPr>
      </w:pPr>
      <w:r>
        <w:rPr>
          <w:rFonts w:ascii="Times New Roman" w:hAnsi="Times New Roman" w:cs="Times New Roman"/>
          <w:b/>
          <w:sz w:val="24"/>
          <w:szCs w:val="24"/>
        </w:rPr>
        <w:t>REGULATION IMPACT STATEMENT</w:t>
      </w:r>
    </w:p>
    <w:p w14:paraId="764AE96A" w14:textId="77777777" w:rsidR="00505DEC" w:rsidRDefault="00DF6A19" w:rsidP="00505DEC">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Office of Best Practice Regulation assessed the </w:t>
      </w:r>
      <w:r w:rsidR="00DC55C6">
        <w:rPr>
          <w:rFonts w:ascii="Times New Roman" w:hAnsi="Times New Roman" w:cs="Times New Roman"/>
          <w:sz w:val="24"/>
          <w:szCs w:val="24"/>
        </w:rPr>
        <w:t xml:space="preserve">Regulations </w:t>
      </w:r>
      <w:r>
        <w:rPr>
          <w:rFonts w:ascii="Times New Roman" w:hAnsi="Times New Roman" w:cs="Times New Roman"/>
          <w:sz w:val="24"/>
          <w:szCs w:val="24"/>
        </w:rPr>
        <w:t xml:space="preserve">as having a minor regulatory impact on businesses, community organisations and individuals. As such, a Regulation Impact Statement was not required. </w:t>
      </w:r>
    </w:p>
    <w:p w14:paraId="32F7C3C2" w14:textId="77777777" w:rsidR="00505DEC" w:rsidRDefault="009C3DEA" w:rsidP="00505DEC">
      <w:pPr>
        <w:spacing w:after="240" w:line="240" w:lineRule="auto"/>
        <w:rPr>
          <w:rFonts w:ascii="Times New Roman" w:hAnsi="Times New Roman" w:cs="Times New Roman"/>
          <w:b/>
          <w:sz w:val="24"/>
          <w:szCs w:val="24"/>
        </w:rPr>
      </w:pPr>
      <w:r>
        <w:rPr>
          <w:rFonts w:ascii="Times New Roman" w:hAnsi="Times New Roman" w:cs="Times New Roman"/>
          <w:b/>
          <w:sz w:val="24"/>
          <w:szCs w:val="24"/>
        </w:rPr>
        <w:t>STATEMENT OF COMPATIBILITY WITH HUMAN RIGHTS</w:t>
      </w:r>
    </w:p>
    <w:p w14:paraId="12AF9B95" w14:textId="1FD200FA" w:rsidR="00330374" w:rsidRDefault="00330374" w:rsidP="00505DEC">
      <w:pPr>
        <w:spacing w:after="240" w:line="240" w:lineRule="auto"/>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1FE10DDD" w14:textId="7944EECD" w:rsidR="00330374" w:rsidRPr="00330374" w:rsidRDefault="00330374" w:rsidP="00505DEC">
      <w:pPr>
        <w:spacing w:before="120" w:after="240" w:line="240" w:lineRule="auto"/>
        <w:rPr>
          <w:rFonts w:ascii="Times New Roman" w:hAnsi="Times New Roman"/>
          <w:b/>
          <w:i/>
          <w:sz w:val="24"/>
          <w:szCs w:val="24"/>
        </w:rPr>
      </w:pPr>
      <w:r w:rsidRPr="00F3781C">
        <w:rPr>
          <w:rFonts w:ascii="Times New Roman" w:hAnsi="Times New Roman"/>
          <w:b/>
          <w:i/>
          <w:sz w:val="24"/>
          <w:szCs w:val="24"/>
        </w:rPr>
        <w:t>Electronic Transactions Regulations 2020</w:t>
      </w:r>
    </w:p>
    <w:p w14:paraId="17DD92DB" w14:textId="77777777" w:rsidR="00330374" w:rsidRPr="00904EE3" w:rsidRDefault="00330374" w:rsidP="00505DEC">
      <w:pPr>
        <w:spacing w:before="120" w:after="240" w:line="240" w:lineRule="auto"/>
        <w:rPr>
          <w:rFonts w:ascii="Times New Roman" w:hAnsi="Times New Roman"/>
          <w:sz w:val="24"/>
          <w:szCs w:val="24"/>
        </w:rPr>
      </w:pPr>
      <w:r w:rsidRPr="00904EE3">
        <w:rPr>
          <w:rFonts w:ascii="Times New Roman" w:hAnsi="Times New Roman"/>
          <w:sz w:val="24"/>
          <w:szCs w:val="24"/>
        </w:rPr>
        <w:lastRenderedPageBreak/>
        <w:t xml:space="preserve">This Disallowable Legislative Instrument is compatible with the human rights and freedoms recognised or declared in the international instruments listed in section 3 of the </w:t>
      </w:r>
      <w:r w:rsidRPr="00904EE3">
        <w:rPr>
          <w:rFonts w:ascii="Times New Roman" w:hAnsi="Times New Roman"/>
          <w:i/>
          <w:sz w:val="24"/>
          <w:szCs w:val="24"/>
        </w:rPr>
        <w:t>Human Rights (Parliamentary Scrutiny) Act 2011</w:t>
      </w:r>
      <w:r w:rsidRPr="00904EE3">
        <w:rPr>
          <w:rFonts w:ascii="Times New Roman" w:hAnsi="Times New Roman"/>
          <w:sz w:val="24"/>
          <w:szCs w:val="24"/>
        </w:rPr>
        <w:t>.</w:t>
      </w:r>
    </w:p>
    <w:p w14:paraId="7E6A232B" w14:textId="77777777" w:rsidR="00330374" w:rsidRPr="00904EE3" w:rsidRDefault="00330374" w:rsidP="00330374">
      <w:pPr>
        <w:pStyle w:val="Heading3"/>
      </w:pPr>
      <w:r w:rsidRPr="00904EE3">
        <w:t>Overview of the Disallowable Legislative Instrument</w:t>
      </w:r>
    </w:p>
    <w:p w14:paraId="48D41F4F" w14:textId="3B453440" w:rsidR="00330374" w:rsidRDefault="00330374" w:rsidP="00330374">
      <w:pPr>
        <w:spacing w:beforeLines="120" w:before="288" w:afterLines="120" w:after="288"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The </w:t>
      </w:r>
      <w:r w:rsidRPr="006B2348">
        <w:rPr>
          <w:rFonts w:ascii="Times New Roman" w:hAnsi="Times New Roman" w:cs="Times New Roman"/>
          <w:i/>
          <w:iCs/>
          <w:color w:val="000000"/>
          <w:sz w:val="24"/>
          <w:szCs w:val="24"/>
        </w:rPr>
        <w:t>Electronic Transactions Regulations 2000</w:t>
      </w:r>
      <w:r>
        <w:rPr>
          <w:rFonts w:ascii="Times New Roman" w:hAnsi="Times New Roman" w:cs="Times New Roman"/>
          <w:iCs/>
          <w:color w:val="000000"/>
          <w:sz w:val="24"/>
          <w:szCs w:val="24"/>
        </w:rPr>
        <w:t xml:space="preserve"> sunset on 1 October 2020.  The Disallowable Legislative Instrument remakes the </w:t>
      </w:r>
      <w:r w:rsidR="004311A0" w:rsidRPr="006B2348">
        <w:rPr>
          <w:rFonts w:ascii="Times New Roman" w:hAnsi="Times New Roman" w:cs="Times New Roman"/>
          <w:i/>
          <w:iCs/>
          <w:color w:val="000000"/>
          <w:sz w:val="24"/>
          <w:szCs w:val="24"/>
        </w:rPr>
        <w:t>Electronic Transactions Regulations 2000</w:t>
      </w:r>
      <w:r>
        <w:rPr>
          <w:rFonts w:ascii="Times New Roman" w:hAnsi="Times New Roman" w:cs="Times New Roman"/>
          <w:iCs/>
          <w:color w:val="000000"/>
          <w:sz w:val="24"/>
          <w:szCs w:val="24"/>
        </w:rPr>
        <w:t xml:space="preserve"> with amendments to ensure that </w:t>
      </w:r>
      <w:r w:rsidR="004311A0">
        <w:rPr>
          <w:rFonts w:ascii="Times New Roman" w:hAnsi="Times New Roman" w:cs="Times New Roman"/>
          <w:iCs/>
          <w:color w:val="000000"/>
          <w:sz w:val="24"/>
          <w:szCs w:val="24"/>
        </w:rPr>
        <w:t>they</w:t>
      </w:r>
      <w:r>
        <w:rPr>
          <w:rFonts w:ascii="Times New Roman" w:hAnsi="Times New Roman" w:cs="Times New Roman"/>
          <w:iCs/>
          <w:color w:val="000000"/>
          <w:sz w:val="24"/>
          <w:szCs w:val="24"/>
        </w:rPr>
        <w:t xml:space="preserve"> remain fit for-purpose, necessary and </w:t>
      </w:r>
      <w:r w:rsidR="004311A0">
        <w:rPr>
          <w:rFonts w:ascii="Times New Roman" w:hAnsi="Times New Roman" w:cs="Times New Roman"/>
          <w:iCs/>
          <w:color w:val="000000"/>
          <w:sz w:val="24"/>
          <w:szCs w:val="24"/>
        </w:rPr>
        <w:t xml:space="preserve">are </w:t>
      </w:r>
      <w:r w:rsidR="007250A3">
        <w:rPr>
          <w:rFonts w:ascii="Times New Roman" w:hAnsi="Times New Roman" w:cs="Times New Roman"/>
          <w:iCs/>
          <w:color w:val="000000"/>
          <w:sz w:val="24"/>
          <w:szCs w:val="24"/>
        </w:rPr>
        <w:t xml:space="preserve">in </w:t>
      </w:r>
      <w:r>
        <w:rPr>
          <w:rFonts w:ascii="Times New Roman" w:hAnsi="Times New Roman" w:cs="Times New Roman"/>
          <w:iCs/>
          <w:color w:val="000000"/>
          <w:sz w:val="24"/>
          <w:szCs w:val="24"/>
        </w:rPr>
        <w:t xml:space="preserve">line with current requirements by agencies </w:t>
      </w:r>
      <w:r w:rsidR="004311A0">
        <w:rPr>
          <w:rFonts w:ascii="Times New Roman" w:hAnsi="Times New Roman" w:cs="Times New Roman"/>
          <w:iCs/>
          <w:color w:val="000000"/>
          <w:sz w:val="24"/>
          <w:szCs w:val="24"/>
        </w:rPr>
        <w:t>for provision of</w:t>
      </w:r>
      <w:r>
        <w:rPr>
          <w:rFonts w:ascii="Times New Roman" w:hAnsi="Times New Roman" w:cs="Times New Roman"/>
          <w:iCs/>
          <w:color w:val="000000"/>
          <w:sz w:val="24"/>
          <w:szCs w:val="24"/>
        </w:rPr>
        <w:t xml:space="preserve"> information, documents or signatures in hard copy.  </w:t>
      </w:r>
    </w:p>
    <w:p w14:paraId="0CC1E8C1" w14:textId="6B307924" w:rsidR="00330374" w:rsidRDefault="00330374" w:rsidP="00330374">
      <w:pPr>
        <w:spacing w:beforeLines="120" w:before="288" w:afterLines="120" w:after="288" w:line="240" w:lineRule="auto"/>
        <w:rPr>
          <w:rFonts w:ascii="Times New Roman" w:hAnsi="Times New Roman" w:cs="Times New Roman"/>
          <w:iCs/>
          <w:color w:val="000000"/>
          <w:sz w:val="24"/>
          <w:szCs w:val="24"/>
        </w:rPr>
      </w:pPr>
      <w:r w:rsidRPr="00904EE3">
        <w:rPr>
          <w:rFonts w:ascii="Times New Roman" w:hAnsi="Times New Roman" w:cs="Times New Roman"/>
          <w:iCs/>
          <w:color w:val="000000"/>
          <w:sz w:val="24"/>
          <w:szCs w:val="24"/>
        </w:rPr>
        <w:t xml:space="preserve">The </w:t>
      </w:r>
      <w:r>
        <w:rPr>
          <w:rFonts w:ascii="Times New Roman" w:hAnsi="Times New Roman" w:cs="Times New Roman"/>
          <w:i/>
          <w:iCs/>
          <w:color w:val="000000"/>
          <w:sz w:val="24"/>
          <w:szCs w:val="24"/>
        </w:rPr>
        <w:t xml:space="preserve">Electronic </w:t>
      </w:r>
      <w:r>
        <w:rPr>
          <w:rFonts w:ascii="Times New Roman" w:eastAsia="Times New Roman" w:hAnsi="Times New Roman" w:cs="Times New Roman"/>
          <w:i/>
          <w:color w:val="000000"/>
          <w:sz w:val="24"/>
          <w:szCs w:val="24"/>
          <w:lang w:eastAsia="en-AU"/>
        </w:rPr>
        <w:t xml:space="preserve">Transactions </w:t>
      </w:r>
      <w:r w:rsidRPr="00904EE3">
        <w:rPr>
          <w:rFonts w:ascii="Times New Roman" w:hAnsi="Times New Roman" w:cs="Times New Roman"/>
          <w:i/>
          <w:iCs/>
          <w:color w:val="000000"/>
          <w:sz w:val="24"/>
          <w:szCs w:val="24"/>
        </w:rPr>
        <w:t>Act 1999</w:t>
      </w:r>
      <w:r w:rsidRPr="00904EE3">
        <w:rPr>
          <w:rFonts w:ascii="Times New Roman" w:hAnsi="Times New Roman" w:cs="Times New Roman"/>
          <w:iCs/>
          <w:color w:val="000000"/>
          <w:sz w:val="24"/>
          <w:szCs w:val="24"/>
        </w:rPr>
        <w:t xml:space="preserve"> (the Act) legally validates transactions under Commonwealth law t</w:t>
      </w:r>
      <w:r w:rsidR="00DC55C6">
        <w:rPr>
          <w:rFonts w:ascii="Times New Roman" w:hAnsi="Times New Roman" w:cs="Times New Roman"/>
          <w:iCs/>
          <w:color w:val="000000"/>
          <w:sz w:val="24"/>
          <w:szCs w:val="24"/>
        </w:rPr>
        <w:t>hat</w:t>
      </w:r>
      <w:r w:rsidRPr="00904EE3">
        <w:rPr>
          <w:rFonts w:ascii="Times New Roman" w:hAnsi="Times New Roman" w:cs="Times New Roman"/>
          <w:iCs/>
          <w:color w:val="000000"/>
          <w:sz w:val="24"/>
          <w:szCs w:val="24"/>
        </w:rPr>
        <w:t xml:space="preserve"> take place wholly or partly by means of one or more electronic communication</w:t>
      </w:r>
      <w:r w:rsidR="00DC55C6">
        <w:rPr>
          <w:rFonts w:ascii="Times New Roman" w:hAnsi="Times New Roman" w:cs="Times New Roman"/>
          <w:iCs/>
          <w:color w:val="000000"/>
          <w:sz w:val="24"/>
          <w:szCs w:val="24"/>
        </w:rPr>
        <w:t>s</w:t>
      </w:r>
      <w:r w:rsidRPr="00904EE3">
        <w:rPr>
          <w:rFonts w:ascii="Times New Roman" w:hAnsi="Times New Roman" w:cs="Times New Roman"/>
          <w:iCs/>
          <w:color w:val="000000"/>
          <w:sz w:val="24"/>
          <w:szCs w:val="24"/>
        </w:rPr>
        <w:t xml:space="preserve">. This facilitative framework </w:t>
      </w:r>
      <w:r w:rsidR="00DC55C6">
        <w:rPr>
          <w:rFonts w:ascii="Times New Roman" w:hAnsi="Times New Roman" w:cs="Times New Roman"/>
          <w:iCs/>
          <w:color w:val="000000"/>
          <w:sz w:val="24"/>
          <w:szCs w:val="24"/>
        </w:rPr>
        <w:t xml:space="preserve">provides that requirements </w:t>
      </w:r>
      <w:r w:rsidR="00DC55C6">
        <w:rPr>
          <w:rFonts w:ascii="Times New Roman" w:hAnsi="Times New Roman" w:cs="Times New Roman"/>
          <w:sz w:val="24"/>
          <w:szCs w:val="24"/>
        </w:rPr>
        <w:t>to give information in writing, provide a handwritten signature, produce a document in material form or record or retain information</w:t>
      </w:r>
      <w:r w:rsidR="00DC55C6">
        <w:rPr>
          <w:rFonts w:ascii="Times New Roman" w:hAnsi="Times New Roman" w:cs="Times New Roman"/>
          <w:iCs/>
          <w:color w:val="000000"/>
          <w:sz w:val="24"/>
          <w:szCs w:val="24"/>
        </w:rPr>
        <w:t>, can</w:t>
      </w:r>
      <w:r w:rsidRPr="00904EE3">
        <w:rPr>
          <w:rFonts w:ascii="Times New Roman" w:hAnsi="Times New Roman" w:cs="Times New Roman"/>
          <w:iCs/>
          <w:color w:val="000000"/>
          <w:sz w:val="24"/>
          <w:szCs w:val="24"/>
        </w:rPr>
        <w:t xml:space="preserve"> be met in an electronic form.</w:t>
      </w:r>
      <w:r>
        <w:rPr>
          <w:rFonts w:ascii="Times New Roman" w:hAnsi="Times New Roman" w:cs="Times New Roman"/>
          <w:iCs/>
          <w:color w:val="000000"/>
          <w:sz w:val="24"/>
          <w:szCs w:val="24"/>
        </w:rPr>
        <w:t xml:space="preserve"> The Act applies to all laws of the Commonwealth unless, pursuant to section 7A of the Act, they are specifically exempted by the </w:t>
      </w:r>
      <w:r w:rsidR="00DC55C6">
        <w:rPr>
          <w:rFonts w:ascii="Times New Roman" w:hAnsi="Times New Roman" w:cs="Times New Roman"/>
          <w:iCs/>
          <w:color w:val="000000"/>
          <w:sz w:val="24"/>
          <w:szCs w:val="24"/>
        </w:rPr>
        <w:t>r</w:t>
      </w:r>
      <w:r w:rsidRPr="001A4475">
        <w:rPr>
          <w:rFonts w:ascii="Times New Roman" w:hAnsi="Times New Roman" w:cs="Times New Roman"/>
          <w:iCs/>
          <w:color w:val="000000"/>
          <w:sz w:val="24"/>
          <w:szCs w:val="24"/>
        </w:rPr>
        <w:t>egulations</w:t>
      </w:r>
      <w:r>
        <w:rPr>
          <w:rFonts w:ascii="Times New Roman" w:hAnsi="Times New Roman" w:cs="Times New Roman"/>
          <w:iCs/>
          <w:color w:val="000000"/>
          <w:sz w:val="24"/>
          <w:szCs w:val="24"/>
        </w:rPr>
        <w:t xml:space="preserve"> or are exempted pursuant to section 7B of the Act. </w:t>
      </w:r>
    </w:p>
    <w:p w14:paraId="060AD96E" w14:textId="34B2557F" w:rsidR="00330374" w:rsidRDefault="00330374" w:rsidP="00330374">
      <w:pPr>
        <w:spacing w:beforeLines="120" w:before="288" w:afterLines="120" w:after="288" w:line="240" w:lineRule="auto"/>
        <w:rPr>
          <w:rFonts w:ascii="Times New Roman" w:hAnsi="Times New Roman" w:cs="Times New Roman"/>
          <w:iCs/>
          <w:color w:val="000000"/>
          <w:sz w:val="24"/>
          <w:szCs w:val="24"/>
        </w:rPr>
      </w:pPr>
      <w:r w:rsidRPr="00904EE3">
        <w:rPr>
          <w:rFonts w:ascii="Times New Roman" w:hAnsi="Times New Roman" w:cs="Times New Roman"/>
          <w:iCs/>
          <w:color w:val="000000"/>
          <w:sz w:val="24"/>
          <w:szCs w:val="24"/>
        </w:rPr>
        <w:t>Schedule 1 of the</w:t>
      </w:r>
      <w:r w:rsidR="004311A0" w:rsidRPr="004311A0">
        <w:rPr>
          <w:rFonts w:ascii="Times New Roman" w:hAnsi="Times New Roman" w:cs="Times New Roman"/>
          <w:i/>
          <w:iCs/>
          <w:color w:val="000000"/>
          <w:sz w:val="24"/>
          <w:szCs w:val="24"/>
        </w:rPr>
        <w:t xml:space="preserve"> </w:t>
      </w:r>
      <w:r w:rsidR="004311A0" w:rsidRPr="006B2348">
        <w:rPr>
          <w:rFonts w:ascii="Times New Roman" w:hAnsi="Times New Roman" w:cs="Times New Roman"/>
          <w:i/>
          <w:iCs/>
          <w:color w:val="000000"/>
          <w:sz w:val="24"/>
          <w:szCs w:val="24"/>
        </w:rPr>
        <w:t>Electronic Transactions Regulations 2000</w:t>
      </w:r>
      <w:r w:rsidRPr="00904EE3">
        <w:rPr>
          <w:rFonts w:ascii="Times New Roman" w:hAnsi="Times New Roman" w:cs="Times New Roman"/>
          <w:iCs/>
          <w:color w:val="000000"/>
          <w:sz w:val="24"/>
          <w:szCs w:val="24"/>
        </w:rPr>
        <w:t xml:space="preserve"> contains a list of </w:t>
      </w:r>
      <w:r>
        <w:rPr>
          <w:rFonts w:ascii="Times New Roman" w:hAnsi="Times New Roman" w:cs="Times New Roman"/>
          <w:iCs/>
          <w:color w:val="000000"/>
          <w:sz w:val="24"/>
          <w:szCs w:val="24"/>
        </w:rPr>
        <w:t xml:space="preserve">Commonwealth laws that are exempted from the </w:t>
      </w:r>
      <w:r w:rsidRPr="00904EE3">
        <w:rPr>
          <w:rFonts w:ascii="Times New Roman" w:hAnsi="Times New Roman" w:cs="Times New Roman"/>
          <w:iCs/>
          <w:color w:val="000000"/>
          <w:sz w:val="24"/>
          <w:szCs w:val="24"/>
        </w:rPr>
        <w:t>operation of the Act, or particular provisions of the Act.</w:t>
      </w:r>
      <w:r>
        <w:rPr>
          <w:rFonts w:ascii="Times New Roman" w:hAnsi="Times New Roman" w:cs="Times New Roman"/>
          <w:iCs/>
          <w:color w:val="000000"/>
          <w:sz w:val="24"/>
          <w:szCs w:val="24"/>
        </w:rPr>
        <w:t xml:space="preserve"> These exemptions are necessary to account for circumstances where it is not appropriate to provide information, documents or signatures electronically.  </w:t>
      </w:r>
    </w:p>
    <w:p w14:paraId="694415F8" w14:textId="634E0351" w:rsidR="00330374" w:rsidRDefault="00330374" w:rsidP="00330374">
      <w:pPr>
        <w:spacing w:beforeLines="120" w:before="288" w:afterLines="120" w:after="288" w:line="240" w:lineRule="auto"/>
        <w:rPr>
          <w:rFonts w:ascii="Times New Roman" w:eastAsia="Times New Roman" w:hAnsi="Times New Roman" w:cs="Times New Roman"/>
          <w:color w:val="000000"/>
          <w:sz w:val="24"/>
          <w:szCs w:val="24"/>
          <w:lang w:eastAsia="en-AU"/>
        </w:rPr>
      </w:pPr>
      <w:r w:rsidRPr="00904EE3">
        <w:rPr>
          <w:rFonts w:ascii="Times New Roman" w:hAnsi="Times New Roman"/>
          <w:sz w:val="24"/>
          <w:szCs w:val="24"/>
        </w:rPr>
        <w:t xml:space="preserve">The </w:t>
      </w:r>
      <w:r w:rsidRPr="00904EE3">
        <w:rPr>
          <w:rFonts w:ascii="Times New Roman" w:eastAsia="Times New Roman" w:hAnsi="Times New Roman" w:cs="Times New Roman"/>
          <w:color w:val="000000"/>
          <w:sz w:val="24"/>
          <w:szCs w:val="24"/>
          <w:lang w:eastAsia="en-AU"/>
        </w:rPr>
        <w:t xml:space="preserve">purpose of the </w:t>
      </w:r>
      <w:r w:rsidRPr="00904EE3">
        <w:rPr>
          <w:rFonts w:ascii="Times New Roman" w:eastAsia="Times New Roman" w:hAnsi="Times New Roman" w:cs="Times New Roman"/>
          <w:i/>
          <w:color w:val="000000"/>
          <w:sz w:val="24"/>
          <w:szCs w:val="24"/>
          <w:lang w:eastAsia="en-AU"/>
        </w:rPr>
        <w:t xml:space="preserve">Electronic Transactions </w:t>
      </w:r>
      <w:r w:rsidRPr="00B11C0B">
        <w:rPr>
          <w:rFonts w:ascii="Times New Roman" w:eastAsia="Times New Roman" w:hAnsi="Times New Roman" w:cs="Times New Roman"/>
          <w:i/>
          <w:color w:val="000000"/>
          <w:sz w:val="24"/>
          <w:szCs w:val="24"/>
          <w:lang w:eastAsia="en-AU"/>
        </w:rPr>
        <w:t xml:space="preserve">Regulations 2020 </w:t>
      </w:r>
      <w:r w:rsidRPr="00904EE3">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the Regulations) is to</w:t>
      </w:r>
      <w:r w:rsidRPr="00B11C0B">
        <w:rPr>
          <w:rFonts w:ascii="Times New Roman" w:eastAsia="Times New Roman" w:hAnsi="Times New Roman" w:cs="Times New Roman"/>
          <w:color w:val="000000"/>
          <w:sz w:val="24"/>
          <w:szCs w:val="24"/>
          <w:lang w:eastAsia="en-AU"/>
        </w:rPr>
        <w:t xml:space="preserve"> ensure that the exemptions to the operation of the Act remain relevant in light of current and emerging digital channels and consumer preferences. The exemptions are regularly reviewed to reflect evolving business practices and consumer behaviours.</w:t>
      </w:r>
      <w:r>
        <w:rPr>
          <w:rFonts w:ascii="Times New Roman" w:eastAsia="Times New Roman" w:hAnsi="Times New Roman" w:cs="Times New Roman"/>
          <w:color w:val="000000"/>
          <w:sz w:val="24"/>
          <w:szCs w:val="24"/>
          <w:lang w:eastAsia="en-AU"/>
        </w:rPr>
        <w:t xml:space="preserve"> </w:t>
      </w:r>
    </w:p>
    <w:p w14:paraId="740BB018" w14:textId="3E0F059B" w:rsidR="00330374" w:rsidRDefault="00330374" w:rsidP="00330374">
      <w:pPr>
        <w:spacing w:beforeLines="120" w:before="288" w:afterLines="120" w:after="288"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In addition, the Regulations also make minor technical amendments and </w:t>
      </w:r>
      <w:r w:rsidR="004311A0">
        <w:rPr>
          <w:rFonts w:ascii="Times New Roman" w:eastAsia="Times New Roman" w:hAnsi="Times New Roman" w:cs="Times New Roman"/>
          <w:color w:val="000000"/>
          <w:sz w:val="24"/>
          <w:szCs w:val="24"/>
          <w:lang w:eastAsia="en-AU"/>
        </w:rPr>
        <w:t>remove exemptions</w:t>
      </w:r>
      <w:r>
        <w:rPr>
          <w:rFonts w:ascii="Times New Roman" w:eastAsia="Times New Roman" w:hAnsi="Times New Roman" w:cs="Times New Roman"/>
          <w:color w:val="000000"/>
          <w:sz w:val="24"/>
          <w:szCs w:val="24"/>
          <w:lang w:eastAsia="en-AU"/>
        </w:rPr>
        <w:t xml:space="preserve"> </w:t>
      </w:r>
      <w:r w:rsidR="004311A0">
        <w:rPr>
          <w:rFonts w:ascii="Times New Roman" w:eastAsia="Times New Roman" w:hAnsi="Times New Roman" w:cs="Times New Roman"/>
          <w:color w:val="000000"/>
          <w:sz w:val="24"/>
          <w:szCs w:val="24"/>
          <w:lang w:eastAsia="en-AU"/>
        </w:rPr>
        <w:t xml:space="preserve">in the </w:t>
      </w:r>
      <w:r w:rsidR="004311A0" w:rsidRPr="006B2348">
        <w:rPr>
          <w:rFonts w:ascii="Times New Roman" w:hAnsi="Times New Roman" w:cs="Times New Roman"/>
          <w:i/>
          <w:iCs/>
          <w:color w:val="000000"/>
          <w:sz w:val="24"/>
          <w:szCs w:val="24"/>
        </w:rPr>
        <w:t>Electronic Transactions Regulations 2000</w:t>
      </w:r>
      <w:r w:rsidR="004311A0">
        <w:rPr>
          <w:rFonts w:ascii="Times New Roman" w:hAnsi="Times New Roman" w:cs="Times New Roman"/>
          <w:i/>
          <w:iCs/>
          <w:color w:val="000000"/>
          <w:sz w:val="24"/>
          <w:szCs w:val="24"/>
        </w:rPr>
        <w:t xml:space="preserve"> </w:t>
      </w:r>
      <w:r w:rsidR="004311A0">
        <w:rPr>
          <w:rFonts w:ascii="Times New Roman" w:eastAsia="Times New Roman" w:hAnsi="Times New Roman" w:cs="Times New Roman"/>
          <w:color w:val="000000"/>
          <w:sz w:val="24"/>
          <w:szCs w:val="24"/>
          <w:lang w:eastAsia="en-AU"/>
        </w:rPr>
        <w:t>for</w:t>
      </w:r>
      <w:r>
        <w:rPr>
          <w:rFonts w:ascii="Times New Roman" w:eastAsia="Times New Roman" w:hAnsi="Times New Roman" w:cs="Times New Roman"/>
          <w:color w:val="000000"/>
          <w:sz w:val="24"/>
          <w:szCs w:val="24"/>
          <w:lang w:eastAsia="en-AU"/>
        </w:rPr>
        <w:t xml:space="preserve"> legislation that </w:t>
      </w:r>
      <w:r w:rsidR="004311A0">
        <w:rPr>
          <w:rFonts w:ascii="Times New Roman" w:eastAsia="Times New Roman" w:hAnsi="Times New Roman" w:cs="Times New Roman"/>
          <w:color w:val="000000"/>
          <w:sz w:val="24"/>
          <w:szCs w:val="24"/>
          <w:lang w:eastAsia="en-AU"/>
        </w:rPr>
        <w:t xml:space="preserve">is </w:t>
      </w:r>
      <w:r>
        <w:rPr>
          <w:rFonts w:ascii="Times New Roman" w:eastAsia="Times New Roman" w:hAnsi="Times New Roman" w:cs="Times New Roman"/>
          <w:color w:val="000000"/>
          <w:sz w:val="24"/>
          <w:szCs w:val="24"/>
          <w:lang w:eastAsia="en-AU"/>
        </w:rPr>
        <w:t xml:space="preserve">no longer in force. </w:t>
      </w:r>
    </w:p>
    <w:p w14:paraId="37CFB54A" w14:textId="77777777" w:rsidR="00330374" w:rsidRPr="00904EE3" w:rsidRDefault="00330374" w:rsidP="00330374">
      <w:pPr>
        <w:pStyle w:val="Heading3"/>
      </w:pPr>
      <w:r w:rsidRPr="00904EE3">
        <w:lastRenderedPageBreak/>
        <w:t>Human rights implications</w:t>
      </w:r>
    </w:p>
    <w:p w14:paraId="366ABC10" w14:textId="0D0B707E" w:rsidR="00330374" w:rsidRPr="00904EE3" w:rsidRDefault="00330374" w:rsidP="00330374">
      <w:pPr>
        <w:spacing w:beforeLines="120" w:before="288" w:afterLines="120" w:after="288" w:line="240" w:lineRule="auto"/>
        <w:rPr>
          <w:rFonts w:ascii="Times New Roman" w:hAnsi="Times New Roman"/>
          <w:sz w:val="24"/>
          <w:szCs w:val="24"/>
        </w:rPr>
      </w:pPr>
      <w:r w:rsidRPr="00904EE3">
        <w:rPr>
          <w:rFonts w:ascii="Times New Roman" w:hAnsi="Times New Roman"/>
          <w:sz w:val="24"/>
          <w:szCs w:val="24"/>
        </w:rPr>
        <w:t xml:space="preserve">This Disallowable Legislative Instrument does not engage any of the applicable rights or freedoms. </w:t>
      </w:r>
      <w:r w:rsidRPr="00904EE3">
        <w:rPr>
          <w:rFonts w:ascii="Times New Roman" w:hAnsi="Times New Roman" w:cs="Times New Roman"/>
          <w:sz w:val="24"/>
          <w:szCs w:val="24"/>
        </w:rPr>
        <w:t xml:space="preserve">The Regulations </w:t>
      </w:r>
      <w:r w:rsidR="002234EF">
        <w:rPr>
          <w:rFonts w:ascii="Times New Roman" w:hAnsi="Times New Roman" w:cs="Times New Roman"/>
          <w:sz w:val="24"/>
          <w:szCs w:val="24"/>
        </w:rPr>
        <w:t>do</w:t>
      </w:r>
      <w:r w:rsidRPr="00904EE3">
        <w:rPr>
          <w:rFonts w:ascii="Times New Roman" w:hAnsi="Times New Roman" w:cs="Times New Roman"/>
          <w:sz w:val="24"/>
          <w:szCs w:val="24"/>
        </w:rPr>
        <w:t xml:space="preserve"> not raise human rights issues as the amendments </w:t>
      </w:r>
      <w:r>
        <w:rPr>
          <w:rFonts w:ascii="Times New Roman" w:hAnsi="Times New Roman" w:cs="Times New Roman"/>
          <w:sz w:val="24"/>
          <w:szCs w:val="24"/>
        </w:rPr>
        <w:t xml:space="preserve">will reduce regulatory impact as far as practicable </w:t>
      </w:r>
      <w:r w:rsidRPr="00904EE3">
        <w:rPr>
          <w:rFonts w:ascii="Times New Roman" w:hAnsi="Times New Roman" w:cs="Times New Roman"/>
          <w:sz w:val="24"/>
          <w:szCs w:val="24"/>
        </w:rPr>
        <w:t xml:space="preserve">and </w:t>
      </w:r>
      <w:r>
        <w:rPr>
          <w:rFonts w:ascii="Times New Roman" w:hAnsi="Times New Roman" w:cs="Times New Roman"/>
          <w:sz w:val="24"/>
          <w:szCs w:val="24"/>
        </w:rPr>
        <w:t xml:space="preserve">increase the certainty and availability of </w:t>
      </w:r>
      <w:r w:rsidRPr="00904EE3">
        <w:rPr>
          <w:rFonts w:ascii="Times New Roman" w:hAnsi="Times New Roman" w:cs="Times New Roman"/>
          <w:sz w:val="24"/>
          <w:szCs w:val="24"/>
        </w:rPr>
        <w:t xml:space="preserve">electronic </w:t>
      </w:r>
      <w:r>
        <w:rPr>
          <w:rFonts w:ascii="Times New Roman" w:hAnsi="Times New Roman" w:cs="Times New Roman"/>
          <w:sz w:val="24"/>
          <w:szCs w:val="24"/>
        </w:rPr>
        <w:t>transactions</w:t>
      </w:r>
      <w:r w:rsidRPr="00904EE3">
        <w:rPr>
          <w:rFonts w:ascii="Times New Roman" w:hAnsi="Times New Roman" w:cs="Times New Roman"/>
          <w:sz w:val="24"/>
          <w:szCs w:val="24"/>
        </w:rPr>
        <w:t xml:space="preserve">. </w:t>
      </w:r>
    </w:p>
    <w:p w14:paraId="37BD8608" w14:textId="54DC3AE5" w:rsidR="00330374" w:rsidRPr="00904EE3" w:rsidRDefault="00DC55C6" w:rsidP="00330374">
      <w:pPr>
        <w:spacing w:beforeLines="120" w:before="288" w:afterLines="120" w:after="288"/>
        <w:rPr>
          <w:rFonts w:ascii="Times New Roman" w:hAnsi="Times New Roman" w:cs="Times New Roman"/>
          <w:sz w:val="24"/>
          <w:szCs w:val="24"/>
        </w:rPr>
      </w:pPr>
      <w:r w:rsidRPr="00904EE3">
        <w:rPr>
          <w:rFonts w:ascii="Times New Roman" w:hAnsi="Times New Roman" w:cs="Times New Roman"/>
          <w:iCs/>
          <w:color w:val="000000"/>
          <w:sz w:val="24"/>
          <w:szCs w:val="24"/>
        </w:rPr>
        <w:t>Re</w:t>
      </w:r>
      <w:r>
        <w:rPr>
          <w:rFonts w:ascii="Times New Roman" w:hAnsi="Times New Roman" w:cs="Times New Roman"/>
          <w:iCs/>
          <w:color w:val="000000"/>
          <w:sz w:val="24"/>
          <w:szCs w:val="24"/>
        </w:rPr>
        <w:t>moving</w:t>
      </w:r>
      <w:r w:rsidRPr="00904EE3">
        <w:rPr>
          <w:rFonts w:ascii="Times New Roman" w:hAnsi="Times New Roman" w:cs="Times New Roman"/>
          <w:iCs/>
          <w:color w:val="000000"/>
          <w:sz w:val="24"/>
          <w:szCs w:val="24"/>
        </w:rPr>
        <w:t xml:space="preserve"> </w:t>
      </w:r>
      <w:r w:rsidR="00330374" w:rsidRPr="00904EE3">
        <w:rPr>
          <w:rFonts w:ascii="Times New Roman" w:hAnsi="Times New Roman" w:cs="Times New Roman"/>
          <w:iCs/>
          <w:color w:val="000000"/>
          <w:sz w:val="24"/>
          <w:szCs w:val="24"/>
        </w:rPr>
        <w:t>the ex</w:t>
      </w:r>
      <w:r w:rsidR="00330374">
        <w:rPr>
          <w:rFonts w:ascii="Times New Roman" w:hAnsi="Times New Roman" w:cs="Times New Roman"/>
          <w:iCs/>
          <w:color w:val="000000"/>
          <w:sz w:val="24"/>
          <w:szCs w:val="24"/>
        </w:rPr>
        <w:t>emptions</w:t>
      </w:r>
      <w:r w:rsidR="00330374" w:rsidRPr="00904EE3">
        <w:rPr>
          <w:rFonts w:ascii="Times New Roman" w:hAnsi="Times New Roman" w:cs="Times New Roman"/>
          <w:iCs/>
          <w:color w:val="000000"/>
          <w:sz w:val="24"/>
          <w:szCs w:val="24"/>
        </w:rPr>
        <w:t xml:space="preserve"> </w:t>
      </w:r>
      <w:r w:rsidR="004311A0">
        <w:rPr>
          <w:rFonts w:ascii="Times New Roman" w:hAnsi="Times New Roman" w:cs="Times New Roman"/>
          <w:iCs/>
          <w:color w:val="000000"/>
          <w:sz w:val="24"/>
          <w:szCs w:val="24"/>
        </w:rPr>
        <w:t>from the operation of the Act for</w:t>
      </w:r>
      <w:r w:rsidR="00330374" w:rsidRPr="00904EE3">
        <w:rPr>
          <w:rFonts w:ascii="Times New Roman" w:hAnsi="Times New Roman" w:cs="Times New Roman"/>
          <w:iCs/>
          <w:color w:val="000000"/>
          <w:sz w:val="24"/>
          <w:szCs w:val="24"/>
        </w:rPr>
        <w:t xml:space="preserve"> particular provisions of Commonwealth law enables, but does not compel or mandate, the use of electronic communications by business and individuals in their dealings with government.  </w:t>
      </w:r>
      <w:r>
        <w:rPr>
          <w:rFonts w:ascii="Times New Roman" w:hAnsi="Times New Roman" w:cs="Times New Roman"/>
          <w:iCs/>
          <w:color w:val="000000"/>
          <w:sz w:val="24"/>
          <w:szCs w:val="24"/>
        </w:rPr>
        <w:t>Removing exemptions</w:t>
      </w:r>
      <w:r w:rsidR="00330374" w:rsidRPr="00904EE3">
        <w:rPr>
          <w:rFonts w:ascii="Times New Roman" w:hAnsi="Times New Roman" w:cs="Times New Roman"/>
          <w:iCs/>
          <w:color w:val="000000"/>
          <w:sz w:val="24"/>
          <w:szCs w:val="24"/>
        </w:rPr>
        <w:t xml:space="preserve"> merely allow</w:t>
      </w:r>
      <w:r>
        <w:rPr>
          <w:rFonts w:ascii="Times New Roman" w:hAnsi="Times New Roman" w:cs="Times New Roman"/>
          <w:iCs/>
          <w:color w:val="000000"/>
          <w:sz w:val="24"/>
          <w:szCs w:val="24"/>
        </w:rPr>
        <w:t>s</w:t>
      </w:r>
      <w:r w:rsidR="00330374" w:rsidRPr="00904EE3">
        <w:rPr>
          <w:rFonts w:ascii="Times New Roman" w:hAnsi="Times New Roman" w:cs="Times New Roman"/>
          <w:iCs/>
          <w:color w:val="000000"/>
          <w:sz w:val="24"/>
          <w:szCs w:val="24"/>
        </w:rPr>
        <w:t xml:space="preserve"> for a requirement or permission to provide information in writing under a law of the Commonwealth to be fulfilled in electronic form, in addition</w:t>
      </w:r>
      <w:r w:rsidR="00330374" w:rsidRPr="00904EE3">
        <w:rPr>
          <w:rFonts w:ascii="Times New Roman" w:hAnsi="Times New Roman" w:cs="Times New Roman"/>
          <w:i/>
          <w:iCs/>
          <w:color w:val="000000"/>
          <w:sz w:val="24"/>
          <w:szCs w:val="24"/>
        </w:rPr>
        <w:t xml:space="preserve"> </w:t>
      </w:r>
      <w:r w:rsidR="00330374" w:rsidRPr="00904EE3">
        <w:rPr>
          <w:rFonts w:ascii="Times New Roman" w:hAnsi="Times New Roman" w:cs="Times New Roman"/>
          <w:iCs/>
          <w:color w:val="000000"/>
          <w:sz w:val="24"/>
          <w:szCs w:val="24"/>
        </w:rPr>
        <w:t xml:space="preserve">to written paper form.  </w:t>
      </w:r>
      <w:r w:rsidR="00330374" w:rsidRPr="00904EE3">
        <w:rPr>
          <w:rFonts w:ascii="Times New Roman" w:hAnsi="Times New Roman" w:cs="Times New Roman"/>
          <w:sz w:val="24"/>
          <w:szCs w:val="24"/>
        </w:rPr>
        <w:t xml:space="preserve"> </w:t>
      </w:r>
    </w:p>
    <w:p w14:paraId="7CCBC109" w14:textId="77777777" w:rsidR="00330374" w:rsidRPr="00904EE3" w:rsidRDefault="00330374" w:rsidP="00330374">
      <w:pPr>
        <w:pStyle w:val="Heading3"/>
      </w:pPr>
      <w:r w:rsidRPr="00904EE3">
        <w:t>Conclusion</w:t>
      </w:r>
    </w:p>
    <w:p w14:paraId="2FB97832" w14:textId="77777777" w:rsidR="00330374" w:rsidRPr="00904EE3" w:rsidRDefault="00330374" w:rsidP="00330374">
      <w:pPr>
        <w:spacing w:before="120" w:after="120" w:line="240" w:lineRule="auto"/>
        <w:rPr>
          <w:rFonts w:ascii="Times New Roman" w:hAnsi="Times New Roman"/>
          <w:sz w:val="24"/>
          <w:szCs w:val="24"/>
        </w:rPr>
      </w:pPr>
      <w:r w:rsidRPr="00904EE3">
        <w:rPr>
          <w:rFonts w:ascii="Times New Roman" w:hAnsi="Times New Roman"/>
          <w:sz w:val="24"/>
          <w:szCs w:val="24"/>
        </w:rPr>
        <w:t>This Disallowable Legislative Instrument is compatible with human rights as it does not raise any human rights issues.</w:t>
      </w:r>
    </w:p>
    <w:p w14:paraId="355EFE5E" w14:textId="77777777" w:rsidR="00330374" w:rsidRDefault="00330374" w:rsidP="00703DBF">
      <w:pPr>
        <w:spacing w:line="240" w:lineRule="auto"/>
        <w:rPr>
          <w:rFonts w:ascii="Times New Roman" w:hAnsi="Times New Roman" w:cs="Times New Roman"/>
          <w:sz w:val="24"/>
          <w:szCs w:val="24"/>
        </w:rPr>
      </w:pPr>
    </w:p>
    <w:p w14:paraId="2463FE36" w14:textId="2E798AFD" w:rsidR="00330374" w:rsidRDefault="00330374" w:rsidP="00703DBF">
      <w:pPr>
        <w:spacing w:line="240" w:lineRule="auto"/>
        <w:rPr>
          <w:rFonts w:ascii="Times New Roman" w:hAnsi="Times New Roman" w:cs="Times New Roman"/>
          <w:sz w:val="24"/>
          <w:szCs w:val="24"/>
        </w:rPr>
      </w:pPr>
    </w:p>
    <w:p w14:paraId="70EABED1" w14:textId="0D866C4F" w:rsidR="00330374" w:rsidRDefault="00330374" w:rsidP="00703DBF">
      <w:pPr>
        <w:spacing w:line="240" w:lineRule="auto"/>
        <w:rPr>
          <w:rFonts w:ascii="Times New Roman" w:hAnsi="Times New Roman" w:cs="Times New Roman"/>
          <w:sz w:val="24"/>
          <w:szCs w:val="24"/>
        </w:rPr>
      </w:pPr>
    </w:p>
    <w:p w14:paraId="78A747F1" w14:textId="77777777" w:rsidR="00330374" w:rsidRDefault="00330374" w:rsidP="00703DBF">
      <w:pPr>
        <w:spacing w:line="240" w:lineRule="auto"/>
        <w:rPr>
          <w:rFonts w:ascii="Times New Roman" w:hAnsi="Times New Roman" w:cs="Times New Roman"/>
          <w:sz w:val="24"/>
          <w:szCs w:val="24"/>
        </w:rPr>
      </w:pPr>
    </w:p>
    <w:p w14:paraId="447FD7AB" w14:textId="77777777" w:rsidR="00330374" w:rsidRDefault="00330374" w:rsidP="00703DBF">
      <w:pPr>
        <w:spacing w:line="240" w:lineRule="auto"/>
        <w:rPr>
          <w:rFonts w:ascii="Times New Roman" w:hAnsi="Times New Roman" w:cs="Times New Roman"/>
          <w:sz w:val="24"/>
          <w:szCs w:val="24"/>
        </w:rPr>
      </w:pPr>
    </w:p>
    <w:p w14:paraId="7781A358" w14:textId="77777777" w:rsidR="00330374" w:rsidRDefault="00330374" w:rsidP="00703DBF">
      <w:pPr>
        <w:spacing w:line="240" w:lineRule="auto"/>
        <w:rPr>
          <w:rFonts w:ascii="Times New Roman" w:hAnsi="Times New Roman" w:cs="Times New Roman"/>
          <w:sz w:val="24"/>
          <w:szCs w:val="24"/>
        </w:rPr>
      </w:pPr>
    </w:p>
    <w:p w14:paraId="3EADCB9F" w14:textId="77777777" w:rsidR="00EE4E57" w:rsidRDefault="00EE4E5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A961918" w14:textId="3144FD15" w:rsidR="009865FC" w:rsidRPr="009865FC" w:rsidRDefault="009865FC" w:rsidP="009865FC">
      <w:pPr>
        <w:spacing w:line="240" w:lineRule="auto"/>
        <w:jc w:val="right"/>
        <w:rPr>
          <w:rFonts w:ascii="Times New Roman" w:hAnsi="Times New Roman" w:cs="Times New Roman"/>
          <w:b/>
          <w:sz w:val="24"/>
          <w:szCs w:val="24"/>
          <w:u w:val="single"/>
        </w:rPr>
      </w:pPr>
      <w:r w:rsidRPr="009865FC">
        <w:rPr>
          <w:rFonts w:ascii="Times New Roman" w:hAnsi="Times New Roman" w:cs="Times New Roman"/>
          <w:b/>
          <w:sz w:val="24"/>
          <w:szCs w:val="24"/>
          <w:u w:val="single"/>
        </w:rPr>
        <w:lastRenderedPageBreak/>
        <w:t xml:space="preserve">ATTACHMENT </w:t>
      </w:r>
      <w:r w:rsidR="00330374">
        <w:rPr>
          <w:rFonts w:ascii="Times New Roman" w:hAnsi="Times New Roman" w:cs="Times New Roman"/>
          <w:b/>
          <w:sz w:val="24"/>
          <w:szCs w:val="24"/>
          <w:u w:val="single"/>
        </w:rPr>
        <w:t>A</w:t>
      </w:r>
    </w:p>
    <w:p w14:paraId="56D51BF3" w14:textId="77777777" w:rsidR="009865FC" w:rsidRDefault="009865FC" w:rsidP="00703DBF">
      <w:pPr>
        <w:spacing w:line="240" w:lineRule="auto"/>
        <w:rPr>
          <w:rFonts w:ascii="Times New Roman" w:hAnsi="Times New Roman" w:cs="Times New Roman"/>
          <w:b/>
          <w:sz w:val="24"/>
          <w:szCs w:val="24"/>
        </w:rPr>
      </w:pPr>
    </w:p>
    <w:p w14:paraId="717F5D7C" w14:textId="77777777" w:rsidR="00706F1F" w:rsidRDefault="009C3DEA" w:rsidP="00703DBF">
      <w:pPr>
        <w:spacing w:line="240" w:lineRule="auto"/>
        <w:rPr>
          <w:rFonts w:ascii="Times New Roman" w:hAnsi="Times New Roman" w:cs="Times New Roman"/>
          <w:b/>
          <w:sz w:val="24"/>
          <w:szCs w:val="24"/>
        </w:rPr>
      </w:pPr>
      <w:r>
        <w:rPr>
          <w:rFonts w:ascii="Times New Roman" w:hAnsi="Times New Roman" w:cs="Times New Roman"/>
          <w:b/>
          <w:sz w:val="24"/>
          <w:szCs w:val="24"/>
        </w:rPr>
        <w:t>Section 1- Name</w:t>
      </w:r>
    </w:p>
    <w:p w14:paraId="3E32618C" w14:textId="77777777" w:rsidR="009C3DEA" w:rsidRPr="00706F1F" w:rsidRDefault="00706F1F" w:rsidP="00703DBF">
      <w:pPr>
        <w:spacing w:line="240" w:lineRule="auto"/>
        <w:rPr>
          <w:rFonts w:ascii="Times New Roman" w:hAnsi="Times New Roman" w:cs="Times New Roman"/>
          <w:sz w:val="24"/>
          <w:szCs w:val="24"/>
        </w:rPr>
      </w:pPr>
      <w:r>
        <w:rPr>
          <w:rFonts w:ascii="Times New Roman" w:hAnsi="Times New Roman" w:cs="Times New Roman"/>
          <w:sz w:val="24"/>
          <w:szCs w:val="24"/>
        </w:rPr>
        <w:t xml:space="preserve">Section 1 provides that the title of the instrument is the </w:t>
      </w:r>
      <w:r>
        <w:rPr>
          <w:rFonts w:ascii="Times New Roman" w:hAnsi="Times New Roman" w:cs="Times New Roman"/>
          <w:i/>
          <w:sz w:val="24"/>
          <w:szCs w:val="24"/>
        </w:rPr>
        <w:t>Electronic Transactions Regulations 2020</w:t>
      </w:r>
      <w:r>
        <w:rPr>
          <w:rFonts w:ascii="Times New Roman" w:hAnsi="Times New Roman" w:cs="Times New Roman"/>
          <w:sz w:val="24"/>
          <w:szCs w:val="24"/>
        </w:rPr>
        <w:t xml:space="preserve">. </w:t>
      </w:r>
      <w:r>
        <w:rPr>
          <w:rFonts w:ascii="Times New Roman" w:hAnsi="Times New Roman" w:cs="Times New Roman"/>
          <w:sz w:val="24"/>
          <w:szCs w:val="24"/>
        </w:rPr>
        <w:br/>
      </w:r>
    </w:p>
    <w:p w14:paraId="2DD5094F" w14:textId="77777777" w:rsidR="00706F1F" w:rsidRDefault="009C3DEA" w:rsidP="00703DB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Section 2 – Commencement </w:t>
      </w:r>
    </w:p>
    <w:p w14:paraId="60D2E02F" w14:textId="77777777" w:rsidR="009C3DEA" w:rsidRDefault="00706F1F" w:rsidP="00703DBF">
      <w:pPr>
        <w:spacing w:line="240" w:lineRule="auto"/>
        <w:rPr>
          <w:rFonts w:ascii="Times New Roman" w:hAnsi="Times New Roman" w:cs="Times New Roman"/>
          <w:b/>
          <w:sz w:val="24"/>
          <w:szCs w:val="24"/>
        </w:rPr>
      </w:pPr>
      <w:r>
        <w:rPr>
          <w:rFonts w:ascii="Times New Roman" w:hAnsi="Times New Roman" w:cs="Times New Roman"/>
          <w:sz w:val="24"/>
          <w:szCs w:val="24"/>
        </w:rPr>
        <w:t xml:space="preserve">This section provides that the Regulations will commence on the day after it is registered on the Federal Register of Legislation. </w:t>
      </w:r>
      <w:r w:rsidR="00703DBF">
        <w:rPr>
          <w:rFonts w:ascii="Times New Roman" w:hAnsi="Times New Roman" w:cs="Times New Roman"/>
          <w:b/>
          <w:sz w:val="24"/>
          <w:szCs w:val="24"/>
        </w:rPr>
        <w:br/>
      </w:r>
    </w:p>
    <w:p w14:paraId="14EF45AA" w14:textId="77777777" w:rsidR="009C3DEA" w:rsidRDefault="009C3DEA" w:rsidP="00703DB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Section 3 – Authority </w:t>
      </w:r>
    </w:p>
    <w:p w14:paraId="36E88D82" w14:textId="67B25B1B" w:rsidR="009F78DC" w:rsidRDefault="00706F1F" w:rsidP="00703DBF">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section provides that the Regulations are made under the </w:t>
      </w:r>
      <w:r w:rsidRPr="00706F1F">
        <w:rPr>
          <w:rFonts w:ascii="Times New Roman" w:hAnsi="Times New Roman" w:cs="Times New Roman"/>
          <w:i/>
          <w:sz w:val="24"/>
          <w:szCs w:val="24"/>
        </w:rPr>
        <w:t>Electronic Transactions Act 1999.</w:t>
      </w:r>
      <w:r>
        <w:rPr>
          <w:rFonts w:ascii="Times New Roman" w:hAnsi="Times New Roman" w:cs="Times New Roman"/>
          <w:sz w:val="24"/>
          <w:szCs w:val="24"/>
        </w:rPr>
        <w:t xml:space="preserve"> </w:t>
      </w:r>
    </w:p>
    <w:p w14:paraId="6D3BDCFA" w14:textId="77777777" w:rsidR="00031F21" w:rsidRDefault="00031F21" w:rsidP="00703DBF">
      <w:pPr>
        <w:spacing w:line="240" w:lineRule="auto"/>
        <w:rPr>
          <w:rFonts w:ascii="Times New Roman" w:hAnsi="Times New Roman" w:cs="Times New Roman"/>
          <w:b/>
          <w:sz w:val="24"/>
          <w:szCs w:val="24"/>
        </w:rPr>
      </w:pPr>
    </w:p>
    <w:p w14:paraId="5CB6ADB5" w14:textId="405DFB17" w:rsidR="00031F21" w:rsidRDefault="009C3DEA" w:rsidP="00703DB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Section 4 – Schedules </w:t>
      </w:r>
    </w:p>
    <w:p w14:paraId="0A8536B5" w14:textId="77777777" w:rsidR="009C3DEA" w:rsidRDefault="003F7E31" w:rsidP="00703DBF">
      <w:pPr>
        <w:spacing w:line="240" w:lineRule="auto"/>
        <w:rPr>
          <w:rFonts w:ascii="Times New Roman" w:hAnsi="Times New Roman" w:cs="Times New Roman"/>
          <w:b/>
          <w:sz w:val="24"/>
          <w:szCs w:val="24"/>
        </w:rPr>
      </w:pPr>
      <w:r>
        <w:rPr>
          <w:rFonts w:ascii="Times New Roman" w:hAnsi="Times New Roman" w:cs="Times New Roman"/>
          <w:sz w:val="24"/>
          <w:szCs w:val="24"/>
        </w:rPr>
        <w:t xml:space="preserve">This section outlines that the item specified in Schedule 2 will be amended or repealed as set out in the Schedule. </w:t>
      </w:r>
      <w:r w:rsidR="00703DBF">
        <w:rPr>
          <w:rFonts w:ascii="Times New Roman" w:hAnsi="Times New Roman" w:cs="Times New Roman"/>
          <w:b/>
          <w:sz w:val="24"/>
          <w:szCs w:val="24"/>
        </w:rPr>
        <w:br/>
      </w:r>
    </w:p>
    <w:p w14:paraId="339064A5" w14:textId="77777777" w:rsidR="003F7E31" w:rsidRDefault="009C3DEA" w:rsidP="00703DBF">
      <w:pPr>
        <w:spacing w:line="240" w:lineRule="auto"/>
        <w:rPr>
          <w:rFonts w:ascii="Times New Roman" w:hAnsi="Times New Roman" w:cs="Times New Roman"/>
          <w:b/>
          <w:sz w:val="24"/>
          <w:szCs w:val="24"/>
        </w:rPr>
      </w:pPr>
      <w:r>
        <w:rPr>
          <w:rFonts w:ascii="Times New Roman" w:hAnsi="Times New Roman" w:cs="Times New Roman"/>
          <w:b/>
          <w:sz w:val="24"/>
          <w:szCs w:val="24"/>
        </w:rPr>
        <w:t>Section 5 – Definitions</w:t>
      </w:r>
    </w:p>
    <w:p w14:paraId="39A58591" w14:textId="301BEF2C" w:rsidR="009C3DEA" w:rsidRPr="00706F1F" w:rsidRDefault="00F12A4F" w:rsidP="00703DBF">
      <w:pPr>
        <w:spacing w:line="240" w:lineRule="auto"/>
        <w:rPr>
          <w:rFonts w:ascii="Times New Roman" w:hAnsi="Times New Roman" w:cs="Times New Roman"/>
          <w:b/>
          <w:sz w:val="24"/>
          <w:szCs w:val="24"/>
          <w:u w:val="single"/>
        </w:rPr>
      </w:pPr>
      <w:r>
        <w:rPr>
          <w:rFonts w:ascii="Times New Roman" w:hAnsi="Times New Roman" w:cs="Times New Roman"/>
          <w:sz w:val="24"/>
          <w:szCs w:val="24"/>
        </w:rPr>
        <w:t xml:space="preserve">This section </w:t>
      </w:r>
      <w:r w:rsidR="0046608E">
        <w:rPr>
          <w:rFonts w:ascii="Times New Roman" w:hAnsi="Times New Roman" w:cs="Times New Roman"/>
          <w:sz w:val="24"/>
          <w:szCs w:val="24"/>
        </w:rPr>
        <w:t>defines certain</w:t>
      </w:r>
      <w:r>
        <w:rPr>
          <w:rFonts w:ascii="Times New Roman" w:hAnsi="Times New Roman" w:cs="Times New Roman"/>
          <w:sz w:val="24"/>
          <w:szCs w:val="24"/>
        </w:rPr>
        <w:t xml:space="preserve"> terms used in the </w:t>
      </w:r>
      <w:r w:rsidR="0046608E">
        <w:rPr>
          <w:rFonts w:ascii="Times New Roman" w:hAnsi="Times New Roman" w:cs="Times New Roman"/>
          <w:sz w:val="24"/>
          <w:szCs w:val="24"/>
        </w:rPr>
        <w:t>Regulations</w:t>
      </w:r>
      <w:r>
        <w:rPr>
          <w:rFonts w:ascii="Times New Roman" w:hAnsi="Times New Roman" w:cs="Times New Roman"/>
          <w:sz w:val="24"/>
          <w:szCs w:val="24"/>
        </w:rPr>
        <w:t xml:space="preserve">. </w:t>
      </w:r>
      <w:r w:rsidR="00703DBF" w:rsidRPr="00706F1F">
        <w:rPr>
          <w:rFonts w:ascii="Times New Roman" w:hAnsi="Times New Roman" w:cs="Times New Roman"/>
          <w:b/>
          <w:sz w:val="24"/>
          <w:szCs w:val="24"/>
          <w:u w:val="single"/>
        </w:rPr>
        <w:br/>
      </w:r>
    </w:p>
    <w:p w14:paraId="1E01E7B1" w14:textId="77777777" w:rsidR="00192EAE" w:rsidRDefault="009C3DEA" w:rsidP="00703DBF">
      <w:pPr>
        <w:spacing w:line="240" w:lineRule="auto"/>
        <w:rPr>
          <w:rFonts w:ascii="Times New Roman" w:hAnsi="Times New Roman" w:cs="Times New Roman"/>
          <w:b/>
          <w:sz w:val="24"/>
          <w:szCs w:val="24"/>
        </w:rPr>
      </w:pPr>
      <w:r>
        <w:rPr>
          <w:rFonts w:ascii="Times New Roman" w:hAnsi="Times New Roman" w:cs="Times New Roman"/>
          <w:b/>
          <w:sz w:val="24"/>
          <w:szCs w:val="24"/>
        </w:rPr>
        <w:t>Section 6 – Exemptions from the Act</w:t>
      </w:r>
    </w:p>
    <w:p w14:paraId="3E4285CD" w14:textId="671609D4" w:rsidR="00A24194" w:rsidRDefault="008F7714" w:rsidP="00703DBF">
      <w:pPr>
        <w:spacing w:line="240" w:lineRule="auto"/>
        <w:rPr>
          <w:rFonts w:ascii="Times New Roman" w:hAnsi="Times New Roman" w:cs="Times New Roman"/>
          <w:b/>
          <w:sz w:val="24"/>
          <w:szCs w:val="24"/>
        </w:rPr>
      </w:pPr>
      <w:r>
        <w:rPr>
          <w:rFonts w:ascii="Times New Roman" w:hAnsi="Times New Roman" w:cs="Times New Roman"/>
          <w:sz w:val="24"/>
          <w:szCs w:val="24"/>
        </w:rPr>
        <w:t xml:space="preserve">Schedule 1 specifies provisions of the Act that do not apply to Commonwealth laws. </w:t>
      </w:r>
      <w:r w:rsidR="00703DBF">
        <w:rPr>
          <w:rFonts w:ascii="Times New Roman" w:hAnsi="Times New Roman" w:cs="Times New Roman"/>
          <w:b/>
          <w:sz w:val="24"/>
          <w:szCs w:val="24"/>
        </w:rPr>
        <w:br/>
      </w:r>
    </w:p>
    <w:p w14:paraId="626E5246" w14:textId="245153D6" w:rsidR="0046608E" w:rsidRDefault="009C3DEA" w:rsidP="00703DBF">
      <w:pPr>
        <w:spacing w:line="240" w:lineRule="auto"/>
        <w:rPr>
          <w:rFonts w:ascii="Times New Roman" w:hAnsi="Times New Roman" w:cs="Times New Roman"/>
          <w:b/>
          <w:sz w:val="24"/>
          <w:szCs w:val="24"/>
          <w:u w:val="single"/>
        </w:rPr>
      </w:pPr>
      <w:r w:rsidRPr="00F2291F">
        <w:rPr>
          <w:rFonts w:ascii="Times New Roman" w:hAnsi="Times New Roman" w:cs="Times New Roman"/>
          <w:b/>
          <w:sz w:val="24"/>
          <w:szCs w:val="24"/>
          <w:u w:val="single"/>
        </w:rPr>
        <w:t>S</w:t>
      </w:r>
      <w:r w:rsidR="0046608E">
        <w:rPr>
          <w:rFonts w:ascii="Times New Roman" w:hAnsi="Times New Roman" w:cs="Times New Roman"/>
          <w:b/>
          <w:sz w:val="24"/>
          <w:szCs w:val="24"/>
          <w:u w:val="single"/>
        </w:rPr>
        <w:t>chedule</w:t>
      </w:r>
      <w:r w:rsidR="00330374">
        <w:rPr>
          <w:rFonts w:ascii="Times New Roman" w:hAnsi="Times New Roman" w:cs="Times New Roman"/>
          <w:b/>
          <w:sz w:val="24"/>
          <w:szCs w:val="24"/>
          <w:u w:val="single"/>
        </w:rPr>
        <w:t xml:space="preserve"> </w:t>
      </w:r>
      <w:r w:rsidRPr="00F2291F">
        <w:rPr>
          <w:rFonts w:ascii="Times New Roman" w:hAnsi="Times New Roman" w:cs="Times New Roman"/>
          <w:b/>
          <w:sz w:val="24"/>
          <w:szCs w:val="24"/>
          <w:u w:val="single"/>
        </w:rPr>
        <w:t>1 – Laws of the Commonwealth to which certain provisions of the Act do not apply</w:t>
      </w:r>
    </w:p>
    <w:p w14:paraId="5112618E" w14:textId="772AD144" w:rsidR="0046608E" w:rsidRPr="0046608E" w:rsidRDefault="0046608E" w:rsidP="00703DBF">
      <w:pPr>
        <w:spacing w:line="240" w:lineRule="auto"/>
        <w:rPr>
          <w:rFonts w:ascii="Times New Roman" w:hAnsi="Times New Roman" w:cs="Times New Roman"/>
          <w:sz w:val="24"/>
          <w:szCs w:val="24"/>
        </w:rPr>
      </w:pPr>
      <w:r w:rsidRPr="0046608E">
        <w:rPr>
          <w:rFonts w:ascii="Times New Roman" w:hAnsi="Times New Roman" w:cs="Times New Roman"/>
          <w:sz w:val="24"/>
          <w:szCs w:val="24"/>
        </w:rPr>
        <w:lastRenderedPageBreak/>
        <w:t>This schedule specifies certain laws of the Commonwealth to which provisions of the Act do not apply. Government departments have requested items be exempt from the Act for a number of reasons including (i) agency requirement for original documents to be utilised until appropriate electronic systems are in place, (ii) a requirement for original documents to be produced (for example in legal proceedings), or (iii) in order to provide legal certainty</w:t>
      </w:r>
      <w:r>
        <w:rPr>
          <w:rFonts w:ascii="Times New Roman" w:hAnsi="Times New Roman" w:cs="Times New Roman"/>
          <w:sz w:val="24"/>
          <w:szCs w:val="24"/>
        </w:rPr>
        <w:t>.</w:t>
      </w:r>
    </w:p>
    <w:p w14:paraId="28A18D10" w14:textId="77777777" w:rsidR="00474249" w:rsidRDefault="00474249" w:rsidP="0046608E">
      <w:pPr>
        <w:spacing w:line="240" w:lineRule="auto"/>
        <w:rPr>
          <w:rFonts w:ascii="Times New Roman" w:hAnsi="Times New Roman" w:cs="Times New Roman"/>
          <w:b/>
          <w:sz w:val="24"/>
          <w:szCs w:val="24"/>
        </w:rPr>
      </w:pPr>
    </w:p>
    <w:p w14:paraId="563BFC5A" w14:textId="77777777" w:rsidR="0046608E" w:rsidRDefault="00AF7CA5" w:rsidP="0046608E">
      <w:pPr>
        <w:spacing w:line="240" w:lineRule="auto"/>
        <w:rPr>
          <w:rFonts w:ascii="Times New Roman" w:hAnsi="Times New Roman" w:cs="Times New Roman"/>
          <w:b/>
          <w:sz w:val="24"/>
          <w:szCs w:val="24"/>
        </w:rPr>
      </w:pPr>
      <w:r w:rsidRPr="00AF7CA5">
        <w:rPr>
          <w:rFonts w:ascii="Times New Roman" w:hAnsi="Times New Roman" w:cs="Times New Roman"/>
          <w:b/>
          <w:sz w:val="24"/>
          <w:szCs w:val="24"/>
        </w:rPr>
        <w:t>Section 1 – Laws of the Commonwealth to which certain provisions of the Act do not apply</w:t>
      </w:r>
    </w:p>
    <w:p w14:paraId="38DD284A" w14:textId="564CFA10" w:rsidR="0046608E" w:rsidRPr="0046608E" w:rsidRDefault="0046608E" w:rsidP="0046608E">
      <w:pPr>
        <w:spacing w:line="240" w:lineRule="auto"/>
        <w:rPr>
          <w:rFonts w:ascii="Times New Roman" w:hAnsi="Times New Roman" w:cs="Times New Roman"/>
          <w:sz w:val="24"/>
          <w:szCs w:val="24"/>
        </w:rPr>
      </w:pPr>
      <w:r w:rsidRPr="0046608E">
        <w:rPr>
          <w:rFonts w:ascii="Times New Roman" w:hAnsi="Times New Roman" w:cs="Times New Roman"/>
          <w:sz w:val="24"/>
          <w:szCs w:val="24"/>
        </w:rPr>
        <w:t>This section specifies that a provision of the Act specified in column 2 of the table does not apply to the Commonwealth law specified in column 1 of the table. The effect of a Commonwealth law (or particular provisions of a Commonwealth law) being included in column 1 is that the provisions of the Act specified in column 2 will not apply to the specified Commonwealth law.</w:t>
      </w:r>
    </w:p>
    <w:p w14:paraId="1C89FE06" w14:textId="4E1BB11A" w:rsidR="009C3DEA" w:rsidRPr="00F2291F" w:rsidRDefault="009C3DEA" w:rsidP="00703DBF">
      <w:pPr>
        <w:spacing w:line="240" w:lineRule="auto"/>
        <w:rPr>
          <w:rFonts w:ascii="Times New Roman" w:hAnsi="Times New Roman" w:cs="Times New Roman"/>
          <w:b/>
          <w:sz w:val="24"/>
          <w:szCs w:val="24"/>
          <w:u w:val="single"/>
        </w:rPr>
      </w:pPr>
      <w:r w:rsidRPr="00F2291F">
        <w:rPr>
          <w:rFonts w:ascii="Times New Roman" w:hAnsi="Times New Roman" w:cs="Times New Roman"/>
          <w:b/>
          <w:sz w:val="24"/>
          <w:szCs w:val="24"/>
          <w:u w:val="single"/>
        </w:rPr>
        <w:t>S</w:t>
      </w:r>
      <w:r w:rsidR="0046608E">
        <w:rPr>
          <w:rFonts w:ascii="Times New Roman" w:hAnsi="Times New Roman" w:cs="Times New Roman"/>
          <w:b/>
          <w:sz w:val="24"/>
          <w:szCs w:val="24"/>
          <w:u w:val="single"/>
        </w:rPr>
        <w:t>chedule</w:t>
      </w:r>
      <w:r w:rsidRPr="00F2291F">
        <w:rPr>
          <w:rFonts w:ascii="Times New Roman" w:hAnsi="Times New Roman" w:cs="Times New Roman"/>
          <w:b/>
          <w:sz w:val="24"/>
          <w:szCs w:val="24"/>
          <w:u w:val="single"/>
        </w:rPr>
        <w:t xml:space="preserve"> 2 – Repeals </w:t>
      </w:r>
      <w:r w:rsidR="00703DBF" w:rsidRPr="00F2291F">
        <w:rPr>
          <w:rFonts w:ascii="Times New Roman" w:hAnsi="Times New Roman" w:cs="Times New Roman"/>
          <w:b/>
          <w:sz w:val="24"/>
          <w:szCs w:val="24"/>
          <w:u w:val="single"/>
        </w:rPr>
        <w:br/>
      </w:r>
    </w:p>
    <w:p w14:paraId="74E2EE7D" w14:textId="77777777" w:rsidR="009C3DEA" w:rsidRDefault="009C3DEA" w:rsidP="00703DBF">
      <w:pPr>
        <w:spacing w:line="240" w:lineRule="auto"/>
        <w:rPr>
          <w:rFonts w:ascii="Times New Roman" w:hAnsi="Times New Roman" w:cs="Times New Roman"/>
          <w:b/>
          <w:sz w:val="24"/>
          <w:szCs w:val="24"/>
        </w:rPr>
      </w:pPr>
      <w:r>
        <w:rPr>
          <w:rFonts w:ascii="Times New Roman" w:hAnsi="Times New Roman" w:cs="Times New Roman"/>
          <w:b/>
          <w:i/>
          <w:sz w:val="24"/>
          <w:szCs w:val="24"/>
        </w:rPr>
        <w:t>Electronic Transactions Regulations 2000</w:t>
      </w:r>
      <w:r w:rsidR="00703DBF">
        <w:rPr>
          <w:rFonts w:ascii="Times New Roman" w:hAnsi="Times New Roman" w:cs="Times New Roman"/>
          <w:b/>
          <w:i/>
          <w:sz w:val="24"/>
          <w:szCs w:val="24"/>
        </w:rPr>
        <w:br/>
      </w:r>
    </w:p>
    <w:p w14:paraId="40E42819" w14:textId="77777777" w:rsidR="00996FA2" w:rsidRDefault="00137A4E" w:rsidP="00703DB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Section </w:t>
      </w:r>
      <w:r w:rsidR="009C3DEA">
        <w:rPr>
          <w:rFonts w:ascii="Times New Roman" w:hAnsi="Times New Roman" w:cs="Times New Roman"/>
          <w:b/>
          <w:sz w:val="24"/>
          <w:szCs w:val="24"/>
        </w:rPr>
        <w:t>1</w:t>
      </w:r>
      <w:r>
        <w:rPr>
          <w:rFonts w:ascii="Times New Roman" w:hAnsi="Times New Roman" w:cs="Times New Roman"/>
          <w:b/>
          <w:sz w:val="24"/>
          <w:szCs w:val="24"/>
        </w:rPr>
        <w:t xml:space="preserve"> –</w:t>
      </w:r>
      <w:r w:rsidR="009C3DEA">
        <w:rPr>
          <w:rFonts w:ascii="Times New Roman" w:hAnsi="Times New Roman" w:cs="Times New Roman"/>
          <w:b/>
          <w:sz w:val="24"/>
          <w:szCs w:val="24"/>
        </w:rPr>
        <w:t xml:space="preserve"> The whole of the instrument </w:t>
      </w:r>
    </w:p>
    <w:p w14:paraId="096EDE2C" w14:textId="5F09F49C" w:rsidR="00330374" w:rsidRDefault="00994FBF" w:rsidP="00703DBF">
      <w:pPr>
        <w:spacing w:line="240" w:lineRule="auto"/>
        <w:rPr>
          <w:rFonts w:ascii="Times New Roman" w:hAnsi="Times New Roman" w:cs="Times New Roman"/>
          <w:sz w:val="24"/>
          <w:szCs w:val="24"/>
        </w:rPr>
      </w:pPr>
      <w:r>
        <w:rPr>
          <w:rFonts w:ascii="Times New Roman" w:hAnsi="Times New Roman" w:cs="Times New Roman"/>
          <w:sz w:val="24"/>
          <w:szCs w:val="24"/>
        </w:rPr>
        <w:t>This section</w:t>
      </w:r>
      <w:r w:rsidR="0046608E">
        <w:rPr>
          <w:rFonts w:ascii="Times New Roman" w:hAnsi="Times New Roman" w:cs="Times New Roman"/>
          <w:sz w:val="24"/>
          <w:szCs w:val="24"/>
        </w:rPr>
        <w:t xml:space="preserve"> provides </w:t>
      </w:r>
      <w:r w:rsidR="0046608E" w:rsidRPr="0046608E">
        <w:rPr>
          <w:rFonts w:ascii="Times New Roman" w:hAnsi="Times New Roman" w:cs="Times New Roman"/>
          <w:sz w:val="24"/>
          <w:szCs w:val="24"/>
        </w:rPr>
        <w:t xml:space="preserve">that the </w:t>
      </w:r>
      <w:r w:rsidR="0046608E" w:rsidRPr="0046608E">
        <w:rPr>
          <w:rFonts w:ascii="Times New Roman" w:hAnsi="Times New Roman" w:cs="Times New Roman"/>
          <w:i/>
          <w:sz w:val="24"/>
          <w:szCs w:val="24"/>
        </w:rPr>
        <w:t>Electronic Transactions Regulations 2000</w:t>
      </w:r>
      <w:r w:rsidR="0046608E" w:rsidRPr="0046608E">
        <w:rPr>
          <w:rFonts w:ascii="Times New Roman" w:hAnsi="Times New Roman" w:cs="Times New Roman"/>
          <w:sz w:val="24"/>
          <w:szCs w:val="24"/>
        </w:rPr>
        <w:t xml:space="preserve"> are repealed</w:t>
      </w:r>
      <w:r w:rsidR="00330374">
        <w:rPr>
          <w:rFonts w:ascii="Times New Roman" w:hAnsi="Times New Roman" w:cs="Times New Roman"/>
          <w:sz w:val="24"/>
          <w:szCs w:val="24"/>
        </w:rPr>
        <w:t>.</w:t>
      </w:r>
    </w:p>
    <w:p w14:paraId="301B85B9" w14:textId="77777777" w:rsidR="00330374" w:rsidRDefault="00330374" w:rsidP="00703DBF">
      <w:pPr>
        <w:spacing w:line="240" w:lineRule="auto"/>
        <w:rPr>
          <w:rFonts w:ascii="Times New Roman" w:hAnsi="Times New Roman" w:cs="Times New Roman"/>
          <w:sz w:val="24"/>
          <w:szCs w:val="24"/>
        </w:rPr>
      </w:pPr>
    </w:p>
    <w:p w14:paraId="2AE5E70B" w14:textId="77777777" w:rsidR="00330374" w:rsidRDefault="00330374" w:rsidP="00703DBF">
      <w:pPr>
        <w:spacing w:line="240" w:lineRule="auto"/>
        <w:rPr>
          <w:rFonts w:ascii="Times New Roman" w:hAnsi="Times New Roman" w:cs="Times New Roman"/>
          <w:sz w:val="24"/>
          <w:szCs w:val="24"/>
        </w:rPr>
      </w:pPr>
    </w:p>
    <w:p w14:paraId="0A3B5BA6" w14:textId="77777777" w:rsidR="00330374" w:rsidRDefault="00330374" w:rsidP="00330374">
      <w:pPr>
        <w:spacing w:line="240" w:lineRule="auto"/>
        <w:rPr>
          <w:rFonts w:ascii="Times New Roman" w:hAnsi="Times New Roman" w:cs="Times New Roman"/>
          <w:sz w:val="24"/>
          <w:szCs w:val="24"/>
        </w:rPr>
      </w:pPr>
    </w:p>
    <w:p w14:paraId="0BE31623" w14:textId="5F4E0135" w:rsidR="00996FA2" w:rsidRDefault="00996FA2" w:rsidP="00703DBF">
      <w:pPr>
        <w:spacing w:line="240" w:lineRule="auto"/>
        <w:rPr>
          <w:rFonts w:ascii="Times New Roman" w:hAnsi="Times New Roman" w:cs="Times New Roman"/>
          <w:b/>
          <w:sz w:val="24"/>
          <w:szCs w:val="24"/>
        </w:rPr>
      </w:pPr>
    </w:p>
    <w:sectPr w:rsidR="00996FA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D1D9C" w14:textId="77777777" w:rsidR="007914C0" w:rsidRDefault="007914C0" w:rsidP="008820C9">
      <w:pPr>
        <w:spacing w:after="0" w:line="240" w:lineRule="auto"/>
      </w:pPr>
      <w:r>
        <w:separator/>
      </w:r>
    </w:p>
  </w:endnote>
  <w:endnote w:type="continuationSeparator" w:id="0">
    <w:p w14:paraId="5010FE82" w14:textId="77777777" w:rsidR="007914C0" w:rsidRDefault="007914C0" w:rsidP="008820C9">
      <w:pPr>
        <w:spacing w:after="0" w:line="240" w:lineRule="auto"/>
      </w:pPr>
      <w:r>
        <w:continuationSeparator/>
      </w:r>
    </w:p>
  </w:endnote>
  <w:endnote w:type="continuationNotice" w:id="1">
    <w:p w14:paraId="6633ABFE" w14:textId="77777777" w:rsidR="001A0DA4" w:rsidRDefault="001A0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653561"/>
      <w:docPartObj>
        <w:docPartGallery w:val="Page Numbers (Bottom of Page)"/>
        <w:docPartUnique/>
      </w:docPartObj>
    </w:sdtPr>
    <w:sdtEndPr>
      <w:rPr>
        <w:noProof/>
      </w:rPr>
    </w:sdtEndPr>
    <w:sdtContent>
      <w:p w14:paraId="4A733BAB" w14:textId="77777777" w:rsidR="007914C0" w:rsidRDefault="007914C0" w:rsidP="00CB6A91">
        <w:pPr>
          <w:pStyle w:val="Footer"/>
          <w:jc w:val="center"/>
        </w:pPr>
        <w:r>
          <w:fldChar w:fldCharType="begin"/>
        </w:r>
        <w:r>
          <w:instrText xml:space="preserve"> PAGE   \* MERGEFORMAT </w:instrText>
        </w:r>
        <w:r>
          <w:fldChar w:fldCharType="separate"/>
        </w:r>
        <w:r w:rsidR="00427DF6">
          <w:rPr>
            <w:noProof/>
          </w:rPr>
          <w:t>1</w:t>
        </w:r>
        <w:r>
          <w:rPr>
            <w:noProof/>
          </w:rPr>
          <w:fldChar w:fldCharType="end"/>
        </w:r>
      </w:p>
    </w:sdtContent>
  </w:sdt>
  <w:p w14:paraId="41C4F639" w14:textId="77777777" w:rsidR="007914C0" w:rsidRDefault="00791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685F" w14:textId="77777777" w:rsidR="007914C0" w:rsidRDefault="007914C0" w:rsidP="008820C9">
      <w:pPr>
        <w:spacing w:after="0" w:line="240" w:lineRule="auto"/>
      </w:pPr>
      <w:r>
        <w:separator/>
      </w:r>
    </w:p>
  </w:footnote>
  <w:footnote w:type="continuationSeparator" w:id="0">
    <w:p w14:paraId="096D20DC" w14:textId="77777777" w:rsidR="007914C0" w:rsidRDefault="007914C0" w:rsidP="008820C9">
      <w:pPr>
        <w:spacing w:after="0" w:line="240" w:lineRule="auto"/>
      </w:pPr>
      <w:r>
        <w:continuationSeparator/>
      </w:r>
    </w:p>
  </w:footnote>
  <w:footnote w:type="continuationNotice" w:id="1">
    <w:p w14:paraId="4F3DB3FF" w14:textId="77777777" w:rsidR="001A0DA4" w:rsidRDefault="001A0DA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B13"/>
    <w:multiLevelType w:val="hybridMultilevel"/>
    <w:tmpl w:val="D75E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46957"/>
    <w:multiLevelType w:val="hybridMultilevel"/>
    <w:tmpl w:val="93A234C4"/>
    <w:lvl w:ilvl="0" w:tplc="00D41C50">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19C6B73"/>
    <w:multiLevelType w:val="hybridMultilevel"/>
    <w:tmpl w:val="A428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1096E"/>
    <w:multiLevelType w:val="hybridMultilevel"/>
    <w:tmpl w:val="D8F26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4B46F4"/>
    <w:multiLevelType w:val="hybridMultilevel"/>
    <w:tmpl w:val="7CF2EE4A"/>
    <w:lvl w:ilvl="0" w:tplc="D340FD50">
      <w:start w:val="9"/>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647308"/>
    <w:multiLevelType w:val="hybridMultilevel"/>
    <w:tmpl w:val="ABFED6C2"/>
    <w:lvl w:ilvl="0" w:tplc="91EA2C5E">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B5763C"/>
    <w:multiLevelType w:val="hybridMultilevel"/>
    <w:tmpl w:val="4972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D3F56"/>
    <w:multiLevelType w:val="hybridMultilevel"/>
    <w:tmpl w:val="F88E0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1876A5"/>
    <w:multiLevelType w:val="hybridMultilevel"/>
    <w:tmpl w:val="8EFAA15E"/>
    <w:lvl w:ilvl="0" w:tplc="D340FD50">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716B1"/>
    <w:multiLevelType w:val="hybridMultilevel"/>
    <w:tmpl w:val="6B0E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C4FEC"/>
    <w:multiLevelType w:val="hybridMultilevel"/>
    <w:tmpl w:val="9C2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8"/>
  </w:num>
  <w:num w:numId="5">
    <w:abstractNumId w:val="4"/>
  </w:num>
  <w:num w:numId="6">
    <w:abstractNumId w:val="9"/>
  </w:num>
  <w:num w:numId="7">
    <w:abstractNumId w:val="7"/>
  </w:num>
  <w:num w:numId="8">
    <w:abstractNumId w:val="2"/>
  </w:num>
  <w:num w:numId="9">
    <w:abstractNumId w:val="3"/>
  </w:num>
  <w:num w:numId="10">
    <w:abstractNumId w:val="6"/>
  </w:num>
  <w:num w:numId="11">
    <w:abstractNumId w:val="1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6D"/>
    <w:rsid w:val="000042C5"/>
    <w:rsid w:val="000244B9"/>
    <w:rsid w:val="000318C0"/>
    <w:rsid w:val="00031F21"/>
    <w:rsid w:val="000617AB"/>
    <w:rsid w:val="000D7743"/>
    <w:rsid w:val="001370C6"/>
    <w:rsid w:val="00137A4E"/>
    <w:rsid w:val="00192EAE"/>
    <w:rsid w:val="001A0DA4"/>
    <w:rsid w:val="001B6451"/>
    <w:rsid w:val="001E2211"/>
    <w:rsid w:val="002234EF"/>
    <w:rsid w:val="002332F9"/>
    <w:rsid w:val="00240EAB"/>
    <w:rsid w:val="0027652C"/>
    <w:rsid w:val="00277D61"/>
    <w:rsid w:val="00297287"/>
    <w:rsid w:val="002A002D"/>
    <w:rsid w:val="002C060F"/>
    <w:rsid w:val="002C4195"/>
    <w:rsid w:val="002D1F31"/>
    <w:rsid w:val="002E1847"/>
    <w:rsid w:val="002E2A02"/>
    <w:rsid w:val="003132DE"/>
    <w:rsid w:val="00321911"/>
    <w:rsid w:val="003234E0"/>
    <w:rsid w:val="00330374"/>
    <w:rsid w:val="00332767"/>
    <w:rsid w:val="00350342"/>
    <w:rsid w:val="00351596"/>
    <w:rsid w:val="00355049"/>
    <w:rsid w:val="00377061"/>
    <w:rsid w:val="003773B9"/>
    <w:rsid w:val="003824D2"/>
    <w:rsid w:val="003958DA"/>
    <w:rsid w:val="003A08A8"/>
    <w:rsid w:val="003A67BA"/>
    <w:rsid w:val="003E096F"/>
    <w:rsid w:val="003F7E31"/>
    <w:rsid w:val="00422267"/>
    <w:rsid w:val="00427DF6"/>
    <w:rsid w:val="004311A0"/>
    <w:rsid w:val="00440112"/>
    <w:rsid w:val="004409AD"/>
    <w:rsid w:val="00444695"/>
    <w:rsid w:val="0044646D"/>
    <w:rsid w:val="00450C8D"/>
    <w:rsid w:val="00460E70"/>
    <w:rsid w:val="0046608E"/>
    <w:rsid w:val="00474249"/>
    <w:rsid w:val="004A15C2"/>
    <w:rsid w:val="004B6C21"/>
    <w:rsid w:val="004D1541"/>
    <w:rsid w:val="00503931"/>
    <w:rsid w:val="00505DEC"/>
    <w:rsid w:val="00517E3F"/>
    <w:rsid w:val="00546D1B"/>
    <w:rsid w:val="005541F9"/>
    <w:rsid w:val="0056306D"/>
    <w:rsid w:val="005A1D09"/>
    <w:rsid w:val="005A4186"/>
    <w:rsid w:val="005A6C3B"/>
    <w:rsid w:val="0060341F"/>
    <w:rsid w:val="006170BC"/>
    <w:rsid w:val="0064482E"/>
    <w:rsid w:val="0066281D"/>
    <w:rsid w:val="006F57DA"/>
    <w:rsid w:val="00703DBF"/>
    <w:rsid w:val="007051BD"/>
    <w:rsid w:val="00706421"/>
    <w:rsid w:val="00706F1F"/>
    <w:rsid w:val="00711425"/>
    <w:rsid w:val="00715498"/>
    <w:rsid w:val="0072249C"/>
    <w:rsid w:val="007250A3"/>
    <w:rsid w:val="007305E2"/>
    <w:rsid w:val="00737147"/>
    <w:rsid w:val="00742055"/>
    <w:rsid w:val="007554E2"/>
    <w:rsid w:val="007914C0"/>
    <w:rsid w:val="007A4585"/>
    <w:rsid w:val="007D4383"/>
    <w:rsid w:val="007F7A0B"/>
    <w:rsid w:val="00820762"/>
    <w:rsid w:val="00844029"/>
    <w:rsid w:val="00862E10"/>
    <w:rsid w:val="008820C9"/>
    <w:rsid w:val="008C12DA"/>
    <w:rsid w:val="008C1B33"/>
    <w:rsid w:val="008E7944"/>
    <w:rsid w:val="008F7714"/>
    <w:rsid w:val="00924EDA"/>
    <w:rsid w:val="00965A44"/>
    <w:rsid w:val="0098557D"/>
    <w:rsid w:val="009865FC"/>
    <w:rsid w:val="00994FBF"/>
    <w:rsid w:val="00996FA2"/>
    <w:rsid w:val="009B1690"/>
    <w:rsid w:val="009B32BA"/>
    <w:rsid w:val="009C30DE"/>
    <w:rsid w:val="009C3D91"/>
    <w:rsid w:val="009C3DEA"/>
    <w:rsid w:val="009D543E"/>
    <w:rsid w:val="009D7AA1"/>
    <w:rsid w:val="009F01A7"/>
    <w:rsid w:val="009F78DC"/>
    <w:rsid w:val="00A03756"/>
    <w:rsid w:val="00A157DC"/>
    <w:rsid w:val="00A20156"/>
    <w:rsid w:val="00A2371C"/>
    <w:rsid w:val="00A24194"/>
    <w:rsid w:val="00A24E83"/>
    <w:rsid w:val="00A3672B"/>
    <w:rsid w:val="00A51C7B"/>
    <w:rsid w:val="00A91875"/>
    <w:rsid w:val="00AC0BBA"/>
    <w:rsid w:val="00AF7CA5"/>
    <w:rsid w:val="00B22457"/>
    <w:rsid w:val="00B32230"/>
    <w:rsid w:val="00B57C42"/>
    <w:rsid w:val="00B94933"/>
    <w:rsid w:val="00B95B70"/>
    <w:rsid w:val="00BA2B4A"/>
    <w:rsid w:val="00BB20C2"/>
    <w:rsid w:val="00C1134F"/>
    <w:rsid w:val="00C3583E"/>
    <w:rsid w:val="00C531A0"/>
    <w:rsid w:val="00C6389F"/>
    <w:rsid w:val="00CB6A91"/>
    <w:rsid w:val="00CD6A43"/>
    <w:rsid w:val="00CF2AC9"/>
    <w:rsid w:val="00D05293"/>
    <w:rsid w:val="00D07E8F"/>
    <w:rsid w:val="00D40BCA"/>
    <w:rsid w:val="00D44968"/>
    <w:rsid w:val="00D77FBB"/>
    <w:rsid w:val="00D82220"/>
    <w:rsid w:val="00D96753"/>
    <w:rsid w:val="00DA2279"/>
    <w:rsid w:val="00DC55C6"/>
    <w:rsid w:val="00DC6B68"/>
    <w:rsid w:val="00DD79A0"/>
    <w:rsid w:val="00DF3984"/>
    <w:rsid w:val="00DF6A19"/>
    <w:rsid w:val="00E153D8"/>
    <w:rsid w:val="00E33653"/>
    <w:rsid w:val="00E36B7A"/>
    <w:rsid w:val="00E403BD"/>
    <w:rsid w:val="00E81D69"/>
    <w:rsid w:val="00EA283A"/>
    <w:rsid w:val="00EA73F1"/>
    <w:rsid w:val="00ED3997"/>
    <w:rsid w:val="00EE4E57"/>
    <w:rsid w:val="00F12A4F"/>
    <w:rsid w:val="00F15C93"/>
    <w:rsid w:val="00F2291F"/>
    <w:rsid w:val="00F31D4B"/>
    <w:rsid w:val="00F473D0"/>
    <w:rsid w:val="00F7395B"/>
    <w:rsid w:val="00F83077"/>
    <w:rsid w:val="00FE467A"/>
    <w:rsid w:val="00FF1558"/>
    <w:rsid w:val="00FF2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61D8"/>
  <w15:chartTrackingRefBased/>
  <w15:docId w15:val="{4A13FDAC-77AC-4AD0-AC8F-EC51C923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30374"/>
    <w:pPr>
      <w:spacing w:before="360" w:after="120" w:line="240" w:lineRule="auto"/>
      <w:jc w:val="center"/>
      <w:outlineLvl w:val="1"/>
    </w:pPr>
    <w:rPr>
      <w:rFonts w:ascii="Times New Roman" w:hAnsi="Times New Roman"/>
      <w:b/>
      <w:sz w:val="28"/>
      <w:szCs w:val="28"/>
      <w:lang w:val="en-AU"/>
    </w:rPr>
  </w:style>
  <w:style w:type="paragraph" w:styleId="Heading3">
    <w:name w:val="heading 3"/>
    <w:basedOn w:val="Normal"/>
    <w:next w:val="Normal"/>
    <w:link w:val="Heading3Char"/>
    <w:uiPriority w:val="9"/>
    <w:unhideWhenUsed/>
    <w:qFormat/>
    <w:rsid w:val="00330374"/>
    <w:pPr>
      <w:spacing w:before="120" w:after="120" w:line="240" w:lineRule="auto"/>
      <w:jc w:val="both"/>
      <w:outlineLvl w:val="2"/>
    </w:pPr>
    <w:rPr>
      <w:rFonts w:ascii="Times New Roman" w:hAnsi="Times New Roman"/>
      <w:b/>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A19"/>
    <w:pPr>
      <w:ind w:left="720"/>
      <w:contextualSpacing/>
    </w:pPr>
  </w:style>
  <w:style w:type="paragraph" w:styleId="Header">
    <w:name w:val="header"/>
    <w:basedOn w:val="Normal"/>
    <w:link w:val="HeaderChar"/>
    <w:uiPriority w:val="99"/>
    <w:unhideWhenUsed/>
    <w:rsid w:val="00882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0C9"/>
  </w:style>
  <w:style w:type="paragraph" w:styleId="Footer">
    <w:name w:val="footer"/>
    <w:basedOn w:val="Normal"/>
    <w:link w:val="FooterChar"/>
    <w:uiPriority w:val="99"/>
    <w:unhideWhenUsed/>
    <w:rsid w:val="00882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0C9"/>
  </w:style>
  <w:style w:type="character" w:styleId="CommentReference">
    <w:name w:val="annotation reference"/>
    <w:basedOn w:val="DefaultParagraphFont"/>
    <w:uiPriority w:val="99"/>
    <w:semiHidden/>
    <w:unhideWhenUsed/>
    <w:rsid w:val="003824D2"/>
    <w:rPr>
      <w:sz w:val="16"/>
      <w:szCs w:val="16"/>
    </w:rPr>
  </w:style>
  <w:style w:type="paragraph" w:styleId="CommentText">
    <w:name w:val="annotation text"/>
    <w:basedOn w:val="Normal"/>
    <w:link w:val="CommentTextChar"/>
    <w:uiPriority w:val="99"/>
    <w:semiHidden/>
    <w:unhideWhenUsed/>
    <w:rsid w:val="003824D2"/>
    <w:pPr>
      <w:spacing w:line="240" w:lineRule="auto"/>
    </w:pPr>
    <w:rPr>
      <w:sz w:val="20"/>
      <w:szCs w:val="20"/>
    </w:rPr>
  </w:style>
  <w:style w:type="character" w:customStyle="1" w:styleId="CommentTextChar">
    <w:name w:val="Comment Text Char"/>
    <w:basedOn w:val="DefaultParagraphFont"/>
    <w:link w:val="CommentText"/>
    <w:uiPriority w:val="99"/>
    <w:semiHidden/>
    <w:rsid w:val="003824D2"/>
    <w:rPr>
      <w:sz w:val="20"/>
      <w:szCs w:val="20"/>
    </w:rPr>
  </w:style>
  <w:style w:type="paragraph" w:styleId="CommentSubject">
    <w:name w:val="annotation subject"/>
    <w:basedOn w:val="CommentText"/>
    <w:next w:val="CommentText"/>
    <w:link w:val="CommentSubjectChar"/>
    <w:uiPriority w:val="99"/>
    <w:semiHidden/>
    <w:unhideWhenUsed/>
    <w:rsid w:val="003824D2"/>
    <w:rPr>
      <w:b/>
      <w:bCs/>
    </w:rPr>
  </w:style>
  <w:style w:type="character" w:customStyle="1" w:styleId="CommentSubjectChar">
    <w:name w:val="Comment Subject Char"/>
    <w:basedOn w:val="CommentTextChar"/>
    <w:link w:val="CommentSubject"/>
    <w:uiPriority w:val="99"/>
    <w:semiHidden/>
    <w:rsid w:val="003824D2"/>
    <w:rPr>
      <w:b/>
      <w:bCs/>
      <w:sz w:val="20"/>
      <w:szCs w:val="20"/>
    </w:rPr>
  </w:style>
  <w:style w:type="paragraph" w:styleId="BalloonText">
    <w:name w:val="Balloon Text"/>
    <w:basedOn w:val="Normal"/>
    <w:link w:val="BalloonTextChar"/>
    <w:uiPriority w:val="99"/>
    <w:semiHidden/>
    <w:unhideWhenUsed/>
    <w:rsid w:val="0038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D2"/>
    <w:rPr>
      <w:rFonts w:ascii="Segoe UI" w:hAnsi="Segoe UI" w:cs="Segoe UI"/>
      <w:sz w:val="18"/>
      <w:szCs w:val="18"/>
    </w:rPr>
  </w:style>
  <w:style w:type="character" w:customStyle="1" w:styleId="Heading2Char">
    <w:name w:val="Heading 2 Char"/>
    <w:basedOn w:val="DefaultParagraphFont"/>
    <w:link w:val="Heading2"/>
    <w:uiPriority w:val="9"/>
    <w:rsid w:val="00330374"/>
    <w:rPr>
      <w:rFonts w:ascii="Times New Roman" w:hAnsi="Times New Roman"/>
      <w:b/>
      <w:sz w:val="28"/>
      <w:szCs w:val="28"/>
      <w:lang w:val="en-AU"/>
    </w:rPr>
  </w:style>
  <w:style w:type="character" w:customStyle="1" w:styleId="Heading3Char">
    <w:name w:val="Heading 3 Char"/>
    <w:basedOn w:val="DefaultParagraphFont"/>
    <w:link w:val="Heading3"/>
    <w:uiPriority w:val="9"/>
    <w:rsid w:val="00330374"/>
    <w:rPr>
      <w:rFonts w:ascii="Times New Roman" w:hAnsi="Times New Roman"/>
      <w:b/>
      <w:sz w:val="24"/>
      <w:szCs w:val="24"/>
      <w:lang w:val="en-AU"/>
    </w:rPr>
  </w:style>
  <w:style w:type="paragraph" w:styleId="NormalWeb">
    <w:name w:val="Normal (Web)"/>
    <w:basedOn w:val="Normal"/>
    <w:uiPriority w:val="99"/>
    <w:unhideWhenUsed/>
    <w:rsid w:val="00505D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505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2739">
      <w:bodyDiv w:val="1"/>
      <w:marLeft w:val="0"/>
      <w:marRight w:val="0"/>
      <w:marTop w:val="0"/>
      <w:marBottom w:val="0"/>
      <w:divBdr>
        <w:top w:val="none" w:sz="0" w:space="0" w:color="auto"/>
        <w:left w:val="none" w:sz="0" w:space="0" w:color="auto"/>
        <w:bottom w:val="none" w:sz="0" w:space="0" w:color="auto"/>
        <w:right w:val="none" w:sz="0" w:space="0" w:color="auto"/>
      </w:divBdr>
    </w:div>
    <w:div w:id="310722094">
      <w:bodyDiv w:val="1"/>
      <w:marLeft w:val="0"/>
      <w:marRight w:val="0"/>
      <w:marTop w:val="0"/>
      <w:marBottom w:val="0"/>
      <w:divBdr>
        <w:top w:val="none" w:sz="0" w:space="0" w:color="auto"/>
        <w:left w:val="none" w:sz="0" w:space="0" w:color="auto"/>
        <w:bottom w:val="none" w:sz="0" w:space="0" w:color="auto"/>
        <w:right w:val="none" w:sz="0" w:space="0" w:color="auto"/>
      </w:divBdr>
    </w:div>
    <w:div w:id="119191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9920880-0351-4BB9-9EED-B697F1FB86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77F290049CFB4DA76773EA27FF8CEB" ma:contentTypeVersion="" ma:contentTypeDescription="PDMS Document Site Content Type" ma:contentTypeScope="" ma:versionID="4db3cc3c9da31c5233c2c77ae8713be3">
  <xsd:schema xmlns:xsd="http://www.w3.org/2001/XMLSchema" xmlns:xs="http://www.w3.org/2001/XMLSchema" xmlns:p="http://schemas.microsoft.com/office/2006/metadata/properties" xmlns:ns2="59920880-0351-4BB9-9EED-B697F1FB861A" targetNamespace="http://schemas.microsoft.com/office/2006/metadata/properties" ma:root="true" ma:fieldsID="b6b203158ad7a0e6c7cb94f01deb3feb" ns2:_="">
    <xsd:import namespace="59920880-0351-4BB9-9EED-B697F1FB861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20880-0351-4BB9-9EED-B697F1FB861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42C91-120D-4C58-BC8D-5FE549761F95}">
  <ds:schemaRefs>
    <ds:schemaRef ds:uri="http://schemas.microsoft.com/sharepoint/v3/contenttype/forms"/>
  </ds:schemaRefs>
</ds:datastoreItem>
</file>

<file path=customXml/itemProps2.xml><?xml version="1.0" encoding="utf-8"?>
<ds:datastoreItem xmlns:ds="http://schemas.openxmlformats.org/officeDocument/2006/customXml" ds:itemID="{33CF05C0-812E-431F-8502-6CBDB1E4EFBE}">
  <ds:schemaRefs>
    <ds:schemaRef ds:uri="http://purl.org/dc/dcmitype/"/>
    <ds:schemaRef ds:uri="http://schemas.microsoft.com/office/infopath/2007/PartnerControls"/>
    <ds:schemaRef ds:uri="59920880-0351-4BB9-9EED-B697F1FB861A"/>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8833BC-0483-44D1-8E6A-F58298DA9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20880-0351-4BB9-9EED-B697F1FB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1833</Words>
  <Characters>10450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halimj</dc:creator>
  <cp:keywords/>
  <dc:description/>
  <cp:lastModifiedBy>Rashid, Ruba</cp:lastModifiedBy>
  <cp:revision>2</cp:revision>
  <dcterms:created xsi:type="dcterms:W3CDTF">2020-07-27T03:04:00Z</dcterms:created>
  <dcterms:modified xsi:type="dcterms:W3CDTF">2020-07-27T03:04:00Z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0x010100266966F133664895A6EE3632470D45F500BA77F290049CFB4DA76773EA27FF8CEB</vt:lpwstr>
  </property>
</Properties>
</file>