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367C1" w:rsidRDefault="00193461" w:rsidP="0020300C">
      <w:pPr>
        <w:rPr>
          <w:sz w:val="28"/>
        </w:rPr>
      </w:pPr>
      <w:r w:rsidRPr="00E367C1">
        <w:rPr>
          <w:noProof/>
          <w:lang w:eastAsia="en-AU"/>
        </w:rPr>
        <w:drawing>
          <wp:inline distT="0" distB="0" distL="0" distR="0" wp14:anchorId="4EBBC9C9" wp14:editId="15390B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367C1" w:rsidRDefault="0048364F" w:rsidP="0048364F">
      <w:pPr>
        <w:rPr>
          <w:sz w:val="19"/>
        </w:rPr>
      </w:pPr>
    </w:p>
    <w:p w:rsidR="0048364F" w:rsidRPr="00E367C1" w:rsidRDefault="00F71156" w:rsidP="0048364F">
      <w:pPr>
        <w:pStyle w:val="ShortT"/>
      </w:pPr>
      <w:r w:rsidRPr="00E367C1">
        <w:t>Therapeutic Goods Legislation Amendment (2020 Measures No.</w:t>
      </w:r>
      <w:r w:rsidR="00E367C1" w:rsidRPr="00E367C1">
        <w:t> </w:t>
      </w:r>
      <w:r w:rsidRPr="00E367C1">
        <w:t xml:space="preserve">1) </w:t>
      </w:r>
      <w:r w:rsidR="004C29A0" w:rsidRPr="00E367C1">
        <w:t>Regulations</w:t>
      </w:r>
      <w:r w:rsidR="00E367C1" w:rsidRPr="00E367C1">
        <w:t> </w:t>
      </w:r>
      <w:r w:rsidR="004C29A0" w:rsidRPr="00E367C1">
        <w:t>2</w:t>
      </w:r>
      <w:r w:rsidRPr="00E367C1">
        <w:t>020</w:t>
      </w:r>
    </w:p>
    <w:p w:rsidR="00F71156" w:rsidRPr="00E367C1" w:rsidRDefault="00F71156" w:rsidP="00EA1C31">
      <w:pPr>
        <w:pStyle w:val="SignCoverPageStart"/>
        <w:spacing w:before="240"/>
        <w:rPr>
          <w:szCs w:val="22"/>
        </w:rPr>
      </w:pPr>
      <w:r w:rsidRPr="00E367C1">
        <w:rPr>
          <w:szCs w:val="22"/>
        </w:rPr>
        <w:t>I, General the Honourable David Hurley AC DSC (</w:t>
      </w:r>
      <w:proofErr w:type="spellStart"/>
      <w:r w:rsidRPr="00E367C1">
        <w:rPr>
          <w:szCs w:val="22"/>
        </w:rPr>
        <w:t>Retd</w:t>
      </w:r>
      <w:proofErr w:type="spellEnd"/>
      <w:r w:rsidRPr="00E367C1">
        <w:rPr>
          <w:szCs w:val="22"/>
        </w:rPr>
        <w:t>), Governor</w:t>
      </w:r>
      <w:r w:rsidR="00E367C1">
        <w:rPr>
          <w:szCs w:val="22"/>
        </w:rPr>
        <w:noBreakHyphen/>
      </w:r>
      <w:r w:rsidRPr="00E367C1">
        <w:rPr>
          <w:szCs w:val="22"/>
        </w:rPr>
        <w:t>General of the Commonwealth of Australia, acting with the advice of the Federal Executive Council, make the following regulations.</w:t>
      </w:r>
    </w:p>
    <w:p w:rsidR="00F71156" w:rsidRPr="00E367C1" w:rsidRDefault="00F71156" w:rsidP="00EA1C31">
      <w:pPr>
        <w:keepNext/>
        <w:spacing w:before="720" w:line="240" w:lineRule="atLeast"/>
        <w:ind w:right="397"/>
        <w:jc w:val="both"/>
        <w:rPr>
          <w:szCs w:val="22"/>
        </w:rPr>
      </w:pPr>
      <w:r w:rsidRPr="00E367C1">
        <w:rPr>
          <w:szCs w:val="22"/>
        </w:rPr>
        <w:t xml:space="preserve">Dated </w:t>
      </w:r>
      <w:bookmarkStart w:id="0" w:name="BKCheck15B_1"/>
      <w:bookmarkEnd w:id="0"/>
      <w:r w:rsidRPr="00E367C1">
        <w:rPr>
          <w:szCs w:val="22"/>
        </w:rPr>
        <w:fldChar w:fldCharType="begin"/>
      </w:r>
      <w:r w:rsidRPr="00E367C1">
        <w:rPr>
          <w:szCs w:val="22"/>
        </w:rPr>
        <w:instrText xml:space="preserve"> DOCPROPERTY  DateMade </w:instrText>
      </w:r>
      <w:r w:rsidRPr="00E367C1">
        <w:rPr>
          <w:szCs w:val="22"/>
        </w:rPr>
        <w:fldChar w:fldCharType="separate"/>
      </w:r>
      <w:r w:rsidR="006C005B">
        <w:rPr>
          <w:szCs w:val="22"/>
        </w:rPr>
        <w:t>23 July 2020</w:t>
      </w:r>
      <w:r w:rsidRPr="00E367C1">
        <w:rPr>
          <w:szCs w:val="22"/>
        </w:rPr>
        <w:fldChar w:fldCharType="end"/>
      </w:r>
    </w:p>
    <w:p w:rsidR="00F71156" w:rsidRPr="00E367C1" w:rsidRDefault="00F71156" w:rsidP="00EA1C31">
      <w:pPr>
        <w:keepNext/>
        <w:tabs>
          <w:tab w:val="left" w:pos="3402"/>
        </w:tabs>
        <w:spacing w:before="1080" w:line="300" w:lineRule="atLeast"/>
        <w:ind w:left="397" w:right="397"/>
        <w:jc w:val="right"/>
        <w:rPr>
          <w:szCs w:val="22"/>
        </w:rPr>
      </w:pPr>
      <w:r w:rsidRPr="00E367C1">
        <w:rPr>
          <w:szCs w:val="22"/>
        </w:rPr>
        <w:t>David Hurley</w:t>
      </w:r>
    </w:p>
    <w:p w:rsidR="00F71156" w:rsidRPr="00E367C1" w:rsidRDefault="00F71156" w:rsidP="00EA1C31">
      <w:pPr>
        <w:keepNext/>
        <w:tabs>
          <w:tab w:val="left" w:pos="3402"/>
        </w:tabs>
        <w:spacing w:line="300" w:lineRule="atLeast"/>
        <w:ind w:left="397" w:right="397"/>
        <w:jc w:val="right"/>
        <w:rPr>
          <w:szCs w:val="22"/>
        </w:rPr>
      </w:pPr>
      <w:r w:rsidRPr="00E367C1">
        <w:rPr>
          <w:szCs w:val="22"/>
        </w:rPr>
        <w:t>Governor</w:t>
      </w:r>
      <w:r w:rsidR="00E367C1">
        <w:rPr>
          <w:szCs w:val="22"/>
        </w:rPr>
        <w:noBreakHyphen/>
      </w:r>
      <w:r w:rsidRPr="00E367C1">
        <w:rPr>
          <w:szCs w:val="22"/>
        </w:rPr>
        <w:t>General</w:t>
      </w:r>
    </w:p>
    <w:p w:rsidR="00F71156" w:rsidRPr="00E367C1" w:rsidRDefault="00F71156" w:rsidP="00EA1C31">
      <w:pPr>
        <w:keepNext/>
        <w:tabs>
          <w:tab w:val="left" w:pos="3402"/>
        </w:tabs>
        <w:spacing w:before="840" w:after="1080" w:line="300" w:lineRule="atLeast"/>
        <w:ind w:right="397"/>
        <w:rPr>
          <w:szCs w:val="22"/>
        </w:rPr>
      </w:pPr>
      <w:r w:rsidRPr="00E367C1">
        <w:rPr>
          <w:szCs w:val="22"/>
        </w:rPr>
        <w:t>By His Excellency’s Command</w:t>
      </w:r>
    </w:p>
    <w:p w:rsidR="00F71156" w:rsidRPr="00E367C1" w:rsidRDefault="00F71156" w:rsidP="00EA1C31">
      <w:pPr>
        <w:keepNext/>
        <w:tabs>
          <w:tab w:val="left" w:pos="3402"/>
        </w:tabs>
        <w:spacing w:before="480" w:line="300" w:lineRule="atLeast"/>
        <w:ind w:right="397"/>
        <w:rPr>
          <w:szCs w:val="22"/>
        </w:rPr>
      </w:pPr>
      <w:r w:rsidRPr="00E367C1">
        <w:rPr>
          <w:szCs w:val="22"/>
        </w:rPr>
        <w:t>Greg Hunt</w:t>
      </w:r>
    </w:p>
    <w:p w:rsidR="00F71156" w:rsidRPr="00E367C1" w:rsidRDefault="00F71156" w:rsidP="00EA1C31">
      <w:pPr>
        <w:pStyle w:val="SignCoverPageEnd"/>
        <w:rPr>
          <w:szCs w:val="22"/>
        </w:rPr>
      </w:pPr>
      <w:r w:rsidRPr="00E367C1">
        <w:rPr>
          <w:szCs w:val="22"/>
        </w:rPr>
        <w:t>Minister for Health</w:t>
      </w:r>
    </w:p>
    <w:p w:rsidR="00F71156" w:rsidRPr="00E367C1" w:rsidRDefault="00F71156" w:rsidP="00EA1C31"/>
    <w:p w:rsidR="0048364F" w:rsidRPr="00357BFF" w:rsidRDefault="0048364F" w:rsidP="0048364F">
      <w:pPr>
        <w:pStyle w:val="Header"/>
        <w:tabs>
          <w:tab w:val="clear" w:pos="4150"/>
          <w:tab w:val="clear" w:pos="8307"/>
        </w:tabs>
      </w:pPr>
      <w:r w:rsidRPr="00357BFF">
        <w:rPr>
          <w:rStyle w:val="CharAmSchNo"/>
        </w:rPr>
        <w:t xml:space="preserve"> </w:t>
      </w:r>
      <w:r w:rsidRPr="00357BFF">
        <w:rPr>
          <w:rStyle w:val="CharAmSchText"/>
        </w:rPr>
        <w:t xml:space="preserve"> </w:t>
      </w:r>
    </w:p>
    <w:p w:rsidR="0048364F" w:rsidRPr="00357BFF" w:rsidRDefault="0048364F" w:rsidP="0048364F">
      <w:pPr>
        <w:pStyle w:val="Header"/>
        <w:tabs>
          <w:tab w:val="clear" w:pos="4150"/>
          <w:tab w:val="clear" w:pos="8307"/>
        </w:tabs>
      </w:pPr>
      <w:r w:rsidRPr="00357BFF">
        <w:rPr>
          <w:rStyle w:val="CharAmPartNo"/>
        </w:rPr>
        <w:t xml:space="preserve"> </w:t>
      </w:r>
      <w:r w:rsidRPr="00357BFF">
        <w:rPr>
          <w:rStyle w:val="CharAmPartText"/>
        </w:rPr>
        <w:t xml:space="preserve"> </w:t>
      </w:r>
    </w:p>
    <w:p w:rsidR="0048364F" w:rsidRPr="00E367C1" w:rsidRDefault="0048364F" w:rsidP="0048364F">
      <w:pPr>
        <w:sectPr w:rsidR="0048364F" w:rsidRPr="00E367C1" w:rsidSect="007D259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E367C1" w:rsidRDefault="0048364F" w:rsidP="00E367C1">
      <w:pPr>
        <w:rPr>
          <w:sz w:val="36"/>
        </w:rPr>
      </w:pPr>
      <w:r w:rsidRPr="00E367C1">
        <w:rPr>
          <w:sz w:val="36"/>
        </w:rPr>
        <w:lastRenderedPageBreak/>
        <w:t>Contents</w:t>
      </w:r>
    </w:p>
    <w:bookmarkStart w:id="1" w:name="BKCheck15B_2"/>
    <w:bookmarkEnd w:id="1"/>
    <w:p w:rsidR="00E367C1" w:rsidRDefault="00E367C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367C1">
        <w:rPr>
          <w:noProof/>
        </w:rPr>
        <w:tab/>
      </w:r>
      <w:r w:rsidRPr="00E367C1">
        <w:rPr>
          <w:noProof/>
        </w:rPr>
        <w:fldChar w:fldCharType="begin"/>
      </w:r>
      <w:r w:rsidRPr="00E367C1">
        <w:rPr>
          <w:noProof/>
        </w:rPr>
        <w:instrText xml:space="preserve"> PAGEREF _Toc44406838 \h </w:instrText>
      </w:r>
      <w:r w:rsidRPr="00E367C1">
        <w:rPr>
          <w:noProof/>
        </w:rPr>
      </w:r>
      <w:r w:rsidRPr="00E367C1">
        <w:rPr>
          <w:noProof/>
        </w:rPr>
        <w:fldChar w:fldCharType="separate"/>
      </w:r>
      <w:r w:rsidR="006C005B">
        <w:rPr>
          <w:noProof/>
        </w:rPr>
        <w:t>1</w:t>
      </w:r>
      <w:r w:rsidRPr="00E367C1">
        <w:rPr>
          <w:noProof/>
        </w:rPr>
        <w:fldChar w:fldCharType="end"/>
      </w:r>
    </w:p>
    <w:p w:rsidR="00E367C1" w:rsidRDefault="00E367C1">
      <w:pPr>
        <w:pStyle w:val="TOC5"/>
        <w:rPr>
          <w:rFonts w:asciiTheme="minorHAnsi" w:eastAsiaTheme="minorEastAsia" w:hAnsiTheme="minorHAnsi" w:cstheme="minorBidi"/>
          <w:noProof/>
          <w:kern w:val="0"/>
          <w:sz w:val="22"/>
          <w:szCs w:val="22"/>
        </w:rPr>
      </w:pPr>
      <w:r>
        <w:rPr>
          <w:noProof/>
        </w:rPr>
        <w:t>2</w:t>
      </w:r>
      <w:r>
        <w:rPr>
          <w:noProof/>
        </w:rPr>
        <w:tab/>
        <w:t>Commencement</w:t>
      </w:r>
      <w:r w:rsidRPr="00E367C1">
        <w:rPr>
          <w:noProof/>
        </w:rPr>
        <w:tab/>
      </w:r>
      <w:r w:rsidRPr="00E367C1">
        <w:rPr>
          <w:noProof/>
        </w:rPr>
        <w:fldChar w:fldCharType="begin"/>
      </w:r>
      <w:r w:rsidRPr="00E367C1">
        <w:rPr>
          <w:noProof/>
        </w:rPr>
        <w:instrText xml:space="preserve"> PAGEREF _Toc44406839 \h </w:instrText>
      </w:r>
      <w:r w:rsidRPr="00E367C1">
        <w:rPr>
          <w:noProof/>
        </w:rPr>
      </w:r>
      <w:r w:rsidRPr="00E367C1">
        <w:rPr>
          <w:noProof/>
        </w:rPr>
        <w:fldChar w:fldCharType="separate"/>
      </w:r>
      <w:r w:rsidR="006C005B">
        <w:rPr>
          <w:noProof/>
        </w:rPr>
        <w:t>1</w:t>
      </w:r>
      <w:r w:rsidRPr="00E367C1">
        <w:rPr>
          <w:noProof/>
        </w:rPr>
        <w:fldChar w:fldCharType="end"/>
      </w:r>
    </w:p>
    <w:p w:rsidR="00E367C1" w:rsidRDefault="00E367C1">
      <w:pPr>
        <w:pStyle w:val="TOC5"/>
        <w:rPr>
          <w:rFonts w:asciiTheme="minorHAnsi" w:eastAsiaTheme="minorEastAsia" w:hAnsiTheme="minorHAnsi" w:cstheme="minorBidi"/>
          <w:noProof/>
          <w:kern w:val="0"/>
          <w:sz w:val="22"/>
          <w:szCs w:val="22"/>
        </w:rPr>
      </w:pPr>
      <w:r>
        <w:rPr>
          <w:noProof/>
        </w:rPr>
        <w:t>3</w:t>
      </w:r>
      <w:r>
        <w:rPr>
          <w:noProof/>
        </w:rPr>
        <w:tab/>
        <w:t>Authority</w:t>
      </w:r>
      <w:r w:rsidRPr="00E367C1">
        <w:rPr>
          <w:noProof/>
        </w:rPr>
        <w:tab/>
      </w:r>
      <w:r w:rsidRPr="00E367C1">
        <w:rPr>
          <w:noProof/>
        </w:rPr>
        <w:fldChar w:fldCharType="begin"/>
      </w:r>
      <w:r w:rsidRPr="00E367C1">
        <w:rPr>
          <w:noProof/>
        </w:rPr>
        <w:instrText xml:space="preserve"> PAGEREF _Toc44406840 \h </w:instrText>
      </w:r>
      <w:r w:rsidRPr="00E367C1">
        <w:rPr>
          <w:noProof/>
        </w:rPr>
      </w:r>
      <w:r w:rsidRPr="00E367C1">
        <w:rPr>
          <w:noProof/>
        </w:rPr>
        <w:fldChar w:fldCharType="separate"/>
      </w:r>
      <w:r w:rsidR="006C005B">
        <w:rPr>
          <w:noProof/>
        </w:rPr>
        <w:t>1</w:t>
      </w:r>
      <w:r w:rsidRPr="00E367C1">
        <w:rPr>
          <w:noProof/>
        </w:rPr>
        <w:fldChar w:fldCharType="end"/>
      </w:r>
    </w:p>
    <w:p w:rsidR="00E367C1" w:rsidRDefault="00E367C1">
      <w:pPr>
        <w:pStyle w:val="TOC5"/>
        <w:rPr>
          <w:rFonts w:asciiTheme="minorHAnsi" w:eastAsiaTheme="minorEastAsia" w:hAnsiTheme="minorHAnsi" w:cstheme="minorBidi"/>
          <w:noProof/>
          <w:kern w:val="0"/>
          <w:sz w:val="22"/>
          <w:szCs w:val="22"/>
        </w:rPr>
      </w:pPr>
      <w:r>
        <w:rPr>
          <w:noProof/>
        </w:rPr>
        <w:t>4</w:t>
      </w:r>
      <w:r>
        <w:rPr>
          <w:noProof/>
        </w:rPr>
        <w:tab/>
        <w:t>Schedules</w:t>
      </w:r>
      <w:r w:rsidRPr="00E367C1">
        <w:rPr>
          <w:noProof/>
        </w:rPr>
        <w:tab/>
      </w:r>
      <w:r w:rsidRPr="00E367C1">
        <w:rPr>
          <w:noProof/>
        </w:rPr>
        <w:fldChar w:fldCharType="begin"/>
      </w:r>
      <w:r w:rsidRPr="00E367C1">
        <w:rPr>
          <w:noProof/>
        </w:rPr>
        <w:instrText xml:space="preserve"> PAGEREF _Toc44406841 \h </w:instrText>
      </w:r>
      <w:r w:rsidRPr="00E367C1">
        <w:rPr>
          <w:noProof/>
        </w:rPr>
      </w:r>
      <w:r w:rsidRPr="00E367C1">
        <w:rPr>
          <w:noProof/>
        </w:rPr>
        <w:fldChar w:fldCharType="separate"/>
      </w:r>
      <w:r w:rsidR="006C005B">
        <w:rPr>
          <w:noProof/>
        </w:rPr>
        <w:t>1</w:t>
      </w:r>
      <w:r w:rsidRPr="00E367C1">
        <w:rPr>
          <w:noProof/>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1—Medical device definitions and system or procedure packs</w:t>
      </w:r>
      <w:r w:rsidRPr="00E367C1">
        <w:rPr>
          <w:b w:val="0"/>
          <w:noProof/>
          <w:sz w:val="18"/>
        </w:rPr>
        <w:tab/>
      </w:r>
      <w:r w:rsidRPr="00E367C1">
        <w:rPr>
          <w:b w:val="0"/>
          <w:noProof/>
          <w:sz w:val="18"/>
        </w:rPr>
        <w:fldChar w:fldCharType="begin"/>
      </w:r>
      <w:r w:rsidRPr="00E367C1">
        <w:rPr>
          <w:b w:val="0"/>
          <w:noProof/>
          <w:sz w:val="18"/>
        </w:rPr>
        <w:instrText xml:space="preserve"> PAGEREF _Toc44406842 \h </w:instrText>
      </w:r>
      <w:r w:rsidRPr="00E367C1">
        <w:rPr>
          <w:b w:val="0"/>
          <w:noProof/>
          <w:sz w:val="18"/>
        </w:rPr>
      </w:r>
      <w:r w:rsidRPr="00E367C1">
        <w:rPr>
          <w:b w:val="0"/>
          <w:noProof/>
          <w:sz w:val="18"/>
        </w:rPr>
        <w:fldChar w:fldCharType="separate"/>
      </w:r>
      <w:r w:rsidR="006C005B">
        <w:rPr>
          <w:b w:val="0"/>
          <w:noProof/>
          <w:sz w:val="18"/>
        </w:rPr>
        <w:t>2</w:t>
      </w:r>
      <w:r w:rsidRPr="00E367C1">
        <w:rPr>
          <w:b w:val="0"/>
          <w:noProof/>
          <w:sz w:val="18"/>
        </w:rPr>
        <w:fldChar w:fldCharType="end"/>
      </w:r>
    </w:p>
    <w:p w:rsidR="00E367C1" w:rsidRDefault="00E367C1">
      <w:pPr>
        <w:pStyle w:val="TOC7"/>
        <w:rPr>
          <w:rFonts w:asciiTheme="minorHAnsi" w:eastAsiaTheme="minorEastAsia" w:hAnsiTheme="minorHAnsi" w:cstheme="minorBidi"/>
          <w:noProof/>
          <w:kern w:val="0"/>
          <w:sz w:val="22"/>
          <w:szCs w:val="22"/>
        </w:rPr>
      </w:pPr>
      <w:r>
        <w:rPr>
          <w:noProof/>
        </w:rPr>
        <w:t>Part 1—Medical device definitions</w:t>
      </w:r>
      <w:r w:rsidRPr="00E367C1">
        <w:rPr>
          <w:noProof/>
          <w:sz w:val="18"/>
        </w:rPr>
        <w:tab/>
      </w:r>
      <w:r w:rsidRPr="00E367C1">
        <w:rPr>
          <w:noProof/>
          <w:sz w:val="18"/>
        </w:rPr>
        <w:fldChar w:fldCharType="begin"/>
      </w:r>
      <w:r w:rsidRPr="00E367C1">
        <w:rPr>
          <w:noProof/>
          <w:sz w:val="18"/>
        </w:rPr>
        <w:instrText xml:space="preserve"> PAGEREF _Toc44406843 \h </w:instrText>
      </w:r>
      <w:r w:rsidRPr="00E367C1">
        <w:rPr>
          <w:noProof/>
          <w:sz w:val="18"/>
        </w:rPr>
      </w:r>
      <w:r w:rsidRPr="00E367C1">
        <w:rPr>
          <w:noProof/>
          <w:sz w:val="18"/>
        </w:rPr>
        <w:fldChar w:fldCharType="separate"/>
      </w:r>
      <w:r w:rsidR="006C005B">
        <w:rPr>
          <w:noProof/>
          <w:sz w:val="18"/>
        </w:rPr>
        <w:t>2</w:t>
      </w:r>
      <w:r w:rsidRPr="00E367C1">
        <w:rPr>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_Toc44406844 \h </w:instrText>
      </w:r>
      <w:r w:rsidRPr="00E367C1">
        <w:rPr>
          <w:i w:val="0"/>
          <w:noProof/>
          <w:sz w:val="18"/>
        </w:rPr>
      </w:r>
      <w:r w:rsidRPr="00E367C1">
        <w:rPr>
          <w:i w:val="0"/>
          <w:noProof/>
          <w:sz w:val="18"/>
        </w:rPr>
        <w:fldChar w:fldCharType="separate"/>
      </w:r>
      <w:r w:rsidR="006C005B">
        <w:rPr>
          <w:i w:val="0"/>
          <w:noProof/>
          <w:sz w:val="18"/>
        </w:rPr>
        <w:t>2</w:t>
      </w:r>
      <w:r w:rsidRPr="00E367C1">
        <w:rPr>
          <w:i w:val="0"/>
          <w:noProof/>
          <w:sz w:val="18"/>
        </w:rPr>
        <w:fldChar w:fldCharType="end"/>
      </w:r>
    </w:p>
    <w:p w:rsidR="00E367C1" w:rsidRDefault="00E367C1">
      <w:pPr>
        <w:pStyle w:val="TOC7"/>
        <w:rPr>
          <w:rFonts w:asciiTheme="minorHAnsi" w:eastAsiaTheme="minorEastAsia" w:hAnsiTheme="minorHAnsi" w:cstheme="minorBidi"/>
          <w:noProof/>
          <w:kern w:val="0"/>
          <w:sz w:val="22"/>
          <w:szCs w:val="22"/>
        </w:rPr>
      </w:pPr>
      <w:r>
        <w:rPr>
          <w:noProof/>
        </w:rPr>
        <w:t>Part 2—System or procedure packs</w:t>
      </w:r>
      <w:r w:rsidRPr="00E367C1">
        <w:rPr>
          <w:noProof/>
          <w:sz w:val="18"/>
        </w:rPr>
        <w:tab/>
      </w:r>
      <w:r w:rsidRPr="00E367C1">
        <w:rPr>
          <w:noProof/>
          <w:sz w:val="18"/>
        </w:rPr>
        <w:fldChar w:fldCharType="begin"/>
      </w:r>
      <w:r w:rsidRPr="00E367C1">
        <w:rPr>
          <w:noProof/>
          <w:sz w:val="18"/>
        </w:rPr>
        <w:instrText xml:space="preserve"> PAGEREF _Toc44406845 \h </w:instrText>
      </w:r>
      <w:r w:rsidRPr="00E367C1">
        <w:rPr>
          <w:noProof/>
          <w:sz w:val="18"/>
        </w:rPr>
      </w:r>
      <w:r w:rsidRPr="00E367C1">
        <w:rPr>
          <w:noProof/>
          <w:sz w:val="18"/>
        </w:rPr>
        <w:fldChar w:fldCharType="separate"/>
      </w:r>
      <w:r w:rsidR="006C005B">
        <w:rPr>
          <w:noProof/>
          <w:sz w:val="18"/>
        </w:rPr>
        <w:t>3</w:t>
      </w:r>
      <w:r w:rsidRPr="00E367C1">
        <w:rPr>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_Toc44406846 \h </w:instrText>
      </w:r>
      <w:r w:rsidRPr="00E367C1">
        <w:rPr>
          <w:i w:val="0"/>
          <w:noProof/>
          <w:sz w:val="18"/>
        </w:rPr>
      </w:r>
      <w:r w:rsidRPr="00E367C1">
        <w:rPr>
          <w:i w:val="0"/>
          <w:noProof/>
          <w:sz w:val="18"/>
        </w:rPr>
        <w:fldChar w:fldCharType="separate"/>
      </w:r>
      <w:r w:rsidR="006C005B">
        <w:rPr>
          <w:i w:val="0"/>
          <w:noProof/>
          <w:sz w:val="18"/>
        </w:rPr>
        <w:t>3</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2—Exemption of hyperbaric oxygen therapy hoods</w:t>
      </w:r>
      <w:r w:rsidRPr="00E367C1">
        <w:rPr>
          <w:b w:val="0"/>
          <w:noProof/>
          <w:sz w:val="18"/>
        </w:rPr>
        <w:tab/>
      </w:r>
      <w:r w:rsidRPr="00E367C1">
        <w:rPr>
          <w:b w:val="0"/>
          <w:noProof/>
          <w:sz w:val="18"/>
        </w:rPr>
        <w:fldChar w:fldCharType="begin"/>
      </w:r>
      <w:r w:rsidRPr="00E367C1">
        <w:rPr>
          <w:b w:val="0"/>
          <w:noProof/>
          <w:sz w:val="18"/>
        </w:rPr>
        <w:instrText xml:space="preserve"> PAGEREF _Toc44406847 \h </w:instrText>
      </w:r>
      <w:r w:rsidRPr="00E367C1">
        <w:rPr>
          <w:b w:val="0"/>
          <w:noProof/>
          <w:sz w:val="18"/>
        </w:rPr>
      </w:r>
      <w:r w:rsidRPr="00E367C1">
        <w:rPr>
          <w:b w:val="0"/>
          <w:noProof/>
          <w:sz w:val="18"/>
        </w:rPr>
        <w:fldChar w:fldCharType="separate"/>
      </w:r>
      <w:r w:rsidR="006C005B">
        <w:rPr>
          <w:b w:val="0"/>
          <w:noProof/>
          <w:sz w:val="18"/>
        </w:rPr>
        <w:t>5</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_Toc44406848 \h </w:instrText>
      </w:r>
      <w:r w:rsidRPr="00E367C1">
        <w:rPr>
          <w:i w:val="0"/>
          <w:noProof/>
          <w:sz w:val="18"/>
        </w:rPr>
      </w:r>
      <w:r w:rsidRPr="00E367C1">
        <w:rPr>
          <w:i w:val="0"/>
          <w:noProof/>
          <w:sz w:val="18"/>
        </w:rPr>
        <w:fldChar w:fldCharType="separate"/>
      </w:r>
      <w:r w:rsidR="006C005B">
        <w:rPr>
          <w:i w:val="0"/>
          <w:noProof/>
          <w:sz w:val="18"/>
        </w:rPr>
        <w:t>5</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3—Period for notifying adverse events</w:t>
      </w:r>
      <w:r w:rsidRPr="00E367C1">
        <w:rPr>
          <w:b w:val="0"/>
          <w:noProof/>
          <w:sz w:val="18"/>
        </w:rPr>
        <w:tab/>
      </w:r>
      <w:r w:rsidRPr="00E367C1">
        <w:rPr>
          <w:b w:val="0"/>
          <w:noProof/>
          <w:sz w:val="18"/>
        </w:rPr>
        <w:fldChar w:fldCharType="begin"/>
      </w:r>
      <w:r w:rsidRPr="00E367C1">
        <w:rPr>
          <w:b w:val="0"/>
          <w:noProof/>
          <w:sz w:val="18"/>
        </w:rPr>
        <w:instrText xml:space="preserve"> PAGEREF _Toc44406849 \h </w:instrText>
      </w:r>
      <w:r w:rsidRPr="00E367C1">
        <w:rPr>
          <w:b w:val="0"/>
          <w:noProof/>
          <w:sz w:val="18"/>
        </w:rPr>
      </w:r>
      <w:r w:rsidRPr="00E367C1">
        <w:rPr>
          <w:b w:val="0"/>
          <w:noProof/>
          <w:sz w:val="18"/>
        </w:rPr>
        <w:fldChar w:fldCharType="separate"/>
      </w:r>
      <w:r w:rsidR="006C005B">
        <w:rPr>
          <w:b w:val="0"/>
          <w:noProof/>
          <w:sz w:val="18"/>
        </w:rPr>
        <w:t>6</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_Toc44406850 \h </w:instrText>
      </w:r>
      <w:r w:rsidRPr="00E367C1">
        <w:rPr>
          <w:i w:val="0"/>
          <w:noProof/>
          <w:sz w:val="18"/>
        </w:rPr>
      </w:r>
      <w:r w:rsidRPr="00E367C1">
        <w:rPr>
          <w:i w:val="0"/>
          <w:noProof/>
          <w:sz w:val="18"/>
        </w:rPr>
        <w:fldChar w:fldCharType="separate"/>
      </w:r>
      <w:r w:rsidR="006C005B">
        <w:rPr>
          <w:i w:val="0"/>
          <w:noProof/>
          <w:sz w:val="18"/>
        </w:rPr>
        <w:t>6</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4—Approving supply of therapeutic goods under authorised prescriber scheme</w:t>
      </w:r>
      <w:r w:rsidRPr="00E367C1">
        <w:rPr>
          <w:b w:val="0"/>
          <w:noProof/>
          <w:sz w:val="18"/>
        </w:rPr>
        <w:tab/>
      </w:r>
      <w:r w:rsidRPr="00E367C1">
        <w:rPr>
          <w:b w:val="0"/>
          <w:noProof/>
          <w:sz w:val="18"/>
        </w:rPr>
        <w:fldChar w:fldCharType="begin"/>
      </w:r>
      <w:r w:rsidRPr="00E367C1">
        <w:rPr>
          <w:b w:val="0"/>
          <w:noProof/>
          <w:sz w:val="18"/>
        </w:rPr>
        <w:instrText xml:space="preserve"> PAGEREF _Toc44406852 \h </w:instrText>
      </w:r>
      <w:r w:rsidRPr="00E367C1">
        <w:rPr>
          <w:b w:val="0"/>
          <w:noProof/>
          <w:sz w:val="18"/>
        </w:rPr>
      </w:r>
      <w:r w:rsidRPr="00E367C1">
        <w:rPr>
          <w:b w:val="0"/>
          <w:noProof/>
          <w:sz w:val="18"/>
        </w:rPr>
        <w:fldChar w:fldCharType="separate"/>
      </w:r>
      <w:r w:rsidR="006C005B">
        <w:rPr>
          <w:b w:val="0"/>
          <w:noProof/>
          <w:sz w:val="18"/>
        </w:rPr>
        <w:t>7</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_Toc44406853 \h </w:instrText>
      </w:r>
      <w:r w:rsidRPr="00E367C1">
        <w:rPr>
          <w:i w:val="0"/>
          <w:noProof/>
          <w:sz w:val="18"/>
        </w:rPr>
      </w:r>
      <w:r w:rsidRPr="00E367C1">
        <w:rPr>
          <w:i w:val="0"/>
          <w:noProof/>
          <w:sz w:val="18"/>
        </w:rPr>
        <w:fldChar w:fldCharType="separate"/>
      </w:r>
      <w:r w:rsidR="006C005B">
        <w:rPr>
          <w:i w:val="0"/>
          <w:noProof/>
          <w:sz w:val="18"/>
        </w:rPr>
        <w:t>7</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5—Scientific advice about quality of medicine</w:t>
      </w:r>
      <w:r w:rsidRPr="00E367C1">
        <w:rPr>
          <w:b w:val="0"/>
          <w:noProof/>
          <w:sz w:val="18"/>
        </w:rPr>
        <w:tab/>
      </w:r>
      <w:r w:rsidRPr="00E367C1">
        <w:rPr>
          <w:b w:val="0"/>
          <w:noProof/>
          <w:sz w:val="18"/>
        </w:rPr>
        <w:fldChar w:fldCharType="begin"/>
      </w:r>
      <w:r w:rsidRPr="00E367C1">
        <w:rPr>
          <w:b w:val="0"/>
          <w:noProof/>
          <w:sz w:val="18"/>
        </w:rPr>
        <w:instrText xml:space="preserve"> PAGEREF _Toc44406854 \h </w:instrText>
      </w:r>
      <w:r w:rsidRPr="00E367C1">
        <w:rPr>
          <w:b w:val="0"/>
          <w:noProof/>
          <w:sz w:val="18"/>
        </w:rPr>
      </w:r>
      <w:r w:rsidRPr="00E367C1">
        <w:rPr>
          <w:b w:val="0"/>
          <w:noProof/>
          <w:sz w:val="18"/>
        </w:rPr>
        <w:fldChar w:fldCharType="separate"/>
      </w:r>
      <w:r w:rsidR="006C005B">
        <w:rPr>
          <w:b w:val="0"/>
          <w:noProof/>
          <w:sz w:val="18"/>
        </w:rPr>
        <w:t>14</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_Toc44406855 \h </w:instrText>
      </w:r>
      <w:r w:rsidRPr="00E367C1">
        <w:rPr>
          <w:i w:val="0"/>
          <w:noProof/>
          <w:sz w:val="18"/>
        </w:rPr>
      </w:r>
      <w:r w:rsidRPr="00E367C1">
        <w:rPr>
          <w:i w:val="0"/>
          <w:noProof/>
          <w:sz w:val="18"/>
        </w:rPr>
        <w:fldChar w:fldCharType="separate"/>
      </w:r>
      <w:r w:rsidR="006C005B">
        <w:rPr>
          <w:i w:val="0"/>
          <w:noProof/>
          <w:sz w:val="18"/>
        </w:rPr>
        <w:t>14</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6—Preliminary assessment of applications for variation of permissible ingredients determination</w:t>
      </w:r>
      <w:r w:rsidRPr="00E367C1">
        <w:rPr>
          <w:b w:val="0"/>
          <w:noProof/>
          <w:sz w:val="18"/>
        </w:rPr>
        <w:tab/>
      </w:r>
      <w:r w:rsidRPr="00E367C1">
        <w:rPr>
          <w:b w:val="0"/>
          <w:noProof/>
          <w:sz w:val="18"/>
        </w:rPr>
        <w:fldChar w:fldCharType="begin"/>
      </w:r>
      <w:r w:rsidRPr="00E367C1">
        <w:rPr>
          <w:b w:val="0"/>
          <w:noProof/>
          <w:sz w:val="18"/>
        </w:rPr>
        <w:instrText xml:space="preserve"> PAGEREF _Toc44406858 \h </w:instrText>
      </w:r>
      <w:r w:rsidRPr="00E367C1">
        <w:rPr>
          <w:b w:val="0"/>
          <w:noProof/>
          <w:sz w:val="18"/>
        </w:rPr>
      </w:r>
      <w:r w:rsidRPr="00E367C1">
        <w:rPr>
          <w:b w:val="0"/>
          <w:noProof/>
          <w:sz w:val="18"/>
        </w:rPr>
        <w:fldChar w:fldCharType="separate"/>
      </w:r>
      <w:r w:rsidR="006C005B">
        <w:rPr>
          <w:b w:val="0"/>
          <w:noProof/>
          <w:sz w:val="18"/>
        </w:rPr>
        <w:t>15</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_Toc44406859 \h </w:instrText>
      </w:r>
      <w:r w:rsidRPr="00E367C1">
        <w:rPr>
          <w:i w:val="0"/>
          <w:noProof/>
          <w:sz w:val="18"/>
        </w:rPr>
      </w:r>
      <w:r w:rsidRPr="00E367C1">
        <w:rPr>
          <w:i w:val="0"/>
          <w:noProof/>
          <w:sz w:val="18"/>
        </w:rPr>
        <w:fldChar w:fldCharType="separate"/>
      </w:r>
      <w:r w:rsidR="006C005B">
        <w:rPr>
          <w:i w:val="0"/>
          <w:noProof/>
          <w:sz w:val="18"/>
        </w:rPr>
        <w:t>15</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7—In</w:t>
      </w:r>
      <w:r>
        <w:rPr>
          <w:noProof/>
        </w:rPr>
        <w:noBreakHyphen/>
        <w:t>house IVD medical devices</w:t>
      </w:r>
      <w:r w:rsidRPr="00E367C1">
        <w:rPr>
          <w:b w:val="0"/>
          <w:noProof/>
          <w:sz w:val="18"/>
        </w:rPr>
        <w:tab/>
      </w:r>
      <w:r w:rsidRPr="00E367C1">
        <w:rPr>
          <w:b w:val="0"/>
          <w:noProof/>
          <w:sz w:val="18"/>
        </w:rPr>
        <w:fldChar w:fldCharType="begin"/>
      </w:r>
      <w:r w:rsidRPr="00E367C1">
        <w:rPr>
          <w:b w:val="0"/>
          <w:noProof/>
          <w:sz w:val="18"/>
        </w:rPr>
        <w:instrText xml:space="preserve"> PAGEREF _Toc44406861 \h </w:instrText>
      </w:r>
      <w:r w:rsidRPr="00E367C1">
        <w:rPr>
          <w:b w:val="0"/>
          <w:noProof/>
          <w:sz w:val="18"/>
        </w:rPr>
      </w:r>
      <w:r w:rsidRPr="00E367C1">
        <w:rPr>
          <w:b w:val="0"/>
          <w:noProof/>
          <w:sz w:val="18"/>
        </w:rPr>
        <w:fldChar w:fldCharType="separate"/>
      </w:r>
      <w:r w:rsidR="006C005B">
        <w:rPr>
          <w:b w:val="0"/>
          <w:noProof/>
          <w:sz w:val="18"/>
        </w:rPr>
        <w:t>18</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_Toc44406862 \h </w:instrText>
      </w:r>
      <w:r w:rsidRPr="00E367C1">
        <w:rPr>
          <w:i w:val="0"/>
          <w:noProof/>
          <w:sz w:val="18"/>
        </w:rPr>
      </w:r>
      <w:r w:rsidRPr="00E367C1">
        <w:rPr>
          <w:i w:val="0"/>
          <w:noProof/>
          <w:sz w:val="18"/>
        </w:rPr>
        <w:fldChar w:fldCharType="separate"/>
      </w:r>
      <w:r w:rsidR="006C005B">
        <w:rPr>
          <w:i w:val="0"/>
          <w:noProof/>
          <w:sz w:val="18"/>
        </w:rPr>
        <w:t>18</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8—Changed commencement for reforms in the Therapeutic Goods Legislation Amendment (2019 Measures No. 1) Regulations 2019</w:t>
      </w:r>
      <w:r w:rsidRPr="00E367C1">
        <w:rPr>
          <w:b w:val="0"/>
          <w:noProof/>
          <w:sz w:val="18"/>
        </w:rPr>
        <w:tab/>
      </w:r>
      <w:r w:rsidRPr="00E367C1">
        <w:rPr>
          <w:b w:val="0"/>
          <w:noProof/>
          <w:sz w:val="18"/>
        </w:rPr>
        <w:fldChar w:fldCharType="begin"/>
      </w:r>
      <w:r w:rsidRPr="00E367C1">
        <w:rPr>
          <w:b w:val="0"/>
          <w:noProof/>
          <w:sz w:val="18"/>
        </w:rPr>
        <w:instrText xml:space="preserve"> PAGEREF _Toc44406864 \h </w:instrText>
      </w:r>
      <w:r w:rsidRPr="00E367C1">
        <w:rPr>
          <w:b w:val="0"/>
          <w:noProof/>
          <w:sz w:val="18"/>
        </w:rPr>
      </w:r>
      <w:r w:rsidRPr="00E367C1">
        <w:rPr>
          <w:b w:val="0"/>
          <w:noProof/>
          <w:sz w:val="18"/>
        </w:rPr>
        <w:fldChar w:fldCharType="separate"/>
      </w:r>
      <w:r w:rsidR="006C005B">
        <w:rPr>
          <w:b w:val="0"/>
          <w:noProof/>
          <w:sz w:val="18"/>
        </w:rPr>
        <w:t>21</w:t>
      </w:r>
      <w:r w:rsidRPr="00E367C1">
        <w:rPr>
          <w:b w:val="0"/>
          <w:noProof/>
          <w:sz w:val="18"/>
        </w:rPr>
        <w:fldChar w:fldCharType="end"/>
      </w:r>
    </w:p>
    <w:p w:rsidR="00E367C1" w:rsidRDefault="00E367C1">
      <w:pPr>
        <w:pStyle w:val="TOC7"/>
        <w:rPr>
          <w:rFonts w:asciiTheme="minorHAnsi" w:eastAsiaTheme="minorEastAsia" w:hAnsiTheme="minorHAnsi" w:cstheme="minorBidi"/>
          <w:noProof/>
          <w:kern w:val="0"/>
          <w:sz w:val="22"/>
          <w:szCs w:val="22"/>
        </w:rPr>
      </w:pPr>
      <w:r>
        <w:rPr>
          <w:noProof/>
        </w:rPr>
        <w:t>Part 1—Main changes</w:t>
      </w:r>
      <w:r w:rsidRPr="00E367C1">
        <w:rPr>
          <w:noProof/>
          <w:sz w:val="18"/>
        </w:rPr>
        <w:tab/>
      </w:r>
      <w:r w:rsidRPr="00E367C1">
        <w:rPr>
          <w:noProof/>
          <w:sz w:val="18"/>
        </w:rPr>
        <w:fldChar w:fldCharType="begin"/>
      </w:r>
      <w:r w:rsidRPr="00E367C1">
        <w:rPr>
          <w:noProof/>
          <w:sz w:val="18"/>
        </w:rPr>
        <w:instrText xml:space="preserve"> PAGEREF _Toc44406865 \h </w:instrText>
      </w:r>
      <w:r w:rsidRPr="00E367C1">
        <w:rPr>
          <w:noProof/>
          <w:sz w:val="18"/>
        </w:rPr>
      </w:r>
      <w:r w:rsidRPr="00E367C1">
        <w:rPr>
          <w:noProof/>
          <w:sz w:val="18"/>
        </w:rPr>
        <w:fldChar w:fldCharType="separate"/>
      </w:r>
      <w:r w:rsidR="006C005B">
        <w:rPr>
          <w:noProof/>
          <w:sz w:val="18"/>
        </w:rPr>
        <w:t>21</w:t>
      </w:r>
      <w:r w:rsidRPr="00E367C1">
        <w:rPr>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Legislation Amendment (2019 Measures No. 1) Regulations 2019</w:t>
      </w:r>
      <w:r w:rsidRPr="00E367C1">
        <w:rPr>
          <w:i w:val="0"/>
          <w:noProof/>
          <w:sz w:val="18"/>
        </w:rPr>
        <w:tab/>
      </w:r>
      <w:r w:rsidRPr="00E367C1">
        <w:rPr>
          <w:i w:val="0"/>
          <w:noProof/>
          <w:sz w:val="18"/>
        </w:rPr>
        <w:fldChar w:fldCharType="begin"/>
      </w:r>
      <w:r w:rsidRPr="00E367C1">
        <w:rPr>
          <w:i w:val="0"/>
          <w:noProof/>
          <w:sz w:val="18"/>
        </w:rPr>
        <w:instrText xml:space="preserve"> PAGEREF _Toc44406866 \h </w:instrText>
      </w:r>
      <w:r w:rsidRPr="00E367C1">
        <w:rPr>
          <w:i w:val="0"/>
          <w:noProof/>
          <w:sz w:val="18"/>
        </w:rPr>
      </w:r>
      <w:r w:rsidRPr="00E367C1">
        <w:rPr>
          <w:i w:val="0"/>
          <w:noProof/>
          <w:sz w:val="18"/>
        </w:rPr>
        <w:fldChar w:fldCharType="separate"/>
      </w:r>
      <w:r w:rsidR="006C005B">
        <w:rPr>
          <w:i w:val="0"/>
          <w:noProof/>
          <w:sz w:val="18"/>
        </w:rPr>
        <w:t>21</w:t>
      </w:r>
      <w:r w:rsidRPr="00E367C1">
        <w:rPr>
          <w:i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_Toc44406867 \h </w:instrText>
      </w:r>
      <w:r w:rsidRPr="00E367C1">
        <w:rPr>
          <w:i w:val="0"/>
          <w:noProof/>
          <w:sz w:val="18"/>
        </w:rPr>
      </w:r>
      <w:r w:rsidRPr="00E367C1">
        <w:rPr>
          <w:i w:val="0"/>
          <w:noProof/>
          <w:sz w:val="18"/>
        </w:rPr>
        <w:fldChar w:fldCharType="separate"/>
      </w:r>
      <w:r w:rsidR="006C005B">
        <w:rPr>
          <w:i w:val="0"/>
          <w:noProof/>
          <w:sz w:val="18"/>
        </w:rPr>
        <w:t>21</w:t>
      </w:r>
      <w:r w:rsidRPr="00E367C1">
        <w:rPr>
          <w:i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_Toc44406868 \h </w:instrText>
      </w:r>
      <w:r w:rsidRPr="00E367C1">
        <w:rPr>
          <w:i w:val="0"/>
          <w:noProof/>
          <w:sz w:val="18"/>
        </w:rPr>
      </w:r>
      <w:r w:rsidRPr="00E367C1">
        <w:rPr>
          <w:i w:val="0"/>
          <w:noProof/>
          <w:sz w:val="18"/>
        </w:rPr>
        <w:fldChar w:fldCharType="separate"/>
      </w:r>
      <w:r w:rsidR="006C005B">
        <w:rPr>
          <w:i w:val="0"/>
          <w:noProof/>
          <w:sz w:val="18"/>
        </w:rPr>
        <w:t>22</w:t>
      </w:r>
      <w:r w:rsidRPr="00E367C1">
        <w:rPr>
          <w:i w:val="0"/>
          <w:noProof/>
          <w:sz w:val="18"/>
        </w:rPr>
        <w:fldChar w:fldCharType="end"/>
      </w:r>
    </w:p>
    <w:p w:rsidR="00E367C1" w:rsidRDefault="00E367C1">
      <w:pPr>
        <w:pStyle w:val="TOC7"/>
        <w:rPr>
          <w:rFonts w:asciiTheme="minorHAnsi" w:eastAsiaTheme="minorEastAsia" w:hAnsiTheme="minorHAnsi" w:cstheme="minorBidi"/>
          <w:noProof/>
          <w:kern w:val="0"/>
          <w:sz w:val="22"/>
          <w:szCs w:val="22"/>
        </w:rPr>
      </w:pPr>
      <w:r>
        <w:rPr>
          <w:noProof/>
        </w:rPr>
        <w:t>Part 2—Other changes</w:t>
      </w:r>
      <w:r w:rsidRPr="00E367C1">
        <w:rPr>
          <w:noProof/>
          <w:sz w:val="18"/>
        </w:rPr>
        <w:tab/>
      </w:r>
      <w:r w:rsidRPr="00E367C1">
        <w:rPr>
          <w:noProof/>
          <w:sz w:val="18"/>
        </w:rPr>
        <w:fldChar w:fldCharType="begin"/>
      </w:r>
      <w:r w:rsidRPr="00E367C1">
        <w:rPr>
          <w:noProof/>
          <w:sz w:val="18"/>
        </w:rPr>
        <w:instrText xml:space="preserve"> PAGEREF _Toc44406869 \h </w:instrText>
      </w:r>
      <w:r w:rsidRPr="00E367C1">
        <w:rPr>
          <w:noProof/>
          <w:sz w:val="18"/>
        </w:rPr>
      </w:r>
      <w:r w:rsidRPr="00E367C1">
        <w:rPr>
          <w:noProof/>
          <w:sz w:val="18"/>
        </w:rPr>
        <w:fldChar w:fldCharType="separate"/>
      </w:r>
      <w:r w:rsidR="006C005B">
        <w:rPr>
          <w:noProof/>
          <w:sz w:val="18"/>
        </w:rPr>
        <w:t>24</w:t>
      </w:r>
      <w:r w:rsidRPr="00E367C1">
        <w:rPr>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_Toc44406870 \h </w:instrText>
      </w:r>
      <w:r w:rsidRPr="00E367C1">
        <w:rPr>
          <w:i w:val="0"/>
          <w:noProof/>
          <w:sz w:val="18"/>
        </w:rPr>
      </w:r>
      <w:r w:rsidRPr="00E367C1">
        <w:rPr>
          <w:i w:val="0"/>
          <w:noProof/>
          <w:sz w:val="18"/>
        </w:rPr>
        <w:fldChar w:fldCharType="separate"/>
      </w:r>
      <w:r w:rsidR="006C005B">
        <w:rPr>
          <w:i w:val="0"/>
          <w:noProof/>
          <w:sz w:val="18"/>
        </w:rPr>
        <w:t>24</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9—Other amendments</w:t>
      </w:r>
      <w:r w:rsidRPr="00E367C1">
        <w:rPr>
          <w:b w:val="0"/>
          <w:noProof/>
          <w:sz w:val="18"/>
        </w:rPr>
        <w:tab/>
      </w:r>
      <w:r w:rsidRPr="00E367C1">
        <w:rPr>
          <w:b w:val="0"/>
          <w:noProof/>
          <w:sz w:val="18"/>
        </w:rPr>
        <w:fldChar w:fldCharType="begin"/>
      </w:r>
      <w:r w:rsidRPr="00E367C1">
        <w:rPr>
          <w:b w:val="0"/>
          <w:noProof/>
          <w:sz w:val="18"/>
        </w:rPr>
        <w:instrText xml:space="preserve"> PAGEREF _Toc44406871 \h </w:instrText>
      </w:r>
      <w:r w:rsidRPr="00E367C1">
        <w:rPr>
          <w:b w:val="0"/>
          <w:noProof/>
          <w:sz w:val="18"/>
        </w:rPr>
      </w:r>
      <w:r w:rsidRPr="00E367C1">
        <w:rPr>
          <w:b w:val="0"/>
          <w:noProof/>
          <w:sz w:val="18"/>
        </w:rPr>
        <w:fldChar w:fldCharType="separate"/>
      </w:r>
      <w:r w:rsidR="006C005B">
        <w:rPr>
          <w:b w:val="0"/>
          <w:noProof/>
          <w:sz w:val="18"/>
        </w:rPr>
        <w:t>25</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_Toc44406872 \h </w:instrText>
      </w:r>
      <w:r w:rsidRPr="00E367C1">
        <w:rPr>
          <w:i w:val="0"/>
          <w:noProof/>
          <w:sz w:val="18"/>
        </w:rPr>
      </w:r>
      <w:r w:rsidRPr="00E367C1">
        <w:rPr>
          <w:i w:val="0"/>
          <w:noProof/>
          <w:sz w:val="18"/>
        </w:rPr>
        <w:fldChar w:fldCharType="separate"/>
      </w:r>
      <w:r w:rsidR="006C005B">
        <w:rPr>
          <w:i w:val="0"/>
          <w:noProof/>
          <w:sz w:val="18"/>
        </w:rPr>
        <w:t>25</w:t>
      </w:r>
      <w:r w:rsidRPr="00E367C1">
        <w:rPr>
          <w:i w:val="0"/>
          <w:noProof/>
          <w:sz w:val="18"/>
        </w:rPr>
        <w:fldChar w:fldCharType="end"/>
      </w:r>
    </w:p>
    <w:p w:rsidR="00E367C1" w:rsidRDefault="00E367C1">
      <w:pPr>
        <w:pStyle w:val="TOC6"/>
        <w:rPr>
          <w:rFonts w:asciiTheme="minorHAnsi" w:eastAsiaTheme="minorEastAsia" w:hAnsiTheme="minorHAnsi" w:cstheme="minorBidi"/>
          <w:b w:val="0"/>
          <w:noProof/>
          <w:kern w:val="0"/>
          <w:sz w:val="22"/>
          <w:szCs w:val="22"/>
        </w:rPr>
      </w:pPr>
      <w:r>
        <w:rPr>
          <w:noProof/>
        </w:rPr>
        <w:t>Schedule 10—Application and transitional provisions</w:t>
      </w:r>
      <w:r w:rsidRPr="00E367C1">
        <w:rPr>
          <w:b w:val="0"/>
          <w:noProof/>
          <w:sz w:val="18"/>
        </w:rPr>
        <w:tab/>
      </w:r>
      <w:r w:rsidRPr="00E367C1">
        <w:rPr>
          <w:b w:val="0"/>
          <w:noProof/>
          <w:sz w:val="18"/>
        </w:rPr>
        <w:fldChar w:fldCharType="begin"/>
      </w:r>
      <w:r w:rsidRPr="00E367C1">
        <w:rPr>
          <w:b w:val="0"/>
          <w:noProof/>
          <w:sz w:val="18"/>
        </w:rPr>
        <w:instrText xml:space="preserve"> PAGEREF _Toc44406874 \h </w:instrText>
      </w:r>
      <w:r w:rsidRPr="00E367C1">
        <w:rPr>
          <w:b w:val="0"/>
          <w:noProof/>
          <w:sz w:val="18"/>
        </w:rPr>
      </w:r>
      <w:r w:rsidRPr="00E367C1">
        <w:rPr>
          <w:b w:val="0"/>
          <w:noProof/>
          <w:sz w:val="18"/>
        </w:rPr>
        <w:fldChar w:fldCharType="separate"/>
      </w:r>
      <w:r w:rsidR="006C005B">
        <w:rPr>
          <w:b w:val="0"/>
          <w:noProof/>
          <w:sz w:val="18"/>
        </w:rPr>
        <w:t>28</w:t>
      </w:r>
      <w:r w:rsidRPr="00E367C1">
        <w:rPr>
          <w:b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E367C1">
        <w:rPr>
          <w:i w:val="0"/>
          <w:noProof/>
          <w:sz w:val="18"/>
        </w:rPr>
        <w:tab/>
      </w:r>
      <w:r w:rsidRPr="00E367C1">
        <w:rPr>
          <w:i w:val="0"/>
          <w:noProof/>
          <w:sz w:val="18"/>
        </w:rPr>
        <w:fldChar w:fldCharType="begin"/>
      </w:r>
      <w:r w:rsidRPr="00E367C1">
        <w:rPr>
          <w:i w:val="0"/>
          <w:noProof/>
          <w:sz w:val="18"/>
        </w:rPr>
        <w:instrText xml:space="preserve"> PAGEREF _Toc44406875 \h </w:instrText>
      </w:r>
      <w:r w:rsidRPr="00E367C1">
        <w:rPr>
          <w:i w:val="0"/>
          <w:noProof/>
          <w:sz w:val="18"/>
        </w:rPr>
      </w:r>
      <w:r w:rsidRPr="00E367C1">
        <w:rPr>
          <w:i w:val="0"/>
          <w:noProof/>
          <w:sz w:val="18"/>
        </w:rPr>
        <w:fldChar w:fldCharType="separate"/>
      </w:r>
      <w:r w:rsidR="006C005B">
        <w:rPr>
          <w:i w:val="0"/>
          <w:noProof/>
          <w:sz w:val="18"/>
        </w:rPr>
        <w:t>28</w:t>
      </w:r>
      <w:r w:rsidRPr="00E367C1">
        <w:rPr>
          <w:i w:val="0"/>
          <w:noProof/>
          <w:sz w:val="18"/>
        </w:rPr>
        <w:fldChar w:fldCharType="end"/>
      </w:r>
    </w:p>
    <w:p w:rsidR="00E367C1" w:rsidRDefault="00E367C1">
      <w:pPr>
        <w:pStyle w:val="TOC9"/>
        <w:rPr>
          <w:rFonts w:asciiTheme="minorHAnsi" w:eastAsiaTheme="minorEastAsia" w:hAnsiTheme="minorHAnsi" w:cstheme="minorBidi"/>
          <w:i w:val="0"/>
          <w:noProof/>
          <w:kern w:val="0"/>
          <w:sz w:val="22"/>
          <w:szCs w:val="22"/>
        </w:rPr>
      </w:pPr>
      <w:r>
        <w:rPr>
          <w:noProof/>
        </w:rPr>
        <w:t>Therapeutic Goods Regulations 1990</w:t>
      </w:r>
      <w:r w:rsidRPr="00E367C1">
        <w:rPr>
          <w:i w:val="0"/>
          <w:noProof/>
          <w:sz w:val="18"/>
        </w:rPr>
        <w:tab/>
      </w:r>
      <w:r w:rsidRPr="00E367C1">
        <w:rPr>
          <w:i w:val="0"/>
          <w:noProof/>
          <w:sz w:val="18"/>
        </w:rPr>
        <w:fldChar w:fldCharType="begin"/>
      </w:r>
      <w:r w:rsidRPr="00E367C1">
        <w:rPr>
          <w:i w:val="0"/>
          <w:noProof/>
          <w:sz w:val="18"/>
        </w:rPr>
        <w:instrText xml:space="preserve"> PAGEREF _Toc44406880 \h </w:instrText>
      </w:r>
      <w:r w:rsidRPr="00E367C1">
        <w:rPr>
          <w:i w:val="0"/>
          <w:noProof/>
          <w:sz w:val="18"/>
        </w:rPr>
      </w:r>
      <w:r w:rsidRPr="00E367C1">
        <w:rPr>
          <w:i w:val="0"/>
          <w:noProof/>
          <w:sz w:val="18"/>
        </w:rPr>
        <w:fldChar w:fldCharType="separate"/>
      </w:r>
      <w:r w:rsidR="006C005B">
        <w:rPr>
          <w:i w:val="0"/>
          <w:noProof/>
          <w:sz w:val="18"/>
        </w:rPr>
        <w:t>28</w:t>
      </w:r>
      <w:r w:rsidRPr="00E367C1">
        <w:rPr>
          <w:i w:val="0"/>
          <w:noProof/>
          <w:sz w:val="18"/>
        </w:rPr>
        <w:fldChar w:fldCharType="end"/>
      </w:r>
    </w:p>
    <w:p w:rsidR="0048364F" w:rsidRPr="00E367C1" w:rsidRDefault="00E367C1" w:rsidP="0048364F">
      <w:r>
        <w:fldChar w:fldCharType="end"/>
      </w:r>
    </w:p>
    <w:p w:rsidR="0048364F" w:rsidRPr="00E367C1" w:rsidRDefault="0048364F" w:rsidP="0048364F">
      <w:pPr>
        <w:sectPr w:rsidR="0048364F" w:rsidRPr="00E367C1" w:rsidSect="007D2591">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E367C1" w:rsidRDefault="0048364F" w:rsidP="0048364F">
      <w:pPr>
        <w:pStyle w:val="ActHead5"/>
      </w:pPr>
      <w:bookmarkStart w:id="2" w:name="_Toc44406838"/>
      <w:r w:rsidRPr="00357BFF">
        <w:rPr>
          <w:rStyle w:val="CharSectno"/>
        </w:rPr>
        <w:lastRenderedPageBreak/>
        <w:t>1</w:t>
      </w:r>
      <w:r w:rsidRPr="00E367C1">
        <w:t xml:space="preserve">  </w:t>
      </w:r>
      <w:r w:rsidR="004F676E" w:rsidRPr="00E367C1">
        <w:t>Name</w:t>
      </w:r>
      <w:bookmarkEnd w:id="2"/>
    </w:p>
    <w:p w:rsidR="0048364F" w:rsidRPr="00E367C1" w:rsidRDefault="0048364F" w:rsidP="0048364F">
      <w:pPr>
        <w:pStyle w:val="subsection"/>
      </w:pPr>
      <w:r w:rsidRPr="00E367C1">
        <w:tab/>
      </w:r>
      <w:r w:rsidRPr="00E367C1">
        <w:tab/>
      </w:r>
      <w:r w:rsidR="00F71156" w:rsidRPr="00E367C1">
        <w:t>This instrument is</w:t>
      </w:r>
      <w:r w:rsidRPr="00E367C1">
        <w:t xml:space="preserve"> the </w:t>
      </w:r>
      <w:r w:rsidR="00F71156" w:rsidRPr="00E367C1">
        <w:rPr>
          <w:i/>
        </w:rPr>
        <w:t>Therapeutic Goods Legislation Amendment (2020 Measures No.</w:t>
      </w:r>
      <w:r w:rsidR="00E367C1" w:rsidRPr="00E367C1">
        <w:rPr>
          <w:i/>
        </w:rPr>
        <w:t> </w:t>
      </w:r>
      <w:r w:rsidR="00F71156" w:rsidRPr="00E367C1">
        <w:rPr>
          <w:i/>
        </w:rPr>
        <w:t xml:space="preserve">1) </w:t>
      </w:r>
      <w:r w:rsidR="004C29A0" w:rsidRPr="00E367C1">
        <w:rPr>
          <w:i/>
        </w:rPr>
        <w:t>Regulations</w:t>
      </w:r>
      <w:r w:rsidR="00E367C1" w:rsidRPr="00E367C1">
        <w:rPr>
          <w:i/>
        </w:rPr>
        <w:t> </w:t>
      </w:r>
      <w:r w:rsidR="004C29A0" w:rsidRPr="00E367C1">
        <w:rPr>
          <w:i/>
        </w:rPr>
        <w:t>2</w:t>
      </w:r>
      <w:r w:rsidR="00F71156" w:rsidRPr="00E367C1">
        <w:rPr>
          <w:i/>
        </w:rPr>
        <w:t>020</w:t>
      </w:r>
      <w:r w:rsidR="00F71156" w:rsidRPr="00E367C1">
        <w:t>.</w:t>
      </w:r>
    </w:p>
    <w:p w:rsidR="004F676E" w:rsidRPr="00E367C1" w:rsidRDefault="0048364F" w:rsidP="005452CC">
      <w:pPr>
        <w:pStyle w:val="ActHead5"/>
      </w:pPr>
      <w:bookmarkStart w:id="3" w:name="_Toc44406839"/>
      <w:r w:rsidRPr="00357BFF">
        <w:rPr>
          <w:rStyle w:val="CharSectno"/>
        </w:rPr>
        <w:t>2</w:t>
      </w:r>
      <w:r w:rsidRPr="00E367C1">
        <w:t xml:space="preserve">  Commencement</w:t>
      </w:r>
      <w:bookmarkEnd w:id="3"/>
    </w:p>
    <w:p w:rsidR="00AD286A" w:rsidRPr="00E367C1" w:rsidRDefault="00AD286A" w:rsidP="00EA1C31">
      <w:pPr>
        <w:pStyle w:val="subsection"/>
      </w:pPr>
      <w:r w:rsidRPr="00E367C1">
        <w:tab/>
        <w:t>(1)</w:t>
      </w:r>
      <w:r w:rsidRPr="00E367C1">
        <w:tab/>
        <w:t>Each provision of this instrument specified in column 1 of the table commences, or is taken to have commenced, in accordance with column 2 of the table. Any other statement in column 2 has effect according to its terms.</w:t>
      </w:r>
    </w:p>
    <w:p w:rsidR="00AD286A" w:rsidRPr="00E367C1" w:rsidRDefault="00AD286A" w:rsidP="00EA1C31">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3969"/>
        <w:gridCol w:w="2233"/>
      </w:tblGrid>
      <w:tr w:rsidR="00AD286A" w:rsidRPr="00E367C1" w:rsidTr="000B623C">
        <w:trPr>
          <w:cantSplit/>
          <w:tblHeader/>
        </w:trPr>
        <w:tc>
          <w:tcPr>
            <w:tcW w:w="8329" w:type="dxa"/>
            <w:gridSpan w:val="3"/>
            <w:tcBorders>
              <w:top w:val="single" w:sz="12" w:space="0" w:color="auto"/>
              <w:left w:val="nil"/>
              <w:bottom w:val="single" w:sz="6" w:space="0" w:color="auto"/>
              <w:right w:val="nil"/>
            </w:tcBorders>
            <w:hideMark/>
          </w:tcPr>
          <w:p w:rsidR="00AD286A" w:rsidRPr="00E367C1" w:rsidRDefault="00AD286A" w:rsidP="00EA1C31">
            <w:pPr>
              <w:pStyle w:val="TableHeading"/>
            </w:pPr>
            <w:r w:rsidRPr="00E367C1">
              <w:t>Commencement information</w:t>
            </w:r>
          </w:p>
        </w:tc>
      </w:tr>
      <w:tr w:rsidR="00AD286A" w:rsidRPr="00E367C1" w:rsidTr="000B623C">
        <w:trPr>
          <w:cantSplit/>
          <w:tblHeader/>
        </w:trPr>
        <w:tc>
          <w:tcPr>
            <w:tcW w:w="2127" w:type="dxa"/>
            <w:tcBorders>
              <w:top w:val="single" w:sz="6" w:space="0" w:color="auto"/>
              <w:left w:val="nil"/>
              <w:bottom w:val="single" w:sz="6" w:space="0" w:color="auto"/>
              <w:right w:val="nil"/>
            </w:tcBorders>
            <w:hideMark/>
          </w:tcPr>
          <w:p w:rsidR="00AD286A" w:rsidRPr="00E367C1" w:rsidRDefault="00AD286A" w:rsidP="00EA1C31">
            <w:pPr>
              <w:pStyle w:val="TableHeading"/>
            </w:pPr>
            <w:r w:rsidRPr="00E367C1">
              <w:t>Column 1</w:t>
            </w:r>
          </w:p>
        </w:tc>
        <w:tc>
          <w:tcPr>
            <w:tcW w:w="3969" w:type="dxa"/>
            <w:tcBorders>
              <w:top w:val="single" w:sz="6" w:space="0" w:color="auto"/>
              <w:left w:val="nil"/>
              <w:bottom w:val="single" w:sz="6" w:space="0" w:color="auto"/>
              <w:right w:val="nil"/>
            </w:tcBorders>
            <w:hideMark/>
          </w:tcPr>
          <w:p w:rsidR="00AD286A" w:rsidRPr="00E367C1" w:rsidRDefault="00AD286A" w:rsidP="00EA1C31">
            <w:pPr>
              <w:pStyle w:val="TableHeading"/>
            </w:pPr>
            <w:r w:rsidRPr="00E367C1">
              <w:t>Column 2</w:t>
            </w:r>
          </w:p>
        </w:tc>
        <w:tc>
          <w:tcPr>
            <w:tcW w:w="2233" w:type="dxa"/>
            <w:tcBorders>
              <w:top w:val="single" w:sz="6" w:space="0" w:color="auto"/>
              <w:left w:val="nil"/>
              <w:bottom w:val="single" w:sz="6" w:space="0" w:color="auto"/>
              <w:right w:val="nil"/>
            </w:tcBorders>
            <w:hideMark/>
          </w:tcPr>
          <w:p w:rsidR="00AD286A" w:rsidRPr="00E367C1" w:rsidRDefault="00AD286A" w:rsidP="00EA1C31">
            <w:pPr>
              <w:pStyle w:val="TableHeading"/>
            </w:pPr>
            <w:r w:rsidRPr="00E367C1">
              <w:t>Column 3</w:t>
            </w:r>
          </w:p>
        </w:tc>
      </w:tr>
      <w:tr w:rsidR="00AD286A" w:rsidRPr="00E367C1" w:rsidTr="000B623C">
        <w:trPr>
          <w:cantSplit/>
          <w:tblHeader/>
        </w:trPr>
        <w:tc>
          <w:tcPr>
            <w:tcW w:w="2127" w:type="dxa"/>
            <w:tcBorders>
              <w:top w:val="single" w:sz="6" w:space="0" w:color="auto"/>
              <w:left w:val="nil"/>
              <w:bottom w:val="single" w:sz="12" w:space="0" w:color="auto"/>
              <w:right w:val="nil"/>
            </w:tcBorders>
            <w:hideMark/>
          </w:tcPr>
          <w:p w:rsidR="00AD286A" w:rsidRPr="00E367C1" w:rsidRDefault="00AD286A" w:rsidP="00EA1C31">
            <w:pPr>
              <w:pStyle w:val="TableHeading"/>
            </w:pPr>
            <w:r w:rsidRPr="00E367C1">
              <w:t>Provisions</w:t>
            </w:r>
          </w:p>
        </w:tc>
        <w:tc>
          <w:tcPr>
            <w:tcW w:w="3969" w:type="dxa"/>
            <w:tcBorders>
              <w:top w:val="single" w:sz="6" w:space="0" w:color="auto"/>
              <w:left w:val="nil"/>
              <w:bottom w:val="single" w:sz="12" w:space="0" w:color="auto"/>
              <w:right w:val="nil"/>
            </w:tcBorders>
            <w:hideMark/>
          </w:tcPr>
          <w:p w:rsidR="00AD286A" w:rsidRPr="00E367C1" w:rsidRDefault="00AD286A" w:rsidP="00EA1C31">
            <w:pPr>
              <w:pStyle w:val="TableHeading"/>
            </w:pPr>
            <w:r w:rsidRPr="00E367C1">
              <w:t>Commencement</w:t>
            </w:r>
          </w:p>
        </w:tc>
        <w:tc>
          <w:tcPr>
            <w:tcW w:w="2233" w:type="dxa"/>
            <w:tcBorders>
              <w:top w:val="single" w:sz="6" w:space="0" w:color="auto"/>
              <w:left w:val="nil"/>
              <w:bottom w:val="single" w:sz="12" w:space="0" w:color="auto"/>
              <w:right w:val="nil"/>
            </w:tcBorders>
            <w:hideMark/>
          </w:tcPr>
          <w:p w:rsidR="00AD286A" w:rsidRPr="00E367C1" w:rsidRDefault="00AD286A" w:rsidP="00EA1C31">
            <w:pPr>
              <w:pStyle w:val="TableHeading"/>
            </w:pPr>
            <w:r w:rsidRPr="00E367C1">
              <w:t>Date/Details</w:t>
            </w:r>
          </w:p>
        </w:tc>
      </w:tr>
      <w:tr w:rsidR="00AD286A" w:rsidRPr="00E367C1" w:rsidTr="000B623C">
        <w:trPr>
          <w:cantSplit/>
        </w:trPr>
        <w:tc>
          <w:tcPr>
            <w:tcW w:w="2127" w:type="dxa"/>
            <w:tcBorders>
              <w:top w:val="single" w:sz="12" w:space="0" w:color="auto"/>
              <w:left w:val="nil"/>
              <w:bottom w:val="single" w:sz="2" w:space="0" w:color="auto"/>
              <w:right w:val="nil"/>
            </w:tcBorders>
            <w:hideMark/>
          </w:tcPr>
          <w:p w:rsidR="00AD286A" w:rsidRPr="00E367C1" w:rsidRDefault="00AD286A" w:rsidP="00EA1C31">
            <w:pPr>
              <w:pStyle w:val="Tabletext"/>
            </w:pPr>
            <w:r w:rsidRPr="00E367C1">
              <w:t xml:space="preserve">1.  </w:t>
            </w:r>
            <w:r w:rsidR="004C29A0" w:rsidRPr="00E367C1">
              <w:t>Sections</w:t>
            </w:r>
            <w:r w:rsidR="00E367C1" w:rsidRPr="00E367C1">
              <w:t> </w:t>
            </w:r>
            <w:r w:rsidR="004C29A0" w:rsidRPr="00E367C1">
              <w:t>1</w:t>
            </w:r>
            <w:r w:rsidR="007E5744" w:rsidRPr="00E367C1">
              <w:t xml:space="preserve"> to 4</w:t>
            </w:r>
            <w:r w:rsidRPr="00E367C1">
              <w:t xml:space="preserve"> and anything in this instrument not elsewhere covered by this table</w:t>
            </w:r>
          </w:p>
        </w:tc>
        <w:tc>
          <w:tcPr>
            <w:tcW w:w="3969" w:type="dxa"/>
            <w:tcBorders>
              <w:top w:val="single" w:sz="12" w:space="0" w:color="auto"/>
              <w:left w:val="nil"/>
              <w:bottom w:val="single" w:sz="2" w:space="0" w:color="auto"/>
              <w:right w:val="nil"/>
            </w:tcBorders>
            <w:hideMark/>
          </w:tcPr>
          <w:p w:rsidR="00AD286A" w:rsidRPr="00E367C1" w:rsidRDefault="00AD286A" w:rsidP="00EA1C31">
            <w:pPr>
              <w:pStyle w:val="Tabletext"/>
            </w:pPr>
            <w:r w:rsidRPr="00E367C1">
              <w:t>The day after this instrument is registered.</w:t>
            </w:r>
          </w:p>
        </w:tc>
        <w:tc>
          <w:tcPr>
            <w:tcW w:w="2233" w:type="dxa"/>
            <w:tcBorders>
              <w:top w:val="single" w:sz="12" w:space="0" w:color="auto"/>
              <w:left w:val="nil"/>
              <w:bottom w:val="single" w:sz="2" w:space="0" w:color="auto"/>
              <w:right w:val="nil"/>
            </w:tcBorders>
          </w:tcPr>
          <w:p w:rsidR="00AD286A" w:rsidRPr="00E367C1" w:rsidRDefault="003318E9">
            <w:pPr>
              <w:pStyle w:val="Tabletext"/>
            </w:pPr>
            <w:r>
              <w:t>24 July 2020</w:t>
            </w:r>
            <w:bookmarkStart w:id="4" w:name="_GoBack"/>
            <w:bookmarkEnd w:id="4"/>
          </w:p>
        </w:tc>
      </w:tr>
      <w:tr w:rsidR="001C3197" w:rsidRPr="00E367C1" w:rsidTr="000B623C">
        <w:trPr>
          <w:cantSplit/>
        </w:trPr>
        <w:tc>
          <w:tcPr>
            <w:tcW w:w="2127" w:type="dxa"/>
            <w:tcBorders>
              <w:top w:val="single" w:sz="2" w:space="0" w:color="auto"/>
              <w:left w:val="nil"/>
              <w:bottom w:val="single" w:sz="2" w:space="0" w:color="auto"/>
              <w:right w:val="nil"/>
            </w:tcBorders>
            <w:hideMark/>
          </w:tcPr>
          <w:p w:rsidR="001C3197" w:rsidRPr="00E367C1" w:rsidRDefault="00CD5527" w:rsidP="006E3B34">
            <w:pPr>
              <w:pStyle w:val="Tabletext"/>
            </w:pPr>
            <w:r w:rsidRPr="00E367C1">
              <w:t>2</w:t>
            </w:r>
            <w:r w:rsidR="001C3197" w:rsidRPr="00E367C1">
              <w:t xml:space="preserve">.  </w:t>
            </w:r>
            <w:r w:rsidR="00EB2DA8" w:rsidRPr="00E367C1">
              <w:t>Schedule</w:t>
            </w:r>
            <w:r w:rsidR="00E367C1" w:rsidRPr="00E367C1">
              <w:t> </w:t>
            </w:r>
            <w:r w:rsidR="00EB2DA8" w:rsidRPr="00E367C1">
              <w:t>1</w:t>
            </w:r>
          </w:p>
        </w:tc>
        <w:tc>
          <w:tcPr>
            <w:tcW w:w="3969" w:type="dxa"/>
            <w:tcBorders>
              <w:top w:val="single" w:sz="2" w:space="0" w:color="auto"/>
              <w:left w:val="nil"/>
              <w:bottom w:val="single" w:sz="2" w:space="0" w:color="auto"/>
              <w:right w:val="nil"/>
            </w:tcBorders>
          </w:tcPr>
          <w:p w:rsidR="001C3197" w:rsidRPr="00E367C1" w:rsidRDefault="001C3197" w:rsidP="00CD5527">
            <w:pPr>
              <w:pStyle w:val="Tabletext"/>
            </w:pPr>
            <w:r w:rsidRPr="00E367C1">
              <w:t xml:space="preserve">At the same time as </w:t>
            </w:r>
            <w:r w:rsidR="00E832C1" w:rsidRPr="00E367C1">
              <w:t>Part</w:t>
            </w:r>
            <w:r w:rsidR="00E367C1" w:rsidRPr="00E367C1">
              <w:t> </w:t>
            </w:r>
            <w:r w:rsidR="00E832C1" w:rsidRPr="00E367C1">
              <w:t>1</w:t>
            </w:r>
            <w:r w:rsidR="00CD5527" w:rsidRPr="00E367C1">
              <w:t xml:space="preserve"> of </w:t>
            </w:r>
            <w:r w:rsidR="00EB2DA8" w:rsidRPr="00E367C1">
              <w:t>Schedule</w:t>
            </w:r>
            <w:r w:rsidR="00E367C1" w:rsidRPr="00E367C1">
              <w:t> </w:t>
            </w:r>
            <w:r w:rsidR="00EB2DA8" w:rsidRPr="00E367C1">
              <w:t>1</w:t>
            </w:r>
            <w:r w:rsidRPr="00E367C1">
              <w:t xml:space="preserve"> to the </w:t>
            </w:r>
            <w:r w:rsidRPr="00E367C1">
              <w:rPr>
                <w:i/>
              </w:rPr>
              <w:t>Therapeutic Goods Amendment (2020 Measures No.</w:t>
            </w:r>
            <w:r w:rsidR="00E367C1" w:rsidRPr="00E367C1">
              <w:rPr>
                <w:i/>
              </w:rPr>
              <w:t> </w:t>
            </w:r>
            <w:r w:rsidRPr="00E367C1">
              <w:rPr>
                <w:i/>
              </w:rPr>
              <w:t>1) Act 2020</w:t>
            </w:r>
            <w:r w:rsidRPr="00E367C1">
              <w:t xml:space="preserve"> commences.</w:t>
            </w:r>
          </w:p>
        </w:tc>
        <w:tc>
          <w:tcPr>
            <w:tcW w:w="2233" w:type="dxa"/>
            <w:tcBorders>
              <w:top w:val="single" w:sz="2" w:space="0" w:color="auto"/>
              <w:left w:val="nil"/>
              <w:bottom w:val="single" w:sz="2" w:space="0" w:color="auto"/>
              <w:right w:val="nil"/>
            </w:tcBorders>
          </w:tcPr>
          <w:p w:rsidR="001C3197" w:rsidRPr="00E367C1" w:rsidRDefault="003318E9">
            <w:pPr>
              <w:pStyle w:val="Tabletext"/>
            </w:pPr>
            <w:r>
              <w:t>25 August 2020</w:t>
            </w:r>
          </w:p>
        </w:tc>
      </w:tr>
      <w:tr w:rsidR="00AD286A" w:rsidRPr="00E367C1" w:rsidTr="000B623C">
        <w:trPr>
          <w:cantSplit/>
        </w:trPr>
        <w:tc>
          <w:tcPr>
            <w:tcW w:w="2127" w:type="dxa"/>
            <w:tcBorders>
              <w:top w:val="single" w:sz="2" w:space="0" w:color="auto"/>
              <w:left w:val="nil"/>
              <w:bottom w:val="single" w:sz="2" w:space="0" w:color="auto"/>
              <w:right w:val="nil"/>
            </w:tcBorders>
            <w:hideMark/>
          </w:tcPr>
          <w:p w:rsidR="00AD286A" w:rsidRPr="00E367C1" w:rsidRDefault="00AD286A" w:rsidP="00DB01B3">
            <w:pPr>
              <w:pStyle w:val="Tabletext"/>
            </w:pPr>
            <w:r w:rsidRPr="00E367C1">
              <w:t xml:space="preserve">3.  </w:t>
            </w:r>
            <w:r w:rsidR="00E832C1" w:rsidRPr="00E367C1">
              <w:t>Schedules</w:t>
            </w:r>
            <w:r w:rsidR="00E367C1" w:rsidRPr="00E367C1">
              <w:t> </w:t>
            </w:r>
            <w:r w:rsidR="00E832C1" w:rsidRPr="00E367C1">
              <w:t>2</w:t>
            </w:r>
            <w:r w:rsidR="00482FDC" w:rsidRPr="00E367C1">
              <w:t xml:space="preserve"> </w:t>
            </w:r>
            <w:r w:rsidR="00905852" w:rsidRPr="00E367C1">
              <w:t>to 4</w:t>
            </w:r>
          </w:p>
        </w:tc>
        <w:tc>
          <w:tcPr>
            <w:tcW w:w="3969" w:type="dxa"/>
            <w:tcBorders>
              <w:top w:val="single" w:sz="2" w:space="0" w:color="auto"/>
              <w:left w:val="nil"/>
              <w:bottom w:val="single" w:sz="2" w:space="0" w:color="auto"/>
              <w:right w:val="nil"/>
            </w:tcBorders>
          </w:tcPr>
          <w:p w:rsidR="00AD286A" w:rsidRPr="00E367C1" w:rsidRDefault="00AD286A">
            <w:pPr>
              <w:pStyle w:val="Tabletext"/>
            </w:pPr>
            <w:r w:rsidRPr="00E367C1">
              <w:t>The day after this instrument is registered</w:t>
            </w:r>
            <w:r w:rsidR="00905852" w:rsidRPr="00E367C1">
              <w:t>.</w:t>
            </w:r>
          </w:p>
        </w:tc>
        <w:tc>
          <w:tcPr>
            <w:tcW w:w="2233" w:type="dxa"/>
            <w:tcBorders>
              <w:top w:val="single" w:sz="2" w:space="0" w:color="auto"/>
              <w:left w:val="nil"/>
              <w:bottom w:val="single" w:sz="2" w:space="0" w:color="auto"/>
              <w:right w:val="nil"/>
            </w:tcBorders>
          </w:tcPr>
          <w:p w:rsidR="00AD286A" w:rsidRPr="00E367C1" w:rsidRDefault="003318E9">
            <w:pPr>
              <w:pStyle w:val="Tabletext"/>
            </w:pPr>
            <w:r>
              <w:t>24 July 2020</w:t>
            </w:r>
          </w:p>
        </w:tc>
      </w:tr>
      <w:tr w:rsidR="00F625B2" w:rsidRPr="00E367C1" w:rsidTr="000B623C">
        <w:trPr>
          <w:cantSplit/>
        </w:trPr>
        <w:tc>
          <w:tcPr>
            <w:tcW w:w="2127" w:type="dxa"/>
            <w:tcBorders>
              <w:top w:val="single" w:sz="2" w:space="0" w:color="auto"/>
              <w:left w:val="nil"/>
              <w:bottom w:val="single" w:sz="2" w:space="0" w:color="auto"/>
              <w:right w:val="nil"/>
            </w:tcBorders>
            <w:hideMark/>
          </w:tcPr>
          <w:p w:rsidR="00F625B2" w:rsidRPr="00E367C1" w:rsidRDefault="00F625B2" w:rsidP="00DB01B3">
            <w:pPr>
              <w:pStyle w:val="Tabletext"/>
            </w:pPr>
            <w:r w:rsidRPr="00E367C1">
              <w:t xml:space="preserve">4.  </w:t>
            </w:r>
            <w:r w:rsidR="00E832C1" w:rsidRPr="00E367C1">
              <w:t>Schedule</w:t>
            </w:r>
            <w:r w:rsidR="00E367C1" w:rsidRPr="00E367C1">
              <w:t> </w:t>
            </w:r>
            <w:r w:rsidR="00E832C1" w:rsidRPr="00E367C1">
              <w:t>5</w:t>
            </w:r>
          </w:p>
        </w:tc>
        <w:tc>
          <w:tcPr>
            <w:tcW w:w="3969" w:type="dxa"/>
            <w:tcBorders>
              <w:top w:val="single" w:sz="2" w:space="0" w:color="auto"/>
              <w:left w:val="nil"/>
              <w:bottom w:val="single" w:sz="2" w:space="0" w:color="auto"/>
              <w:right w:val="nil"/>
            </w:tcBorders>
          </w:tcPr>
          <w:p w:rsidR="00F625B2" w:rsidRPr="00E367C1" w:rsidRDefault="00F625B2" w:rsidP="00F625B2">
            <w:pPr>
              <w:pStyle w:val="Tabletext"/>
            </w:pPr>
            <w:r w:rsidRPr="00E367C1">
              <w:t xml:space="preserve">At the same time as </w:t>
            </w:r>
            <w:r w:rsidR="00E832C1" w:rsidRPr="00E367C1">
              <w:t>Schedule</w:t>
            </w:r>
            <w:r w:rsidR="00E367C1" w:rsidRPr="00E367C1">
              <w:t> </w:t>
            </w:r>
            <w:r w:rsidR="00E832C1" w:rsidRPr="00E367C1">
              <w:t>2</w:t>
            </w:r>
            <w:r w:rsidRPr="00E367C1">
              <w:t xml:space="preserve"> to the </w:t>
            </w:r>
            <w:r w:rsidRPr="00E367C1">
              <w:rPr>
                <w:i/>
              </w:rPr>
              <w:t>Therapeutic Goods Amendment (2020 Measures No.</w:t>
            </w:r>
            <w:r w:rsidR="00E367C1" w:rsidRPr="00E367C1">
              <w:rPr>
                <w:i/>
              </w:rPr>
              <w:t> </w:t>
            </w:r>
            <w:r w:rsidRPr="00E367C1">
              <w:rPr>
                <w:i/>
              </w:rPr>
              <w:t>1) Act 2020</w:t>
            </w:r>
            <w:r w:rsidRPr="00E367C1">
              <w:t xml:space="preserve"> commences.</w:t>
            </w:r>
          </w:p>
        </w:tc>
        <w:tc>
          <w:tcPr>
            <w:tcW w:w="2233" w:type="dxa"/>
            <w:tcBorders>
              <w:top w:val="single" w:sz="2" w:space="0" w:color="auto"/>
              <w:left w:val="nil"/>
              <w:bottom w:val="single" w:sz="2" w:space="0" w:color="auto"/>
              <w:right w:val="nil"/>
            </w:tcBorders>
          </w:tcPr>
          <w:p w:rsidR="00F625B2" w:rsidRPr="00E367C1" w:rsidRDefault="003318E9">
            <w:pPr>
              <w:pStyle w:val="Tabletext"/>
            </w:pPr>
            <w:r>
              <w:t>23 July 2020</w:t>
            </w:r>
          </w:p>
        </w:tc>
      </w:tr>
      <w:tr w:rsidR="00AD286A" w:rsidRPr="00E367C1" w:rsidTr="000B623C">
        <w:trPr>
          <w:cantSplit/>
        </w:trPr>
        <w:tc>
          <w:tcPr>
            <w:tcW w:w="2127" w:type="dxa"/>
            <w:tcBorders>
              <w:top w:val="single" w:sz="2" w:space="0" w:color="auto"/>
              <w:left w:val="nil"/>
              <w:bottom w:val="single" w:sz="2" w:space="0" w:color="auto"/>
              <w:right w:val="nil"/>
            </w:tcBorders>
            <w:hideMark/>
          </w:tcPr>
          <w:p w:rsidR="00AD286A" w:rsidRPr="00E367C1" w:rsidRDefault="00F625B2" w:rsidP="00DB01B3">
            <w:pPr>
              <w:pStyle w:val="Tabletext"/>
            </w:pPr>
            <w:r w:rsidRPr="00E367C1">
              <w:t>5</w:t>
            </w:r>
            <w:r w:rsidR="00AD286A" w:rsidRPr="00E367C1">
              <w:t xml:space="preserve">.  </w:t>
            </w:r>
            <w:r w:rsidR="00E832C1" w:rsidRPr="00E367C1">
              <w:t>Schedule</w:t>
            </w:r>
            <w:r w:rsidR="00E367C1" w:rsidRPr="00E367C1">
              <w:t> </w:t>
            </w:r>
            <w:r w:rsidR="00E832C1" w:rsidRPr="00E367C1">
              <w:t>6</w:t>
            </w:r>
          </w:p>
        </w:tc>
        <w:tc>
          <w:tcPr>
            <w:tcW w:w="3969" w:type="dxa"/>
            <w:tcBorders>
              <w:top w:val="single" w:sz="2" w:space="0" w:color="auto"/>
              <w:left w:val="nil"/>
              <w:bottom w:val="single" w:sz="2" w:space="0" w:color="auto"/>
              <w:right w:val="nil"/>
            </w:tcBorders>
          </w:tcPr>
          <w:p w:rsidR="00AD286A" w:rsidRPr="00E367C1" w:rsidRDefault="003870C1" w:rsidP="003870C1">
            <w:pPr>
              <w:pStyle w:val="Tabletext"/>
            </w:pPr>
            <w:r w:rsidRPr="00E367C1">
              <w:t xml:space="preserve">At the same time as </w:t>
            </w:r>
            <w:r w:rsidR="0005350F" w:rsidRPr="00E367C1">
              <w:t>Schedule</w:t>
            </w:r>
            <w:r w:rsidR="00E367C1" w:rsidRPr="00E367C1">
              <w:t> </w:t>
            </w:r>
            <w:r w:rsidR="0005350F" w:rsidRPr="00E367C1">
              <w:t>4</w:t>
            </w:r>
            <w:r w:rsidRPr="00E367C1">
              <w:t xml:space="preserve"> to the </w:t>
            </w:r>
            <w:r w:rsidRPr="00E367C1">
              <w:rPr>
                <w:i/>
              </w:rPr>
              <w:t>Therapeutic Goods Amendment (2020 Measures No.</w:t>
            </w:r>
            <w:r w:rsidR="00E367C1" w:rsidRPr="00E367C1">
              <w:rPr>
                <w:i/>
              </w:rPr>
              <w:t> </w:t>
            </w:r>
            <w:r w:rsidRPr="00E367C1">
              <w:rPr>
                <w:i/>
              </w:rPr>
              <w:t>1) Act 2020</w:t>
            </w:r>
            <w:r w:rsidRPr="00E367C1">
              <w:t xml:space="preserve"> commences.</w:t>
            </w:r>
          </w:p>
        </w:tc>
        <w:tc>
          <w:tcPr>
            <w:tcW w:w="2233" w:type="dxa"/>
            <w:tcBorders>
              <w:top w:val="single" w:sz="2" w:space="0" w:color="auto"/>
              <w:left w:val="nil"/>
              <w:bottom w:val="single" w:sz="2" w:space="0" w:color="auto"/>
              <w:right w:val="nil"/>
            </w:tcBorders>
          </w:tcPr>
          <w:p w:rsidR="00AD286A" w:rsidRPr="00E367C1" w:rsidRDefault="003318E9">
            <w:pPr>
              <w:pStyle w:val="Tabletext"/>
            </w:pPr>
            <w:r>
              <w:t>23 July 2020</w:t>
            </w:r>
          </w:p>
        </w:tc>
      </w:tr>
      <w:tr w:rsidR="00CB4A15" w:rsidRPr="00E367C1" w:rsidTr="000B623C">
        <w:trPr>
          <w:cantSplit/>
        </w:trPr>
        <w:tc>
          <w:tcPr>
            <w:tcW w:w="2127" w:type="dxa"/>
            <w:tcBorders>
              <w:top w:val="single" w:sz="2" w:space="0" w:color="auto"/>
              <w:left w:val="nil"/>
              <w:bottom w:val="single" w:sz="2" w:space="0" w:color="auto"/>
              <w:right w:val="nil"/>
            </w:tcBorders>
          </w:tcPr>
          <w:p w:rsidR="00CB4A15" w:rsidRPr="00E367C1" w:rsidRDefault="00CB4A15" w:rsidP="00DB01B3">
            <w:pPr>
              <w:pStyle w:val="Tabletext"/>
            </w:pPr>
            <w:r w:rsidRPr="00E367C1">
              <w:t xml:space="preserve">6.  </w:t>
            </w:r>
            <w:r w:rsidR="0005350F" w:rsidRPr="00E367C1">
              <w:t>Schedule</w:t>
            </w:r>
            <w:r w:rsidR="00E367C1" w:rsidRPr="00E367C1">
              <w:t> </w:t>
            </w:r>
            <w:r w:rsidR="0005350F" w:rsidRPr="00E367C1">
              <w:t>7</w:t>
            </w:r>
          </w:p>
        </w:tc>
        <w:tc>
          <w:tcPr>
            <w:tcW w:w="3969" w:type="dxa"/>
            <w:tcBorders>
              <w:top w:val="single" w:sz="2" w:space="0" w:color="auto"/>
              <w:left w:val="nil"/>
              <w:bottom w:val="single" w:sz="2" w:space="0" w:color="auto"/>
              <w:right w:val="nil"/>
            </w:tcBorders>
          </w:tcPr>
          <w:p w:rsidR="00CB4A15" w:rsidRPr="00E367C1" w:rsidRDefault="00975713" w:rsidP="003870C1">
            <w:pPr>
              <w:pStyle w:val="Tabletext"/>
            </w:pPr>
            <w:r w:rsidRPr="00E367C1">
              <w:t>The day after this instrument is registered.</w:t>
            </w:r>
          </w:p>
        </w:tc>
        <w:tc>
          <w:tcPr>
            <w:tcW w:w="2233" w:type="dxa"/>
            <w:tcBorders>
              <w:top w:val="single" w:sz="2" w:space="0" w:color="auto"/>
              <w:left w:val="nil"/>
              <w:bottom w:val="single" w:sz="2" w:space="0" w:color="auto"/>
              <w:right w:val="nil"/>
            </w:tcBorders>
          </w:tcPr>
          <w:p w:rsidR="00CB4A15" w:rsidRPr="00E367C1" w:rsidRDefault="003318E9">
            <w:pPr>
              <w:pStyle w:val="Tabletext"/>
            </w:pPr>
            <w:r>
              <w:t>24 July 2020</w:t>
            </w:r>
          </w:p>
        </w:tc>
      </w:tr>
      <w:tr w:rsidR="00AD286A" w:rsidRPr="00E367C1" w:rsidTr="000B623C">
        <w:trPr>
          <w:cantSplit/>
        </w:trPr>
        <w:tc>
          <w:tcPr>
            <w:tcW w:w="2127" w:type="dxa"/>
            <w:tcBorders>
              <w:top w:val="single" w:sz="2" w:space="0" w:color="auto"/>
              <w:left w:val="nil"/>
              <w:bottom w:val="single" w:sz="2" w:space="0" w:color="auto"/>
              <w:right w:val="nil"/>
            </w:tcBorders>
            <w:hideMark/>
          </w:tcPr>
          <w:p w:rsidR="00AD286A" w:rsidRPr="00E367C1" w:rsidRDefault="00975713" w:rsidP="00975713">
            <w:pPr>
              <w:pStyle w:val="Tabletext"/>
            </w:pPr>
            <w:r w:rsidRPr="00E367C1">
              <w:t>7</w:t>
            </w:r>
            <w:r w:rsidR="00AD286A" w:rsidRPr="00E367C1">
              <w:t xml:space="preserve">.  </w:t>
            </w:r>
            <w:r w:rsidR="00E832C1" w:rsidRPr="00E367C1">
              <w:t>Schedule</w:t>
            </w:r>
            <w:r w:rsidR="00E367C1" w:rsidRPr="00E367C1">
              <w:t> </w:t>
            </w:r>
            <w:r w:rsidRPr="00E367C1">
              <w:t>8</w:t>
            </w:r>
            <w:r w:rsidR="00FE690A" w:rsidRPr="00E367C1">
              <w:t xml:space="preserve">, </w:t>
            </w:r>
            <w:r w:rsidR="00E832C1" w:rsidRPr="00E367C1">
              <w:t>Part</w:t>
            </w:r>
            <w:r w:rsidR="00E367C1" w:rsidRPr="00E367C1">
              <w:t> </w:t>
            </w:r>
            <w:r w:rsidR="00E832C1" w:rsidRPr="00E367C1">
              <w:t>1</w:t>
            </w:r>
          </w:p>
        </w:tc>
        <w:tc>
          <w:tcPr>
            <w:tcW w:w="3969" w:type="dxa"/>
            <w:tcBorders>
              <w:top w:val="single" w:sz="2" w:space="0" w:color="auto"/>
              <w:left w:val="nil"/>
              <w:bottom w:val="single" w:sz="2" w:space="0" w:color="auto"/>
              <w:right w:val="nil"/>
            </w:tcBorders>
          </w:tcPr>
          <w:p w:rsidR="00AD286A" w:rsidRPr="00E367C1" w:rsidRDefault="00905852">
            <w:pPr>
              <w:pStyle w:val="Tabletext"/>
            </w:pPr>
            <w:r w:rsidRPr="00E367C1">
              <w:t>The day after this instrument is registered.</w:t>
            </w:r>
          </w:p>
        </w:tc>
        <w:tc>
          <w:tcPr>
            <w:tcW w:w="2233" w:type="dxa"/>
            <w:tcBorders>
              <w:top w:val="single" w:sz="2" w:space="0" w:color="auto"/>
              <w:left w:val="nil"/>
              <w:bottom w:val="single" w:sz="2" w:space="0" w:color="auto"/>
              <w:right w:val="nil"/>
            </w:tcBorders>
          </w:tcPr>
          <w:p w:rsidR="00AD286A" w:rsidRPr="00E367C1" w:rsidRDefault="003318E9">
            <w:pPr>
              <w:pStyle w:val="Tabletext"/>
            </w:pPr>
            <w:r>
              <w:t>24 July 2020</w:t>
            </w:r>
          </w:p>
        </w:tc>
      </w:tr>
      <w:tr w:rsidR="00FE690A" w:rsidRPr="00E367C1" w:rsidTr="000B623C">
        <w:trPr>
          <w:cantSplit/>
        </w:trPr>
        <w:tc>
          <w:tcPr>
            <w:tcW w:w="2127" w:type="dxa"/>
            <w:tcBorders>
              <w:top w:val="single" w:sz="2" w:space="0" w:color="auto"/>
              <w:left w:val="nil"/>
              <w:bottom w:val="single" w:sz="2" w:space="0" w:color="auto"/>
              <w:right w:val="nil"/>
            </w:tcBorders>
          </w:tcPr>
          <w:p w:rsidR="00FE690A" w:rsidRPr="00E367C1" w:rsidRDefault="00975713" w:rsidP="00DC3662">
            <w:pPr>
              <w:pStyle w:val="Tabletext"/>
            </w:pPr>
            <w:r w:rsidRPr="00E367C1">
              <w:t>8</w:t>
            </w:r>
            <w:r w:rsidR="00FE690A" w:rsidRPr="00E367C1">
              <w:t xml:space="preserve">.  </w:t>
            </w:r>
            <w:r w:rsidR="0005350F" w:rsidRPr="00E367C1">
              <w:t>Schedule</w:t>
            </w:r>
            <w:r w:rsidR="00E367C1" w:rsidRPr="00E367C1">
              <w:t> </w:t>
            </w:r>
            <w:r w:rsidR="00DC3662" w:rsidRPr="00E367C1">
              <w:t>8</w:t>
            </w:r>
            <w:r w:rsidR="00DB01B3" w:rsidRPr="00E367C1">
              <w:t xml:space="preserve">, </w:t>
            </w:r>
            <w:r w:rsidR="0005350F" w:rsidRPr="00E367C1">
              <w:t>Part</w:t>
            </w:r>
            <w:r w:rsidR="00E367C1" w:rsidRPr="00E367C1">
              <w:t> </w:t>
            </w:r>
            <w:r w:rsidR="0005350F" w:rsidRPr="00E367C1">
              <w:t>2</w:t>
            </w:r>
          </w:p>
        </w:tc>
        <w:tc>
          <w:tcPr>
            <w:tcW w:w="3969" w:type="dxa"/>
            <w:tcBorders>
              <w:top w:val="single" w:sz="2" w:space="0" w:color="auto"/>
              <w:left w:val="nil"/>
              <w:bottom w:val="single" w:sz="2" w:space="0" w:color="auto"/>
              <w:right w:val="nil"/>
            </w:tcBorders>
          </w:tcPr>
          <w:p w:rsidR="00FE690A" w:rsidRPr="00E367C1" w:rsidRDefault="00FE690A" w:rsidP="001E33AB">
            <w:pPr>
              <w:pStyle w:val="Tabletext"/>
            </w:pPr>
            <w:r w:rsidRPr="00E367C1">
              <w:t>25</w:t>
            </w:r>
            <w:r w:rsidR="00E367C1" w:rsidRPr="00E367C1">
              <w:t> </w:t>
            </w:r>
            <w:r w:rsidRPr="00E367C1">
              <w:t>November 2021.</w:t>
            </w:r>
          </w:p>
        </w:tc>
        <w:tc>
          <w:tcPr>
            <w:tcW w:w="2233" w:type="dxa"/>
            <w:tcBorders>
              <w:top w:val="single" w:sz="2" w:space="0" w:color="auto"/>
              <w:left w:val="nil"/>
              <w:bottom w:val="single" w:sz="2" w:space="0" w:color="auto"/>
              <w:right w:val="nil"/>
            </w:tcBorders>
          </w:tcPr>
          <w:p w:rsidR="00FE690A" w:rsidRPr="00E367C1" w:rsidRDefault="00FE690A">
            <w:pPr>
              <w:pStyle w:val="Tabletext"/>
            </w:pPr>
            <w:r w:rsidRPr="00E367C1">
              <w:t>25</w:t>
            </w:r>
            <w:r w:rsidR="00E367C1" w:rsidRPr="00E367C1">
              <w:t> </w:t>
            </w:r>
            <w:r w:rsidRPr="00E367C1">
              <w:t>November 2021</w:t>
            </w:r>
          </w:p>
        </w:tc>
      </w:tr>
      <w:tr w:rsidR="00FE690A" w:rsidRPr="00E367C1" w:rsidTr="000B623C">
        <w:trPr>
          <w:cantSplit/>
        </w:trPr>
        <w:tc>
          <w:tcPr>
            <w:tcW w:w="2127" w:type="dxa"/>
            <w:tcBorders>
              <w:top w:val="single" w:sz="2" w:space="0" w:color="auto"/>
              <w:left w:val="nil"/>
              <w:bottom w:val="single" w:sz="12" w:space="0" w:color="auto"/>
              <w:right w:val="nil"/>
            </w:tcBorders>
          </w:tcPr>
          <w:p w:rsidR="00FE690A" w:rsidRPr="00E367C1" w:rsidRDefault="00975713" w:rsidP="00975713">
            <w:pPr>
              <w:pStyle w:val="Tabletext"/>
            </w:pPr>
            <w:r w:rsidRPr="00E367C1">
              <w:t>9</w:t>
            </w:r>
            <w:r w:rsidR="00FE690A" w:rsidRPr="00E367C1">
              <w:t>.  Schedule</w:t>
            </w:r>
            <w:r w:rsidR="00DB01B3" w:rsidRPr="00E367C1">
              <w:t>s</w:t>
            </w:r>
            <w:r w:rsidR="00E367C1" w:rsidRPr="00E367C1">
              <w:t> </w:t>
            </w:r>
            <w:r w:rsidRPr="00E367C1">
              <w:t>9</w:t>
            </w:r>
            <w:r w:rsidR="00FE690A" w:rsidRPr="00E367C1">
              <w:t xml:space="preserve"> and </w:t>
            </w:r>
            <w:r w:rsidRPr="00E367C1">
              <w:t>10</w:t>
            </w:r>
          </w:p>
        </w:tc>
        <w:tc>
          <w:tcPr>
            <w:tcW w:w="3969" w:type="dxa"/>
            <w:tcBorders>
              <w:top w:val="single" w:sz="2" w:space="0" w:color="auto"/>
              <w:left w:val="nil"/>
              <w:bottom w:val="single" w:sz="12" w:space="0" w:color="auto"/>
              <w:right w:val="nil"/>
            </w:tcBorders>
          </w:tcPr>
          <w:p w:rsidR="00FE690A" w:rsidRPr="00E367C1" w:rsidRDefault="00FE690A" w:rsidP="001E33AB">
            <w:pPr>
              <w:pStyle w:val="Tabletext"/>
            </w:pPr>
            <w:r w:rsidRPr="00E367C1">
              <w:t>The day after this instrument is registered.</w:t>
            </w:r>
          </w:p>
        </w:tc>
        <w:tc>
          <w:tcPr>
            <w:tcW w:w="2233" w:type="dxa"/>
            <w:tcBorders>
              <w:top w:val="single" w:sz="2" w:space="0" w:color="auto"/>
              <w:left w:val="nil"/>
              <w:bottom w:val="single" w:sz="12" w:space="0" w:color="auto"/>
              <w:right w:val="nil"/>
            </w:tcBorders>
          </w:tcPr>
          <w:p w:rsidR="00FE690A" w:rsidRPr="00E367C1" w:rsidRDefault="003318E9">
            <w:pPr>
              <w:pStyle w:val="Tabletext"/>
            </w:pPr>
            <w:r>
              <w:t>24 July 2020</w:t>
            </w:r>
          </w:p>
        </w:tc>
      </w:tr>
    </w:tbl>
    <w:p w:rsidR="00AD286A" w:rsidRPr="00E367C1" w:rsidRDefault="00AD286A" w:rsidP="00EA1C31">
      <w:pPr>
        <w:pStyle w:val="notetext"/>
      </w:pPr>
      <w:r w:rsidRPr="00E367C1">
        <w:rPr>
          <w:snapToGrid w:val="0"/>
          <w:lang w:eastAsia="en-US"/>
        </w:rPr>
        <w:t>Note:</w:t>
      </w:r>
      <w:r w:rsidRPr="00E367C1">
        <w:rPr>
          <w:snapToGrid w:val="0"/>
          <w:lang w:eastAsia="en-US"/>
        </w:rPr>
        <w:tab/>
        <w:t xml:space="preserve">This table relates only to the provisions of this </w:t>
      </w:r>
      <w:r w:rsidRPr="00E367C1">
        <w:t xml:space="preserve">instrument </w:t>
      </w:r>
      <w:r w:rsidRPr="00E367C1">
        <w:rPr>
          <w:snapToGrid w:val="0"/>
          <w:lang w:eastAsia="en-US"/>
        </w:rPr>
        <w:t xml:space="preserve">as originally made. It will not be amended to deal with any later amendments of this </w:t>
      </w:r>
      <w:r w:rsidRPr="00E367C1">
        <w:t>instrument</w:t>
      </w:r>
      <w:r w:rsidRPr="00E367C1">
        <w:rPr>
          <w:snapToGrid w:val="0"/>
          <w:lang w:eastAsia="en-US"/>
        </w:rPr>
        <w:t>.</w:t>
      </w:r>
    </w:p>
    <w:p w:rsidR="00AD286A" w:rsidRPr="00E367C1" w:rsidRDefault="00AD286A" w:rsidP="00EA1C31">
      <w:pPr>
        <w:pStyle w:val="subsection"/>
      </w:pPr>
      <w:r w:rsidRPr="00E367C1">
        <w:tab/>
        <w:t>(2)</w:t>
      </w:r>
      <w:r w:rsidRPr="00E367C1">
        <w:tab/>
        <w:t>Any information in column 3 of the table is not part of this instrument. Information may be inserted in this column, or information in it may be edited, in any published version of this instrument.</w:t>
      </w:r>
    </w:p>
    <w:p w:rsidR="00BF6650" w:rsidRPr="00E367C1" w:rsidRDefault="00BF6650" w:rsidP="00BF6650">
      <w:pPr>
        <w:pStyle w:val="ActHead5"/>
      </w:pPr>
      <w:bookmarkStart w:id="5" w:name="_Toc44406840"/>
      <w:r w:rsidRPr="00357BFF">
        <w:rPr>
          <w:rStyle w:val="CharSectno"/>
        </w:rPr>
        <w:t>3</w:t>
      </w:r>
      <w:r w:rsidRPr="00E367C1">
        <w:t xml:space="preserve">  Authority</w:t>
      </w:r>
      <w:bookmarkEnd w:id="5"/>
    </w:p>
    <w:p w:rsidR="00BF6650" w:rsidRPr="00E367C1" w:rsidRDefault="00BF6650" w:rsidP="00BF6650">
      <w:pPr>
        <w:pStyle w:val="subsection"/>
      </w:pPr>
      <w:r w:rsidRPr="00E367C1">
        <w:tab/>
      </w:r>
      <w:r w:rsidRPr="00E367C1">
        <w:tab/>
      </w:r>
      <w:r w:rsidR="00F71156" w:rsidRPr="00E367C1">
        <w:t>This instrument is</w:t>
      </w:r>
      <w:r w:rsidRPr="00E367C1">
        <w:t xml:space="preserve"> made under the </w:t>
      </w:r>
      <w:r w:rsidR="00322839" w:rsidRPr="00E367C1">
        <w:rPr>
          <w:i/>
        </w:rPr>
        <w:t>Therapeutic Goods Act 1989</w:t>
      </w:r>
      <w:r w:rsidR="00322839" w:rsidRPr="00E367C1">
        <w:t>.</w:t>
      </w:r>
    </w:p>
    <w:p w:rsidR="00557C7A" w:rsidRPr="00E367C1" w:rsidRDefault="00BF6650" w:rsidP="00557C7A">
      <w:pPr>
        <w:pStyle w:val="ActHead5"/>
      </w:pPr>
      <w:bookmarkStart w:id="6" w:name="_Toc44406841"/>
      <w:r w:rsidRPr="00357BFF">
        <w:rPr>
          <w:rStyle w:val="CharSectno"/>
        </w:rPr>
        <w:t>4</w:t>
      </w:r>
      <w:r w:rsidR="00557C7A" w:rsidRPr="00E367C1">
        <w:t xml:space="preserve">  </w:t>
      </w:r>
      <w:r w:rsidR="00083F48" w:rsidRPr="00E367C1">
        <w:t>Schedules</w:t>
      </w:r>
      <w:bookmarkEnd w:id="6"/>
    </w:p>
    <w:p w:rsidR="00557C7A" w:rsidRPr="00E367C1" w:rsidRDefault="00557C7A" w:rsidP="00557C7A">
      <w:pPr>
        <w:pStyle w:val="subsection"/>
      </w:pPr>
      <w:r w:rsidRPr="00E367C1">
        <w:tab/>
      </w:r>
      <w:r w:rsidRPr="00E367C1">
        <w:tab/>
      </w:r>
      <w:r w:rsidR="00083F48" w:rsidRPr="00E367C1">
        <w:t xml:space="preserve">Each </w:t>
      </w:r>
      <w:r w:rsidR="00160BD7" w:rsidRPr="00E367C1">
        <w:t>instrument</w:t>
      </w:r>
      <w:r w:rsidR="00083F48" w:rsidRPr="00E367C1">
        <w:t xml:space="preserve"> that is specified in a Schedule to </w:t>
      </w:r>
      <w:r w:rsidR="00F71156" w:rsidRPr="00E367C1">
        <w:t>this instrument</w:t>
      </w:r>
      <w:r w:rsidR="00083F48" w:rsidRPr="00E367C1">
        <w:t xml:space="preserve"> is amended or repealed as set out in the applicable items in the Schedule concerned, and any other item in a Schedule to </w:t>
      </w:r>
      <w:r w:rsidR="00F71156" w:rsidRPr="00E367C1">
        <w:t>this instrument</w:t>
      </w:r>
      <w:r w:rsidR="00083F48" w:rsidRPr="00E367C1">
        <w:t xml:space="preserve"> has effect according to its terms.</w:t>
      </w:r>
    </w:p>
    <w:p w:rsidR="0048364F" w:rsidRPr="00E367C1" w:rsidRDefault="00EB2DA8" w:rsidP="009C5989">
      <w:pPr>
        <w:pStyle w:val="ActHead6"/>
        <w:pageBreakBefore/>
      </w:pPr>
      <w:bookmarkStart w:id="7" w:name="_Toc44406842"/>
      <w:bookmarkStart w:id="8" w:name="opcAmSched"/>
      <w:r w:rsidRPr="00357BFF">
        <w:rPr>
          <w:rStyle w:val="CharAmSchNo"/>
        </w:rPr>
        <w:lastRenderedPageBreak/>
        <w:t>Schedule</w:t>
      </w:r>
      <w:r w:rsidR="00E367C1" w:rsidRPr="00357BFF">
        <w:rPr>
          <w:rStyle w:val="CharAmSchNo"/>
        </w:rPr>
        <w:t> </w:t>
      </w:r>
      <w:r w:rsidRPr="00357BFF">
        <w:rPr>
          <w:rStyle w:val="CharAmSchNo"/>
        </w:rPr>
        <w:t>1</w:t>
      </w:r>
      <w:r w:rsidR="0048364F" w:rsidRPr="00E367C1">
        <w:t>—</w:t>
      </w:r>
      <w:r w:rsidR="006E3B34" w:rsidRPr="00357BFF">
        <w:rPr>
          <w:rStyle w:val="CharAmSchText"/>
        </w:rPr>
        <w:t>Medical device definitions and system or procedure packs</w:t>
      </w:r>
      <w:bookmarkEnd w:id="7"/>
    </w:p>
    <w:p w:rsidR="001E223F" w:rsidRPr="00E367C1" w:rsidRDefault="00E832C1" w:rsidP="006E3B34">
      <w:pPr>
        <w:pStyle w:val="ActHead7"/>
      </w:pPr>
      <w:bookmarkStart w:id="9" w:name="_Toc44406843"/>
      <w:bookmarkEnd w:id="8"/>
      <w:r w:rsidRPr="00357BFF">
        <w:rPr>
          <w:rStyle w:val="CharAmPartNo"/>
        </w:rPr>
        <w:t>Part</w:t>
      </w:r>
      <w:r w:rsidR="00E367C1" w:rsidRPr="00357BFF">
        <w:rPr>
          <w:rStyle w:val="CharAmPartNo"/>
        </w:rPr>
        <w:t> </w:t>
      </w:r>
      <w:r w:rsidRPr="00357BFF">
        <w:rPr>
          <w:rStyle w:val="CharAmPartNo"/>
        </w:rPr>
        <w:t>1</w:t>
      </w:r>
      <w:r w:rsidR="001E223F" w:rsidRPr="00E367C1">
        <w:t>—</w:t>
      </w:r>
      <w:r w:rsidR="00553B91" w:rsidRPr="00357BFF">
        <w:rPr>
          <w:rStyle w:val="CharAmPartText"/>
        </w:rPr>
        <w:t>Medical device definitions</w:t>
      </w:r>
      <w:bookmarkEnd w:id="9"/>
    </w:p>
    <w:p w:rsidR="00482FDC" w:rsidRPr="00E367C1" w:rsidRDefault="00482FDC" w:rsidP="00482FDC">
      <w:pPr>
        <w:pStyle w:val="ActHead9"/>
      </w:pPr>
      <w:bookmarkStart w:id="10" w:name="_Toc44406844"/>
      <w:r w:rsidRPr="00E367C1">
        <w:t xml:space="preserve">Therapeutic Goods (Medical Devices) </w:t>
      </w:r>
      <w:r w:rsidR="004C29A0" w:rsidRPr="00E367C1">
        <w:t>Regulations</w:t>
      </w:r>
      <w:r w:rsidR="00E367C1" w:rsidRPr="00E367C1">
        <w:t> </w:t>
      </w:r>
      <w:r w:rsidR="004C29A0" w:rsidRPr="00E367C1">
        <w:t>2</w:t>
      </w:r>
      <w:r w:rsidRPr="00E367C1">
        <w:t>002</w:t>
      </w:r>
      <w:bookmarkEnd w:id="10"/>
    </w:p>
    <w:p w:rsidR="00FE2052" w:rsidRPr="00E367C1" w:rsidRDefault="00D749B0" w:rsidP="00FE2052">
      <w:pPr>
        <w:pStyle w:val="ItemHead"/>
      </w:pPr>
      <w:r w:rsidRPr="00E367C1">
        <w:t>1</w:t>
      </w:r>
      <w:r w:rsidR="00FE2052" w:rsidRPr="00E367C1">
        <w:t xml:space="preserve">  Dictionary</w:t>
      </w:r>
    </w:p>
    <w:p w:rsidR="00FE2052" w:rsidRPr="00E367C1" w:rsidRDefault="00FE2052" w:rsidP="00FE2052">
      <w:pPr>
        <w:pStyle w:val="Item"/>
      </w:pPr>
      <w:r w:rsidRPr="00E367C1">
        <w:t>Insert:</w:t>
      </w:r>
    </w:p>
    <w:p w:rsidR="00FE2052" w:rsidRPr="00E367C1" w:rsidRDefault="00FE2052" w:rsidP="00FE2052">
      <w:pPr>
        <w:pStyle w:val="Definition"/>
      </w:pPr>
      <w:r w:rsidRPr="00E367C1">
        <w:rPr>
          <w:b/>
          <w:i/>
        </w:rPr>
        <w:t>instructions for use</w:t>
      </w:r>
      <w:r w:rsidRPr="00E367C1">
        <w:t>, in relation to a medical device, includes information provided by the manufacturer of the device to inform a u</w:t>
      </w:r>
      <w:bookmarkStart w:id="11" w:name="BK_S3P3L8C48"/>
      <w:bookmarkEnd w:id="11"/>
      <w:r w:rsidRPr="00E367C1">
        <w:t>ser of the device of the intended purpose of the device, of the proper use of the device and of any precautions to be taken in relation to the use of the device.</w:t>
      </w:r>
    </w:p>
    <w:p w:rsidR="009869EC" w:rsidRPr="00E367C1" w:rsidRDefault="009869EC" w:rsidP="009869EC">
      <w:pPr>
        <w:pStyle w:val="notetext"/>
      </w:pPr>
      <w:r w:rsidRPr="00E367C1">
        <w:t>Note:</w:t>
      </w:r>
      <w:r w:rsidRPr="00E367C1">
        <w:tab/>
      </w:r>
      <w:r w:rsidR="00CA27A6" w:rsidRPr="00E367C1">
        <w:t xml:space="preserve">These Regulations contain requirements relating to instructions for use of a medical device. For example, </w:t>
      </w:r>
      <w:r w:rsidR="00EB2DA8" w:rsidRPr="00E367C1">
        <w:t>clauses</w:t>
      </w:r>
      <w:r w:rsidR="00E367C1" w:rsidRPr="00E367C1">
        <w:t> </w:t>
      </w:r>
      <w:r w:rsidR="00EB2DA8" w:rsidRPr="00E367C1">
        <w:t>1</w:t>
      </w:r>
      <w:r w:rsidRPr="00E367C1">
        <w:t xml:space="preserve">3.1 to 13.4 of </w:t>
      </w:r>
      <w:r w:rsidR="00EB2DA8" w:rsidRPr="00E367C1">
        <w:t>Schedule</w:t>
      </w:r>
      <w:r w:rsidR="00E367C1" w:rsidRPr="00E367C1">
        <w:t> </w:t>
      </w:r>
      <w:r w:rsidR="00EB2DA8" w:rsidRPr="00E367C1">
        <w:t>1</w:t>
      </w:r>
      <w:r w:rsidRPr="00E367C1">
        <w:t xml:space="preserve"> (about essential principles) deal with information that must be included in instructions for the use of a medical device</w:t>
      </w:r>
      <w:r w:rsidR="00CA27A6" w:rsidRPr="00E367C1">
        <w:t>.</w:t>
      </w:r>
    </w:p>
    <w:p w:rsidR="0005210D" w:rsidRPr="00E367C1" w:rsidRDefault="00D749B0" w:rsidP="0005210D">
      <w:pPr>
        <w:pStyle w:val="ItemHead"/>
      </w:pPr>
      <w:r w:rsidRPr="00E367C1">
        <w:t>2</w:t>
      </w:r>
      <w:r w:rsidR="0005210D" w:rsidRPr="00E367C1">
        <w:t xml:space="preserve">  Dictionary (</w:t>
      </w:r>
      <w:r w:rsidR="00E367C1" w:rsidRPr="00E367C1">
        <w:t>paragraph (</w:t>
      </w:r>
      <w:r w:rsidR="0005210D" w:rsidRPr="00E367C1">
        <w:t xml:space="preserve">b) of the definition of </w:t>
      </w:r>
      <w:r w:rsidR="0005210D" w:rsidRPr="00E367C1">
        <w:rPr>
          <w:i/>
        </w:rPr>
        <w:t>reusable surgical instrument</w:t>
      </w:r>
      <w:r w:rsidR="0005210D" w:rsidRPr="00E367C1">
        <w:t>)</w:t>
      </w:r>
    </w:p>
    <w:p w:rsidR="0005210D" w:rsidRPr="00E367C1" w:rsidRDefault="0005210D" w:rsidP="0005210D">
      <w:pPr>
        <w:pStyle w:val="Item"/>
      </w:pPr>
      <w:r w:rsidRPr="00E367C1">
        <w:t xml:space="preserve">After “appropriate procedures”, insert </w:t>
      </w:r>
      <w:r w:rsidR="00CE7307" w:rsidRPr="00E367C1">
        <w:t>“</w:t>
      </w:r>
      <w:r w:rsidRPr="00E367C1">
        <w:t>(such as</w:t>
      </w:r>
      <w:r w:rsidR="00CE7307" w:rsidRPr="00E367C1">
        <w:t xml:space="preserve"> cleaning, disinfection and sterilisation)”.</w:t>
      </w:r>
    </w:p>
    <w:p w:rsidR="0005210D" w:rsidRPr="00E367C1" w:rsidRDefault="00D749B0" w:rsidP="0005210D">
      <w:pPr>
        <w:pStyle w:val="ItemHead"/>
      </w:pPr>
      <w:r w:rsidRPr="00E367C1">
        <w:t>3</w:t>
      </w:r>
      <w:r w:rsidR="0005210D" w:rsidRPr="00E367C1">
        <w:t xml:space="preserve">  Dictionary</w:t>
      </w:r>
    </w:p>
    <w:p w:rsidR="0005210D" w:rsidRPr="00E367C1" w:rsidRDefault="0005210D" w:rsidP="0005210D">
      <w:pPr>
        <w:pStyle w:val="Item"/>
      </w:pPr>
      <w:r w:rsidRPr="00E367C1">
        <w:t>Insert:</w:t>
      </w:r>
    </w:p>
    <w:p w:rsidR="00305E17" w:rsidRPr="00E367C1" w:rsidRDefault="00305E17" w:rsidP="00305E17">
      <w:pPr>
        <w:pStyle w:val="Definition"/>
      </w:pPr>
      <w:r w:rsidRPr="00E367C1">
        <w:rPr>
          <w:b/>
          <w:i/>
        </w:rPr>
        <w:t>user</w:t>
      </w:r>
      <w:r w:rsidRPr="00E367C1">
        <w:t xml:space="preserve"> of a medical device means any person (including a health professional) who uses the device.</w:t>
      </w:r>
    </w:p>
    <w:p w:rsidR="00640CD1" w:rsidRPr="00E367C1" w:rsidRDefault="0005350F" w:rsidP="006E3B34">
      <w:pPr>
        <w:pStyle w:val="ActHead7"/>
        <w:pageBreakBefore/>
      </w:pPr>
      <w:bookmarkStart w:id="12" w:name="_Toc44406845"/>
      <w:r w:rsidRPr="00357BFF">
        <w:rPr>
          <w:rStyle w:val="CharAmPartNo"/>
        </w:rPr>
        <w:lastRenderedPageBreak/>
        <w:t>Part</w:t>
      </w:r>
      <w:r w:rsidR="00E367C1" w:rsidRPr="00357BFF">
        <w:rPr>
          <w:rStyle w:val="CharAmPartNo"/>
        </w:rPr>
        <w:t> </w:t>
      </w:r>
      <w:r w:rsidRPr="00357BFF">
        <w:rPr>
          <w:rStyle w:val="CharAmPartNo"/>
        </w:rPr>
        <w:t>2</w:t>
      </w:r>
      <w:r w:rsidR="00640CD1" w:rsidRPr="00E367C1">
        <w:t>—</w:t>
      </w:r>
      <w:r w:rsidR="00640CD1" w:rsidRPr="00357BFF">
        <w:rPr>
          <w:rStyle w:val="CharAmPartText"/>
        </w:rPr>
        <w:t>System or procedure packs</w:t>
      </w:r>
      <w:bookmarkEnd w:id="12"/>
    </w:p>
    <w:p w:rsidR="00C50A4D" w:rsidRPr="00E367C1" w:rsidRDefault="00C50A4D" w:rsidP="00C50A4D">
      <w:pPr>
        <w:pStyle w:val="ActHead9"/>
      </w:pPr>
      <w:bookmarkStart w:id="13" w:name="_Toc44406846"/>
      <w:r w:rsidRPr="00E367C1">
        <w:t>Therapeutic Goods (Medical Devices) Regulations</w:t>
      </w:r>
      <w:r w:rsidR="00E367C1" w:rsidRPr="00E367C1">
        <w:t> </w:t>
      </w:r>
      <w:r w:rsidRPr="00E367C1">
        <w:t>2002</w:t>
      </w:r>
      <w:bookmarkEnd w:id="13"/>
    </w:p>
    <w:p w:rsidR="00640CD1" w:rsidRPr="00E367C1" w:rsidRDefault="00D749B0" w:rsidP="00640CD1">
      <w:pPr>
        <w:pStyle w:val="ItemHead"/>
      </w:pPr>
      <w:r w:rsidRPr="00E367C1">
        <w:t>4</w:t>
      </w:r>
      <w:r w:rsidR="00640CD1" w:rsidRPr="00E367C1">
        <w:t xml:space="preserve">  Paragraphs 3.10(1)(d) and (e)</w:t>
      </w:r>
    </w:p>
    <w:p w:rsidR="00640CD1" w:rsidRPr="00E367C1" w:rsidRDefault="00640CD1" w:rsidP="00640CD1">
      <w:pPr>
        <w:pStyle w:val="Item"/>
      </w:pPr>
      <w:r w:rsidRPr="00E367C1">
        <w:t>Repeal the paragraphs, substitute:</w:t>
      </w:r>
    </w:p>
    <w:p w:rsidR="00640CD1" w:rsidRPr="00E367C1" w:rsidRDefault="00640CD1" w:rsidP="00640CD1">
      <w:pPr>
        <w:pStyle w:val="paragraph"/>
      </w:pPr>
      <w:r w:rsidRPr="00E367C1">
        <w:tab/>
        <w:t>(d)</w:t>
      </w:r>
      <w:r w:rsidRPr="00E367C1">
        <w:tab/>
        <w:t xml:space="preserve">a system or procedure pack to which </w:t>
      </w:r>
      <w:proofErr w:type="spellStart"/>
      <w:r w:rsidRPr="00E367C1">
        <w:t>subregulation</w:t>
      </w:r>
      <w:proofErr w:type="spellEnd"/>
      <w:r w:rsidR="00E367C1" w:rsidRPr="00E367C1">
        <w:t> </w:t>
      </w:r>
      <w:r w:rsidRPr="00E367C1">
        <w:t>(3) applies.</w:t>
      </w:r>
    </w:p>
    <w:p w:rsidR="00640CD1" w:rsidRPr="00E367C1" w:rsidRDefault="00D749B0" w:rsidP="00640CD1">
      <w:pPr>
        <w:pStyle w:val="ItemHead"/>
      </w:pPr>
      <w:r w:rsidRPr="00E367C1">
        <w:t>5</w:t>
      </w:r>
      <w:r w:rsidR="00640CD1" w:rsidRPr="00E367C1">
        <w:t xml:space="preserve">  </w:t>
      </w:r>
      <w:proofErr w:type="spellStart"/>
      <w:r w:rsidR="00A253C6" w:rsidRPr="00E367C1">
        <w:t>Subregulation</w:t>
      </w:r>
      <w:proofErr w:type="spellEnd"/>
      <w:r w:rsidR="00E367C1" w:rsidRPr="00E367C1">
        <w:t> </w:t>
      </w:r>
      <w:r w:rsidR="00A253C6" w:rsidRPr="00E367C1">
        <w:t>3</w:t>
      </w:r>
      <w:r w:rsidR="00640CD1" w:rsidRPr="00E367C1">
        <w:t>.10(1) (notes)</w:t>
      </w:r>
    </w:p>
    <w:p w:rsidR="00640CD1" w:rsidRPr="00E367C1" w:rsidRDefault="00640CD1" w:rsidP="00640CD1">
      <w:pPr>
        <w:pStyle w:val="Item"/>
      </w:pPr>
      <w:r w:rsidRPr="00E367C1">
        <w:t>Repeal the notes, substitute:</w:t>
      </w:r>
    </w:p>
    <w:p w:rsidR="00640CD1" w:rsidRPr="00E367C1" w:rsidRDefault="00640CD1" w:rsidP="00640CD1">
      <w:pPr>
        <w:pStyle w:val="notetext"/>
      </w:pPr>
      <w:r w:rsidRPr="00E367C1">
        <w:t>Note 1:</w:t>
      </w:r>
      <w:r w:rsidRPr="00E367C1">
        <w:tab/>
        <w:t xml:space="preserve">An </w:t>
      </w:r>
      <w:r w:rsidRPr="00E367C1">
        <w:rPr>
          <w:b/>
          <w:i/>
        </w:rPr>
        <w:t>exempt device</w:t>
      </w:r>
      <w:r w:rsidRPr="00E367C1">
        <w:t xml:space="preserve"> is a medical device of a kind that is exempted from the operation of Division</w:t>
      </w:r>
      <w:r w:rsidR="00E367C1" w:rsidRPr="00E367C1">
        <w:t> </w:t>
      </w:r>
      <w:r w:rsidRPr="00E367C1">
        <w:t>3 of Part</w:t>
      </w:r>
      <w:r w:rsidR="00E367C1" w:rsidRPr="00E367C1">
        <w:t> </w:t>
      </w:r>
      <w:r w:rsidRPr="00E367C1">
        <w:t>4</w:t>
      </w:r>
      <w:r w:rsidR="00E367C1">
        <w:noBreakHyphen/>
      </w:r>
      <w:r w:rsidRPr="00E367C1">
        <w:t>11 of the Act by the regulations (see subsection</w:t>
      </w:r>
      <w:r w:rsidR="00E367C1" w:rsidRPr="00E367C1">
        <w:t> </w:t>
      </w:r>
      <w:r w:rsidRPr="00E367C1">
        <w:t>3(1) of the Act). Division</w:t>
      </w:r>
      <w:r w:rsidR="00E367C1" w:rsidRPr="00E367C1">
        <w:t> </w:t>
      </w:r>
      <w:r w:rsidRPr="00E367C1">
        <w:t xml:space="preserve">7.1 and </w:t>
      </w:r>
      <w:r w:rsidR="0005350F" w:rsidRPr="00E367C1">
        <w:t>Schedule</w:t>
      </w:r>
      <w:r w:rsidR="00E367C1" w:rsidRPr="00E367C1">
        <w:t> </w:t>
      </w:r>
      <w:r w:rsidR="0005350F" w:rsidRPr="00E367C1">
        <w:t>4</w:t>
      </w:r>
      <w:r w:rsidRPr="00E367C1">
        <w:t xml:space="preserve"> </w:t>
      </w:r>
      <w:r w:rsidR="00C9076C" w:rsidRPr="00E367C1">
        <w:t>to</w:t>
      </w:r>
      <w:r w:rsidRPr="00E367C1">
        <w:t xml:space="preserve"> these Regulations deal with exempt devices.</w:t>
      </w:r>
    </w:p>
    <w:p w:rsidR="00044C8C" w:rsidRPr="00E367C1" w:rsidRDefault="00044C8C" w:rsidP="00640CD1">
      <w:pPr>
        <w:pStyle w:val="notetext"/>
      </w:pPr>
      <w:r w:rsidRPr="00E367C1">
        <w:t>Note 2:</w:t>
      </w:r>
      <w:r w:rsidRPr="00E367C1">
        <w:tab/>
        <w:t xml:space="preserve">For a system or procedure pack to which </w:t>
      </w:r>
      <w:r w:rsidR="00E367C1" w:rsidRPr="00E367C1">
        <w:t>paragraph (</w:t>
      </w:r>
      <w:r w:rsidRPr="00E367C1">
        <w:t xml:space="preserve">1)(d) applies and that contains an </w:t>
      </w:r>
      <w:proofErr w:type="spellStart"/>
      <w:r w:rsidRPr="00E367C1">
        <w:t>IVD</w:t>
      </w:r>
      <w:proofErr w:type="spellEnd"/>
      <w:r w:rsidRPr="00E367C1">
        <w:t xml:space="preserve"> medical device and a medical device that is not an </w:t>
      </w:r>
      <w:proofErr w:type="spellStart"/>
      <w:r w:rsidRPr="00E367C1">
        <w:t>IVD</w:t>
      </w:r>
      <w:proofErr w:type="spellEnd"/>
      <w:r w:rsidRPr="00E367C1">
        <w:t xml:space="preserve"> medical device:</w:t>
      </w:r>
    </w:p>
    <w:p w:rsidR="00044C8C" w:rsidRPr="00E367C1" w:rsidRDefault="00044C8C" w:rsidP="00044C8C">
      <w:pPr>
        <w:pStyle w:val="notepara"/>
      </w:pPr>
      <w:r w:rsidRPr="00E367C1">
        <w:t>(a)</w:t>
      </w:r>
      <w:r w:rsidRPr="00E367C1">
        <w:tab/>
        <w:t>the system or procedure pack is classified in accordance with Division</w:t>
      </w:r>
      <w:r w:rsidR="00E367C1" w:rsidRPr="00E367C1">
        <w:t> </w:t>
      </w:r>
      <w:r w:rsidRPr="00E367C1">
        <w:t xml:space="preserve">3.1 and either </w:t>
      </w:r>
      <w:r w:rsidR="00E832C1" w:rsidRPr="00E367C1">
        <w:t>Schedule</w:t>
      </w:r>
      <w:r w:rsidR="00E367C1" w:rsidRPr="00E367C1">
        <w:t> </w:t>
      </w:r>
      <w:r w:rsidR="00E832C1" w:rsidRPr="00E367C1">
        <w:t>2</w:t>
      </w:r>
      <w:r w:rsidRPr="00E367C1">
        <w:t xml:space="preserve"> or </w:t>
      </w:r>
      <w:r w:rsidR="00E832C1" w:rsidRPr="00E367C1">
        <w:t>Schedule</w:t>
      </w:r>
      <w:r w:rsidR="00E367C1" w:rsidRPr="00E367C1">
        <w:t> </w:t>
      </w:r>
      <w:r w:rsidR="00E832C1" w:rsidRPr="00E367C1">
        <w:t>2</w:t>
      </w:r>
      <w:r w:rsidRPr="00E367C1">
        <w:t>A; and</w:t>
      </w:r>
    </w:p>
    <w:p w:rsidR="00044C8C" w:rsidRPr="00E367C1" w:rsidRDefault="00044C8C" w:rsidP="00044C8C">
      <w:pPr>
        <w:pStyle w:val="notepara"/>
      </w:pPr>
      <w:r w:rsidRPr="00E367C1">
        <w:t>(b)</w:t>
      </w:r>
      <w:r w:rsidRPr="00E367C1">
        <w:tab/>
        <w:t>the conformity assessment procedures that must be applied to the system or procedure pack are the procedures for medical devices used for a special purpose in clause</w:t>
      </w:r>
      <w:r w:rsidR="00E367C1" w:rsidRPr="00E367C1">
        <w:t> </w:t>
      </w:r>
      <w:r w:rsidRPr="00E367C1">
        <w:t xml:space="preserve">7.5 of </w:t>
      </w:r>
      <w:r w:rsidR="0005350F" w:rsidRPr="00E367C1">
        <w:t>Schedule</w:t>
      </w:r>
      <w:r w:rsidR="00E367C1" w:rsidRPr="00E367C1">
        <w:t> </w:t>
      </w:r>
      <w:r w:rsidR="0005350F" w:rsidRPr="00E367C1">
        <w:t>3</w:t>
      </w:r>
      <w:r w:rsidRPr="00E367C1">
        <w:t>.</w:t>
      </w:r>
    </w:p>
    <w:p w:rsidR="00640CD1" w:rsidRPr="00E367C1" w:rsidRDefault="00640CD1" w:rsidP="00640CD1">
      <w:pPr>
        <w:pStyle w:val="notetext"/>
      </w:pPr>
      <w:r w:rsidRPr="00E367C1">
        <w:t xml:space="preserve">Note </w:t>
      </w:r>
      <w:r w:rsidR="00044C8C" w:rsidRPr="00E367C1">
        <w:t>3</w:t>
      </w:r>
      <w:r w:rsidRPr="00E367C1">
        <w:t>:</w:t>
      </w:r>
      <w:r w:rsidRPr="00E367C1">
        <w:tab/>
        <w:t xml:space="preserve">For a system or procedure pack to which </w:t>
      </w:r>
      <w:r w:rsidR="00E367C1" w:rsidRPr="00E367C1">
        <w:t>paragraph (</w:t>
      </w:r>
      <w:r w:rsidRPr="00E367C1">
        <w:t>1)(d) does not apply:</w:t>
      </w:r>
    </w:p>
    <w:p w:rsidR="00640CD1" w:rsidRPr="00E367C1" w:rsidRDefault="00640CD1" w:rsidP="00640CD1">
      <w:pPr>
        <w:pStyle w:val="notepara"/>
      </w:pPr>
      <w:r w:rsidRPr="00E367C1">
        <w:t>(a)</w:t>
      </w:r>
      <w:r w:rsidRPr="00E367C1">
        <w:tab/>
        <w:t>the system or procedure pack is classified in accordance with Division</w:t>
      </w:r>
      <w:r w:rsidR="00E367C1" w:rsidRPr="00E367C1">
        <w:t> </w:t>
      </w:r>
      <w:r w:rsidRPr="00E367C1">
        <w:t xml:space="preserve">3.1 and either </w:t>
      </w:r>
      <w:r w:rsidR="00E832C1" w:rsidRPr="00E367C1">
        <w:t>Schedule</w:t>
      </w:r>
      <w:r w:rsidR="00E367C1" w:rsidRPr="00E367C1">
        <w:t> </w:t>
      </w:r>
      <w:r w:rsidR="00E832C1" w:rsidRPr="00E367C1">
        <w:t>2</w:t>
      </w:r>
      <w:r w:rsidRPr="00E367C1">
        <w:t xml:space="preserve"> or </w:t>
      </w:r>
      <w:r w:rsidR="00E832C1" w:rsidRPr="00E367C1">
        <w:t>Schedule</w:t>
      </w:r>
      <w:r w:rsidR="00E367C1" w:rsidRPr="00E367C1">
        <w:t> </w:t>
      </w:r>
      <w:r w:rsidR="00E832C1" w:rsidRPr="00E367C1">
        <w:t>2</w:t>
      </w:r>
      <w:r w:rsidRPr="00E367C1">
        <w:t>A; and</w:t>
      </w:r>
    </w:p>
    <w:p w:rsidR="00640CD1" w:rsidRPr="00E367C1" w:rsidRDefault="00640CD1" w:rsidP="00640CD1">
      <w:pPr>
        <w:pStyle w:val="notepara"/>
      </w:pPr>
      <w:r w:rsidRPr="00E367C1">
        <w:t>(b)</w:t>
      </w:r>
      <w:r w:rsidRPr="00E367C1">
        <w:tab/>
        <w:t>the conformity assessment procedures that must be applied to the system or procedure pack are the procedures that apply to the relevant classification.</w:t>
      </w:r>
    </w:p>
    <w:p w:rsidR="00640CD1" w:rsidRPr="00E367C1" w:rsidRDefault="00D749B0" w:rsidP="00640CD1">
      <w:pPr>
        <w:pStyle w:val="ItemHead"/>
      </w:pPr>
      <w:r w:rsidRPr="00E367C1">
        <w:t>6</w:t>
      </w:r>
      <w:r w:rsidR="00640CD1" w:rsidRPr="00E367C1">
        <w:t xml:space="preserve">  </w:t>
      </w:r>
      <w:proofErr w:type="spellStart"/>
      <w:r w:rsidR="00A253C6" w:rsidRPr="00E367C1">
        <w:t>Subregulation</w:t>
      </w:r>
      <w:proofErr w:type="spellEnd"/>
      <w:r w:rsidR="00E367C1" w:rsidRPr="00E367C1">
        <w:t> </w:t>
      </w:r>
      <w:r w:rsidR="00A253C6" w:rsidRPr="00E367C1">
        <w:t>3</w:t>
      </w:r>
      <w:r w:rsidR="00640CD1" w:rsidRPr="00E367C1">
        <w:t>.10(1A)</w:t>
      </w:r>
    </w:p>
    <w:p w:rsidR="00640CD1" w:rsidRPr="00E367C1" w:rsidRDefault="00640CD1" w:rsidP="00640CD1">
      <w:pPr>
        <w:pStyle w:val="Item"/>
      </w:pPr>
      <w:r w:rsidRPr="00E367C1">
        <w:t xml:space="preserve">Repeal the </w:t>
      </w:r>
      <w:proofErr w:type="spellStart"/>
      <w:r w:rsidRPr="00E367C1">
        <w:t>subregulation</w:t>
      </w:r>
      <w:proofErr w:type="spellEnd"/>
      <w:r w:rsidRPr="00E367C1">
        <w:t>, substitute:</w:t>
      </w:r>
    </w:p>
    <w:p w:rsidR="00640CD1" w:rsidRPr="00E367C1" w:rsidRDefault="00640CD1" w:rsidP="00640CD1">
      <w:pPr>
        <w:pStyle w:val="SubsectionHead"/>
      </w:pPr>
      <w:r w:rsidRPr="00E367C1">
        <w:t>Exception</w:t>
      </w:r>
    </w:p>
    <w:p w:rsidR="00640CD1" w:rsidRPr="00E367C1" w:rsidRDefault="00640CD1" w:rsidP="00640CD1">
      <w:pPr>
        <w:pStyle w:val="subsection"/>
      </w:pPr>
      <w:r w:rsidRPr="00E367C1">
        <w:tab/>
        <w:t>(1A)</w:t>
      </w:r>
      <w:r w:rsidRPr="00E367C1">
        <w:tab/>
        <w:t>However</w:t>
      </w:r>
      <w:r w:rsidR="008D07D9" w:rsidRPr="00E367C1">
        <w:t xml:space="preserve">, </w:t>
      </w:r>
      <w:r w:rsidR="00E367C1" w:rsidRPr="00E367C1">
        <w:t>paragraphs (</w:t>
      </w:r>
      <w:r w:rsidR="008D07D9" w:rsidRPr="00E367C1">
        <w:t>1)(a), (b) and (c) do not apply to a Class 1 in</w:t>
      </w:r>
      <w:r w:rsidR="00E367C1">
        <w:noBreakHyphen/>
      </w:r>
      <w:r w:rsidR="008D07D9" w:rsidRPr="00E367C1">
        <w:t xml:space="preserve">house </w:t>
      </w:r>
      <w:proofErr w:type="spellStart"/>
      <w:r w:rsidR="008D07D9" w:rsidRPr="00E367C1">
        <w:t>IVD</w:t>
      </w:r>
      <w:proofErr w:type="spellEnd"/>
      <w:r w:rsidR="008D07D9" w:rsidRPr="00E367C1">
        <w:t xml:space="preserve"> medical device, a Class 2 in</w:t>
      </w:r>
      <w:r w:rsidR="00E367C1">
        <w:noBreakHyphen/>
      </w:r>
      <w:r w:rsidR="008D07D9" w:rsidRPr="00E367C1">
        <w:t xml:space="preserve">house </w:t>
      </w:r>
      <w:proofErr w:type="spellStart"/>
      <w:r w:rsidR="008D07D9" w:rsidRPr="00E367C1">
        <w:t>IVD</w:t>
      </w:r>
      <w:proofErr w:type="spellEnd"/>
      <w:r w:rsidR="008D07D9" w:rsidRPr="00E367C1">
        <w:t xml:space="preserve"> medical device or a Class 3 in</w:t>
      </w:r>
      <w:r w:rsidR="00E367C1">
        <w:noBreakHyphen/>
      </w:r>
      <w:r w:rsidR="008D07D9" w:rsidRPr="00E367C1">
        <w:t xml:space="preserve">house </w:t>
      </w:r>
      <w:proofErr w:type="spellStart"/>
      <w:r w:rsidR="008D07D9" w:rsidRPr="00E367C1">
        <w:t>IVD</w:t>
      </w:r>
      <w:proofErr w:type="spellEnd"/>
      <w:r w:rsidR="008D07D9" w:rsidRPr="00E367C1">
        <w:t xml:space="preserve"> medical device.</w:t>
      </w:r>
    </w:p>
    <w:p w:rsidR="00640CD1" w:rsidRPr="00E367C1" w:rsidRDefault="00640CD1" w:rsidP="00640CD1">
      <w:pPr>
        <w:pStyle w:val="notetext"/>
      </w:pPr>
      <w:r w:rsidRPr="00E367C1">
        <w:t>Note:</w:t>
      </w:r>
      <w:r w:rsidRPr="00E367C1">
        <w:tab/>
      </w:r>
      <w:r w:rsidR="008D07D9" w:rsidRPr="00E367C1">
        <w:t>T</w:t>
      </w:r>
      <w:r w:rsidRPr="00E367C1">
        <w:t>he conformity assessment procedures that must be applied to Class</w:t>
      </w:r>
      <w:r w:rsidR="00E367C1" w:rsidRPr="00E367C1">
        <w:t xml:space="preserve"> </w:t>
      </w:r>
      <w:r w:rsidRPr="00E367C1">
        <w:t>1 in</w:t>
      </w:r>
      <w:r w:rsidR="00E367C1">
        <w:noBreakHyphen/>
      </w:r>
      <w:r w:rsidRPr="00E367C1">
        <w:t xml:space="preserve">house </w:t>
      </w:r>
      <w:proofErr w:type="spellStart"/>
      <w:r w:rsidRPr="00E367C1">
        <w:t>IVD</w:t>
      </w:r>
      <w:proofErr w:type="spellEnd"/>
      <w:r w:rsidRPr="00E367C1">
        <w:t xml:space="preserve"> medical devices, Class 2 in</w:t>
      </w:r>
      <w:r w:rsidR="00E367C1">
        <w:noBreakHyphen/>
      </w:r>
      <w:r w:rsidRPr="00E367C1">
        <w:t xml:space="preserve">house </w:t>
      </w:r>
      <w:proofErr w:type="spellStart"/>
      <w:r w:rsidRPr="00E367C1">
        <w:t>IVD</w:t>
      </w:r>
      <w:proofErr w:type="spellEnd"/>
      <w:r w:rsidRPr="00E367C1">
        <w:t xml:space="preserve"> medical devices or Class 3 in</w:t>
      </w:r>
      <w:r w:rsidR="00E367C1">
        <w:noBreakHyphen/>
      </w:r>
      <w:r w:rsidRPr="00E367C1">
        <w:t xml:space="preserve">house </w:t>
      </w:r>
      <w:proofErr w:type="spellStart"/>
      <w:r w:rsidRPr="00E367C1">
        <w:t>IVD</w:t>
      </w:r>
      <w:proofErr w:type="spellEnd"/>
      <w:r w:rsidRPr="00E367C1">
        <w:t xml:space="preserve"> medical devices are the procedures mentioned in </w:t>
      </w:r>
      <w:r w:rsidR="0005350F" w:rsidRPr="00E367C1">
        <w:t>Part</w:t>
      </w:r>
      <w:r w:rsidR="00E367C1" w:rsidRPr="00E367C1">
        <w:t> </w:t>
      </w:r>
      <w:r w:rsidR="0005350F" w:rsidRPr="00E367C1">
        <w:t>6</w:t>
      </w:r>
      <w:r w:rsidRPr="00E367C1">
        <w:t xml:space="preserve">A of </w:t>
      </w:r>
      <w:r w:rsidR="0005350F" w:rsidRPr="00E367C1">
        <w:t>Schedule</w:t>
      </w:r>
      <w:r w:rsidR="00E367C1" w:rsidRPr="00E367C1">
        <w:t> </w:t>
      </w:r>
      <w:r w:rsidR="0005350F" w:rsidRPr="00E367C1">
        <w:t>3</w:t>
      </w:r>
      <w:r w:rsidRPr="00E367C1">
        <w:t>.</w:t>
      </w:r>
    </w:p>
    <w:p w:rsidR="00640CD1" w:rsidRPr="00E367C1" w:rsidRDefault="00D749B0" w:rsidP="00640CD1">
      <w:pPr>
        <w:pStyle w:val="ItemHead"/>
      </w:pPr>
      <w:r w:rsidRPr="00E367C1">
        <w:t>7</w:t>
      </w:r>
      <w:r w:rsidR="00640CD1" w:rsidRPr="00E367C1">
        <w:t xml:space="preserve">  </w:t>
      </w:r>
      <w:r w:rsidR="00A253C6" w:rsidRPr="00E367C1">
        <w:t>Paragraph</w:t>
      </w:r>
      <w:r w:rsidR="00E367C1" w:rsidRPr="00E367C1">
        <w:t xml:space="preserve"> </w:t>
      </w:r>
      <w:r w:rsidR="00A253C6" w:rsidRPr="00E367C1">
        <w:t>3</w:t>
      </w:r>
      <w:r w:rsidR="00640CD1" w:rsidRPr="00E367C1">
        <w:t>.10(3)(a)</w:t>
      </w:r>
    </w:p>
    <w:p w:rsidR="00640CD1" w:rsidRPr="00E367C1" w:rsidRDefault="00640CD1" w:rsidP="00640CD1">
      <w:pPr>
        <w:pStyle w:val="Item"/>
      </w:pPr>
      <w:r w:rsidRPr="00E367C1">
        <w:t>Repeal the paragraph, substitute:</w:t>
      </w:r>
    </w:p>
    <w:p w:rsidR="00640CD1" w:rsidRPr="00E367C1" w:rsidRDefault="00640CD1" w:rsidP="00640CD1">
      <w:pPr>
        <w:pStyle w:val="paragraph"/>
      </w:pPr>
      <w:r w:rsidRPr="00E367C1">
        <w:tab/>
        <w:t>(a)</w:t>
      </w:r>
      <w:r w:rsidRPr="00E367C1">
        <w:tab/>
        <w:t>where each medical device included in the system or procedure pack is a medical device to which the relevant conformity assessment procedures have been applied; and</w:t>
      </w:r>
    </w:p>
    <w:p w:rsidR="00640CD1" w:rsidRPr="00E367C1" w:rsidRDefault="00640CD1" w:rsidP="00640CD1">
      <w:pPr>
        <w:pStyle w:val="paragraph"/>
      </w:pPr>
      <w:r w:rsidRPr="00E367C1">
        <w:tab/>
        <w:t>(aa)</w:t>
      </w:r>
      <w:r w:rsidRPr="00E367C1">
        <w:tab/>
        <w:t>if one or more medicines, biologicals or other therapeutic goods are included in the system or procedure pack—where each such medicine, biological or other therapeutic goods are entered on the Register; and</w:t>
      </w:r>
    </w:p>
    <w:p w:rsidR="00640CD1" w:rsidRPr="00E367C1" w:rsidRDefault="00D749B0" w:rsidP="00640CD1">
      <w:pPr>
        <w:pStyle w:val="ItemHead"/>
      </w:pPr>
      <w:r w:rsidRPr="00E367C1">
        <w:t>8</w:t>
      </w:r>
      <w:r w:rsidR="00640CD1" w:rsidRPr="00E367C1">
        <w:t xml:space="preserve">  </w:t>
      </w:r>
      <w:proofErr w:type="spellStart"/>
      <w:r w:rsidR="00A253C6" w:rsidRPr="00E367C1">
        <w:t>Subregulation</w:t>
      </w:r>
      <w:proofErr w:type="spellEnd"/>
      <w:r w:rsidR="00E367C1" w:rsidRPr="00E367C1">
        <w:t> </w:t>
      </w:r>
      <w:r w:rsidR="00A253C6" w:rsidRPr="00E367C1">
        <w:t>3</w:t>
      </w:r>
      <w:r w:rsidR="00640CD1" w:rsidRPr="00E367C1">
        <w:t>.10(4) (note)</w:t>
      </w:r>
    </w:p>
    <w:p w:rsidR="00640CD1" w:rsidRPr="00E367C1" w:rsidRDefault="00640CD1" w:rsidP="00640CD1">
      <w:pPr>
        <w:pStyle w:val="Item"/>
      </w:pPr>
      <w:r w:rsidRPr="00E367C1">
        <w:t>Omit “the package contains a medicine”, substitute “a medicine is included in the system or procedure pack”.</w:t>
      </w:r>
    </w:p>
    <w:p w:rsidR="00640CD1" w:rsidRPr="00E367C1" w:rsidRDefault="00D749B0" w:rsidP="00640CD1">
      <w:pPr>
        <w:pStyle w:val="ItemHead"/>
      </w:pPr>
      <w:r w:rsidRPr="00E367C1">
        <w:lastRenderedPageBreak/>
        <w:t>9</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.5(2)(c) of </w:t>
      </w:r>
      <w:r w:rsidR="0005350F" w:rsidRPr="00E367C1">
        <w:t>Schedule</w:t>
      </w:r>
      <w:r w:rsidR="00E367C1" w:rsidRPr="00E367C1">
        <w:t> </w:t>
      </w:r>
      <w:r w:rsidR="0005350F" w:rsidRPr="00E367C1">
        <w:t>3</w:t>
      </w:r>
    </w:p>
    <w:p w:rsidR="00640CD1" w:rsidRPr="00E367C1" w:rsidRDefault="00640CD1" w:rsidP="00640CD1">
      <w:pPr>
        <w:pStyle w:val="Item"/>
      </w:pPr>
      <w:r w:rsidRPr="00E367C1">
        <w:t>Omit “</w:t>
      </w:r>
      <w:r w:rsidR="0008454F" w:rsidRPr="00E367C1">
        <w:t>or, if relevant, the contents of packaging</w:t>
      </w:r>
      <w:r w:rsidRPr="00E367C1">
        <w:t>”</w:t>
      </w:r>
      <w:r w:rsidR="0008454F" w:rsidRPr="00E367C1">
        <w:t>, substitute “or the contents of the system or procedure pack”</w:t>
      </w:r>
      <w:r w:rsidRPr="00E367C1">
        <w:t>.</w:t>
      </w:r>
    </w:p>
    <w:p w:rsidR="00640CD1" w:rsidRPr="00E367C1" w:rsidRDefault="00D749B0" w:rsidP="00640CD1">
      <w:pPr>
        <w:pStyle w:val="ItemHead"/>
      </w:pPr>
      <w:r w:rsidRPr="00E367C1">
        <w:t>10</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.5(2)(d)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11</w:t>
      </w:r>
      <w:r w:rsidR="00640CD1" w:rsidRPr="00E367C1">
        <w:t xml:space="preserve">  </w:t>
      </w:r>
      <w:r w:rsidR="00A253C6" w:rsidRPr="00E367C1">
        <w:t>Subparagraphs</w:t>
      </w:r>
      <w:r w:rsidR="00E367C1" w:rsidRPr="00E367C1">
        <w:t> </w:t>
      </w:r>
      <w:r w:rsidR="00A253C6" w:rsidRPr="00E367C1">
        <w:t>7</w:t>
      </w:r>
      <w:r w:rsidR="00640CD1" w:rsidRPr="00E367C1">
        <w:t xml:space="preserve">.5(2)(e)(i) and (ii)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12</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.5(2)(f)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13</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.5(2)(g)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(wherever occurring), substitute “system or procedure pack”.</w:t>
      </w:r>
    </w:p>
    <w:p w:rsidR="00640CD1" w:rsidRPr="00E367C1" w:rsidRDefault="00D749B0" w:rsidP="00640CD1">
      <w:pPr>
        <w:pStyle w:val="ItemHead"/>
      </w:pPr>
      <w:r w:rsidRPr="00E367C1">
        <w:t>14</w:t>
      </w:r>
      <w:r w:rsidR="00640CD1" w:rsidRPr="00E367C1">
        <w:t xml:space="preserve">  </w:t>
      </w:r>
      <w:r w:rsidR="00A253C6" w:rsidRPr="00E367C1">
        <w:t>Subparagraph</w:t>
      </w:r>
      <w:r w:rsidR="00E367C1" w:rsidRPr="00E367C1">
        <w:t xml:space="preserve"> </w:t>
      </w:r>
      <w:r w:rsidR="00A253C6" w:rsidRPr="00E367C1">
        <w:t>7</w:t>
      </w:r>
      <w:r w:rsidR="00640CD1" w:rsidRPr="00E367C1">
        <w:t xml:space="preserve">.5(2)(h)(i)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15</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.5(2)(i)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16</w:t>
      </w:r>
      <w:r w:rsidR="00640CD1" w:rsidRPr="00E367C1">
        <w:t xml:space="preserve">  </w:t>
      </w:r>
      <w:r w:rsidR="00A253C6" w:rsidRPr="00E367C1">
        <w:t>Paragraph</w:t>
      </w:r>
      <w:r w:rsidR="00E367C1" w:rsidRPr="00E367C1">
        <w:t xml:space="preserve"> </w:t>
      </w:r>
      <w:r w:rsidR="00A253C6" w:rsidRPr="00E367C1">
        <w:t>7</w:t>
      </w:r>
      <w:r w:rsidR="0008454F" w:rsidRPr="00E367C1">
        <w:t>.5</w:t>
      </w:r>
      <w:r w:rsidR="00640CD1" w:rsidRPr="00E367C1">
        <w:t xml:space="preserve">(2)(j) of </w:t>
      </w:r>
      <w:r w:rsidR="0005350F" w:rsidRPr="00E367C1">
        <w:t>Schedule</w:t>
      </w:r>
      <w:r w:rsidR="00E367C1" w:rsidRPr="00E367C1">
        <w:t> </w:t>
      </w:r>
      <w:r w:rsidR="0005350F" w:rsidRPr="00E367C1">
        <w:t>3</w:t>
      </w:r>
    </w:p>
    <w:p w:rsidR="00640CD1" w:rsidRPr="00E367C1" w:rsidRDefault="00640CD1" w:rsidP="00640CD1">
      <w:pPr>
        <w:pStyle w:val="Item"/>
      </w:pPr>
      <w:r w:rsidRPr="00E367C1">
        <w:t>After “packaging”, insert “(if any)”.</w:t>
      </w:r>
    </w:p>
    <w:p w:rsidR="00640CD1" w:rsidRPr="00E367C1" w:rsidRDefault="00D749B0" w:rsidP="00640CD1">
      <w:pPr>
        <w:pStyle w:val="ItemHead"/>
      </w:pPr>
      <w:r w:rsidRPr="00E367C1">
        <w:t>17</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.5(2)(j)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640CD1" w:rsidRPr="00E367C1" w:rsidRDefault="00D749B0" w:rsidP="00640CD1">
      <w:pPr>
        <w:pStyle w:val="ItemHead"/>
      </w:pPr>
      <w:r w:rsidRPr="00E367C1">
        <w:t>18</w:t>
      </w:r>
      <w:r w:rsidR="00640CD1" w:rsidRPr="00E367C1">
        <w:t xml:space="preserve">  </w:t>
      </w:r>
      <w:r w:rsidR="00A253C6" w:rsidRPr="00E367C1">
        <w:t>Paragraph</w:t>
      </w:r>
      <w:r w:rsidR="00E367C1" w:rsidRPr="00E367C1">
        <w:t xml:space="preserve"> </w:t>
      </w:r>
      <w:r w:rsidR="00A253C6" w:rsidRPr="00E367C1">
        <w:t>7</w:t>
      </w:r>
      <w:r w:rsidR="00640CD1" w:rsidRPr="00E367C1">
        <w:t xml:space="preserve">.5(2)(k) of </w:t>
      </w:r>
      <w:r w:rsidR="0005350F" w:rsidRPr="00E367C1">
        <w:t>Schedule</w:t>
      </w:r>
      <w:r w:rsidR="00E367C1" w:rsidRPr="00E367C1">
        <w:t> </w:t>
      </w:r>
      <w:r w:rsidR="0005350F" w:rsidRPr="00E367C1">
        <w:t>3</w:t>
      </w:r>
    </w:p>
    <w:p w:rsidR="00640CD1" w:rsidRPr="00E367C1" w:rsidRDefault="00640CD1" w:rsidP="00640CD1">
      <w:pPr>
        <w:pStyle w:val="Item"/>
      </w:pPr>
      <w:r w:rsidRPr="00E367C1">
        <w:t>Omit “package”, substitute “system or procedure pack”.</w:t>
      </w:r>
    </w:p>
    <w:p w:rsidR="0084172C" w:rsidRPr="00E367C1" w:rsidRDefault="00E832C1" w:rsidP="006E3B34">
      <w:pPr>
        <w:pStyle w:val="ActHead6"/>
        <w:pageBreakBefore/>
      </w:pPr>
      <w:bookmarkStart w:id="14" w:name="_Toc44406847"/>
      <w:r w:rsidRPr="00357BFF">
        <w:rPr>
          <w:rStyle w:val="CharAmSchNo"/>
        </w:rPr>
        <w:lastRenderedPageBreak/>
        <w:t>Schedule</w:t>
      </w:r>
      <w:r w:rsidR="00E367C1" w:rsidRPr="00357BFF">
        <w:rPr>
          <w:rStyle w:val="CharAmSchNo"/>
        </w:rPr>
        <w:t> </w:t>
      </w:r>
      <w:r w:rsidRPr="00357BFF">
        <w:rPr>
          <w:rStyle w:val="CharAmSchNo"/>
        </w:rPr>
        <w:t>2</w:t>
      </w:r>
      <w:r w:rsidR="001E223F" w:rsidRPr="00E367C1">
        <w:t>—</w:t>
      </w:r>
      <w:r w:rsidR="00553B91" w:rsidRPr="00357BFF">
        <w:rPr>
          <w:rStyle w:val="CharAmSchText"/>
        </w:rPr>
        <w:t>Exemption of hyperbaric oxygen therapy hoods</w:t>
      </w:r>
      <w:bookmarkEnd w:id="14"/>
    </w:p>
    <w:p w:rsidR="006E3B34" w:rsidRPr="00357BFF" w:rsidRDefault="006E3B34" w:rsidP="006E3B34">
      <w:pPr>
        <w:pStyle w:val="Header"/>
      </w:pPr>
      <w:r w:rsidRPr="00357BFF">
        <w:rPr>
          <w:rStyle w:val="CharAmPartNo"/>
        </w:rPr>
        <w:t xml:space="preserve"> </w:t>
      </w:r>
      <w:r w:rsidRPr="00357BFF">
        <w:rPr>
          <w:rStyle w:val="CharAmPartText"/>
        </w:rPr>
        <w:t xml:space="preserve"> </w:t>
      </w:r>
    </w:p>
    <w:p w:rsidR="007B53E8" w:rsidRPr="00E367C1" w:rsidRDefault="007B53E8" w:rsidP="007B53E8">
      <w:pPr>
        <w:pStyle w:val="ActHead9"/>
      </w:pPr>
      <w:bookmarkStart w:id="15" w:name="_Toc44406848"/>
      <w:r w:rsidRPr="00E367C1">
        <w:t xml:space="preserve">Therapeutic Goods (Medical Devices) </w:t>
      </w:r>
      <w:r w:rsidR="004C29A0" w:rsidRPr="00E367C1">
        <w:t>Regulations</w:t>
      </w:r>
      <w:r w:rsidR="00E367C1" w:rsidRPr="00E367C1">
        <w:t> </w:t>
      </w:r>
      <w:r w:rsidR="004C29A0" w:rsidRPr="00E367C1">
        <w:t>2</w:t>
      </w:r>
      <w:r w:rsidRPr="00E367C1">
        <w:t>002</w:t>
      </w:r>
      <w:bookmarkEnd w:id="15"/>
    </w:p>
    <w:p w:rsidR="00AD286A" w:rsidRPr="00E367C1" w:rsidRDefault="00D749B0" w:rsidP="00AD286A">
      <w:pPr>
        <w:pStyle w:val="ItemHead"/>
      </w:pPr>
      <w:r w:rsidRPr="00E367C1">
        <w:t>1</w:t>
      </w:r>
      <w:r w:rsidR="00AD286A" w:rsidRPr="00E367C1">
        <w:t xml:space="preserve">  </w:t>
      </w:r>
      <w:r w:rsidR="00E832C1" w:rsidRPr="00E367C1">
        <w:t>Part</w:t>
      </w:r>
      <w:r w:rsidR="00E367C1" w:rsidRPr="00E367C1">
        <w:t> </w:t>
      </w:r>
      <w:r w:rsidR="00E832C1" w:rsidRPr="00E367C1">
        <w:t>1</w:t>
      </w:r>
      <w:r w:rsidR="00AD286A" w:rsidRPr="00E367C1">
        <w:t xml:space="preserve"> of </w:t>
      </w:r>
      <w:r w:rsidR="0005350F" w:rsidRPr="00E367C1">
        <w:t>Schedule</w:t>
      </w:r>
      <w:r w:rsidR="00E367C1" w:rsidRPr="00E367C1">
        <w:t> </w:t>
      </w:r>
      <w:r w:rsidR="0005350F" w:rsidRPr="00E367C1">
        <w:t>4</w:t>
      </w:r>
      <w:r w:rsidR="00AD286A" w:rsidRPr="00E367C1">
        <w:t xml:space="preserve"> (after table </w:t>
      </w:r>
      <w:r w:rsidR="00A253C6" w:rsidRPr="00E367C1">
        <w:t>item</w:t>
      </w:r>
      <w:r w:rsidR="00E367C1" w:rsidRPr="00E367C1">
        <w:t> </w:t>
      </w:r>
      <w:r w:rsidR="00A253C6" w:rsidRPr="00E367C1">
        <w:t>1</w:t>
      </w:r>
      <w:r w:rsidR="00AD286A" w:rsidRPr="00E367C1">
        <w:t>.3)</w:t>
      </w:r>
    </w:p>
    <w:p w:rsidR="00AD286A" w:rsidRPr="00E367C1" w:rsidRDefault="00AD286A" w:rsidP="00AD286A">
      <w:pPr>
        <w:pStyle w:val="Item"/>
      </w:pPr>
      <w:r w:rsidRPr="00E367C1">
        <w:t>Insert:</w:t>
      </w:r>
    </w:p>
    <w:tbl>
      <w:tblPr>
        <w:tblW w:w="5000" w:type="pct"/>
        <w:tblLook w:val="0000" w:firstRow="0" w:lastRow="0" w:firstColumn="0" w:lastColumn="0" w:noHBand="0" w:noVBand="0"/>
      </w:tblPr>
      <w:tblGrid>
        <w:gridCol w:w="778"/>
        <w:gridCol w:w="7751"/>
      </w:tblGrid>
      <w:tr w:rsidR="00AD286A" w:rsidRPr="00E367C1" w:rsidTr="00AD286A">
        <w:trPr>
          <w:cantSplit/>
        </w:trPr>
        <w:tc>
          <w:tcPr>
            <w:tcW w:w="456" w:type="pct"/>
            <w:shd w:val="clear" w:color="auto" w:fill="auto"/>
          </w:tcPr>
          <w:p w:rsidR="00AD286A" w:rsidRPr="00E367C1" w:rsidRDefault="00AD286A" w:rsidP="00AD286A">
            <w:pPr>
              <w:pStyle w:val="Tabletext"/>
            </w:pPr>
            <w:r w:rsidRPr="00E367C1">
              <w:t>1.3A</w:t>
            </w:r>
          </w:p>
        </w:tc>
        <w:tc>
          <w:tcPr>
            <w:tcW w:w="4544" w:type="pct"/>
            <w:shd w:val="clear" w:color="auto" w:fill="auto"/>
          </w:tcPr>
          <w:p w:rsidR="00AD286A" w:rsidRPr="00E367C1" w:rsidRDefault="00AD286A" w:rsidP="00AD286A">
            <w:pPr>
              <w:pStyle w:val="Tabletext"/>
            </w:pPr>
            <w:r w:rsidRPr="00E367C1">
              <w:t>Medical device that is an oxygen administration hood for use in a hyperbaric chamber for hyperbaric oxygen therapy</w:t>
            </w:r>
          </w:p>
        </w:tc>
      </w:tr>
    </w:tbl>
    <w:p w:rsidR="00482FDC" w:rsidRPr="00E367C1" w:rsidRDefault="0005350F" w:rsidP="006E3B34">
      <w:pPr>
        <w:pStyle w:val="ActHead6"/>
        <w:pageBreakBefore/>
      </w:pPr>
      <w:bookmarkStart w:id="16" w:name="_Toc44406849"/>
      <w:r w:rsidRPr="00357BFF">
        <w:rPr>
          <w:rStyle w:val="CharAmSchNo"/>
        </w:rPr>
        <w:lastRenderedPageBreak/>
        <w:t>Schedule</w:t>
      </w:r>
      <w:r w:rsidR="00E367C1" w:rsidRPr="00357BFF">
        <w:rPr>
          <w:rStyle w:val="CharAmSchNo"/>
        </w:rPr>
        <w:t> </w:t>
      </w:r>
      <w:r w:rsidRPr="00357BFF">
        <w:rPr>
          <w:rStyle w:val="CharAmSchNo"/>
        </w:rPr>
        <w:t>3</w:t>
      </w:r>
      <w:r w:rsidR="00482FDC" w:rsidRPr="00E367C1">
        <w:t>—</w:t>
      </w:r>
      <w:r w:rsidR="00751ADC" w:rsidRPr="00357BFF">
        <w:rPr>
          <w:rStyle w:val="CharAmSchText"/>
        </w:rPr>
        <w:t>Period for notifying adverse events</w:t>
      </w:r>
      <w:bookmarkEnd w:id="16"/>
    </w:p>
    <w:p w:rsidR="006E3B34" w:rsidRPr="00357BFF" w:rsidRDefault="006E3B34" w:rsidP="006E3B34">
      <w:pPr>
        <w:pStyle w:val="Header"/>
      </w:pPr>
      <w:r w:rsidRPr="00357BFF">
        <w:rPr>
          <w:rStyle w:val="CharAmPartNo"/>
        </w:rPr>
        <w:t xml:space="preserve"> </w:t>
      </w:r>
      <w:r w:rsidRPr="00357BFF">
        <w:rPr>
          <w:rStyle w:val="CharAmPartText"/>
        </w:rPr>
        <w:t xml:space="preserve"> </w:t>
      </w:r>
    </w:p>
    <w:p w:rsidR="00482FDC" w:rsidRPr="00E367C1" w:rsidRDefault="00482FDC" w:rsidP="00482FDC">
      <w:pPr>
        <w:pStyle w:val="ActHead9"/>
      </w:pPr>
      <w:bookmarkStart w:id="17" w:name="_Toc44406850"/>
      <w:r w:rsidRPr="00E367C1">
        <w:t xml:space="preserve">Therapeutic Goods (Medical Devices) </w:t>
      </w:r>
      <w:r w:rsidR="004C29A0" w:rsidRPr="00E367C1">
        <w:t>Regulations</w:t>
      </w:r>
      <w:r w:rsidR="00E367C1" w:rsidRPr="00E367C1">
        <w:t> </w:t>
      </w:r>
      <w:r w:rsidR="004C29A0" w:rsidRPr="00E367C1">
        <w:t>2</w:t>
      </w:r>
      <w:r w:rsidRPr="00E367C1">
        <w:t>002</w:t>
      </w:r>
      <w:bookmarkEnd w:id="17"/>
    </w:p>
    <w:p w:rsidR="004C29A0" w:rsidRPr="00E367C1" w:rsidRDefault="00D749B0" w:rsidP="004C29A0">
      <w:pPr>
        <w:pStyle w:val="ItemHead"/>
      </w:pPr>
      <w:r w:rsidRPr="00E367C1">
        <w:t>1</w:t>
      </w:r>
      <w:r w:rsidR="004C29A0" w:rsidRPr="00E367C1">
        <w:t xml:space="preserve">  </w:t>
      </w:r>
      <w:proofErr w:type="spellStart"/>
      <w:r w:rsidR="00E35D0B" w:rsidRPr="00E367C1">
        <w:t>Sub</w:t>
      </w:r>
      <w:r w:rsidR="00FE690A" w:rsidRPr="00E367C1">
        <w:t>regulation</w:t>
      </w:r>
      <w:proofErr w:type="spellEnd"/>
      <w:r w:rsidR="00E367C1" w:rsidRPr="00E367C1">
        <w:t> </w:t>
      </w:r>
      <w:r w:rsidR="00FE690A" w:rsidRPr="00E367C1">
        <w:t>5</w:t>
      </w:r>
      <w:r w:rsidR="004C29A0" w:rsidRPr="00E367C1">
        <w:t>.7(1)</w:t>
      </w:r>
    </w:p>
    <w:p w:rsidR="004C29A0" w:rsidRPr="00E367C1" w:rsidRDefault="004C29A0" w:rsidP="004C29A0">
      <w:pPr>
        <w:pStyle w:val="Item"/>
      </w:pPr>
      <w:r w:rsidRPr="00E367C1">
        <w:t>After “subsection</w:t>
      </w:r>
      <w:r w:rsidR="00E367C1" w:rsidRPr="00E367C1">
        <w:t> </w:t>
      </w:r>
      <w:r w:rsidRPr="00E367C1">
        <w:t>41MP(2)”, insert “or 41MPA(2)”.</w:t>
      </w:r>
    </w:p>
    <w:p w:rsidR="00315B02" w:rsidRPr="00E367C1" w:rsidRDefault="00D749B0" w:rsidP="00315B02">
      <w:pPr>
        <w:pStyle w:val="ItemHead"/>
      </w:pPr>
      <w:r w:rsidRPr="00E367C1">
        <w:t>2</w:t>
      </w:r>
      <w:r w:rsidR="00315B02" w:rsidRPr="00E367C1">
        <w:t xml:space="preserve">  At the end of </w:t>
      </w:r>
      <w:proofErr w:type="spellStart"/>
      <w:r w:rsidR="00EB2DA8" w:rsidRPr="00E367C1">
        <w:t>sub</w:t>
      </w:r>
      <w:r w:rsidR="00FE690A" w:rsidRPr="00E367C1">
        <w:t>regulation</w:t>
      </w:r>
      <w:proofErr w:type="spellEnd"/>
      <w:r w:rsidR="00E367C1" w:rsidRPr="00E367C1">
        <w:t> </w:t>
      </w:r>
      <w:r w:rsidR="00FE690A" w:rsidRPr="00E367C1">
        <w:t>5</w:t>
      </w:r>
      <w:r w:rsidR="00315B02" w:rsidRPr="00E367C1">
        <w:t>.7(1)</w:t>
      </w:r>
    </w:p>
    <w:p w:rsidR="00315B02" w:rsidRPr="00E367C1" w:rsidRDefault="00315B02" w:rsidP="00315B02">
      <w:pPr>
        <w:pStyle w:val="Item"/>
      </w:pPr>
      <w:r w:rsidRPr="00E367C1">
        <w:t>Add:</w:t>
      </w:r>
    </w:p>
    <w:p w:rsidR="00315B02" w:rsidRPr="00E367C1" w:rsidRDefault="00315B02" w:rsidP="00315B02">
      <w:pPr>
        <w:pStyle w:val="paragraph"/>
      </w:pPr>
      <w:r w:rsidRPr="00E367C1">
        <w:tab/>
        <w:t>; and (d)</w:t>
      </w:r>
      <w:r w:rsidRPr="00E367C1">
        <w:tab/>
        <w:t>in any other case—60 days after the person becomes aware of the information.</w:t>
      </w:r>
    </w:p>
    <w:p w:rsidR="00F922F4" w:rsidRPr="00E367C1" w:rsidRDefault="00D749B0" w:rsidP="00F922F4">
      <w:pPr>
        <w:pStyle w:val="ItemHead"/>
      </w:pPr>
      <w:r w:rsidRPr="00E367C1">
        <w:t>3</w:t>
      </w:r>
      <w:r w:rsidR="00F922F4" w:rsidRPr="00E367C1">
        <w:t xml:space="preserve">  After </w:t>
      </w:r>
      <w:r w:rsidR="00A253C6" w:rsidRPr="00E367C1">
        <w:t>regulation</w:t>
      </w:r>
      <w:r w:rsidR="00E367C1" w:rsidRPr="00E367C1">
        <w:t> </w:t>
      </w:r>
      <w:r w:rsidR="00A253C6" w:rsidRPr="00E367C1">
        <w:t>1</w:t>
      </w:r>
      <w:r w:rsidR="00F922F4" w:rsidRPr="00E367C1">
        <w:t>0.4</w:t>
      </w:r>
    </w:p>
    <w:p w:rsidR="00F922F4" w:rsidRPr="00E367C1" w:rsidRDefault="00F922F4" w:rsidP="00F922F4">
      <w:pPr>
        <w:pStyle w:val="Item"/>
      </w:pPr>
      <w:r w:rsidRPr="00E367C1">
        <w:t>Insert:</w:t>
      </w:r>
    </w:p>
    <w:p w:rsidR="00F922F4" w:rsidRPr="00E367C1" w:rsidRDefault="00F922F4" w:rsidP="00F922F4">
      <w:pPr>
        <w:pStyle w:val="ActHead5"/>
      </w:pPr>
      <w:bookmarkStart w:id="18" w:name="_Toc44406851"/>
      <w:r w:rsidRPr="00357BFF">
        <w:rPr>
          <w:rStyle w:val="CharSectno"/>
        </w:rPr>
        <w:t>10.4AA</w:t>
      </w:r>
      <w:r w:rsidRPr="00E367C1">
        <w:t xml:space="preserve">  Civil penalty—period for notifying adverse events</w:t>
      </w:r>
      <w:bookmarkEnd w:id="18"/>
    </w:p>
    <w:p w:rsidR="00F922F4" w:rsidRPr="00E367C1" w:rsidRDefault="00F922F4" w:rsidP="00F922F4">
      <w:pPr>
        <w:pStyle w:val="subsection"/>
      </w:pPr>
      <w:r w:rsidRPr="00E367C1">
        <w:tab/>
      </w:r>
      <w:r w:rsidRPr="00E367C1">
        <w:tab/>
        <w:t>For the purposes of paragraph</w:t>
      </w:r>
      <w:r w:rsidR="00E367C1" w:rsidRPr="00E367C1">
        <w:t> </w:t>
      </w:r>
      <w:r w:rsidRPr="00E367C1">
        <w:t>41MPA(1)(c) of the Act, the period for giving information of a kind mentioned in subsection</w:t>
      </w:r>
      <w:r w:rsidR="00E367C1" w:rsidRPr="00E367C1">
        <w:t> </w:t>
      </w:r>
      <w:r w:rsidRPr="00E367C1">
        <w:t xml:space="preserve">41MPA(2) of the Act is the relevant period specified in </w:t>
      </w:r>
      <w:r w:rsidR="00FE690A" w:rsidRPr="00E367C1">
        <w:t>regulation</w:t>
      </w:r>
      <w:r w:rsidR="00E367C1" w:rsidRPr="00E367C1">
        <w:t> </w:t>
      </w:r>
      <w:r w:rsidR="00FE690A" w:rsidRPr="00E367C1">
        <w:t>5</w:t>
      </w:r>
      <w:r w:rsidRPr="00E367C1">
        <w:t>.7.</w:t>
      </w:r>
    </w:p>
    <w:p w:rsidR="00F922F4" w:rsidRPr="00E367C1" w:rsidRDefault="00D749B0" w:rsidP="004C29A0">
      <w:pPr>
        <w:pStyle w:val="ItemHead"/>
      </w:pPr>
      <w:r w:rsidRPr="00E367C1">
        <w:t>4</w:t>
      </w:r>
      <w:r w:rsidR="004C29A0" w:rsidRPr="00E367C1">
        <w:t xml:space="preserve">  </w:t>
      </w:r>
      <w:r w:rsidR="00E35D0B" w:rsidRPr="00E367C1">
        <w:t>Subclause</w:t>
      </w:r>
      <w:r w:rsidR="00E367C1" w:rsidRPr="00E367C1">
        <w:t> </w:t>
      </w:r>
      <w:r w:rsidR="00E35D0B" w:rsidRPr="00E367C1">
        <w:t>1</w:t>
      </w:r>
      <w:r w:rsidR="004C29A0" w:rsidRPr="00E367C1">
        <w:t xml:space="preserve">.4(3)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4C29A0" w:rsidRPr="00E367C1" w:rsidRDefault="00D749B0" w:rsidP="004C29A0">
      <w:pPr>
        <w:pStyle w:val="ItemHead"/>
      </w:pPr>
      <w:r w:rsidRPr="00E367C1">
        <w:t>5</w:t>
      </w:r>
      <w:r w:rsidR="004C29A0" w:rsidRPr="00E367C1">
        <w:t xml:space="preserve">  </w:t>
      </w:r>
      <w:r w:rsidR="00E35D0B" w:rsidRPr="00E367C1">
        <w:t>Subclause</w:t>
      </w:r>
      <w:r w:rsidR="00E367C1" w:rsidRPr="00E367C1">
        <w:t> </w:t>
      </w:r>
      <w:r w:rsidR="00E35D0B" w:rsidRPr="00E367C1">
        <w:t>3</w:t>
      </w:r>
      <w:r w:rsidR="004C29A0" w:rsidRPr="00E367C1">
        <w:t xml:space="preserve">.4(2)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4C29A0" w:rsidRPr="00E367C1" w:rsidRDefault="00D749B0" w:rsidP="004C29A0">
      <w:pPr>
        <w:pStyle w:val="ItemHead"/>
      </w:pPr>
      <w:r w:rsidRPr="00E367C1">
        <w:t>6</w:t>
      </w:r>
      <w:r w:rsidR="004C29A0" w:rsidRPr="00E367C1">
        <w:t xml:space="preserve">  </w:t>
      </w:r>
      <w:r w:rsidR="00E35D0B" w:rsidRPr="00E367C1">
        <w:t>Subclause</w:t>
      </w:r>
      <w:r w:rsidR="00E367C1" w:rsidRPr="00E367C1">
        <w:t> </w:t>
      </w:r>
      <w:r w:rsidR="00E35D0B" w:rsidRPr="00E367C1">
        <w:t>4</w:t>
      </w:r>
      <w:r w:rsidR="004C29A0" w:rsidRPr="00E367C1">
        <w:t xml:space="preserve">.4(3)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4C29A0" w:rsidRPr="00E367C1" w:rsidRDefault="00D749B0" w:rsidP="004C29A0">
      <w:pPr>
        <w:pStyle w:val="ItemHead"/>
      </w:pPr>
      <w:r w:rsidRPr="00E367C1">
        <w:t>7</w:t>
      </w:r>
      <w:r w:rsidR="004C29A0" w:rsidRPr="00E367C1">
        <w:t xml:space="preserve">  </w:t>
      </w:r>
      <w:r w:rsidR="00E35D0B" w:rsidRPr="00E367C1">
        <w:t>Sub</w:t>
      </w:r>
      <w:r w:rsidR="00A253C6" w:rsidRPr="00E367C1">
        <w:t>clause</w:t>
      </w:r>
      <w:r w:rsidR="00E367C1" w:rsidRPr="00E367C1">
        <w:t> </w:t>
      </w:r>
      <w:r w:rsidR="00A253C6" w:rsidRPr="00E367C1">
        <w:t>5</w:t>
      </w:r>
      <w:r w:rsidR="004C29A0" w:rsidRPr="00E367C1">
        <w:t xml:space="preserve">.4(3)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4C29A0" w:rsidRPr="00E367C1" w:rsidRDefault="00D749B0" w:rsidP="004C29A0">
      <w:pPr>
        <w:pStyle w:val="ItemHead"/>
      </w:pPr>
      <w:r w:rsidRPr="00E367C1">
        <w:t>8</w:t>
      </w:r>
      <w:r w:rsidR="004C29A0" w:rsidRPr="00E367C1">
        <w:t xml:space="preserve">  </w:t>
      </w:r>
      <w:r w:rsidR="00E35D0B" w:rsidRPr="00E367C1">
        <w:t>Sub</w:t>
      </w:r>
      <w:r w:rsidR="0005350F" w:rsidRPr="00E367C1">
        <w:t>clause</w:t>
      </w:r>
      <w:r w:rsidR="00E367C1" w:rsidRPr="00E367C1">
        <w:t> </w:t>
      </w:r>
      <w:r w:rsidR="0005350F" w:rsidRPr="00E367C1">
        <w:t>6</w:t>
      </w:r>
      <w:r w:rsidR="004C29A0" w:rsidRPr="00E367C1">
        <w:t xml:space="preserve">.5(2)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4C29A0" w:rsidRPr="00E367C1" w:rsidRDefault="00D749B0" w:rsidP="004C29A0">
      <w:pPr>
        <w:pStyle w:val="ItemHead"/>
      </w:pPr>
      <w:r w:rsidRPr="00E367C1">
        <w:t>9</w:t>
      </w:r>
      <w:r w:rsidR="004C29A0" w:rsidRPr="00E367C1">
        <w:t xml:space="preserve">  </w:t>
      </w:r>
      <w:r w:rsidR="00E35D0B" w:rsidRPr="00E367C1">
        <w:t>Subclause</w:t>
      </w:r>
      <w:r w:rsidR="00E367C1" w:rsidRPr="00E367C1">
        <w:t> </w:t>
      </w:r>
      <w:r w:rsidR="00E35D0B" w:rsidRPr="00E367C1">
        <w:t>7</w:t>
      </w:r>
      <w:r w:rsidR="004C29A0" w:rsidRPr="00E367C1">
        <w:t>.5(4</w:t>
      </w:r>
      <w:r w:rsidR="00F01234" w:rsidRPr="00E367C1">
        <w:t>)</w:t>
      </w:r>
      <w:r w:rsidR="004C29A0" w:rsidRPr="00E367C1">
        <w:t xml:space="preserve"> of </w:t>
      </w:r>
      <w:r w:rsidR="0005350F" w:rsidRPr="00E367C1">
        <w:t>Schedule</w:t>
      </w:r>
      <w:r w:rsidR="00E367C1" w:rsidRPr="00E367C1">
        <w:t> </w:t>
      </w:r>
      <w:r w:rsidR="0005350F" w:rsidRPr="00E367C1">
        <w:t>3</w:t>
      </w:r>
      <w:r w:rsidR="004C29A0" w:rsidRPr="00E367C1">
        <w:t xml:space="preserve"> (note)</w:t>
      </w:r>
    </w:p>
    <w:p w:rsidR="004C29A0" w:rsidRPr="00E367C1" w:rsidRDefault="004C29A0" w:rsidP="004C29A0">
      <w:pPr>
        <w:pStyle w:val="Item"/>
      </w:pPr>
      <w:r w:rsidRPr="00E367C1">
        <w:t>Omit “section</w:t>
      </w:r>
      <w:r w:rsidR="00E367C1" w:rsidRPr="00E367C1">
        <w:t> </w:t>
      </w:r>
      <w:r w:rsidRPr="00E367C1">
        <w:t>41MP”, substitute “</w:t>
      </w:r>
      <w:r w:rsidR="00E35D0B" w:rsidRPr="00E367C1">
        <w:t>sections</w:t>
      </w:r>
      <w:r w:rsidR="00E367C1" w:rsidRPr="00E367C1">
        <w:t> </w:t>
      </w:r>
      <w:r w:rsidR="00E35D0B" w:rsidRPr="00E367C1">
        <w:t>4</w:t>
      </w:r>
      <w:r w:rsidRPr="00E367C1">
        <w:t>1MP and 41MPA”.</w:t>
      </w:r>
    </w:p>
    <w:p w:rsidR="003223E8" w:rsidRPr="00E367C1" w:rsidRDefault="0005350F" w:rsidP="006E3B34">
      <w:pPr>
        <w:pStyle w:val="ActHead6"/>
        <w:pageBreakBefore/>
      </w:pPr>
      <w:bookmarkStart w:id="19" w:name="_Toc44406852"/>
      <w:r w:rsidRPr="00357BFF">
        <w:rPr>
          <w:rStyle w:val="CharAmSchNo"/>
        </w:rPr>
        <w:t>Schedule</w:t>
      </w:r>
      <w:r w:rsidR="00E367C1" w:rsidRPr="00357BFF">
        <w:rPr>
          <w:rStyle w:val="CharAmSchNo"/>
        </w:rPr>
        <w:t> </w:t>
      </w:r>
      <w:r w:rsidRPr="00357BFF">
        <w:rPr>
          <w:rStyle w:val="CharAmSchNo"/>
        </w:rPr>
        <w:t>4</w:t>
      </w:r>
      <w:r w:rsidR="003223E8" w:rsidRPr="00E367C1">
        <w:t>—</w:t>
      </w:r>
      <w:r w:rsidR="003223E8" w:rsidRPr="00357BFF">
        <w:rPr>
          <w:rStyle w:val="CharAmSchText"/>
        </w:rPr>
        <w:t>Approving supply of therapeutic goods under authorised prescriber scheme</w:t>
      </w:r>
      <w:bookmarkEnd w:id="19"/>
    </w:p>
    <w:p w:rsidR="006E3B34" w:rsidRPr="00357BFF" w:rsidRDefault="006E3B34" w:rsidP="006E3B34">
      <w:pPr>
        <w:pStyle w:val="Header"/>
      </w:pPr>
      <w:r w:rsidRPr="00357BFF">
        <w:rPr>
          <w:rStyle w:val="CharAmPartNo"/>
        </w:rPr>
        <w:t xml:space="preserve"> </w:t>
      </w:r>
      <w:r w:rsidRPr="00357BFF">
        <w:rPr>
          <w:rStyle w:val="CharAmPartText"/>
        </w:rPr>
        <w:t xml:space="preserve"> </w:t>
      </w:r>
    </w:p>
    <w:p w:rsidR="00880EFC" w:rsidRPr="00E367C1" w:rsidRDefault="00880EFC" w:rsidP="00880EFC">
      <w:pPr>
        <w:pStyle w:val="ActHead9"/>
      </w:pPr>
      <w:bookmarkStart w:id="20" w:name="_Toc44406853"/>
      <w:r w:rsidRPr="00E367C1">
        <w:t>Therapeutic Goods Regulations</w:t>
      </w:r>
      <w:r w:rsidR="00E367C1" w:rsidRPr="00E367C1">
        <w:t> </w:t>
      </w:r>
      <w:r w:rsidRPr="00E367C1">
        <w:t>1990</w:t>
      </w:r>
      <w:bookmarkEnd w:id="20"/>
    </w:p>
    <w:p w:rsidR="007942CB" w:rsidRPr="00E367C1" w:rsidRDefault="00D749B0" w:rsidP="007942CB">
      <w:pPr>
        <w:pStyle w:val="ItemHead"/>
      </w:pPr>
      <w:r w:rsidRPr="00E367C1">
        <w:t>1</w:t>
      </w:r>
      <w:r w:rsidR="007942CB" w:rsidRPr="00E367C1">
        <w:t xml:space="preserve">  </w:t>
      </w:r>
      <w:r w:rsidR="006F01F5" w:rsidRPr="00E367C1">
        <w:t xml:space="preserve">After </w:t>
      </w:r>
      <w:proofErr w:type="spellStart"/>
      <w:r w:rsidR="0012767C" w:rsidRPr="00E367C1">
        <w:t>subregulation</w:t>
      </w:r>
      <w:proofErr w:type="spellEnd"/>
      <w:r w:rsidR="00E367C1" w:rsidRPr="00E367C1">
        <w:t> </w:t>
      </w:r>
      <w:r w:rsidR="0012767C" w:rsidRPr="00E367C1">
        <w:t>1</w:t>
      </w:r>
      <w:r w:rsidR="007942CB" w:rsidRPr="00E367C1">
        <w:t>2B(1A)</w:t>
      </w:r>
    </w:p>
    <w:p w:rsidR="007942CB" w:rsidRPr="00E367C1" w:rsidRDefault="006F01F5" w:rsidP="007942CB">
      <w:pPr>
        <w:pStyle w:val="Item"/>
      </w:pPr>
      <w:r w:rsidRPr="00E367C1">
        <w:t>Insert</w:t>
      </w:r>
      <w:r w:rsidR="007942CB" w:rsidRPr="00E367C1">
        <w:t>:</w:t>
      </w:r>
    </w:p>
    <w:p w:rsidR="007942CB" w:rsidRPr="00E367C1" w:rsidRDefault="006F01F5" w:rsidP="007942CB">
      <w:pPr>
        <w:pStyle w:val="subsection"/>
      </w:pPr>
      <w:r w:rsidRPr="00E367C1">
        <w:tab/>
        <w:t>(1B</w:t>
      </w:r>
      <w:r w:rsidR="007942CB" w:rsidRPr="00E367C1">
        <w:t>)</w:t>
      </w:r>
      <w:r w:rsidR="007942CB" w:rsidRPr="00E367C1">
        <w:tab/>
        <w:t xml:space="preserve">For the purposes of </w:t>
      </w:r>
      <w:r w:rsidR="00E832C1" w:rsidRPr="00E367C1">
        <w:t>subsection</w:t>
      </w:r>
      <w:r w:rsidR="00E367C1" w:rsidRPr="00E367C1">
        <w:t> </w:t>
      </w:r>
      <w:r w:rsidR="00E832C1" w:rsidRPr="00E367C1">
        <w:t>1</w:t>
      </w:r>
      <w:r w:rsidR="007942CB" w:rsidRPr="00E367C1">
        <w:t xml:space="preserve">9(6) of the Act, </w:t>
      </w:r>
      <w:r w:rsidRPr="00E367C1">
        <w:t>paragraph</w:t>
      </w:r>
      <w:r w:rsidR="00E367C1" w:rsidRPr="00E367C1">
        <w:t> </w:t>
      </w:r>
      <w:r w:rsidRPr="00E367C1">
        <w:t xml:space="preserve">19(6)(aa) of the Act does not apply </w:t>
      </w:r>
      <w:r w:rsidR="000F52DF" w:rsidRPr="00E367C1">
        <w:t>if</w:t>
      </w:r>
      <w:r w:rsidR="007942CB" w:rsidRPr="00E367C1">
        <w:t xml:space="preserve"> the supply is of a medicine by the </w:t>
      </w:r>
      <w:r w:rsidR="006F5B6F" w:rsidRPr="00E367C1">
        <w:t>medical practitioner to a patient of that practitioner, where:</w:t>
      </w:r>
    </w:p>
    <w:p w:rsidR="006F5B6F" w:rsidRPr="00E367C1" w:rsidRDefault="006F5B6F" w:rsidP="006F5B6F">
      <w:pPr>
        <w:pStyle w:val="paragraph"/>
      </w:pPr>
      <w:r w:rsidRPr="00E367C1">
        <w:tab/>
        <w:t>(a)</w:t>
      </w:r>
      <w:r w:rsidRPr="00E367C1">
        <w:tab/>
        <w:t>the medicine contains an active ingredient specified in column 2 of an item in the following</w:t>
      </w:r>
      <w:bookmarkStart w:id="21" w:name="BK_S3P8L11C17"/>
      <w:bookmarkEnd w:id="21"/>
      <w:r w:rsidRPr="00E367C1">
        <w:t xml:space="preserve"> table</w:t>
      </w:r>
      <w:r w:rsidR="004E14D8" w:rsidRPr="00E367C1">
        <w:t xml:space="preserve"> and does not contain any other active ingredient</w:t>
      </w:r>
      <w:r w:rsidRPr="00E367C1">
        <w:t>; and</w:t>
      </w:r>
    </w:p>
    <w:p w:rsidR="006F5B6F" w:rsidRPr="00E367C1" w:rsidRDefault="006F5B6F" w:rsidP="006F5B6F">
      <w:pPr>
        <w:pStyle w:val="paragraph"/>
      </w:pPr>
      <w:r w:rsidRPr="00E367C1">
        <w:tab/>
        <w:t>(b)</w:t>
      </w:r>
      <w:r w:rsidRPr="00E367C1">
        <w:tab/>
        <w:t>the medicine only contains the active ingredient in the strength and concentration (if any) specified in column 2 of that item; and</w:t>
      </w:r>
    </w:p>
    <w:p w:rsidR="006F5B6F" w:rsidRPr="00E367C1" w:rsidRDefault="00105690" w:rsidP="006F5B6F">
      <w:pPr>
        <w:pStyle w:val="paragraph"/>
      </w:pPr>
      <w:r w:rsidRPr="00E367C1">
        <w:tab/>
        <w:t>(c</w:t>
      </w:r>
      <w:r w:rsidR="006F5B6F" w:rsidRPr="00E367C1">
        <w:t>)</w:t>
      </w:r>
      <w:r w:rsidR="006F5B6F" w:rsidRPr="00E367C1">
        <w:tab/>
        <w:t>the medicine is in the dosage form specified in column 3 of that item; and</w:t>
      </w:r>
    </w:p>
    <w:p w:rsidR="006F5B6F" w:rsidRPr="00E367C1" w:rsidRDefault="00105690" w:rsidP="006F5B6F">
      <w:pPr>
        <w:pStyle w:val="paragraph"/>
      </w:pPr>
      <w:r w:rsidRPr="00E367C1">
        <w:tab/>
        <w:t>(d</w:t>
      </w:r>
      <w:r w:rsidR="006F5B6F" w:rsidRPr="00E367C1">
        <w:t>)</w:t>
      </w:r>
      <w:r w:rsidR="006F5B6F" w:rsidRPr="00E367C1">
        <w:tab/>
        <w:t>the medicine is to be administered by the route specified in column 4 of that item; and</w:t>
      </w:r>
    </w:p>
    <w:p w:rsidR="006F5B6F" w:rsidRPr="00E367C1" w:rsidRDefault="006F5B6F" w:rsidP="006F5B6F">
      <w:pPr>
        <w:pStyle w:val="paragraph"/>
      </w:pPr>
      <w:r w:rsidRPr="00E367C1">
        <w:tab/>
      </w:r>
      <w:r w:rsidR="00105690" w:rsidRPr="00E367C1">
        <w:t>(e</w:t>
      </w:r>
      <w:r w:rsidRPr="00E367C1">
        <w:t>)</w:t>
      </w:r>
      <w:r w:rsidRPr="00E367C1">
        <w:tab/>
        <w:t>the supply is for the indication specified in column 5 of that item</w:t>
      </w:r>
      <w:r w:rsidR="00880EFC" w:rsidRPr="00E367C1">
        <w:t>.</w:t>
      </w:r>
    </w:p>
    <w:p w:rsidR="00932FBD" w:rsidRPr="00E367C1" w:rsidRDefault="00932FBD" w:rsidP="00880EFC">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2125"/>
        <w:gridCol w:w="1283"/>
        <w:gridCol w:w="1552"/>
        <w:gridCol w:w="2468"/>
      </w:tblGrid>
      <w:tr w:rsidR="00932FBD" w:rsidRPr="00E367C1" w:rsidTr="002973C6">
        <w:trPr>
          <w:trHeight w:val="57"/>
          <w:tblHeader/>
        </w:trPr>
        <w:tc>
          <w:tcPr>
            <w:tcW w:w="5000" w:type="pct"/>
            <w:gridSpan w:val="5"/>
            <w:tcBorders>
              <w:top w:val="single" w:sz="12" w:space="0" w:color="auto"/>
              <w:bottom w:val="nil"/>
            </w:tcBorders>
          </w:tcPr>
          <w:p w:rsidR="00932FBD" w:rsidRPr="00E367C1" w:rsidRDefault="00932FBD" w:rsidP="00C41C6A">
            <w:pPr>
              <w:pStyle w:val="TableHeading"/>
            </w:pPr>
            <w:r w:rsidRPr="00E367C1">
              <w:t>Specified therapeutic goods</w:t>
            </w:r>
          </w:p>
        </w:tc>
      </w:tr>
      <w:tr w:rsidR="00932FBD" w:rsidRPr="00E367C1" w:rsidTr="008F2BE2">
        <w:trPr>
          <w:trHeight w:val="57"/>
          <w:tblHeader/>
        </w:trPr>
        <w:tc>
          <w:tcPr>
            <w:tcW w:w="645" w:type="pct"/>
            <w:tcBorders>
              <w:top w:val="nil"/>
              <w:bottom w:val="single" w:sz="2" w:space="0" w:color="auto"/>
            </w:tcBorders>
          </w:tcPr>
          <w:p w:rsidR="00932FBD" w:rsidRPr="00E367C1" w:rsidRDefault="00932FBD" w:rsidP="00C41C6A">
            <w:pPr>
              <w:pStyle w:val="TableHeading"/>
            </w:pPr>
            <w:r w:rsidRPr="00E367C1">
              <w:t>Column 1</w:t>
            </w:r>
          </w:p>
        </w:tc>
        <w:tc>
          <w:tcPr>
            <w:tcW w:w="1246" w:type="pct"/>
            <w:tcBorders>
              <w:top w:val="nil"/>
              <w:bottom w:val="single" w:sz="2" w:space="0" w:color="auto"/>
            </w:tcBorders>
            <w:shd w:val="clear" w:color="auto" w:fill="auto"/>
          </w:tcPr>
          <w:p w:rsidR="00932FBD" w:rsidRPr="00E367C1" w:rsidRDefault="00932FBD" w:rsidP="00C41C6A">
            <w:pPr>
              <w:pStyle w:val="TableHeading"/>
            </w:pPr>
            <w:r w:rsidRPr="00E367C1">
              <w:t>Column 2</w:t>
            </w:r>
          </w:p>
        </w:tc>
        <w:tc>
          <w:tcPr>
            <w:tcW w:w="752" w:type="pct"/>
            <w:tcBorders>
              <w:top w:val="nil"/>
              <w:bottom w:val="single" w:sz="2" w:space="0" w:color="auto"/>
            </w:tcBorders>
            <w:shd w:val="clear" w:color="auto" w:fill="auto"/>
          </w:tcPr>
          <w:p w:rsidR="00932FBD" w:rsidRPr="00E367C1" w:rsidRDefault="00932FBD" w:rsidP="00C41C6A">
            <w:pPr>
              <w:pStyle w:val="TableHeading"/>
            </w:pPr>
            <w:r w:rsidRPr="00E367C1">
              <w:t>Column 3</w:t>
            </w:r>
          </w:p>
        </w:tc>
        <w:tc>
          <w:tcPr>
            <w:tcW w:w="910" w:type="pct"/>
            <w:tcBorders>
              <w:top w:val="nil"/>
              <w:bottom w:val="single" w:sz="2" w:space="0" w:color="auto"/>
            </w:tcBorders>
            <w:shd w:val="clear" w:color="auto" w:fill="auto"/>
          </w:tcPr>
          <w:p w:rsidR="00932FBD" w:rsidRPr="00E367C1" w:rsidRDefault="00932FBD" w:rsidP="00A253C6">
            <w:pPr>
              <w:pStyle w:val="TableHeading"/>
            </w:pPr>
            <w:r w:rsidRPr="00E367C1">
              <w:t>Column 4</w:t>
            </w:r>
          </w:p>
        </w:tc>
        <w:tc>
          <w:tcPr>
            <w:tcW w:w="1447" w:type="pct"/>
            <w:tcBorders>
              <w:top w:val="nil"/>
              <w:bottom w:val="single" w:sz="2" w:space="0" w:color="auto"/>
            </w:tcBorders>
            <w:shd w:val="clear" w:color="auto" w:fill="auto"/>
          </w:tcPr>
          <w:p w:rsidR="00932FBD" w:rsidRPr="00E367C1" w:rsidRDefault="00932FBD" w:rsidP="00C41C6A">
            <w:pPr>
              <w:pStyle w:val="TableHeading"/>
            </w:pPr>
            <w:r w:rsidRPr="00E367C1">
              <w:t>Column 5</w:t>
            </w:r>
          </w:p>
        </w:tc>
      </w:tr>
      <w:tr w:rsidR="00932FBD" w:rsidRPr="00E367C1" w:rsidTr="008F2BE2">
        <w:trPr>
          <w:trHeight w:val="57"/>
          <w:tblHeader/>
        </w:trPr>
        <w:tc>
          <w:tcPr>
            <w:tcW w:w="645" w:type="pct"/>
            <w:tcBorders>
              <w:top w:val="single" w:sz="2" w:space="0" w:color="auto"/>
              <w:bottom w:val="single" w:sz="12" w:space="0" w:color="auto"/>
            </w:tcBorders>
          </w:tcPr>
          <w:p w:rsidR="00932FBD" w:rsidRPr="00E367C1" w:rsidRDefault="00932FBD" w:rsidP="00C41C6A">
            <w:pPr>
              <w:pStyle w:val="TableHeading"/>
            </w:pPr>
            <w:r w:rsidRPr="00E367C1">
              <w:t>Item</w:t>
            </w:r>
          </w:p>
        </w:tc>
        <w:tc>
          <w:tcPr>
            <w:tcW w:w="1246" w:type="pct"/>
            <w:tcBorders>
              <w:top w:val="single" w:sz="2" w:space="0" w:color="auto"/>
              <w:bottom w:val="single" w:sz="12" w:space="0" w:color="auto"/>
            </w:tcBorders>
            <w:shd w:val="clear" w:color="auto" w:fill="auto"/>
          </w:tcPr>
          <w:p w:rsidR="00932FBD" w:rsidRPr="00E367C1" w:rsidRDefault="00932FBD" w:rsidP="00C41C6A">
            <w:pPr>
              <w:pStyle w:val="TableHeading"/>
            </w:pPr>
            <w:r w:rsidRPr="00E367C1">
              <w:t>Active ingredient</w:t>
            </w:r>
          </w:p>
        </w:tc>
        <w:tc>
          <w:tcPr>
            <w:tcW w:w="752" w:type="pct"/>
            <w:tcBorders>
              <w:top w:val="single" w:sz="2" w:space="0" w:color="auto"/>
              <w:bottom w:val="single" w:sz="12" w:space="0" w:color="auto"/>
            </w:tcBorders>
            <w:shd w:val="clear" w:color="auto" w:fill="auto"/>
          </w:tcPr>
          <w:p w:rsidR="00932FBD" w:rsidRPr="00E367C1" w:rsidRDefault="00932FBD" w:rsidP="00C41C6A">
            <w:pPr>
              <w:pStyle w:val="TableHeading"/>
            </w:pPr>
            <w:r w:rsidRPr="00E367C1">
              <w:t>Dosage form</w:t>
            </w:r>
          </w:p>
        </w:tc>
        <w:tc>
          <w:tcPr>
            <w:tcW w:w="910" w:type="pct"/>
            <w:tcBorders>
              <w:top w:val="single" w:sz="2" w:space="0" w:color="auto"/>
              <w:bottom w:val="single" w:sz="12" w:space="0" w:color="auto"/>
            </w:tcBorders>
            <w:shd w:val="clear" w:color="auto" w:fill="auto"/>
          </w:tcPr>
          <w:p w:rsidR="00932FBD" w:rsidRPr="00E367C1" w:rsidRDefault="00932FBD" w:rsidP="00A253C6">
            <w:pPr>
              <w:pStyle w:val="TableHeading"/>
            </w:pPr>
            <w:r w:rsidRPr="00E367C1">
              <w:t>Route of administration</w:t>
            </w:r>
          </w:p>
        </w:tc>
        <w:tc>
          <w:tcPr>
            <w:tcW w:w="1447" w:type="pct"/>
            <w:tcBorders>
              <w:top w:val="single" w:sz="2" w:space="0" w:color="auto"/>
              <w:bottom w:val="single" w:sz="12" w:space="0" w:color="auto"/>
            </w:tcBorders>
            <w:shd w:val="clear" w:color="auto" w:fill="auto"/>
          </w:tcPr>
          <w:p w:rsidR="00932FBD" w:rsidRPr="00E367C1" w:rsidRDefault="00932FBD" w:rsidP="00C41C6A">
            <w:pPr>
              <w:pStyle w:val="TableHeading"/>
            </w:pPr>
            <w:r w:rsidRPr="00E367C1">
              <w:t>Indication</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1</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proofErr w:type="spellStart"/>
            <w:r w:rsidRPr="00E367C1">
              <w:t>aciclovir</w:t>
            </w:r>
            <w:proofErr w:type="spellEnd"/>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eye</w:t>
            </w:r>
          </w:p>
          <w:p w:rsidR="008022DD" w:rsidRPr="00E367C1" w:rsidRDefault="008022DD" w:rsidP="001A5523">
            <w:pPr>
              <w:pStyle w:val="Tabletext"/>
            </w:pPr>
            <w:r w:rsidRPr="00E367C1">
              <w:t>ointment</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ophthalmic</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treatment of herpes simplex keratitis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2</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allergens—multiple, various (including control solutions)</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drops</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intradermal</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confirmation of suspected allergic reactions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allergens – multiple, various (including control solutions)</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skin prick</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confirmation of suspected allergic reactions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amifampridine</w:t>
            </w:r>
            <w:proofErr w:type="spellEnd"/>
            <w:r w:rsidRPr="00E367C1">
              <w:t xml:space="preserve"> (3,4</w:t>
            </w:r>
            <w:r w:rsidR="00E367C1">
              <w:noBreakHyphen/>
            </w:r>
            <w:r w:rsidRPr="00E367C1">
              <w:t>diaminopyridine)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Lambert</w:t>
            </w:r>
            <w:r w:rsidR="00E367C1">
              <w:noBreakHyphen/>
            </w:r>
            <w:r w:rsidRPr="00E367C1">
              <w:t xml:space="preserve">Eaton </w:t>
            </w:r>
            <w:proofErr w:type="spellStart"/>
            <w:r w:rsidRPr="00E367C1">
              <w:t>Myasthenic</w:t>
            </w:r>
            <w:proofErr w:type="spellEnd"/>
            <w:r w:rsidRPr="00E367C1">
              <w:t xml:space="preserve"> Syndrome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betaxolol</w:t>
            </w:r>
            <w:proofErr w:type="spellEnd"/>
            <w:r w:rsidRPr="00E367C1">
              <w:t xml:space="preserve"> 0.25% (preservative free)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eye drops </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elevated intraocular pressure where other treatments are inappropriate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bismuth </w:t>
            </w:r>
            <w:proofErr w:type="spellStart"/>
            <w:r w:rsidRPr="00E367C1">
              <w:t>subcitrate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resistant </w:t>
            </w:r>
            <w:r w:rsidRPr="00E367C1">
              <w:rPr>
                <w:i/>
              </w:rPr>
              <w:t>Helicobacter Pylori</w:t>
            </w:r>
            <w:r w:rsidRPr="00E367C1">
              <w:t xml:space="preserve"> infection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buspirone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generalised anxiety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8</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calcitriol</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liquid</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prevention of </w:t>
            </w:r>
            <w:proofErr w:type="spellStart"/>
            <w:r w:rsidRPr="00E367C1">
              <w:t>hypophosphatemic</w:t>
            </w:r>
            <w:proofErr w:type="spellEnd"/>
            <w:r w:rsidRPr="00E367C1">
              <w:t xml:space="preserve"> rickets in children;</w:t>
            </w:r>
            <w:r w:rsidR="003F3217" w:rsidRPr="00E367C1">
              <w:t xml:space="preserve"> or</w:t>
            </w:r>
          </w:p>
          <w:p w:rsidR="00932FBD" w:rsidRPr="00E367C1" w:rsidRDefault="00932FBD" w:rsidP="006F5B6F">
            <w:pPr>
              <w:pStyle w:val="Tabletext"/>
            </w:pPr>
            <w:r w:rsidRPr="00E367C1">
              <w:t>treatment of hypoparathyroidism (with severe hypocalcaemia)</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9</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carbidopa</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tablet</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oral</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premedication for F</w:t>
            </w:r>
            <w:r w:rsidR="00E367C1">
              <w:noBreakHyphen/>
            </w:r>
            <w:r w:rsidRPr="00E367C1">
              <w:t xml:space="preserve">18 </w:t>
            </w:r>
            <w:proofErr w:type="spellStart"/>
            <w:r w:rsidRPr="00E367C1">
              <w:t>DOPA</w:t>
            </w:r>
            <w:proofErr w:type="spellEnd"/>
            <w:r w:rsidRPr="00E367C1">
              <w:t xml:space="preserve"> imaging</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cholecalciferol</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severe vitamin D deficiency and prevention of osteoporosis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cholecalciferol</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injection </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intramuscular</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severe vitamin D deficiency and prevention of osteoporosis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cinnarizine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vestibular disorders such as vertigo, tinnitus, nausea </w:t>
            </w:r>
            <w:r w:rsidR="003F3217" w:rsidRPr="00E367C1">
              <w:t>and vomiting (including Meniere’</w:t>
            </w:r>
            <w:r w:rsidRPr="00E367C1">
              <w:t xml:space="preserve">s disease).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cream</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or prolongation of flare</w:t>
            </w:r>
            <w:r w:rsidR="00E367C1">
              <w:noBreakHyphen/>
            </w:r>
            <w:r w:rsidRPr="00E367C1">
              <w:t>free intervals, of dermatitis/eczema where other treatments have failed</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lotion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or prolongation of flare</w:t>
            </w:r>
            <w:r w:rsidR="00E367C1">
              <w:noBreakHyphen/>
            </w:r>
            <w:r w:rsidRPr="00E367C1">
              <w:t>free intervals, of dermatitis/eczema where other treatments have failed</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clobetasol</w:t>
            </w:r>
            <w:proofErr w:type="spellEnd"/>
            <w:r w:rsidRPr="00E367C1">
              <w:t xml:space="preserve"> propionate 0.05%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ointment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or prolongation of flare</w:t>
            </w:r>
            <w:r w:rsidR="00E367C1">
              <w:noBreakHyphen/>
            </w:r>
            <w:r w:rsidRPr="00E367C1">
              <w:t>free intervals, of dermatitis/eczema where other treatments have failed</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clofazimine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862DAE">
            <w:pPr>
              <w:pStyle w:val="Tabletext"/>
            </w:pPr>
            <w:r w:rsidRPr="00E367C1">
              <w:t xml:space="preserve">treatment of Leprosy, granulomatous </w:t>
            </w:r>
            <w:proofErr w:type="spellStart"/>
            <w:r w:rsidRPr="00E367C1">
              <w:t>cheilitis</w:t>
            </w:r>
            <w:proofErr w:type="spellEnd"/>
            <w:r w:rsidRPr="00E367C1">
              <w:t xml:space="preserve">, </w:t>
            </w:r>
            <w:proofErr w:type="spellStart"/>
            <w:r w:rsidRPr="00E367C1">
              <w:t>Melkersson</w:t>
            </w:r>
            <w:proofErr w:type="spellEnd"/>
            <w:r w:rsidRPr="00E367C1">
              <w:t xml:space="preserve"> Rosenthal Syndrome, confirmed </w:t>
            </w:r>
            <w:r w:rsidRPr="00E367C1">
              <w:rPr>
                <w:i/>
              </w:rPr>
              <w:t xml:space="preserve">mycobacterium </w:t>
            </w:r>
            <w:proofErr w:type="spellStart"/>
            <w:r w:rsidRPr="00E367C1">
              <w:rPr>
                <w:i/>
              </w:rPr>
              <w:t>avium</w:t>
            </w:r>
            <w:proofErr w:type="spellEnd"/>
            <w:r w:rsidRPr="00E367C1">
              <w:t xml:space="preserve"> </w:t>
            </w:r>
            <w:proofErr w:type="spellStart"/>
            <w:r w:rsidRPr="00E367C1">
              <w:t>paratuberculosis</w:t>
            </w:r>
            <w:proofErr w:type="spellEnd"/>
            <w:r w:rsidRPr="00E367C1">
              <w:t xml:space="preserve"> in immunocompromised patients recommended by an infectious disease specialist, erythema </w:t>
            </w:r>
            <w:proofErr w:type="spellStart"/>
            <w:r w:rsidRPr="00E367C1">
              <w:t>nodosum</w:t>
            </w:r>
            <w:proofErr w:type="spellEnd"/>
            <w:r w:rsidRPr="00E367C1">
              <w:t xml:space="preserve"> </w:t>
            </w:r>
            <w:proofErr w:type="spellStart"/>
            <w:r w:rsidRPr="00E367C1">
              <w:t>leprosum</w:t>
            </w:r>
            <w:proofErr w:type="spellEnd"/>
            <w:r w:rsidR="00A10954" w:rsidRPr="00E367C1">
              <w:t>, drug resistant tuberculosis, non</w:t>
            </w:r>
            <w:r w:rsidR="00E367C1">
              <w:noBreakHyphen/>
            </w:r>
            <w:r w:rsidR="00A10954" w:rsidRPr="00E367C1">
              <w:t>tubercu</w:t>
            </w:r>
            <w:r w:rsidR="00862DAE" w:rsidRPr="00E367C1">
              <w:t xml:space="preserve">losis mycobacterial infections or </w:t>
            </w:r>
            <w:r w:rsidR="00A10954" w:rsidRPr="00E367C1">
              <w:t>other infections as recommended by an infectious diseases specialist</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cyclopentolate</w:t>
            </w:r>
            <w:proofErr w:type="spellEnd"/>
            <w:r w:rsidRPr="00E367C1">
              <w:t>, 0.2%, and phenylephrine, 1%</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production of mydriasis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18</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cyclosporin</w:t>
            </w:r>
            <w:proofErr w:type="spellEnd"/>
            <w:r w:rsidRPr="00E367C1">
              <w:t>, 0.05%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 emulsion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suppressed tear production due to ocular inflammation associated with </w:t>
            </w:r>
            <w:proofErr w:type="spellStart"/>
            <w:r w:rsidRPr="00E367C1">
              <w:t>keratoconjunctivitis</w:t>
            </w:r>
            <w:proofErr w:type="spellEnd"/>
            <w:r w:rsidRPr="00E367C1">
              <w:t xml:space="preserve"> sicca</w:t>
            </w:r>
            <w:r w:rsidR="00A10954" w:rsidRPr="00E367C1">
              <w:t xml:space="preserve"> (dry eye syndrome)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19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deflazacort</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Duchenne muscular dystrophy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dehydrated ethanol (alcohol) 96% </w:t>
            </w:r>
            <w:r w:rsidR="00E367C1">
              <w:noBreakHyphen/>
            </w:r>
            <w:r w:rsidRPr="00E367C1">
              <w:t xml:space="preserve"> 100%</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ampoule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progressive keratoconus and intra</w:t>
            </w:r>
            <w:r w:rsidR="00E367C1">
              <w:noBreakHyphen/>
            </w:r>
            <w:r w:rsidRPr="00E367C1">
              <w:t>operative use in superficial keratec</w:t>
            </w:r>
            <w:r w:rsidR="003F3217" w:rsidRPr="00E367C1">
              <w:t>tomy (single use per procedure)</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21</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dexamethasone (preservative free)</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eye drops</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ophthalmic</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treatment of inflammatory conditions of the eye that are non</w:t>
            </w:r>
            <w:r w:rsidR="00E367C1">
              <w:noBreakHyphen/>
            </w:r>
            <w:r w:rsidRPr="00E367C1">
              <w:t>infected and steroid responsive in patients sensitive to preservative</w:t>
            </w:r>
            <w:r w:rsidR="00E367C1">
              <w:noBreakHyphen/>
            </w:r>
            <w:r w:rsidRPr="00E367C1">
              <w:t>containing formulations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072DFA">
            <w:pPr>
              <w:pStyle w:val="Tabletext"/>
            </w:pPr>
            <w:r w:rsidRPr="00E367C1">
              <w:t xml:space="preserve">treatment of hypoglycaemia, </w:t>
            </w:r>
            <w:proofErr w:type="spellStart"/>
            <w:r w:rsidRPr="00E367C1">
              <w:t>hyperinsulinaemia</w:t>
            </w:r>
            <w:proofErr w:type="spellEnd"/>
            <w:r w:rsidRPr="00E367C1">
              <w:t>, Beckwith</w:t>
            </w:r>
            <w:r w:rsidR="00E367C1">
              <w:noBreakHyphen/>
            </w:r>
            <w:proofErr w:type="spellStart"/>
            <w:r w:rsidRPr="00E367C1">
              <w:t>We</w:t>
            </w:r>
            <w:r w:rsidR="003F3217" w:rsidRPr="00E367C1">
              <w:t>iderman</w:t>
            </w:r>
            <w:proofErr w:type="spellEnd"/>
            <w:r w:rsidR="003F3217" w:rsidRPr="00E367C1">
              <w:t xml:space="preserve"> Syndrome </w:t>
            </w:r>
            <w:r w:rsidR="00072DFA" w:rsidRPr="00E367C1">
              <w:t>or</w:t>
            </w:r>
            <w:r w:rsidR="003F3217" w:rsidRPr="00E367C1">
              <w:t xml:space="preserve"> </w:t>
            </w:r>
            <w:proofErr w:type="spellStart"/>
            <w:r w:rsidR="003F3217" w:rsidRPr="00E367C1">
              <w:t>insulinoma</w:t>
            </w:r>
            <w:proofErr w:type="spellEnd"/>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072DFA">
            <w:pPr>
              <w:pStyle w:val="Tabletext"/>
            </w:pPr>
            <w:r w:rsidRPr="00E367C1">
              <w:t xml:space="preserve">treatment of hypoglycaemia, </w:t>
            </w:r>
            <w:proofErr w:type="spellStart"/>
            <w:r w:rsidRPr="00E367C1">
              <w:t>hyperinsulinaemia</w:t>
            </w:r>
            <w:proofErr w:type="spellEnd"/>
            <w:r w:rsidRPr="00E367C1">
              <w:t>, Beckwith</w:t>
            </w:r>
            <w:r w:rsidR="00E367C1">
              <w:noBreakHyphen/>
            </w:r>
            <w:proofErr w:type="spellStart"/>
            <w:r w:rsidRPr="00E367C1">
              <w:t>Weiderman</w:t>
            </w:r>
            <w:proofErr w:type="spellEnd"/>
            <w:r w:rsidRPr="00E367C1">
              <w:t xml:space="preserve"> Syndrome </w:t>
            </w:r>
            <w:r w:rsidR="00072DFA" w:rsidRPr="00E367C1">
              <w:t>or</w:t>
            </w:r>
            <w:r w:rsidRPr="00E367C1">
              <w:t xml:space="preserve"> </w:t>
            </w:r>
            <w:proofErr w:type="spellStart"/>
            <w:r w:rsidRPr="00E367C1">
              <w:t>insulinoma</w:t>
            </w:r>
            <w:proofErr w:type="spellEnd"/>
            <w:r w:rsidRPr="00E367C1">
              <w:t xml:space="preserve">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diazoxide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suspension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072DFA">
            <w:pPr>
              <w:pStyle w:val="Tabletext"/>
            </w:pPr>
            <w:r w:rsidRPr="00E367C1">
              <w:t xml:space="preserve">treatment of hypoglycaemia, </w:t>
            </w:r>
            <w:proofErr w:type="spellStart"/>
            <w:r w:rsidRPr="00E367C1">
              <w:t>hyperinsulinaemia</w:t>
            </w:r>
            <w:proofErr w:type="spellEnd"/>
            <w:r w:rsidRPr="00E367C1">
              <w:t>, Beckwith</w:t>
            </w:r>
            <w:r w:rsidR="00E367C1">
              <w:noBreakHyphen/>
            </w:r>
            <w:proofErr w:type="spellStart"/>
            <w:r w:rsidRPr="00E367C1">
              <w:t>We</w:t>
            </w:r>
            <w:r w:rsidR="003F3217" w:rsidRPr="00E367C1">
              <w:t>iderman</w:t>
            </w:r>
            <w:proofErr w:type="spellEnd"/>
            <w:r w:rsidR="003F3217" w:rsidRPr="00E367C1">
              <w:t xml:space="preserve"> Syndrome </w:t>
            </w:r>
            <w:r w:rsidR="00072DFA" w:rsidRPr="00E367C1">
              <w:t>or</w:t>
            </w:r>
            <w:r w:rsidR="003F3217" w:rsidRPr="00E367C1">
              <w:t xml:space="preserve"> </w:t>
            </w:r>
            <w:proofErr w:type="spellStart"/>
            <w:r w:rsidR="003F3217" w:rsidRPr="00E367C1">
              <w:t>insulinoma</w:t>
            </w:r>
            <w:proofErr w:type="spellEnd"/>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diflunisal</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amyloidosis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dimethyl sulfoxide (</w:t>
            </w:r>
            <w:proofErr w:type="spellStart"/>
            <w:r w:rsidRPr="00E367C1">
              <w:t>DMSO</w:t>
            </w:r>
            <w:proofErr w:type="spellEnd"/>
            <w:r w:rsidRPr="00E367C1">
              <w:t>)</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solution</w:t>
            </w:r>
          </w:p>
        </w:tc>
        <w:tc>
          <w:tcPr>
            <w:tcW w:w="910" w:type="pct"/>
            <w:tcBorders>
              <w:top w:val="single" w:sz="2" w:space="0" w:color="auto"/>
              <w:bottom w:val="single" w:sz="2" w:space="0" w:color="auto"/>
            </w:tcBorders>
            <w:shd w:val="clear" w:color="auto" w:fill="auto"/>
          </w:tcPr>
          <w:p w:rsidR="00932FBD" w:rsidRPr="00E367C1" w:rsidRDefault="00932FBD" w:rsidP="00A253C6">
            <w:pPr>
              <w:pStyle w:val="Tabletext"/>
            </w:pPr>
            <w:proofErr w:type="spellStart"/>
            <w:r w:rsidRPr="00E367C1">
              <w:t>intravesical</w:t>
            </w:r>
            <w:proofErr w:type="spellEnd"/>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symptomatic </w:t>
            </w:r>
            <w:r w:rsidR="003F3217" w:rsidRPr="00E367C1">
              <w:t>relief of interstitial cystitis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27</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doxycycline</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injection</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proofErr w:type="spellStart"/>
            <w:r w:rsidRPr="00E367C1">
              <w:t>intralesional</w:t>
            </w:r>
            <w:proofErr w:type="spellEnd"/>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sclerotherapy of lymphatic malformations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28</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F</w:t>
            </w:r>
            <w:r w:rsidR="00E367C1">
              <w:noBreakHyphen/>
            </w:r>
            <w:r w:rsidRPr="00E367C1">
              <w:t xml:space="preserve">18 </w:t>
            </w:r>
            <w:proofErr w:type="spellStart"/>
            <w:r w:rsidRPr="00E367C1">
              <w:t>DCFPyl</w:t>
            </w:r>
            <w:proofErr w:type="spellEnd"/>
            <w:r w:rsidRPr="00E367C1">
              <w:t xml:space="preserve"> (</w:t>
            </w:r>
            <w:proofErr w:type="spellStart"/>
            <w:r w:rsidRPr="00E367C1">
              <w:t>PSMA</w:t>
            </w:r>
            <w:proofErr w:type="spellEnd"/>
            <w:r w:rsidRPr="00E367C1">
              <w:t>)</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injection</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intravenous</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prostate cancer imaging study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29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F</w:t>
            </w:r>
            <w:r w:rsidR="00E367C1">
              <w:noBreakHyphen/>
            </w:r>
            <w:r w:rsidRPr="00E367C1">
              <w:t xml:space="preserve">18 myocardial perfusion tracer (18F </w:t>
            </w:r>
            <w:proofErr w:type="spellStart"/>
            <w:r w:rsidRPr="00E367C1">
              <w:t>flurpiridaz</w:t>
            </w:r>
            <w:proofErr w:type="spellEnd"/>
            <w:r w:rsidRPr="00E367C1">
              <w:t>)</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intravenous</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myocardial perfusion study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F</w:t>
            </w:r>
            <w:r w:rsidR="00E367C1">
              <w:noBreakHyphen/>
            </w:r>
            <w:r w:rsidRPr="00E367C1">
              <w:t xml:space="preserve">18 </w:t>
            </w:r>
            <w:proofErr w:type="spellStart"/>
            <w:r w:rsidRPr="00E367C1">
              <w:t>NaF</w:t>
            </w:r>
            <w:proofErr w:type="spellEnd"/>
            <w:r w:rsidRPr="00E367C1">
              <w:t xml:space="preserve"> (sodium fluoride)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intravenous</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bone study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flunarizine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E333B8">
            <w:pPr>
              <w:pStyle w:val="Tabletext"/>
            </w:pPr>
            <w:r w:rsidRPr="00E367C1">
              <w:t>treatment of vestibular disorders</w:t>
            </w:r>
            <w:r w:rsidR="00E333B8" w:rsidRPr="00E367C1">
              <w:t xml:space="preserve"> or</w:t>
            </w:r>
            <w:r w:rsidR="00F21468" w:rsidRPr="00E367C1">
              <w:t xml:space="preserve"> prophylactic treatment of migraine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flunarizine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E333B8">
            <w:pPr>
              <w:pStyle w:val="Tabletext"/>
            </w:pPr>
            <w:r w:rsidRPr="00E367C1">
              <w:t>treatment of vestibular disorders</w:t>
            </w:r>
            <w:r w:rsidR="00E333B8" w:rsidRPr="00E367C1">
              <w:t xml:space="preserve"> or</w:t>
            </w:r>
            <w:r w:rsidR="00862DAE" w:rsidRPr="00E367C1">
              <w:t xml:space="preserve"> prophylactic treatment of migraine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furazolidone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resistant </w:t>
            </w:r>
            <w:r w:rsidRPr="00E367C1">
              <w:rPr>
                <w:i/>
              </w:rPr>
              <w:t>Helicobacter Pylori</w:t>
            </w:r>
            <w:r w:rsidRPr="00E367C1">
              <w:t xml:space="preserve"> infection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Gallium</w:t>
            </w:r>
            <w:r w:rsidR="00E367C1">
              <w:noBreakHyphen/>
            </w:r>
            <w:r w:rsidRPr="00E367C1">
              <w:t>68</w:t>
            </w:r>
            <w:r w:rsidRPr="00E367C1">
              <w:br/>
              <w:t>(Ga</w:t>
            </w:r>
            <w:r w:rsidR="00E367C1">
              <w:noBreakHyphen/>
            </w:r>
            <w:r w:rsidRPr="00E367C1">
              <w:t xml:space="preserve">68) </w:t>
            </w:r>
            <w:proofErr w:type="spellStart"/>
            <w:r w:rsidRPr="00E367C1">
              <w:t>Galligas</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aerosol</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inhalation</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lung ventilation study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Gallium</w:t>
            </w:r>
            <w:r w:rsidR="00E367C1">
              <w:noBreakHyphen/>
            </w:r>
            <w:r w:rsidRPr="00E367C1">
              <w:t xml:space="preserve">68 </w:t>
            </w:r>
            <w:r w:rsidRPr="00E367C1">
              <w:br/>
              <w:t>(Ga</w:t>
            </w:r>
            <w:r w:rsidR="00E367C1">
              <w:noBreakHyphen/>
            </w:r>
            <w:r w:rsidRPr="00E367C1">
              <w:t xml:space="preserve">68) </w:t>
            </w:r>
            <w:r w:rsidR="00E367C1">
              <w:noBreakHyphen/>
            </w:r>
            <w:r w:rsidRPr="00E367C1">
              <w:t xml:space="preserve"> </w:t>
            </w:r>
            <w:proofErr w:type="spellStart"/>
            <w:r w:rsidRPr="00E367C1">
              <w:t>MAA</w:t>
            </w:r>
            <w:proofErr w:type="spellEnd"/>
            <w:r w:rsidRPr="00E367C1">
              <w:t xml:space="preserve"> </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intravenous</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lung perfusion study</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36</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Gallium</w:t>
            </w:r>
            <w:r w:rsidR="00E367C1">
              <w:noBreakHyphen/>
            </w:r>
            <w:r w:rsidRPr="00E367C1">
              <w:t>68 prostate specific membrane antigen (</w:t>
            </w:r>
            <w:proofErr w:type="spellStart"/>
            <w:r w:rsidRPr="00E367C1">
              <w:t>PSMA</w:t>
            </w:r>
            <w:proofErr w:type="spellEnd"/>
            <w:r w:rsidRPr="00E367C1">
              <w:t>)</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injection</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intravenous</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prostate cancer imaging study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glycopyrronium</w:t>
            </w:r>
            <w:proofErr w:type="spellEnd"/>
            <w:r w:rsidRPr="00E367C1">
              <w:t xml:space="preserve"> bromide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excessive salivation in patients with neurological conditions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38</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hyoscine </w:t>
            </w:r>
            <w:proofErr w:type="spellStart"/>
            <w:r w:rsidRPr="00E367C1">
              <w:t>hydrobromide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patch</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transdermal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excessive salivation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39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hypertonic sodium chloride, 5 %</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ointment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temporary relief of corneal oedema (hypertonicity)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hypertonic sodium chloride, 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temporary relief of corneal oedema (hypertonicity)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indigo carmine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intravenous</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intraoperative detection of suspected urethral injuries during abdominal and pelvic surgical procedures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indocyanine</w:t>
            </w:r>
            <w:proofErr w:type="spellEnd"/>
            <w:r w:rsidRPr="00E367C1">
              <w:t xml:space="preserve"> green dye </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intravenous </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w:t>
            </w:r>
            <w:r w:rsidR="00E367C1">
              <w:noBreakHyphen/>
            </w:r>
            <w:r w:rsidRPr="00E367C1">
              <w:t>operative diagnostic use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levofloxacin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862DAE">
            <w:pPr>
              <w:pStyle w:val="Tabletext"/>
            </w:pPr>
            <w:r w:rsidRPr="00E367C1">
              <w:t xml:space="preserve">treatment of resistant </w:t>
            </w:r>
            <w:r w:rsidRPr="00E367C1">
              <w:rPr>
                <w:i/>
              </w:rPr>
              <w:t>Helicobacter Pylori</w:t>
            </w:r>
            <w:r w:rsidRPr="00E367C1">
              <w:t xml:space="preserve"> infection</w:t>
            </w:r>
            <w:r w:rsidR="00862DAE" w:rsidRPr="00E367C1">
              <w:t xml:space="preserve"> or drug resistant tuberculosis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levomepromazine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nausea and vomiting or agitation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levomepromazine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subcutaneous</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nausea and vomiting or agitation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lorazepam</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parenteral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acute severe behavioural episodes in the hospital setting</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ketotifen</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allergic conditions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48</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melatonin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syrup</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sleep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49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melatonin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sleep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melatonin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immediate release 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sleep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melatonin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lozenge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sleep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mexiletine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ventricular arrhythmia or myotonic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mexiletine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ventricular arrhythmia or myotonic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moxifloxacin 0.5%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refractory bacterial conjunctivitis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nadolol</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ventricular tachycardia or long QT Syndrome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natamycin</w:t>
            </w:r>
            <w:proofErr w:type="spellEnd"/>
            <w:r w:rsidRPr="00E367C1">
              <w:t xml:space="preserve"> 5%</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refractory fungal blepharitis, conjunctivitis or keratitis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57</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neomycin</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tablet</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oral</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sepsis prevention for colorectal operation</w:t>
            </w:r>
          </w:p>
        </w:tc>
      </w:tr>
      <w:tr w:rsidR="004E14D8" w:rsidRPr="00E367C1" w:rsidTr="008F2BE2">
        <w:trPr>
          <w:trHeight w:val="20"/>
        </w:trPr>
        <w:tc>
          <w:tcPr>
            <w:tcW w:w="645" w:type="pct"/>
            <w:tcBorders>
              <w:top w:val="single" w:sz="2" w:space="0" w:color="auto"/>
              <w:bottom w:val="single" w:sz="2" w:space="0" w:color="auto"/>
            </w:tcBorders>
          </w:tcPr>
          <w:p w:rsidR="004E14D8" w:rsidRPr="00E367C1" w:rsidRDefault="00BE34E9" w:rsidP="001A5523">
            <w:pPr>
              <w:pStyle w:val="Tabletext"/>
            </w:pPr>
            <w:r w:rsidRPr="00E367C1">
              <w:t>58</w:t>
            </w:r>
          </w:p>
        </w:tc>
        <w:tc>
          <w:tcPr>
            <w:tcW w:w="1246" w:type="pct"/>
            <w:tcBorders>
              <w:top w:val="single" w:sz="2" w:space="0" w:color="auto"/>
              <w:bottom w:val="single" w:sz="2" w:space="0" w:color="auto"/>
            </w:tcBorders>
            <w:shd w:val="clear" w:color="auto" w:fill="auto"/>
          </w:tcPr>
          <w:p w:rsidR="004E14D8" w:rsidRPr="00E367C1" w:rsidRDefault="004E14D8" w:rsidP="004E14D8">
            <w:pPr>
              <w:pStyle w:val="Tabletext"/>
            </w:pPr>
            <w:r w:rsidRPr="00E367C1">
              <w:t>nicotine in solution, salt or base form</w:t>
            </w:r>
          </w:p>
        </w:tc>
        <w:tc>
          <w:tcPr>
            <w:tcW w:w="752" w:type="pct"/>
            <w:tcBorders>
              <w:top w:val="single" w:sz="2" w:space="0" w:color="auto"/>
              <w:bottom w:val="single" w:sz="2" w:space="0" w:color="auto"/>
            </w:tcBorders>
            <w:shd w:val="clear" w:color="auto" w:fill="auto"/>
          </w:tcPr>
          <w:p w:rsidR="004E14D8" w:rsidRPr="00E367C1" w:rsidRDefault="004E14D8" w:rsidP="004E14D8">
            <w:pPr>
              <w:pStyle w:val="Tabletext"/>
            </w:pPr>
            <w:r w:rsidRPr="00E367C1">
              <w:t>liquid or solid</w:t>
            </w:r>
          </w:p>
        </w:tc>
        <w:tc>
          <w:tcPr>
            <w:tcW w:w="910" w:type="pct"/>
            <w:tcBorders>
              <w:top w:val="single" w:sz="2" w:space="0" w:color="auto"/>
              <w:bottom w:val="single" w:sz="2" w:space="0" w:color="auto"/>
            </w:tcBorders>
            <w:shd w:val="clear" w:color="auto" w:fill="auto"/>
          </w:tcPr>
          <w:p w:rsidR="004E14D8" w:rsidRPr="00E367C1" w:rsidRDefault="004E14D8" w:rsidP="001A5523">
            <w:pPr>
              <w:pStyle w:val="Tabletext"/>
            </w:pPr>
            <w:r w:rsidRPr="00E367C1">
              <w:t>inhalation</w:t>
            </w:r>
          </w:p>
        </w:tc>
        <w:tc>
          <w:tcPr>
            <w:tcW w:w="1447" w:type="pct"/>
            <w:tcBorders>
              <w:top w:val="single" w:sz="2" w:space="0" w:color="auto"/>
              <w:bottom w:val="single" w:sz="2" w:space="0" w:color="auto"/>
            </w:tcBorders>
            <w:shd w:val="clear" w:color="auto" w:fill="auto"/>
          </w:tcPr>
          <w:p w:rsidR="004E14D8" w:rsidRPr="00E367C1" w:rsidRDefault="004E14D8" w:rsidP="001A5523">
            <w:pPr>
              <w:pStyle w:val="Tabletext"/>
            </w:pPr>
            <w:r w:rsidRPr="00E367C1">
              <w:t>smoking cessation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59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nitazoxanide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E171DA">
            <w:pPr>
              <w:pStyle w:val="Tabletext"/>
            </w:pPr>
            <w:r w:rsidRPr="00E367C1">
              <w:t xml:space="preserve">treatment of giardiasis, cryptosporidiosis </w:t>
            </w:r>
            <w:r w:rsidR="00E171DA" w:rsidRPr="00E367C1">
              <w:t>or</w:t>
            </w:r>
            <w:r w:rsidRPr="00E367C1">
              <w:t xml:space="preserve"> </w:t>
            </w:r>
            <w:proofErr w:type="spellStart"/>
            <w:r w:rsidRPr="00E367C1">
              <w:t>blastocystis</w:t>
            </w:r>
            <w:proofErr w:type="spellEnd"/>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nitazoxanide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suspension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E171DA">
            <w:pPr>
              <w:pStyle w:val="Tabletext"/>
            </w:pPr>
            <w:r w:rsidRPr="00E367C1">
              <w:t xml:space="preserve">treatment of giardiasis, cryptosporidiosis </w:t>
            </w:r>
            <w:r w:rsidR="00E171DA" w:rsidRPr="00E367C1">
              <w:t>or</w:t>
            </w:r>
            <w:r w:rsidRPr="00E367C1">
              <w:t xml:space="preserve"> </w:t>
            </w:r>
            <w:proofErr w:type="spellStart"/>
            <w:r w:rsidRPr="00E367C1">
              <w:t>blastocystis</w:t>
            </w:r>
            <w:proofErr w:type="spellEnd"/>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paromomycin</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antiprotozoal treatment of </w:t>
            </w:r>
            <w:r w:rsidR="00EA1654" w:rsidRPr="00E367C1">
              <w:t xml:space="preserve">any of </w:t>
            </w:r>
            <w:r w:rsidRPr="00E367C1">
              <w:t>the following amoebic infections:</w:t>
            </w:r>
          </w:p>
          <w:p w:rsidR="00932FBD" w:rsidRPr="00E367C1" w:rsidRDefault="00932FBD" w:rsidP="00B82416">
            <w:pPr>
              <w:pStyle w:val="Tablea"/>
            </w:pPr>
            <w:r w:rsidRPr="00E367C1">
              <w:t>(a)</w:t>
            </w:r>
            <w:r w:rsidR="00B82416" w:rsidRPr="00E367C1">
              <w:t xml:space="preserve"> </w:t>
            </w:r>
            <w:proofErr w:type="spellStart"/>
            <w:r w:rsidRPr="00E367C1">
              <w:rPr>
                <w:i/>
              </w:rPr>
              <w:t>blastocystis</w:t>
            </w:r>
            <w:proofErr w:type="spellEnd"/>
            <w:r w:rsidRPr="00E367C1">
              <w:rPr>
                <w:i/>
              </w:rPr>
              <w:t xml:space="preserve"> </w:t>
            </w:r>
            <w:proofErr w:type="spellStart"/>
            <w:r w:rsidRPr="00E367C1">
              <w:rPr>
                <w:i/>
              </w:rPr>
              <w:t>hominis</w:t>
            </w:r>
            <w:proofErr w:type="spellEnd"/>
            <w:r w:rsidRPr="00E367C1">
              <w:t>;</w:t>
            </w:r>
          </w:p>
          <w:p w:rsidR="00932FBD" w:rsidRPr="00E367C1" w:rsidRDefault="00932FBD" w:rsidP="00B82416">
            <w:pPr>
              <w:pStyle w:val="Tablea"/>
            </w:pPr>
            <w:r w:rsidRPr="00E367C1">
              <w:t>(b)</w:t>
            </w:r>
            <w:r w:rsidR="00B82416" w:rsidRPr="00E367C1">
              <w:t xml:space="preserve"> </w:t>
            </w:r>
            <w:proofErr w:type="spellStart"/>
            <w:r w:rsidRPr="00E367C1">
              <w:rPr>
                <w:i/>
              </w:rPr>
              <w:t>dientomoeba</w:t>
            </w:r>
            <w:proofErr w:type="spellEnd"/>
            <w:r w:rsidRPr="00E367C1">
              <w:rPr>
                <w:i/>
              </w:rPr>
              <w:t xml:space="preserve"> </w:t>
            </w:r>
            <w:proofErr w:type="spellStart"/>
            <w:r w:rsidRPr="00E367C1">
              <w:rPr>
                <w:i/>
              </w:rPr>
              <w:t>fragilis</w:t>
            </w:r>
            <w:proofErr w:type="spellEnd"/>
            <w:r w:rsidRPr="00E367C1">
              <w:t>;</w:t>
            </w:r>
          </w:p>
          <w:p w:rsidR="00932FBD" w:rsidRPr="00E367C1" w:rsidRDefault="00B82416" w:rsidP="00B82416">
            <w:pPr>
              <w:pStyle w:val="Tablea"/>
            </w:pPr>
            <w:r w:rsidRPr="00E367C1">
              <w:t xml:space="preserve">(c) </w:t>
            </w:r>
            <w:proofErr w:type="spellStart"/>
            <w:r w:rsidR="00932FBD" w:rsidRPr="00E367C1">
              <w:rPr>
                <w:i/>
              </w:rPr>
              <w:t>entamoeba</w:t>
            </w:r>
            <w:proofErr w:type="spellEnd"/>
            <w:r w:rsidR="00932FBD" w:rsidRPr="00E367C1">
              <w:rPr>
                <w:i/>
              </w:rPr>
              <w:t xml:space="preserve"> </w:t>
            </w:r>
            <w:proofErr w:type="spellStart"/>
            <w:r w:rsidR="00932FBD" w:rsidRPr="00E367C1">
              <w:rPr>
                <w:i/>
              </w:rPr>
              <w:t>histolytica</w:t>
            </w:r>
            <w:proofErr w:type="spellEnd"/>
            <w:r w:rsidR="00932FBD" w:rsidRPr="00E367C1">
              <w:t>;</w:t>
            </w:r>
          </w:p>
          <w:p w:rsidR="00932FBD" w:rsidRPr="00E367C1" w:rsidRDefault="00B82416" w:rsidP="00B82416">
            <w:pPr>
              <w:pStyle w:val="Tablea"/>
            </w:pPr>
            <w:r w:rsidRPr="00E367C1">
              <w:t xml:space="preserve">(d) </w:t>
            </w:r>
            <w:r w:rsidR="00932FBD" w:rsidRPr="00E367C1">
              <w:t>parasite infection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pimozide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E171DA">
            <w:pPr>
              <w:pStyle w:val="Tabletext"/>
            </w:pPr>
            <w:r w:rsidRPr="00E367C1">
              <w:t xml:space="preserve">treatment of schizophrenia, chronic psychosis </w:t>
            </w:r>
            <w:r w:rsidR="00E171DA" w:rsidRPr="00E367C1">
              <w:t>or</w:t>
            </w:r>
            <w:r w:rsidRPr="00E367C1">
              <w:t xml:space="preserve"> Tourette syndrome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pristinamycin</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confirmed methicillin</w:t>
            </w:r>
            <w:r w:rsidR="00E367C1">
              <w:noBreakHyphen/>
            </w:r>
            <w:r w:rsidRPr="00E367C1">
              <w:t xml:space="preserve">resistant </w:t>
            </w:r>
            <w:r w:rsidRPr="00E367C1">
              <w:rPr>
                <w:i/>
              </w:rPr>
              <w:t>Staphylococcus aureus</w:t>
            </w:r>
            <w:r w:rsidRPr="00E367C1">
              <w:t xml:space="preserve"> </w:t>
            </w:r>
            <w:r w:rsidR="001B7984" w:rsidRPr="00E367C1">
              <w:t>or</w:t>
            </w:r>
            <w:r w:rsidRPr="00E367C1">
              <w:t xml:space="preserve"> vancomycin</w:t>
            </w:r>
            <w:r w:rsidR="00E367C1">
              <w:noBreakHyphen/>
            </w:r>
            <w:r w:rsidRPr="00E367C1">
              <w:t xml:space="preserve">resistant </w:t>
            </w:r>
            <w:r w:rsidRPr="00E367C1">
              <w:rPr>
                <w:i/>
              </w:rPr>
              <w:t>enterococci</w:t>
            </w:r>
            <w:r w:rsidRPr="00E367C1">
              <w:t xml:space="preserve"> infection where there is history of failed therapy with the other available antibiotics, at sites in relation to bone/joint/prosthesis; </w:t>
            </w:r>
            <w:r w:rsidR="003F3217" w:rsidRPr="00E367C1">
              <w:t>or</w:t>
            </w:r>
          </w:p>
          <w:p w:rsidR="00932FBD" w:rsidRPr="00E367C1" w:rsidRDefault="00932FBD" w:rsidP="006F5B6F">
            <w:pPr>
              <w:pStyle w:val="Tabletext"/>
            </w:pPr>
            <w:r w:rsidRPr="00E367C1">
              <w:t xml:space="preserve">treatment of refractory or resistant </w:t>
            </w:r>
            <w:r w:rsidRPr="00E367C1">
              <w:rPr>
                <w:i/>
              </w:rPr>
              <w:t>mycoplasma</w:t>
            </w:r>
            <w:r w:rsidRPr="00E367C1">
              <w:t xml:space="preserve"> </w:t>
            </w:r>
            <w:proofErr w:type="spellStart"/>
            <w:r w:rsidRPr="00E367C1">
              <w:rPr>
                <w:i/>
              </w:rPr>
              <w:t>genitalium</w:t>
            </w:r>
            <w:proofErr w:type="spellEnd"/>
            <w:r w:rsidRPr="00E367C1">
              <w:t xml:space="preserve"> infections; </w:t>
            </w:r>
            <w:r w:rsidR="003F3217" w:rsidRPr="00E367C1">
              <w:t>or</w:t>
            </w:r>
          </w:p>
          <w:p w:rsidR="00932FBD" w:rsidRPr="00E367C1" w:rsidRDefault="00932FBD" w:rsidP="006F5B6F">
            <w:pPr>
              <w:pStyle w:val="Tabletext"/>
            </w:pPr>
            <w:r w:rsidRPr="00E367C1">
              <w:t>treatment of other infections as prescribed by an infectious disease specialist</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pyrazinamide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tuberculosis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riboflavin, 0.1% in 20% dextran</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intraoperative use in corneal collagen crosslinking (CXL) procedures for the treatment of progressive keratoconus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66</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 xml:space="preserve">riboflavin, 0.1% in 1.1% </w:t>
            </w:r>
            <w:proofErr w:type="spellStart"/>
            <w:r w:rsidRPr="00E367C1">
              <w:t>hydroxylpropyl</w:t>
            </w:r>
            <w:proofErr w:type="spellEnd"/>
            <w:r w:rsidRPr="00E367C1">
              <w:t xml:space="preserve"> methylcellulose (</w:t>
            </w:r>
            <w:proofErr w:type="spellStart"/>
            <w:r w:rsidRPr="00E367C1">
              <w:t>HPMC</w:t>
            </w:r>
            <w:proofErr w:type="spellEnd"/>
            <w:r w:rsidRPr="00E367C1">
              <w:t>)</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eye drops</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ophthalmic</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intraoperative use in corneal collagen crosslinking (CXL) procedures for the treatment of progressive keratoconus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riboflavin, 0.1% in sodium chloride </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intraoperative use in corneal collagen crosslinking (CXL) procedures for the treatment of progressive keratoconus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68</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riboflavin, 0.22% in sodium chloride</w:t>
            </w:r>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eye drops</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ophthalmic</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intraoperative use in corneal collagen crosslinking (CXL) procedures for the treatment of progressive keratoconus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69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ripasudil</w:t>
            </w:r>
            <w:proofErr w:type="spellEnd"/>
            <w:r w:rsidRPr="00E367C1">
              <w:t xml:space="preserve"> 0.4%</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eye drops</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refractory corneal oedema or refractory glaucoma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sodium benzoate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urea cycle disorders</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71</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tacrolimus 0.03%</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ointment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or prolongation of flare</w:t>
            </w:r>
            <w:r w:rsidR="00E367C1">
              <w:noBreakHyphen/>
            </w:r>
            <w:r w:rsidRPr="00E367C1">
              <w:t>free intervals, of moderate to severe atopic dermatitis/eczema in children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72</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tacrolimus 0.1% </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ointment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topical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or prolongation of flare</w:t>
            </w:r>
            <w:r w:rsidR="00E367C1">
              <w:noBreakHyphen/>
            </w:r>
            <w:r w:rsidRPr="00E367C1">
              <w:t xml:space="preserve">free intervals, of moderate to severe atopic dermatitis/eczema in adults </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73</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tizanidine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spasticity where other treatments have failed</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74</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tizanidine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treatment of spasticity where other treatments have failed</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75</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tetracycline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capsule</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resistant </w:t>
            </w:r>
            <w:r w:rsidRPr="00E367C1">
              <w:rPr>
                <w:i/>
              </w:rPr>
              <w:t>Helicobacter Pylori</w:t>
            </w:r>
            <w:r w:rsidRPr="00E367C1">
              <w:t xml:space="preserve"> infection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76</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tetracycline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tablet</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oral</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treatment of resistant </w:t>
            </w:r>
            <w:r w:rsidRPr="00E367C1">
              <w:rPr>
                <w:i/>
              </w:rPr>
              <w:t>Helicobacter Pylori</w:t>
            </w:r>
            <w:r w:rsidRPr="00E367C1">
              <w:t xml:space="preserve"> infection</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77</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tick</w:t>
            </w:r>
            <w:r w:rsidR="00E367C1">
              <w:noBreakHyphen/>
            </w:r>
            <w:r w:rsidRPr="00E367C1">
              <w:t>borne encephalitis vaccine</w:t>
            </w:r>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intramuscular</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prevention of tick</w:t>
            </w:r>
            <w:r w:rsidR="00E367C1">
              <w:noBreakHyphen/>
            </w:r>
            <w:r w:rsidRPr="00E367C1">
              <w:t>borne encephalitis</w:t>
            </w:r>
          </w:p>
        </w:tc>
      </w:tr>
      <w:tr w:rsidR="008022DD" w:rsidRPr="00E367C1" w:rsidTr="008F2BE2">
        <w:trPr>
          <w:trHeight w:val="20"/>
        </w:trPr>
        <w:tc>
          <w:tcPr>
            <w:tcW w:w="645" w:type="pct"/>
            <w:tcBorders>
              <w:top w:val="single" w:sz="2" w:space="0" w:color="auto"/>
              <w:bottom w:val="single" w:sz="2" w:space="0" w:color="auto"/>
            </w:tcBorders>
          </w:tcPr>
          <w:p w:rsidR="008022DD" w:rsidRPr="00E367C1" w:rsidRDefault="00BE34E9" w:rsidP="001A5523">
            <w:pPr>
              <w:pStyle w:val="Tabletext"/>
            </w:pPr>
            <w:r w:rsidRPr="00E367C1">
              <w:t>78</w:t>
            </w:r>
          </w:p>
        </w:tc>
        <w:tc>
          <w:tcPr>
            <w:tcW w:w="1246" w:type="pct"/>
            <w:tcBorders>
              <w:top w:val="single" w:sz="2" w:space="0" w:color="auto"/>
              <w:bottom w:val="single" w:sz="2" w:space="0" w:color="auto"/>
            </w:tcBorders>
            <w:shd w:val="clear" w:color="auto" w:fill="auto"/>
          </w:tcPr>
          <w:p w:rsidR="008022DD" w:rsidRPr="00E367C1" w:rsidRDefault="008022DD" w:rsidP="001A5523">
            <w:pPr>
              <w:pStyle w:val="Tabletext"/>
            </w:pPr>
            <w:proofErr w:type="spellStart"/>
            <w:r w:rsidRPr="00E367C1">
              <w:t>tinidazole</w:t>
            </w:r>
            <w:proofErr w:type="spellEnd"/>
          </w:p>
        </w:tc>
        <w:tc>
          <w:tcPr>
            <w:tcW w:w="752"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tablet</w:t>
            </w:r>
          </w:p>
        </w:tc>
        <w:tc>
          <w:tcPr>
            <w:tcW w:w="910"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oral</w:t>
            </w:r>
          </w:p>
        </w:tc>
        <w:tc>
          <w:tcPr>
            <w:tcW w:w="1447" w:type="pct"/>
            <w:tcBorders>
              <w:top w:val="single" w:sz="2" w:space="0" w:color="auto"/>
              <w:bottom w:val="single" w:sz="2" w:space="0" w:color="auto"/>
            </w:tcBorders>
            <w:shd w:val="clear" w:color="auto" w:fill="auto"/>
          </w:tcPr>
          <w:p w:rsidR="008022DD" w:rsidRPr="00E367C1" w:rsidRDefault="008022DD" w:rsidP="001A5523">
            <w:pPr>
              <w:pStyle w:val="Tabletext"/>
            </w:pPr>
            <w:r w:rsidRPr="00E367C1">
              <w:t xml:space="preserve">treatment of </w:t>
            </w:r>
            <w:r w:rsidRPr="00E367C1">
              <w:rPr>
                <w:i/>
              </w:rPr>
              <w:t>trichomonas vaginalis</w:t>
            </w:r>
            <w:r w:rsidRPr="00E367C1">
              <w:t xml:space="preserve"> infections of the </w:t>
            </w:r>
            <w:proofErr w:type="spellStart"/>
            <w:r w:rsidRPr="00E367C1">
              <w:t>genito</w:t>
            </w:r>
            <w:proofErr w:type="spellEnd"/>
            <w:r w:rsidR="00E367C1">
              <w:noBreakHyphen/>
            </w:r>
            <w:r w:rsidRPr="00E367C1">
              <w:t>urinary tract in female and male patients, giardiasis, amoebic dysentery or amoebic liver abscess; or</w:t>
            </w:r>
          </w:p>
          <w:p w:rsidR="008022DD" w:rsidRPr="00E367C1" w:rsidRDefault="008022DD" w:rsidP="001A5523">
            <w:pPr>
              <w:pStyle w:val="Tabletext"/>
            </w:pPr>
            <w:r w:rsidRPr="00E367C1">
              <w:t>treatment of acute giardiasis, acute amoebic dysentery or amoebic liver disease in children; or</w:t>
            </w:r>
          </w:p>
          <w:p w:rsidR="008022DD" w:rsidRPr="00E367C1" w:rsidRDefault="008022DD" w:rsidP="001A5523">
            <w:pPr>
              <w:pStyle w:val="Tabletext"/>
            </w:pPr>
            <w:r w:rsidRPr="00E367C1">
              <w:t>prevention of infection of the surgical site</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79</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 xml:space="preserve">triamcinolone </w:t>
            </w:r>
            <w:proofErr w:type="spellStart"/>
            <w:r w:rsidRPr="00E367C1">
              <w:t>acetonide</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suspension for 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ophthalmic</w:t>
            </w:r>
          </w:p>
        </w:tc>
        <w:tc>
          <w:tcPr>
            <w:tcW w:w="1447" w:type="pct"/>
            <w:tcBorders>
              <w:top w:val="single" w:sz="2" w:space="0" w:color="auto"/>
              <w:bottom w:val="single" w:sz="2" w:space="0" w:color="auto"/>
            </w:tcBorders>
            <w:shd w:val="clear" w:color="auto" w:fill="auto"/>
          </w:tcPr>
          <w:p w:rsidR="00932FBD" w:rsidRPr="00E367C1" w:rsidRDefault="00932FBD" w:rsidP="00862DAE">
            <w:pPr>
              <w:pStyle w:val="Tabletext"/>
            </w:pPr>
            <w:r w:rsidRPr="00E367C1">
              <w:t>treatment of non</w:t>
            </w:r>
            <w:r w:rsidR="00E367C1">
              <w:noBreakHyphen/>
            </w:r>
            <w:r w:rsidRPr="00E367C1">
              <w:t>infectious uveitis</w:t>
            </w:r>
            <w:r w:rsidR="00862DAE" w:rsidRPr="00E367C1">
              <w:t>,</w:t>
            </w:r>
            <w:r w:rsidRPr="00E367C1">
              <w:t xml:space="preserve"> </w:t>
            </w:r>
            <w:r w:rsidR="003F3217" w:rsidRPr="00E367C1">
              <w:t>visualisation during vitrectomy</w:t>
            </w:r>
            <w:r w:rsidR="00862DAE" w:rsidRPr="00E367C1">
              <w:t xml:space="preserve">, diabetic macular oedema, cystoid macular oedema secondary to retinal vein occlusion, </w:t>
            </w:r>
            <w:proofErr w:type="spellStart"/>
            <w:r w:rsidR="00862DAE" w:rsidRPr="00E367C1">
              <w:t>uveitic</w:t>
            </w:r>
            <w:proofErr w:type="spellEnd"/>
            <w:r w:rsidR="00862DAE" w:rsidRPr="00E367C1">
              <w:t xml:space="preserve"> macular oedema or post</w:t>
            </w:r>
            <w:r w:rsidR="00E367C1">
              <w:noBreakHyphen/>
            </w:r>
            <w:r w:rsidR="00862DAE" w:rsidRPr="00E367C1">
              <w:t>operative macular oedema (cataract surgery)</w:t>
            </w:r>
          </w:p>
        </w:tc>
      </w:tr>
      <w:tr w:rsidR="00932FBD" w:rsidRPr="00E367C1" w:rsidTr="008F2BE2">
        <w:trPr>
          <w:trHeight w:val="20"/>
        </w:trPr>
        <w:tc>
          <w:tcPr>
            <w:tcW w:w="645" w:type="pct"/>
            <w:tcBorders>
              <w:top w:val="single" w:sz="2" w:space="0" w:color="auto"/>
              <w:bottom w:val="single" w:sz="2" w:space="0" w:color="auto"/>
            </w:tcBorders>
          </w:tcPr>
          <w:p w:rsidR="00932FBD" w:rsidRPr="00E367C1" w:rsidRDefault="00BE34E9" w:rsidP="006F5B6F">
            <w:pPr>
              <w:pStyle w:val="Tabletext"/>
            </w:pPr>
            <w:r w:rsidRPr="00E367C1">
              <w:t>80</w:t>
            </w:r>
          </w:p>
        </w:tc>
        <w:tc>
          <w:tcPr>
            <w:tcW w:w="1246" w:type="pct"/>
            <w:tcBorders>
              <w:top w:val="single" w:sz="2" w:space="0" w:color="auto"/>
              <w:bottom w:val="single" w:sz="2" w:space="0" w:color="auto"/>
            </w:tcBorders>
            <w:shd w:val="clear" w:color="auto" w:fill="auto"/>
          </w:tcPr>
          <w:p w:rsidR="00932FBD" w:rsidRPr="00E367C1" w:rsidRDefault="00932FBD" w:rsidP="006F5B6F">
            <w:pPr>
              <w:pStyle w:val="Tabletext"/>
            </w:pPr>
            <w:proofErr w:type="spellStart"/>
            <w:r w:rsidRPr="00E367C1">
              <w:t>verteporfin</w:t>
            </w:r>
            <w:proofErr w:type="spellEnd"/>
          </w:p>
        </w:tc>
        <w:tc>
          <w:tcPr>
            <w:tcW w:w="752"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powder for injection</w:t>
            </w:r>
          </w:p>
        </w:tc>
        <w:tc>
          <w:tcPr>
            <w:tcW w:w="910"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intravenous infusion</w:t>
            </w:r>
          </w:p>
        </w:tc>
        <w:tc>
          <w:tcPr>
            <w:tcW w:w="1447" w:type="pct"/>
            <w:tcBorders>
              <w:top w:val="single" w:sz="2" w:space="0" w:color="auto"/>
              <w:bottom w:val="single" w:sz="2" w:space="0" w:color="auto"/>
            </w:tcBorders>
            <w:shd w:val="clear" w:color="auto" w:fill="auto"/>
          </w:tcPr>
          <w:p w:rsidR="00932FBD" w:rsidRPr="00E367C1" w:rsidRDefault="00932FBD" w:rsidP="006F5B6F">
            <w:pPr>
              <w:pStyle w:val="Tabletext"/>
            </w:pPr>
            <w:r w:rsidRPr="00E367C1">
              <w:t>photosensitisation for photodynamic therapy</w:t>
            </w:r>
          </w:p>
        </w:tc>
      </w:tr>
      <w:tr w:rsidR="008022DD" w:rsidRPr="00E367C1" w:rsidTr="008F2BE2">
        <w:trPr>
          <w:trHeight w:val="20"/>
        </w:trPr>
        <w:tc>
          <w:tcPr>
            <w:tcW w:w="645" w:type="pct"/>
            <w:tcBorders>
              <w:top w:val="single" w:sz="2" w:space="0" w:color="auto"/>
              <w:bottom w:val="single" w:sz="12" w:space="0" w:color="auto"/>
            </w:tcBorders>
          </w:tcPr>
          <w:p w:rsidR="008022DD" w:rsidRPr="00E367C1" w:rsidRDefault="00BE34E9" w:rsidP="001A5523">
            <w:pPr>
              <w:pStyle w:val="Tabletext"/>
            </w:pPr>
            <w:r w:rsidRPr="00E367C1">
              <w:t>81</w:t>
            </w:r>
          </w:p>
        </w:tc>
        <w:tc>
          <w:tcPr>
            <w:tcW w:w="1246" w:type="pct"/>
            <w:tcBorders>
              <w:top w:val="single" w:sz="2" w:space="0" w:color="auto"/>
              <w:bottom w:val="single" w:sz="12" w:space="0" w:color="auto"/>
            </w:tcBorders>
            <w:shd w:val="clear" w:color="auto" w:fill="auto"/>
          </w:tcPr>
          <w:p w:rsidR="008022DD" w:rsidRPr="00E367C1" w:rsidRDefault="008022DD" w:rsidP="001A5523">
            <w:pPr>
              <w:pStyle w:val="Tabletext"/>
            </w:pPr>
            <w:r w:rsidRPr="00E367C1">
              <w:t>yttrium</w:t>
            </w:r>
            <w:r w:rsidR="00E367C1">
              <w:noBreakHyphen/>
            </w:r>
            <w:r w:rsidRPr="00E367C1">
              <w:t>90 (Y</w:t>
            </w:r>
            <w:r w:rsidR="00E367C1">
              <w:noBreakHyphen/>
            </w:r>
            <w:r w:rsidRPr="00E367C1">
              <w:t>90) Citrate</w:t>
            </w:r>
          </w:p>
        </w:tc>
        <w:tc>
          <w:tcPr>
            <w:tcW w:w="752" w:type="pct"/>
            <w:tcBorders>
              <w:top w:val="single" w:sz="2" w:space="0" w:color="auto"/>
              <w:bottom w:val="single" w:sz="12" w:space="0" w:color="auto"/>
            </w:tcBorders>
            <w:shd w:val="clear" w:color="auto" w:fill="auto"/>
          </w:tcPr>
          <w:p w:rsidR="008022DD" w:rsidRPr="00E367C1" w:rsidRDefault="008022DD" w:rsidP="001A5523">
            <w:pPr>
              <w:pStyle w:val="Tabletext"/>
            </w:pPr>
            <w:r w:rsidRPr="00E367C1">
              <w:t>injection</w:t>
            </w:r>
          </w:p>
        </w:tc>
        <w:tc>
          <w:tcPr>
            <w:tcW w:w="910" w:type="pct"/>
            <w:tcBorders>
              <w:top w:val="single" w:sz="2" w:space="0" w:color="auto"/>
              <w:bottom w:val="single" w:sz="12" w:space="0" w:color="auto"/>
            </w:tcBorders>
            <w:shd w:val="clear" w:color="auto" w:fill="auto"/>
          </w:tcPr>
          <w:p w:rsidR="008022DD" w:rsidRPr="00E367C1" w:rsidRDefault="008022DD" w:rsidP="001A5523">
            <w:pPr>
              <w:pStyle w:val="Tabletext"/>
            </w:pPr>
            <w:r w:rsidRPr="00E367C1">
              <w:t>intraarticular</w:t>
            </w:r>
          </w:p>
        </w:tc>
        <w:tc>
          <w:tcPr>
            <w:tcW w:w="1447" w:type="pct"/>
            <w:tcBorders>
              <w:top w:val="single" w:sz="2" w:space="0" w:color="auto"/>
              <w:bottom w:val="single" w:sz="12" w:space="0" w:color="auto"/>
            </w:tcBorders>
            <w:shd w:val="clear" w:color="auto" w:fill="auto"/>
          </w:tcPr>
          <w:p w:rsidR="008022DD" w:rsidRPr="00E367C1" w:rsidRDefault="008022DD" w:rsidP="001A5523">
            <w:pPr>
              <w:pStyle w:val="Tabletext"/>
            </w:pPr>
            <w:proofErr w:type="spellStart"/>
            <w:r w:rsidRPr="00E367C1">
              <w:t>radiosynovectomy</w:t>
            </w:r>
            <w:proofErr w:type="spellEnd"/>
            <w:r w:rsidRPr="00E367C1">
              <w:t xml:space="preserve"> treatment</w:t>
            </w:r>
          </w:p>
        </w:tc>
      </w:tr>
    </w:tbl>
    <w:p w:rsidR="003223E8" w:rsidRPr="00E367C1" w:rsidRDefault="00E832C1" w:rsidP="0002359A">
      <w:pPr>
        <w:pStyle w:val="ActHead6"/>
        <w:pageBreakBefore/>
      </w:pPr>
      <w:bookmarkStart w:id="22" w:name="_Toc44406854"/>
      <w:r w:rsidRPr="00357BFF">
        <w:rPr>
          <w:rStyle w:val="CharAmSchNo"/>
        </w:rPr>
        <w:t>Schedule</w:t>
      </w:r>
      <w:r w:rsidR="00E367C1" w:rsidRPr="00357BFF">
        <w:rPr>
          <w:rStyle w:val="CharAmSchNo"/>
        </w:rPr>
        <w:t> </w:t>
      </w:r>
      <w:r w:rsidRPr="00357BFF">
        <w:rPr>
          <w:rStyle w:val="CharAmSchNo"/>
        </w:rPr>
        <w:t>5</w:t>
      </w:r>
      <w:r w:rsidR="003223E8" w:rsidRPr="00E367C1">
        <w:t>—</w:t>
      </w:r>
      <w:r w:rsidR="003223E8" w:rsidRPr="00357BFF">
        <w:rPr>
          <w:rStyle w:val="CharAmSchText"/>
        </w:rPr>
        <w:t>Scientific advice about quality of medicine</w:t>
      </w:r>
      <w:bookmarkEnd w:id="22"/>
    </w:p>
    <w:p w:rsidR="0002359A" w:rsidRPr="00357BFF" w:rsidRDefault="0002359A" w:rsidP="0002359A">
      <w:pPr>
        <w:pStyle w:val="Header"/>
      </w:pPr>
      <w:r w:rsidRPr="00357BFF">
        <w:rPr>
          <w:rStyle w:val="CharAmPartNo"/>
        </w:rPr>
        <w:t xml:space="preserve"> </w:t>
      </w:r>
      <w:r w:rsidRPr="00357BFF">
        <w:rPr>
          <w:rStyle w:val="CharAmPartText"/>
        </w:rPr>
        <w:t xml:space="preserve"> </w:t>
      </w:r>
    </w:p>
    <w:p w:rsidR="00F70E97" w:rsidRPr="00E367C1" w:rsidRDefault="00F70E97" w:rsidP="00F70E97">
      <w:pPr>
        <w:pStyle w:val="ActHead9"/>
      </w:pPr>
      <w:bookmarkStart w:id="23" w:name="_Toc44406855"/>
      <w:r w:rsidRPr="00E367C1">
        <w:t>Therapeutic Goods Regulations</w:t>
      </w:r>
      <w:r w:rsidR="00E367C1" w:rsidRPr="00E367C1">
        <w:t> </w:t>
      </w:r>
      <w:r w:rsidRPr="00E367C1">
        <w:t>1990</w:t>
      </w:r>
      <w:bookmarkEnd w:id="23"/>
    </w:p>
    <w:p w:rsidR="00EA1C31" w:rsidRPr="00E367C1" w:rsidRDefault="00D749B0" w:rsidP="00EA1C31">
      <w:pPr>
        <w:pStyle w:val="ItemHead"/>
      </w:pPr>
      <w:r w:rsidRPr="00E367C1">
        <w:t>1</w:t>
      </w:r>
      <w:r w:rsidR="00EA1C31" w:rsidRPr="00E367C1">
        <w:t xml:space="preserve">  After </w:t>
      </w:r>
      <w:r w:rsidR="0005350F" w:rsidRPr="00E367C1">
        <w:t>Part</w:t>
      </w:r>
      <w:r w:rsidR="00E367C1" w:rsidRPr="00E367C1">
        <w:t> </w:t>
      </w:r>
      <w:r w:rsidR="0005350F" w:rsidRPr="00E367C1">
        <w:t>2</w:t>
      </w:r>
      <w:r w:rsidR="00EA1C31" w:rsidRPr="00E367C1">
        <w:t>D</w:t>
      </w:r>
    </w:p>
    <w:p w:rsidR="00EA1C31" w:rsidRPr="00E367C1" w:rsidRDefault="00EA1C31" w:rsidP="00EA1C31">
      <w:pPr>
        <w:pStyle w:val="Item"/>
      </w:pPr>
      <w:r w:rsidRPr="00E367C1">
        <w:t>Insert:</w:t>
      </w:r>
    </w:p>
    <w:p w:rsidR="00EA1C31" w:rsidRPr="00E367C1" w:rsidRDefault="0005350F" w:rsidP="00EA1C31">
      <w:pPr>
        <w:pStyle w:val="ActHead2"/>
      </w:pPr>
      <w:bookmarkStart w:id="24" w:name="_Toc44406856"/>
      <w:r w:rsidRPr="00357BFF">
        <w:rPr>
          <w:rStyle w:val="CharPartNo"/>
        </w:rPr>
        <w:t>Part</w:t>
      </w:r>
      <w:r w:rsidR="00E367C1" w:rsidRPr="00357BFF">
        <w:rPr>
          <w:rStyle w:val="CharPartNo"/>
        </w:rPr>
        <w:t> </w:t>
      </w:r>
      <w:r w:rsidRPr="00357BFF">
        <w:rPr>
          <w:rStyle w:val="CharPartNo"/>
        </w:rPr>
        <w:t>2</w:t>
      </w:r>
      <w:r w:rsidR="00EA1C31" w:rsidRPr="00357BFF">
        <w:rPr>
          <w:rStyle w:val="CharPartNo"/>
        </w:rPr>
        <w:t>E</w:t>
      </w:r>
      <w:r w:rsidR="00EA1C31" w:rsidRPr="00E367C1">
        <w:t>—</w:t>
      </w:r>
      <w:r w:rsidR="00EA1C31" w:rsidRPr="00357BFF">
        <w:rPr>
          <w:rStyle w:val="CharPartText"/>
        </w:rPr>
        <w:t>Scientific advice about aspects of quality, safety or efficacy of medicine</w:t>
      </w:r>
      <w:bookmarkEnd w:id="24"/>
    </w:p>
    <w:p w:rsidR="00EA1C31" w:rsidRPr="00357BFF" w:rsidRDefault="00EA1C31" w:rsidP="00EA1C31">
      <w:pPr>
        <w:pStyle w:val="Header"/>
      </w:pPr>
      <w:r w:rsidRPr="00357BFF">
        <w:rPr>
          <w:rStyle w:val="CharDivNo"/>
        </w:rPr>
        <w:t xml:space="preserve"> </w:t>
      </w:r>
      <w:r w:rsidRPr="00357BFF">
        <w:rPr>
          <w:rStyle w:val="CharDivText"/>
        </w:rPr>
        <w:t xml:space="preserve"> </w:t>
      </w:r>
    </w:p>
    <w:p w:rsidR="00EA1C31" w:rsidRPr="00E367C1" w:rsidRDefault="00EA1C31" w:rsidP="00EA1C31">
      <w:pPr>
        <w:pStyle w:val="ActHead5"/>
      </w:pPr>
      <w:bookmarkStart w:id="25" w:name="_Toc44406857"/>
      <w:r w:rsidRPr="00357BFF">
        <w:rPr>
          <w:rStyle w:val="CharSectno"/>
        </w:rPr>
        <w:t>10M</w:t>
      </w:r>
      <w:r w:rsidRPr="00E367C1">
        <w:t xml:space="preserve">  Scientific advice about aspects of quality, safety or efficacy of medicine</w:t>
      </w:r>
      <w:bookmarkEnd w:id="25"/>
    </w:p>
    <w:p w:rsidR="00EA1C31" w:rsidRPr="00E367C1" w:rsidRDefault="00EA1C31" w:rsidP="00EA1C31">
      <w:pPr>
        <w:pStyle w:val="subsection"/>
      </w:pPr>
      <w:r w:rsidRPr="00E367C1">
        <w:tab/>
      </w:r>
      <w:r w:rsidRPr="00E367C1">
        <w:tab/>
        <w:t xml:space="preserve">For the purposes of </w:t>
      </w:r>
      <w:r w:rsidR="0012767C" w:rsidRPr="00E367C1">
        <w:t>subsection</w:t>
      </w:r>
      <w:r w:rsidR="00E367C1" w:rsidRPr="00E367C1">
        <w:t> </w:t>
      </w:r>
      <w:r w:rsidR="0012767C" w:rsidRPr="00E367C1">
        <w:t>2</w:t>
      </w:r>
      <w:r w:rsidRPr="00E367C1">
        <w:t xml:space="preserve">2G(1) of the Act, </w:t>
      </w:r>
      <w:r w:rsidR="00C97E3B" w:rsidRPr="00E367C1">
        <w:t xml:space="preserve">a </w:t>
      </w:r>
      <w:r w:rsidRPr="00E367C1">
        <w:t>prescribed aspect of the quality of a medicine</w:t>
      </w:r>
      <w:r w:rsidR="006E53AF" w:rsidRPr="00E367C1">
        <w:t xml:space="preserve"> </w:t>
      </w:r>
      <w:r w:rsidR="00FF5D37" w:rsidRPr="00E367C1">
        <w:t>for oral ingestion</w:t>
      </w:r>
      <w:r w:rsidR="000B4176" w:rsidRPr="00E367C1">
        <w:t xml:space="preserve"> is in </w:t>
      </w:r>
      <w:r w:rsidR="00FF5D37" w:rsidRPr="00E367C1">
        <w:t>vitro bioequivalence.</w:t>
      </w:r>
    </w:p>
    <w:p w:rsidR="001F22E5" w:rsidRPr="00E367C1" w:rsidRDefault="00D749B0" w:rsidP="001F22E5">
      <w:pPr>
        <w:pStyle w:val="ItemHead"/>
      </w:pPr>
      <w:r w:rsidRPr="00E367C1">
        <w:t>2</w:t>
      </w:r>
      <w:r w:rsidR="001F22E5" w:rsidRPr="00E367C1">
        <w:t xml:space="preserve">  </w:t>
      </w:r>
      <w:r w:rsidR="0005350F" w:rsidRPr="00E367C1">
        <w:t>Clause</w:t>
      </w:r>
      <w:r w:rsidR="00E367C1" w:rsidRPr="00E367C1">
        <w:t> </w:t>
      </w:r>
      <w:r w:rsidR="0005350F" w:rsidRPr="00E367C1">
        <w:t>3</w:t>
      </w:r>
      <w:r w:rsidR="001F22E5" w:rsidRPr="00E367C1">
        <w:t xml:space="preserve"> of </w:t>
      </w:r>
      <w:r w:rsidR="0005350F" w:rsidRPr="00E367C1">
        <w:t>Schedule</w:t>
      </w:r>
      <w:r w:rsidR="00E367C1" w:rsidRPr="00E367C1">
        <w:t> </w:t>
      </w:r>
      <w:r w:rsidR="0005350F" w:rsidRPr="00E367C1">
        <w:t>9</w:t>
      </w:r>
      <w:r w:rsidR="001F22E5" w:rsidRPr="00E367C1">
        <w:t xml:space="preserve"> (after table </w:t>
      </w:r>
      <w:r w:rsidR="00A253C6" w:rsidRPr="00E367C1">
        <w:t>item</w:t>
      </w:r>
      <w:r w:rsidR="00E367C1" w:rsidRPr="00E367C1">
        <w:t> </w:t>
      </w:r>
      <w:r w:rsidR="00A253C6" w:rsidRPr="00E367C1">
        <w:t>1</w:t>
      </w:r>
      <w:r w:rsidR="009E2840" w:rsidRPr="00E367C1">
        <w:t>AB</w:t>
      </w:r>
      <w:r w:rsidR="001F22E5" w:rsidRPr="00E367C1">
        <w:t>)</w:t>
      </w:r>
    </w:p>
    <w:p w:rsidR="001F22E5" w:rsidRPr="00E367C1" w:rsidRDefault="001F22E5" w:rsidP="001F22E5">
      <w:pPr>
        <w:pStyle w:val="Item"/>
      </w:pPr>
      <w:r w:rsidRPr="00E367C1">
        <w:t>Insert:</w:t>
      </w:r>
    </w:p>
    <w:tbl>
      <w:tblPr>
        <w:tblW w:w="5000" w:type="pct"/>
        <w:tblLook w:val="0000" w:firstRow="0" w:lastRow="0" w:firstColumn="0" w:lastColumn="0" w:noHBand="0" w:noVBand="0"/>
      </w:tblPr>
      <w:tblGrid>
        <w:gridCol w:w="1061"/>
        <w:gridCol w:w="5353"/>
        <w:gridCol w:w="2115"/>
      </w:tblGrid>
      <w:tr w:rsidR="00A10B07" w:rsidRPr="00E367C1" w:rsidTr="009E2840">
        <w:tc>
          <w:tcPr>
            <w:tcW w:w="622" w:type="pct"/>
            <w:shd w:val="clear" w:color="auto" w:fill="auto"/>
          </w:tcPr>
          <w:p w:rsidR="00A10B07" w:rsidRPr="00E367C1" w:rsidRDefault="00A10B07" w:rsidP="00C41C6A">
            <w:pPr>
              <w:pStyle w:val="Tabletext"/>
            </w:pPr>
            <w:r w:rsidRPr="00E367C1">
              <w:t>1AB</w:t>
            </w:r>
            <w:r w:rsidR="00015A7E" w:rsidRPr="00E367C1">
              <w:t>A</w:t>
            </w:r>
          </w:p>
        </w:tc>
        <w:tc>
          <w:tcPr>
            <w:tcW w:w="3138" w:type="pct"/>
            <w:shd w:val="clear" w:color="auto" w:fill="auto"/>
          </w:tcPr>
          <w:p w:rsidR="00A10B07" w:rsidRPr="00E367C1" w:rsidRDefault="00B143E4" w:rsidP="00B143E4">
            <w:pPr>
              <w:pStyle w:val="Tabletext"/>
            </w:pPr>
            <w:r w:rsidRPr="00E367C1">
              <w:t>Fee</w:t>
            </w:r>
            <w:r w:rsidR="00A10B07" w:rsidRPr="00E367C1">
              <w:t xml:space="preserve"> for the purposes of </w:t>
            </w:r>
            <w:r w:rsidR="0012767C" w:rsidRPr="00E367C1">
              <w:t>paragraph</w:t>
            </w:r>
            <w:r w:rsidR="00E367C1" w:rsidRPr="00E367C1">
              <w:t> </w:t>
            </w:r>
            <w:r w:rsidR="0012767C" w:rsidRPr="00E367C1">
              <w:t>2</w:t>
            </w:r>
            <w:r w:rsidRPr="00E367C1">
              <w:t>2G(8)(b)</w:t>
            </w:r>
            <w:r w:rsidR="00A10B07" w:rsidRPr="00E367C1">
              <w:t xml:space="preserve"> of the Act for a</w:t>
            </w:r>
            <w:r w:rsidRPr="00E367C1">
              <w:t xml:space="preserve"> request under </w:t>
            </w:r>
            <w:r w:rsidR="00E35D0B" w:rsidRPr="00E367C1">
              <w:t>section</w:t>
            </w:r>
            <w:r w:rsidR="00E367C1" w:rsidRPr="00E367C1">
              <w:t> </w:t>
            </w:r>
            <w:r w:rsidR="00E35D0B" w:rsidRPr="00E367C1">
              <w:t>2</w:t>
            </w:r>
            <w:r w:rsidRPr="00E367C1">
              <w:t>2G of the</w:t>
            </w:r>
            <w:r w:rsidR="00A10B07" w:rsidRPr="00E367C1">
              <w:t xml:space="preserve"> Act</w:t>
            </w:r>
          </w:p>
        </w:tc>
        <w:tc>
          <w:tcPr>
            <w:tcW w:w="1240" w:type="pct"/>
            <w:shd w:val="clear" w:color="auto" w:fill="auto"/>
          </w:tcPr>
          <w:p w:rsidR="00A10B07" w:rsidRPr="00E367C1" w:rsidRDefault="009E2840" w:rsidP="009E2840">
            <w:pPr>
              <w:pStyle w:val="Tabletext"/>
            </w:pPr>
            <w:r w:rsidRPr="00E367C1">
              <w:t>8</w:t>
            </w:r>
            <w:r w:rsidR="00A10B07" w:rsidRPr="00E367C1">
              <w:t>,</w:t>
            </w:r>
            <w:r w:rsidRPr="00E367C1">
              <w:t>570</w:t>
            </w:r>
          </w:p>
        </w:tc>
      </w:tr>
    </w:tbl>
    <w:p w:rsidR="000D3681" w:rsidRPr="00E367C1" w:rsidRDefault="00E832C1" w:rsidP="0002359A">
      <w:pPr>
        <w:pStyle w:val="ActHead6"/>
        <w:pageBreakBefore/>
      </w:pPr>
      <w:bookmarkStart w:id="26" w:name="_Toc44406858"/>
      <w:r w:rsidRPr="00357BFF">
        <w:rPr>
          <w:rStyle w:val="CharAmSchNo"/>
        </w:rPr>
        <w:t>Schedule</w:t>
      </w:r>
      <w:r w:rsidR="00E367C1" w:rsidRPr="00357BFF">
        <w:rPr>
          <w:rStyle w:val="CharAmSchNo"/>
        </w:rPr>
        <w:t> </w:t>
      </w:r>
      <w:r w:rsidRPr="00357BFF">
        <w:rPr>
          <w:rStyle w:val="CharAmSchNo"/>
        </w:rPr>
        <w:t>6</w:t>
      </w:r>
      <w:r w:rsidR="000D3681" w:rsidRPr="00E367C1">
        <w:t>—</w:t>
      </w:r>
      <w:r w:rsidR="000D3681" w:rsidRPr="00357BFF">
        <w:rPr>
          <w:rStyle w:val="CharAmSchText"/>
        </w:rPr>
        <w:t>Preliminary assessment of applications for variation of permissible ingredients determination</w:t>
      </w:r>
      <w:bookmarkEnd w:id="26"/>
    </w:p>
    <w:p w:rsidR="0002359A" w:rsidRPr="00357BFF" w:rsidRDefault="0002359A" w:rsidP="0002359A">
      <w:pPr>
        <w:pStyle w:val="Header"/>
      </w:pPr>
      <w:r w:rsidRPr="00357BFF">
        <w:rPr>
          <w:rStyle w:val="CharAmPartNo"/>
        </w:rPr>
        <w:t xml:space="preserve"> </w:t>
      </w:r>
      <w:r w:rsidRPr="00357BFF">
        <w:rPr>
          <w:rStyle w:val="CharAmPartText"/>
        </w:rPr>
        <w:t xml:space="preserve"> </w:t>
      </w:r>
    </w:p>
    <w:p w:rsidR="003870C1" w:rsidRPr="00E367C1" w:rsidRDefault="003870C1" w:rsidP="003870C1">
      <w:pPr>
        <w:pStyle w:val="ActHead9"/>
      </w:pPr>
      <w:bookmarkStart w:id="27" w:name="_Toc44406859"/>
      <w:r w:rsidRPr="00E367C1">
        <w:t>Therapeutic Goods Regulations</w:t>
      </w:r>
      <w:r w:rsidR="00E367C1" w:rsidRPr="00E367C1">
        <w:t> </w:t>
      </w:r>
      <w:r w:rsidRPr="00E367C1">
        <w:t>1990</w:t>
      </w:r>
      <w:bookmarkEnd w:id="27"/>
    </w:p>
    <w:p w:rsidR="00626568" w:rsidRPr="00E367C1" w:rsidRDefault="00D749B0" w:rsidP="000557C9">
      <w:pPr>
        <w:pStyle w:val="ItemHead"/>
      </w:pPr>
      <w:r w:rsidRPr="00E367C1">
        <w:t>1</w:t>
      </w:r>
      <w:r w:rsidR="00626568" w:rsidRPr="00E367C1">
        <w:t xml:space="preserve">  </w:t>
      </w:r>
      <w:r w:rsidR="00A253C6" w:rsidRPr="00E367C1">
        <w:t>Regulation</w:t>
      </w:r>
      <w:r w:rsidR="00E367C1" w:rsidRPr="00E367C1">
        <w:t> </w:t>
      </w:r>
      <w:r w:rsidR="00A253C6" w:rsidRPr="00E367C1">
        <w:t>2</w:t>
      </w:r>
      <w:r w:rsidR="000557C9" w:rsidRPr="00E367C1">
        <w:t xml:space="preserve"> (definition of </w:t>
      </w:r>
      <w:r w:rsidR="000557C9" w:rsidRPr="00E367C1">
        <w:rPr>
          <w:i/>
        </w:rPr>
        <w:t>IN1 application</w:t>
      </w:r>
      <w:bookmarkStart w:id="28" w:name="BK_S3P16L6C47"/>
      <w:bookmarkEnd w:id="28"/>
      <w:r w:rsidR="000557C9" w:rsidRPr="00E367C1">
        <w:t>)</w:t>
      </w:r>
    </w:p>
    <w:p w:rsidR="000557C9" w:rsidRPr="00E367C1" w:rsidRDefault="000557C9" w:rsidP="000557C9">
      <w:pPr>
        <w:pStyle w:val="Item"/>
      </w:pPr>
      <w:r w:rsidRPr="00E367C1">
        <w:t>Omit “</w:t>
      </w:r>
      <w:r w:rsidR="0012767C" w:rsidRPr="00E367C1">
        <w:t>subsection</w:t>
      </w:r>
      <w:r w:rsidR="00E367C1" w:rsidRPr="00E367C1">
        <w:t> </w:t>
      </w:r>
      <w:r w:rsidR="0012767C" w:rsidRPr="00E367C1">
        <w:t>2</w:t>
      </w:r>
      <w:r w:rsidRPr="00E367C1">
        <w:t>6BE(1)”, substitute “</w:t>
      </w:r>
      <w:r w:rsidR="0012767C" w:rsidRPr="00E367C1">
        <w:t>subsection</w:t>
      </w:r>
      <w:r w:rsidR="00E367C1" w:rsidRPr="00E367C1">
        <w:t> </w:t>
      </w:r>
      <w:r w:rsidR="0012767C" w:rsidRPr="00E367C1">
        <w:t>2</w:t>
      </w:r>
      <w:r w:rsidRPr="00E367C1">
        <w:t>6BD(1)”.</w:t>
      </w:r>
    </w:p>
    <w:p w:rsidR="000557C9" w:rsidRPr="00E367C1" w:rsidRDefault="00D749B0" w:rsidP="000557C9">
      <w:pPr>
        <w:pStyle w:val="ItemHead"/>
      </w:pPr>
      <w:r w:rsidRPr="00E367C1">
        <w:t>2</w:t>
      </w:r>
      <w:r w:rsidR="000557C9" w:rsidRPr="00E367C1">
        <w:t xml:space="preserve">  </w:t>
      </w:r>
      <w:r w:rsidR="00A253C6" w:rsidRPr="00E367C1">
        <w:t>Regulation</w:t>
      </w:r>
      <w:r w:rsidR="00E367C1" w:rsidRPr="00E367C1">
        <w:t> </w:t>
      </w:r>
      <w:r w:rsidR="00A253C6" w:rsidRPr="00E367C1">
        <w:t>2</w:t>
      </w:r>
      <w:r w:rsidR="000557C9" w:rsidRPr="00E367C1">
        <w:t xml:space="preserve"> (definition of </w:t>
      </w:r>
      <w:r w:rsidR="000557C9" w:rsidRPr="00E367C1">
        <w:rPr>
          <w:i/>
        </w:rPr>
        <w:t>IN2 application</w:t>
      </w:r>
      <w:bookmarkStart w:id="29" w:name="BK_S3P16L8C47"/>
      <w:bookmarkEnd w:id="29"/>
      <w:r w:rsidR="000557C9" w:rsidRPr="00E367C1">
        <w:t>)</w:t>
      </w:r>
    </w:p>
    <w:p w:rsidR="000557C9" w:rsidRPr="00E367C1" w:rsidRDefault="000557C9" w:rsidP="000557C9">
      <w:pPr>
        <w:pStyle w:val="Item"/>
      </w:pPr>
      <w:r w:rsidRPr="00E367C1">
        <w:t>Omit “</w:t>
      </w:r>
      <w:r w:rsidR="0012767C" w:rsidRPr="00E367C1">
        <w:t>subsection</w:t>
      </w:r>
      <w:r w:rsidR="00E367C1" w:rsidRPr="00E367C1">
        <w:t> </w:t>
      </w:r>
      <w:r w:rsidR="0012767C" w:rsidRPr="00E367C1">
        <w:t>2</w:t>
      </w:r>
      <w:r w:rsidRPr="00E367C1">
        <w:t>6BE(1)”, substitute “</w:t>
      </w:r>
      <w:r w:rsidR="0012767C" w:rsidRPr="00E367C1">
        <w:t>subsection</w:t>
      </w:r>
      <w:r w:rsidR="00E367C1" w:rsidRPr="00E367C1">
        <w:t> </w:t>
      </w:r>
      <w:r w:rsidR="0012767C" w:rsidRPr="00E367C1">
        <w:t>2</w:t>
      </w:r>
      <w:r w:rsidRPr="00E367C1">
        <w:t>6BD(1)”.</w:t>
      </w:r>
    </w:p>
    <w:p w:rsidR="000557C9" w:rsidRPr="00E367C1" w:rsidRDefault="00D749B0" w:rsidP="000557C9">
      <w:pPr>
        <w:pStyle w:val="ItemHead"/>
      </w:pPr>
      <w:r w:rsidRPr="00E367C1">
        <w:t>3</w:t>
      </w:r>
      <w:r w:rsidR="000557C9" w:rsidRPr="00E367C1">
        <w:t xml:space="preserve">  </w:t>
      </w:r>
      <w:r w:rsidR="00A253C6" w:rsidRPr="00E367C1">
        <w:t>Regulation</w:t>
      </w:r>
      <w:r w:rsidR="00E367C1" w:rsidRPr="00E367C1">
        <w:t> </w:t>
      </w:r>
      <w:r w:rsidR="00A253C6" w:rsidRPr="00E367C1">
        <w:t>2</w:t>
      </w:r>
      <w:r w:rsidR="000557C9" w:rsidRPr="00E367C1">
        <w:t xml:space="preserve"> (definition of </w:t>
      </w:r>
      <w:r w:rsidR="000557C9" w:rsidRPr="00E367C1">
        <w:rPr>
          <w:i/>
        </w:rPr>
        <w:t>IN3 application</w:t>
      </w:r>
      <w:bookmarkStart w:id="30" w:name="BK_S3P16L10C47"/>
      <w:bookmarkEnd w:id="30"/>
      <w:r w:rsidR="000557C9" w:rsidRPr="00E367C1">
        <w:t>)</w:t>
      </w:r>
    </w:p>
    <w:p w:rsidR="000557C9" w:rsidRPr="00E367C1" w:rsidRDefault="000557C9" w:rsidP="000557C9">
      <w:pPr>
        <w:pStyle w:val="Item"/>
      </w:pPr>
      <w:r w:rsidRPr="00E367C1">
        <w:t>Omit “</w:t>
      </w:r>
      <w:r w:rsidR="0012767C" w:rsidRPr="00E367C1">
        <w:t>subsection</w:t>
      </w:r>
      <w:r w:rsidR="00E367C1" w:rsidRPr="00E367C1">
        <w:t> </w:t>
      </w:r>
      <w:r w:rsidR="0012767C" w:rsidRPr="00E367C1">
        <w:t>2</w:t>
      </w:r>
      <w:r w:rsidRPr="00E367C1">
        <w:t>6BE(1)”, substitute “</w:t>
      </w:r>
      <w:r w:rsidR="0012767C" w:rsidRPr="00E367C1">
        <w:t>subsection</w:t>
      </w:r>
      <w:r w:rsidR="00E367C1" w:rsidRPr="00E367C1">
        <w:t> </w:t>
      </w:r>
      <w:r w:rsidR="0012767C" w:rsidRPr="00E367C1">
        <w:t>2</w:t>
      </w:r>
      <w:r w:rsidRPr="00E367C1">
        <w:t>6BD(1)”.</w:t>
      </w:r>
    </w:p>
    <w:p w:rsidR="000557C9" w:rsidRPr="00E367C1" w:rsidRDefault="00D749B0" w:rsidP="000557C9">
      <w:pPr>
        <w:pStyle w:val="ItemHead"/>
      </w:pPr>
      <w:r w:rsidRPr="00E367C1">
        <w:t>4</w:t>
      </w:r>
      <w:r w:rsidR="000557C9" w:rsidRPr="00E367C1">
        <w:t xml:space="preserve">  </w:t>
      </w:r>
      <w:r w:rsidR="00A253C6" w:rsidRPr="00E367C1">
        <w:t>Regulation</w:t>
      </w:r>
      <w:r w:rsidR="00E367C1" w:rsidRPr="00E367C1">
        <w:t> </w:t>
      </w:r>
      <w:r w:rsidR="00A253C6" w:rsidRPr="00E367C1">
        <w:t>2</w:t>
      </w:r>
      <w:r w:rsidR="000557C9" w:rsidRPr="00E367C1">
        <w:t xml:space="preserve"> (definition of </w:t>
      </w:r>
      <w:r w:rsidR="000557C9" w:rsidRPr="00E367C1">
        <w:rPr>
          <w:i/>
        </w:rPr>
        <w:t>IN4 application</w:t>
      </w:r>
      <w:bookmarkStart w:id="31" w:name="BK_S3P16L12C47"/>
      <w:bookmarkEnd w:id="31"/>
      <w:r w:rsidR="000557C9" w:rsidRPr="00E367C1">
        <w:t>)</w:t>
      </w:r>
    </w:p>
    <w:p w:rsidR="000557C9" w:rsidRPr="00E367C1" w:rsidRDefault="000557C9" w:rsidP="000557C9">
      <w:pPr>
        <w:pStyle w:val="Item"/>
      </w:pPr>
      <w:r w:rsidRPr="00E367C1">
        <w:t>Omit “</w:t>
      </w:r>
      <w:r w:rsidR="0012767C" w:rsidRPr="00E367C1">
        <w:t>subsection</w:t>
      </w:r>
      <w:r w:rsidR="00E367C1" w:rsidRPr="00E367C1">
        <w:t> </w:t>
      </w:r>
      <w:r w:rsidR="0012767C" w:rsidRPr="00E367C1">
        <w:t>2</w:t>
      </w:r>
      <w:r w:rsidRPr="00E367C1">
        <w:t>6BE(1)”, substitute “</w:t>
      </w:r>
      <w:r w:rsidR="0012767C" w:rsidRPr="00E367C1">
        <w:t>subsection</w:t>
      </w:r>
      <w:r w:rsidR="00E367C1" w:rsidRPr="00E367C1">
        <w:t> </w:t>
      </w:r>
      <w:r w:rsidR="0012767C" w:rsidRPr="00E367C1">
        <w:t>2</w:t>
      </w:r>
      <w:r w:rsidRPr="00E367C1">
        <w:t>6BD(1)”.</w:t>
      </w:r>
    </w:p>
    <w:p w:rsidR="003870C1" w:rsidRPr="00E367C1" w:rsidRDefault="00D749B0" w:rsidP="00412511">
      <w:pPr>
        <w:pStyle w:val="ItemHead"/>
      </w:pPr>
      <w:r w:rsidRPr="00E367C1">
        <w:t>5</w:t>
      </w:r>
      <w:r w:rsidR="003870C1" w:rsidRPr="00E367C1">
        <w:t xml:space="preserve">  </w:t>
      </w:r>
      <w:r w:rsidR="00FE690A" w:rsidRPr="00E367C1">
        <w:t>Regulation</w:t>
      </w:r>
      <w:r w:rsidR="00E367C1" w:rsidRPr="00E367C1">
        <w:t> </w:t>
      </w:r>
      <w:r w:rsidR="00FE690A" w:rsidRPr="00E367C1">
        <w:t>1</w:t>
      </w:r>
      <w:r w:rsidR="00412511" w:rsidRPr="00E367C1">
        <w:t>6GI (heading)</w:t>
      </w:r>
    </w:p>
    <w:p w:rsidR="00412511" w:rsidRPr="00E367C1" w:rsidRDefault="00412511" w:rsidP="00412511">
      <w:pPr>
        <w:pStyle w:val="Item"/>
      </w:pPr>
      <w:r w:rsidRPr="00E367C1">
        <w:t>Repeal the heading, substitute:</w:t>
      </w:r>
    </w:p>
    <w:p w:rsidR="00412511" w:rsidRPr="00E367C1" w:rsidRDefault="00412511" w:rsidP="00412511">
      <w:pPr>
        <w:pStyle w:val="ActHead5"/>
      </w:pPr>
      <w:bookmarkStart w:id="32" w:name="_Toc44406860"/>
      <w:r w:rsidRPr="00357BFF">
        <w:rPr>
          <w:rStyle w:val="CharSectno"/>
        </w:rPr>
        <w:t>16GI</w:t>
      </w:r>
      <w:r w:rsidRPr="00E367C1">
        <w:t xml:space="preserve">  Registration and listing of certain medicines—notification of preliminary assessment of applications and </w:t>
      </w:r>
      <w:r w:rsidR="003F6004" w:rsidRPr="00E367C1">
        <w:t>period within which decisions on recommendations must be made</w:t>
      </w:r>
      <w:bookmarkEnd w:id="32"/>
    </w:p>
    <w:p w:rsidR="00DB6F12" w:rsidRPr="00E367C1" w:rsidRDefault="00D749B0" w:rsidP="00DB6F12">
      <w:pPr>
        <w:pStyle w:val="ItemHead"/>
      </w:pPr>
      <w:r w:rsidRPr="00E367C1">
        <w:t>6</w:t>
      </w:r>
      <w:r w:rsidR="00DB6F12" w:rsidRPr="00E367C1">
        <w:t xml:space="preserve">  </w:t>
      </w:r>
      <w:r w:rsidR="00A253C6" w:rsidRPr="00E367C1">
        <w:t>Paragraph</w:t>
      </w:r>
      <w:r w:rsidR="00E367C1" w:rsidRPr="00E367C1">
        <w:t xml:space="preserve"> </w:t>
      </w:r>
      <w:r w:rsidR="00A253C6" w:rsidRPr="00E367C1">
        <w:t>1</w:t>
      </w:r>
      <w:r w:rsidR="00DB6F12" w:rsidRPr="00E367C1">
        <w:t>6GI(1)(a)</w:t>
      </w:r>
    </w:p>
    <w:p w:rsidR="00DB6F12" w:rsidRPr="00E367C1" w:rsidRDefault="00DB6F12" w:rsidP="00DB6F12">
      <w:pPr>
        <w:pStyle w:val="Item"/>
      </w:pPr>
      <w:r w:rsidRPr="00E367C1">
        <w:t>Omit “been accepted or rejected”, substitute “passed preliminary assessment”.</w:t>
      </w:r>
    </w:p>
    <w:p w:rsidR="007D0030" w:rsidRPr="00E367C1" w:rsidRDefault="00D749B0" w:rsidP="007D0030">
      <w:pPr>
        <w:pStyle w:val="ItemHead"/>
      </w:pPr>
      <w:r w:rsidRPr="00E367C1">
        <w:t>7</w:t>
      </w:r>
      <w:r w:rsidR="007D0030" w:rsidRPr="00E367C1">
        <w:t xml:space="preserve">  </w:t>
      </w:r>
      <w:r w:rsidR="00A253C6" w:rsidRPr="00E367C1">
        <w:t>Paragraph</w:t>
      </w:r>
      <w:r w:rsidR="00E367C1" w:rsidRPr="00E367C1">
        <w:t xml:space="preserve"> </w:t>
      </w:r>
      <w:r w:rsidR="00A253C6" w:rsidRPr="00E367C1">
        <w:t>1</w:t>
      </w:r>
      <w:r w:rsidR="007D0030" w:rsidRPr="00E367C1">
        <w:t>6GI(1)(b)</w:t>
      </w:r>
    </w:p>
    <w:p w:rsidR="007D0030" w:rsidRPr="00E367C1" w:rsidRDefault="007D0030" w:rsidP="007D0030">
      <w:pPr>
        <w:pStyle w:val="Item"/>
      </w:pPr>
      <w:r w:rsidRPr="00E367C1">
        <w:t>Omit “</w:t>
      </w:r>
      <w:r w:rsidR="002525B8" w:rsidRPr="00E367C1">
        <w:t>if the application is accepted—</w:t>
      </w:r>
      <w:r w:rsidRPr="00E367C1">
        <w:t>”, substitute “</w:t>
      </w:r>
      <w:r w:rsidR="002525B8" w:rsidRPr="00E367C1">
        <w:t>if the application passes preliminary assessment—</w:t>
      </w:r>
      <w:r w:rsidR="00D72C3F" w:rsidRPr="00E367C1">
        <w:t xml:space="preserve">subject to </w:t>
      </w:r>
      <w:proofErr w:type="spellStart"/>
      <w:r w:rsidR="00D72C3F" w:rsidRPr="00E367C1">
        <w:t>subregulation</w:t>
      </w:r>
      <w:proofErr w:type="spellEnd"/>
      <w:r w:rsidR="00E367C1" w:rsidRPr="00E367C1">
        <w:t> </w:t>
      </w:r>
      <w:r w:rsidR="00D72C3F" w:rsidRPr="00E367C1">
        <w:t>(1A),</w:t>
      </w:r>
      <w:r w:rsidRPr="00E367C1">
        <w:t>”.</w:t>
      </w:r>
    </w:p>
    <w:p w:rsidR="007D0030" w:rsidRPr="00E367C1" w:rsidRDefault="00D749B0" w:rsidP="007D0030">
      <w:pPr>
        <w:pStyle w:val="ItemHead"/>
      </w:pPr>
      <w:r w:rsidRPr="00E367C1">
        <w:t>8</w:t>
      </w:r>
      <w:r w:rsidR="007D0030" w:rsidRPr="00E367C1">
        <w:t xml:space="preserve">  </w:t>
      </w:r>
      <w:proofErr w:type="spellStart"/>
      <w:r w:rsidR="00E832C1" w:rsidRPr="00E367C1">
        <w:t>Subregulation</w:t>
      </w:r>
      <w:proofErr w:type="spellEnd"/>
      <w:r w:rsidR="00E367C1" w:rsidRPr="00E367C1">
        <w:t> </w:t>
      </w:r>
      <w:r w:rsidR="00E832C1" w:rsidRPr="00E367C1">
        <w:t>1</w:t>
      </w:r>
      <w:r w:rsidR="007D0030" w:rsidRPr="00E367C1">
        <w:t>6GI(1) (table)</w:t>
      </w:r>
    </w:p>
    <w:p w:rsidR="007D0030" w:rsidRPr="00E367C1" w:rsidRDefault="007D0030" w:rsidP="007D0030">
      <w:pPr>
        <w:pStyle w:val="Item"/>
      </w:pPr>
      <w:r w:rsidRPr="00E367C1">
        <w:t>Repeal the table, substitute:</w:t>
      </w:r>
    </w:p>
    <w:p w:rsidR="007D0030" w:rsidRPr="00E367C1" w:rsidRDefault="007D0030" w:rsidP="007D003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67"/>
        <w:gridCol w:w="1760"/>
        <w:gridCol w:w="2243"/>
        <w:gridCol w:w="3859"/>
      </w:tblGrid>
      <w:tr w:rsidR="007D0030" w:rsidRPr="00E367C1" w:rsidTr="00EA1C31">
        <w:trPr>
          <w:tblHeader/>
        </w:trPr>
        <w:tc>
          <w:tcPr>
            <w:tcW w:w="5000" w:type="pct"/>
            <w:gridSpan w:val="4"/>
            <w:tcBorders>
              <w:top w:val="single" w:sz="12" w:space="0" w:color="auto"/>
              <w:bottom w:val="single" w:sz="6" w:space="0" w:color="auto"/>
            </w:tcBorders>
            <w:shd w:val="clear" w:color="auto" w:fill="auto"/>
          </w:tcPr>
          <w:p w:rsidR="007D0030" w:rsidRPr="00E367C1" w:rsidRDefault="00626568" w:rsidP="00D72C3F">
            <w:pPr>
              <w:pStyle w:val="TableHeading"/>
            </w:pPr>
            <w:r w:rsidRPr="00E367C1">
              <w:t>Notification of preliminary assessment of application</w:t>
            </w:r>
            <w:r w:rsidR="00E2648B" w:rsidRPr="00E367C1">
              <w:t>s</w:t>
            </w:r>
            <w:r w:rsidRPr="00E367C1">
              <w:t xml:space="preserve"> </w:t>
            </w:r>
            <w:r w:rsidR="003D565F" w:rsidRPr="00E367C1">
              <w:t xml:space="preserve">and </w:t>
            </w:r>
            <w:r w:rsidR="003F6004" w:rsidRPr="00E367C1">
              <w:t>period within which decisions on recommendations must be made</w:t>
            </w:r>
          </w:p>
        </w:tc>
      </w:tr>
      <w:tr w:rsidR="007D0030" w:rsidRPr="00E367C1" w:rsidTr="00EA1C31">
        <w:trPr>
          <w:tblHeader/>
        </w:trPr>
        <w:tc>
          <w:tcPr>
            <w:tcW w:w="391" w:type="pct"/>
            <w:tcBorders>
              <w:top w:val="single" w:sz="6" w:space="0" w:color="auto"/>
              <w:bottom w:val="single" w:sz="12" w:space="0" w:color="auto"/>
            </w:tcBorders>
            <w:shd w:val="clear" w:color="auto" w:fill="auto"/>
          </w:tcPr>
          <w:p w:rsidR="007D0030" w:rsidRPr="00E367C1" w:rsidRDefault="007D0030" w:rsidP="00EA1C31">
            <w:pPr>
              <w:pStyle w:val="TableHeading"/>
            </w:pPr>
            <w:r w:rsidRPr="00E367C1">
              <w:t>Item</w:t>
            </w:r>
          </w:p>
        </w:tc>
        <w:tc>
          <w:tcPr>
            <w:tcW w:w="1032" w:type="pct"/>
            <w:tcBorders>
              <w:top w:val="single" w:sz="6" w:space="0" w:color="auto"/>
              <w:bottom w:val="single" w:sz="12" w:space="0" w:color="auto"/>
            </w:tcBorders>
            <w:shd w:val="clear" w:color="auto" w:fill="auto"/>
          </w:tcPr>
          <w:p w:rsidR="007D0030" w:rsidRPr="00E367C1" w:rsidRDefault="007D0030" w:rsidP="00EA1C31">
            <w:pPr>
              <w:pStyle w:val="TableHeading"/>
            </w:pPr>
            <w:r w:rsidRPr="00E367C1">
              <w:t>Column 1</w:t>
            </w:r>
          </w:p>
          <w:p w:rsidR="007D0030" w:rsidRPr="00E367C1" w:rsidRDefault="007D0030" w:rsidP="00EA1C31">
            <w:pPr>
              <w:pStyle w:val="TableHeading"/>
            </w:pPr>
            <w:r w:rsidRPr="00E367C1">
              <w:t>Kind of application</w:t>
            </w:r>
          </w:p>
        </w:tc>
        <w:tc>
          <w:tcPr>
            <w:tcW w:w="1315" w:type="pct"/>
            <w:tcBorders>
              <w:top w:val="single" w:sz="6" w:space="0" w:color="auto"/>
              <w:bottom w:val="single" w:sz="12" w:space="0" w:color="auto"/>
            </w:tcBorders>
            <w:shd w:val="clear" w:color="auto" w:fill="auto"/>
          </w:tcPr>
          <w:p w:rsidR="007D0030" w:rsidRPr="00E367C1" w:rsidRDefault="007D0030" w:rsidP="00EA1C31">
            <w:pPr>
              <w:pStyle w:val="TableHeading"/>
            </w:pPr>
            <w:r w:rsidRPr="00E367C1">
              <w:t>Column 2</w:t>
            </w:r>
          </w:p>
          <w:p w:rsidR="007D0030" w:rsidRPr="00E367C1" w:rsidRDefault="00626568" w:rsidP="00EA1C31">
            <w:pPr>
              <w:pStyle w:val="TableHeading"/>
            </w:pPr>
            <w:r w:rsidRPr="00E367C1">
              <w:t>Notification of preliminary assessment</w:t>
            </w:r>
          </w:p>
        </w:tc>
        <w:tc>
          <w:tcPr>
            <w:tcW w:w="2262" w:type="pct"/>
            <w:tcBorders>
              <w:top w:val="single" w:sz="6" w:space="0" w:color="auto"/>
              <w:bottom w:val="single" w:sz="12" w:space="0" w:color="auto"/>
            </w:tcBorders>
            <w:shd w:val="clear" w:color="auto" w:fill="auto"/>
          </w:tcPr>
          <w:p w:rsidR="007D0030" w:rsidRPr="00E367C1" w:rsidRDefault="007D0030" w:rsidP="00EA1C31">
            <w:pPr>
              <w:pStyle w:val="TableHeading"/>
            </w:pPr>
            <w:r w:rsidRPr="00E367C1">
              <w:t>Column 3</w:t>
            </w:r>
          </w:p>
          <w:p w:rsidR="007D0030" w:rsidRPr="00E367C1" w:rsidRDefault="003D565F" w:rsidP="003D565F">
            <w:pPr>
              <w:pStyle w:val="TableHeading"/>
            </w:pPr>
            <w:r w:rsidRPr="00E367C1">
              <w:t>Decision on recommendation</w:t>
            </w:r>
          </w:p>
        </w:tc>
      </w:tr>
      <w:tr w:rsidR="007D0030" w:rsidRPr="00E367C1" w:rsidTr="00EA1C31">
        <w:tc>
          <w:tcPr>
            <w:tcW w:w="391" w:type="pct"/>
            <w:tcBorders>
              <w:top w:val="single" w:sz="12" w:space="0" w:color="auto"/>
            </w:tcBorders>
            <w:shd w:val="clear" w:color="auto" w:fill="auto"/>
          </w:tcPr>
          <w:p w:rsidR="007D0030" w:rsidRPr="00E367C1" w:rsidRDefault="007D0030" w:rsidP="00EA1C31">
            <w:pPr>
              <w:pStyle w:val="Tabletext"/>
            </w:pPr>
            <w:r w:rsidRPr="00E367C1">
              <w:t>1</w:t>
            </w:r>
          </w:p>
        </w:tc>
        <w:tc>
          <w:tcPr>
            <w:tcW w:w="1032" w:type="pct"/>
            <w:tcBorders>
              <w:top w:val="single" w:sz="12" w:space="0" w:color="auto"/>
            </w:tcBorders>
            <w:shd w:val="clear" w:color="auto" w:fill="auto"/>
          </w:tcPr>
          <w:p w:rsidR="007D0030" w:rsidRPr="00E367C1" w:rsidRDefault="007D0030" w:rsidP="00EA1C31">
            <w:pPr>
              <w:pStyle w:val="Tabletext"/>
            </w:pPr>
            <w:r w:rsidRPr="00E367C1">
              <w:t>IN1 application</w:t>
            </w:r>
          </w:p>
        </w:tc>
        <w:tc>
          <w:tcPr>
            <w:tcW w:w="1315" w:type="pct"/>
            <w:tcBorders>
              <w:top w:val="single" w:sz="12" w:space="0" w:color="auto"/>
            </w:tcBorders>
            <w:shd w:val="clear" w:color="auto" w:fill="auto"/>
          </w:tcPr>
          <w:p w:rsidR="007D0030" w:rsidRPr="00E367C1" w:rsidRDefault="007D0030" w:rsidP="00EA1C31">
            <w:pPr>
              <w:pStyle w:val="Tabletext"/>
            </w:pPr>
            <w:r w:rsidRPr="00E367C1">
              <w:t>Within 40 working days after the Secretary receives the application</w:t>
            </w:r>
          </w:p>
        </w:tc>
        <w:tc>
          <w:tcPr>
            <w:tcW w:w="2262" w:type="pct"/>
            <w:tcBorders>
              <w:top w:val="single" w:sz="12" w:space="0" w:color="auto"/>
            </w:tcBorders>
            <w:shd w:val="clear" w:color="auto" w:fill="auto"/>
          </w:tcPr>
          <w:p w:rsidR="001452DF" w:rsidRPr="00E367C1" w:rsidRDefault="00F21F7F" w:rsidP="004A283C">
            <w:pPr>
              <w:pStyle w:val="Tabletext"/>
            </w:pPr>
            <w:r w:rsidRPr="00E367C1">
              <w:t>The period of</w:t>
            </w:r>
            <w:r w:rsidR="007D0030" w:rsidRPr="00E367C1">
              <w:t xml:space="preserve"> 70 working days </w:t>
            </w:r>
            <w:r w:rsidRPr="00E367C1">
              <w:t xml:space="preserve">beginning on </w:t>
            </w:r>
            <w:r w:rsidR="007D0030" w:rsidRPr="00E367C1">
              <w:t xml:space="preserve">the </w:t>
            </w:r>
            <w:r w:rsidR="001452DF" w:rsidRPr="00E367C1">
              <w:t>later of the following days:</w:t>
            </w:r>
          </w:p>
          <w:p w:rsidR="001452DF" w:rsidRPr="00E367C1" w:rsidRDefault="001452DF" w:rsidP="001452DF">
            <w:pPr>
              <w:pStyle w:val="Tablea"/>
            </w:pPr>
            <w:r w:rsidRPr="00E367C1">
              <w:t>(a) the day the Secretary notifies the applicant that the application has passed preliminary assessment;</w:t>
            </w:r>
          </w:p>
          <w:p w:rsidR="007D0030" w:rsidRPr="00E367C1" w:rsidRDefault="001452DF" w:rsidP="00780CB0">
            <w:pPr>
              <w:pStyle w:val="Tablea"/>
            </w:pPr>
            <w:r w:rsidRPr="00E367C1">
              <w:t xml:space="preserve">(b) the day the </w:t>
            </w:r>
            <w:r w:rsidR="004A283C" w:rsidRPr="00E367C1">
              <w:t xml:space="preserve">evaluation fee </w:t>
            </w:r>
            <w:r w:rsidR="00780CB0" w:rsidRPr="00E367C1">
              <w:t>is</w:t>
            </w:r>
            <w:r w:rsidR="004A283C" w:rsidRPr="00E367C1">
              <w:t xml:space="preserve"> paid</w:t>
            </w:r>
            <w:r w:rsidR="00780CB0" w:rsidRPr="00E367C1">
              <w:t xml:space="preserve"> for the application</w:t>
            </w:r>
          </w:p>
        </w:tc>
      </w:tr>
      <w:tr w:rsidR="007D0030" w:rsidRPr="00E367C1" w:rsidTr="00EA1C31">
        <w:tc>
          <w:tcPr>
            <w:tcW w:w="391" w:type="pct"/>
            <w:shd w:val="clear" w:color="auto" w:fill="auto"/>
          </w:tcPr>
          <w:p w:rsidR="007D0030" w:rsidRPr="00E367C1" w:rsidRDefault="007D0030" w:rsidP="00EA1C31">
            <w:pPr>
              <w:pStyle w:val="Tabletext"/>
            </w:pPr>
            <w:r w:rsidRPr="00E367C1">
              <w:t>2</w:t>
            </w:r>
          </w:p>
        </w:tc>
        <w:tc>
          <w:tcPr>
            <w:tcW w:w="1032" w:type="pct"/>
            <w:shd w:val="clear" w:color="auto" w:fill="auto"/>
          </w:tcPr>
          <w:p w:rsidR="007D0030" w:rsidRPr="00E367C1" w:rsidRDefault="007D0030" w:rsidP="00EA1C31">
            <w:pPr>
              <w:pStyle w:val="Tabletext"/>
            </w:pPr>
            <w:r w:rsidRPr="00E367C1">
              <w:t>IN2 application</w:t>
            </w:r>
          </w:p>
        </w:tc>
        <w:tc>
          <w:tcPr>
            <w:tcW w:w="1315" w:type="pct"/>
            <w:shd w:val="clear" w:color="auto" w:fill="auto"/>
          </w:tcPr>
          <w:p w:rsidR="007D0030" w:rsidRPr="00E367C1" w:rsidRDefault="007D0030" w:rsidP="00EA1C31">
            <w:pPr>
              <w:pStyle w:val="Tabletext"/>
            </w:pPr>
            <w:r w:rsidRPr="00E367C1">
              <w:t>Within 40 working days after the Secretary receives the application</w:t>
            </w:r>
          </w:p>
        </w:tc>
        <w:tc>
          <w:tcPr>
            <w:tcW w:w="2262" w:type="pct"/>
            <w:shd w:val="clear" w:color="auto" w:fill="auto"/>
          </w:tcPr>
          <w:p w:rsidR="007D0030" w:rsidRPr="00E367C1" w:rsidRDefault="00F21F7F" w:rsidP="00EA1C31">
            <w:pPr>
              <w:pStyle w:val="Tabletext"/>
            </w:pPr>
            <w:r w:rsidRPr="00E367C1">
              <w:t>The period of 120 working days beginning on the later of the following days</w:t>
            </w:r>
            <w:r w:rsidR="00391832" w:rsidRPr="00E367C1">
              <w:t>:</w:t>
            </w:r>
          </w:p>
          <w:p w:rsidR="00391832" w:rsidRPr="00E367C1" w:rsidRDefault="00391832" w:rsidP="00391832">
            <w:pPr>
              <w:pStyle w:val="Tablea"/>
            </w:pPr>
            <w:r w:rsidRPr="00E367C1">
              <w:t>(a) the day the Secretary notifies the applicant that the application has passed preliminary assessment;</w:t>
            </w:r>
          </w:p>
          <w:p w:rsidR="00391832" w:rsidRPr="00E367C1" w:rsidRDefault="00780CB0" w:rsidP="00780CB0">
            <w:pPr>
              <w:pStyle w:val="Tablea"/>
            </w:pPr>
            <w:r w:rsidRPr="00E367C1">
              <w:t>(b) the day the evaluation fee is paid for the application</w:t>
            </w:r>
          </w:p>
        </w:tc>
      </w:tr>
      <w:tr w:rsidR="007D0030" w:rsidRPr="00E367C1" w:rsidTr="00EA1C31">
        <w:tc>
          <w:tcPr>
            <w:tcW w:w="391" w:type="pct"/>
            <w:tcBorders>
              <w:bottom w:val="single" w:sz="2" w:space="0" w:color="auto"/>
            </w:tcBorders>
            <w:shd w:val="clear" w:color="auto" w:fill="auto"/>
          </w:tcPr>
          <w:p w:rsidR="007D0030" w:rsidRPr="00E367C1" w:rsidRDefault="007D0030" w:rsidP="00EA1C31">
            <w:pPr>
              <w:pStyle w:val="Tabletext"/>
            </w:pPr>
            <w:r w:rsidRPr="00E367C1">
              <w:t>3</w:t>
            </w:r>
          </w:p>
        </w:tc>
        <w:tc>
          <w:tcPr>
            <w:tcW w:w="1032" w:type="pct"/>
            <w:tcBorders>
              <w:bottom w:val="single" w:sz="2" w:space="0" w:color="auto"/>
            </w:tcBorders>
            <w:shd w:val="clear" w:color="auto" w:fill="auto"/>
          </w:tcPr>
          <w:p w:rsidR="007D0030" w:rsidRPr="00E367C1" w:rsidRDefault="007D0030" w:rsidP="00EA1C31">
            <w:pPr>
              <w:pStyle w:val="Tabletext"/>
            </w:pPr>
            <w:r w:rsidRPr="00E367C1">
              <w:t>IN3 application</w:t>
            </w:r>
          </w:p>
        </w:tc>
        <w:tc>
          <w:tcPr>
            <w:tcW w:w="1315" w:type="pct"/>
            <w:tcBorders>
              <w:bottom w:val="single" w:sz="2" w:space="0" w:color="auto"/>
            </w:tcBorders>
            <w:shd w:val="clear" w:color="auto" w:fill="auto"/>
          </w:tcPr>
          <w:p w:rsidR="007D0030" w:rsidRPr="00E367C1" w:rsidRDefault="007D0030" w:rsidP="00EA1C31">
            <w:pPr>
              <w:pStyle w:val="Tabletext"/>
            </w:pPr>
            <w:r w:rsidRPr="00E367C1">
              <w:t>Within 40 working days after the Secretary receives the application</w:t>
            </w:r>
          </w:p>
        </w:tc>
        <w:tc>
          <w:tcPr>
            <w:tcW w:w="2262" w:type="pct"/>
            <w:tcBorders>
              <w:bottom w:val="single" w:sz="2" w:space="0" w:color="auto"/>
            </w:tcBorders>
            <w:shd w:val="clear" w:color="auto" w:fill="auto"/>
          </w:tcPr>
          <w:p w:rsidR="007D0030" w:rsidRPr="00E367C1" w:rsidRDefault="00F21F7F" w:rsidP="00EA1C31">
            <w:pPr>
              <w:pStyle w:val="Tabletext"/>
            </w:pPr>
            <w:r w:rsidRPr="00E367C1">
              <w:t>The period of 150 working days beginning on the later of the following days</w:t>
            </w:r>
            <w:r w:rsidR="00391832" w:rsidRPr="00E367C1">
              <w:t>:</w:t>
            </w:r>
          </w:p>
          <w:p w:rsidR="00391832" w:rsidRPr="00E367C1" w:rsidRDefault="00391832" w:rsidP="00391832">
            <w:pPr>
              <w:pStyle w:val="Tablea"/>
            </w:pPr>
            <w:r w:rsidRPr="00E367C1">
              <w:t>(a) the day the Secretary notifies the applicant that the application has passed preliminary assessment;</w:t>
            </w:r>
          </w:p>
          <w:p w:rsidR="00391832" w:rsidRPr="00E367C1" w:rsidRDefault="00780CB0" w:rsidP="00780CB0">
            <w:pPr>
              <w:pStyle w:val="Tablea"/>
            </w:pPr>
            <w:r w:rsidRPr="00E367C1">
              <w:t>(b) the day the evaluation fee is paid for the application</w:t>
            </w:r>
          </w:p>
        </w:tc>
      </w:tr>
      <w:tr w:rsidR="007D0030" w:rsidRPr="00E367C1" w:rsidTr="00EA1C31">
        <w:trPr>
          <w:cantSplit/>
        </w:trPr>
        <w:tc>
          <w:tcPr>
            <w:tcW w:w="391" w:type="pct"/>
            <w:tcBorders>
              <w:top w:val="single" w:sz="2" w:space="0" w:color="auto"/>
              <w:bottom w:val="single" w:sz="12" w:space="0" w:color="auto"/>
            </w:tcBorders>
            <w:shd w:val="clear" w:color="auto" w:fill="auto"/>
          </w:tcPr>
          <w:p w:rsidR="007D0030" w:rsidRPr="00E367C1" w:rsidRDefault="007D0030" w:rsidP="00EA1C31">
            <w:pPr>
              <w:pStyle w:val="Tabletext"/>
            </w:pPr>
            <w:r w:rsidRPr="00E367C1">
              <w:t>4</w:t>
            </w:r>
          </w:p>
        </w:tc>
        <w:tc>
          <w:tcPr>
            <w:tcW w:w="1032" w:type="pct"/>
            <w:tcBorders>
              <w:top w:val="single" w:sz="2" w:space="0" w:color="auto"/>
              <w:bottom w:val="single" w:sz="12" w:space="0" w:color="auto"/>
            </w:tcBorders>
            <w:shd w:val="clear" w:color="auto" w:fill="auto"/>
          </w:tcPr>
          <w:p w:rsidR="007D0030" w:rsidRPr="00E367C1" w:rsidRDefault="007D0030" w:rsidP="00EA1C31">
            <w:pPr>
              <w:pStyle w:val="Tabletext"/>
            </w:pPr>
            <w:r w:rsidRPr="00E367C1">
              <w:t>IN4 application</w:t>
            </w:r>
          </w:p>
        </w:tc>
        <w:tc>
          <w:tcPr>
            <w:tcW w:w="1315" w:type="pct"/>
            <w:tcBorders>
              <w:top w:val="single" w:sz="2" w:space="0" w:color="auto"/>
              <w:bottom w:val="single" w:sz="12" w:space="0" w:color="auto"/>
            </w:tcBorders>
            <w:shd w:val="clear" w:color="auto" w:fill="auto"/>
          </w:tcPr>
          <w:p w:rsidR="007D0030" w:rsidRPr="00E367C1" w:rsidRDefault="007D0030" w:rsidP="00EA1C31">
            <w:pPr>
              <w:pStyle w:val="Tabletext"/>
            </w:pPr>
            <w:r w:rsidRPr="00E367C1">
              <w:t>Within 40 working days after the Secretary receives the application</w:t>
            </w:r>
          </w:p>
        </w:tc>
        <w:tc>
          <w:tcPr>
            <w:tcW w:w="2262" w:type="pct"/>
            <w:tcBorders>
              <w:top w:val="single" w:sz="2" w:space="0" w:color="auto"/>
              <w:bottom w:val="single" w:sz="12" w:space="0" w:color="auto"/>
            </w:tcBorders>
            <w:shd w:val="clear" w:color="auto" w:fill="auto"/>
          </w:tcPr>
          <w:p w:rsidR="007D0030" w:rsidRPr="00E367C1" w:rsidRDefault="00F21F7F" w:rsidP="00EA1C31">
            <w:pPr>
              <w:pStyle w:val="Tabletext"/>
            </w:pPr>
            <w:r w:rsidRPr="00E367C1">
              <w:t>The period of 180 working days beginning on the later of the following days</w:t>
            </w:r>
            <w:r w:rsidR="00391832" w:rsidRPr="00E367C1">
              <w:t>:</w:t>
            </w:r>
          </w:p>
          <w:p w:rsidR="00391832" w:rsidRPr="00E367C1" w:rsidRDefault="00391832" w:rsidP="00391832">
            <w:pPr>
              <w:pStyle w:val="Tablea"/>
            </w:pPr>
            <w:r w:rsidRPr="00E367C1">
              <w:t>(a) the day the Secretary notifies the applicant that the application has passed preliminary assessment;</w:t>
            </w:r>
          </w:p>
          <w:p w:rsidR="00391832" w:rsidRPr="00E367C1" w:rsidRDefault="00780CB0" w:rsidP="00780CB0">
            <w:pPr>
              <w:pStyle w:val="Tablea"/>
            </w:pPr>
            <w:r w:rsidRPr="00E367C1">
              <w:t>(b) the day the evaluation fee is paid for the application</w:t>
            </w:r>
          </w:p>
        </w:tc>
      </w:tr>
    </w:tbl>
    <w:p w:rsidR="002525B8" w:rsidRPr="00E367C1" w:rsidRDefault="00D749B0" w:rsidP="002525B8">
      <w:pPr>
        <w:pStyle w:val="ItemHead"/>
      </w:pPr>
      <w:r w:rsidRPr="00E367C1">
        <w:t>9</w:t>
      </w:r>
      <w:r w:rsidR="002525B8" w:rsidRPr="00E367C1">
        <w:t xml:space="preserve">  After </w:t>
      </w:r>
      <w:proofErr w:type="spellStart"/>
      <w:r w:rsidR="0012767C" w:rsidRPr="00E367C1">
        <w:t>subregulation</w:t>
      </w:r>
      <w:proofErr w:type="spellEnd"/>
      <w:r w:rsidR="00E367C1" w:rsidRPr="00E367C1">
        <w:t> </w:t>
      </w:r>
      <w:r w:rsidR="0012767C" w:rsidRPr="00E367C1">
        <w:t>1</w:t>
      </w:r>
      <w:r w:rsidR="002525B8" w:rsidRPr="00E367C1">
        <w:t>6GI(1)</w:t>
      </w:r>
    </w:p>
    <w:p w:rsidR="002525B8" w:rsidRPr="00E367C1" w:rsidRDefault="002525B8" w:rsidP="002525B8">
      <w:pPr>
        <w:pStyle w:val="Item"/>
      </w:pPr>
      <w:r w:rsidRPr="00E367C1">
        <w:t>Insert:</w:t>
      </w:r>
    </w:p>
    <w:p w:rsidR="002525B8" w:rsidRPr="00E367C1" w:rsidRDefault="002525B8" w:rsidP="002525B8">
      <w:pPr>
        <w:pStyle w:val="subsection"/>
      </w:pPr>
      <w:r w:rsidRPr="00E367C1">
        <w:tab/>
        <w:t>(1A)</w:t>
      </w:r>
      <w:r w:rsidRPr="00E367C1">
        <w:tab/>
        <w:t>If:</w:t>
      </w:r>
    </w:p>
    <w:p w:rsidR="002525B8" w:rsidRPr="00E367C1" w:rsidRDefault="002525B8" w:rsidP="002525B8">
      <w:pPr>
        <w:pStyle w:val="paragraph"/>
      </w:pPr>
      <w:r w:rsidRPr="00E367C1">
        <w:tab/>
        <w:t>(a)</w:t>
      </w:r>
      <w:r w:rsidRPr="00E367C1">
        <w:tab/>
        <w:t xml:space="preserve">an application (the </w:t>
      </w:r>
      <w:r w:rsidRPr="00E367C1">
        <w:rPr>
          <w:b/>
          <w:i/>
        </w:rPr>
        <w:t>current application</w:t>
      </w:r>
      <w:r w:rsidRPr="00E367C1">
        <w:t xml:space="preserve">) is made under </w:t>
      </w:r>
      <w:r w:rsidR="0012767C" w:rsidRPr="00E367C1">
        <w:t>subsection</w:t>
      </w:r>
      <w:r w:rsidR="00E367C1" w:rsidRPr="00E367C1">
        <w:t> </w:t>
      </w:r>
      <w:r w:rsidR="0012767C" w:rsidRPr="00E367C1">
        <w:t>2</w:t>
      </w:r>
      <w:r w:rsidRPr="00E367C1">
        <w:t>6BD(1) of the Act in relation to an ingredient; and</w:t>
      </w:r>
    </w:p>
    <w:p w:rsidR="0048386C" w:rsidRPr="00E367C1" w:rsidRDefault="0048386C" w:rsidP="002525B8">
      <w:pPr>
        <w:pStyle w:val="paragraph"/>
      </w:pPr>
      <w:r w:rsidRPr="00E367C1">
        <w:tab/>
        <w:t>(b)</w:t>
      </w:r>
      <w:r w:rsidRPr="00E367C1">
        <w:tab/>
        <w:t xml:space="preserve">the Secretary gives a notice under </w:t>
      </w:r>
      <w:r w:rsidR="0012767C" w:rsidRPr="00E367C1">
        <w:t>subsection</w:t>
      </w:r>
      <w:r w:rsidR="00E367C1" w:rsidRPr="00E367C1">
        <w:t> </w:t>
      </w:r>
      <w:r w:rsidR="0012767C" w:rsidRPr="00E367C1">
        <w:t>2</w:t>
      </w:r>
      <w:r w:rsidRPr="00E367C1">
        <w:t>6BD(5) of the Act to the applicant stating that the current application has passed preliminary assessment; and</w:t>
      </w:r>
    </w:p>
    <w:p w:rsidR="008F5C2B" w:rsidRPr="00E367C1" w:rsidRDefault="0033300A" w:rsidP="008F5C2B">
      <w:pPr>
        <w:pStyle w:val="paragraph"/>
      </w:pPr>
      <w:r w:rsidRPr="00E367C1">
        <w:tab/>
        <w:t>(</w:t>
      </w:r>
      <w:r w:rsidR="0048386C" w:rsidRPr="00E367C1">
        <w:t>c</w:t>
      </w:r>
      <w:r w:rsidR="008F5C2B" w:rsidRPr="00E367C1">
        <w:t>)</w:t>
      </w:r>
      <w:r w:rsidR="008F5C2B" w:rsidRPr="00E367C1">
        <w:tab/>
        <w:t xml:space="preserve">at the time the </w:t>
      </w:r>
      <w:r w:rsidR="0048386C" w:rsidRPr="00E367C1">
        <w:t>Secretary gives the notice</w:t>
      </w:r>
      <w:r w:rsidR="008F5C2B" w:rsidRPr="00E367C1">
        <w:t xml:space="preserve">, there is no determination in force under </w:t>
      </w:r>
      <w:r w:rsidR="0012767C" w:rsidRPr="00E367C1">
        <w:t>subsection</w:t>
      </w:r>
      <w:r w:rsidR="00E367C1" w:rsidRPr="00E367C1">
        <w:t> </w:t>
      </w:r>
      <w:r w:rsidR="0012767C" w:rsidRPr="00E367C1">
        <w:t>2</w:t>
      </w:r>
      <w:r w:rsidR="008F5C2B" w:rsidRPr="00E367C1">
        <w:t>6BB(1) of the Act in relation to that ingredient; and</w:t>
      </w:r>
    </w:p>
    <w:p w:rsidR="008F5C2B" w:rsidRPr="00E367C1" w:rsidRDefault="0033300A" w:rsidP="008F5C2B">
      <w:pPr>
        <w:pStyle w:val="paragraph"/>
      </w:pPr>
      <w:r w:rsidRPr="00E367C1">
        <w:tab/>
        <w:t>(</w:t>
      </w:r>
      <w:r w:rsidR="0048386C" w:rsidRPr="00E367C1">
        <w:t>d</w:t>
      </w:r>
      <w:r w:rsidR="008F5C2B" w:rsidRPr="00E367C1">
        <w:t>)</w:t>
      </w:r>
      <w:r w:rsidR="008F5C2B" w:rsidRPr="00E367C1">
        <w:tab/>
      </w:r>
      <w:r w:rsidR="0048386C" w:rsidRPr="00E367C1">
        <w:t>at the time the Secretary gives the notice</w:t>
      </w:r>
      <w:r w:rsidR="008F5C2B" w:rsidRPr="00E367C1">
        <w:t xml:space="preserve">, there are one or more other applications (each of which is a </w:t>
      </w:r>
      <w:r w:rsidR="008F5C2B" w:rsidRPr="00E367C1">
        <w:rPr>
          <w:b/>
          <w:i/>
        </w:rPr>
        <w:t>related application</w:t>
      </w:r>
      <w:r w:rsidR="008F5C2B" w:rsidRPr="00E367C1">
        <w:t>) that:</w:t>
      </w:r>
    </w:p>
    <w:p w:rsidR="008F5C2B" w:rsidRPr="00E367C1" w:rsidRDefault="008F5C2B" w:rsidP="008F5C2B">
      <w:pPr>
        <w:pStyle w:val="paragraphsub"/>
      </w:pPr>
      <w:r w:rsidRPr="00E367C1">
        <w:tab/>
        <w:t>(i)</w:t>
      </w:r>
      <w:r w:rsidRPr="00E367C1">
        <w:tab/>
        <w:t xml:space="preserve">have </w:t>
      </w:r>
      <w:r w:rsidR="0048386C" w:rsidRPr="00E367C1">
        <w:t>al</w:t>
      </w:r>
      <w:r w:rsidR="0008791E" w:rsidRPr="00E367C1">
        <w:t>r</w:t>
      </w:r>
      <w:r w:rsidR="0048386C" w:rsidRPr="00E367C1">
        <w:t xml:space="preserve">eady </w:t>
      </w:r>
      <w:r w:rsidRPr="00E367C1">
        <w:t xml:space="preserve">been made under </w:t>
      </w:r>
      <w:r w:rsidR="0012767C" w:rsidRPr="00E367C1">
        <w:t>subsection</w:t>
      </w:r>
      <w:r w:rsidR="00E367C1" w:rsidRPr="00E367C1">
        <w:t> </w:t>
      </w:r>
      <w:r w:rsidR="0012767C" w:rsidRPr="00E367C1">
        <w:t>2</w:t>
      </w:r>
      <w:r w:rsidRPr="00E367C1">
        <w:t>6BD(1) of the Act in relation to that ingredient; and</w:t>
      </w:r>
    </w:p>
    <w:p w:rsidR="008F5C2B" w:rsidRPr="00E367C1" w:rsidRDefault="008F5C2B" w:rsidP="008F5C2B">
      <w:pPr>
        <w:pStyle w:val="paragraphsub"/>
      </w:pPr>
      <w:r w:rsidRPr="00E367C1">
        <w:tab/>
        <w:t>(ii)</w:t>
      </w:r>
      <w:r w:rsidRPr="00E367C1">
        <w:tab/>
        <w:t xml:space="preserve">have </w:t>
      </w:r>
      <w:r w:rsidR="0008791E" w:rsidRPr="00E367C1">
        <w:t>already been the subject of</w:t>
      </w:r>
      <w:r w:rsidR="0037701E" w:rsidRPr="00E367C1">
        <w:t xml:space="preserve"> notices given under </w:t>
      </w:r>
      <w:r w:rsidR="0012767C" w:rsidRPr="00E367C1">
        <w:t>subsection</w:t>
      </w:r>
      <w:r w:rsidR="00E367C1" w:rsidRPr="00E367C1">
        <w:t> </w:t>
      </w:r>
      <w:r w:rsidR="0012767C" w:rsidRPr="00E367C1">
        <w:t>2</w:t>
      </w:r>
      <w:r w:rsidR="0008791E" w:rsidRPr="00E367C1">
        <w:t>6BD(5) of the Act</w:t>
      </w:r>
      <w:r w:rsidRPr="00E367C1">
        <w:t>; and</w:t>
      </w:r>
    </w:p>
    <w:p w:rsidR="008F5C2B" w:rsidRPr="00E367C1" w:rsidRDefault="008F5C2B" w:rsidP="008F5C2B">
      <w:pPr>
        <w:pStyle w:val="paragraphsub"/>
      </w:pPr>
      <w:r w:rsidRPr="00E367C1">
        <w:tab/>
        <w:t>(</w:t>
      </w:r>
      <w:r w:rsidR="0033300A" w:rsidRPr="00E367C1">
        <w:t>i</w:t>
      </w:r>
      <w:r w:rsidR="0048386C" w:rsidRPr="00E367C1">
        <w:t>ii</w:t>
      </w:r>
      <w:r w:rsidRPr="00E367C1">
        <w:t>)</w:t>
      </w:r>
      <w:r w:rsidRPr="00E367C1">
        <w:tab/>
        <w:t>have not been finally determined;</w:t>
      </w:r>
    </w:p>
    <w:p w:rsidR="00F21F7F" w:rsidRPr="00E367C1" w:rsidRDefault="00F21F7F" w:rsidP="002525B8">
      <w:pPr>
        <w:pStyle w:val="subsection2"/>
      </w:pPr>
      <w:r w:rsidRPr="00E367C1">
        <w:t xml:space="preserve">then </w:t>
      </w:r>
      <w:r w:rsidR="003F6004" w:rsidRPr="00E367C1">
        <w:t>a decision on whether to make a recommendation on the current application must be made within the period</w:t>
      </w:r>
      <w:r w:rsidRPr="00E367C1">
        <w:t xml:space="preserve"> of:</w:t>
      </w:r>
    </w:p>
    <w:p w:rsidR="002525B8" w:rsidRPr="00E367C1" w:rsidRDefault="0048386C" w:rsidP="002525B8">
      <w:pPr>
        <w:pStyle w:val="paragraph"/>
      </w:pPr>
      <w:r w:rsidRPr="00E367C1">
        <w:tab/>
        <w:t>(e</w:t>
      </w:r>
      <w:r w:rsidR="002525B8" w:rsidRPr="00E367C1">
        <w:t>)</w:t>
      </w:r>
      <w:r w:rsidR="002525B8" w:rsidRPr="00E367C1">
        <w:tab/>
        <w:t xml:space="preserve">if the current application is an IN1 application—70 working days beginning on the </w:t>
      </w:r>
      <w:r w:rsidR="00780CB0" w:rsidRPr="00E367C1">
        <w:t xml:space="preserve">later of the </w:t>
      </w:r>
      <w:r w:rsidR="002525B8" w:rsidRPr="00E367C1">
        <w:t>start day</w:t>
      </w:r>
      <w:r w:rsidR="00780CB0" w:rsidRPr="00E367C1">
        <w:t xml:space="preserve"> and the day the evaluation fee is paid for the current application</w:t>
      </w:r>
      <w:r w:rsidR="002525B8" w:rsidRPr="00E367C1">
        <w:t>; or</w:t>
      </w:r>
    </w:p>
    <w:p w:rsidR="002525B8" w:rsidRPr="00E367C1" w:rsidRDefault="002525B8" w:rsidP="002525B8">
      <w:pPr>
        <w:pStyle w:val="paragraph"/>
      </w:pPr>
      <w:r w:rsidRPr="00E367C1">
        <w:tab/>
        <w:t>(</w:t>
      </w:r>
      <w:r w:rsidR="0048386C" w:rsidRPr="00E367C1">
        <w:t>f</w:t>
      </w:r>
      <w:r w:rsidRPr="00E367C1">
        <w:t>)</w:t>
      </w:r>
      <w:r w:rsidRPr="00E367C1">
        <w:tab/>
        <w:t xml:space="preserve">if the current application is an IN2 application—120 working days </w:t>
      </w:r>
      <w:r w:rsidR="00780CB0" w:rsidRPr="00E367C1">
        <w:t>beginning on the later of the start day and the day the evaluation fee is paid for the current application</w:t>
      </w:r>
      <w:r w:rsidRPr="00E367C1">
        <w:t>; or</w:t>
      </w:r>
    </w:p>
    <w:p w:rsidR="002525B8" w:rsidRPr="00E367C1" w:rsidRDefault="002525B8" w:rsidP="002525B8">
      <w:pPr>
        <w:pStyle w:val="paragraph"/>
      </w:pPr>
      <w:r w:rsidRPr="00E367C1">
        <w:tab/>
        <w:t>(</w:t>
      </w:r>
      <w:r w:rsidR="0048386C" w:rsidRPr="00E367C1">
        <w:t>g</w:t>
      </w:r>
      <w:r w:rsidRPr="00E367C1">
        <w:t>)</w:t>
      </w:r>
      <w:r w:rsidRPr="00E367C1">
        <w:tab/>
        <w:t xml:space="preserve">if the current application is an IN3 application—150 working days </w:t>
      </w:r>
      <w:r w:rsidR="00780CB0" w:rsidRPr="00E367C1">
        <w:t>beginning on the later of the start day and the day the evaluation fee is paid for the current application</w:t>
      </w:r>
      <w:r w:rsidRPr="00E367C1">
        <w:t>; or</w:t>
      </w:r>
    </w:p>
    <w:p w:rsidR="002525B8" w:rsidRPr="00E367C1" w:rsidRDefault="002525B8" w:rsidP="002525B8">
      <w:pPr>
        <w:pStyle w:val="paragraph"/>
      </w:pPr>
      <w:r w:rsidRPr="00E367C1">
        <w:tab/>
        <w:t>(</w:t>
      </w:r>
      <w:r w:rsidR="0048386C" w:rsidRPr="00E367C1">
        <w:t>h</w:t>
      </w:r>
      <w:r w:rsidRPr="00E367C1">
        <w:t>)</w:t>
      </w:r>
      <w:r w:rsidRPr="00E367C1">
        <w:tab/>
        <w:t xml:space="preserve">if the current application is an IN4 application—180 working days </w:t>
      </w:r>
      <w:r w:rsidR="00780CB0" w:rsidRPr="00E367C1">
        <w:t>beginning on the later of the start day and the day the evaluation fee is paid for the current application</w:t>
      </w:r>
      <w:r w:rsidRPr="00E367C1">
        <w:t>.</w:t>
      </w:r>
    </w:p>
    <w:p w:rsidR="002525B8" w:rsidRPr="00E367C1" w:rsidRDefault="002525B8" w:rsidP="002525B8">
      <w:pPr>
        <w:pStyle w:val="subsection"/>
      </w:pPr>
      <w:r w:rsidRPr="00E367C1">
        <w:tab/>
        <w:t>(1B)</w:t>
      </w:r>
      <w:r w:rsidRPr="00E367C1">
        <w:tab/>
        <w:t xml:space="preserve">For the purposes of this regulation, the </w:t>
      </w:r>
      <w:r w:rsidRPr="00E367C1">
        <w:rPr>
          <w:b/>
          <w:i/>
        </w:rPr>
        <w:t xml:space="preserve">start day </w:t>
      </w:r>
      <w:r w:rsidRPr="00E367C1">
        <w:t>is:</w:t>
      </w:r>
    </w:p>
    <w:p w:rsidR="002525B8" w:rsidRPr="00E367C1" w:rsidRDefault="002525B8" w:rsidP="002525B8">
      <w:pPr>
        <w:pStyle w:val="paragraph"/>
      </w:pPr>
      <w:r w:rsidRPr="00E367C1">
        <w:tab/>
        <w:t>(a)</w:t>
      </w:r>
      <w:r w:rsidRPr="00E367C1">
        <w:tab/>
        <w:t xml:space="preserve">the day after all the </w:t>
      </w:r>
      <w:r w:rsidR="00AE53B8" w:rsidRPr="00E367C1">
        <w:t>related</w:t>
      </w:r>
      <w:r w:rsidRPr="00E367C1">
        <w:t xml:space="preserve"> applications have been finally determined, unless </w:t>
      </w:r>
      <w:r w:rsidR="00E367C1" w:rsidRPr="00E367C1">
        <w:t>paragraph (</w:t>
      </w:r>
      <w:r w:rsidRPr="00E367C1">
        <w:t>b) applies; or</w:t>
      </w:r>
    </w:p>
    <w:p w:rsidR="002525B8" w:rsidRPr="00E367C1" w:rsidRDefault="002525B8" w:rsidP="002525B8">
      <w:pPr>
        <w:pStyle w:val="paragraph"/>
      </w:pPr>
      <w:r w:rsidRPr="00E367C1">
        <w:tab/>
        <w:t>(b)</w:t>
      </w:r>
      <w:r w:rsidRPr="00E367C1">
        <w:tab/>
        <w:t xml:space="preserve">if a determination is made under </w:t>
      </w:r>
      <w:r w:rsidR="0012767C" w:rsidRPr="00E367C1">
        <w:t>subsection</w:t>
      </w:r>
      <w:r w:rsidR="00E367C1" w:rsidRPr="00E367C1">
        <w:t> </w:t>
      </w:r>
      <w:r w:rsidR="0012767C" w:rsidRPr="00E367C1">
        <w:t>2</w:t>
      </w:r>
      <w:r w:rsidRPr="00E367C1">
        <w:t>6BB(1) of the Act in relation to the ingredient—the day on which that determination commences.</w:t>
      </w:r>
    </w:p>
    <w:p w:rsidR="002525B8" w:rsidRPr="00E367C1" w:rsidRDefault="002525B8" w:rsidP="002525B8">
      <w:pPr>
        <w:pStyle w:val="subsection"/>
      </w:pPr>
      <w:r w:rsidRPr="00E367C1">
        <w:tab/>
        <w:t>(1C)</w:t>
      </w:r>
      <w:r w:rsidRPr="00E367C1">
        <w:tab/>
        <w:t xml:space="preserve">For the purposes of this regulation, an application is </w:t>
      </w:r>
      <w:r w:rsidRPr="00E367C1">
        <w:rPr>
          <w:b/>
          <w:i/>
        </w:rPr>
        <w:t>finally determined</w:t>
      </w:r>
      <w:r w:rsidRPr="00E367C1">
        <w:t xml:space="preserve"> when the application, and any applications for review or appeals arising out of it, have been finally determined or otherwise disposed of.</w:t>
      </w:r>
    </w:p>
    <w:p w:rsidR="00FB0EA6" w:rsidRPr="00E367C1" w:rsidRDefault="00D749B0" w:rsidP="00FB0EA6">
      <w:pPr>
        <w:pStyle w:val="ItemHead"/>
      </w:pPr>
      <w:r w:rsidRPr="00E367C1">
        <w:t>10</w:t>
      </w:r>
      <w:r w:rsidR="00FB0EA6" w:rsidRPr="00E367C1">
        <w:t xml:space="preserve">  </w:t>
      </w:r>
      <w:proofErr w:type="spellStart"/>
      <w:r w:rsidR="00E832C1" w:rsidRPr="00E367C1">
        <w:t>Subregulation</w:t>
      </w:r>
      <w:proofErr w:type="spellEnd"/>
      <w:r w:rsidR="00E367C1" w:rsidRPr="00E367C1">
        <w:t> </w:t>
      </w:r>
      <w:r w:rsidR="00E832C1" w:rsidRPr="00E367C1">
        <w:t>1</w:t>
      </w:r>
      <w:r w:rsidR="00FB0EA6" w:rsidRPr="00E367C1">
        <w:t>6GI(2)</w:t>
      </w:r>
    </w:p>
    <w:p w:rsidR="00FB0EA6" w:rsidRPr="00E367C1" w:rsidRDefault="00FB0EA6" w:rsidP="00FB0EA6">
      <w:pPr>
        <w:pStyle w:val="Item"/>
      </w:pPr>
      <w:r w:rsidRPr="00E367C1">
        <w:t xml:space="preserve">Omit “A failure to decide an application mentioned in column 1 of an item of the table in </w:t>
      </w:r>
      <w:proofErr w:type="spellStart"/>
      <w:r w:rsidRPr="00E367C1">
        <w:t>subregulation</w:t>
      </w:r>
      <w:proofErr w:type="spellEnd"/>
      <w:r w:rsidR="00E367C1" w:rsidRPr="00E367C1">
        <w:t> </w:t>
      </w:r>
      <w:r w:rsidRPr="00E367C1">
        <w:t xml:space="preserve">(1) within the period mentioned in column 3 of the item”, substitute “A failure to </w:t>
      </w:r>
      <w:r w:rsidR="00F561E1" w:rsidRPr="00E367C1">
        <w:t>make a decision on whether to make a recommendation</w:t>
      </w:r>
      <w:r w:rsidR="00D13073" w:rsidRPr="00E367C1">
        <w:t xml:space="preserve"> on an applica</w:t>
      </w:r>
      <w:r w:rsidR="00F561E1" w:rsidRPr="00E367C1">
        <w:t xml:space="preserve">tion </w:t>
      </w:r>
      <w:r w:rsidRPr="00E367C1">
        <w:t>within the period applicable under this regulation”.</w:t>
      </w:r>
    </w:p>
    <w:p w:rsidR="00702288" w:rsidRPr="00E367C1" w:rsidRDefault="00D749B0" w:rsidP="00702288">
      <w:pPr>
        <w:pStyle w:val="ItemHead"/>
      </w:pPr>
      <w:r w:rsidRPr="00E367C1">
        <w:t>11</w:t>
      </w:r>
      <w:r w:rsidR="00702288" w:rsidRPr="00E367C1">
        <w:t xml:space="preserve">  </w:t>
      </w:r>
      <w:r w:rsidR="00E35D0B" w:rsidRPr="00E367C1">
        <w:t>Clause</w:t>
      </w:r>
      <w:r w:rsidR="00E367C1" w:rsidRPr="00E367C1">
        <w:t> </w:t>
      </w:r>
      <w:r w:rsidR="00E35D0B" w:rsidRPr="00E367C1">
        <w:t>5</w:t>
      </w:r>
      <w:r w:rsidR="00702288" w:rsidRPr="00E367C1">
        <w:t xml:space="preserve"> of </w:t>
      </w:r>
      <w:r w:rsidR="0005350F" w:rsidRPr="00E367C1">
        <w:t>Schedule</w:t>
      </w:r>
      <w:r w:rsidR="00E367C1" w:rsidRPr="00E367C1">
        <w:t> </w:t>
      </w:r>
      <w:r w:rsidR="0005350F" w:rsidRPr="00E367C1">
        <w:t>9</w:t>
      </w:r>
      <w:r w:rsidR="00702288" w:rsidRPr="00E367C1">
        <w:t xml:space="preserve"> (table </w:t>
      </w:r>
      <w:r w:rsidR="0005350F" w:rsidRPr="00E367C1">
        <w:t>items</w:t>
      </w:r>
      <w:r w:rsidR="00E367C1" w:rsidRPr="00E367C1">
        <w:t> </w:t>
      </w:r>
      <w:r w:rsidR="0005350F" w:rsidRPr="00E367C1">
        <w:t>2</w:t>
      </w:r>
      <w:r w:rsidR="00702288" w:rsidRPr="00E367C1">
        <w:t>8, 30, 32 and 34)</w:t>
      </w:r>
    </w:p>
    <w:p w:rsidR="00702288" w:rsidRPr="00E367C1" w:rsidRDefault="00702288" w:rsidP="00702288">
      <w:pPr>
        <w:pStyle w:val="Item"/>
      </w:pPr>
      <w:r w:rsidRPr="00E367C1">
        <w:t>Omit “</w:t>
      </w:r>
      <w:r w:rsidR="0012767C" w:rsidRPr="00E367C1">
        <w:t>paragraph</w:t>
      </w:r>
      <w:r w:rsidR="00E367C1" w:rsidRPr="00E367C1">
        <w:t> </w:t>
      </w:r>
      <w:r w:rsidR="0012767C" w:rsidRPr="00E367C1">
        <w:t>2</w:t>
      </w:r>
      <w:r w:rsidRPr="00E367C1">
        <w:t>6BE(2)(d)”, substitute “</w:t>
      </w:r>
      <w:r w:rsidR="0012767C" w:rsidRPr="00E367C1">
        <w:t>paragraph</w:t>
      </w:r>
      <w:r w:rsidR="00E367C1" w:rsidRPr="00E367C1">
        <w:t> </w:t>
      </w:r>
      <w:r w:rsidR="0012767C" w:rsidRPr="00E367C1">
        <w:t>2</w:t>
      </w:r>
      <w:r w:rsidRPr="00E367C1">
        <w:t>6BD(3)(c)”.</w:t>
      </w:r>
    </w:p>
    <w:p w:rsidR="003B2612" w:rsidRPr="00E367C1" w:rsidRDefault="0005350F" w:rsidP="003B2612">
      <w:pPr>
        <w:pStyle w:val="ActHead6"/>
        <w:pageBreakBefore/>
      </w:pPr>
      <w:bookmarkStart w:id="33" w:name="_Toc44406861"/>
      <w:r w:rsidRPr="00357BFF">
        <w:rPr>
          <w:rStyle w:val="CharAmSchNo"/>
        </w:rPr>
        <w:t>Schedule</w:t>
      </w:r>
      <w:r w:rsidR="00E367C1" w:rsidRPr="00357BFF">
        <w:rPr>
          <w:rStyle w:val="CharAmSchNo"/>
        </w:rPr>
        <w:t> </w:t>
      </w:r>
      <w:r w:rsidRPr="00357BFF">
        <w:rPr>
          <w:rStyle w:val="CharAmSchNo"/>
        </w:rPr>
        <w:t>7</w:t>
      </w:r>
      <w:r w:rsidR="003B2612" w:rsidRPr="00E367C1">
        <w:t>—</w:t>
      </w:r>
      <w:r w:rsidR="00461149" w:rsidRPr="00357BFF">
        <w:rPr>
          <w:rStyle w:val="CharAmSchText"/>
        </w:rPr>
        <w:t>I</w:t>
      </w:r>
      <w:r w:rsidR="003B2612" w:rsidRPr="00357BFF">
        <w:rPr>
          <w:rStyle w:val="CharAmSchText"/>
        </w:rPr>
        <w:t>n</w:t>
      </w:r>
      <w:r w:rsidR="00E367C1" w:rsidRPr="00357BFF">
        <w:rPr>
          <w:rStyle w:val="CharAmSchText"/>
        </w:rPr>
        <w:noBreakHyphen/>
      </w:r>
      <w:r w:rsidR="003B2612" w:rsidRPr="00357BFF">
        <w:rPr>
          <w:rStyle w:val="CharAmSchText"/>
        </w:rPr>
        <w:t xml:space="preserve">house </w:t>
      </w:r>
      <w:proofErr w:type="spellStart"/>
      <w:r w:rsidR="003B2612" w:rsidRPr="00357BFF">
        <w:rPr>
          <w:rStyle w:val="CharAmSchText"/>
        </w:rPr>
        <w:t>IVD</w:t>
      </w:r>
      <w:proofErr w:type="spellEnd"/>
      <w:r w:rsidR="003B2612" w:rsidRPr="00357BFF">
        <w:rPr>
          <w:rStyle w:val="CharAmSchText"/>
        </w:rPr>
        <w:t xml:space="preserve"> medical devices</w:t>
      </w:r>
      <w:bookmarkEnd w:id="33"/>
    </w:p>
    <w:p w:rsidR="003B2612" w:rsidRPr="00357BFF" w:rsidRDefault="003B2612" w:rsidP="003B2612">
      <w:pPr>
        <w:pStyle w:val="Header"/>
      </w:pPr>
      <w:r w:rsidRPr="00357BFF">
        <w:rPr>
          <w:rStyle w:val="CharAmPartNo"/>
        </w:rPr>
        <w:t xml:space="preserve"> </w:t>
      </w:r>
      <w:r w:rsidRPr="00357BFF">
        <w:rPr>
          <w:rStyle w:val="CharAmPartText"/>
        </w:rPr>
        <w:t xml:space="preserve"> </w:t>
      </w:r>
    </w:p>
    <w:p w:rsidR="003B2612" w:rsidRPr="00E367C1" w:rsidRDefault="003B2612" w:rsidP="003B2612">
      <w:pPr>
        <w:pStyle w:val="ActHead9"/>
      </w:pPr>
      <w:bookmarkStart w:id="34" w:name="_Toc44406862"/>
      <w:r w:rsidRPr="00E367C1">
        <w:t>Therapeutic Goods (Medical Devices) Regulations</w:t>
      </w:r>
      <w:r w:rsidR="00E367C1" w:rsidRPr="00E367C1">
        <w:t> </w:t>
      </w:r>
      <w:r w:rsidRPr="00E367C1">
        <w:t>2002</w:t>
      </w:r>
      <w:bookmarkEnd w:id="34"/>
    </w:p>
    <w:p w:rsidR="00975713" w:rsidRPr="00E367C1" w:rsidRDefault="00461149" w:rsidP="00975713">
      <w:pPr>
        <w:pStyle w:val="ItemHead"/>
      </w:pPr>
      <w:r w:rsidRPr="00E367C1">
        <w:t>1</w:t>
      </w:r>
      <w:r w:rsidR="00975713" w:rsidRPr="00E367C1">
        <w:t xml:space="preserve">  At the end of </w:t>
      </w:r>
      <w:r w:rsidR="0005350F" w:rsidRPr="00E367C1">
        <w:t>clause</w:t>
      </w:r>
      <w:r w:rsidR="00E367C1" w:rsidRPr="00E367C1">
        <w:t> </w:t>
      </w:r>
      <w:r w:rsidR="0005350F" w:rsidRPr="00E367C1">
        <w:t>6</w:t>
      </w:r>
      <w:r w:rsidR="00975713" w:rsidRPr="00E367C1">
        <w:t xml:space="preserve">B.1 of </w:t>
      </w:r>
      <w:r w:rsidR="0005350F" w:rsidRPr="00E367C1">
        <w:t>Schedule</w:t>
      </w:r>
      <w:r w:rsidR="00E367C1" w:rsidRPr="00E367C1">
        <w:t> </w:t>
      </w:r>
      <w:r w:rsidR="0005350F" w:rsidRPr="00E367C1">
        <w:t>3</w:t>
      </w:r>
    </w:p>
    <w:p w:rsidR="00975713" w:rsidRPr="00E367C1" w:rsidRDefault="00975713" w:rsidP="00975713">
      <w:pPr>
        <w:pStyle w:val="Item"/>
      </w:pPr>
      <w:r w:rsidRPr="00E367C1">
        <w:t>Add:</w:t>
      </w:r>
    </w:p>
    <w:p w:rsidR="00975713" w:rsidRPr="00E367C1" w:rsidRDefault="00975713" w:rsidP="00975713">
      <w:pPr>
        <w:pStyle w:val="paragraph"/>
      </w:pPr>
      <w:r w:rsidRPr="00E367C1">
        <w:tab/>
        <w:t>; (f)</w:t>
      </w:r>
      <w:r w:rsidRPr="00E367C1">
        <w:tab/>
        <w:t>notify the Secretary of the manufacture of certain Class 4 in</w:t>
      </w:r>
      <w:r w:rsidR="00E367C1">
        <w:noBreakHyphen/>
      </w:r>
      <w:r w:rsidRPr="00E367C1">
        <w:t xml:space="preserve">house </w:t>
      </w:r>
      <w:proofErr w:type="spellStart"/>
      <w:r w:rsidRPr="00E367C1">
        <w:t>IVD</w:t>
      </w:r>
      <w:proofErr w:type="spellEnd"/>
      <w:r w:rsidRPr="00E367C1">
        <w:t xml:space="preserve"> medical devices.</w:t>
      </w:r>
    </w:p>
    <w:p w:rsidR="00975713" w:rsidRPr="00E367C1" w:rsidRDefault="00461149" w:rsidP="00975713">
      <w:pPr>
        <w:pStyle w:val="ItemHead"/>
      </w:pPr>
      <w:r w:rsidRPr="00E367C1">
        <w:t>2</w:t>
      </w:r>
      <w:r w:rsidR="00975713" w:rsidRPr="00E367C1">
        <w:t xml:space="preserve">  At the end of </w:t>
      </w:r>
      <w:r w:rsidR="0005350F" w:rsidRPr="00E367C1">
        <w:t>Part</w:t>
      </w:r>
      <w:r w:rsidR="00E367C1" w:rsidRPr="00E367C1">
        <w:t> </w:t>
      </w:r>
      <w:r w:rsidR="0005350F" w:rsidRPr="00E367C1">
        <w:t>6</w:t>
      </w:r>
      <w:r w:rsidR="00975713" w:rsidRPr="00E367C1">
        <w:t xml:space="preserve">B of </w:t>
      </w:r>
      <w:r w:rsidR="0005350F" w:rsidRPr="00E367C1">
        <w:t>Schedule</w:t>
      </w:r>
      <w:r w:rsidR="00E367C1" w:rsidRPr="00E367C1">
        <w:t> </w:t>
      </w:r>
      <w:r w:rsidR="0005350F" w:rsidRPr="00E367C1">
        <w:t>3</w:t>
      </w:r>
    </w:p>
    <w:p w:rsidR="00975713" w:rsidRPr="00E367C1" w:rsidRDefault="00975713" w:rsidP="00975713">
      <w:pPr>
        <w:pStyle w:val="Item"/>
      </w:pPr>
      <w:r w:rsidRPr="00E367C1">
        <w:t>Add:</w:t>
      </w:r>
    </w:p>
    <w:p w:rsidR="00975713" w:rsidRPr="00E367C1" w:rsidRDefault="00975713" w:rsidP="00975713">
      <w:pPr>
        <w:pStyle w:val="ActHead5"/>
      </w:pPr>
      <w:bookmarkStart w:id="35" w:name="_Toc44406863"/>
      <w:r w:rsidRPr="00357BFF">
        <w:rPr>
          <w:rStyle w:val="CharSectno"/>
        </w:rPr>
        <w:t>6B.8</w:t>
      </w:r>
      <w:r w:rsidRPr="00E367C1">
        <w:t xml:space="preserve">  Notification of certain Class 4 in</w:t>
      </w:r>
      <w:r w:rsidR="00E367C1">
        <w:noBreakHyphen/>
      </w:r>
      <w:r w:rsidRPr="00E367C1">
        <w:t xml:space="preserve">house </w:t>
      </w:r>
      <w:proofErr w:type="spellStart"/>
      <w:r w:rsidRPr="00E367C1">
        <w:t>IVD</w:t>
      </w:r>
      <w:proofErr w:type="spellEnd"/>
      <w:r w:rsidRPr="00E367C1">
        <w:t xml:space="preserve"> medical devices being manufactured</w:t>
      </w:r>
      <w:bookmarkEnd w:id="35"/>
    </w:p>
    <w:p w:rsidR="00975713" w:rsidRPr="00E367C1" w:rsidRDefault="00975713" w:rsidP="00975713">
      <w:pPr>
        <w:pStyle w:val="subsection"/>
      </w:pPr>
      <w:r w:rsidRPr="00E367C1">
        <w:tab/>
        <w:t>(1)</w:t>
      </w:r>
      <w:r w:rsidRPr="00E367C1">
        <w:tab/>
        <w:t xml:space="preserve">The manufacturer of a </w:t>
      </w:r>
      <w:r w:rsidR="00D146CD" w:rsidRPr="00E367C1">
        <w:t xml:space="preserve">kind of </w:t>
      </w:r>
      <w:r w:rsidRPr="00E367C1">
        <w:t>Class 4 in</w:t>
      </w:r>
      <w:r w:rsidR="00E367C1">
        <w:noBreakHyphen/>
      </w:r>
      <w:r w:rsidRPr="00E367C1">
        <w:t xml:space="preserve">house </w:t>
      </w:r>
      <w:proofErr w:type="spellStart"/>
      <w:r w:rsidRPr="00E367C1">
        <w:t>IVD</w:t>
      </w:r>
      <w:proofErr w:type="spellEnd"/>
      <w:r w:rsidRPr="00E367C1">
        <w:t xml:space="preserve"> medical device that the manufacturer intends to be used to detect the presence of, or exposure to, transmissible agents in blood, stool or other specimens from a person’s body in order to assess the suitability of the person to be a donor of human stool for use in the manufacture of a faecal microbiota transplant product must notify the Secretary, in accordance with </w:t>
      </w:r>
      <w:r w:rsidR="00E367C1" w:rsidRPr="00E367C1">
        <w:t>subclauses (</w:t>
      </w:r>
      <w:r w:rsidRPr="00E367C1">
        <w:t xml:space="preserve">2) and (3), </w:t>
      </w:r>
      <w:r w:rsidR="00D146CD" w:rsidRPr="00E367C1">
        <w:t>about that kind.</w:t>
      </w:r>
    </w:p>
    <w:p w:rsidR="00975713" w:rsidRPr="00E367C1" w:rsidRDefault="00975713" w:rsidP="00975713">
      <w:pPr>
        <w:pStyle w:val="subsection"/>
      </w:pPr>
      <w:r w:rsidRPr="00E367C1">
        <w:tab/>
        <w:t>(2)</w:t>
      </w:r>
      <w:r w:rsidRPr="00E367C1">
        <w:tab/>
        <w:t xml:space="preserve">A notification under </w:t>
      </w:r>
      <w:r w:rsidR="00E367C1" w:rsidRPr="00E367C1">
        <w:t>subclause (</w:t>
      </w:r>
      <w:r w:rsidRPr="00E367C1">
        <w:t>1) must:</w:t>
      </w:r>
    </w:p>
    <w:p w:rsidR="00975713" w:rsidRPr="00E367C1" w:rsidRDefault="00975713" w:rsidP="00975713">
      <w:pPr>
        <w:pStyle w:val="paragraph"/>
      </w:pPr>
      <w:r w:rsidRPr="00E367C1">
        <w:tab/>
        <w:t>(a)</w:t>
      </w:r>
      <w:r w:rsidRPr="00E367C1">
        <w:tab/>
        <w:t>be in a form approved in writing by the Secretary; and</w:t>
      </w:r>
    </w:p>
    <w:p w:rsidR="00975713" w:rsidRPr="00E367C1" w:rsidRDefault="00975713" w:rsidP="00975713">
      <w:pPr>
        <w:pStyle w:val="paragraph"/>
      </w:pPr>
      <w:r w:rsidRPr="00E367C1">
        <w:tab/>
        <w:t>(b)</w:t>
      </w:r>
      <w:r w:rsidRPr="00E367C1">
        <w:tab/>
        <w:t>contain the information required by the form</w:t>
      </w:r>
      <w:r w:rsidR="00A801E4" w:rsidRPr="00E367C1">
        <w:t>.</w:t>
      </w:r>
    </w:p>
    <w:p w:rsidR="00975713" w:rsidRPr="00E367C1" w:rsidRDefault="00975713" w:rsidP="00975713">
      <w:pPr>
        <w:pStyle w:val="subsection"/>
      </w:pPr>
      <w:r w:rsidRPr="00E367C1">
        <w:tab/>
        <w:t>(3)</w:t>
      </w:r>
      <w:r w:rsidRPr="00E367C1">
        <w:tab/>
        <w:t xml:space="preserve">A notification under </w:t>
      </w:r>
      <w:r w:rsidR="00E367C1" w:rsidRPr="00E367C1">
        <w:t>subclause (</w:t>
      </w:r>
      <w:r w:rsidRPr="00E367C1">
        <w:t>1) must be given to the Secretary:</w:t>
      </w:r>
    </w:p>
    <w:p w:rsidR="00975713" w:rsidRPr="00E367C1" w:rsidRDefault="00975713" w:rsidP="00975713">
      <w:pPr>
        <w:pStyle w:val="paragraph"/>
      </w:pPr>
      <w:r w:rsidRPr="00E367C1">
        <w:tab/>
        <w:t>(a)</w:t>
      </w:r>
      <w:r w:rsidRPr="00E367C1">
        <w:tab/>
        <w:t xml:space="preserve">if the manufacturer manufactures </w:t>
      </w:r>
      <w:r w:rsidR="00A801E4" w:rsidRPr="00E367C1">
        <w:t>such a kind of Class 4 in</w:t>
      </w:r>
      <w:r w:rsidR="00E367C1">
        <w:noBreakHyphen/>
      </w:r>
      <w:r w:rsidR="00A801E4" w:rsidRPr="00E367C1">
        <w:t xml:space="preserve">house </w:t>
      </w:r>
      <w:proofErr w:type="spellStart"/>
      <w:r w:rsidR="00A801E4" w:rsidRPr="00E367C1">
        <w:t>IVD</w:t>
      </w:r>
      <w:proofErr w:type="spellEnd"/>
      <w:r w:rsidR="00A801E4" w:rsidRPr="00E367C1">
        <w:t xml:space="preserve"> medical device on or after the commencement of this clause and before </w:t>
      </w:r>
      <w:r w:rsidR="0005350F" w:rsidRPr="00E367C1">
        <w:t>1</w:t>
      </w:r>
      <w:r w:rsidR="00E367C1" w:rsidRPr="00E367C1">
        <w:t> </w:t>
      </w:r>
      <w:r w:rsidR="0005350F" w:rsidRPr="00E367C1">
        <w:t>July</w:t>
      </w:r>
      <w:r w:rsidR="00A801E4" w:rsidRPr="00E367C1">
        <w:t xml:space="preserve"> 2021</w:t>
      </w:r>
      <w:r w:rsidRPr="00E367C1">
        <w:t xml:space="preserve">—no later than 20 working days after </w:t>
      </w:r>
      <w:r w:rsidR="0005350F" w:rsidRPr="00E367C1">
        <w:t>1</w:t>
      </w:r>
      <w:r w:rsidR="00E367C1" w:rsidRPr="00E367C1">
        <w:t> </w:t>
      </w:r>
      <w:r w:rsidR="0005350F" w:rsidRPr="00E367C1">
        <w:t>July</w:t>
      </w:r>
      <w:r w:rsidRPr="00E367C1">
        <w:t xml:space="preserve"> 2021; </w:t>
      </w:r>
      <w:r w:rsidR="0005350F" w:rsidRPr="00E367C1">
        <w:t>and</w:t>
      </w:r>
    </w:p>
    <w:p w:rsidR="00A801E4" w:rsidRPr="00E367C1" w:rsidRDefault="00975713" w:rsidP="00A801E4">
      <w:pPr>
        <w:pStyle w:val="paragraph"/>
      </w:pPr>
      <w:r w:rsidRPr="00E367C1">
        <w:tab/>
        <w:t>(b)</w:t>
      </w:r>
      <w:r w:rsidRPr="00E367C1">
        <w:tab/>
        <w:t>if</w:t>
      </w:r>
      <w:r w:rsidR="00A801E4" w:rsidRPr="00E367C1">
        <w:t xml:space="preserve">, on or after </w:t>
      </w:r>
      <w:r w:rsidR="0005350F" w:rsidRPr="00E367C1">
        <w:t>1</w:t>
      </w:r>
      <w:r w:rsidR="00E367C1" w:rsidRPr="00E367C1">
        <w:t> </w:t>
      </w:r>
      <w:r w:rsidR="0005350F" w:rsidRPr="00E367C1">
        <w:t>July</w:t>
      </w:r>
      <w:r w:rsidR="00A801E4" w:rsidRPr="00E367C1">
        <w:t xml:space="preserve"> 2021, the manufacturer manufactures such a kind of Class 4 in</w:t>
      </w:r>
      <w:r w:rsidR="00E367C1">
        <w:noBreakHyphen/>
      </w:r>
      <w:r w:rsidR="00A801E4" w:rsidRPr="00E367C1">
        <w:t xml:space="preserve">house </w:t>
      </w:r>
      <w:proofErr w:type="spellStart"/>
      <w:r w:rsidR="00A801E4" w:rsidRPr="00E367C1">
        <w:t>IVD</w:t>
      </w:r>
      <w:proofErr w:type="spellEnd"/>
      <w:r w:rsidR="00A801E4" w:rsidRPr="00E367C1">
        <w:t xml:space="preserve"> medical device—no later than 20 working days after the manufacture.</w:t>
      </w:r>
    </w:p>
    <w:p w:rsidR="00FC26AF" w:rsidRPr="00E367C1" w:rsidRDefault="00FC26AF" w:rsidP="00FC26AF">
      <w:pPr>
        <w:pStyle w:val="subsection"/>
      </w:pPr>
      <w:r w:rsidRPr="00E367C1">
        <w:tab/>
        <w:t>(4)</w:t>
      </w:r>
      <w:r w:rsidRPr="00E367C1">
        <w:tab/>
        <w:t>Only one notification is required under this clause in relation to each kind of Class 4 in</w:t>
      </w:r>
      <w:r w:rsidR="00E367C1">
        <w:noBreakHyphen/>
      </w:r>
      <w:r w:rsidRPr="00E367C1">
        <w:t xml:space="preserve">house </w:t>
      </w:r>
      <w:proofErr w:type="spellStart"/>
      <w:r w:rsidRPr="00E367C1">
        <w:t>IVD</w:t>
      </w:r>
      <w:proofErr w:type="spellEnd"/>
      <w:r w:rsidRPr="00E367C1">
        <w:t xml:space="preserve"> medical device manufactured by a manufacturer.</w:t>
      </w:r>
    </w:p>
    <w:p w:rsidR="00461149" w:rsidRPr="00E367C1" w:rsidRDefault="00461149" w:rsidP="00CB4A15">
      <w:pPr>
        <w:pStyle w:val="ItemHead"/>
      </w:pPr>
      <w:r w:rsidRPr="00E367C1">
        <w:t>3  Part</w:t>
      </w:r>
      <w:r w:rsidR="00E367C1" w:rsidRPr="00E367C1">
        <w:t> </w:t>
      </w:r>
      <w:r w:rsidRPr="00E367C1">
        <w:t>2 of Schedule</w:t>
      </w:r>
      <w:r w:rsidR="00E367C1" w:rsidRPr="00E367C1">
        <w:t> </w:t>
      </w:r>
      <w:r w:rsidRPr="00E367C1">
        <w:t>4 (table item</w:t>
      </w:r>
      <w:r w:rsidR="00E367C1" w:rsidRPr="00E367C1">
        <w:t> </w:t>
      </w:r>
      <w:r w:rsidRPr="00E367C1">
        <w:t xml:space="preserve">2.10, column headed </w:t>
      </w:r>
      <w:bookmarkStart w:id="36" w:name="BK_S3P19L30C57"/>
      <w:bookmarkEnd w:id="36"/>
      <w:r w:rsidRPr="00E367C1">
        <w:t>“Conditions</w:t>
      </w:r>
      <w:bookmarkStart w:id="37" w:name="BK_S3P19L30C68"/>
      <w:bookmarkEnd w:id="37"/>
      <w:r w:rsidR="00C27942" w:rsidRPr="00E367C1">
        <w:t>”</w:t>
      </w:r>
      <w:r w:rsidR="00421B33" w:rsidRPr="00E367C1">
        <w:t xml:space="preserve">, </w:t>
      </w:r>
      <w:r w:rsidR="00E367C1" w:rsidRPr="00E367C1">
        <w:t>paragraph (</w:t>
      </w:r>
      <w:r w:rsidR="00421B33" w:rsidRPr="00E367C1">
        <w:t>c)</w:t>
      </w:r>
      <w:r w:rsidRPr="00E367C1">
        <w:t>)</w:t>
      </w:r>
    </w:p>
    <w:p w:rsidR="00461149" w:rsidRPr="00E367C1" w:rsidRDefault="00461149" w:rsidP="00461149">
      <w:pPr>
        <w:pStyle w:val="Item"/>
      </w:pPr>
      <w:r w:rsidRPr="00E367C1">
        <w:t>Repeal the paragraph.</w:t>
      </w:r>
    </w:p>
    <w:p w:rsidR="00461149" w:rsidRPr="00E367C1" w:rsidRDefault="00461149" w:rsidP="00461149">
      <w:pPr>
        <w:pStyle w:val="ItemHead"/>
      </w:pPr>
      <w:r w:rsidRPr="00E367C1">
        <w:t>4  Part</w:t>
      </w:r>
      <w:r w:rsidR="00E367C1" w:rsidRPr="00E367C1">
        <w:t> </w:t>
      </w:r>
      <w:r w:rsidRPr="00E367C1">
        <w:t>2 of Schedule</w:t>
      </w:r>
      <w:r w:rsidR="00E367C1" w:rsidRPr="00E367C1">
        <w:t> </w:t>
      </w:r>
      <w:r w:rsidRPr="00E367C1">
        <w:t>4 (table item</w:t>
      </w:r>
      <w:r w:rsidR="00E367C1" w:rsidRPr="00E367C1">
        <w:t> </w:t>
      </w:r>
      <w:r w:rsidRPr="00E367C1">
        <w:t xml:space="preserve">2.10, column headed </w:t>
      </w:r>
      <w:bookmarkStart w:id="38" w:name="BK_S3P19L33C57"/>
      <w:bookmarkEnd w:id="38"/>
      <w:r w:rsidRPr="00E367C1">
        <w:t>“Conditions</w:t>
      </w:r>
      <w:bookmarkStart w:id="39" w:name="BK_S3P19L33C68"/>
      <w:bookmarkEnd w:id="39"/>
      <w:r w:rsidR="00C27942" w:rsidRPr="00E367C1">
        <w:t>”</w:t>
      </w:r>
      <w:r w:rsidR="00421B33" w:rsidRPr="00E367C1">
        <w:t xml:space="preserve">, </w:t>
      </w:r>
      <w:r w:rsidR="00E367C1" w:rsidRPr="00E367C1">
        <w:t>subparagraph (</w:t>
      </w:r>
      <w:r w:rsidR="00421B33" w:rsidRPr="00E367C1">
        <w:t>e)(ii)</w:t>
      </w:r>
      <w:r w:rsidRPr="00E367C1">
        <w:t>)</w:t>
      </w:r>
    </w:p>
    <w:p w:rsidR="00461149" w:rsidRPr="00E367C1" w:rsidRDefault="00461149" w:rsidP="00461149">
      <w:pPr>
        <w:pStyle w:val="Item"/>
      </w:pPr>
      <w:r w:rsidRPr="00E367C1">
        <w:t>Omit “, the product range,”.</w:t>
      </w:r>
    </w:p>
    <w:p w:rsidR="00461149" w:rsidRPr="00E367C1" w:rsidRDefault="00461149" w:rsidP="00461149">
      <w:pPr>
        <w:pStyle w:val="ItemHead"/>
      </w:pPr>
      <w:r w:rsidRPr="00E367C1">
        <w:t>5  Part</w:t>
      </w:r>
      <w:r w:rsidR="00E367C1" w:rsidRPr="00E367C1">
        <w:t> </w:t>
      </w:r>
      <w:r w:rsidRPr="00E367C1">
        <w:t>2 of Schedule</w:t>
      </w:r>
      <w:r w:rsidR="00E367C1" w:rsidRPr="00E367C1">
        <w:t> </w:t>
      </w:r>
      <w:r w:rsidRPr="00E367C1">
        <w:t>4 (table item</w:t>
      </w:r>
      <w:r w:rsidR="00E367C1" w:rsidRPr="00E367C1">
        <w:t> </w:t>
      </w:r>
      <w:r w:rsidRPr="00E367C1">
        <w:t xml:space="preserve">2.10, column headed </w:t>
      </w:r>
      <w:bookmarkStart w:id="40" w:name="BK_S3P19L36C57"/>
      <w:bookmarkEnd w:id="40"/>
      <w:r w:rsidRPr="00E367C1">
        <w:t>“Conditions</w:t>
      </w:r>
      <w:bookmarkStart w:id="41" w:name="BK_S3P19L36C68"/>
      <w:bookmarkEnd w:id="41"/>
      <w:r w:rsidR="00C27942" w:rsidRPr="00E367C1">
        <w:t>”</w:t>
      </w:r>
      <w:r w:rsidR="005152BA" w:rsidRPr="00E367C1">
        <w:t xml:space="preserve">, </w:t>
      </w:r>
      <w:r w:rsidR="00E367C1" w:rsidRPr="00E367C1">
        <w:t>subparagraph (</w:t>
      </w:r>
      <w:r w:rsidR="005152BA" w:rsidRPr="00E367C1">
        <w:t>f)(ii)</w:t>
      </w:r>
      <w:r w:rsidRPr="00E367C1">
        <w:t>)</w:t>
      </w:r>
    </w:p>
    <w:p w:rsidR="00461149" w:rsidRPr="00E367C1" w:rsidRDefault="00461149" w:rsidP="00461149">
      <w:pPr>
        <w:pStyle w:val="Item"/>
      </w:pPr>
      <w:r w:rsidRPr="00E367C1">
        <w:t>Omit “, require tests to be conducted on or take samples of”, substitute “or require tests to be conducted on”.</w:t>
      </w:r>
    </w:p>
    <w:p w:rsidR="00CB4A15" w:rsidRPr="00E367C1" w:rsidRDefault="00461149" w:rsidP="00CB4A15">
      <w:pPr>
        <w:pStyle w:val="ItemHead"/>
      </w:pPr>
      <w:r w:rsidRPr="00E367C1">
        <w:t>6</w:t>
      </w:r>
      <w:r w:rsidR="00CB4A15" w:rsidRPr="00E367C1">
        <w:t xml:space="preserve">  </w:t>
      </w:r>
      <w:r w:rsidR="0005350F" w:rsidRPr="00E367C1">
        <w:t>Part</w:t>
      </w:r>
      <w:r w:rsidR="00E367C1" w:rsidRPr="00E367C1">
        <w:t> </w:t>
      </w:r>
      <w:r w:rsidR="0005350F" w:rsidRPr="00E367C1">
        <w:t>2</w:t>
      </w:r>
      <w:r w:rsidR="00CB4A15" w:rsidRPr="00E367C1">
        <w:t xml:space="preserve"> of </w:t>
      </w:r>
      <w:r w:rsidR="0005350F" w:rsidRPr="00E367C1">
        <w:t>Schedule</w:t>
      </w:r>
      <w:r w:rsidR="00E367C1" w:rsidRPr="00E367C1">
        <w:t> </w:t>
      </w:r>
      <w:r w:rsidR="0005350F" w:rsidRPr="00E367C1">
        <w:t>4</w:t>
      </w:r>
      <w:r w:rsidR="00CB4A15" w:rsidRPr="00E367C1">
        <w:t xml:space="preserve"> (after table </w:t>
      </w:r>
      <w:r w:rsidR="0005350F" w:rsidRPr="00E367C1">
        <w:t>item</w:t>
      </w:r>
      <w:r w:rsidR="00E367C1" w:rsidRPr="00E367C1">
        <w:t> </w:t>
      </w:r>
      <w:r w:rsidR="0005350F" w:rsidRPr="00E367C1">
        <w:t>2</w:t>
      </w:r>
      <w:r w:rsidR="00CB4A15" w:rsidRPr="00E367C1">
        <w:t>.10)</w:t>
      </w:r>
    </w:p>
    <w:p w:rsidR="00CB4A15" w:rsidRPr="00E367C1" w:rsidRDefault="00CB4A15" w:rsidP="00CB4A15">
      <w:pPr>
        <w:pStyle w:val="Item"/>
      </w:pPr>
      <w:r w:rsidRPr="00E367C1">
        <w:t>Insert:</w:t>
      </w:r>
    </w:p>
    <w:tbl>
      <w:tblPr>
        <w:tblW w:w="5000" w:type="pct"/>
        <w:tblBorders>
          <w:top w:val="single" w:sz="4" w:space="0" w:color="auto"/>
          <w:bottom w:val="single" w:sz="2" w:space="0" w:color="auto"/>
          <w:insideH w:val="single" w:sz="4" w:space="0" w:color="auto"/>
        </w:tblBorders>
        <w:tblLook w:val="0480" w:firstRow="0" w:lastRow="0" w:firstColumn="1" w:lastColumn="0" w:noHBand="0" w:noVBand="1"/>
      </w:tblPr>
      <w:tblGrid>
        <w:gridCol w:w="732"/>
        <w:gridCol w:w="3275"/>
        <w:gridCol w:w="4522"/>
      </w:tblGrid>
      <w:tr w:rsidR="00CB4A15" w:rsidRPr="00E367C1" w:rsidTr="00CB4A15">
        <w:trPr>
          <w:trHeight w:val="1335"/>
        </w:trPr>
        <w:tc>
          <w:tcPr>
            <w:tcW w:w="429" w:type="pct"/>
            <w:tcBorders>
              <w:top w:val="nil"/>
              <w:bottom w:val="nil"/>
            </w:tcBorders>
            <w:shd w:val="clear" w:color="auto" w:fill="auto"/>
          </w:tcPr>
          <w:p w:rsidR="00CB4A15" w:rsidRPr="00E367C1" w:rsidRDefault="00CB4A15" w:rsidP="00CB4A15">
            <w:pPr>
              <w:pStyle w:val="Tabletext"/>
            </w:pPr>
            <w:r w:rsidRPr="00E367C1">
              <w:t>2.10A</w:t>
            </w:r>
          </w:p>
        </w:tc>
        <w:tc>
          <w:tcPr>
            <w:tcW w:w="1920" w:type="pct"/>
            <w:tcBorders>
              <w:top w:val="nil"/>
              <w:bottom w:val="nil"/>
            </w:tcBorders>
            <w:shd w:val="clear" w:color="auto" w:fill="auto"/>
          </w:tcPr>
          <w:p w:rsidR="00CB4A15" w:rsidRPr="00E367C1" w:rsidRDefault="00040780" w:rsidP="006D3D22">
            <w:pPr>
              <w:pStyle w:val="Tabletext"/>
            </w:pPr>
            <w:r w:rsidRPr="00E367C1">
              <w:t>M</w:t>
            </w:r>
            <w:r w:rsidR="00CB4A15" w:rsidRPr="00E367C1">
              <w:t>edical device that is a Class 4 in</w:t>
            </w:r>
            <w:r w:rsidR="00E367C1">
              <w:noBreakHyphen/>
            </w:r>
            <w:r w:rsidR="00CB4A15" w:rsidRPr="00E367C1">
              <w:t xml:space="preserve">house </w:t>
            </w:r>
            <w:proofErr w:type="spellStart"/>
            <w:r w:rsidR="00CB4A15" w:rsidRPr="00E367C1">
              <w:t>IVD</w:t>
            </w:r>
            <w:proofErr w:type="spellEnd"/>
            <w:r w:rsidR="00CB4A15" w:rsidRPr="00E367C1">
              <w:t xml:space="preserve"> medical device and that is intended by its manufacturer to be used to detect the presence of, or exposure to, transmissible agents in blood, stool or other specimens from a person’s body in order to assess the suitability of the person to be a donor of human stool for use in the manufacture of a faecal microbiota transplant product</w:t>
            </w:r>
          </w:p>
        </w:tc>
        <w:tc>
          <w:tcPr>
            <w:tcW w:w="2651" w:type="pct"/>
            <w:tcBorders>
              <w:top w:val="nil"/>
              <w:bottom w:val="nil"/>
            </w:tcBorders>
            <w:shd w:val="clear" w:color="auto" w:fill="auto"/>
          </w:tcPr>
          <w:p w:rsidR="00CB4A15" w:rsidRPr="00E367C1" w:rsidRDefault="00CB4A15" w:rsidP="00CB4A15">
            <w:pPr>
              <w:pStyle w:val="Tablea"/>
            </w:pPr>
            <w:r w:rsidRPr="00E367C1">
              <w:t>(a) The device must comply with the essential principles.</w:t>
            </w:r>
          </w:p>
          <w:p w:rsidR="00CB4A15" w:rsidRPr="00E367C1" w:rsidRDefault="00CB4A15" w:rsidP="00CB4A15">
            <w:pPr>
              <w:pStyle w:val="Tablea"/>
            </w:pPr>
            <w:r w:rsidRPr="00E367C1">
              <w:t>(b) The manufacturer of the device must apply the appropriate conformity assessment procedures at all times.</w:t>
            </w:r>
          </w:p>
          <w:p w:rsidR="00CB4A15" w:rsidRPr="00E367C1" w:rsidRDefault="004443D8" w:rsidP="00CB4A15">
            <w:pPr>
              <w:pStyle w:val="Tablea"/>
            </w:pPr>
            <w:r w:rsidRPr="00E367C1">
              <w:t>(c</w:t>
            </w:r>
            <w:r w:rsidR="00CB4A15" w:rsidRPr="00E367C1">
              <w:t>) The manufacturer of the device must, on request by the Secretary, provide the following information within 20 working days of receiving the request:</w:t>
            </w:r>
          </w:p>
          <w:p w:rsidR="00CB4A15" w:rsidRPr="00E367C1" w:rsidRDefault="00CB4A15" w:rsidP="00CB4A15">
            <w:pPr>
              <w:pStyle w:val="Tablei"/>
            </w:pPr>
            <w:r w:rsidRPr="00E367C1">
              <w:t>(i) whether the device complies with the essential principles;</w:t>
            </w:r>
          </w:p>
          <w:p w:rsidR="00CB4A15" w:rsidRPr="00E367C1" w:rsidRDefault="00CB4A15" w:rsidP="00CB4A15">
            <w:pPr>
              <w:pStyle w:val="Tablei"/>
            </w:pPr>
            <w:r w:rsidRPr="00E367C1">
              <w:t>(ii) whether the conformity assessment procedures have been applied to the device;</w:t>
            </w:r>
          </w:p>
          <w:p w:rsidR="00CB4A15" w:rsidRPr="00E367C1" w:rsidRDefault="00CB4A15" w:rsidP="00CB4A15">
            <w:pPr>
              <w:pStyle w:val="Tablei"/>
            </w:pPr>
            <w:r w:rsidRPr="00E367C1">
              <w:t>(iii) whether the device complies with every requirement (if any) relating to advertising applicable under Part</w:t>
            </w:r>
            <w:r w:rsidR="00E367C1" w:rsidRPr="00E367C1">
              <w:t> </w:t>
            </w:r>
            <w:r w:rsidRPr="00E367C1">
              <w:t>5</w:t>
            </w:r>
            <w:r w:rsidR="00E367C1">
              <w:noBreakHyphen/>
            </w:r>
            <w:r w:rsidRPr="00E367C1">
              <w:t xml:space="preserve">1 of the Act or the </w:t>
            </w:r>
            <w:r w:rsidRPr="00E367C1">
              <w:rPr>
                <w:i/>
              </w:rPr>
              <w:t>Therapeutic Goods Regulations</w:t>
            </w:r>
            <w:r w:rsidR="00E367C1" w:rsidRPr="00E367C1">
              <w:rPr>
                <w:i/>
              </w:rPr>
              <w:t> </w:t>
            </w:r>
            <w:r w:rsidRPr="00E367C1">
              <w:rPr>
                <w:i/>
              </w:rPr>
              <w:t>1990</w:t>
            </w:r>
            <w:r w:rsidRPr="00E367C1">
              <w:t>.</w:t>
            </w:r>
          </w:p>
          <w:p w:rsidR="00CB4A15" w:rsidRPr="00E367C1" w:rsidRDefault="004443D8" w:rsidP="00CB4A15">
            <w:pPr>
              <w:pStyle w:val="Tablea"/>
            </w:pPr>
            <w:r w:rsidRPr="00E367C1">
              <w:t>(d</w:t>
            </w:r>
            <w:r w:rsidR="00CB4A15" w:rsidRPr="00E367C1">
              <w:t>) The manufacturer of the device must, at all times, have available:</w:t>
            </w:r>
          </w:p>
          <w:p w:rsidR="00CB4A15" w:rsidRPr="00E367C1" w:rsidRDefault="00CB4A15" w:rsidP="00CB4A15">
            <w:pPr>
              <w:pStyle w:val="Tablei"/>
            </w:pPr>
            <w:r w:rsidRPr="00E367C1">
              <w:t>(i) sufficient information to substantiate that the conformity assessment procedures have been applied to the device; or</w:t>
            </w:r>
          </w:p>
          <w:p w:rsidR="00CB4A15" w:rsidRPr="00E367C1" w:rsidRDefault="00CB4A15" w:rsidP="00CB4A15">
            <w:pPr>
              <w:pStyle w:val="Tablei"/>
            </w:pPr>
            <w:r w:rsidRPr="00E367C1">
              <w:t>(ii) information relating to changes to the device and quality management system.</w:t>
            </w:r>
          </w:p>
          <w:p w:rsidR="00CB4A15" w:rsidRPr="00E367C1" w:rsidRDefault="00CB4A15" w:rsidP="00CB4A15">
            <w:pPr>
              <w:pStyle w:val="Tablea"/>
            </w:pPr>
            <w:r w:rsidRPr="00E367C1">
              <w:t>(</w:t>
            </w:r>
            <w:r w:rsidR="004443D8" w:rsidRPr="00E367C1">
              <w:t>e</w:t>
            </w:r>
            <w:r w:rsidRPr="00E367C1">
              <w:t>) The manufacturer of the device must allow an authorised person to do any of the following:</w:t>
            </w:r>
          </w:p>
          <w:p w:rsidR="00CB4A15" w:rsidRPr="00E367C1" w:rsidRDefault="00CB4A15" w:rsidP="00CB4A15">
            <w:pPr>
              <w:pStyle w:val="Tablei"/>
            </w:pPr>
            <w:r w:rsidRPr="00E367C1">
              <w:t>(i) enter, at any reasonable time, any premises at which the manufacturer manufactures the device;</w:t>
            </w:r>
          </w:p>
          <w:p w:rsidR="00CB4A15" w:rsidRPr="00E367C1" w:rsidRDefault="00CB4A15" w:rsidP="00CB4A15">
            <w:pPr>
              <w:pStyle w:val="Tablei"/>
            </w:pPr>
            <w:r w:rsidRPr="00E367C1">
              <w:t>(ii) inspect the premises and the device, and examine, take measurements of, conduct tests on</w:t>
            </w:r>
            <w:r w:rsidR="00461149" w:rsidRPr="00E367C1">
              <w:t xml:space="preserve"> or</w:t>
            </w:r>
            <w:r w:rsidRPr="00E367C1">
              <w:t xml:space="preserve"> require tests to be conducted on the device or anything on those premises that relates to the device;</w:t>
            </w:r>
          </w:p>
          <w:p w:rsidR="00CB4A15" w:rsidRPr="00E367C1" w:rsidRDefault="00CB4A15" w:rsidP="00CB4A15">
            <w:pPr>
              <w:pStyle w:val="Tablei"/>
            </w:pPr>
            <w:r w:rsidRPr="00E367C1">
              <w:t>(iii) make any still or moving image or any recording of those premises or anything on those premises.</w:t>
            </w:r>
          </w:p>
          <w:p w:rsidR="00CB4A15" w:rsidRPr="00E367C1" w:rsidRDefault="004443D8" w:rsidP="00CB4A15">
            <w:pPr>
              <w:pStyle w:val="Tablea"/>
            </w:pPr>
            <w:r w:rsidRPr="00E367C1">
              <w:t>(f</w:t>
            </w:r>
            <w:r w:rsidR="00CB4A15" w:rsidRPr="00E367C1">
              <w:t>) If asked to do so by an authorised person, the manufacturer of the device must give to the person any documents relating to the device that the person requires and allow the person to copy the documents.</w:t>
            </w:r>
          </w:p>
          <w:p w:rsidR="00CB4A15" w:rsidRPr="00E367C1" w:rsidRDefault="004443D8" w:rsidP="00CB4A15">
            <w:pPr>
              <w:pStyle w:val="Tablea"/>
            </w:pPr>
            <w:r w:rsidRPr="00E367C1">
              <w:t>(g</w:t>
            </w:r>
            <w:r w:rsidR="00CB4A15" w:rsidRPr="00E367C1">
              <w:t>) The Secretary must not have directed that the supply of the device be stopped or should cease because the supply compromises public health and safety.</w:t>
            </w:r>
          </w:p>
        </w:tc>
      </w:tr>
    </w:tbl>
    <w:p w:rsidR="00CB4A15" w:rsidRPr="00E367C1" w:rsidRDefault="00461149" w:rsidP="00CB4A15">
      <w:pPr>
        <w:pStyle w:val="ItemHead"/>
      </w:pPr>
      <w:r w:rsidRPr="00E367C1">
        <w:t>7</w:t>
      </w:r>
      <w:r w:rsidR="00CB4A15" w:rsidRPr="00E367C1">
        <w:t xml:space="preserve">  Dictionary</w:t>
      </w:r>
    </w:p>
    <w:p w:rsidR="00CB4A15" w:rsidRPr="00E367C1" w:rsidRDefault="00CB4A15" w:rsidP="00CB4A15">
      <w:pPr>
        <w:pStyle w:val="Item"/>
      </w:pPr>
      <w:r w:rsidRPr="00E367C1">
        <w:t>Insert:</w:t>
      </w:r>
    </w:p>
    <w:p w:rsidR="00CB4A15" w:rsidRPr="00E367C1" w:rsidRDefault="00CB4A15" w:rsidP="00CB4A15">
      <w:pPr>
        <w:pStyle w:val="Definition"/>
      </w:pPr>
      <w:r w:rsidRPr="00E367C1">
        <w:rPr>
          <w:b/>
          <w:i/>
        </w:rPr>
        <w:t>faecal microbiota transplant product</w:t>
      </w:r>
      <w:r w:rsidRPr="00E367C1">
        <w:t xml:space="preserve"> means a thing that:</w:t>
      </w:r>
    </w:p>
    <w:p w:rsidR="00CB4A15" w:rsidRPr="00E367C1" w:rsidRDefault="00CB4A15" w:rsidP="00CB4A15">
      <w:pPr>
        <w:pStyle w:val="paragraph"/>
      </w:pPr>
      <w:r w:rsidRPr="00E367C1">
        <w:tab/>
        <w:t>(a)</w:t>
      </w:r>
      <w:r w:rsidRPr="00E367C1">
        <w:tab/>
        <w:t>comprises, contains or is derived from human stool; and</w:t>
      </w:r>
    </w:p>
    <w:p w:rsidR="00CB4A15" w:rsidRPr="00E367C1" w:rsidRDefault="00CB4A15" w:rsidP="00CB4A15">
      <w:pPr>
        <w:pStyle w:val="paragraph"/>
      </w:pPr>
      <w:r w:rsidRPr="00E367C1">
        <w:tab/>
        <w:t>(b)</w:t>
      </w:r>
      <w:r w:rsidRPr="00E367C1">
        <w:tab/>
        <w:t>is for introduction into a person for a therapeutic use.</w:t>
      </w:r>
    </w:p>
    <w:p w:rsidR="0043077D" w:rsidRPr="00E367C1" w:rsidRDefault="00E832C1" w:rsidP="0002359A">
      <w:pPr>
        <w:pStyle w:val="ActHead6"/>
        <w:pageBreakBefore/>
      </w:pPr>
      <w:bookmarkStart w:id="42" w:name="_Toc44406864"/>
      <w:r w:rsidRPr="00357BFF">
        <w:rPr>
          <w:rStyle w:val="CharAmSchNo"/>
        </w:rPr>
        <w:t>Schedule</w:t>
      </w:r>
      <w:r w:rsidR="00E367C1" w:rsidRPr="00357BFF">
        <w:rPr>
          <w:rStyle w:val="CharAmSchNo"/>
        </w:rPr>
        <w:t> </w:t>
      </w:r>
      <w:r w:rsidR="00975713" w:rsidRPr="00357BFF">
        <w:rPr>
          <w:rStyle w:val="CharAmSchNo"/>
        </w:rPr>
        <w:t>8</w:t>
      </w:r>
      <w:r w:rsidR="0043077D" w:rsidRPr="00E367C1">
        <w:t>—</w:t>
      </w:r>
      <w:r w:rsidR="00881DFA" w:rsidRPr="00357BFF">
        <w:rPr>
          <w:rStyle w:val="CharAmSchText"/>
        </w:rPr>
        <w:t>Changed commencement for reforms in the Therapeutic Goods Legislation Amendment</w:t>
      </w:r>
      <w:bookmarkStart w:id="43" w:name="BK_S3P22L3C44"/>
      <w:bookmarkEnd w:id="43"/>
      <w:r w:rsidR="00881DFA" w:rsidRPr="00357BFF">
        <w:rPr>
          <w:rStyle w:val="CharAmSchText"/>
        </w:rPr>
        <w:t xml:space="preserve"> (2019 Measures No.</w:t>
      </w:r>
      <w:r w:rsidR="00E367C1" w:rsidRPr="00357BFF">
        <w:rPr>
          <w:rStyle w:val="CharAmSchText"/>
        </w:rPr>
        <w:t> </w:t>
      </w:r>
      <w:r w:rsidR="00881DFA" w:rsidRPr="00357BFF">
        <w:rPr>
          <w:rStyle w:val="CharAmSchText"/>
        </w:rPr>
        <w:t>1) Regulations</w:t>
      </w:r>
      <w:r w:rsidR="00E367C1" w:rsidRPr="00357BFF">
        <w:rPr>
          <w:rStyle w:val="CharAmSchText"/>
        </w:rPr>
        <w:t> </w:t>
      </w:r>
      <w:r w:rsidR="00881DFA" w:rsidRPr="00357BFF">
        <w:rPr>
          <w:rStyle w:val="CharAmSchText"/>
        </w:rPr>
        <w:t>2019</w:t>
      </w:r>
      <w:bookmarkEnd w:id="42"/>
    </w:p>
    <w:p w:rsidR="008D19BB" w:rsidRPr="00E367C1" w:rsidRDefault="00E832C1" w:rsidP="0002359A">
      <w:pPr>
        <w:pStyle w:val="ActHead7"/>
      </w:pPr>
      <w:bookmarkStart w:id="44" w:name="_Toc44406865"/>
      <w:r w:rsidRPr="00357BFF">
        <w:rPr>
          <w:rStyle w:val="CharAmPartNo"/>
        </w:rPr>
        <w:t>Part</w:t>
      </w:r>
      <w:r w:rsidR="00E367C1" w:rsidRPr="00357BFF">
        <w:rPr>
          <w:rStyle w:val="CharAmPartNo"/>
        </w:rPr>
        <w:t> </w:t>
      </w:r>
      <w:r w:rsidRPr="00357BFF">
        <w:rPr>
          <w:rStyle w:val="CharAmPartNo"/>
        </w:rPr>
        <w:t>1</w:t>
      </w:r>
      <w:r w:rsidR="008D19BB" w:rsidRPr="00E367C1">
        <w:t>—</w:t>
      </w:r>
      <w:r w:rsidR="008D19BB" w:rsidRPr="00357BFF">
        <w:rPr>
          <w:rStyle w:val="CharAmPartText"/>
        </w:rPr>
        <w:t>Main changes</w:t>
      </w:r>
      <w:bookmarkEnd w:id="44"/>
    </w:p>
    <w:p w:rsidR="00881DFA" w:rsidRPr="00E367C1" w:rsidRDefault="00881DFA" w:rsidP="0043077D">
      <w:pPr>
        <w:pStyle w:val="ActHead9"/>
      </w:pPr>
      <w:bookmarkStart w:id="45" w:name="_Toc44406866"/>
      <w:r w:rsidRPr="00E367C1">
        <w:t>Therapeutic Goods Legislation Amendment (2019 Measures No.</w:t>
      </w:r>
      <w:r w:rsidR="00E367C1" w:rsidRPr="00E367C1">
        <w:t> </w:t>
      </w:r>
      <w:r w:rsidRPr="00E367C1">
        <w:t>1) Regulations</w:t>
      </w:r>
      <w:r w:rsidR="00E367C1" w:rsidRPr="00E367C1">
        <w:t> </w:t>
      </w:r>
      <w:r w:rsidRPr="00E367C1">
        <w:t>2019</w:t>
      </w:r>
      <w:bookmarkEnd w:id="45"/>
    </w:p>
    <w:p w:rsidR="00881DFA" w:rsidRPr="00E367C1" w:rsidRDefault="00452327" w:rsidP="00881DFA">
      <w:pPr>
        <w:pStyle w:val="ItemHead"/>
      </w:pPr>
      <w:r w:rsidRPr="00E367C1">
        <w:t>1</w:t>
      </w:r>
      <w:r w:rsidR="00881DFA" w:rsidRPr="00E367C1">
        <w:t xml:space="preserve">  </w:t>
      </w:r>
      <w:r w:rsidR="00FE690A" w:rsidRPr="00E367C1">
        <w:t>Subsection</w:t>
      </w:r>
      <w:r w:rsidR="00E367C1" w:rsidRPr="00E367C1">
        <w:t> </w:t>
      </w:r>
      <w:r w:rsidR="00FE690A" w:rsidRPr="00E367C1">
        <w:t>2</w:t>
      </w:r>
      <w:r w:rsidR="00881DFA" w:rsidRPr="00E367C1">
        <w:t xml:space="preserve">(1) (table </w:t>
      </w:r>
      <w:r w:rsidR="0005350F" w:rsidRPr="00E367C1">
        <w:t>item</w:t>
      </w:r>
      <w:r w:rsidR="00E367C1" w:rsidRPr="00E367C1">
        <w:t> </w:t>
      </w:r>
      <w:r w:rsidR="0005350F" w:rsidRPr="00E367C1">
        <w:t>2</w:t>
      </w:r>
      <w:r w:rsidR="00881DFA" w:rsidRPr="00E367C1">
        <w:t>)</w:t>
      </w:r>
    </w:p>
    <w:p w:rsidR="00881DFA" w:rsidRPr="00E367C1" w:rsidRDefault="00881DFA" w:rsidP="00881DFA">
      <w:pPr>
        <w:pStyle w:val="Item"/>
      </w:pPr>
      <w:r w:rsidRPr="00E367C1">
        <w:t>Repeal the item, substitute:</w:t>
      </w:r>
    </w:p>
    <w:tbl>
      <w:tblPr>
        <w:tblW w:w="0" w:type="auto"/>
        <w:tblInd w:w="107" w:type="dxa"/>
        <w:tblBorders>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81DFA" w:rsidRPr="00E367C1" w:rsidTr="00AC174E">
        <w:tc>
          <w:tcPr>
            <w:tcW w:w="2127" w:type="dxa"/>
            <w:shd w:val="clear" w:color="auto" w:fill="auto"/>
          </w:tcPr>
          <w:p w:rsidR="00881DFA" w:rsidRPr="00E367C1" w:rsidRDefault="00881DFA" w:rsidP="00881DFA">
            <w:pPr>
              <w:pStyle w:val="Tabletext"/>
            </w:pPr>
            <w:r w:rsidRPr="00E367C1">
              <w:t>2.  Schedule</w:t>
            </w:r>
            <w:r w:rsidR="00E367C1" w:rsidRPr="00E367C1">
              <w:t> </w:t>
            </w:r>
            <w:r w:rsidRPr="00E367C1">
              <w:t>1</w:t>
            </w:r>
          </w:p>
        </w:tc>
        <w:tc>
          <w:tcPr>
            <w:tcW w:w="4394" w:type="dxa"/>
            <w:shd w:val="clear" w:color="auto" w:fill="auto"/>
          </w:tcPr>
          <w:p w:rsidR="00881DFA" w:rsidRPr="00E367C1" w:rsidRDefault="00FE690A" w:rsidP="00881DFA">
            <w:pPr>
              <w:pStyle w:val="Tabletext"/>
            </w:pPr>
            <w:r w:rsidRPr="00E367C1">
              <w:t>25</w:t>
            </w:r>
            <w:r w:rsidR="00E367C1" w:rsidRPr="00E367C1">
              <w:t> </w:t>
            </w:r>
            <w:r w:rsidRPr="00E367C1">
              <w:t>November</w:t>
            </w:r>
            <w:r w:rsidR="00881DFA" w:rsidRPr="00E367C1">
              <w:t xml:space="preserve"> 2021.</w:t>
            </w:r>
          </w:p>
        </w:tc>
        <w:tc>
          <w:tcPr>
            <w:tcW w:w="1843" w:type="dxa"/>
            <w:shd w:val="clear" w:color="auto" w:fill="auto"/>
          </w:tcPr>
          <w:p w:rsidR="00881DFA" w:rsidRPr="00E367C1" w:rsidRDefault="00FE690A" w:rsidP="00881DFA">
            <w:pPr>
              <w:pStyle w:val="Tabletext"/>
            </w:pPr>
            <w:r w:rsidRPr="00E367C1">
              <w:t>25</w:t>
            </w:r>
            <w:r w:rsidR="00E367C1" w:rsidRPr="00E367C1">
              <w:t> </w:t>
            </w:r>
            <w:r w:rsidRPr="00E367C1">
              <w:t>November</w:t>
            </w:r>
            <w:r w:rsidR="00881DFA" w:rsidRPr="00E367C1">
              <w:t xml:space="preserve"> 2021</w:t>
            </w:r>
          </w:p>
        </w:tc>
      </w:tr>
      <w:tr w:rsidR="00881DFA" w:rsidRPr="00E367C1" w:rsidTr="00AC174E">
        <w:tc>
          <w:tcPr>
            <w:tcW w:w="2127" w:type="dxa"/>
            <w:shd w:val="clear" w:color="auto" w:fill="auto"/>
          </w:tcPr>
          <w:p w:rsidR="00881DFA" w:rsidRPr="00E367C1" w:rsidRDefault="00881DFA" w:rsidP="00881DFA">
            <w:pPr>
              <w:pStyle w:val="Tabletext"/>
            </w:pPr>
            <w:r w:rsidRPr="00E367C1">
              <w:t xml:space="preserve">2A.  </w:t>
            </w:r>
            <w:r w:rsidR="00E832C1" w:rsidRPr="00E367C1">
              <w:t>Schedules</w:t>
            </w:r>
            <w:r w:rsidR="00E367C1" w:rsidRPr="00E367C1">
              <w:t> </w:t>
            </w:r>
            <w:r w:rsidR="00E832C1" w:rsidRPr="00E367C1">
              <w:t>2</w:t>
            </w:r>
            <w:r w:rsidRPr="00E367C1">
              <w:t xml:space="preserve"> and 3</w:t>
            </w:r>
          </w:p>
        </w:tc>
        <w:tc>
          <w:tcPr>
            <w:tcW w:w="4394" w:type="dxa"/>
            <w:shd w:val="clear" w:color="auto" w:fill="auto"/>
          </w:tcPr>
          <w:p w:rsidR="00881DFA" w:rsidRPr="00E367C1" w:rsidRDefault="0012767C" w:rsidP="00881DFA">
            <w:pPr>
              <w:pStyle w:val="Tabletext"/>
            </w:pPr>
            <w:r w:rsidRPr="00E367C1">
              <w:t>25</w:t>
            </w:r>
            <w:r w:rsidR="00E367C1" w:rsidRPr="00E367C1">
              <w:t> </w:t>
            </w:r>
            <w:r w:rsidRPr="00E367C1">
              <w:t>February</w:t>
            </w:r>
            <w:r w:rsidR="00881DFA" w:rsidRPr="00E367C1">
              <w:t xml:space="preserve"> 2021.</w:t>
            </w:r>
          </w:p>
        </w:tc>
        <w:tc>
          <w:tcPr>
            <w:tcW w:w="1843" w:type="dxa"/>
            <w:shd w:val="clear" w:color="auto" w:fill="auto"/>
          </w:tcPr>
          <w:p w:rsidR="00881DFA" w:rsidRPr="00E367C1" w:rsidRDefault="0012767C" w:rsidP="00881DFA">
            <w:pPr>
              <w:pStyle w:val="Tabletext"/>
            </w:pPr>
            <w:r w:rsidRPr="00E367C1">
              <w:t>25</w:t>
            </w:r>
            <w:r w:rsidR="00E367C1" w:rsidRPr="00E367C1">
              <w:t> </w:t>
            </w:r>
            <w:r w:rsidRPr="00E367C1">
              <w:t>February</w:t>
            </w:r>
            <w:r w:rsidR="00881DFA" w:rsidRPr="00E367C1">
              <w:t xml:space="preserve"> 2021</w:t>
            </w:r>
          </w:p>
        </w:tc>
      </w:tr>
    </w:tbl>
    <w:p w:rsidR="00881DFA" w:rsidRPr="00E367C1" w:rsidRDefault="00881DFA" w:rsidP="0043077D">
      <w:pPr>
        <w:pStyle w:val="ActHead9"/>
      </w:pPr>
      <w:bookmarkStart w:id="46" w:name="_Toc44406867"/>
      <w:r w:rsidRPr="00E367C1">
        <w:t>Therapeutic Goods (Medical Devices) Regulations</w:t>
      </w:r>
      <w:r w:rsidR="00E367C1" w:rsidRPr="00E367C1">
        <w:t> </w:t>
      </w:r>
      <w:r w:rsidRPr="00E367C1">
        <w:t>2002</w:t>
      </w:r>
      <w:bookmarkEnd w:id="46"/>
    </w:p>
    <w:p w:rsidR="00881DFA" w:rsidRPr="00E367C1" w:rsidRDefault="00452327" w:rsidP="00881DFA">
      <w:pPr>
        <w:pStyle w:val="ItemHead"/>
      </w:pPr>
      <w:r w:rsidRPr="00E367C1">
        <w:t>2</w:t>
      </w:r>
      <w:r w:rsidR="00881DFA" w:rsidRPr="00E367C1">
        <w:t xml:space="preserve">  </w:t>
      </w:r>
      <w:r w:rsidR="00FE690A" w:rsidRPr="00E367C1">
        <w:t>Regulation</w:t>
      </w:r>
      <w:r w:rsidR="00E367C1" w:rsidRPr="00E367C1">
        <w:t> </w:t>
      </w:r>
      <w:r w:rsidR="00FE690A" w:rsidRPr="00E367C1">
        <w:t>1</w:t>
      </w:r>
      <w:r w:rsidR="00881DFA" w:rsidRPr="00E367C1">
        <w:t xml:space="preserve">1.39 (definition of </w:t>
      </w:r>
      <w:r w:rsidR="00881DFA" w:rsidRPr="00E367C1">
        <w:rPr>
          <w:i/>
        </w:rPr>
        <w:t>pre</w:t>
      </w:r>
      <w:r w:rsidR="00E367C1">
        <w:rPr>
          <w:i/>
        </w:rPr>
        <w:noBreakHyphen/>
      </w:r>
      <w:r w:rsidR="00881DFA" w:rsidRPr="00E367C1">
        <w:rPr>
          <w:i/>
        </w:rPr>
        <w:t>commencement entry</w:t>
      </w:r>
      <w:r w:rsidR="00881DFA" w:rsidRPr="00E367C1">
        <w:t>)</w:t>
      </w:r>
    </w:p>
    <w:p w:rsidR="00881DFA" w:rsidRPr="00E367C1" w:rsidRDefault="00881DFA" w:rsidP="00881DFA">
      <w:pPr>
        <w:pStyle w:val="Item"/>
      </w:pPr>
      <w:r w:rsidRPr="00E367C1">
        <w:t>Omit “</w:t>
      </w:r>
      <w:r w:rsidR="00FE690A" w:rsidRPr="00E367C1">
        <w:t>25</w:t>
      </w:r>
      <w:r w:rsidR="00E367C1" w:rsidRPr="00E367C1">
        <w:t> </w:t>
      </w:r>
      <w:r w:rsidR="00FE690A" w:rsidRPr="00E367C1">
        <w:t>August</w:t>
      </w:r>
      <w:r w:rsidRPr="00E367C1">
        <w:t xml:space="preserve"> 2020” (wherever occurring), substitute “</w:t>
      </w:r>
      <w:r w:rsidR="00FE690A" w:rsidRPr="00E367C1">
        <w:t>25</w:t>
      </w:r>
      <w:r w:rsidR="00E367C1" w:rsidRPr="00E367C1">
        <w:t> </w:t>
      </w:r>
      <w:r w:rsidR="00FE690A" w:rsidRPr="00E367C1">
        <w:t>November</w:t>
      </w:r>
      <w:r w:rsidRPr="00E367C1">
        <w:t xml:space="preserve"> 2021”.</w:t>
      </w:r>
    </w:p>
    <w:p w:rsidR="00881DFA" w:rsidRPr="00E367C1" w:rsidRDefault="00452327" w:rsidP="0012767C">
      <w:pPr>
        <w:pStyle w:val="ItemHead"/>
      </w:pPr>
      <w:r w:rsidRPr="00E367C1">
        <w:t>3</w:t>
      </w:r>
      <w:r w:rsidR="0012767C" w:rsidRPr="00E367C1">
        <w:t xml:space="preserve">  </w:t>
      </w:r>
      <w:r w:rsidR="00FE690A" w:rsidRPr="00E367C1">
        <w:t>Regulation</w:t>
      </w:r>
      <w:r w:rsidR="00E367C1" w:rsidRPr="00E367C1">
        <w:t> </w:t>
      </w:r>
      <w:r w:rsidR="00FE690A" w:rsidRPr="00E367C1">
        <w:t>1</w:t>
      </w:r>
      <w:r w:rsidR="0012767C" w:rsidRPr="00E367C1">
        <w:t>1.39 (</w:t>
      </w:r>
      <w:r w:rsidR="00E367C1" w:rsidRPr="00E367C1">
        <w:t>paragraphs (</w:t>
      </w:r>
      <w:r w:rsidR="0012767C" w:rsidRPr="00E367C1">
        <w:t xml:space="preserve">a) and (b) of the definition of </w:t>
      </w:r>
      <w:r w:rsidR="0012767C" w:rsidRPr="00E367C1">
        <w:rPr>
          <w:i/>
        </w:rPr>
        <w:t>transitional</w:t>
      </w:r>
      <w:bookmarkStart w:id="47" w:name="BK_S3P22L16C78"/>
      <w:bookmarkEnd w:id="47"/>
      <w:r w:rsidR="0012767C" w:rsidRPr="00E367C1">
        <w:rPr>
          <w:i/>
        </w:rPr>
        <w:t xml:space="preserve"> medical device</w:t>
      </w:r>
      <w:r w:rsidR="0012767C" w:rsidRPr="00E367C1">
        <w:t>)</w:t>
      </w:r>
    </w:p>
    <w:p w:rsidR="0012767C" w:rsidRPr="00E367C1" w:rsidRDefault="0012767C" w:rsidP="0012767C">
      <w:pPr>
        <w:pStyle w:val="Item"/>
      </w:pPr>
      <w:r w:rsidRPr="00E367C1">
        <w:t>Omit “</w:t>
      </w:r>
      <w:r w:rsidR="00FE690A" w:rsidRPr="00E367C1">
        <w:t>25</w:t>
      </w:r>
      <w:r w:rsidR="00E367C1" w:rsidRPr="00E367C1">
        <w:t> </w:t>
      </w:r>
      <w:r w:rsidR="00FE690A" w:rsidRPr="00E367C1">
        <w:t>August</w:t>
      </w:r>
      <w:r w:rsidRPr="00E367C1">
        <w:t xml:space="preserve"> 2020”, substitute “</w:t>
      </w:r>
      <w:r w:rsidR="00FE690A" w:rsidRPr="00E367C1">
        <w:t>25</w:t>
      </w:r>
      <w:r w:rsidR="00E367C1" w:rsidRPr="00E367C1">
        <w:t> </w:t>
      </w:r>
      <w:r w:rsidR="00FE690A" w:rsidRPr="00E367C1">
        <w:t>November</w:t>
      </w:r>
      <w:r w:rsidRPr="00E367C1">
        <w:t xml:space="preserve"> 2021”.</w:t>
      </w:r>
    </w:p>
    <w:p w:rsidR="0012767C" w:rsidRPr="00E367C1" w:rsidRDefault="00452327" w:rsidP="0012767C">
      <w:pPr>
        <w:pStyle w:val="ItemHead"/>
      </w:pPr>
      <w:r w:rsidRPr="00E367C1">
        <w:t>4</w:t>
      </w:r>
      <w:r w:rsidR="0012767C" w:rsidRPr="00E367C1">
        <w:t xml:space="preserve">  </w:t>
      </w:r>
      <w:proofErr w:type="spellStart"/>
      <w:r w:rsidR="00E832C1" w:rsidRPr="00E367C1">
        <w:t>Subregulation</w:t>
      </w:r>
      <w:proofErr w:type="spellEnd"/>
      <w:r w:rsidR="00E367C1" w:rsidRPr="00E367C1">
        <w:t> </w:t>
      </w:r>
      <w:r w:rsidR="00E832C1" w:rsidRPr="00E367C1">
        <w:t>1</w:t>
      </w:r>
      <w:r w:rsidR="0012767C" w:rsidRPr="00E367C1">
        <w:t>1.40(1)</w:t>
      </w:r>
    </w:p>
    <w:p w:rsidR="0012767C" w:rsidRPr="00E367C1" w:rsidRDefault="0012767C" w:rsidP="0012767C">
      <w:pPr>
        <w:pStyle w:val="Item"/>
      </w:pPr>
      <w:r w:rsidRPr="00E367C1">
        <w:t>Omit “</w:t>
      </w:r>
      <w:r w:rsidR="00FE690A" w:rsidRPr="00E367C1">
        <w:t>25</w:t>
      </w:r>
      <w:r w:rsidR="00E367C1" w:rsidRPr="00E367C1">
        <w:t> </w:t>
      </w:r>
      <w:r w:rsidR="00FE690A" w:rsidRPr="00E367C1">
        <w:t>August</w:t>
      </w:r>
      <w:r w:rsidRPr="00E367C1">
        <w:t xml:space="preserve"> 2020” (wherever occurring), substitute “</w:t>
      </w:r>
      <w:r w:rsidR="00FE690A" w:rsidRPr="00E367C1">
        <w:t>25</w:t>
      </w:r>
      <w:r w:rsidR="00E367C1" w:rsidRPr="00E367C1">
        <w:t> </w:t>
      </w:r>
      <w:r w:rsidR="00FE690A" w:rsidRPr="00E367C1">
        <w:t>November</w:t>
      </w:r>
      <w:r w:rsidRPr="00E367C1">
        <w:t xml:space="preserve"> 2021”.</w:t>
      </w:r>
    </w:p>
    <w:p w:rsidR="0012767C" w:rsidRPr="00E367C1" w:rsidRDefault="00452327" w:rsidP="007221BC">
      <w:pPr>
        <w:pStyle w:val="ItemHead"/>
      </w:pPr>
      <w:r w:rsidRPr="00E367C1">
        <w:t>5</w:t>
      </w:r>
      <w:r w:rsidR="007221BC" w:rsidRPr="00E367C1">
        <w:t xml:space="preserve">  </w:t>
      </w:r>
      <w:r w:rsidR="00FE690A" w:rsidRPr="00E367C1">
        <w:t>Subparagraph</w:t>
      </w:r>
      <w:r w:rsidR="00E367C1" w:rsidRPr="00E367C1">
        <w:t xml:space="preserve"> </w:t>
      </w:r>
      <w:r w:rsidR="00FE690A" w:rsidRPr="00E367C1">
        <w:t>1</w:t>
      </w:r>
      <w:r w:rsidR="007221BC" w:rsidRPr="00E367C1">
        <w:t>1.40(3)(a)(ii)</w:t>
      </w:r>
    </w:p>
    <w:p w:rsidR="007221BC" w:rsidRPr="00E367C1" w:rsidRDefault="007221BC" w:rsidP="007221BC">
      <w:pPr>
        <w:pStyle w:val="Item"/>
      </w:pPr>
      <w:r w:rsidRPr="00E367C1">
        <w:t>Omit “</w:t>
      </w:r>
      <w:r w:rsidR="00FE690A" w:rsidRPr="00E367C1">
        <w:t>25</w:t>
      </w:r>
      <w:r w:rsidR="00E367C1" w:rsidRPr="00E367C1">
        <w:t> </w:t>
      </w:r>
      <w:r w:rsidR="00FE690A" w:rsidRPr="00E367C1">
        <w:t>August</w:t>
      </w:r>
      <w:r w:rsidRPr="00E367C1">
        <w:t xml:space="preserve"> 2020”, substitute “</w:t>
      </w:r>
      <w:r w:rsidR="00FE690A" w:rsidRPr="00E367C1">
        <w:t>25</w:t>
      </w:r>
      <w:r w:rsidR="00E367C1" w:rsidRPr="00E367C1">
        <w:t> </w:t>
      </w:r>
      <w:r w:rsidR="00FE690A" w:rsidRPr="00E367C1">
        <w:t>November</w:t>
      </w:r>
      <w:r w:rsidRPr="00E367C1">
        <w:t xml:space="preserve"> 2021”.</w:t>
      </w:r>
    </w:p>
    <w:p w:rsidR="007221BC" w:rsidRPr="00E367C1" w:rsidRDefault="00452327" w:rsidP="009468FC">
      <w:pPr>
        <w:pStyle w:val="ItemHead"/>
      </w:pPr>
      <w:r w:rsidRPr="00E367C1">
        <w:t>6</w:t>
      </w:r>
      <w:r w:rsidR="009468FC" w:rsidRPr="00E367C1">
        <w:t xml:space="preserve">  </w:t>
      </w:r>
      <w:r w:rsidR="00FE690A" w:rsidRPr="00E367C1">
        <w:t>Subparagraph</w:t>
      </w:r>
      <w:r w:rsidR="00E367C1" w:rsidRPr="00E367C1">
        <w:t xml:space="preserve"> </w:t>
      </w:r>
      <w:r w:rsidR="00FE690A" w:rsidRPr="00E367C1">
        <w:t>1</w:t>
      </w:r>
      <w:r w:rsidR="009468FC" w:rsidRPr="00E367C1">
        <w:t>1.40(5)(b)(i)</w:t>
      </w:r>
    </w:p>
    <w:p w:rsidR="009468FC" w:rsidRPr="00E367C1" w:rsidRDefault="009468FC" w:rsidP="009468FC">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May</w:t>
      </w:r>
      <w:r w:rsidRPr="00E367C1">
        <w:t xml:space="preserve"> 2022”.</w:t>
      </w:r>
    </w:p>
    <w:p w:rsidR="009468FC" w:rsidRPr="00E367C1" w:rsidRDefault="00452327" w:rsidP="009468FC">
      <w:pPr>
        <w:pStyle w:val="ItemHead"/>
      </w:pPr>
      <w:r w:rsidRPr="00E367C1">
        <w:t>7</w:t>
      </w:r>
      <w:r w:rsidR="009468FC" w:rsidRPr="00E367C1">
        <w:t xml:space="preserve">  </w:t>
      </w:r>
      <w:r w:rsidR="00FE690A" w:rsidRPr="00E367C1">
        <w:t>Subparagraph</w:t>
      </w:r>
      <w:r w:rsidR="00E367C1" w:rsidRPr="00E367C1">
        <w:t xml:space="preserve"> </w:t>
      </w:r>
      <w:r w:rsidR="00FE690A" w:rsidRPr="00E367C1">
        <w:t>1</w:t>
      </w:r>
      <w:r w:rsidR="009468FC" w:rsidRPr="00E367C1">
        <w:t>1.41(2)(c)(i)</w:t>
      </w:r>
    </w:p>
    <w:p w:rsidR="009468FC" w:rsidRPr="00E367C1" w:rsidRDefault="009468FC" w:rsidP="009468FC">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May</w:t>
      </w:r>
      <w:r w:rsidRPr="00E367C1">
        <w:t xml:space="preserve"> 2022”.</w:t>
      </w:r>
    </w:p>
    <w:p w:rsidR="009468FC" w:rsidRPr="00E367C1" w:rsidRDefault="00452327" w:rsidP="00536FC7">
      <w:pPr>
        <w:pStyle w:val="ItemHead"/>
      </w:pPr>
      <w:r w:rsidRPr="00E367C1">
        <w:t>8</w:t>
      </w:r>
      <w:r w:rsidR="00536FC7" w:rsidRPr="00E367C1">
        <w:t xml:space="preserve">  </w:t>
      </w:r>
      <w:proofErr w:type="spellStart"/>
      <w:r w:rsidR="00E832C1" w:rsidRPr="00E367C1">
        <w:t>Subregulation</w:t>
      </w:r>
      <w:proofErr w:type="spellEnd"/>
      <w:r w:rsidR="00E367C1" w:rsidRPr="00E367C1">
        <w:t> </w:t>
      </w:r>
      <w:r w:rsidR="00E832C1" w:rsidRPr="00E367C1">
        <w:t>1</w:t>
      </w:r>
      <w:r w:rsidR="00536FC7" w:rsidRPr="00E367C1">
        <w:t>1.43(3)</w:t>
      </w:r>
    </w:p>
    <w:p w:rsidR="00536FC7" w:rsidRPr="00E367C1" w:rsidRDefault="00536FC7" w:rsidP="00536FC7">
      <w:pPr>
        <w:pStyle w:val="Item"/>
      </w:pPr>
      <w:r w:rsidRPr="00E367C1">
        <w:t>Omit “24</w:t>
      </w:r>
      <w:r w:rsidR="00E367C1" w:rsidRPr="00E367C1">
        <w:t> </w:t>
      </w:r>
      <w:r w:rsidRPr="00E367C1">
        <w:t>August 2021”, substitute “</w:t>
      </w:r>
      <w:r w:rsidR="00FE690A" w:rsidRPr="00E367C1">
        <w:t>24</w:t>
      </w:r>
      <w:r w:rsidR="00E367C1" w:rsidRPr="00E367C1">
        <w:t> </w:t>
      </w:r>
      <w:r w:rsidR="00FE690A" w:rsidRPr="00E367C1">
        <w:t>November</w:t>
      </w:r>
      <w:r w:rsidRPr="00E367C1">
        <w:t xml:space="preserve"> 2022”.</w:t>
      </w:r>
    </w:p>
    <w:p w:rsidR="00536FC7" w:rsidRPr="00E367C1" w:rsidRDefault="00452327" w:rsidP="007C22B2">
      <w:pPr>
        <w:pStyle w:val="ItemHead"/>
      </w:pPr>
      <w:r w:rsidRPr="00E367C1">
        <w:t>9</w:t>
      </w:r>
      <w:r w:rsidR="007C22B2" w:rsidRPr="00E367C1">
        <w:t xml:space="preserve">  </w:t>
      </w:r>
      <w:r w:rsidR="00FE690A" w:rsidRPr="00E367C1">
        <w:t>Regulation</w:t>
      </w:r>
      <w:r w:rsidR="00E367C1" w:rsidRPr="00E367C1">
        <w:t> </w:t>
      </w:r>
      <w:r w:rsidR="00FE690A" w:rsidRPr="00E367C1">
        <w:t>1</w:t>
      </w:r>
      <w:r w:rsidR="007C22B2" w:rsidRPr="00E367C1">
        <w:t xml:space="preserve">1.44 (definition of </w:t>
      </w:r>
      <w:r w:rsidR="007C22B2" w:rsidRPr="00E367C1">
        <w:rPr>
          <w:i/>
        </w:rPr>
        <w:t>transitional</w:t>
      </w:r>
      <w:bookmarkStart w:id="48" w:name="BK_S3P22L28C48"/>
      <w:bookmarkEnd w:id="48"/>
      <w:r w:rsidR="007C22B2" w:rsidRPr="00E367C1">
        <w:rPr>
          <w:i/>
        </w:rPr>
        <w:t xml:space="preserve"> kind of medical device</w:t>
      </w:r>
      <w:r w:rsidR="007C22B2" w:rsidRPr="00E367C1">
        <w:t>)</w:t>
      </w:r>
    </w:p>
    <w:p w:rsidR="007C22B2" w:rsidRPr="00E367C1" w:rsidRDefault="007C22B2" w:rsidP="007C22B2">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7C22B2" w:rsidRPr="00E367C1" w:rsidRDefault="00452327" w:rsidP="007C22B2">
      <w:pPr>
        <w:pStyle w:val="ItemHead"/>
      </w:pPr>
      <w:r w:rsidRPr="00E367C1">
        <w:t>10</w:t>
      </w:r>
      <w:r w:rsidR="007C22B2" w:rsidRPr="00E367C1">
        <w:t xml:space="preserve">  </w:t>
      </w:r>
      <w:proofErr w:type="spellStart"/>
      <w:r w:rsidR="00E832C1" w:rsidRPr="00E367C1">
        <w:t>Subregulation</w:t>
      </w:r>
      <w:proofErr w:type="spellEnd"/>
      <w:r w:rsidR="00E367C1" w:rsidRPr="00E367C1">
        <w:t> </w:t>
      </w:r>
      <w:r w:rsidR="00E832C1" w:rsidRPr="00E367C1">
        <w:t>1</w:t>
      </w:r>
      <w:r w:rsidR="007C22B2" w:rsidRPr="00E367C1">
        <w:t>1.45(1)</w:t>
      </w:r>
    </w:p>
    <w:p w:rsidR="007C22B2" w:rsidRPr="00E367C1" w:rsidRDefault="007C22B2" w:rsidP="007C22B2">
      <w:pPr>
        <w:pStyle w:val="Item"/>
      </w:pPr>
      <w:r w:rsidRPr="00E367C1">
        <w:t>Omit “</w:t>
      </w:r>
      <w:r w:rsidR="00FE690A" w:rsidRPr="00E367C1">
        <w:t>25</w:t>
      </w:r>
      <w:r w:rsidR="00E367C1" w:rsidRPr="00E367C1">
        <w:t> </w:t>
      </w:r>
      <w:r w:rsidR="00FE690A" w:rsidRPr="00E367C1">
        <w:t>August</w:t>
      </w:r>
      <w:r w:rsidRPr="00E367C1">
        <w:t xml:space="preserve"> 2020” (wherever occurring), substitute “25</w:t>
      </w:r>
      <w:r w:rsidR="00E367C1" w:rsidRPr="00E367C1">
        <w:t> </w:t>
      </w:r>
      <w:r w:rsidRPr="00E367C1">
        <w:t>February 2021”.</w:t>
      </w:r>
    </w:p>
    <w:p w:rsidR="007C22B2" w:rsidRPr="00E367C1" w:rsidRDefault="00452327" w:rsidP="007C22B2">
      <w:pPr>
        <w:pStyle w:val="ItemHead"/>
      </w:pPr>
      <w:r w:rsidRPr="00E367C1">
        <w:t>11</w:t>
      </w:r>
      <w:r w:rsidR="007C22B2" w:rsidRPr="00E367C1">
        <w:t xml:space="preserve">  </w:t>
      </w:r>
      <w:r w:rsidR="00FE690A" w:rsidRPr="00E367C1">
        <w:t>Subparagraph</w:t>
      </w:r>
      <w:r w:rsidR="00E367C1" w:rsidRPr="00E367C1">
        <w:t xml:space="preserve"> </w:t>
      </w:r>
      <w:r w:rsidR="00FE690A" w:rsidRPr="00E367C1">
        <w:t>1</w:t>
      </w:r>
      <w:r w:rsidR="007C22B2" w:rsidRPr="00E367C1">
        <w:t>1.45(3)(a)(ii)</w:t>
      </w:r>
    </w:p>
    <w:p w:rsidR="007C22B2" w:rsidRPr="00E367C1" w:rsidRDefault="007C22B2" w:rsidP="007C22B2">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7C22B2" w:rsidRPr="00E367C1" w:rsidRDefault="00452327" w:rsidP="007C22B2">
      <w:pPr>
        <w:pStyle w:val="ItemHead"/>
      </w:pPr>
      <w:r w:rsidRPr="00E367C1">
        <w:t>12</w:t>
      </w:r>
      <w:r w:rsidR="007C22B2" w:rsidRPr="00E367C1">
        <w:t xml:space="preserve">  </w:t>
      </w:r>
      <w:r w:rsidR="00FE690A" w:rsidRPr="00E367C1">
        <w:t>Subparagraph</w:t>
      </w:r>
      <w:r w:rsidR="00E367C1" w:rsidRPr="00E367C1">
        <w:t xml:space="preserve"> </w:t>
      </w:r>
      <w:r w:rsidR="00FE690A" w:rsidRPr="00E367C1">
        <w:t>1</w:t>
      </w:r>
      <w:r w:rsidR="007C22B2" w:rsidRPr="00E367C1">
        <w:t>1.45(5)(b)(i)</w:t>
      </w:r>
    </w:p>
    <w:p w:rsidR="007C22B2" w:rsidRPr="00E367C1" w:rsidRDefault="007C22B2" w:rsidP="007C22B2">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August</w:t>
      </w:r>
      <w:r w:rsidRPr="00E367C1">
        <w:t xml:space="preserve"> 2021”.</w:t>
      </w:r>
    </w:p>
    <w:p w:rsidR="007C22B2" w:rsidRPr="00E367C1" w:rsidRDefault="00452327" w:rsidP="007C22B2">
      <w:pPr>
        <w:pStyle w:val="ItemHead"/>
      </w:pPr>
      <w:r w:rsidRPr="00E367C1">
        <w:t>13</w:t>
      </w:r>
      <w:r w:rsidR="007C22B2" w:rsidRPr="00E367C1">
        <w:t xml:space="preserve">  </w:t>
      </w:r>
      <w:r w:rsidR="00FE690A" w:rsidRPr="00E367C1">
        <w:t>Subparagraph</w:t>
      </w:r>
      <w:r w:rsidR="00E367C1" w:rsidRPr="00E367C1">
        <w:t xml:space="preserve"> </w:t>
      </w:r>
      <w:r w:rsidR="00FE690A" w:rsidRPr="00E367C1">
        <w:t>1</w:t>
      </w:r>
      <w:r w:rsidR="007C22B2" w:rsidRPr="00E367C1">
        <w:t>1.46(2)(c)(i)</w:t>
      </w:r>
    </w:p>
    <w:p w:rsidR="007C22B2" w:rsidRPr="00E367C1" w:rsidRDefault="007C22B2" w:rsidP="007C22B2">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August</w:t>
      </w:r>
      <w:r w:rsidRPr="00E367C1">
        <w:t xml:space="preserve"> 2021”.</w:t>
      </w:r>
    </w:p>
    <w:p w:rsidR="000C72EC" w:rsidRPr="00E367C1" w:rsidRDefault="00452327" w:rsidP="000C72EC">
      <w:pPr>
        <w:pStyle w:val="ItemHead"/>
      </w:pPr>
      <w:r w:rsidRPr="00E367C1">
        <w:t>14</w:t>
      </w:r>
      <w:r w:rsidR="000C72EC" w:rsidRPr="00E367C1">
        <w:t xml:space="preserve">  </w:t>
      </w:r>
      <w:proofErr w:type="spellStart"/>
      <w:r w:rsidR="00E832C1" w:rsidRPr="00E367C1">
        <w:t>Subregulation</w:t>
      </w:r>
      <w:proofErr w:type="spellEnd"/>
      <w:r w:rsidR="00E367C1" w:rsidRPr="00E367C1">
        <w:t> </w:t>
      </w:r>
      <w:r w:rsidR="00E832C1" w:rsidRPr="00E367C1">
        <w:t>1</w:t>
      </w:r>
      <w:r w:rsidR="000C72EC" w:rsidRPr="00E367C1">
        <w:t>1.47(1)</w:t>
      </w:r>
    </w:p>
    <w:p w:rsidR="000C72EC" w:rsidRPr="00E367C1" w:rsidRDefault="000C72EC" w:rsidP="000C72EC">
      <w:pPr>
        <w:pStyle w:val="Item"/>
      </w:pPr>
      <w:r w:rsidRPr="00E367C1">
        <w:t>Omit “</w:t>
      </w:r>
      <w:r w:rsidR="00FE690A" w:rsidRPr="00E367C1">
        <w:t>25</w:t>
      </w:r>
      <w:r w:rsidR="00E367C1" w:rsidRPr="00E367C1">
        <w:t> </w:t>
      </w:r>
      <w:r w:rsidR="00FE690A" w:rsidRPr="00E367C1">
        <w:t>August</w:t>
      </w:r>
      <w:r w:rsidRPr="00E367C1">
        <w:t xml:space="preserve"> 2020” (wherever occurring), substitute “25</w:t>
      </w:r>
      <w:r w:rsidR="00E367C1" w:rsidRPr="00E367C1">
        <w:t> </w:t>
      </w:r>
      <w:r w:rsidRPr="00E367C1">
        <w:t>February 2021”.</w:t>
      </w:r>
    </w:p>
    <w:p w:rsidR="00061A21" w:rsidRPr="00E367C1" w:rsidRDefault="00452327" w:rsidP="00061A21">
      <w:pPr>
        <w:pStyle w:val="ItemHead"/>
      </w:pPr>
      <w:r w:rsidRPr="00E367C1">
        <w:t>15</w:t>
      </w:r>
      <w:r w:rsidR="00061A21" w:rsidRPr="00E367C1">
        <w:t xml:space="preserve">  </w:t>
      </w:r>
      <w:r w:rsidR="00FE690A" w:rsidRPr="00E367C1">
        <w:t>Regulation</w:t>
      </w:r>
      <w:r w:rsidR="00E367C1" w:rsidRPr="00E367C1">
        <w:t> </w:t>
      </w:r>
      <w:r w:rsidR="00FE690A" w:rsidRPr="00E367C1">
        <w:t>1</w:t>
      </w:r>
      <w:r w:rsidR="00061A21" w:rsidRPr="00E367C1">
        <w:t xml:space="preserve">1.48 (definition of </w:t>
      </w:r>
      <w:r w:rsidR="00061A21" w:rsidRPr="00E367C1">
        <w:rPr>
          <w:i/>
        </w:rPr>
        <w:t>transitional</w:t>
      </w:r>
      <w:bookmarkStart w:id="49" w:name="BK_S3P23L9C49"/>
      <w:bookmarkEnd w:id="49"/>
      <w:r w:rsidR="00061A21" w:rsidRPr="00E367C1">
        <w:rPr>
          <w:i/>
        </w:rPr>
        <w:t xml:space="preserve"> kind of medical device</w:t>
      </w:r>
      <w:r w:rsidR="00061A21" w:rsidRPr="00E367C1">
        <w:t>)</w:t>
      </w:r>
    </w:p>
    <w:p w:rsidR="00061A21" w:rsidRPr="00E367C1" w:rsidRDefault="00061A21" w:rsidP="00061A21">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061A21" w:rsidRPr="00E367C1" w:rsidRDefault="00452327" w:rsidP="00061A21">
      <w:pPr>
        <w:pStyle w:val="ItemHead"/>
      </w:pPr>
      <w:r w:rsidRPr="00E367C1">
        <w:t>16</w:t>
      </w:r>
      <w:r w:rsidR="00061A21" w:rsidRPr="00E367C1">
        <w:t xml:space="preserve">  </w:t>
      </w:r>
      <w:proofErr w:type="spellStart"/>
      <w:r w:rsidR="00FE690A" w:rsidRPr="00E367C1">
        <w:t>Subregulations</w:t>
      </w:r>
      <w:proofErr w:type="spellEnd"/>
      <w:r w:rsidR="00E367C1" w:rsidRPr="00E367C1">
        <w:t> </w:t>
      </w:r>
      <w:r w:rsidR="00FE690A" w:rsidRPr="00E367C1">
        <w:t>1</w:t>
      </w:r>
      <w:r w:rsidR="00061A21" w:rsidRPr="00E367C1">
        <w:t>1.49(1) and (2)</w:t>
      </w:r>
    </w:p>
    <w:p w:rsidR="00061A21" w:rsidRPr="00E367C1" w:rsidRDefault="00061A21" w:rsidP="00061A21">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061A21" w:rsidRPr="00E367C1" w:rsidRDefault="00452327" w:rsidP="00061A21">
      <w:pPr>
        <w:pStyle w:val="ItemHead"/>
      </w:pPr>
      <w:r w:rsidRPr="00E367C1">
        <w:t>17</w:t>
      </w:r>
      <w:r w:rsidR="00061A21" w:rsidRPr="00E367C1">
        <w:t xml:space="preserve">  </w:t>
      </w:r>
      <w:proofErr w:type="spellStart"/>
      <w:r w:rsidR="00FE690A" w:rsidRPr="00E367C1">
        <w:t>Subregulations</w:t>
      </w:r>
      <w:proofErr w:type="spellEnd"/>
      <w:r w:rsidR="00E367C1" w:rsidRPr="00E367C1">
        <w:t> </w:t>
      </w:r>
      <w:r w:rsidR="00FE690A" w:rsidRPr="00E367C1">
        <w:t>1</w:t>
      </w:r>
      <w:r w:rsidR="00061A21" w:rsidRPr="00E367C1">
        <w:t>1.50(1) and (2)</w:t>
      </w:r>
    </w:p>
    <w:p w:rsidR="00061A21" w:rsidRPr="00E367C1" w:rsidRDefault="00061A21" w:rsidP="00061A21">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061A21" w:rsidRPr="00E367C1" w:rsidRDefault="00452327" w:rsidP="00061A21">
      <w:pPr>
        <w:pStyle w:val="ItemHead"/>
      </w:pPr>
      <w:r w:rsidRPr="00E367C1">
        <w:t>18</w:t>
      </w:r>
      <w:r w:rsidR="00061A21" w:rsidRPr="00E367C1">
        <w:t xml:space="preserve">  </w:t>
      </w:r>
      <w:proofErr w:type="spellStart"/>
      <w:r w:rsidR="00FE690A" w:rsidRPr="00E367C1">
        <w:t>Subregulations</w:t>
      </w:r>
      <w:proofErr w:type="spellEnd"/>
      <w:r w:rsidR="00E367C1" w:rsidRPr="00E367C1">
        <w:t> </w:t>
      </w:r>
      <w:r w:rsidR="00FE690A" w:rsidRPr="00E367C1">
        <w:t>1</w:t>
      </w:r>
      <w:r w:rsidR="00061A21" w:rsidRPr="00E367C1">
        <w:t>1.51(1) and (2)</w:t>
      </w:r>
    </w:p>
    <w:p w:rsidR="00061A21" w:rsidRPr="00E367C1" w:rsidRDefault="00061A21" w:rsidP="00061A21">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061A21" w:rsidRPr="00E367C1" w:rsidRDefault="00452327" w:rsidP="00061A21">
      <w:pPr>
        <w:pStyle w:val="ItemHead"/>
      </w:pPr>
      <w:r w:rsidRPr="00E367C1">
        <w:t>19</w:t>
      </w:r>
      <w:r w:rsidR="00061A21" w:rsidRPr="00E367C1">
        <w:t xml:space="preserve">  Paragraphs 11.51(3)(a) and (b)</w:t>
      </w:r>
    </w:p>
    <w:p w:rsidR="00061A21" w:rsidRPr="00E367C1" w:rsidRDefault="00061A21" w:rsidP="00061A21">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AC174E" w:rsidRPr="00E367C1" w:rsidRDefault="00452327" w:rsidP="00AC174E">
      <w:pPr>
        <w:pStyle w:val="ItemHead"/>
      </w:pPr>
      <w:r w:rsidRPr="00E367C1">
        <w:t>20</w:t>
      </w:r>
      <w:r w:rsidR="00AC174E" w:rsidRPr="00E367C1">
        <w:t xml:space="preserve">  </w:t>
      </w:r>
      <w:proofErr w:type="spellStart"/>
      <w:r w:rsidR="00E832C1" w:rsidRPr="00E367C1">
        <w:t>Subregulation</w:t>
      </w:r>
      <w:proofErr w:type="spellEnd"/>
      <w:r w:rsidR="00E367C1" w:rsidRPr="00E367C1">
        <w:t> </w:t>
      </w:r>
      <w:r w:rsidR="00E832C1" w:rsidRPr="00E367C1">
        <w:t>1</w:t>
      </w:r>
      <w:r w:rsidR="00AC174E" w:rsidRPr="00E367C1">
        <w:t>1.52(1)</w:t>
      </w:r>
    </w:p>
    <w:p w:rsidR="00AC174E" w:rsidRPr="00E367C1" w:rsidRDefault="00AC174E" w:rsidP="00AC174E">
      <w:pPr>
        <w:pStyle w:val="Item"/>
      </w:pPr>
      <w:r w:rsidRPr="00E367C1">
        <w:t>Omit “</w:t>
      </w:r>
      <w:r w:rsidR="00FE690A" w:rsidRPr="00E367C1">
        <w:t>25</w:t>
      </w:r>
      <w:r w:rsidR="00E367C1" w:rsidRPr="00E367C1">
        <w:t> </w:t>
      </w:r>
      <w:r w:rsidR="00FE690A" w:rsidRPr="00E367C1">
        <w:t>August</w:t>
      </w:r>
      <w:r w:rsidRPr="00E367C1">
        <w:t xml:space="preserve"> 2020” (wherever occurring), substitute “25</w:t>
      </w:r>
      <w:r w:rsidR="00E367C1" w:rsidRPr="00E367C1">
        <w:t> </w:t>
      </w:r>
      <w:r w:rsidRPr="00E367C1">
        <w:t>February 2021”.</w:t>
      </w:r>
    </w:p>
    <w:p w:rsidR="00AC174E" w:rsidRPr="00E367C1" w:rsidRDefault="00452327" w:rsidP="00AC174E">
      <w:pPr>
        <w:pStyle w:val="ItemHead"/>
      </w:pPr>
      <w:r w:rsidRPr="00E367C1">
        <w:t>21</w:t>
      </w:r>
      <w:r w:rsidR="00AC174E" w:rsidRPr="00E367C1">
        <w:t xml:space="preserve">  </w:t>
      </w:r>
      <w:r w:rsidR="00FE690A" w:rsidRPr="00E367C1">
        <w:t>Subparagraph</w:t>
      </w:r>
      <w:r w:rsidR="00E367C1" w:rsidRPr="00E367C1">
        <w:t xml:space="preserve"> </w:t>
      </w:r>
      <w:r w:rsidR="00FE690A" w:rsidRPr="00E367C1">
        <w:t>1</w:t>
      </w:r>
      <w:r w:rsidR="00AC174E" w:rsidRPr="00E367C1">
        <w:t>1.52(3)(a)(ii)</w:t>
      </w:r>
    </w:p>
    <w:p w:rsidR="00AC174E" w:rsidRPr="00E367C1" w:rsidRDefault="00AC174E" w:rsidP="00AC174E">
      <w:pPr>
        <w:pStyle w:val="Item"/>
      </w:pPr>
      <w:r w:rsidRPr="00E367C1">
        <w:t>Omit “</w:t>
      </w:r>
      <w:r w:rsidR="00FE690A" w:rsidRPr="00E367C1">
        <w:t>25</w:t>
      </w:r>
      <w:r w:rsidR="00E367C1" w:rsidRPr="00E367C1">
        <w:t> </w:t>
      </w:r>
      <w:r w:rsidR="00FE690A" w:rsidRPr="00E367C1">
        <w:t>August</w:t>
      </w:r>
      <w:r w:rsidRPr="00E367C1">
        <w:t xml:space="preserve"> 2020”, substitute “25</w:t>
      </w:r>
      <w:r w:rsidR="00E367C1" w:rsidRPr="00E367C1">
        <w:t> </w:t>
      </w:r>
      <w:r w:rsidRPr="00E367C1">
        <w:t>February 2021”.</w:t>
      </w:r>
    </w:p>
    <w:p w:rsidR="00AC174E" w:rsidRPr="00E367C1" w:rsidRDefault="00452327" w:rsidP="00AC174E">
      <w:pPr>
        <w:pStyle w:val="ItemHead"/>
      </w:pPr>
      <w:r w:rsidRPr="00E367C1">
        <w:t>22</w:t>
      </w:r>
      <w:r w:rsidR="00AC174E" w:rsidRPr="00E367C1">
        <w:t xml:space="preserve">  </w:t>
      </w:r>
      <w:r w:rsidR="00FE690A" w:rsidRPr="00E367C1">
        <w:t>Subparagraph</w:t>
      </w:r>
      <w:r w:rsidR="00E367C1" w:rsidRPr="00E367C1">
        <w:t xml:space="preserve"> </w:t>
      </w:r>
      <w:r w:rsidR="00FE690A" w:rsidRPr="00E367C1">
        <w:t>1</w:t>
      </w:r>
      <w:r w:rsidR="00AC174E" w:rsidRPr="00E367C1">
        <w:t>1.52(5)(b)(i)</w:t>
      </w:r>
    </w:p>
    <w:p w:rsidR="00AC174E" w:rsidRPr="00E367C1" w:rsidRDefault="00AC174E" w:rsidP="00AC174E">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August</w:t>
      </w:r>
      <w:r w:rsidRPr="00E367C1">
        <w:t xml:space="preserve"> 2021”.</w:t>
      </w:r>
    </w:p>
    <w:p w:rsidR="00AC174E" w:rsidRPr="00E367C1" w:rsidRDefault="00452327" w:rsidP="00AC174E">
      <w:pPr>
        <w:pStyle w:val="ItemHead"/>
      </w:pPr>
      <w:r w:rsidRPr="00E367C1">
        <w:t>23</w:t>
      </w:r>
      <w:r w:rsidR="00AC174E" w:rsidRPr="00E367C1">
        <w:t xml:space="preserve">  </w:t>
      </w:r>
      <w:r w:rsidR="00FE690A" w:rsidRPr="00E367C1">
        <w:t>Subparagraph</w:t>
      </w:r>
      <w:r w:rsidR="00E367C1" w:rsidRPr="00E367C1">
        <w:t xml:space="preserve"> </w:t>
      </w:r>
      <w:r w:rsidR="00FE690A" w:rsidRPr="00E367C1">
        <w:t>1</w:t>
      </w:r>
      <w:r w:rsidR="00AC174E" w:rsidRPr="00E367C1">
        <w:t>1.53(5)(c)(i)</w:t>
      </w:r>
    </w:p>
    <w:p w:rsidR="00AC174E" w:rsidRPr="00E367C1" w:rsidRDefault="00AC174E" w:rsidP="00AC174E">
      <w:pPr>
        <w:pStyle w:val="Item"/>
      </w:pPr>
      <w:r w:rsidRPr="00E367C1">
        <w:t>Omit “25</w:t>
      </w:r>
      <w:r w:rsidR="00E367C1" w:rsidRPr="00E367C1">
        <w:t> </w:t>
      </w:r>
      <w:r w:rsidRPr="00E367C1">
        <w:t>February 2021”, substitute “</w:t>
      </w:r>
      <w:r w:rsidR="00FE690A" w:rsidRPr="00E367C1">
        <w:t>25</w:t>
      </w:r>
      <w:r w:rsidR="00E367C1" w:rsidRPr="00E367C1">
        <w:t> </w:t>
      </w:r>
      <w:r w:rsidR="00FE690A" w:rsidRPr="00E367C1">
        <w:t>August</w:t>
      </w:r>
      <w:r w:rsidRPr="00E367C1">
        <w:t xml:space="preserve"> 2021”.</w:t>
      </w:r>
    </w:p>
    <w:p w:rsidR="0043077D" w:rsidRPr="00E367C1" w:rsidRDefault="0043077D" w:rsidP="0043077D">
      <w:pPr>
        <w:pStyle w:val="ActHead9"/>
      </w:pPr>
      <w:bookmarkStart w:id="50" w:name="_Toc44406868"/>
      <w:r w:rsidRPr="00E367C1">
        <w:t>Therapeutic Goods Regulations</w:t>
      </w:r>
      <w:r w:rsidR="00E367C1" w:rsidRPr="00E367C1">
        <w:t> </w:t>
      </w:r>
      <w:r w:rsidRPr="00E367C1">
        <w:t>1990</w:t>
      </w:r>
      <w:bookmarkEnd w:id="50"/>
    </w:p>
    <w:p w:rsidR="0043077D" w:rsidRPr="00E367C1" w:rsidRDefault="00452327" w:rsidP="00D6487D">
      <w:pPr>
        <w:pStyle w:val="ItemHead"/>
      </w:pPr>
      <w:r w:rsidRPr="00E367C1">
        <w:t>24</w:t>
      </w:r>
      <w:r w:rsidR="0043077D" w:rsidRPr="00E367C1">
        <w:t xml:space="preserve">  </w:t>
      </w:r>
      <w:proofErr w:type="spellStart"/>
      <w:r w:rsidR="0012767C" w:rsidRPr="00E367C1">
        <w:t>Subregulation</w:t>
      </w:r>
      <w:proofErr w:type="spellEnd"/>
      <w:r w:rsidR="00E367C1" w:rsidRPr="00E367C1">
        <w:t> </w:t>
      </w:r>
      <w:r w:rsidR="0012767C" w:rsidRPr="00E367C1">
        <w:t>7</w:t>
      </w:r>
      <w:r w:rsidR="00D6487D" w:rsidRPr="00E367C1">
        <w:t>0(3)</w:t>
      </w:r>
    </w:p>
    <w:p w:rsidR="00D6487D" w:rsidRPr="00E367C1" w:rsidRDefault="00D6487D" w:rsidP="00D6487D">
      <w:pPr>
        <w:pStyle w:val="Item"/>
      </w:pPr>
      <w:r w:rsidRPr="00E367C1">
        <w:t>Omit “1</w:t>
      </w:r>
      <w:r w:rsidR="00E367C1" w:rsidRPr="00E367C1">
        <w:t> </w:t>
      </w:r>
      <w:r w:rsidRPr="00E367C1">
        <w:t>January 2021”, substitute “</w:t>
      </w:r>
      <w:r w:rsidR="0005350F" w:rsidRPr="00E367C1">
        <w:t>1</w:t>
      </w:r>
      <w:r w:rsidR="00E367C1" w:rsidRPr="00E367C1">
        <w:t> </w:t>
      </w:r>
      <w:r w:rsidR="0005350F" w:rsidRPr="00E367C1">
        <w:t>July</w:t>
      </w:r>
      <w:r w:rsidRPr="00E367C1">
        <w:t xml:space="preserve"> 2021”.</w:t>
      </w:r>
    </w:p>
    <w:p w:rsidR="00D6487D" w:rsidRPr="00E367C1" w:rsidRDefault="00452327" w:rsidP="00D6487D">
      <w:pPr>
        <w:pStyle w:val="ItemHead"/>
      </w:pPr>
      <w:r w:rsidRPr="00E367C1">
        <w:t>25</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0(4)</w:t>
      </w:r>
    </w:p>
    <w:p w:rsidR="00D6487D" w:rsidRPr="00E367C1" w:rsidRDefault="00D6487D" w:rsidP="00D6487D">
      <w:pPr>
        <w:pStyle w:val="Item"/>
      </w:pPr>
      <w:r w:rsidRPr="00E367C1">
        <w:t>Omit “31</w:t>
      </w:r>
      <w:r w:rsidR="00E367C1" w:rsidRPr="00E367C1">
        <w:t> </w:t>
      </w:r>
      <w:r w:rsidRPr="00E367C1">
        <w:t>December 2020”, substitute “</w:t>
      </w:r>
      <w:r w:rsidR="0012767C" w:rsidRPr="00E367C1">
        <w:t>30</w:t>
      </w:r>
      <w:r w:rsidR="00E367C1" w:rsidRPr="00E367C1">
        <w:t> </w:t>
      </w:r>
      <w:r w:rsidR="0012767C" w:rsidRPr="00E367C1">
        <w:t>June</w:t>
      </w:r>
      <w:r w:rsidRPr="00E367C1">
        <w:t xml:space="preserve"> 2021”.</w:t>
      </w:r>
    </w:p>
    <w:p w:rsidR="00D6487D" w:rsidRPr="00E367C1" w:rsidRDefault="00452327" w:rsidP="00D6487D">
      <w:pPr>
        <w:pStyle w:val="ItemHead"/>
      </w:pPr>
      <w:r w:rsidRPr="00E367C1">
        <w:t>26</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0(4)</w:t>
      </w:r>
    </w:p>
    <w:p w:rsidR="00D6487D" w:rsidRPr="00E367C1" w:rsidRDefault="00D6487D" w:rsidP="00D6487D">
      <w:pPr>
        <w:pStyle w:val="Item"/>
      </w:pPr>
      <w:r w:rsidRPr="00E367C1">
        <w:t>Omit “1</w:t>
      </w:r>
      <w:r w:rsidR="00E367C1" w:rsidRPr="00E367C1">
        <w:t> </w:t>
      </w:r>
      <w:r w:rsidRPr="00E367C1">
        <w:t>January 2021”, substitute “</w:t>
      </w:r>
      <w:r w:rsidR="0005350F" w:rsidRPr="00E367C1">
        <w:t>1</w:t>
      </w:r>
      <w:r w:rsidR="00E367C1" w:rsidRPr="00E367C1">
        <w:t> </w:t>
      </w:r>
      <w:r w:rsidR="0005350F" w:rsidRPr="00E367C1">
        <w:t>July</w:t>
      </w:r>
      <w:r w:rsidRPr="00E367C1">
        <w:t xml:space="preserve"> 2021”.</w:t>
      </w:r>
    </w:p>
    <w:p w:rsidR="00D6487D" w:rsidRPr="00E367C1" w:rsidRDefault="00452327" w:rsidP="00D6487D">
      <w:pPr>
        <w:pStyle w:val="ItemHead"/>
      </w:pPr>
      <w:r w:rsidRPr="00E367C1">
        <w:t>27</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0(5)</w:t>
      </w:r>
    </w:p>
    <w:p w:rsidR="00D6487D" w:rsidRPr="00E367C1" w:rsidRDefault="00D6487D" w:rsidP="00D6487D">
      <w:pPr>
        <w:pStyle w:val="Item"/>
      </w:pPr>
      <w:r w:rsidRPr="00E367C1">
        <w:t>Omit “31</w:t>
      </w:r>
      <w:r w:rsidR="00E367C1" w:rsidRPr="00E367C1">
        <w:t> </w:t>
      </w:r>
      <w:r w:rsidRPr="00E367C1">
        <w:t>December 2020”, substitute “</w:t>
      </w:r>
      <w:r w:rsidR="0012767C" w:rsidRPr="00E367C1">
        <w:t>30</w:t>
      </w:r>
      <w:r w:rsidR="00E367C1" w:rsidRPr="00E367C1">
        <w:t> </w:t>
      </w:r>
      <w:r w:rsidR="0012767C" w:rsidRPr="00E367C1">
        <w:t>June</w:t>
      </w:r>
      <w:r w:rsidRPr="00E367C1">
        <w:t xml:space="preserve"> 2021”.</w:t>
      </w:r>
    </w:p>
    <w:p w:rsidR="00D6487D" w:rsidRPr="00E367C1" w:rsidRDefault="00452327" w:rsidP="00D6487D">
      <w:pPr>
        <w:pStyle w:val="ItemHead"/>
      </w:pPr>
      <w:r w:rsidRPr="00E367C1">
        <w:t>28</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0(5)</w:t>
      </w:r>
    </w:p>
    <w:p w:rsidR="00D6487D" w:rsidRPr="00E367C1" w:rsidRDefault="00D6487D" w:rsidP="00D6487D">
      <w:pPr>
        <w:pStyle w:val="Item"/>
      </w:pPr>
      <w:r w:rsidRPr="00E367C1">
        <w:t>Omit “1</w:t>
      </w:r>
      <w:r w:rsidR="00E367C1" w:rsidRPr="00E367C1">
        <w:t> </w:t>
      </w:r>
      <w:r w:rsidRPr="00E367C1">
        <w:t>January 2021”, substitute “</w:t>
      </w:r>
      <w:r w:rsidR="0005350F" w:rsidRPr="00E367C1">
        <w:t>1</w:t>
      </w:r>
      <w:r w:rsidR="00E367C1" w:rsidRPr="00E367C1">
        <w:t> </w:t>
      </w:r>
      <w:r w:rsidR="0005350F" w:rsidRPr="00E367C1">
        <w:t>July</w:t>
      </w:r>
      <w:r w:rsidRPr="00E367C1">
        <w:t xml:space="preserve"> 2021”.</w:t>
      </w:r>
    </w:p>
    <w:p w:rsidR="00D6487D" w:rsidRPr="00E367C1" w:rsidRDefault="00452327" w:rsidP="00D6487D">
      <w:pPr>
        <w:pStyle w:val="ItemHead"/>
      </w:pPr>
      <w:r w:rsidRPr="00E367C1">
        <w:t>29</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1(3)</w:t>
      </w:r>
    </w:p>
    <w:p w:rsidR="00D6487D" w:rsidRPr="00E367C1" w:rsidRDefault="00D6487D" w:rsidP="00D6487D">
      <w:pPr>
        <w:pStyle w:val="Item"/>
      </w:pPr>
      <w:r w:rsidRPr="00E367C1">
        <w:t>Omit “1</w:t>
      </w:r>
      <w:r w:rsidR="00E367C1" w:rsidRPr="00E367C1">
        <w:t> </w:t>
      </w:r>
      <w:r w:rsidRPr="00E367C1">
        <w:t>January 2021”, substitute “</w:t>
      </w:r>
      <w:r w:rsidR="0005350F" w:rsidRPr="00E367C1">
        <w:t>1</w:t>
      </w:r>
      <w:r w:rsidR="00E367C1" w:rsidRPr="00E367C1">
        <w:t> </w:t>
      </w:r>
      <w:r w:rsidR="0005350F" w:rsidRPr="00E367C1">
        <w:t>July</w:t>
      </w:r>
      <w:r w:rsidRPr="00E367C1">
        <w:t xml:space="preserve"> 2021”.</w:t>
      </w:r>
    </w:p>
    <w:p w:rsidR="00D6487D" w:rsidRPr="00E367C1" w:rsidRDefault="00452327" w:rsidP="00D6487D">
      <w:pPr>
        <w:pStyle w:val="ItemHead"/>
      </w:pPr>
      <w:r w:rsidRPr="00E367C1">
        <w:t>30</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1(4)</w:t>
      </w:r>
    </w:p>
    <w:p w:rsidR="00D6487D" w:rsidRPr="00E367C1" w:rsidRDefault="00D6487D" w:rsidP="00D6487D">
      <w:pPr>
        <w:pStyle w:val="Item"/>
      </w:pPr>
      <w:r w:rsidRPr="00E367C1">
        <w:t>Omit “31</w:t>
      </w:r>
      <w:r w:rsidR="00E367C1" w:rsidRPr="00E367C1">
        <w:t> </w:t>
      </w:r>
      <w:r w:rsidRPr="00E367C1">
        <w:t>December 2020”, substitute “</w:t>
      </w:r>
      <w:r w:rsidR="0012767C" w:rsidRPr="00E367C1">
        <w:t>30</w:t>
      </w:r>
      <w:r w:rsidR="00E367C1" w:rsidRPr="00E367C1">
        <w:t> </w:t>
      </w:r>
      <w:r w:rsidR="0012767C" w:rsidRPr="00E367C1">
        <w:t>June</w:t>
      </w:r>
      <w:r w:rsidRPr="00E367C1">
        <w:t xml:space="preserve"> 2021”.</w:t>
      </w:r>
    </w:p>
    <w:p w:rsidR="00D6487D" w:rsidRPr="00E367C1" w:rsidRDefault="00452327" w:rsidP="00D6487D">
      <w:pPr>
        <w:pStyle w:val="ItemHead"/>
      </w:pPr>
      <w:r w:rsidRPr="00E367C1">
        <w:t>31</w:t>
      </w:r>
      <w:r w:rsidR="00D6487D" w:rsidRPr="00E367C1">
        <w:t xml:space="preserve">  </w:t>
      </w:r>
      <w:proofErr w:type="spellStart"/>
      <w:r w:rsidR="0012767C" w:rsidRPr="00E367C1">
        <w:t>Subregulation</w:t>
      </w:r>
      <w:proofErr w:type="spellEnd"/>
      <w:r w:rsidR="00E367C1" w:rsidRPr="00E367C1">
        <w:t> </w:t>
      </w:r>
      <w:r w:rsidR="0012767C" w:rsidRPr="00E367C1">
        <w:t>7</w:t>
      </w:r>
      <w:r w:rsidR="00D6487D" w:rsidRPr="00E367C1">
        <w:t>1(4)</w:t>
      </w:r>
    </w:p>
    <w:p w:rsidR="00D6487D" w:rsidRPr="00E367C1" w:rsidRDefault="00D6487D" w:rsidP="00D6487D">
      <w:pPr>
        <w:pStyle w:val="Item"/>
      </w:pPr>
      <w:r w:rsidRPr="00E367C1">
        <w:t>Omit “1</w:t>
      </w:r>
      <w:r w:rsidR="00E367C1" w:rsidRPr="00E367C1">
        <w:t> </w:t>
      </w:r>
      <w:r w:rsidRPr="00E367C1">
        <w:t>January 2021”, substitute “</w:t>
      </w:r>
      <w:r w:rsidR="0005350F" w:rsidRPr="00E367C1">
        <w:t>1</w:t>
      </w:r>
      <w:r w:rsidR="00E367C1" w:rsidRPr="00E367C1">
        <w:t> </w:t>
      </w:r>
      <w:r w:rsidR="0005350F" w:rsidRPr="00E367C1">
        <w:t>July</w:t>
      </w:r>
      <w:r w:rsidRPr="00E367C1">
        <w:t xml:space="preserve"> 2021”.</w:t>
      </w:r>
    </w:p>
    <w:p w:rsidR="00101DA7" w:rsidRPr="00E367C1" w:rsidRDefault="0005350F" w:rsidP="0002359A">
      <w:pPr>
        <w:pStyle w:val="ActHead7"/>
        <w:pageBreakBefore/>
      </w:pPr>
      <w:bookmarkStart w:id="51" w:name="_Toc44406869"/>
      <w:r w:rsidRPr="00357BFF">
        <w:rPr>
          <w:rStyle w:val="CharAmPartNo"/>
        </w:rPr>
        <w:t>Part</w:t>
      </w:r>
      <w:r w:rsidR="00E367C1" w:rsidRPr="00357BFF">
        <w:rPr>
          <w:rStyle w:val="CharAmPartNo"/>
        </w:rPr>
        <w:t> </w:t>
      </w:r>
      <w:r w:rsidRPr="00357BFF">
        <w:rPr>
          <w:rStyle w:val="CharAmPartNo"/>
        </w:rPr>
        <w:t>2</w:t>
      </w:r>
      <w:r w:rsidR="00101DA7" w:rsidRPr="00E367C1">
        <w:t>—</w:t>
      </w:r>
      <w:r w:rsidR="00101DA7" w:rsidRPr="00357BFF">
        <w:rPr>
          <w:rStyle w:val="CharAmPartText"/>
        </w:rPr>
        <w:t>Other changes</w:t>
      </w:r>
      <w:bookmarkEnd w:id="51"/>
    </w:p>
    <w:p w:rsidR="00101DA7" w:rsidRPr="00E367C1" w:rsidRDefault="00101DA7" w:rsidP="00101DA7">
      <w:pPr>
        <w:pStyle w:val="ActHead9"/>
      </w:pPr>
      <w:bookmarkStart w:id="52" w:name="_Toc44406870"/>
      <w:r w:rsidRPr="00E367C1">
        <w:t>Therapeutic Goods (Medical Devices) Regulations</w:t>
      </w:r>
      <w:r w:rsidR="00E367C1" w:rsidRPr="00E367C1">
        <w:t> </w:t>
      </w:r>
      <w:r w:rsidRPr="00E367C1">
        <w:t>2002</w:t>
      </w:r>
      <w:bookmarkEnd w:id="52"/>
    </w:p>
    <w:p w:rsidR="00101DA7" w:rsidRPr="00E367C1" w:rsidRDefault="00452327" w:rsidP="00101DA7">
      <w:pPr>
        <w:pStyle w:val="ItemHead"/>
      </w:pPr>
      <w:r w:rsidRPr="00E367C1">
        <w:t>32</w:t>
      </w:r>
      <w:r w:rsidR="00101DA7" w:rsidRPr="00E367C1">
        <w:t xml:space="preserve">  At the end of </w:t>
      </w:r>
      <w:r w:rsidR="00FE690A" w:rsidRPr="00E367C1">
        <w:t>regulation</w:t>
      </w:r>
      <w:r w:rsidR="00E367C1" w:rsidRPr="00E367C1">
        <w:t> </w:t>
      </w:r>
      <w:r w:rsidR="00FE690A" w:rsidRPr="00E367C1">
        <w:t>5</w:t>
      </w:r>
      <w:r w:rsidR="00101DA7" w:rsidRPr="00E367C1">
        <w:t>.11</w:t>
      </w:r>
    </w:p>
    <w:p w:rsidR="00101DA7" w:rsidRPr="00E367C1" w:rsidRDefault="00101DA7" w:rsidP="00101DA7">
      <w:pPr>
        <w:pStyle w:val="Item"/>
      </w:pPr>
      <w:r w:rsidRPr="00E367C1">
        <w:t>Add:</w:t>
      </w:r>
    </w:p>
    <w:p w:rsidR="00101DA7" w:rsidRPr="00E367C1" w:rsidRDefault="00101DA7" w:rsidP="00101DA7">
      <w:pPr>
        <w:pStyle w:val="subsection"/>
      </w:pPr>
      <w:r w:rsidRPr="00E367C1">
        <w:tab/>
        <w:t>(5)</w:t>
      </w:r>
      <w:r w:rsidRPr="00E367C1">
        <w:tab/>
        <w:t>If:</w:t>
      </w:r>
    </w:p>
    <w:p w:rsidR="00101DA7" w:rsidRPr="00E367C1" w:rsidRDefault="00101DA7" w:rsidP="00101DA7">
      <w:pPr>
        <w:pStyle w:val="paragraph"/>
      </w:pPr>
      <w:r w:rsidRPr="00E367C1">
        <w:tab/>
        <w:t>(a)</w:t>
      </w:r>
      <w:r w:rsidRPr="00E367C1">
        <w:tab/>
        <w:t xml:space="preserve">on a day on or after </w:t>
      </w:r>
      <w:r w:rsidR="00FE690A" w:rsidRPr="00E367C1">
        <w:t>25</w:t>
      </w:r>
      <w:r w:rsidR="00E367C1" w:rsidRPr="00E367C1">
        <w:t> </w:t>
      </w:r>
      <w:r w:rsidR="00FE690A" w:rsidRPr="00E367C1">
        <w:t>November</w:t>
      </w:r>
      <w:r w:rsidRPr="00E367C1">
        <w:t xml:space="preserve"> 2021 medical devices of a kind (the </w:t>
      </w:r>
      <w:r w:rsidRPr="00E367C1">
        <w:rPr>
          <w:b/>
          <w:i/>
        </w:rPr>
        <w:t>current kind of medical device</w:t>
      </w:r>
      <w:r w:rsidRPr="00E367C1">
        <w:t xml:space="preserve">) referred to in a particular paragraph of </w:t>
      </w:r>
      <w:proofErr w:type="spellStart"/>
      <w:r w:rsidRPr="00E367C1">
        <w:t>subregulation</w:t>
      </w:r>
      <w:proofErr w:type="spellEnd"/>
      <w:r w:rsidR="00E367C1" w:rsidRPr="00E367C1">
        <w:t> </w:t>
      </w:r>
      <w:r w:rsidRPr="00E367C1">
        <w:t xml:space="preserve">(1) are included in the Register because of the amendments made by the </w:t>
      </w:r>
      <w:r w:rsidRPr="00E367C1">
        <w:rPr>
          <w:i/>
        </w:rPr>
        <w:t>Therapeutic Goods Legislation Amendment (2019 Measures No.</w:t>
      </w:r>
      <w:r w:rsidR="00E367C1" w:rsidRPr="00E367C1">
        <w:rPr>
          <w:i/>
        </w:rPr>
        <w:t> </w:t>
      </w:r>
      <w:r w:rsidRPr="00E367C1">
        <w:rPr>
          <w:i/>
        </w:rPr>
        <w:t>1) Regulations</w:t>
      </w:r>
      <w:r w:rsidR="00E367C1" w:rsidRPr="00E367C1">
        <w:rPr>
          <w:i/>
        </w:rPr>
        <w:t> </w:t>
      </w:r>
      <w:r w:rsidRPr="00E367C1">
        <w:rPr>
          <w:i/>
        </w:rPr>
        <w:t>2019</w:t>
      </w:r>
      <w:r w:rsidRPr="00E367C1">
        <w:t>; and</w:t>
      </w:r>
    </w:p>
    <w:p w:rsidR="00101DA7" w:rsidRPr="00E367C1" w:rsidRDefault="00101DA7" w:rsidP="00101DA7">
      <w:pPr>
        <w:pStyle w:val="paragraph"/>
      </w:pPr>
      <w:r w:rsidRPr="00E367C1">
        <w:tab/>
        <w:t>(b)</w:t>
      </w:r>
      <w:r w:rsidRPr="00E367C1">
        <w:tab/>
        <w:t xml:space="preserve">immediately before that day, those devices were of a kind (the </w:t>
      </w:r>
      <w:r w:rsidRPr="00E367C1">
        <w:rPr>
          <w:b/>
          <w:i/>
        </w:rPr>
        <w:t>previous kind</w:t>
      </w:r>
      <w:r w:rsidRPr="00E367C1">
        <w:t xml:space="preserve"> </w:t>
      </w:r>
      <w:r w:rsidRPr="00E367C1">
        <w:rPr>
          <w:b/>
          <w:i/>
        </w:rPr>
        <w:t>of medical device</w:t>
      </w:r>
      <w:r w:rsidRPr="00E367C1">
        <w:t xml:space="preserve">) referred to in a different paragraph of </w:t>
      </w:r>
      <w:proofErr w:type="spellStart"/>
      <w:r w:rsidRPr="00E367C1">
        <w:t>subregulation</w:t>
      </w:r>
      <w:proofErr w:type="spellEnd"/>
      <w:r w:rsidR="00E367C1" w:rsidRPr="00E367C1">
        <w:t> </w:t>
      </w:r>
      <w:r w:rsidRPr="00E367C1">
        <w:t>(1) and were included in the Register;</w:t>
      </w:r>
    </w:p>
    <w:p w:rsidR="00101DA7" w:rsidRPr="00E367C1" w:rsidRDefault="00101DA7" w:rsidP="00101DA7">
      <w:pPr>
        <w:pStyle w:val="subsection2"/>
      </w:pPr>
      <w:r w:rsidRPr="00E367C1">
        <w:t xml:space="preserve">then </w:t>
      </w:r>
      <w:r w:rsidR="00E367C1" w:rsidRPr="00E367C1">
        <w:t>subparagraph (</w:t>
      </w:r>
      <w:r w:rsidRPr="00E367C1">
        <w:t xml:space="preserve">4)(a)(i) applies in relation to the current kind of medical device as if the day when the current kind of </w:t>
      </w:r>
      <w:r w:rsidR="0048000D" w:rsidRPr="00E367C1">
        <w:t xml:space="preserve">medical </w:t>
      </w:r>
      <w:r w:rsidRPr="00E367C1">
        <w:t>device is included in the Register were the day when the previous kind of medical device was included in the Register.</w:t>
      </w:r>
    </w:p>
    <w:p w:rsidR="003223E8" w:rsidRPr="00E367C1" w:rsidRDefault="0005350F" w:rsidP="0002359A">
      <w:pPr>
        <w:pStyle w:val="ActHead6"/>
        <w:pageBreakBefore/>
      </w:pPr>
      <w:bookmarkStart w:id="53" w:name="_Toc44406871"/>
      <w:r w:rsidRPr="00357BFF">
        <w:rPr>
          <w:rStyle w:val="CharAmSchNo"/>
        </w:rPr>
        <w:t>Schedule</w:t>
      </w:r>
      <w:r w:rsidR="00E367C1" w:rsidRPr="00357BFF">
        <w:rPr>
          <w:rStyle w:val="CharAmSchNo"/>
        </w:rPr>
        <w:t> </w:t>
      </w:r>
      <w:r w:rsidRPr="00357BFF">
        <w:rPr>
          <w:rStyle w:val="CharAmSchNo"/>
        </w:rPr>
        <w:t>9</w:t>
      </w:r>
      <w:r w:rsidR="003223E8" w:rsidRPr="00E367C1">
        <w:t>—</w:t>
      </w:r>
      <w:r w:rsidR="003223E8" w:rsidRPr="00357BFF">
        <w:rPr>
          <w:rStyle w:val="CharAmSchText"/>
        </w:rPr>
        <w:t>Other amendments</w:t>
      </w:r>
      <w:bookmarkEnd w:id="53"/>
    </w:p>
    <w:p w:rsidR="0002359A" w:rsidRPr="00357BFF" w:rsidRDefault="0002359A" w:rsidP="0002359A">
      <w:pPr>
        <w:pStyle w:val="Header"/>
      </w:pPr>
      <w:r w:rsidRPr="00357BFF">
        <w:rPr>
          <w:rStyle w:val="CharAmPartNo"/>
        </w:rPr>
        <w:t xml:space="preserve"> </w:t>
      </w:r>
      <w:r w:rsidRPr="00357BFF">
        <w:rPr>
          <w:rStyle w:val="CharAmPartText"/>
        </w:rPr>
        <w:t xml:space="preserve"> </w:t>
      </w:r>
    </w:p>
    <w:p w:rsidR="003223E8" w:rsidRPr="00E367C1" w:rsidRDefault="003223E8" w:rsidP="003223E8">
      <w:pPr>
        <w:pStyle w:val="ActHead9"/>
      </w:pPr>
      <w:bookmarkStart w:id="54" w:name="_Toc44406872"/>
      <w:r w:rsidRPr="00E367C1">
        <w:t>Therapeutic Goods Regulations</w:t>
      </w:r>
      <w:r w:rsidR="00E367C1" w:rsidRPr="00E367C1">
        <w:t> </w:t>
      </w:r>
      <w:r w:rsidRPr="00E367C1">
        <w:t>1990</w:t>
      </w:r>
      <w:bookmarkEnd w:id="54"/>
    </w:p>
    <w:p w:rsidR="00734ADC" w:rsidRPr="00E367C1" w:rsidRDefault="00A43FDE" w:rsidP="009B2592">
      <w:pPr>
        <w:pStyle w:val="ItemHead"/>
      </w:pPr>
      <w:r w:rsidRPr="00E367C1">
        <w:t>1</w:t>
      </w:r>
      <w:r w:rsidR="009B2592" w:rsidRPr="00E367C1">
        <w:t xml:space="preserve">  </w:t>
      </w:r>
      <w:r w:rsidR="00A253C6" w:rsidRPr="00E367C1">
        <w:t>Regulation</w:t>
      </w:r>
      <w:r w:rsidR="00E367C1" w:rsidRPr="00E367C1">
        <w:t> </w:t>
      </w:r>
      <w:r w:rsidR="00A253C6" w:rsidRPr="00E367C1">
        <w:t>2</w:t>
      </w:r>
      <w:r w:rsidR="009B2592" w:rsidRPr="00E367C1">
        <w:t xml:space="preserve"> (</w:t>
      </w:r>
      <w:r w:rsidR="00E367C1" w:rsidRPr="00E367C1">
        <w:t>paragraph (</w:t>
      </w:r>
      <w:r w:rsidR="009B2592" w:rsidRPr="00E367C1">
        <w:t xml:space="preserve">a) of the definition of </w:t>
      </w:r>
      <w:r w:rsidR="009B2592" w:rsidRPr="00E367C1">
        <w:rPr>
          <w:i/>
        </w:rPr>
        <w:t>designated therapeutic goods</w:t>
      </w:r>
      <w:r w:rsidR="009B2592" w:rsidRPr="00E367C1">
        <w:t>)</w:t>
      </w:r>
    </w:p>
    <w:p w:rsidR="009B2592" w:rsidRPr="00E367C1" w:rsidRDefault="009B2592" w:rsidP="009B2592">
      <w:pPr>
        <w:pStyle w:val="Item"/>
      </w:pPr>
      <w:r w:rsidRPr="00E367C1">
        <w:t>Repeal the paragraph.</w:t>
      </w:r>
    </w:p>
    <w:p w:rsidR="009B2592" w:rsidRPr="00E367C1" w:rsidRDefault="00A43FDE" w:rsidP="009B2592">
      <w:pPr>
        <w:pStyle w:val="ItemHead"/>
      </w:pPr>
      <w:r w:rsidRPr="00E367C1">
        <w:t>2</w:t>
      </w:r>
      <w:r w:rsidR="009B2592" w:rsidRPr="00E367C1">
        <w:t xml:space="preserve">  </w:t>
      </w:r>
      <w:proofErr w:type="spellStart"/>
      <w:r w:rsidR="00E832C1" w:rsidRPr="00E367C1">
        <w:t>Subregulation</w:t>
      </w:r>
      <w:proofErr w:type="spellEnd"/>
      <w:r w:rsidR="00E367C1" w:rsidRPr="00E367C1">
        <w:t> </w:t>
      </w:r>
      <w:r w:rsidR="00E832C1" w:rsidRPr="00E367C1">
        <w:t>1</w:t>
      </w:r>
      <w:r w:rsidR="009B2592" w:rsidRPr="00E367C1">
        <w:t>0C(4)</w:t>
      </w:r>
    </w:p>
    <w:p w:rsidR="009B2592" w:rsidRPr="00E367C1" w:rsidRDefault="009B2592" w:rsidP="009B2592">
      <w:pPr>
        <w:pStyle w:val="Item"/>
      </w:pPr>
      <w:r w:rsidRPr="00E367C1">
        <w:t xml:space="preserve">Repeal the </w:t>
      </w:r>
      <w:proofErr w:type="spellStart"/>
      <w:r w:rsidRPr="00E367C1">
        <w:t>subregulation</w:t>
      </w:r>
      <w:proofErr w:type="spellEnd"/>
      <w:r w:rsidRPr="00E367C1">
        <w:t>.</w:t>
      </w:r>
    </w:p>
    <w:p w:rsidR="009B2592" w:rsidRPr="00E367C1" w:rsidRDefault="00A43FDE" w:rsidP="009B2592">
      <w:pPr>
        <w:pStyle w:val="ItemHead"/>
      </w:pPr>
      <w:r w:rsidRPr="00E367C1">
        <w:t>3</w:t>
      </w:r>
      <w:r w:rsidR="009B2592" w:rsidRPr="00E367C1">
        <w:t xml:space="preserve">  </w:t>
      </w:r>
      <w:r w:rsidR="00FE690A" w:rsidRPr="00E367C1">
        <w:t>Regulation</w:t>
      </w:r>
      <w:r w:rsidR="00E367C1" w:rsidRPr="00E367C1">
        <w:t> </w:t>
      </w:r>
      <w:r w:rsidR="00FE690A" w:rsidRPr="00E367C1">
        <w:t>1</w:t>
      </w:r>
      <w:r w:rsidR="009B2592" w:rsidRPr="00E367C1">
        <w:t>2B (heading)</w:t>
      </w:r>
    </w:p>
    <w:p w:rsidR="009B2592" w:rsidRPr="00E367C1" w:rsidRDefault="009B2592" w:rsidP="009B2592">
      <w:pPr>
        <w:pStyle w:val="Item"/>
      </w:pPr>
      <w:r w:rsidRPr="00E367C1">
        <w:t>Omit “</w:t>
      </w:r>
      <w:r w:rsidRPr="00E367C1">
        <w:rPr>
          <w:b/>
        </w:rPr>
        <w:t>and therapeutic devices</w:t>
      </w:r>
      <w:r w:rsidRPr="00E367C1">
        <w:t>”.</w:t>
      </w:r>
    </w:p>
    <w:p w:rsidR="009B2592" w:rsidRPr="00E367C1" w:rsidRDefault="00A43FDE" w:rsidP="009B2592">
      <w:pPr>
        <w:pStyle w:val="ItemHead"/>
      </w:pPr>
      <w:r w:rsidRPr="00E367C1">
        <w:t>4</w:t>
      </w:r>
      <w:r w:rsidR="009B2592" w:rsidRPr="00E367C1">
        <w:t xml:space="preserve">  </w:t>
      </w:r>
      <w:proofErr w:type="spellStart"/>
      <w:r w:rsidR="00E832C1" w:rsidRPr="00E367C1">
        <w:t>Subregulation</w:t>
      </w:r>
      <w:proofErr w:type="spellEnd"/>
      <w:r w:rsidR="00E367C1" w:rsidRPr="00E367C1">
        <w:t> </w:t>
      </w:r>
      <w:r w:rsidR="00E832C1" w:rsidRPr="00E367C1">
        <w:t>1</w:t>
      </w:r>
      <w:r w:rsidR="009B2592" w:rsidRPr="00E367C1">
        <w:t>2B(4)</w:t>
      </w:r>
    </w:p>
    <w:p w:rsidR="009B2592" w:rsidRPr="00E367C1" w:rsidRDefault="009B2592" w:rsidP="009B2592">
      <w:pPr>
        <w:pStyle w:val="Item"/>
      </w:pPr>
      <w:r w:rsidRPr="00E367C1">
        <w:t xml:space="preserve">Repeal the </w:t>
      </w:r>
      <w:proofErr w:type="spellStart"/>
      <w:r w:rsidRPr="00E367C1">
        <w:t>subregulation</w:t>
      </w:r>
      <w:proofErr w:type="spellEnd"/>
      <w:r w:rsidRPr="00E367C1">
        <w:t>.</w:t>
      </w:r>
    </w:p>
    <w:p w:rsidR="009B2592" w:rsidRPr="00E367C1" w:rsidRDefault="00A43FDE" w:rsidP="009B2592">
      <w:pPr>
        <w:pStyle w:val="ItemHead"/>
      </w:pPr>
      <w:r w:rsidRPr="00E367C1">
        <w:t>5</w:t>
      </w:r>
      <w:r w:rsidR="009B2592" w:rsidRPr="00E367C1">
        <w:t xml:space="preserve">  </w:t>
      </w:r>
      <w:r w:rsidR="00A253C6" w:rsidRPr="00E367C1">
        <w:t>Paragraph</w:t>
      </w:r>
      <w:r w:rsidR="00E367C1" w:rsidRPr="00E367C1">
        <w:t xml:space="preserve"> </w:t>
      </w:r>
      <w:r w:rsidR="00A253C6" w:rsidRPr="00E367C1">
        <w:t>1</w:t>
      </w:r>
      <w:r w:rsidR="009B2592" w:rsidRPr="00E367C1">
        <w:t>5(1)(a)</w:t>
      </w:r>
    </w:p>
    <w:p w:rsidR="009B2592" w:rsidRPr="00E367C1" w:rsidRDefault="009B2592" w:rsidP="009B2592">
      <w:pPr>
        <w:pStyle w:val="Item"/>
      </w:pPr>
      <w:r w:rsidRPr="00E367C1">
        <w:t>Repeal the paragraph.</w:t>
      </w:r>
    </w:p>
    <w:p w:rsidR="009B2592" w:rsidRPr="00E367C1" w:rsidRDefault="00A43FDE" w:rsidP="009B2592">
      <w:pPr>
        <w:pStyle w:val="ItemHead"/>
      </w:pPr>
      <w:r w:rsidRPr="00E367C1">
        <w:t>6</w:t>
      </w:r>
      <w:r w:rsidR="009B2592" w:rsidRPr="00E367C1">
        <w:t xml:space="preserve">  </w:t>
      </w:r>
      <w:r w:rsidR="00FE690A" w:rsidRPr="00E367C1">
        <w:t>Regulation</w:t>
      </w:r>
      <w:r w:rsidR="00E367C1" w:rsidRPr="00E367C1">
        <w:t> </w:t>
      </w:r>
      <w:r w:rsidR="00FE690A" w:rsidRPr="00E367C1">
        <w:t>1</w:t>
      </w:r>
      <w:r w:rsidR="009B2592" w:rsidRPr="00E367C1">
        <w:t>6</w:t>
      </w:r>
    </w:p>
    <w:p w:rsidR="009B2592" w:rsidRPr="00E367C1" w:rsidRDefault="009B2592" w:rsidP="009B2592">
      <w:pPr>
        <w:pStyle w:val="Item"/>
      </w:pPr>
      <w:r w:rsidRPr="00E367C1">
        <w:t>Repeal the regulation.</w:t>
      </w:r>
    </w:p>
    <w:p w:rsidR="009B2592" w:rsidRPr="00E367C1" w:rsidRDefault="00A43FDE" w:rsidP="009B2592">
      <w:pPr>
        <w:pStyle w:val="ItemHead"/>
      </w:pPr>
      <w:r w:rsidRPr="00E367C1">
        <w:t>7</w:t>
      </w:r>
      <w:r w:rsidR="009B2592" w:rsidRPr="00E367C1">
        <w:t xml:space="preserve">  </w:t>
      </w:r>
      <w:proofErr w:type="spellStart"/>
      <w:r w:rsidR="00A253C6" w:rsidRPr="00E367C1">
        <w:t>Sub</w:t>
      </w:r>
      <w:r w:rsidR="0012767C" w:rsidRPr="00E367C1">
        <w:t>regulation</w:t>
      </w:r>
      <w:proofErr w:type="spellEnd"/>
      <w:r w:rsidR="00E367C1" w:rsidRPr="00E367C1">
        <w:t> </w:t>
      </w:r>
      <w:r w:rsidR="0012767C" w:rsidRPr="00E367C1">
        <w:t>4</w:t>
      </w:r>
      <w:r w:rsidR="009B2592" w:rsidRPr="00E367C1">
        <w:t>8(1) (</w:t>
      </w:r>
      <w:r w:rsidR="00E367C1" w:rsidRPr="00E367C1">
        <w:t>paragraph (</w:t>
      </w:r>
      <w:r w:rsidR="009B2592" w:rsidRPr="00E367C1">
        <w:t xml:space="preserve">ca) of the definition of </w:t>
      </w:r>
      <w:r w:rsidR="009B2592" w:rsidRPr="00E367C1">
        <w:rPr>
          <w:i/>
        </w:rPr>
        <w:t>initial decision</w:t>
      </w:r>
      <w:r w:rsidR="009B2592" w:rsidRPr="00E367C1">
        <w:t>)</w:t>
      </w:r>
    </w:p>
    <w:p w:rsidR="009B2592" w:rsidRPr="00E367C1" w:rsidRDefault="009B2592" w:rsidP="009B2592">
      <w:pPr>
        <w:pStyle w:val="Item"/>
      </w:pPr>
      <w:r w:rsidRPr="00E367C1">
        <w:t>Omit “(4),”.</w:t>
      </w:r>
    </w:p>
    <w:p w:rsidR="0077437C" w:rsidRPr="00E367C1" w:rsidRDefault="00A43FDE" w:rsidP="0077437C">
      <w:pPr>
        <w:pStyle w:val="ItemHead"/>
      </w:pPr>
      <w:r w:rsidRPr="00E367C1">
        <w:t>8</w:t>
      </w:r>
      <w:r w:rsidR="0077437C" w:rsidRPr="00E367C1">
        <w:t xml:space="preserve">  </w:t>
      </w:r>
      <w:r w:rsidR="00E832C1" w:rsidRPr="00E367C1">
        <w:t>Part</w:t>
      </w:r>
      <w:r w:rsidR="00E367C1" w:rsidRPr="00E367C1">
        <w:t> </w:t>
      </w:r>
      <w:r w:rsidR="00E832C1" w:rsidRPr="00E367C1">
        <w:t>1</w:t>
      </w:r>
      <w:r w:rsidR="0077437C" w:rsidRPr="00E367C1">
        <w:t xml:space="preserve"> of </w:t>
      </w:r>
      <w:r w:rsidR="0005350F" w:rsidRPr="00E367C1">
        <w:t>Schedule</w:t>
      </w:r>
      <w:r w:rsidR="00E367C1" w:rsidRPr="00E367C1">
        <w:t> </w:t>
      </w:r>
      <w:r w:rsidR="0005350F" w:rsidRPr="00E367C1">
        <w:t>3</w:t>
      </w:r>
      <w:r w:rsidR="0077437C" w:rsidRPr="00E367C1">
        <w:t xml:space="preserve"> (heading)</w:t>
      </w:r>
    </w:p>
    <w:p w:rsidR="0077437C" w:rsidRPr="00E367C1" w:rsidRDefault="0077437C" w:rsidP="0077437C">
      <w:pPr>
        <w:pStyle w:val="Item"/>
      </w:pPr>
      <w:r w:rsidRPr="00E367C1">
        <w:t>Repeal the heading, substitute:</w:t>
      </w:r>
    </w:p>
    <w:p w:rsidR="0077437C" w:rsidRPr="00E367C1" w:rsidRDefault="00E832C1" w:rsidP="0077437C">
      <w:pPr>
        <w:pStyle w:val="ActHead2"/>
      </w:pPr>
      <w:bookmarkStart w:id="55" w:name="f_Check_Lines_above"/>
      <w:bookmarkStart w:id="56" w:name="_Toc44406873"/>
      <w:bookmarkEnd w:id="55"/>
      <w:r w:rsidRPr="00357BFF">
        <w:rPr>
          <w:rStyle w:val="CharPartNo"/>
        </w:rPr>
        <w:t>Part</w:t>
      </w:r>
      <w:r w:rsidR="00E367C1" w:rsidRPr="00357BFF">
        <w:rPr>
          <w:rStyle w:val="CharPartNo"/>
        </w:rPr>
        <w:t> </w:t>
      </w:r>
      <w:r w:rsidRPr="00357BFF">
        <w:rPr>
          <w:rStyle w:val="CharPartNo"/>
        </w:rPr>
        <w:t>1</w:t>
      </w:r>
      <w:r w:rsidR="0077437C" w:rsidRPr="00E367C1">
        <w:t>—</w:t>
      </w:r>
      <w:r w:rsidR="0077437C" w:rsidRPr="00357BFF">
        <w:rPr>
          <w:rStyle w:val="CharPartText"/>
        </w:rPr>
        <w:t>Medicines</w:t>
      </w:r>
      <w:bookmarkEnd w:id="56"/>
    </w:p>
    <w:p w:rsidR="00C71096" w:rsidRPr="00E367C1" w:rsidRDefault="00A43FDE" w:rsidP="009B2592">
      <w:pPr>
        <w:pStyle w:val="ItemHead"/>
      </w:pPr>
      <w:r w:rsidRPr="00E367C1">
        <w:t>9</w:t>
      </w:r>
      <w:r w:rsidR="00C71096" w:rsidRPr="00E367C1">
        <w:t xml:space="preserve">  </w:t>
      </w:r>
      <w:r w:rsidR="00E832C1" w:rsidRPr="00E367C1">
        <w:t>Part</w:t>
      </w:r>
      <w:r w:rsidR="00E367C1" w:rsidRPr="00E367C1">
        <w:t> </w:t>
      </w:r>
      <w:r w:rsidR="00E832C1" w:rsidRPr="00E367C1">
        <w:t>1</w:t>
      </w:r>
      <w:r w:rsidR="00C71096" w:rsidRPr="00E367C1">
        <w:t xml:space="preserve"> of </w:t>
      </w:r>
      <w:r w:rsidR="0005350F" w:rsidRPr="00E367C1">
        <w:t>Schedule</w:t>
      </w:r>
      <w:r w:rsidR="00E367C1" w:rsidRPr="00E367C1">
        <w:t> </w:t>
      </w:r>
      <w:r w:rsidR="0005350F" w:rsidRPr="00E367C1">
        <w:t>3</w:t>
      </w:r>
      <w:r w:rsidR="00C71096" w:rsidRPr="00E367C1">
        <w:t xml:space="preserve"> (table </w:t>
      </w:r>
      <w:r w:rsidR="00A253C6" w:rsidRPr="00E367C1">
        <w:t>item</w:t>
      </w:r>
      <w:r w:rsidR="00E367C1" w:rsidRPr="00E367C1">
        <w:t> </w:t>
      </w:r>
      <w:r w:rsidR="00A253C6" w:rsidRPr="00E367C1">
        <w:t>3</w:t>
      </w:r>
      <w:r w:rsidR="00C71096" w:rsidRPr="00E367C1">
        <w:t>)</w:t>
      </w:r>
    </w:p>
    <w:p w:rsidR="00C71096" w:rsidRPr="00E367C1" w:rsidRDefault="00C71096" w:rsidP="00C71096">
      <w:pPr>
        <w:pStyle w:val="Item"/>
      </w:pPr>
      <w:r w:rsidRPr="00E367C1">
        <w:t>Repeal the item.</w:t>
      </w:r>
    </w:p>
    <w:p w:rsidR="0077437C" w:rsidRPr="00E367C1" w:rsidRDefault="00A43FDE" w:rsidP="009B2592">
      <w:pPr>
        <w:pStyle w:val="ItemHead"/>
      </w:pPr>
      <w:r w:rsidRPr="00E367C1">
        <w:t>10</w:t>
      </w:r>
      <w:r w:rsidR="0077437C" w:rsidRPr="00E367C1">
        <w:t xml:space="preserve">  </w:t>
      </w:r>
      <w:r w:rsidR="0005350F" w:rsidRPr="00E367C1">
        <w:t>Schedule</w:t>
      </w:r>
      <w:r w:rsidR="00E367C1" w:rsidRPr="00E367C1">
        <w:t> </w:t>
      </w:r>
      <w:r w:rsidR="0005350F" w:rsidRPr="00E367C1">
        <w:t>4</w:t>
      </w:r>
      <w:r w:rsidR="0077437C" w:rsidRPr="00E367C1">
        <w:t xml:space="preserve"> (table </w:t>
      </w:r>
      <w:r w:rsidR="0005350F" w:rsidRPr="00E367C1">
        <w:t>items</w:t>
      </w:r>
      <w:r w:rsidR="00E367C1" w:rsidRPr="00E367C1">
        <w:t> </w:t>
      </w:r>
      <w:r w:rsidR="0005350F" w:rsidRPr="00E367C1">
        <w:t>2</w:t>
      </w:r>
      <w:r w:rsidR="0077437C" w:rsidRPr="00E367C1">
        <w:t xml:space="preserve"> and 11)</w:t>
      </w:r>
    </w:p>
    <w:p w:rsidR="0077437C" w:rsidRPr="00E367C1" w:rsidRDefault="0077437C" w:rsidP="0077437C">
      <w:pPr>
        <w:pStyle w:val="Item"/>
      </w:pPr>
      <w:r w:rsidRPr="00E367C1">
        <w:t>Repeal the items.</w:t>
      </w:r>
    </w:p>
    <w:p w:rsidR="0077437C" w:rsidRPr="00E367C1" w:rsidRDefault="00A43FDE" w:rsidP="009B2592">
      <w:pPr>
        <w:pStyle w:val="ItemHead"/>
      </w:pPr>
      <w:r w:rsidRPr="00E367C1">
        <w:t>11</w:t>
      </w:r>
      <w:r w:rsidR="0077437C" w:rsidRPr="00E367C1">
        <w:t xml:space="preserve">  </w:t>
      </w:r>
      <w:r w:rsidR="00E832C1" w:rsidRPr="00E367C1">
        <w:t>Schedule</w:t>
      </w:r>
      <w:r w:rsidR="00E367C1" w:rsidRPr="00E367C1">
        <w:t> </w:t>
      </w:r>
      <w:r w:rsidR="00E832C1" w:rsidRPr="00E367C1">
        <w:t>5</w:t>
      </w:r>
      <w:r w:rsidR="0077437C" w:rsidRPr="00E367C1">
        <w:t xml:space="preserve">A (table </w:t>
      </w:r>
      <w:r w:rsidR="00A253C6" w:rsidRPr="00E367C1">
        <w:t>item</w:t>
      </w:r>
      <w:r w:rsidR="00E367C1" w:rsidRPr="00E367C1">
        <w:t> </w:t>
      </w:r>
      <w:r w:rsidR="00A253C6" w:rsidRPr="00E367C1">
        <w:t>1</w:t>
      </w:r>
      <w:r w:rsidR="0077437C" w:rsidRPr="00E367C1">
        <w:t>A</w:t>
      </w:r>
      <w:r w:rsidR="001A5523" w:rsidRPr="00E367C1">
        <w:t xml:space="preserve">, column 3, </w:t>
      </w:r>
      <w:r w:rsidR="00E367C1" w:rsidRPr="00E367C1">
        <w:t>subparagraph (</w:t>
      </w:r>
      <w:r w:rsidR="001A5523" w:rsidRPr="00E367C1">
        <w:t>b)(i)</w:t>
      </w:r>
      <w:r w:rsidR="0077437C" w:rsidRPr="00E367C1">
        <w:t>)</w:t>
      </w:r>
    </w:p>
    <w:p w:rsidR="0077437C" w:rsidRPr="00E367C1" w:rsidRDefault="0077437C" w:rsidP="0077437C">
      <w:pPr>
        <w:pStyle w:val="Item"/>
      </w:pPr>
      <w:r w:rsidRPr="00E367C1">
        <w:t>Omit “therapeutic devices and”</w:t>
      </w:r>
      <w:r w:rsidR="00A253C6" w:rsidRPr="00E367C1">
        <w:t>.</w:t>
      </w:r>
    </w:p>
    <w:p w:rsidR="0077437C" w:rsidRPr="00E367C1" w:rsidRDefault="00A43FDE" w:rsidP="0077437C">
      <w:pPr>
        <w:pStyle w:val="ItemHead"/>
      </w:pPr>
      <w:r w:rsidRPr="00E367C1">
        <w:t>12</w:t>
      </w:r>
      <w:r w:rsidR="0077437C" w:rsidRPr="00E367C1">
        <w:t xml:space="preserve">  </w:t>
      </w:r>
      <w:r w:rsidR="00E832C1" w:rsidRPr="00E367C1">
        <w:t>Schedule</w:t>
      </w:r>
      <w:r w:rsidR="00E367C1" w:rsidRPr="00E367C1">
        <w:t> </w:t>
      </w:r>
      <w:r w:rsidR="00E832C1" w:rsidRPr="00E367C1">
        <w:t>5</w:t>
      </w:r>
      <w:r w:rsidR="0077437C" w:rsidRPr="00E367C1">
        <w:t>A (</w:t>
      </w:r>
      <w:r w:rsidR="001A5523" w:rsidRPr="00E367C1">
        <w:t>table item</w:t>
      </w:r>
      <w:r w:rsidR="00E367C1" w:rsidRPr="00E367C1">
        <w:t> </w:t>
      </w:r>
      <w:r w:rsidR="001A5523" w:rsidRPr="00E367C1">
        <w:t xml:space="preserve">1A, column 3, </w:t>
      </w:r>
      <w:r w:rsidR="00E367C1" w:rsidRPr="00E367C1">
        <w:t>subparagraph (</w:t>
      </w:r>
      <w:r w:rsidR="001A5523" w:rsidRPr="00E367C1">
        <w:t>b)(ii))</w:t>
      </w:r>
    </w:p>
    <w:p w:rsidR="00D47753" w:rsidRPr="00E367C1" w:rsidRDefault="00D47753" w:rsidP="0077437C">
      <w:pPr>
        <w:pStyle w:val="Item"/>
      </w:pPr>
      <w:r w:rsidRPr="00E367C1">
        <w:t>Repeal the subparagraph, substitute:</w:t>
      </w:r>
    </w:p>
    <w:p w:rsidR="00FB05C6" w:rsidRPr="00E367C1" w:rsidRDefault="00FB05C6" w:rsidP="00FB05C6">
      <w:pPr>
        <w:pStyle w:val="Tablei"/>
      </w:pPr>
      <w:r w:rsidRPr="00E367C1">
        <w:t>(ii) in the case of biologicals—the biologicals must be destroyed or returned to the consignor of the biologicals within 1</w:t>
      </w:r>
      <w:r w:rsidR="00E367C1" w:rsidRPr="00E367C1">
        <w:t xml:space="preserve"> </w:t>
      </w:r>
      <w:r w:rsidRPr="00E367C1">
        <w:t>month of the decision not to include the biologicals</w:t>
      </w:r>
    </w:p>
    <w:p w:rsidR="00D47753" w:rsidRPr="00E367C1" w:rsidRDefault="00A43FDE" w:rsidP="00C71096">
      <w:pPr>
        <w:pStyle w:val="ItemHead"/>
      </w:pPr>
      <w:r w:rsidRPr="00E367C1">
        <w:t>13</w:t>
      </w:r>
      <w:r w:rsidR="00D47753" w:rsidRPr="00E367C1">
        <w:t xml:space="preserve">  Schedule</w:t>
      </w:r>
      <w:r w:rsidR="00E367C1" w:rsidRPr="00E367C1">
        <w:t> </w:t>
      </w:r>
      <w:r w:rsidR="00D47753" w:rsidRPr="00E367C1">
        <w:t>5A (table item</w:t>
      </w:r>
      <w:r w:rsidR="00E367C1" w:rsidRPr="00E367C1">
        <w:t> </w:t>
      </w:r>
      <w:r w:rsidR="00D47753" w:rsidRPr="00E367C1">
        <w:t xml:space="preserve">4, column 3, </w:t>
      </w:r>
      <w:r w:rsidR="00E367C1" w:rsidRPr="00E367C1">
        <w:t>subparagraph (</w:t>
      </w:r>
      <w:r w:rsidR="00D47753" w:rsidRPr="00E367C1">
        <w:t>g)(ii))</w:t>
      </w:r>
    </w:p>
    <w:p w:rsidR="00D47753" w:rsidRPr="00E367C1" w:rsidRDefault="00D47753" w:rsidP="00D47753">
      <w:pPr>
        <w:pStyle w:val="Item"/>
      </w:pPr>
      <w:r w:rsidRPr="00E367C1">
        <w:t>Omit “therapeutic device or”.</w:t>
      </w:r>
    </w:p>
    <w:p w:rsidR="00D47753" w:rsidRPr="00E367C1" w:rsidRDefault="00A43FDE" w:rsidP="00D47753">
      <w:pPr>
        <w:pStyle w:val="ItemHead"/>
      </w:pPr>
      <w:r w:rsidRPr="00E367C1">
        <w:t>14</w:t>
      </w:r>
      <w:r w:rsidR="00D47753" w:rsidRPr="00E367C1">
        <w:t xml:space="preserve">  Schedule</w:t>
      </w:r>
      <w:r w:rsidR="00E367C1" w:rsidRPr="00E367C1">
        <w:t> </w:t>
      </w:r>
      <w:r w:rsidR="00D47753" w:rsidRPr="00E367C1">
        <w:t>5A (table item</w:t>
      </w:r>
      <w:r w:rsidR="00E367C1" w:rsidRPr="00E367C1">
        <w:t> </w:t>
      </w:r>
      <w:r w:rsidR="00D47753" w:rsidRPr="00E367C1">
        <w:t xml:space="preserve">8, column 3, </w:t>
      </w:r>
      <w:r w:rsidR="00E367C1" w:rsidRPr="00E367C1">
        <w:t>subparagraph (</w:t>
      </w:r>
      <w:r w:rsidR="00D47753" w:rsidRPr="00E367C1">
        <w:t>f)(ii))</w:t>
      </w:r>
    </w:p>
    <w:p w:rsidR="00D47753" w:rsidRPr="00E367C1" w:rsidRDefault="00D47753" w:rsidP="00D47753">
      <w:pPr>
        <w:pStyle w:val="Item"/>
      </w:pPr>
      <w:r w:rsidRPr="00E367C1">
        <w:t>Omit “therapeutic device or”.</w:t>
      </w:r>
    </w:p>
    <w:p w:rsidR="00D47753" w:rsidRPr="00E367C1" w:rsidRDefault="00A43FDE" w:rsidP="00D47753">
      <w:pPr>
        <w:pStyle w:val="ItemHead"/>
      </w:pPr>
      <w:r w:rsidRPr="00E367C1">
        <w:t>15</w:t>
      </w:r>
      <w:r w:rsidR="00D47753" w:rsidRPr="00E367C1">
        <w:t xml:space="preserve">  Schedule</w:t>
      </w:r>
      <w:r w:rsidR="00E367C1" w:rsidRPr="00E367C1">
        <w:t> </w:t>
      </w:r>
      <w:r w:rsidR="00D47753" w:rsidRPr="00E367C1">
        <w:t>5A (table item</w:t>
      </w:r>
      <w:r w:rsidR="00E367C1" w:rsidRPr="00E367C1">
        <w:t> </w:t>
      </w:r>
      <w:r w:rsidR="00D47753" w:rsidRPr="00E367C1">
        <w:t xml:space="preserve">10, column 3, </w:t>
      </w:r>
      <w:r w:rsidR="00E367C1" w:rsidRPr="00E367C1">
        <w:t>subparagraph (</w:t>
      </w:r>
      <w:r w:rsidR="00D47753" w:rsidRPr="00E367C1">
        <w:t>h)(ii))</w:t>
      </w:r>
    </w:p>
    <w:p w:rsidR="00D47753" w:rsidRPr="00E367C1" w:rsidRDefault="00D47753" w:rsidP="00D47753">
      <w:pPr>
        <w:pStyle w:val="Item"/>
      </w:pPr>
      <w:r w:rsidRPr="00E367C1">
        <w:t>Omit “therapeutic device or”.</w:t>
      </w:r>
    </w:p>
    <w:p w:rsidR="00D47753" w:rsidRPr="00E367C1" w:rsidRDefault="00A43FDE" w:rsidP="00D47753">
      <w:pPr>
        <w:pStyle w:val="ItemHead"/>
      </w:pPr>
      <w:r w:rsidRPr="00E367C1">
        <w:t>16</w:t>
      </w:r>
      <w:r w:rsidR="00D47753" w:rsidRPr="00E367C1">
        <w:t xml:space="preserve">  Schedule</w:t>
      </w:r>
      <w:r w:rsidR="00E367C1" w:rsidRPr="00E367C1">
        <w:t> </w:t>
      </w:r>
      <w:r w:rsidR="00D47753" w:rsidRPr="00E367C1">
        <w:t>5A (table item</w:t>
      </w:r>
      <w:r w:rsidR="00E367C1" w:rsidRPr="00E367C1">
        <w:t> </w:t>
      </w:r>
      <w:r w:rsidR="00D47753" w:rsidRPr="00E367C1">
        <w:t xml:space="preserve">11, column 3, </w:t>
      </w:r>
      <w:r w:rsidR="00E367C1" w:rsidRPr="00E367C1">
        <w:t>subparagraph (</w:t>
      </w:r>
      <w:r w:rsidR="00D47753" w:rsidRPr="00E367C1">
        <w:t>g)(ii))</w:t>
      </w:r>
    </w:p>
    <w:p w:rsidR="00D47753" w:rsidRPr="00E367C1" w:rsidRDefault="00D47753" w:rsidP="00D47753">
      <w:pPr>
        <w:pStyle w:val="Item"/>
      </w:pPr>
      <w:r w:rsidRPr="00E367C1">
        <w:t>Omit “therapeutic device or”.</w:t>
      </w:r>
    </w:p>
    <w:p w:rsidR="00D47753" w:rsidRPr="00E367C1" w:rsidRDefault="00A43FDE" w:rsidP="00D47753">
      <w:pPr>
        <w:pStyle w:val="ItemHead"/>
      </w:pPr>
      <w:r w:rsidRPr="00E367C1">
        <w:t>17</w:t>
      </w:r>
      <w:r w:rsidR="00D47753" w:rsidRPr="00E367C1">
        <w:t xml:space="preserve">  Schedule</w:t>
      </w:r>
      <w:r w:rsidR="00E367C1" w:rsidRPr="00E367C1">
        <w:t> </w:t>
      </w:r>
      <w:r w:rsidR="00D47753" w:rsidRPr="00E367C1">
        <w:t>5A (table item</w:t>
      </w:r>
      <w:r w:rsidR="00E367C1" w:rsidRPr="00E367C1">
        <w:t> </w:t>
      </w:r>
      <w:r w:rsidR="00D47753" w:rsidRPr="00E367C1">
        <w:t xml:space="preserve">12, column 3, </w:t>
      </w:r>
      <w:r w:rsidR="00E367C1" w:rsidRPr="00E367C1">
        <w:t>subparagraph (</w:t>
      </w:r>
      <w:r w:rsidR="00D47753" w:rsidRPr="00E367C1">
        <w:t>g)(ii))</w:t>
      </w:r>
    </w:p>
    <w:p w:rsidR="00D47753" w:rsidRPr="00E367C1" w:rsidRDefault="00D47753" w:rsidP="00D47753">
      <w:pPr>
        <w:pStyle w:val="Item"/>
      </w:pPr>
      <w:r w:rsidRPr="00E367C1">
        <w:t>Omit “therapeutic device or”.</w:t>
      </w:r>
    </w:p>
    <w:p w:rsidR="009B2592" w:rsidRPr="00E367C1" w:rsidRDefault="00A43FDE" w:rsidP="009B2592">
      <w:pPr>
        <w:pStyle w:val="ItemHead"/>
      </w:pPr>
      <w:r w:rsidRPr="00E367C1">
        <w:t>18</w:t>
      </w:r>
      <w:r w:rsidR="009B2592" w:rsidRPr="00E367C1">
        <w:t xml:space="preserve">  </w:t>
      </w:r>
      <w:r w:rsidR="00E832C1" w:rsidRPr="00E367C1">
        <w:t>Schedule</w:t>
      </w:r>
      <w:r w:rsidR="00E367C1" w:rsidRPr="00E367C1">
        <w:t> </w:t>
      </w:r>
      <w:r w:rsidR="00E832C1" w:rsidRPr="00E367C1">
        <w:t>6</w:t>
      </w:r>
    </w:p>
    <w:p w:rsidR="009B2592" w:rsidRPr="00E367C1" w:rsidRDefault="009B2592" w:rsidP="009B2592">
      <w:pPr>
        <w:pStyle w:val="Item"/>
      </w:pPr>
      <w:r w:rsidRPr="00E367C1">
        <w:t>Repeal the Schedule.</w:t>
      </w:r>
    </w:p>
    <w:p w:rsidR="00466869" w:rsidRPr="00E367C1" w:rsidRDefault="00A43FDE" w:rsidP="00466869">
      <w:pPr>
        <w:pStyle w:val="ItemHead"/>
      </w:pPr>
      <w:r w:rsidRPr="00E367C1">
        <w:t>19</w:t>
      </w:r>
      <w:r w:rsidR="00466869" w:rsidRPr="00E367C1">
        <w:t xml:space="preserve">  Schedule</w:t>
      </w:r>
      <w:r w:rsidR="00E367C1" w:rsidRPr="00E367C1">
        <w:t> </w:t>
      </w:r>
      <w:r w:rsidR="00466869" w:rsidRPr="00E367C1">
        <w:t>7 (table item</w:t>
      </w:r>
      <w:r w:rsidR="00E367C1" w:rsidRPr="00E367C1">
        <w:t> </w:t>
      </w:r>
      <w:r w:rsidR="00466869" w:rsidRPr="00E367C1">
        <w:t xml:space="preserve">2, column 2, </w:t>
      </w:r>
      <w:r w:rsidR="00E367C1" w:rsidRPr="00E367C1">
        <w:t>paragraph (</w:t>
      </w:r>
      <w:r w:rsidR="00466869" w:rsidRPr="00E367C1">
        <w:t>b))</w:t>
      </w:r>
    </w:p>
    <w:p w:rsidR="00466869" w:rsidRPr="00E367C1" w:rsidRDefault="00466869" w:rsidP="00466869">
      <w:pPr>
        <w:pStyle w:val="Item"/>
      </w:pPr>
      <w:r w:rsidRPr="00E367C1">
        <w:t>Omit “licensed manufacturers”, substitute “</w:t>
      </w:r>
      <w:bookmarkStart w:id="57" w:name="BK_S3P27L12C44"/>
      <w:bookmarkEnd w:id="57"/>
      <w:r w:rsidRPr="00E367C1">
        <w:t>a licensed manufacturer’.</w:t>
      </w:r>
    </w:p>
    <w:p w:rsidR="00C71096" w:rsidRPr="00E367C1" w:rsidRDefault="00A43FDE" w:rsidP="00C71096">
      <w:pPr>
        <w:pStyle w:val="ItemHead"/>
      </w:pPr>
      <w:r w:rsidRPr="00E367C1">
        <w:t>20</w:t>
      </w:r>
      <w:r w:rsidR="00C71096" w:rsidRPr="00E367C1">
        <w:t xml:space="preserve">  </w:t>
      </w:r>
      <w:r w:rsidR="0005350F" w:rsidRPr="00E367C1">
        <w:t>Schedule</w:t>
      </w:r>
      <w:r w:rsidR="00E367C1" w:rsidRPr="00E367C1">
        <w:t> </w:t>
      </w:r>
      <w:r w:rsidR="0005350F" w:rsidRPr="00E367C1">
        <w:t>7</w:t>
      </w:r>
      <w:r w:rsidR="00C71096" w:rsidRPr="00E367C1">
        <w:t xml:space="preserve"> (table </w:t>
      </w:r>
      <w:r w:rsidR="00A253C6" w:rsidRPr="00E367C1">
        <w:t>item</w:t>
      </w:r>
      <w:r w:rsidR="00E367C1" w:rsidRPr="00E367C1">
        <w:t> </w:t>
      </w:r>
      <w:r w:rsidR="00A253C6" w:rsidRPr="00E367C1">
        <w:t>3</w:t>
      </w:r>
      <w:r w:rsidR="00C71096" w:rsidRPr="00E367C1">
        <w:t>)</w:t>
      </w:r>
    </w:p>
    <w:p w:rsidR="00C71096" w:rsidRPr="00E367C1" w:rsidRDefault="00C71096" w:rsidP="00C71096">
      <w:pPr>
        <w:pStyle w:val="Item"/>
      </w:pPr>
      <w:r w:rsidRPr="00E367C1">
        <w:t>Repeal the item.</w:t>
      </w:r>
    </w:p>
    <w:p w:rsidR="00000DD0" w:rsidRPr="00E367C1" w:rsidRDefault="00A43FDE" w:rsidP="00E02635">
      <w:pPr>
        <w:pStyle w:val="ItemHead"/>
      </w:pPr>
      <w:r w:rsidRPr="00E367C1">
        <w:t>21</w:t>
      </w:r>
      <w:r w:rsidR="00000DD0" w:rsidRPr="00E367C1">
        <w:t xml:space="preserve">  </w:t>
      </w:r>
      <w:r w:rsidR="0005350F" w:rsidRPr="00E367C1">
        <w:t>Schedule</w:t>
      </w:r>
      <w:r w:rsidR="00E367C1" w:rsidRPr="00E367C1">
        <w:t> </w:t>
      </w:r>
      <w:r w:rsidR="0005350F" w:rsidRPr="00E367C1">
        <w:t>7</w:t>
      </w:r>
      <w:r w:rsidR="00000DD0" w:rsidRPr="00E367C1">
        <w:t xml:space="preserve"> (</w:t>
      </w:r>
      <w:r w:rsidR="00647B5F" w:rsidRPr="00E367C1">
        <w:t xml:space="preserve">table </w:t>
      </w:r>
      <w:r w:rsidR="0005350F" w:rsidRPr="00E367C1">
        <w:t>item</w:t>
      </w:r>
      <w:r w:rsidR="00E367C1" w:rsidRPr="00E367C1">
        <w:t> </w:t>
      </w:r>
      <w:r w:rsidR="0005350F" w:rsidRPr="00E367C1">
        <w:t>2</w:t>
      </w:r>
      <w:r w:rsidR="00647B5F" w:rsidRPr="00E367C1">
        <w:t>2, column 2</w:t>
      </w:r>
      <w:r w:rsidR="00000DD0" w:rsidRPr="00E367C1">
        <w:t>)</w:t>
      </w:r>
    </w:p>
    <w:p w:rsidR="00000DD0" w:rsidRPr="00E367C1" w:rsidRDefault="00000DD0" w:rsidP="00000DD0">
      <w:pPr>
        <w:pStyle w:val="Item"/>
      </w:pPr>
      <w:r w:rsidRPr="00E367C1">
        <w:t>Omit “radiopharmaceuticals if”, substitute “radiopharmaceuticals that are”.</w:t>
      </w:r>
    </w:p>
    <w:p w:rsidR="00647B5F" w:rsidRPr="00E367C1" w:rsidRDefault="00A43FDE" w:rsidP="00647B5F">
      <w:pPr>
        <w:pStyle w:val="ItemHead"/>
      </w:pPr>
      <w:r w:rsidRPr="00E367C1">
        <w:t>22</w:t>
      </w:r>
      <w:r w:rsidR="00647B5F" w:rsidRPr="00E367C1">
        <w:t xml:space="preserve">  </w:t>
      </w:r>
      <w:r w:rsidR="0005350F" w:rsidRPr="00E367C1">
        <w:t>Schedule</w:t>
      </w:r>
      <w:r w:rsidR="00E367C1" w:rsidRPr="00E367C1">
        <w:t> </w:t>
      </w:r>
      <w:r w:rsidR="0005350F" w:rsidRPr="00E367C1">
        <w:t>7</w:t>
      </w:r>
      <w:r w:rsidR="00647B5F" w:rsidRPr="00E367C1">
        <w:t xml:space="preserve"> (table </w:t>
      </w:r>
      <w:r w:rsidR="0005350F" w:rsidRPr="00E367C1">
        <w:t>item</w:t>
      </w:r>
      <w:r w:rsidR="00E367C1" w:rsidRPr="00E367C1">
        <w:t> </w:t>
      </w:r>
      <w:r w:rsidR="0005350F" w:rsidRPr="00E367C1">
        <w:t>2</w:t>
      </w:r>
      <w:r w:rsidR="00647B5F" w:rsidRPr="00E367C1">
        <w:t xml:space="preserve">2, column 2, </w:t>
      </w:r>
      <w:r w:rsidR="00E367C1" w:rsidRPr="00E367C1">
        <w:t>paragraphs (</w:t>
      </w:r>
      <w:r w:rsidR="00647B5F" w:rsidRPr="00E367C1">
        <w:t>a) and (b))</w:t>
      </w:r>
    </w:p>
    <w:p w:rsidR="00647B5F" w:rsidRPr="00E367C1" w:rsidRDefault="00647B5F" w:rsidP="00647B5F">
      <w:pPr>
        <w:pStyle w:val="Item"/>
      </w:pPr>
      <w:r w:rsidRPr="00E367C1">
        <w:t>Omit “the radiopharmaceuticals are”.</w:t>
      </w:r>
    </w:p>
    <w:p w:rsidR="00647B5F" w:rsidRPr="00E367C1" w:rsidRDefault="00A43FDE" w:rsidP="00647B5F">
      <w:pPr>
        <w:pStyle w:val="ItemHead"/>
      </w:pPr>
      <w:r w:rsidRPr="00E367C1">
        <w:t>23</w:t>
      </w:r>
      <w:r w:rsidR="00647B5F" w:rsidRPr="00E367C1">
        <w:t xml:space="preserve">  </w:t>
      </w:r>
      <w:r w:rsidR="0005350F" w:rsidRPr="00E367C1">
        <w:t>Schedule</w:t>
      </w:r>
      <w:r w:rsidR="00E367C1" w:rsidRPr="00E367C1">
        <w:t> </w:t>
      </w:r>
      <w:r w:rsidR="0005350F" w:rsidRPr="00E367C1">
        <w:t>7</w:t>
      </w:r>
      <w:r w:rsidR="00647B5F" w:rsidRPr="00E367C1">
        <w:t xml:space="preserve"> (table </w:t>
      </w:r>
      <w:r w:rsidR="0005350F" w:rsidRPr="00E367C1">
        <w:t>item</w:t>
      </w:r>
      <w:r w:rsidR="00E367C1" w:rsidRPr="00E367C1">
        <w:t> </w:t>
      </w:r>
      <w:r w:rsidR="0005350F" w:rsidRPr="00E367C1">
        <w:t>2</w:t>
      </w:r>
      <w:r w:rsidR="00647B5F" w:rsidRPr="00E367C1">
        <w:t>3, column 2)</w:t>
      </w:r>
    </w:p>
    <w:p w:rsidR="00647B5F" w:rsidRPr="00E367C1" w:rsidRDefault="00647B5F" w:rsidP="00647B5F">
      <w:pPr>
        <w:pStyle w:val="Item"/>
      </w:pPr>
      <w:r w:rsidRPr="00E367C1">
        <w:t>Omit “radiopharmaceutical active ingredients if”, substitute “radiopharmaceutical active ingredients that are”.</w:t>
      </w:r>
    </w:p>
    <w:p w:rsidR="00647B5F" w:rsidRPr="00E367C1" w:rsidRDefault="00A43FDE" w:rsidP="00647B5F">
      <w:pPr>
        <w:pStyle w:val="ItemHead"/>
      </w:pPr>
      <w:r w:rsidRPr="00E367C1">
        <w:t>24</w:t>
      </w:r>
      <w:r w:rsidR="00647B5F" w:rsidRPr="00E367C1">
        <w:t xml:space="preserve">  </w:t>
      </w:r>
      <w:r w:rsidR="0005350F" w:rsidRPr="00E367C1">
        <w:t>Schedule</w:t>
      </w:r>
      <w:r w:rsidR="00E367C1" w:rsidRPr="00E367C1">
        <w:t> </w:t>
      </w:r>
      <w:r w:rsidR="0005350F" w:rsidRPr="00E367C1">
        <w:t>7</w:t>
      </w:r>
      <w:r w:rsidR="00647B5F" w:rsidRPr="00E367C1">
        <w:t xml:space="preserve"> (table </w:t>
      </w:r>
      <w:r w:rsidR="0005350F" w:rsidRPr="00E367C1">
        <w:t>item</w:t>
      </w:r>
      <w:r w:rsidR="00E367C1" w:rsidRPr="00E367C1">
        <w:t> </w:t>
      </w:r>
      <w:r w:rsidR="0005350F" w:rsidRPr="00E367C1">
        <w:t>2</w:t>
      </w:r>
      <w:r w:rsidR="00647B5F" w:rsidRPr="00E367C1">
        <w:t xml:space="preserve">3, column 2, </w:t>
      </w:r>
      <w:r w:rsidR="00E367C1" w:rsidRPr="00E367C1">
        <w:t>paragraphs (</w:t>
      </w:r>
      <w:r w:rsidR="00647B5F" w:rsidRPr="00E367C1">
        <w:t>a) and (b))</w:t>
      </w:r>
    </w:p>
    <w:p w:rsidR="00647B5F" w:rsidRPr="00E367C1" w:rsidRDefault="00647B5F" w:rsidP="00647B5F">
      <w:pPr>
        <w:pStyle w:val="Item"/>
      </w:pPr>
      <w:r w:rsidRPr="00E367C1">
        <w:t>Omit “the ingredients are”.</w:t>
      </w:r>
    </w:p>
    <w:p w:rsidR="00E02635" w:rsidRPr="00E367C1" w:rsidRDefault="00A43FDE" w:rsidP="00E02635">
      <w:pPr>
        <w:pStyle w:val="ItemHead"/>
      </w:pPr>
      <w:r w:rsidRPr="00E367C1">
        <w:t>25</w:t>
      </w:r>
      <w:r w:rsidR="00E02635" w:rsidRPr="00E367C1">
        <w:t xml:space="preserve">  </w:t>
      </w:r>
      <w:r w:rsidR="00E832C1" w:rsidRPr="00E367C1">
        <w:t>Schedule</w:t>
      </w:r>
      <w:r w:rsidR="00E367C1" w:rsidRPr="00E367C1">
        <w:t> </w:t>
      </w:r>
      <w:r w:rsidR="00E832C1" w:rsidRPr="00E367C1">
        <w:t>8</w:t>
      </w:r>
      <w:r w:rsidR="00E02635" w:rsidRPr="00E367C1">
        <w:t xml:space="preserve"> (cell at table </w:t>
      </w:r>
      <w:r w:rsidR="00A253C6" w:rsidRPr="00E367C1">
        <w:t>item</w:t>
      </w:r>
      <w:r w:rsidR="00E367C1" w:rsidRPr="00E367C1">
        <w:t> </w:t>
      </w:r>
      <w:r w:rsidR="00A253C6" w:rsidRPr="00E367C1">
        <w:t>1</w:t>
      </w:r>
      <w:r w:rsidR="00E02635" w:rsidRPr="00E367C1">
        <w:t>, column 3)</w:t>
      </w:r>
    </w:p>
    <w:p w:rsidR="00E02635" w:rsidRPr="00E367C1" w:rsidRDefault="00E02635" w:rsidP="00E02635">
      <w:pPr>
        <w:pStyle w:val="Item"/>
      </w:pPr>
      <w:r w:rsidRPr="00E367C1">
        <w:t>Repeal the cell, substitute:</w:t>
      </w:r>
    </w:p>
    <w:tbl>
      <w:tblPr>
        <w:tblW w:w="0" w:type="auto"/>
        <w:tblInd w:w="828" w:type="dxa"/>
        <w:tblLayout w:type="fixed"/>
        <w:tblLook w:val="0020" w:firstRow="1" w:lastRow="0" w:firstColumn="0" w:lastColumn="0" w:noHBand="0" w:noVBand="0"/>
      </w:tblPr>
      <w:tblGrid>
        <w:gridCol w:w="3675"/>
      </w:tblGrid>
      <w:tr w:rsidR="00E02635" w:rsidRPr="00E367C1" w:rsidTr="00C41C6A">
        <w:trPr>
          <w:cantSplit/>
        </w:trPr>
        <w:tc>
          <w:tcPr>
            <w:tcW w:w="3675" w:type="dxa"/>
            <w:shd w:val="clear" w:color="auto" w:fill="auto"/>
          </w:tcPr>
          <w:p w:rsidR="00E02635" w:rsidRPr="00E367C1" w:rsidRDefault="00E02635" w:rsidP="00E02635">
            <w:pPr>
              <w:pStyle w:val="Tabletext"/>
            </w:pPr>
            <w:r w:rsidRPr="00E367C1">
              <w:t>the manufacture of a medicine by a medical practitioner or a dentist specifically for a patient under the medical practitioner’s or dentist’s care</w:t>
            </w:r>
          </w:p>
        </w:tc>
      </w:tr>
    </w:tbl>
    <w:p w:rsidR="007B4EB7" w:rsidRDefault="007B4EB7" w:rsidP="007B4EB7">
      <w:pPr>
        <w:pStyle w:val="ItemHead"/>
      </w:pPr>
      <w:r>
        <w:t>26</w:t>
      </w:r>
      <w:r w:rsidRPr="00E367C1">
        <w:t xml:space="preserve">  </w:t>
      </w:r>
      <w:r w:rsidR="002F025B" w:rsidRPr="00AE02A8">
        <w:t>Clause 3 of Schedule 9 (table item 2A)</w:t>
      </w:r>
    </w:p>
    <w:p w:rsidR="002F025B" w:rsidRDefault="002F025B" w:rsidP="002F025B">
      <w:pPr>
        <w:pStyle w:val="Item"/>
      </w:pPr>
      <w:r>
        <w:t>After:</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61"/>
        <w:gridCol w:w="5353"/>
        <w:gridCol w:w="2115"/>
      </w:tblGrid>
      <w:tr w:rsidR="002F025B" w:rsidRPr="00AE02A8" w:rsidTr="0030489E">
        <w:tc>
          <w:tcPr>
            <w:tcW w:w="622" w:type="pct"/>
            <w:tcBorders>
              <w:top w:val="nil"/>
              <w:bottom w:val="nil"/>
            </w:tcBorders>
            <w:shd w:val="clear" w:color="auto" w:fill="auto"/>
          </w:tcPr>
          <w:p w:rsidR="002F025B" w:rsidRPr="00AE02A8" w:rsidRDefault="002F025B" w:rsidP="0030489E">
            <w:pPr>
              <w:pStyle w:val="Tabletext"/>
            </w:pPr>
          </w:p>
        </w:tc>
        <w:tc>
          <w:tcPr>
            <w:tcW w:w="3138" w:type="pct"/>
            <w:tcBorders>
              <w:top w:val="nil"/>
              <w:bottom w:val="nil"/>
            </w:tcBorders>
            <w:shd w:val="clear" w:color="auto" w:fill="auto"/>
          </w:tcPr>
          <w:p w:rsidR="002F025B" w:rsidRPr="00AE02A8" w:rsidRDefault="002F025B" w:rsidP="0030489E">
            <w:pPr>
              <w:pStyle w:val="Tablea"/>
              <w:ind w:right="-52"/>
              <w:rPr>
                <w:rFonts w:eastAsia="Calibri"/>
                <w:lang w:eastAsia="en-US"/>
              </w:rPr>
            </w:pPr>
            <w:r w:rsidRPr="00AE02A8">
              <w:t>(b) a listed medicine</w:t>
            </w:r>
          </w:p>
        </w:tc>
        <w:tc>
          <w:tcPr>
            <w:tcW w:w="1240" w:type="pct"/>
            <w:tcBorders>
              <w:top w:val="nil"/>
              <w:bottom w:val="nil"/>
            </w:tcBorders>
            <w:shd w:val="clear" w:color="auto" w:fill="auto"/>
          </w:tcPr>
          <w:p w:rsidR="002F025B" w:rsidRPr="00AE02A8" w:rsidRDefault="002F025B" w:rsidP="0030489E">
            <w:pPr>
              <w:pStyle w:val="Tabletext"/>
              <w:rPr>
                <w:rFonts w:eastAsia="Calibri"/>
                <w:lang w:eastAsia="en-US"/>
              </w:rPr>
            </w:pPr>
            <w:r w:rsidRPr="00AE02A8">
              <w:t>440</w:t>
            </w:r>
          </w:p>
        </w:tc>
      </w:tr>
    </w:tbl>
    <w:p w:rsidR="002F025B" w:rsidRDefault="002F025B" w:rsidP="002F025B">
      <w:pPr>
        <w:pStyle w:val="Item"/>
      </w:pPr>
      <w:r>
        <w:t>insert: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61"/>
        <w:gridCol w:w="5353"/>
        <w:gridCol w:w="2115"/>
      </w:tblGrid>
      <w:tr w:rsidR="002F025B" w:rsidRPr="00AE02A8" w:rsidTr="0030489E">
        <w:tc>
          <w:tcPr>
            <w:tcW w:w="622" w:type="pct"/>
            <w:tcBorders>
              <w:top w:val="nil"/>
              <w:bottom w:val="nil"/>
            </w:tcBorders>
            <w:shd w:val="clear" w:color="auto" w:fill="auto"/>
          </w:tcPr>
          <w:p w:rsidR="002F025B" w:rsidRPr="00AE02A8" w:rsidRDefault="002F025B" w:rsidP="0030489E">
            <w:pPr>
              <w:pStyle w:val="Tabletext"/>
            </w:pPr>
          </w:p>
        </w:tc>
        <w:tc>
          <w:tcPr>
            <w:tcW w:w="3138" w:type="pct"/>
            <w:tcBorders>
              <w:top w:val="nil"/>
              <w:bottom w:val="nil"/>
            </w:tcBorders>
            <w:shd w:val="clear" w:color="auto" w:fill="auto"/>
          </w:tcPr>
          <w:p w:rsidR="002F025B" w:rsidRPr="00AE02A8" w:rsidRDefault="002F025B" w:rsidP="0030489E">
            <w:pPr>
              <w:pStyle w:val="Tablea"/>
              <w:ind w:right="-52"/>
              <w:rPr>
                <w:rFonts w:eastAsia="Calibri"/>
                <w:lang w:eastAsia="en-US"/>
              </w:rPr>
            </w:pPr>
            <w:r w:rsidRPr="00AE02A8">
              <w:t>(b</w:t>
            </w:r>
            <w:r>
              <w:t>a</w:t>
            </w:r>
            <w:r w:rsidRPr="00AE02A8">
              <w:t xml:space="preserve">) a </w:t>
            </w:r>
            <w:r w:rsidRPr="00E367C1">
              <w:t>disinfectant</w:t>
            </w:r>
          </w:p>
        </w:tc>
        <w:tc>
          <w:tcPr>
            <w:tcW w:w="1240" w:type="pct"/>
            <w:tcBorders>
              <w:top w:val="nil"/>
              <w:bottom w:val="nil"/>
            </w:tcBorders>
            <w:shd w:val="clear" w:color="auto" w:fill="auto"/>
          </w:tcPr>
          <w:p w:rsidR="002F025B" w:rsidRPr="00AE02A8" w:rsidRDefault="002F025B" w:rsidP="002F025B">
            <w:pPr>
              <w:pStyle w:val="Tabletext"/>
              <w:rPr>
                <w:rFonts w:eastAsia="Calibri"/>
                <w:lang w:eastAsia="en-US"/>
              </w:rPr>
            </w:pPr>
            <w:r w:rsidRPr="00AE02A8">
              <w:t>4</w:t>
            </w:r>
            <w:r>
              <w:t>7</w:t>
            </w:r>
            <w:r w:rsidRPr="00AE02A8">
              <w:t>0</w:t>
            </w:r>
          </w:p>
        </w:tc>
      </w:tr>
    </w:tbl>
    <w:p w:rsidR="008043A2" w:rsidRPr="00E367C1" w:rsidRDefault="00A43FDE" w:rsidP="008043A2">
      <w:pPr>
        <w:pStyle w:val="ItemHead"/>
      </w:pPr>
      <w:r w:rsidRPr="00E367C1">
        <w:t>2</w:t>
      </w:r>
      <w:r w:rsidR="007B4EB7">
        <w:t>7</w:t>
      </w:r>
      <w:r w:rsidR="008043A2" w:rsidRPr="00E367C1">
        <w:t xml:space="preserve">  </w:t>
      </w:r>
      <w:r w:rsidR="0005350F" w:rsidRPr="00E367C1">
        <w:t>Clause</w:t>
      </w:r>
      <w:r w:rsidR="00E367C1" w:rsidRPr="00E367C1">
        <w:t> </w:t>
      </w:r>
      <w:r w:rsidR="0005350F" w:rsidRPr="00E367C1">
        <w:t>3</w:t>
      </w:r>
      <w:r w:rsidR="008043A2" w:rsidRPr="00E367C1">
        <w:t xml:space="preserve"> of </w:t>
      </w:r>
      <w:r w:rsidR="0005350F" w:rsidRPr="00E367C1">
        <w:t>Schedule</w:t>
      </w:r>
      <w:r w:rsidR="00E367C1" w:rsidRPr="00E367C1">
        <w:t> </w:t>
      </w:r>
      <w:r w:rsidR="0005350F" w:rsidRPr="00E367C1">
        <w:t>9</w:t>
      </w:r>
      <w:r w:rsidR="008043A2" w:rsidRPr="00E367C1">
        <w:t xml:space="preserve"> (table item</w:t>
      </w:r>
      <w:r w:rsidR="00E367C1" w:rsidRPr="00E367C1">
        <w:t> </w:t>
      </w:r>
      <w:r w:rsidR="008043A2" w:rsidRPr="00E367C1">
        <w:t>3, column 2</w:t>
      </w:r>
      <w:r w:rsidR="00D47753" w:rsidRPr="00E367C1">
        <w:t xml:space="preserve">, </w:t>
      </w:r>
      <w:r w:rsidR="00E367C1" w:rsidRPr="00E367C1">
        <w:t>paragraph (</w:t>
      </w:r>
      <w:r w:rsidR="00D47753" w:rsidRPr="00E367C1">
        <w:t>a)</w:t>
      </w:r>
      <w:r w:rsidR="008043A2" w:rsidRPr="00E367C1">
        <w:t>)</w:t>
      </w:r>
    </w:p>
    <w:p w:rsidR="008043A2" w:rsidRPr="00E367C1" w:rsidRDefault="008043A2" w:rsidP="008043A2">
      <w:pPr>
        <w:pStyle w:val="Item"/>
      </w:pPr>
      <w:r w:rsidRPr="00E367C1">
        <w:t>Omit “device”, substitute “disinfectant”.</w:t>
      </w:r>
    </w:p>
    <w:p w:rsidR="00B65DA0" w:rsidRPr="00E367C1" w:rsidRDefault="00A43FDE" w:rsidP="00B65DA0">
      <w:pPr>
        <w:pStyle w:val="ItemHead"/>
      </w:pPr>
      <w:r w:rsidRPr="00E367C1">
        <w:t>2</w:t>
      </w:r>
      <w:r w:rsidR="007B4EB7">
        <w:t>8</w:t>
      </w:r>
      <w:r w:rsidR="00B65DA0" w:rsidRPr="00E367C1">
        <w:t xml:space="preserve">  </w:t>
      </w:r>
      <w:r w:rsidR="0005350F" w:rsidRPr="00E367C1">
        <w:t>Clause</w:t>
      </w:r>
      <w:r w:rsidR="00E367C1" w:rsidRPr="00E367C1">
        <w:t> </w:t>
      </w:r>
      <w:r w:rsidR="0005350F" w:rsidRPr="00E367C1">
        <w:t>3</w:t>
      </w:r>
      <w:r w:rsidR="00B65DA0" w:rsidRPr="00E367C1">
        <w:t xml:space="preserve"> of </w:t>
      </w:r>
      <w:r w:rsidR="0005350F" w:rsidRPr="00E367C1">
        <w:t>Schedule</w:t>
      </w:r>
      <w:r w:rsidR="00E367C1" w:rsidRPr="00E367C1">
        <w:t> </w:t>
      </w:r>
      <w:r w:rsidR="0005350F" w:rsidRPr="00E367C1">
        <w:t>9</w:t>
      </w:r>
      <w:r w:rsidR="00B65DA0" w:rsidRPr="00E367C1">
        <w:t xml:space="preserve"> (table item</w:t>
      </w:r>
      <w:r w:rsidR="00E367C1" w:rsidRPr="00E367C1">
        <w:t> </w:t>
      </w:r>
      <w:r w:rsidR="00B65DA0" w:rsidRPr="00E367C1">
        <w:t>6B, column 2)</w:t>
      </w:r>
    </w:p>
    <w:p w:rsidR="00B65DA0" w:rsidRPr="00E367C1" w:rsidRDefault="00B65DA0" w:rsidP="00B65DA0">
      <w:pPr>
        <w:pStyle w:val="Item"/>
      </w:pPr>
      <w:r w:rsidRPr="00E367C1">
        <w:t>Omit “and diagnostic goods for in vitro use”.</w:t>
      </w:r>
    </w:p>
    <w:p w:rsidR="00E02635" w:rsidRPr="00E367C1" w:rsidRDefault="00A43FDE" w:rsidP="00E02635">
      <w:pPr>
        <w:pStyle w:val="ItemHead"/>
      </w:pPr>
      <w:r w:rsidRPr="00E367C1">
        <w:t>2</w:t>
      </w:r>
      <w:r w:rsidR="007B4EB7">
        <w:t>9</w:t>
      </w:r>
      <w:r w:rsidR="00E01C97" w:rsidRPr="00E367C1">
        <w:t xml:space="preserve">  </w:t>
      </w:r>
      <w:r w:rsidR="00E832C1" w:rsidRPr="00E367C1">
        <w:t>Part</w:t>
      </w:r>
      <w:r w:rsidR="00E367C1" w:rsidRPr="00E367C1">
        <w:t> </w:t>
      </w:r>
      <w:r w:rsidR="00E832C1" w:rsidRPr="00E367C1">
        <w:t>1</w:t>
      </w:r>
      <w:r w:rsidR="00E01C97" w:rsidRPr="00E367C1">
        <w:t xml:space="preserve"> of </w:t>
      </w:r>
      <w:r w:rsidR="00EB2DA8" w:rsidRPr="00E367C1">
        <w:t>Schedule</w:t>
      </w:r>
      <w:r w:rsidR="00E367C1" w:rsidRPr="00E367C1">
        <w:t> </w:t>
      </w:r>
      <w:r w:rsidR="00EB2DA8" w:rsidRPr="00E367C1">
        <w:t>1</w:t>
      </w:r>
      <w:r w:rsidR="00E01C97" w:rsidRPr="00E367C1">
        <w:t xml:space="preserve">0 (table </w:t>
      </w:r>
      <w:r w:rsidR="00A253C6" w:rsidRPr="00E367C1">
        <w:t>item</w:t>
      </w:r>
      <w:r w:rsidR="00E367C1" w:rsidRPr="00E367C1">
        <w:t> </w:t>
      </w:r>
      <w:r w:rsidR="00A253C6" w:rsidRPr="00E367C1">
        <w:t>1</w:t>
      </w:r>
      <w:r w:rsidR="00E01C97" w:rsidRPr="00E367C1">
        <w:t>3)</w:t>
      </w:r>
    </w:p>
    <w:p w:rsidR="00E01C97" w:rsidRPr="00E367C1" w:rsidRDefault="00E01C97" w:rsidP="00E01C97">
      <w:pPr>
        <w:pStyle w:val="Item"/>
      </w:pPr>
      <w:r w:rsidRPr="00E367C1">
        <w:t>Omit “, unless coated on a therapeutic device”.</w:t>
      </w:r>
    </w:p>
    <w:p w:rsidR="00E01C97" w:rsidRPr="00E367C1" w:rsidRDefault="007B4EB7" w:rsidP="00E01C97">
      <w:pPr>
        <w:pStyle w:val="ItemHead"/>
      </w:pPr>
      <w:r>
        <w:t>30</w:t>
      </w:r>
      <w:r w:rsidR="00E01C97" w:rsidRPr="00E367C1">
        <w:t xml:space="preserve">  </w:t>
      </w:r>
      <w:r w:rsidR="00A253C6" w:rsidRPr="00E367C1">
        <w:t>Part</w:t>
      </w:r>
      <w:r w:rsidR="00E367C1" w:rsidRPr="00E367C1">
        <w:t> </w:t>
      </w:r>
      <w:r w:rsidR="00A253C6" w:rsidRPr="00E367C1">
        <w:t>3</w:t>
      </w:r>
      <w:r w:rsidR="00E01C97" w:rsidRPr="00E367C1">
        <w:t xml:space="preserve"> of </w:t>
      </w:r>
      <w:r w:rsidR="00EB2DA8" w:rsidRPr="00E367C1">
        <w:t>Schedule</w:t>
      </w:r>
      <w:r w:rsidR="00E367C1" w:rsidRPr="00E367C1">
        <w:t> </w:t>
      </w:r>
      <w:r w:rsidR="00EB2DA8" w:rsidRPr="00E367C1">
        <w:t>1</w:t>
      </w:r>
      <w:r w:rsidR="00E01C97" w:rsidRPr="00E367C1">
        <w:t xml:space="preserve">0 (table </w:t>
      </w:r>
      <w:r w:rsidR="00A253C6" w:rsidRPr="00E367C1">
        <w:t>item</w:t>
      </w:r>
      <w:r w:rsidR="00E367C1" w:rsidRPr="00E367C1">
        <w:t> </w:t>
      </w:r>
      <w:r w:rsidR="00A253C6" w:rsidRPr="00E367C1">
        <w:t>3</w:t>
      </w:r>
      <w:r w:rsidR="00E01C97" w:rsidRPr="00E367C1">
        <w:t>)</w:t>
      </w:r>
    </w:p>
    <w:p w:rsidR="00E01C97" w:rsidRPr="00E367C1" w:rsidRDefault="00E01C97" w:rsidP="00E01C97">
      <w:pPr>
        <w:pStyle w:val="Item"/>
      </w:pPr>
      <w:r w:rsidRPr="00E367C1">
        <w:t>Omit “, except a therapeutic device,”.</w:t>
      </w:r>
    </w:p>
    <w:p w:rsidR="006D39C1" w:rsidRPr="00E367C1" w:rsidRDefault="00E832C1" w:rsidP="0002359A">
      <w:pPr>
        <w:pStyle w:val="ActHead6"/>
        <w:pageBreakBefore/>
      </w:pPr>
      <w:bookmarkStart w:id="58" w:name="_Toc44406874"/>
      <w:bookmarkStart w:id="59" w:name="opcCurrentFind"/>
      <w:r w:rsidRPr="00357BFF">
        <w:rPr>
          <w:rStyle w:val="CharAmSchNo"/>
        </w:rPr>
        <w:t>Schedule</w:t>
      </w:r>
      <w:r w:rsidR="00E367C1" w:rsidRPr="00357BFF">
        <w:rPr>
          <w:rStyle w:val="CharAmSchNo"/>
        </w:rPr>
        <w:t> </w:t>
      </w:r>
      <w:r w:rsidR="00975713" w:rsidRPr="00357BFF">
        <w:rPr>
          <w:rStyle w:val="CharAmSchNo"/>
        </w:rPr>
        <w:t>10</w:t>
      </w:r>
      <w:r w:rsidR="006D39C1" w:rsidRPr="00E367C1">
        <w:t>—</w:t>
      </w:r>
      <w:r w:rsidR="006D39C1" w:rsidRPr="00357BFF">
        <w:rPr>
          <w:rStyle w:val="CharAmSchText"/>
        </w:rPr>
        <w:t xml:space="preserve">Application </w:t>
      </w:r>
      <w:r w:rsidR="00A81065" w:rsidRPr="00357BFF">
        <w:rPr>
          <w:rStyle w:val="CharAmSchText"/>
        </w:rPr>
        <w:t xml:space="preserve">and transitional </w:t>
      </w:r>
      <w:r w:rsidR="006D39C1" w:rsidRPr="00357BFF">
        <w:rPr>
          <w:rStyle w:val="CharAmSchText"/>
        </w:rPr>
        <w:t>provisions</w:t>
      </w:r>
      <w:bookmarkEnd w:id="58"/>
    </w:p>
    <w:bookmarkEnd w:id="59"/>
    <w:p w:rsidR="0002359A" w:rsidRPr="00357BFF" w:rsidRDefault="0002359A" w:rsidP="0002359A">
      <w:pPr>
        <w:pStyle w:val="Header"/>
      </w:pPr>
      <w:r w:rsidRPr="00357BFF">
        <w:rPr>
          <w:rStyle w:val="CharAmPartNo"/>
        </w:rPr>
        <w:t xml:space="preserve"> </w:t>
      </w:r>
      <w:r w:rsidRPr="00357BFF">
        <w:rPr>
          <w:rStyle w:val="CharAmPartText"/>
        </w:rPr>
        <w:t xml:space="preserve"> </w:t>
      </w:r>
    </w:p>
    <w:p w:rsidR="00751ADC" w:rsidRPr="00E367C1" w:rsidRDefault="00751ADC" w:rsidP="00751ADC">
      <w:pPr>
        <w:pStyle w:val="ActHead9"/>
      </w:pPr>
      <w:bookmarkStart w:id="60" w:name="_Toc44406875"/>
      <w:r w:rsidRPr="00E367C1">
        <w:t>Therapeutic Goods (Medical Devices) Regulations</w:t>
      </w:r>
      <w:r w:rsidR="00E367C1" w:rsidRPr="00E367C1">
        <w:t> </w:t>
      </w:r>
      <w:r w:rsidRPr="00E367C1">
        <w:t>2002</w:t>
      </w:r>
      <w:bookmarkEnd w:id="60"/>
    </w:p>
    <w:p w:rsidR="00751ADC" w:rsidRPr="00E367C1" w:rsidRDefault="00F81176" w:rsidP="00751ADC">
      <w:pPr>
        <w:pStyle w:val="ItemHead"/>
      </w:pPr>
      <w:r w:rsidRPr="00E367C1">
        <w:t>1</w:t>
      </w:r>
      <w:r w:rsidR="00751ADC" w:rsidRPr="00E367C1">
        <w:t xml:space="preserve">  In the appropriate position in </w:t>
      </w:r>
      <w:r w:rsidR="00E832C1" w:rsidRPr="00E367C1">
        <w:t>Part</w:t>
      </w:r>
      <w:r w:rsidR="00E367C1" w:rsidRPr="00E367C1">
        <w:t> </w:t>
      </w:r>
      <w:r w:rsidR="00E832C1" w:rsidRPr="00E367C1">
        <w:t>1</w:t>
      </w:r>
      <w:r w:rsidR="00751ADC" w:rsidRPr="00E367C1">
        <w:t>1</w:t>
      </w:r>
    </w:p>
    <w:p w:rsidR="00751ADC" w:rsidRPr="00E367C1" w:rsidRDefault="00751ADC" w:rsidP="00751ADC">
      <w:pPr>
        <w:pStyle w:val="Item"/>
      </w:pPr>
      <w:r w:rsidRPr="00E367C1">
        <w:t>Insert:</w:t>
      </w:r>
    </w:p>
    <w:p w:rsidR="00751ADC" w:rsidRPr="00E367C1" w:rsidRDefault="00FE690A" w:rsidP="00751ADC">
      <w:pPr>
        <w:pStyle w:val="ActHead3"/>
      </w:pPr>
      <w:bookmarkStart w:id="61" w:name="_Toc44406876"/>
      <w:r w:rsidRPr="00357BFF">
        <w:rPr>
          <w:rStyle w:val="CharDivNo"/>
        </w:rPr>
        <w:t>Division</w:t>
      </w:r>
      <w:r w:rsidR="00E367C1" w:rsidRPr="00357BFF">
        <w:rPr>
          <w:rStyle w:val="CharDivNo"/>
        </w:rPr>
        <w:t> </w:t>
      </w:r>
      <w:r w:rsidRPr="00357BFF">
        <w:rPr>
          <w:rStyle w:val="CharDivNo"/>
        </w:rPr>
        <w:t>1</w:t>
      </w:r>
      <w:r w:rsidR="00751ADC" w:rsidRPr="00357BFF">
        <w:rPr>
          <w:rStyle w:val="CharDivNo"/>
        </w:rPr>
        <w:t>1.11</w:t>
      </w:r>
      <w:r w:rsidR="00751ADC" w:rsidRPr="00E367C1">
        <w:t>—</w:t>
      </w:r>
      <w:r w:rsidR="00751ADC" w:rsidRPr="00357BFF">
        <w:rPr>
          <w:rStyle w:val="CharDivText"/>
        </w:rPr>
        <w:t>Application provisions relating to the Therapeutic Goods Legislation Amendment (2020 Measures No.</w:t>
      </w:r>
      <w:r w:rsidR="00E367C1" w:rsidRPr="00357BFF">
        <w:rPr>
          <w:rStyle w:val="CharDivText"/>
        </w:rPr>
        <w:t> </w:t>
      </w:r>
      <w:r w:rsidR="00751ADC" w:rsidRPr="00357BFF">
        <w:rPr>
          <w:rStyle w:val="CharDivText"/>
        </w:rPr>
        <w:t>1) Regulations</w:t>
      </w:r>
      <w:r w:rsidR="00E367C1" w:rsidRPr="00357BFF">
        <w:rPr>
          <w:rStyle w:val="CharDivText"/>
        </w:rPr>
        <w:t> </w:t>
      </w:r>
      <w:r w:rsidR="00751ADC" w:rsidRPr="00357BFF">
        <w:rPr>
          <w:rStyle w:val="CharDivText"/>
        </w:rPr>
        <w:t>2020</w:t>
      </w:r>
      <w:bookmarkEnd w:id="61"/>
    </w:p>
    <w:p w:rsidR="00751ADC" w:rsidRPr="00E367C1" w:rsidRDefault="00751ADC" w:rsidP="00751ADC">
      <w:pPr>
        <w:pStyle w:val="ActHead5"/>
      </w:pPr>
      <w:bookmarkStart w:id="62" w:name="_Toc44406877"/>
      <w:r w:rsidRPr="00357BFF">
        <w:rPr>
          <w:rStyle w:val="CharSectno"/>
        </w:rPr>
        <w:t>11.55</w:t>
      </w:r>
      <w:r w:rsidRPr="00E367C1">
        <w:t xml:space="preserve">  System or procedure packs</w:t>
      </w:r>
      <w:bookmarkEnd w:id="62"/>
    </w:p>
    <w:p w:rsidR="00751ADC" w:rsidRPr="00E367C1" w:rsidRDefault="00751ADC" w:rsidP="00751ADC">
      <w:pPr>
        <w:pStyle w:val="subsection"/>
      </w:pPr>
      <w:r w:rsidRPr="00E367C1">
        <w:tab/>
      </w:r>
      <w:r w:rsidRPr="00E367C1">
        <w:tab/>
        <w:t xml:space="preserve">The amendments made by </w:t>
      </w:r>
      <w:r w:rsidR="0005350F" w:rsidRPr="00E367C1">
        <w:t>Part</w:t>
      </w:r>
      <w:r w:rsidR="00E367C1" w:rsidRPr="00E367C1">
        <w:t> </w:t>
      </w:r>
      <w:r w:rsidR="0005350F" w:rsidRPr="00E367C1">
        <w:t>2</w:t>
      </w:r>
      <w:r w:rsidR="006E3B34" w:rsidRPr="00E367C1">
        <w:t xml:space="preserve"> of</w:t>
      </w:r>
      <w:r w:rsidRPr="00E367C1">
        <w:t xml:space="preserve"> </w:t>
      </w:r>
      <w:r w:rsidR="00EB2DA8" w:rsidRPr="00E367C1">
        <w:t>Schedule</w:t>
      </w:r>
      <w:r w:rsidR="00E367C1" w:rsidRPr="00E367C1">
        <w:t> </w:t>
      </w:r>
      <w:r w:rsidR="00EB2DA8" w:rsidRPr="00E367C1">
        <w:t>1</w:t>
      </w:r>
      <w:r w:rsidRPr="00E367C1">
        <w:t xml:space="preserve"> to the </w:t>
      </w:r>
      <w:r w:rsidRPr="00E367C1">
        <w:rPr>
          <w:i/>
        </w:rPr>
        <w:t>Therapeutic Goods Legislation Amendment (2020 Measures No.</w:t>
      </w:r>
      <w:r w:rsidR="00E367C1" w:rsidRPr="00E367C1">
        <w:rPr>
          <w:i/>
        </w:rPr>
        <w:t> </w:t>
      </w:r>
      <w:r w:rsidRPr="00E367C1">
        <w:rPr>
          <w:i/>
        </w:rPr>
        <w:t>1) Regulations</w:t>
      </w:r>
      <w:r w:rsidR="00E367C1" w:rsidRPr="00E367C1">
        <w:rPr>
          <w:i/>
        </w:rPr>
        <w:t> </w:t>
      </w:r>
      <w:r w:rsidRPr="00E367C1">
        <w:rPr>
          <w:i/>
        </w:rPr>
        <w:t>2020</w:t>
      </w:r>
      <w:r w:rsidRPr="00E367C1">
        <w:t xml:space="preserve"> apply in relation to a system or procedure pack that is manufactured on or after the commencement of that </w:t>
      </w:r>
      <w:r w:rsidR="006E3B34" w:rsidRPr="00E367C1">
        <w:t>Part</w:t>
      </w:r>
      <w:r w:rsidRPr="00E367C1">
        <w:t>.</w:t>
      </w:r>
    </w:p>
    <w:p w:rsidR="00751ADC" w:rsidRPr="00E367C1" w:rsidRDefault="00751ADC" w:rsidP="00751ADC">
      <w:pPr>
        <w:pStyle w:val="ActHead5"/>
      </w:pPr>
      <w:bookmarkStart w:id="63" w:name="_Toc44406878"/>
      <w:r w:rsidRPr="00357BFF">
        <w:rPr>
          <w:rStyle w:val="CharSectno"/>
        </w:rPr>
        <w:t>11.56</w:t>
      </w:r>
      <w:r w:rsidRPr="00E367C1">
        <w:t xml:space="preserve">  Period for notifying adverse events</w:t>
      </w:r>
      <w:bookmarkEnd w:id="63"/>
    </w:p>
    <w:p w:rsidR="00751ADC" w:rsidRPr="00E367C1" w:rsidRDefault="00751ADC" w:rsidP="00751ADC">
      <w:pPr>
        <w:pStyle w:val="subsection"/>
      </w:pPr>
      <w:r w:rsidRPr="00E367C1">
        <w:tab/>
      </w:r>
      <w:r w:rsidRPr="00E367C1">
        <w:tab/>
      </w:r>
      <w:r w:rsidR="00EB2DA8" w:rsidRPr="00E367C1">
        <w:t>Paragraph</w:t>
      </w:r>
      <w:r w:rsidR="00E367C1" w:rsidRPr="00E367C1">
        <w:t xml:space="preserve"> </w:t>
      </w:r>
      <w:r w:rsidR="00EB2DA8" w:rsidRPr="00E367C1">
        <w:t>5</w:t>
      </w:r>
      <w:r w:rsidRPr="00E367C1">
        <w:t>.7(1</w:t>
      </w:r>
      <w:r w:rsidR="00B40B0B" w:rsidRPr="00E367C1">
        <w:t>)</w:t>
      </w:r>
      <w:r w:rsidRPr="00E367C1">
        <w:t xml:space="preserve">(d), as inserted by </w:t>
      </w:r>
      <w:r w:rsidR="0005350F" w:rsidRPr="00E367C1">
        <w:t>Schedule</w:t>
      </w:r>
      <w:r w:rsidR="00E367C1" w:rsidRPr="00E367C1">
        <w:t> </w:t>
      </w:r>
      <w:r w:rsidR="0005350F" w:rsidRPr="00E367C1">
        <w:t>3</w:t>
      </w:r>
      <w:r w:rsidR="00A81065" w:rsidRPr="00E367C1">
        <w:t xml:space="preserve"> to the </w:t>
      </w:r>
      <w:r w:rsidR="00A81065" w:rsidRPr="00E367C1">
        <w:rPr>
          <w:i/>
        </w:rPr>
        <w:t>Therapeutic Goods Legislation Amendment (2020 Measures No.</w:t>
      </w:r>
      <w:r w:rsidR="00E367C1" w:rsidRPr="00E367C1">
        <w:rPr>
          <w:i/>
        </w:rPr>
        <w:t> </w:t>
      </w:r>
      <w:r w:rsidR="00A81065" w:rsidRPr="00E367C1">
        <w:rPr>
          <w:i/>
        </w:rPr>
        <w:t>1) Regulations</w:t>
      </w:r>
      <w:r w:rsidR="00E367C1" w:rsidRPr="00E367C1">
        <w:rPr>
          <w:i/>
        </w:rPr>
        <w:t> </w:t>
      </w:r>
      <w:r w:rsidR="00A81065" w:rsidRPr="00E367C1">
        <w:rPr>
          <w:i/>
        </w:rPr>
        <w:t>2020</w:t>
      </w:r>
      <w:r w:rsidR="00A81065" w:rsidRPr="00E367C1">
        <w:t xml:space="preserve">, applies in relation to information that a person becomes aware of on or after the commencement of that </w:t>
      </w:r>
      <w:r w:rsidR="006E3B34" w:rsidRPr="00E367C1">
        <w:t>Schedule</w:t>
      </w:r>
      <w:r w:rsidR="00A81065" w:rsidRPr="00E367C1">
        <w:t>.</w:t>
      </w:r>
    </w:p>
    <w:p w:rsidR="00A92C1A" w:rsidRPr="00E367C1" w:rsidRDefault="00A92C1A" w:rsidP="00A92C1A">
      <w:pPr>
        <w:pStyle w:val="ActHead5"/>
      </w:pPr>
      <w:bookmarkStart w:id="64" w:name="_Toc44406879"/>
      <w:r w:rsidRPr="00357BFF">
        <w:rPr>
          <w:rStyle w:val="CharSectno"/>
        </w:rPr>
        <w:t>11.57</w:t>
      </w:r>
      <w:r w:rsidRPr="00E367C1">
        <w:t xml:space="preserve">  Class 4 in</w:t>
      </w:r>
      <w:r w:rsidR="00E367C1">
        <w:noBreakHyphen/>
      </w:r>
      <w:r w:rsidRPr="00E367C1">
        <w:t xml:space="preserve">house </w:t>
      </w:r>
      <w:proofErr w:type="spellStart"/>
      <w:r w:rsidRPr="00E367C1">
        <w:t>IVD</w:t>
      </w:r>
      <w:proofErr w:type="spellEnd"/>
      <w:r w:rsidRPr="00E367C1">
        <w:t xml:space="preserve"> medical device</w:t>
      </w:r>
      <w:r w:rsidR="004A21FB" w:rsidRPr="00E367C1">
        <w:t>s</w:t>
      </w:r>
      <w:bookmarkEnd w:id="64"/>
    </w:p>
    <w:p w:rsidR="009A3EA7" w:rsidRPr="00E367C1" w:rsidRDefault="00A92C1A" w:rsidP="00A92C1A">
      <w:pPr>
        <w:pStyle w:val="subsection"/>
      </w:pPr>
      <w:r w:rsidRPr="00E367C1">
        <w:tab/>
      </w:r>
      <w:r w:rsidRPr="00E367C1">
        <w:tab/>
      </w:r>
      <w:r w:rsidR="0005350F" w:rsidRPr="00E367C1">
        <w:t>Item</w:t>
      </w:r>
      <w:r w:rsidR="00E367C1" w:rsidRPr="00E367C1">
        <w:t> </w:t>
      </w:r>
      <w:r w:rsidR="0005350F" w:rsidRPr="00E367C1">
        <w:t>2</w:t>
      </w:r>
      <w:r w:rsidRPr="00E367C1">
        <w:t xml:space="preserve">.10A of the table in </w:t>
      </w:r>
      <w:r w:rsidR="0005350F" w:rsidRPr="00E367C1">
        <w:t>Part</w:t>
      </w:r>
      <w:r w:rsidR="00E367C1" w:rsidRPr="00E367C1">
        <w:t> </w:t>
      </w:r>
      <w:r w:rsidR="0005350F" w:rsidRPr="00E367C1">
        <w:t>2</w:t>
      </w:r>
      <w:r w:rsidRPr="00E367C1">
        <w:t xml:space="preserve"> of </w:t>
      </w:r>
      <w:r w:rsidR="0005350F" w:rsidRPr="00E367C1">
        <w:t>Schedule</w:t>
      </w:r>
      <w:r w:rsidR="00E367C1" w:rsidRPr="00E367C1">
        <w:t> </w:t>
      </w:r>
      <w:r w:rsidR="0005350F" w:rsidRPr="00E367C1">
        <w:t>4</w:t>
      </w:r>
      <w:r w:rsidRPr="00E367C1">
        <w:t xml:space="preserve">, as inserted by </w:t>
      </w:r>
      <w:r w:rsidR="0005350F" w:rsidRPr="00E367C1">
        <w:t>Schedule</w:t>
      </w:r>
      <w:r w:rsidR="00E367C1" w:rsidRPr="00E367C1">
        <w:t> </w:t>
      </w:r>
      <w:r w:rsidR="0005350F" w:rsidRPr="00E367C1">
        <w:t>7</w:t>
      </w:r>
      <w:r w:rsidRPr="00E367C1">
        <w:t xml:space="preserve"> to the </w:t>
      </w:r>
      <w:r w:rsidRPr="00E367C1">
        <w:rPr>
          <w:i/>
        </w:rPr>
        <w:t>Therapeutic Goods Legislation Amendment (2020 Measures No.</w:t>
      </w:r>
      <w:r w:rsidR="00E367C1" w:rsidRPr="00E367C1">
        <w:rPr>
          <w:i/>
        </w:rPr>
        <w:t> </w:t>
      </w:r>
      <w:r w:rsidRPr="00E367C1">
        <w:rPr>
          <w:i/>
        </w:rPr>
        <w:t>1) Regulations</w:t>
      </w:r>
      <w:r w:rsidR="00E367C1" w:rsidRPr="00E367C1">
        <w:rPr>
          <w:i/>
        </w:rPr>
        <w:t> </w:t>
      </w:r>
      <w:r w:rsidRPr="00E367C1">
        <w:rPr>
          <w:i/>
        </w:rPr>
        <w:t>2020</w:t>
      </w:r>
      <w:r w:rsidRPr="00E367C1">
        <w:t xml:space="preserve">, applies in relation to </w:t>
      </w:r>
      <w:r w:rsidR="009A3EA7" w:rsidRPr="00E367C1">
        <w:t>the following:</w:t>
      </w:r>
    </w:p>
    <w:p w:rsidR="00A92C1A" w:rsidRPr="00E367C1" w:rsidRDefault="009A3EA7" w:rsidP="009A3EA7">
      <w:pPr>
        <w:pStyle w:val="paragraph"/>
      </w:pPr>
      <w:r w:rsidRPr="00E367C1">
        <w:tab/>
        <w:t>(a)</w:t>
      </w:r>
      <w:r w:rsidRPr="00E367C1">
        <w:tab/>
      </w:r>
      <w:r w:rsidR="00A92C1A" w:rsidRPr="00E367C1">
        <w:t>a Class 4 in</w:t>
      </w:r>
      <w:r w:rsidR="00E367C1">
        <w:noBreakHyphen/>
      </w:r>
      <w:r w:rsidR="00A92C1A" w:rsidRPr="00E367C1">
        <w:t xml:space="preserve">house </w:t>
      </w:r>
      <w:proofErr w:type="spellStart"/>
      <w:r w:rsidR="00A92C1A" w:rsidRPr="00E367C1">
        <w:t>IVD</w:t>
      </w:r>
      <w:proofErr w:type="spellEnd"/>
      <w:r w:rsidR="00A92C1A" w:rsidRPr="00E367C1">
        <w:t xml:space="preserve"> medical device that is </w:t>
      </w:r>
      <w:r w:rsidR="008621AC" w:rsidRPr="00E367C1">
        <w:t>manufactured</w:t>
      </w:r>
      <w:r w:rsidR="00A92C1A" w:rsidRPr="00E367C1">
        <w:t xml:space="preserve"> on or after the commencement of this regulation</w:t>
      </w:r>
      <w:r w:rsidRPr="00E367C1">
        <w:t>;</w:t>
      </w:r>
    </w:p>
    <w:p w:rsidR="009A3EA7" w:rsidRPr="00E367C1" w:rsidRDefault="009A3EA7" w:rsidP="009A3EA7">
      <w:pPr>
        <w:pStyle w:val="paragraph"/>
      </w:pPr>
      <w:r w:rsidRPr="00E367C1">
        <w:tab/>
        <w:t>(b)</w:t>
      </w:r>
      <w:r w:rsidRPr="00E367C1">
        <w:tab/>
        <w:t>a Class 4 in</w:t>
      </w:r>
      <w:r w:rsidR="00E367C1">
        <w:noBreakHyphen/>
      </w:r>
      <w:r w:rsidRPr="00E367C1">
        <w:t xml:space="preserve">house </w:t>
      </w:r>
      <w:proofErr w:type="spellStart"/>
      <w:r w:rsidRPr="00E367C1">
        <w:t>IVD</w:t>
      </w:r>
      <w:proofErr w:type="spellEnd"/>
      <w:r w:rsidRPr="00E367C1">
        <w:t xml:space="preserve"> medical device that is manufactured before that commencement and is intended by its manufacturer to be used on or after that commencement.</w:t>
      </w:r>
    </w:p>
    <w:p w:rsidR="006D39C1" w:rsidRPr="00E367C1" w:rsidRDefault="006D39C1" w:rsidP="00A92C1A">
      <w:pPr>
        <w:pStyle w:val="ActHead9"/>
      </w:pPr>
      <w:bookmarkStart w:id="65" w:name="_Toc44406880"/>
      <w:r w:rsidRPr="00E367C1">
        <w:t>Therapeutic Goods Regulations</w:t>
      </w:r>
      <w:r w:rsidR="00E367C1" w:rsidRPr="00E367C1">
        <w:t> </w:t>
      </w:r>
      <w:r w:rsidRPr="00E367C1">
        <w:t>1990</w:t>
      </w:r>
      <w:bookmarkEnd w:id="65"/>
    </w:p>
    <w:p w:rsidR="006D39C1" w:rsidRPr="00E367C1" w:rsidRDefault="006D39C1" w:rsidP="006D39C1">
      <w:pPr>
        <w:pStyle w:val="ItemHead"/>
      </w:pPr>
      <w:r w:rsidRPr="00E367C1">
        <w:t>2  In the appropriate position in Part</w:t>
      </w:r>
      <w:r w:rsidR="00E367C1" w:rsidRPr="00E367C1">
        <w:t> </w:t>
      </w:r>
      <w:r w:rsidRPr="00E367C1">
        <w:t>9</w:t>
      </w:r>
    </w:p>
    <w:p w:rsidR="006D39C1" w:rsidRPr="00E367C1" w:rsidRDefault="006D39C1" w:rsidP="006D39C1">
      <w:pPr>
        <w:pStyle w:val="Item"/>
      </w:pPr>
      <w:r w:rsidRPr="00E367C1">
        <w:t>Insert:</w:t>
      </w:r>
    </w:p>
    <w:p w:rsidR="006D39C1" w:rsidRPr="00E367C1" w:rsidRDefault="00FE690A" w:rsidP="006D39C1">
      <w:pPr>
        <w:pStyle w:val="ActHead3"/>
      </w:pPr>
      <w:bookmarkStart w:id="66" w:name="_Toc44406881"/>
      <w:r w:rsidRPr="00357BFF">
        <w:rPr>
          <w:rStyle w:val="CharDivNo"/>
        </w:rPr>
        <w:t>Division</w:t>
      </w:r>
      <w:r w:rsidR="00E367C1" w:rsidRPr="00357BFF">
        <w:rPr>
          <w:rStyle w:val="CharDivNo"/>
        </w:rPr>
        <w:t> </w:t>
      </w:r>
      <w:r w:rsidRPr="00357BFF">
        <w:rPr>
          <w:rStyle w:val="CharDivNo"/>
        </w:rPr>
        <w:t>1</w:t>
      </w:r>
      <w:r w:rsidR="006D39C1" w:rsidRPr="00357BFF">
        <w:rPr>
          <w:rStyle w:val="CharDivNo"/>
        </w:rPr>
        <w:t>3</w:t>
      </w:r>
      <w:r w:rsidR="006D39C1" w:rsidRPr="00E367C1">
        <w:t>—</w:t>
      </w:r>
      <w:r w:rsidR="006D39C1" w:rsidRPr="00357BFF">
        <w:rPr>
          <w:rStyle w:val="CharDivText"/>
        </w:rPr>
        <w:t xml:space="preserve">Application </w:t>
      </w:r>
      <w:r w:rsidR="005B3715" w:rsidRPr="00357BFF">
        <w:rPr>
          <w:rStyle w:val="CharDivText"/>
        </w:rPr>
        <w:t xml:space="preserve">and saving </w:t>
      </w:r>
      <w:r w:rsidR="006D39C1" w:rsidRPr="00357BFF">
        <w:rPr>
          <w:rStyle w:val="CharDivText"/>
        </w:rPr>
        <w:t>provisions relating to the Therapeutic Goods Legislation Amendment (2020 Measures No.</w:t>
      </w:r>
      <w:r w:rsidR="00E367C1" w:rsidRPr="00357BFF">
        <w:rPr>
          <w:rStyle w:val="CharDivText"/>
        </w:rPr>
        <w:t> </w:t>
      </w:r>
      <w:r w:rsidR="006D39C1" w:rsidRPr="00357BFF">
        <w:rPr>
          <w:rStyle w:val="CharDivText"/>
        </w:rPr>
        <w:t>1) Regulations</w:t>
      </w:r>
      <w:r w:rsidR="00E367C1" w:rsidRPr="00357BFF">
        <w:rPr>
          <w:rStyle w:val="CharDivText"/>
        </w:rPr>
        <w:t> </w:t>
      </w:r>
      <w:r w:rsidR="006D39C1" w:rsidRPr="00357BFF">
        <w:rPr>
          <w:rStyle w:val="CharDivText"/>
        </w:rPr>
        <w:t>2020</w:t>
      </w:r>
      <w:bookmarkEnd w:id="66"/>
    </w:p>
    <w:p w:rsidR="00D749B0" w:rsidRPr="00E367C1" w:rsidRDefault="00D749B0" w:rsidP="006D39C1">
      <w:pPr>
        <w:pStyle w:val="ActHead5"/>
      </w:pPr>
      <w:bookmarkStart w:id="67" w:name="_Toc44406882"/>
      <w:r w:rsidRPr="00357BFF">
        <w:rPr>
          <w:rStyle w:val="CharSectno"/>
        </w:rPr>
        <w:t>76</w:t>
      </w:r>
      <w:r w:rsidRPr="00E367C1">
        <w:t xml:space="preserve">  Approving supply of therapeutic goods under authorised prescriber scheme</w:t>
      </w:r>
      <w:bookmarkEnd w:id="67"/>
    </w:p>
    <w:p w:rsidR="00D749B0" w:rsidRPr="00E367C1" w:rsidRDefault="00D749B0" w:rsidP="00D749B0">
      <w:pPr>
        <w:pStyle w:val="subsection"/>
      </w:pPr>
      <w:r w:rsidRPr="00E367C1">
        <w:tab/>
      </w:r>
      <w:r w:rsidRPr="00E367C1">
        <w:tab/>
      </w:r>
      <w:proofErr w:type="spellStart"/>
      <w:r w:rsidR="00E832C1" w:rsidRPr="00E367C1">
        <w:t>Subregulation</w:t>
      </w:r>
      <w:proofErr w:type="spellEnd"/>
      <w:r w:rsidR="00E367C1" w:rsidRPr="00E367C1">
        <w:t> </w:t>
      </w:r>
      <w:r w:rsidR="00E832C1" w:rsidRPr="00E367C1">
        <w:t>1</w:t>
      </w:r>
      <w:r w:rsidRPr="00E367C1">
        <w:t xml:space="preserve">2B(1B), as inserted by </w:t>
      </w:r>
      <w:r w:rsidR="0005350F" w:rsidRPr="00E367C1">
        <w:t>Schedule</w:t>
      </w:r>
      <w:r w:rsidR="00E367C1" w:rsidRPr="00E367C1">
        <w:t> </w:t>
      </w:r>
      <w:r w:rsidR="0005350F" w:rsidRPr="00E367C1">
        <w:t>4</w:t>
      </w:r>
      <w:r w:rsidRPr="00E367C1">
        <w:t xml:space="preserve"> to the </w:t>
      </w:r>
      <w:r w:rsidRPr="00E367C1">
        <w:rPr>
          <w:i/>
        </w:rPr>
        <w:t>Therapeutic Goods Legislation Amendment (2020 Measures No.</w:t>
      </w:r>
      <w:r w:rsidR="00E367C1" w:rsidRPr="00E367C1">
        <w:rPr>
          <w:i/>
        </w:rPr>
        <w:t> </w:t>
      </w:r>
      <w:r w:rsidRPr="00E367C1">
        <w:rPr>
          <w:i/>
        </w:rPr>
        <w:t>1) Regulations</w:t>
      </w:r>
      <w:r w:rsidR="00E367C1" w:rsidRPr="00E367C1">
        <w:rPr>
          <w:i/>
        </w:rPr>
        <w:t> </w:t>
      </w:r>
      <w:r w:rsidRPr="00E367C1">
        <w:rPr>
          <w:i/>
        </w:rPr>
        <w:t>2020</w:t>
      </w:r>
      <w:r w:rsidRPr="00E367C1">
        <w:t>, appl</w:t>
      </w:r>
      <w:r w:rsidR="004E14D8" w:rsidRPr="00E367C1">
        <w:t>ies</w:t>
      </w:r>
      <w:r w:rsidRPr="00E367C1">
        <w:t xml:space="preserve"> in relation to an authority given under </w:t>
      </w:r>
      <w:r w:rsidR="00E832C1" w:rsidRPr="00E367C1">
        <w:t>subsection</w:t>
      </w:r>
      <w:r w:rsidR="00E367C1" w:rsidRPr="00E367C1">
        <w:t> </w:t>
      </w:r>
      <w:r w:rsidR="00E832C1" w:rsidRPr="00E367C1">
        <w:t>1</w:t>
      </w:r>
      <w:r w:rsidRPr="00E367C1">
        <w:t>9(5) of the Act on or after the commencement of that Schedule.</w:t>
      </w:r>
    </w:p>
    <w:p w:rsidR="006D39C1" w:rsidRPr="00E367C1" w:rsidRDefault="006D39C1" w:rsidP="006D39C1">
      <w:pPr>
        <w:pStyle w:val="ActHead5"/>
      </w:pPr>
      <w:bookmarkStart w:id="68" w:name="_Toc44406883"/>
      <w:r w:rsidRPr="00357BFF">
        <w:rPr>
          <w:rStyle w:val="CharSectno"/>
        </w:rPr>
        <w:t>7</w:t>
      </w:r>
      <w:r w:rsidR="00D749B0" w:rsidRPr="00357BFF">
        <w:rPr>
          <w:rStyle w:val="CharSectno"/>
        </w:rPr>
        <w:t>7</w:t>
      </w:r>
      <w:r w:rsidRPr="00E367C1">
        <w:t xml:space="preserve">  Preliminary assessment of applications for variation of permissible ingredients determination</w:t>
      </w:r>
      <w:bookmarkEnd w:id="68"/>
    </w:p>
    <w:p w:rsidR="006D39C1" w:rsidRPr="00E367C1" w:rsidRDefault="006D39C1" w:rsidP="006D39C1">
      <w:pPr>
        <w:pStyle w:val="subsection"/>
      </w:pPr>
      <w:r w:rsidRPr="00E367C1">
        <w:tab/>
        <w:t>(1)</w:t>
      </w:r>
      <w:r w:rsidRPr="00E367C1">
        <w:tab/>
        <w:t>The amendment</w:t>
      </w:r>
      <w:r w:rsidR="0002359A" w:rsidRPr="00E367C1">
        <w:t>s</w:t>
      </w:r>
      <w:r w:rsidRPr="00E367C1">
        <w:t xml:space="preserve"> of regulation</w:t>
      </w:r>
      <w:r w:rsidR="00E367C1" w:rsidRPr="00E367C1">
        <w:t> </w:t>
      </w:r>
      <w:r w:rsidRPr="00E367C1">
        <w:t xml:space="preserve">16GI </w:t>
      </w:r>
      <w:r w:rsidR="009C476F" w:rsidRPr="00E367C1">
        <w:t xml:space="preserve">and </w:t>
      </w:r>
      <w:r w:rsidRPr="00E367C1">
        <w:t xml:space="preserve">of </w:t>
      </w:r>
      <w:r w:rsidR="0005350F" w:rsidRPr="00E367C1">
        <w:t>items</w:t>
      </w:r>
      <w:r w:rsidR="00E367C1" w:rsidRPr="00E367C1">
        <w:t> </w:t>
      </w:r>
      <w:r w:rsidR="0005350F" w:rsidRPr="00E367C1">
        <w:t>2</w:t>
      </w:r>
      <w:r w:rsidRPr="00E367C1">
        <w:t xml:space="preserve">8, 30, 32 and 34 of </w:t>
      </w:r>
      <w:r w:rsidR="0048620D" w:rsidRPr="00E367C1">
        <w:t xml:space="preserve">the table in </w:t>
      </w:r>
      <w:r w:rsidRPr="00E367C1">
        <w:t>clause</w:t>
      </w:r>
      <w:r w:rsidR="00E367C1" w:rsidRPr="00E367C1">
        <w:t> </w:t>
      </w:r>
      <w:r w:rsidRPr="00E367C1">
        <w:t xml:space="preserve">5 of </w:t>
      </w:r>
      <w:r w:rsidR="0005350F" w:rsidRPr="00E367C1">
        <w:t>Schedule</w:t>
      </w:r>
      <w:r w:rsidR="00E367C1" w:rsidRPr="00E367C1">
        <w:t> </w:t>
      </w:r>
      <w:r w:rsidR="0005350F" w:rsidRPr="00E367C1">
        <w:t>9</w:t>
      </w:r>
      <w:r w:rsidRPr="00E367C1">
        <w:t xml:space="preserve"> made by </w:t>
      </w:r>
      <w:r w:rsidR="00E832C1" w:rsidRPr="00E367C1">
        <w:t>Schedule</w:t>
      </w:r>
      <w:r w:rsidR="00E367C1" w:rsidRPr="00E367C1">
        <w:t> </w:t>
      </w:r>
      <w:r w:rsidR="00E832C1" w:rsidRPr="00E367C1">
        <w:t>6</w:t>
      </w:r>
      <w:r w:rsidRPr="00E367C1">
        <w:t xml:space="preserve"> to the </w:t>
      </w:r>
      <w:r w:rsidRPr="00E367C1">
        <w:rPr>
          <w:i/>
        </w:rPr>
        <w:t>Therapeutic Goods Legislation Amendment (2020 Measures No.</w:t>
      </w:r>
      <w:r w:rsidR="00E367C1" w:rsidRPr="00E367C1">
        <w:rPr>
          <w:i/>
        </w:rPr>
        <w:t> </w:t>
      </w:r>
      <w:r w:rsidRPr="00E367C1">
        <w:rPr>
          <w:i/>
        </w:rPr>
        <w:t>1) Regulations</w:t>
      </w:r>
      <w:r w:rsidR="00E367C1" w:rsidRPr="00E367C1">
        <w:rPr>
          <w:i/>
        </w:rPr>
        <w:t> </w:t>
      </w:r>
      <w:r w:rsidRPr="00E367C1">
        <w:rPr>
          <w:i/>
        </w:rPr>
        <w:t>2020</w:t>
      </w:r>
      <w:r w:rsidRPr="00E367C1">
        <w:t xml:space="preserve"> apply in relation to an application made under </w:t>
      </w:r>
      <w:r w:rsidR="0012767C" w:rsidRPr="00E367C1">
        <w:t>subsection</w:t>
      </w:r>
      <w:r w:rsidR="00E367C1" w:rsidRPr="00E367C1">
        <w:t> </w:t>
      </w:r>
      <w:r w:rsidR="0012767C" w:rsidRPr="00E367C1">
        <w:t>2</w:t>
      </w:r>
      <w:r w:rsidRPr="00E367C1">
        <w:t>6BD(1) of the Act on or after the commencement of th</w:t>
      </w:r>
      <w:r w:rsidR="0002359A" w:rsidRPr="00E367C1">
        <w:t>ose amendments</w:t>
      </w:r>
      <w:r w:rsidRPr="00E367C1">
        <w:t>.</w:t>
      </w:r>
    </w:p>
    <w:p w:rsidR="006D39C1" w:rsidRPr="00E367C1" w:rsidRDefault="006D39C1" w:rsidP="006D39C1">
      <w:pPr>
        <w:pStyle w:val="subsection"/>
      </w:pPr>
      <w:r w:rsidRPr="00E367C1">
        <w:tab/>
        <w:t>(2)</w:t>
      </w:r>
      <w:r w:rsidRPr="00E367C1">
        <w:tab/>
      </w:r>
      <w:r w:rsidR="00FE690A" w:rsidRPr="00E367C1">
        <w:t>Regulation</w:t>
      </w:r>
      <w:r w:rsidR="00E367C1" w:rsidRPr="00E367C1">
        <w:t> </w:t>
      </w:r>
      <w:r w:rsidR="00FE690A" w:rsidRPr="00E367C1">
        <w:t>1</w:t>
      </w:r>
      <w:r w:rsidRPr="00E367C1">
        <w:t xml:space="preserve">6GI and </w:t>
      </w:r>
      <w:r w:rsidR="0005350F" w:rsidRPr="00E367C1">
        <w:t>items</w:t>
      </w:r>
      <w:r w:rsidR="00E367C1" w:rsidRPr="00E367C1">
        <w:t> </w:t>
      </w:r>
      <w:r w:rsidR="0005350F" w:rsidRPr="00E367C1">
        <w:t>2</w:t>
      </w:r>
      <w:r w:rsidRPr="00E367C1">
        <w:t xml:space="preserve">8, 30, 32 and 34 </w:t>
      </w:r>
      <w:r w:rsidR="0048620D" w:rsidRPr="00E367C1">
        <w:t>of the table in clause</w:t>
      </w:r>
      <w:r w:rsidR="00E367C1" w:rsidRPr="00E367C1">
        <w:t> </w:t>
      </w:r>
      <w:r w:rsidR="0048620D" w:rsidRPr="00E367C1">
        <w:t>5</w:t>
      </w:r>
      <w:r w:rsidRPr="00E367C1">
        <w:t xml:space="preserve"> of </w:t>
      </w:r>
      <w:r w:rsidR="0005350F" w:rsidRPr="00E367C1">
        <w:t>Schedule</w:t>
      </w:r>
      <w:r w:rsidR="00E367C1" w:rsidRPr="00E367C1">
        <w:t> </w:t>
      </w:r>
      <w:r w:rsidR="0005350F" w:rsidRPr="00E367C1">
        <w:t>9</w:t>
      </w:r>
      <w:r w:rsidRPr="00E367C1">
        <w:t xml:space="preserve">, as in force immediately before the commencement of </w:t>
      </w:r>
      <w:r w:rsidR="00E832C1" w:rsidRPr="00E367C1">
        <w:t>Schedule</w:t>
      </w:r>
      <w:r w:rsidR="00E367C1" w:rsidRPr="00E367C1">
        <w:t> </w:t>
      </w:r>
      <w:r w:rsidR="00E832C1" w:rsidRPr="00E367C1">
        <w:t>6</w:t>
      </w:r>
      <w:r w:rsidRPr="00E367C1">
        <w:t xml:space="preserve"> to the </w:t>
      </w:r>
      <w:r w:rsidRPr="00E367C1">
        <w:rPr>
          <w:i/>
        </w:rPr>
        <w:t>Therapeutic Goods Legislation Amendment (2020 Measures No.</w:t>
      </w:r>
      <w:r w:rsidR="00E367C1" w:rsidRPr="00E367C1">
        <w:rPr>
          <w:i/>
        </w:rPr>
        <w:t> </w:t>
      </w:r>
      <w:r w:rsidRPr="00E367C1">
        <w:rPr>
          <w:i/>
        </w:rPr>
        <w:t>1) Regulations</w:t>
      </w:r>
      <w:r w:rsidR="00E367C1" w:rsidRPr="00E367C1">
        <w:rPr>
          <w:i/>
        </w:rPr>
        <w:t> </w:t>
      </w:r>
      <w:r w:rsidRPr="00E367C1">
        <w:rPr>
          <w:i/>
        </w:rPr>
        <w:t>2020</w:t>
      </w:r>
      <w:r w:rsidRPr="00E367C1">
        <w:t xml:space="preserve">, continue to apply on and after that commencement in relation to an application made under </w:t>
      </w:r>
      <w:r w:rsidR="0012767C" w:rsidRPr="00E367C1">
        <w:t>subsection</w:t>
      </w:r>
      <w:r w:rsidR="00E367C1" w:rsidRPr="00E367C1">
        <w:t> </w:t>
      </w:r>
      <w:r w:rsidR="0012767C" w:rsidRPr="00E367C1">
        <w:t>2</w:t>
      </w:r>
      <w:r w:rsidRPr="00E367C1">
        <w:t>6BE(1) of the Act before that commencement.</w:t>
      </w:r>
    </w:p>
    <w:sectPr w:rsidR="006D39C1" w:rsidRPr="00E367C1" w:rsidSect="007D2591">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B7" w:rsidRDefault="007B4EB7" w:rsidP="0048364F">
      <w:pPr>
        <w:spacing w:line="240" w:lineRule="auto"/>
      </w:pPr>
      <w:r>
        <w:separator/>
      </w:r>
    </w:p>
  </w:endnote>
  <w:endnote w:type="continuationSeparator" w:id="0">
    <w:p w:rsidR="007B4EB7" w:rsidRDefault="007B4E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7D2591" w:rsidRDefault="007D2591" w:rsidP="007D2591">
    <w:pPr>
      <w:pStyle w:val="Footer"/>
      <w:tabs>
        <w:tab w:val="clear" w:pos="4153"/>
        <w:tab w:val="clear" w:pos="8306"/>
        <w:tab w:val="center" w:pos="4150"/>
        <w:tab w:val="right" w:pos="8307"/>
      </w:tabs>
      <w:spacing w:before="120"/>
      <w:rPr>
        <w:i/>
        <w:sz w:val="18"/>
      </w:rPr>
    </w:pPr>
    <w:r w:rsidRPr="007D2591">
      <w:rPr>
        <w:i/>
        <w:sz w:val="18"/>
      </w:rPr>
      <w:t>OPC64321 -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Default="007B4EB7" w:rsidP="00E97334"/>
  <w:p w:rsidR="007B4EB7" w:rsidRPr="007D2591" w:rsidRDefault="007D2591" w:rsidP="007D2591">
    <w:pPr>
      <w:rPr>
        <w:rFonts w:cs="Times New Roman"/>
        <w:i/>
        <w:sz w:val="18"/>
      </w:rPr>
    </w:pPr>
    <w:r w:rsidRPr="007D2591">
      <w:rPr>
        <w:rFonts w:cs="Times New Roman"/>
        <w:i/>
        <w:sz w:val="18"/>
      </w:rPr>
      <w:t>OPC64321 -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7D2591" w:rsidRDefault="007D2591" w:rsidP="007D2591">
    <w:pPr>
      <w:pStyle w:val="Footer"/>
      <w:tabs>
        <w:tab w:val="clear" w:pos="4153"/>
        <w:tab w:val="clear" w:pos="8306"/>
        <w:tab w:val="center" w:pos="4150"/>
        <w:tab w:val="right" w:pos="8307"/>
      </w:tabs>
      <w:spacing w:before="120"/>
      <w:rPr>
        <w:i/>
        <w:sz w:val="18"/>
      </w:rPr>
    </w:pPr>
    <w:r w:rsidRPr="007D2591">
      <w:rPr>
        <w:i/>
        <w:sz w:val="18"/>
      </w:rPr>
      <w:t>OPC64321 -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33C1C" w:rsidRDefault="007B4EB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EB7" w:rsidTr="006E3922">
      <w:tc>
        <w:tcPr>
          <w:tcW w:w="709" w:type="dxa"/>
          <w:tcBorders>
            <w:top w:val="nil"/>
            <w:left w:val="nil"/>
            <w:bottom w:val="nil"/>
            <w:right w:val="nil"/>
          </w:tcBorders>
        </w:tcPr>
        <w:p w:rsidR="007B4EB7" w:rsidRDefault="007B4EB7" w:rsidP="00EA1C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45F9">
            <w:rPr>
              <w:i/>
              <w:noProof/>
              <w:sz w:val="18"/>
            </w:rPr>
            <w:t>xxviii</w:t>
          </w:r>
          <w:r w:rsidRPr="00ED79B6">
            <w:rPr>
              <w:i/>
              <w:sz w:val="18"/>
            </w:rPr>
            <w:fldChar w:fldCharType="end"/>
          </w:r>
        </w:p>
      </w:tc>
      <w:tc>
        <w:tcPr>
          <w:tcW w:w="6379" w:type="dxa"/>
          <w:tcBorders>
            <w:top w:val="nil"/>
            <w:left w:val="nil"/>
            <w:bottom w:val="nil"/>
            <w:right w:val="nil"/>
          </w:tcBorders>
        </w:tcPr>
        <w:p w:rsidR="007B4EB7" w:rsidRDefault="007B4EB7" w:rsidP="00EA1C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005B">
            <w:rPr>
              <w:i/>
              <w:sz w:val="18"/>
            </w:rPr>
            <w:t>Therapeutic Goods Legislation Amendment (2020 Measures No. 1) Regulations 2020</w:t>
          </w:r>
          <w:r w:rsidRPr="007A1328">
            <w:rPr>
              <w:i/>
              <w:sz w:val="18"/>
            </w:rPr>
            <w:fldChar w:fldCharType="end"/>
          </w:r>
        </w:p>
      </w:tc>
      <w:tc>
        <w:tcPr>
          <w:tcW w:w="1384" w:type="dxa"/>
          <w:tcBorders>
            <w:top w:val="nil"/>
            <w:left w:val="nil"/>
            <w:bottom w:val="nil"/>
            <w:right w:val="nil"/>
          </w:tcBorders>
        </w:tcPr>
        <w:p w:rsidR="007B4EB7" w:rsidRDefault="007B4EB7" w:rsidP="00EA1C31">
          <w:pPr>
            <w:spacing w:line="0" w:lineRule="atLeast"/>
            <w:jc w:val="right"/>
            <w:rPr>
              <w:sz w:val="18"/>
            </w:rPr>
          </w:pPr>
        </w:p>
      </w:tc>
    </w:tr>
  </w:tbl>
  <w:p w:rsidR="007B4EB7" w:rsidRPr="007D2591" w:rsidRDefault="007D2591" w:rsidP="007D2591">
    <w:pPr>
      <w:rPr>
        <w:rFonts w:cs="Times New Roman"/>
        <w:i/>
        <w:sz w:val="18"/>
      </w:rPr>
    </w:pPr>
    <w:r w:rsidRPr="007D2591">
      <w:rPr>
        <w:rFonts w:cs="Times New Roman"/>
        <w:i/>
        <w:sz w:val="18"/>
      </w:rPr>
      <w:t>OPC64321 -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33C1C" w:rsidRDefault="007B4EB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B4EB7" w:rsidTr="006E3922">
      <w:tc>
        <w:tcPr>
          <w:tcW w:w="1383" w:type="dxa"/>
          <w:tcBorders>
            <w:top w:val="nil"/>
            <w:left w:val="nil"/>
            <w:bottom w:val="nil"/>
            <w:right w:val="nil"/>
          </w:tcBorders>
        </w:tcPr>
        <w:p w:rsidR="007B4EB7" w:rsidRDefault="007B4EB7" w:rsidP="00EA1C31">
          <w:pPr>
            <w:spacing w:line="0" w:lineRule="atLeast"/>
            <w:rPr>
              <w:sz w:val="18"/>
            </w:rPr>
          </w:pPr>
        </w:p>
      </w:tc>
      <w:tc>
        <w:tcPr>
          <w:tcW w:w="6379" w:type="dxa"/>
          <w:tcBorders>
            <w:top w:val="nil"/>
            <w:left w:val="nil"/>
            <w:bottom w:val="nil"/>
            <w:right w:val="nil"/>
          </w:tcBorders>
        </w:tcPr>
        <w:p w:rsidR="007B4EB7" w:rsidRDefault="007B4EB7" w:rsidP="00EA1C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005B">
            <w:rPr>
              <w:i/>
              <w:sz w:val="18"/>
            </w:rPr>
            <w:t>Therapeutic Goods Legislation Amendment (2020 Measures No. 1) Regulations 2020</w:t>
          </w:r>
          <w:r w:rsidRPr="007A1328">
            <w:rPr>
              <w:i/>
              <w:sz w:val="18"/>
            </w:rPr>
            <w:fldChar w:fldCharType="end"/>
          </w:r>
        </w:p>
      </w:tc>
      <w:tc>
        <w:tcPr>
          <w:tcW w:w="710" w:type="dxa"/>
          <w:tcBorders>
            <w:top w:val="nil"/>
            <w:left w:val="nil"/>
            <w:bottom w:val="nil"/>
            <w:right w:val="nil"/>
          </w:tcBorders>
        </w:tcPr>
        <w:p w:rsidR="007B4EB7" w:rsidRDefault="007B4EB7" w:rsidP="00EA1C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8E9">
            <w:rPr>
              <w:i/>
              <w:noProof/>
              <w:sz w:val="18"/>
            </w:rPr>
            <w:t>i</w:t>
          </w:r>
          <w:r w:rsidRPr="00ED79B6">
            <w:rPr>
              <w:i/>
              <w:sz w:val="18"/>
            </w:rPr>
            <w:fldChar w:fldCharType="end"/>
          </w:r>
        </w:p>
      </w:tc>
    </w:tr>
  </w:tbl>
  <w:p w:rsidR="007B4EB7" w:rsidRPr="007D2591" w:rsidRDefault="007D2591" w:rsidP="007D2591">
    <w:pPr>
      <w:rPr>
        <w:rFonts w:cs="Times New Roman"/>
        <w:i/>
        <w:sz w:val="18"/>
      </w:rPr>
    </w:pPr>
    <w:r w:rsidRPr="007D2591">
      <w:rPr>
        <w:rFonts w:cs="Times New Roman"/>
        <w:i/>
        <w:sz w:val="18"/>
      </w:rPr>
      <w:t>OPC64321 -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33C1C" w:rsidRDefault="007B4EB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EB7" w:rsidTr="006E3922">
      <w:tc>
        <w:tcPr>
          <w:tcW w:w="709" w:type="dxa"/>
          <w:tcBorders>
            <w:top w:val="nil"/>
            <w:left w:val="nil"/>
            <w:bottom w:val="nil"/>
            <w:right w:val="nil"/>
          </w:tcBorders>
        </w:tcPr>
        <w:p w:rsidR="007B4EB7" w:rsidRDefault="007B4EB7" w:rsidP="00EA1C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8E9">
            <w:rPr>
              <w:i/>
              <w:noProof/>
              <w:sz w:val="18"/>
            </w:rPr>
            <w:t>28</w:t>
          </w:r>
          <w:r w:rsidRPr="00ED79B6">
            <w:rPr>
              <w:i/>
              <w:sz w:val="18"/>
            </w:rPr>
            <w:fldChar w:fldCharType="end"/>
          </w:r>
        </w:p>
      </w:tc>
      <w:tc>
        <w:tcPr>
          <w:tcW w:w="6379" w:type="dxa"/>
          <w:tcBorders>
            <w:top w:val="nil"/>
            <w:left w:val="nil"/>
            <w:bottom w:val="nil"/>
            <w:right w:val="nil"/>
          </w:tcBorders>
        </w:tcPr>
        <w:p w:rsidR="007B4EB7" w:rsidRDefault="007B4EB7" w:rsidP="00EA1C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005B">
            <w:rPr>
              <w:i/>
              <w:sz w:val="18"/>
            </w:rPr>
            <w:t>Therapeutic Goods Legislation Amendment (2020 Measures No. 1) Regulations 2020</w:t>
          </w:r>
          <w:r w:rsidRPr="007A1328">
            <w:rPr>
              <w:i/>
              <w:sz w:val="18"/>
            </w:rPr>
            <w:fldChar w:fldCharType="end"/>
          </w:r>
        </w:p>
      </w:tc>
      <w:tc>
        <w:tcPr>
          <w:tcW w:w="1384" w:type="dxa"/>
          <w:tcBorders>
            <w:top w:val="nil"/>
            <w:left w:val="nil"/>
            <w:bottom w:val="nil"/>
            <w:right w:val="nil"/>
          </w:tcBorders>
        </w:tcPr>
        <w:p w:rsidR="007B4EB7" w:rsidRDefault="007B4EB7" w:rsidP="00EA1C31">
          <w:pPr>
            <w:spacing w:line="0" w:lineRule="atLeast"/>
            <w:jc w:val="right"/>
            <w:rPr>
              <w:sz w:val="18"/>
            </w:rPr>
          </w:pPr>
        </w:p>
      </w:tc>
    </w:tr>
  </w:tbl>
  <w:p w:rsidR="007B4EB7" w:rsidRPr="007D2591" w:rsidRDefault="007D2591" w:rsidP="007D2591">
    <w:pPr>
      <w:rPr>
        <w:rFonts w:cs="Times New Roman"/>
        <w:i/>
        <w:sz w:val="18"/>
      </w:rPr>
    </w:pPr>
    <w:r w:rsidRPr="007D2591">
      <w:rPr>
        <w:rFonts w:cs="Times New Roman"/>
        <w:i/>
        <w:sz w:val="18"/>
      </w:rPr>
      <w:t>OPC64321 -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33C1C" w:rsidRDefault="007B4EB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4EB7" w:rsidTr="00EA1C31">
      <w:tc>
        <w:tcPr>
          <w:tcW w:w="1384" w:type="dxa"/>
          <w:tcBorders>
            <w:top w:val="nil"/>
            <w:left w:val="nil"/>
            <w:bottom w:val="nil"/>
            <w:right w:val="nil"/>
          </w:tcBorders>
        </w:tcPr>
        <w:p w:rsidR="007B4EB7" w:rsidRDefault="007B4EB7" w:rsidP="00EA1C31">
          <w:pPr>
            <w:spacing w:line="0" w:lineRule="atLeast"/>
            <w:rPr>
              <w:sz w:val="18"/>
            </w:rPr>
          </w:pPr>
        </w:p>
      </w:tc>
      <w:tc>
        <w:tcPr>
          <w:tcW w:w="6379" w:type="dxa"/>
          <w:tcBorders>
            <w:top w:val="nil"/>
            <w:left w:val="nil"/>
            <w:bottom w:val="nil"/>
            <w:right w:val="nil"/>
          </w:tcBorders>
        </w:tcPr>
        <w:p w:rsidR="007B4EB7" w:rsidRDefault="007B4EB7" w:rsidP="00EA1C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005B">
            <w:rPr>
              <w:i/>
              <w:sz w:val="18"/>
            </w:rPr>
            <w:t>Therapeutic Goods Legislation Amendment (2020 Measures No. 1) Regulations 2020</w:t>
          </w:r>
          <w:r w:rsidRPr="007A1328">
            <w:rPr>
              <w:i/>
              <w:sz w:val="18"/>
            </w:rPr>
            <w:fldChar w:fldCharType="end"/>
          </w:r>
        </w:p>
      </w:tc>
      <w:tc>
        <w:tcPr>
          <w:tcW w:w="709" w:type="dxa"/>
          <w:tcBorders>
            <w:top w:val="nil"/>
            <w:left w:val="nil"/>
            <w:bottom w:val="nil"/>
            <w:right w:val="nil"/>
          </w:tcBorders>
        </w:tcPr>
        <w:p w:rsidR="007B4EB7" w:rsidRDefault="007B4EB7" w:rsidP="00EA1C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18E9">
            <w:rPr>
              <w:i/>
              <w:noProof/>
              <w:sz w:val="18"/>
            </w:rPr>
            <w:t>1</w:t>
          </w:r>
          <w:r w:rsidRPr="00ED79B6">
            <w:rPr>
              <w:i/>
              <w:sz w:val="18"/>
            </w:rPr>
            <w:fldChar w:fldCharType="end"/>
          </w:r>
        </w:p>
      </w:tc>
    </w:tr>
  </w:tbl>
  <w:p w:rsidR="007B4EB7" w:rsidRPr="007D2591" w:rsidRDefault="007D2591" w:rsidP="007D2591">
    <w:pPr>
      <w:rPr>
        <w:rFonts w:cs="Times New Roman"/>
        <w:i/>
        <w:sz w:val="18"/>
      </w:rPr>
    </w:pPr>
    <w:r w:rsidRPr="007D2591">
      <w:rPr>
        <w:rFonts w:cs="Times New Roman"/>
        <w:i/>
        <w:sz w:val="18"/>
      </w:rPr>
      <w:t>OPC64321 -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33C1C" w:rsidRDefault="007B4EB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4EB7" w:rsidTr="007A6863">
      <w:tc>
        <w:tcPr>
          <w:tcW w:w="1384" w:type="dxa"/>
          <w:tcBorders>
            <w:top w:val="nil"/>
            <w:left w:val="nil"/>
            <w:bottom w:val="nil"/>
            <w:right w:val="nil"/>
          </w:tcBorders>
        </w:tcPr>
        <w:p w:rsidR="007B4EB7" w:rsidRDefault="007B4EB7" w:rsidP="00EA1C31">
          <w:pPr>
            <w:spacing w:line="0" w:lineRule="atLeast"/>
            <w:rPr>
              <w:sz w:val="18"/>
            </w:rPr>
          </w:pPr>
        </w:p>
      </w:tc>
      <w:tc>
        <w:tcPr>
          <w:tcW w:w="6379" w:type="dxa"/>
          <w:tcBorders>
            <w:top w:val="nil"/>
            <w:left w:val="nil"/>
            <w:bottom w:val="nil"/>
            <w:right w:val="nil"/>
          </w:tcBorders>
        </w:tcPr>
        <w:p w:rsidR="007B4EB7" w:rsidRDefault="007B4EB7" w:rsidP="00EA1C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005B">
            <w:rPr>
              <w:i/>
              <w:sz w:val="18"/>
            </w:rPr>
            <w:t>Therapeutic Goods Legislation Amendment (2020 Measures No. 1) Regulations 2020</w:t>
          </w:r>
          <w:r w:rsidRPr="007A1328">
            <w:rPr>
              <w:i/>
              <w:sz w:val="18"/>
            </w:rPr>
            <w:fldChar w:fldCharType="end"/>
          </w:r>
        </w:p>
      </w:tc>
      <w:tc>
        <w:tcPr>
          <w:tcW w:w="709" w:type="dxa"/>
          <w:tcBorders>
            <w:top w:val="nil"/>
            <w:left w:val="nil"/>
            <w:bottom w:val="nil"/>
            <w:right w:val="nil"/>
          </w:tcBorders>
        </w:tcPr>
        <w:p w:rsidR="007B4EB7" w:rsidRDefault="007B4EB7" w:rsidP="00EA1C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45F9">
            <w:rPr>
              <w:i/>
              <w:noProof/>
              <w:sz w:val="18"/>
            </w:rPr>
            <w:t>28</w:t>
          </w:r>
          <w:r w:rsidRPr="00ED79B6">
            <w:rPr>
              <w:i/>
              <w:sz w:val="18"/>
            </w:rPr>
            <w:fldChar w:fldCharType="end"/>
          </w:r>
        </w:p>
      </w:tc>
    </w:tr>
  </w:tbl>
  <w:p w:rsidR="007B4EB7" w:rsidRPr="007D2591" w:rsidRDefault="007D2591" w:rsidP="007D2591">
    <w:pPr>
      <w:rPr>
        <w:rFonts w:cs="Times New Roman"/>
        <w:i/>
        <w:sz w:val="18"/>
      </w:rPr>
    </w:pPr>
    <w:r w:rsidRPr="007D2591">
      <w:rPr>
        <w:rFonts w:cs="Times New Roman"/>
        <w:i/>
        <w:sz w:val="18"/>
      </w:rPr>
      <w:t>OPC64321 -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B7" w:rsidRDefault="007B4EB7" w:rsidP="0048364F">
      <w:pPr>
        <w:spacing w:line="240" w:lineRule="auto"/>
      </w:pPr>
      <w:r>
        <w:separator/>
      </w:r>
    </w:p>
  </w:footnote>
  <w:footnote w:type="continuationSeparator" w:id="0">
    <w:p w:rsidR="007B4EB7" w:rsidRDefault="007B4EB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5F1388" w:rsidRDefault="007B4EB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5F1388" w:rsidRDefault="007B4EB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5F1388" w:rsidRDefault="007B4EB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D79B6" w:rsidRDefault="007B4EB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D79B6" w:rsidRDefault="007B4EB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ED79B6" w:rsidRDefault="007B4EB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A961C4" w:rsidRDefault="007B4EB7" w:rsidP="0048364F">
    <w:pPr>
      <w:rPr>
        <w:b/>
        <w:sz w:val="20"/>
      </w:rPr>
    </w:pPr>
    <w:r>
      <w:rPr>
        <w:b/>
        <w:sz w:val="20"/>
      </w:rPr>
      <w:fldChar w:fldCharType="begin"/>
    </w:r>
    <w:r>
      <w:rPr>
        <w:b/>
        <w:sz w:val="20"/>
      </w:rPr>
      <w:instrText xml:space="preserve"> STYLEREF CharAmSchNo </w:instrText>
    </w:r>
    <w:r>
      <w:rPr>
        <w:b/>
        <w:sz w:val="20"/>
      </w:rPr>
      <w:fldChar w:fldCharType="separate"/>
    </w:r>
    <w:r w:rsidR="003318E9">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318E9">
      <w:rPr>
        <w:noProof/>
        <w:sz w:val="20"/>
      </w:rPr>
      <w:t>Application and transitional provisions</w:t>
    </w:r>
    <w:r>
      <w:rPr>
        <w:sz w:val="20"/>
      </w:rPr>
      <w:fldChar w:fldCharType="end"/>
    </w:r>
  </w:p>
  <w:p w:rsidR="007B4EB7" w:rsidRPr="00A961C4" w:rsidRDefault="007B4EB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B4EB7" w:rsidRPr="00A961C4" w:rsidRDefault="007B4EB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A961C4" w:rsidRDefault="007B4EB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B4EB7" w:rsidRPr="00A961C4" w:rsidRDefault="007B4EB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B4EB7" w:rsidRPr="00A961C4" w:rsidRDefault="007B4EB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B7" w:rsidRPr="00A961C4" w:rsidRDefault="007B4EB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56"/>
    <w:rsid w:val="00000263"/>
    <w:rsid w:val="00000D04"/>
    <w:rsid w:val="00000DD0"/>
    <w:rsid w:val="000113BC"/>
    <w:rsid w:val="000136AF"/>
    <w:rsid w:val="00014592"/>
    <w:rsid w:val="00015A7E"/>
    <w:rsid w:val="00022F4F"/>
    <w:rsid w:val="0002359A"/>
    <w:rsid w:val="000371A8"/>
    <w:rsid w:val="0004044E"/>
    <w:rsid w:val="00040780"/>
    <w:rsid w:val="00044C8C"/>
    <w:rsid w:val="00046706"/>
    <w:rsid w:val="00046F47"/>
    <w:rsid w:val="0005120E"/>
    <w:rsid w:val="0005210D"/>
    <w:rsid w:val="0005350F"/>
    <w:rsid w:val="00054577"/>
    <w:rsid w:val="000557C9"/>
    <w:rsid w:val="000614BF"/>
    <w:rsid w:val="00061A21"/>
    <w:rsid w:val="0007169C"/>
    <w:rsid w:val="00072C82"/>
    <w:rsid w:val="00072DFA"/>
    <w:rsid w:val="00077593"/>
    <w:rsid w:val="000775BA"/>
    <w:rsid w:val="00077B5E"/>
    <w:rsid w:val="00083F48"/>
    <w:rsid w:val="0008454F"/>
    <w:rsid w:val="0008791E"/>
    <w:rsid w:val="00093056"/>
    <w:rsid w:val="00096F42"/>
    <w:rsid w:val="000A7DF9"/>
    <w:rsid w:val="000B4176"/>
    <w:rsid w:val="000B623C"/>
    <w:rsid w:val="000C05D5"/>
    <w:rsid w:val="000C1055"/>
    <w:rsid w:val="000C35E3"/>
    <w:rsid w:val="000C72EC"/>
    <w:rsid w:val="000D04C4"/>
    <w:rsid w:val="000D05EF"/>
    <w:rsid w:val="000D355D"/>
    <w:rsid w:val="000D3681"/>
    <w:rsid w:val="000D5485"/>
    <w:rsid w:val="000D7779"/>
    <w:rsid w:val="000D79D7"/>
    <w:rsid w:val="000E2099"/>
    <w:rsid w:val="000F21C1"/>
    <w:rsid w:val="000F52DF"/>
    <w:rsid w:val="00101DA7"/>
    <w:rsid w:val="00105690"/>
    <w:rsid w:val="00105D72"/>
    <w:rsid w:val="0010745C"/>
    <w:rsid w:val="00117277"/>
    <w:rsid w:val="0012767C"/>
    <w:rsid w:val="001452DF"/>
    <w:rsid w:val="00147182"/>
    <w:rsid w:val="001600E3"/>
    <w:rsid w:val="00160BD7"/>
    <w:rsid w:val="001643C9"/>
    <w:rsid w:val="00165568"/>
    <w:rsid w:val="00165955"/>
    <w:rsid w:val="00166082"/>
    <w:rsid w:val="0016687A"/>
    <w:rsid w:val="00166C2F"/>
    <w:rsid w:val="00166C97"/>
    <w:rsid w:val="001716C9"/>
    <w:rsid w:val="00184261"/>
    <w:rsid w:val="001870DA"/>
    <w:rsid w:val="00190DF5"/>
    <w:rsid w:val="00191CC0"/>
    <w:rsid w:val="00193461"/>
    <w:rsid w:val="001939E1"/>
    <w:rsid w:val="00195382"/>
    <w:rsid w:val="001A3B9F"/>
    <w:rsid w:val="001A5523"/>
    <w:rsid w:val="001A65C0"/>
    <w:rsid w:val="001A6833"/>
    <w:rsid w:val="001B3809"/>
    <w:rsid w:val="001B5708"/>
    <w:rsid w:val="001B6456"/>
    <w:rsid w:val="001B73D1"/>
    <w:rsid w:val="001B7984"/>
    <w:rsid w:val="001B7A5D"/>
    <w:rsid w:val="001C3197"/>
    <w:rsid w:val="001C3DE4"/>
    <w:rsid w:val="001C69C4"/>
    <w:rsid w:val="001D3017"/>
    <w:rsid w:val="001E0A8D"/>
    <w:rsid w:val="001E223F"/>
    <w:rsid w:val="001E33AB"/>
    <w:rsid w:val="001E3590"/>
    <w:rsid w:val="001E7407"/>
    <w:rsid w:val="001F22E5"/>
    <w:rsid w:val="00201D27"/>
    <w:rsid w:val="00202E25"/>
    <w:rsid w:val="0020300C"/>
    <w:rsid w:val="00206365"/>
    <w:rsid w:val="00215B54"/>
    <w:rsid w:val="00220A0C"/>
    <w:rsid w:val="00223E4A"/>
    <w:rsid w:val="002302EA"/>
    <w:rsid w:val="0023032E"/>
    <w:rsid w:val="002358FD"/>
    <w:rsid w:val="00240749"/>
    <w:rsid w:val="0024177E"/>
    <w:rsid w:val="002468D7"/>
    <w:rsid w:val="00246B2C"/>
    <w:rsid w:val="002525B8"/>
    <w:rsid w:val="002623FE"/>
    <w:rsid w:val="002744DA"/>
    <w:rsid w:val="00285CDD"/>
    <w:rsid w:val="00291167"/>
    <w:rsid w:val="002973C6"/>
    <w:rsid w:val="00297ECB"/>
    <w:rsid w:val="002A19A7"/>
    <w:rsid w:val="002A4C16"/>
    <w:rsid w:val="002B1719"/>
    <w:rsid w:val="002B3D9B"/>
    <w:rsid w:val="002B7FCA"/>
    <w:rsid w:val="002C152A"/>
    <w:rsid w:val="002C56EB"/>
    <w:rsid w:val="002D043A"/>
    <w:rsid w:val="002F025B"/>
    <w:rsid w:val="002F6C80"/>
    <w:rsid w:val="00300FAB"/>
    <w:rsid w:val="00305E17"/>
    <w:rsid w:val="003117FB"/>
    <w:rsid w:val="0031389C"/>
    <w:rsid w:val="00315B02"/>
    <w:rsid w:val="00316ACC"/>
    <w:rsid w:val="0031713F"/>
    <w:rsid w:val="00321913"/>
    <w:rsid w:val="003223E8"/>
    <w:rsid w:val="00322839"/>
    <w:rsid w:val="0032331E"/>
    <w:rsid w:val="00324EE6"/>
    <w:rsid w:val="003316DC"/>
    <w:rsid w:val="003318E9"/>
    <w:rsid w:val="00332E0D"/>
    <w:rsid w:val="0033300A"/>
    <w:rsid w:val="00335996"/>
    <w:rsid w:val="003415D3"/>
    <w:rsid w:val="00343141"/>
    <w:rsid w:val="00346335"/>
    <w:rsid w:val="00352B0F"/>
    <w:rsid w:val="003561B0"/>
    <w:rsid w:val="00357BFF"/>
    <w:rsid w:val="00361772"/>
    <w:rsid w:val="00361967"/>
    <w:rsid w:val="003625D4"/>
    <w:rsid w:val="00367960"/>
    <w:rsid w:val="0037565D"/>
    <w:rsid w:val="0037701E"/>
    <w:rsid w:val="00377225"/>
    <w:rsid w:val="00386F09"/>
    <w:rsid w:val="003870C1"/>
    <w:rsid w:val="00391832"/>
    <w:rsid w:val="00396504"/>
    <w:rsid w:val="003A15AC"/>
    <w:rsid w:val="003A56EB"/>
    <w:rsid w:val="003B0627"/>
    <w:rsid w:val="003B0E6D"/>
    <w:rsid w:val="003B2612"/>
    <w:rsid w:val="003C3EEE"/>
    <w:rsid w:val="003C5F2B"/>
    <w:rsid w:val="003D0BFE"/>
    <w:rsid w:val="003D487A"/>
    <w:rsid w:val="003D565F"/>
    <w:rsid w:val="003D5700"/>
    <w:rsid w:val="003D5A6E"/>
    <w:rsid w:val="003F0F5A"/>
    <w:rsid w:val="003F3217"/>
    <w:rsid w:val="003F6004"/>
    <w:rsid w:val="00400A30"/>
    <w:rsid w:val="004022CA"/>
    <w:rsid w:val="00405317"/>
    <w:rsid w:val="00407998"/>
    <w:rsid w:val="004116CD"/>
    <w:rsid w:val="00412511"/>
    <w:rsid w:val="00414ADE"/>
    <w:rsid w:val="00421728"/>
    <w:rsid w:val="00421B33"/>
    <w:rsid w:val="00424CA9"/>
    <w:rsid w:val="004257BB"/>
    <w:rsid w:val="004261D9"/>
    <w:rsid w:val="0043077D"/>
    <w:rsid w:val="0043789E"/>
    <w:rsid w:val="0044291A"/>
    <w:rsid w:val="00443B16"/>
    <w:rsid w:val="004443D8"/>
    <w:rsid w:val="0044697E"/>
    <w:rsid w:val="00452327"/>
    <w:rsid w:val="00460499"/>
    <w:rsid w:val="00461149"/>
    <w:rsid w:val="00463FAE"/>
    <w:rsid w:val="00466869"/>
    <w:rsid w:val="004670EA"/>
    <w:rsid w:val="004745F9"/>
    <w:rsid w:val="00474835"/>
    <w:rsid w:val="0048000D"/>
    <w:rsid w:val="004819C7"/>
    <w:rsid w:val="00482FDC"/>
    <w:rsid w:val="0048364F"/>
    <w:rsid w:val="0048386C"/>
    <w:rsid w:val="0048620D"/>
    <w:rsid w:val="00490213"/>
    <w:rsid w:val="00490F2E"/>
    <w:rsid w:val="00496DB3"/>
    <w:rsid w:val="00496F97"/>
    <w:rsid w:val="004A06CA"/>
    <w:rsid w:val="004A21FB"/>
    <w:rsid w:val="004A283C"/>
    <w:rsid w:val="004A53EA"/>
    <w:rsid w:val="004C0241"/>
    <w:rsid w:val="004C0D82"/>
    <w:rsid w:val="004C29A0"/>
    <w:rsid w:val="004C46BD"/>
    <w:rsid w:val="004E14D8"/>
    <w:rsid w:val="004E1AC0"/>
    <w:rsid w:val="004F1FAC"/>
    <w:rsid w:val="004F676E"/>
    <w:rsid w:val="005152BA"/>
    <w:rsid w:val="00516B8D"/>
    <w:rsid w:val="0052686F"/>
    <w:rsid w:val="0052756C"/>
    <w:rsid w:val="005278BF"/>
    <w:rsid w:val="00530230"/>
    <w:rsid w:val="00530CC9"/>
    <w:rsid w:val="00536FC7"/>
    <w:rsid w:val="00537FBC"/>
    <w:rsid w:val="00541D73"/>
    <w:rsid w:val="00543469"/>
    <w:rsid w:val="005452CC"/>
    <w:rsid w:val="00546FA3"/>
    <w:rsid w:val="00553B91"/>
    <w:rsid w:val="00554243"/>
    <w:rsid w:val="00557C7A"/>
    <w:rsid w:val="00562A58"/>
    <w:rsid w:val="00581211"/>
    <w:rsid w:val="00584811"/>
    <w:rsid w:val="0059283C"/>
    <w:rsid w:val="00593AA6"/>
    <w:rsid w:val="00594161"/>
    <w:rsid w:val="00594749"/>
    <w:rsid w:val="00595060"/>
    <w:rsid w:val="00597C78"/>
    <w:rsid w:val="005A482B"/>
    <w:rsid w:val="005B3715"/>
    <w:rsid w:val="005B4067"/>
    <w:rsid w:val="005C36E0"/>
    <w:rsid w:val="005C3F41"/>
    <w:rsid w:val="005D168D"/>
    <w:rsid w:val="005D1C7E"/>
    <w:rsid w:val="005D5EA1"/>
    <w:rsid w:val="005E1D53"/>
    <w:rsid w:val="005E61D3"/>
    <w:rsid w:val="005F42B4"/>
    <w:rsid w:val="005F5309"/>
    <w:rsid w:val="005F7738"/>
    <w:rsid w:val="00600219"/>
    <w:rsid w:val="00605B04"/>
    <w:rsid w:val="00613EAD"/>
    <w:rsid w:val="00615712"/>
    <w:rsid w:val="006158AC"/>
    <w:rsid w:val="00626568"/>
    <w:rsid w:val="006321EE"/>
    <w:rsid w:val="0064026A"/>
    <w:rsid w:val="00640402"/>
    <w:rsid w:val="00640CD1"/>
    <w:rsid w:val="00640F78"/>
    <w:rsid w:val="006441E5"/>
    <w:rsid w:val="00646E7B"/>
    <w:rsid w:val="00647B5F"/>
    <w:rsid w:val="00655D6A"/>
    <w:rsid w:val="00656DE9"/>
    <w:rsid w:val="006633F0"/>
    <w:rsid w:val="00663E2D"/>
    <w:rsid w:val="0067629F"/>
    <w:rsid w:val="006772AA"/>
    <w:rsid w:val="00677CC2"/>
    <w:rsid w:val="00685F42"/>
    <w:rsid w:val="006866A1"/>
    <w:rsid w:val="0069207B"/>
    <w:rsid w:val="00696677"/>
    <w:rsid w:val="006A1E5D"/>
    <w:rsid w:val="006A4309"/>
    <w:rsid w:val="006B0E55"/>
    <w:rsid w:val="006B26E4"/>
    <w:rsid w:val="006B7006"/>
    <w:rsid w:val="006C005B"/>
    <w:rsid w:val="006C7F51"/>
    <w:rsid w:val="006C7F8C"/>
    <w:rsid w:val="006D1B9C"/>
    <w:rsid w:val="006D284D"/>
    <w:rsid w:val="006D39C1"/>
    <w:rsid w:val="006D3D22"/>
    <w:rsid w:val="006D55E5"/>
    <w:rsid w:val="006D7AB9"/>
    <w:rsid w:val="006E3922"/>
    <w:rsid w:val="006E3B34"/>
    <w:rsid w:val="006E53AF"/>
    <w:rsid w:val="006F01F5"/>
    <w:rsid w:val="006F5B6F"/>
    <w:rsid w:val="00700B2C"/>
    <w:rsid w:val="00702288"/>
    <w:rsid w:val="0070299A"/>
    <w:rsid w:val="007107A1"/>
    <w:rsid w:val="00713084"/>
    <w:rsid w:val="00714CCA"/>
    <w:rsid w:val="00720FC2"/>
    <w:rsid w:val="007221BC"/>
    <w:rsid w:val="00731E00"/>
    <w:rsid w:val="00732E9D"/>
    <w:rsid w:val="0073491A"/>
    <w:rsid w:val="00734ADC"/>
    <w:rsid w:val="007440B7"/>
    <w:rsid w:val="00747993"/>
    <w:rsid w:val="00751ADC"/>
    <w:rsid w:val="00754BC5"/>
    <w:rsid w:val="007634AD"/>
    <w:rsid w:val="007715C9"/>
    <w:rsid w:val="00771641"/>
    <w:rsid w:val="0077437C"/>
    <w:rsid w:val="00774EDD"/>
    <w:rsid w:val="007757EC"/>
    <w:rsid w:val="00780CB0"/>
    <w:rsid w:val="007942CB"/>
    <w:rsid w:val="00794B54"/>
    <w:rsid w:val="007A115D"/>
    <w:rsid w:val="007A35E6"/>
    <w:rsid w:val="007A4EAA"/>
    <w:rsid w:val="007A6863"/>
    <w:rsid w:val="007B3277"/>
    <w:rsid w:val="007B4EB7"/>
    <w:rsid w:val="007B53E8"/>
    <w:rsid w:val="007C22B2"/>
    <w:rsid w:val="007D0030"/>
    <w:rsid w:val="007D2591"/>
    <w:rsid w:val="007D45C1"/>
    <w:rsid w:val="007D66C7"/>
    <w:rsid w:val="007E30F9"/>
    <w:rsid w:val="007E5744"/>
    <w:rsid w:val="007E7D4A"/>
    <w:rsid w:val="007F4691"/>
    <w:rsid w:val="007F48ED"/>
    <w:rsid w:val="007F7947"/>
    <w:rsid w:val="00801729"/>
    <w:rsid w:val="008022DD"/>
    <w:rsid w:val="008026F9"/>
    <w:rsid w:val="008043A2"/>
    <w:rsid w:val="00806B8D"/>
    <w:rsid w:val="008077A3"/>
    <w:rsid w:val="00812232"/>
    <w:rsid w:val="00812F45"/>
    <w:rsid w:val="00825B04"/>
    <w:rsid w:val="00825BB1"/>
    <w:rsid w:val="0084172C"/>
    <w:rsid w:val="008526E9"/>
    <w:rsid w:val="00856A31"/>
    <w:rsid w:val="008621AC"/>
    <w:rsid w:val="00862DAE"/>
    <w:rsid w:val="0087182D"/>
    <w:rsid w:val="008754D0"/>
    <w:rsid w:val="00877D48"/>
    <w:rsid w:val="00880EFC"/>
    <w:rsid w:val="008816F0"/>
    <w:rsid w:val="00881DFA"/>
    <w:rsid w:val="0088345B"/>
    <w:rsid w:val="00884B60"/>
    <w:rsid w:val="008A16A5"/>
    <w:rsid w:val="008A2919"/>
    <w:rsid w:val="008A33C8"/>
    <w:rsid w:val="008C2B5D"/>
    <w:rsid w:val="008C4D73"/>
    <w:rsid w:val="008C6BEF"/>
    <w:rsid w:val="008C79EC"/>
    <w:rsid w:val="008D07D9"/>
    <w:rsid w:val="008D0EE0"/>
    <w:rsid w:val="008D19BB"/>
    <w:rsid w:val="008D337B"/>
    <w:rsid w:val="008D438B"/>
    <w:rsid w:val="008D5B99"/>
    <w:rsid w:val="008D7A27"/>
    <w:rsid w:val="008E4702"/>
    <w:rsid w:val="008E69AA"/>
    <w:rsid w:val="008F2BE2"/>
    <w:rsid w:val="008F37DE"/>
    <w:rsid w:val="008F4F1C"/>
    <w:rsid w:val="008F5C2B"/>
    <w:rsid w:val="00905852"/>
    <w:rsid w:val="009129FF"/>
    <w:rsid w:val="00921E2C"/>
    <w:rsid w:val="00922764"/>
    <w:rsid w:val="0092480D"/>
    <w:rsid w:val="009252E2"/>
    <w:rsid w:val="00930323"/>
    <w:rsid w:val="00932377"/>
    <w:rsid w:val="00932FBD"/>
    <w:rsid w:val="0093455E"/>
    <w:rsid w:val="0093475D"/>
    <w:rsid w:val="009408EA"/>
    <w:rsid w:val="00943102"/>
    <w:rsid w:val="0094523D"/>
    <w:rsid w:val="009468FC"/>
    <w:rsid w:val="00951F47"/>
    <w:rsid w:val="00953042"/>
    <w:rsid w:val="009559E6"/>
    <w:rsid w:val="00975713"/>
    <w:rsid w:val="00976A63"/>
    <w:rsid w:val="00976DCE"/>
    <w:rsid w:val="00983419"/>
    <w:rsid w:val="009869EC"/>
    <w:rsid w:val="009A3EA7"/>
    <w:rsid w:val="009A647E"/>
    <w:rsid w:val="009B2592"/>
    <w:rsid w:val="009C3431"/>
    <w:rsid w:val="009C476F"/>
    <w:rsid w:val="009C5989"/>
    <w:rsid w:val="009D08DA"/>
    <w:rsid w:val="009D348A"/>
    <w:rsid w:val="009E1E5D"/>
    <w:rsid w:val="009E2840"/>
    <w:rsid w:val="009E3523"/>
    <w:rsid w:val="009E5906"/>
    <w:rsid w:val="00A06860"/>
    <w:rsid w:val="00A10954"/>
    <w:rsid w:val="00A10B07"/>
    <w:rsid w:val="00A10F43"/>
    <w:rsid w:val="00A136F5"/>
    <w:rsid w:val="00A231E2"/>
    <w:rsid w:val="00A253C6"/>
    <w:rsid w:val="00A2550D"/>
    <w:rsid w:val="00A34BE1"/>
    <w:rsid w:val="00A36055"/>
    <w:rsid w:val="00A4169B"/>
    <w:rsid w:val="00A43FDE"/>
    <w:rsid w:val="00A445F2"/>
    <w:rsid w:val="00A463E1"/>
    <w:rsid w:val="00A50D55"/>
    <w:rsid w:val="00A5165B"/>
    <w:rsid w:val="00A52FDA"/>
    <w:rsid w:val="00A5617A"/>
    <w:rsid w:val="00A64912"/>
    <w:rsid w:val="00A70A74"/>
    <w:rsid w:val="00A801E4"/>
    <w:rsid w:val="00A81065"/>
    <w:rsid w:val="00A92C1A"/>
    <w:rsid w:val="00A932D9"/>
    <w:rsid w:val="00AA0343"/>
    <w:rsid w:val="00AA2A5C"/>
    <w:rsid w:val="00AA44DA"/>
    <w:rsid w:val="00AB18CC"/>
    <w:rsid w:val="00AB4551"/>
    <w:rsid w:val="00AB533F"/>
    <w:rsid w:val="00AB78E9"/>
    <w:rsid w:val="00AC174E"/>
    <w:rsid w:val="00AC6451"/>
    <w:rsid w:val="00AD2585"/>
    <w:rsid w:val="00AD286A"/>
    <w:rsid w:val="00AD3467"/>
    <w:rsid w:val="00AD5641"/>
    <w:rsid w:val="00AD7252"/>
    <w:rsid w:val="00AE0F9B"/>
    <w:rsid w:val="00AE22F7"/>
    <w:rsid w:val="00AE53B8"/>
    <w:rsid w:val="00AE6033"/>
    <w:rsid w:val="00AF55FF"/>
    <w:rsid w:val="00B032D8"/>
    <w:rsid w:val="00B078D3"/>
    <w:rsid w:val="00B118C4"/>
    <w:rsid w:val="00B143E4"/>
    <w:rsid w:val="00B22ADE"/>
    <w:rsid w:val="00B323D8"/>
    <w:rsid w:val="00B33B3C"/>
    <w:rsid w:val="00B40B0B"/>
    <w:rsid w:val="00B40D74"/>
    <w:rsid w:val="00B447FC"/>
    <w:rsid w:val="00B52663"/>
    <w:rsid w:val="00B56DCB"/>
    <w:rsid w:val="00B61FC2"/>
    <w:rsid w:val="00B62838"/>
    <w:rsid w:val="00B65DA0"/>
    <w:rsid w:val="00B668C8"/>
    <w:rsid w:val="00B766E1"/>
    <w:rsid w:val="00B76B7C"/>
    <w:rsid w:val="00B770D2"/>
    <w:rsid w:val="00B82416"/>
    <w:rsid w:val="00BA47A3"/>
    <w:rsid w:val="00BA5026"/>
    <w:rsid w:val="00BB6E79"/>
    <w:rsid w:val="00BC1CD2"/>
    <w:rsid w:val="00BC1F78"/>
    <w:rsid w:val="00BC332A"/>
    <w:rsid w:val="00BC6963"/>
    <w:rsid w:val="00BC731A"/>
    <w:rsid w:val="00BD2F58"/>
    <w:rsid w:val="00BD7335"/>
    <w:rsid w:val="00BE34E9"/>
    <w:rsid w:val="00BE3B31"/>
    <w:rsid w:val="00BE719A"/>
    <w:rsid w:val="00BE720A"/>
    <w:rsid w:val="00BF49C7"/>
    <w:rsid w:val="00BF6650"/>
    <w:rsid w:val="00C05974"/>
    <w:rsid w:val="00C067E5"/>
    <w:rsid w:val="00C122F8"/>
    <w:rsid w:val="00C164CA"/>
    <w:rsid w:val="00C218F1"/>
    <w:rsid w:val="00C26300"/>
    <w:rsid w:val="00C27942"/>
    <w:rsid w:val="00C41C6A"/>
    <w:rsid w:val="00C42BF8"/>
    <w:rsid w:val="00C460AE"/>
    <w:rsid w:val="00C50043"/>
    <w:rsid w:val="00C50A0F"/>
    <w:rsid w:val="00C50A4D"/>
    <w:rsid w:val="00C61E81"/>
    <w:rsid w:val="00C64492"/>
    <w:rsid w:val="00C64D57"/>
    <w:rsid w:val="00C71096"/>
    <w:rsid w:val="00C7573B"/>
    <w:rsid w:val="00C76CF3"/>
    <w:rsid w:val="00C9076C"/>
    <w:rsid w:val="00C94926"/>
    <w:rsid w:val="00C9593B"/>
    <w:rsid w:val="00C97E3B"/>
    <w:rsid w:val="00CA27A6"/>
    <w:rsid w:val="00CA3B7B"/>
    <w:rsid w:val="00CA7844"/>
    <w:rsid w:val="00CB16A1"/>
    <w:rsid w:val="00CB4A15"/>
    <w:rsid w:val="00CB58EF"/>
    <w:rsid w:val="00CB695F"/>
    <w:rsid w:val="00CD385F"/>
    <w:rsid w:val="00CD5527"/>
    <w:rsid w:val="00CE3A34"/>
    <w:rsid w:val="00CE6B91"/>
    <w:rsid w:val="00CE7307"/>
    <w:rsid w:val="00CE7D64"/>
    <w:rsid w:val="00CF0BB2"/>
    <w:rsid w:val="00D02CAA"/>
    <w:rsid w:val="00D04A83"/>
    <w:rsid w:val="00D110E2"/>
    <w:rsid w:val="00D13073"/>
    <w:rsid w:val="00D13441"/>
    <w:rsid w:val="00D146CD"/>
    <w:rsid w:val="00D20665"/>
    <w:rsid w:val="00D243A3"/>
    <w:rsid w:val="00D3200B"/>
    <w:rsid w:val="00D33440"/>
    <w:rsid w:val="00D35A7B"/>
    <w:rsid w:val="00D42A26"/>
    <w:rsid w:val="00D45A92"/>
    <w:rsid w:val="00D47753"/>
    <w:rsid w:val="00D52EFE"/>
    <w:rsid w:val="00D54108"/>
    <w:rsid w:val="00D56A0D"/>
    <w:rsid w:val="00D63EF6"/>
    <w:rsid w:val="00D6487D"/>
    <w:rsid w:val="00D659A4"/>
    <w:rsid w:val="00D66030"/>
    <w:rsid w:val="00D66518"/>
    <w:rsid w:val="00D70DFB"/>
    <w:rsid w:val="00D719BA"/>
    <w:rsid w:val="00D71EEA"/>
    <w:rsid w:val="00D72C3F"/>
    <w:rsid w:val="00D735CD"/>
    <w:rsid w:val="00D749B0"/>
    <w:rsid w:val="00D766DF"/>
    <w:rsid w:val="00D82749"/>
    <w:rsid w:val="00D95891"/>
    <w:rsid w:val="00DA69EB"/>
    <w:rsid w:val="00DB01B3"/>
    <w:rsid w:val="00DB5CB4"/>
    <w:rsid w:val="00DB6BED"/>
    <w:rsid w:val="00DB6DF9"/>
    <w:rsid w:val="00DB6F12"/>
    <w:rsid w:val="00DC3662"/>
    <w:rsid w:val="00DC6922"/>
    <w:rsid w:val="00DD7556"/>
    <w:rsid w:val="00DE149E"/>
    <w:rsid w:val="00DF19CA"/>
    <w:rsid w:val="00DF1D9D"/>
    <w:rsid w:val="00DF6E4D"/>
    <w:rsid w:val="00E0041D"/>
    <w:rsid w:val="00E01C97"/>
    <w:rsid w:val="00E02635"/>
    <w:rsid w:val="00E05704"/>
    <w:rsid w:val="00E12F1A"/>
    <w:rsid w:val="00E134BF"/>
    <w:rsid w:val="00E15561"/>
    <w:rsid w:val="00E171DA"/>
    <w:rsid w:val="00E200A1"/>
    <w:rsid w:val="00E21CFB"/>
    <w:rsid w:val="00E22935"/>
    <w:rsid w:val="00E25693"/>
    <w:rsid w:val="00E2648B"/>
    <w:rsid w:val="00E333B8"/>
    <w:rsid w:val="00E35D0B"/>
    <w:rsid w:val="00E367C1"/>
    <w:rsid w:val="00E4631D"/>
    <w:rsid w:val="00E54292"/>
    <w:rsid w:val="00E54E3E"/>
    <w:rsid w:val="00E558D5"/>
    <w:rsid w:val="00E55C7C"/>
    <w:rsid w:val="00E60191"/>
    <w:rsid w:val="00E66E1E"/>
    <w:rsid w:val="00E74DC7"/>
    <w:rsid w:val="00E810B5"/>
    <w:rsid w:val="00E832C1"/>
    <w:rsid w:val="00E83890"/>
    <w:rsid w:val="00E87699"/>
    <w:rsid w:val="00E92E27"/>
    <w:rsid w:val="00E9586B"/>
    <w:rsid w:val="00E97334"/>
    <w:rsid w:val="00EA0D36"/>
    <w:rsid w:val="00EA1654"/>
    <w:rsid w:val="00EA1C31"/>
    <w:rsid w:val="00EA2BD9"/>
    <w:rsid w:val="00EB2DA8"/>
    <w:rsid w:val="00EC10E4"/>
    <w:rsid w:val="00ED4928"/>
    <w:rsid w:val="00EE3749"/>
    <w:rsid w:val="00EE3A4B"/>
    <w:rsid w:val="00EE4255"/>
    <w:rsid w:val="00EE6190"/>
    <w:rsid w:val="00EE7EA5"/>
    <w:rsid w:val="00EF2E3A"/>
    <w:rsid w:val="00EF6402"/>
    <w:rsid w:val="00EF7602"/>
    <w:rsid w:val="00F01234"/>
    <w:rsid w:val="00F025DF"/>
    <w:rsid w:val="00F03B50"/>
    <w:rsid w:val="00F047E2"/>
    <w:rsid w:val="00F04D57"/>
    <w:rsid w:val="00F078DC"/>
    <w:rsid w:val="00F13E86"/>
    <w:rsid w:val="00F21468"/>
    <w:rsid w:val="00F21F7F"/>
    <w:rsid w:val="00F225B4"/>
    <w:rsid w:val="00F23B02"/>
    <w:rsid w:val="00F32FCB"/>
    <w:rsid w:val="00F40890"/>
    <w:rsid w:val="00F561E1"/>
    <w:rsid w:val="00F625B2"/>
    <w:rsid w:val="00F6709F"/>
    <w:rsid w:val="00F677A9"/>
    <w:rsid w:val="00F70E97"/>
    <w:rsid w:val="00F71156"/>
    <w:rsid w:val="00F723BD"/>
    <w:rsid w:val="00F732EA"/>
    <w:rsid w:val="00F74A82"/>
    <w:rsid w:val="00F81176"/>
    <w:rsid w:val="00F84CF5"/>
    <w:rsid w:val="00F8612E"/>
    <w:rsid w:val="00F922F4"/>
    <w:rsid w:val="00FA420B"/>
    <w:rsid w:val="00FB05C6"/>
    <w:rsid w:val="00FB0EA6"/>
    <w:rsid w:val="00FC26AF"/>
    <w:rsid w:val="00FD5199"/>
    <w:rsid w:val="00FD57E6"/>
    <w:rsid w:val="00FE0781"/>
    <w:rsid w:val="00FE12F7"/>
    <w:rsid w:val="00FE2052"/>
    <w:rsid w:val="00FE690A"/>
    <w:rsid w:val="00FF09F8"/>
    <w:rsid w:val="00FF39DE"/>
    <w:rsid w:val="00FF5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67C1"/>
    <w:pPr>
      <w:spacing w:line="260" w:lineRule="atLeast"/>
    </w:pPr>
    <w:rPr>
      <w:sz w:val="22"/>
    </w:rPr>
  </w:style>
  <w:style w:type="paragraph" w:styleId="Heading1">
    <w:name w:val="heading 1"/>
    <w:basedOn w:val="Normal"/>
    <w:next w:val="Normal"/>
    <w:link w:val="Heading1Char"/>
    <w:uiPriority w:val="9"/>
    <w:qFormat/>
    <w:rsid w:val="00E367C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7C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7C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7C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67C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67C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67C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7C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367C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67C1"/>
  </w:style>
  <w:style w:type="paragraph" w:customStyle="1" w:styleId="OPCParaBase">
    <w:name w:val="OPCParaBase"/>
    <w:qFormat/>
    <w:rsid w:val="00E367C1"/>
    <w:pPr>
      <w:spacing w:line="260" w:lineRule="atLeast"/>
    </w:pPr>
    <w:rPr>
      <w:rFonts w:eastAsia="Times New Roman" w:cs="Times New Roman"/>
      <w:sz w:val="22"/>
      <w:lang w:eastAsia="en-AU"/>
    </w:rPr>
  </w:style>
  <w:style w:type="paragraph" w:customStyle="1" w:styleId="ShortT">
    <w:name w:val="ShortT"/>
    <w:basedOn w:val="OPCParaBase"/>
    <w:next w:val="Normal"/>
    <w:qFormat/>
    <w:rsid w:val="00E367C1"/>
    <w:pPr>
      <w:spacing w:line="240" w:lineRule="auto"/>
    </w:pPr>
    <w:rPr>
      <w:b/>
      <w:sz w:val="40"/>
    </w:rPr>
  </w:style>
  <w:style w:type="paragraph" w:customStyle="1" w:styleId="ActHead1">
    <w:name w:val="ActHead 1"/>
    <w:aliases w:val="c"/>
    <w:basedOn w:val="OPCParaBase"/>
    <w:next w:val="Normal"/>
    <w:qFormat/>
    <w:rsid w:val="00E367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67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67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67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67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67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67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67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67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67C1"/>
  </w:style>
  <w:style w:type="paragraph" w:customStyle="1" w:styleId="Blocks">
    <w:name w:val="Blocks"/>
    <w:aliases w:val="bb"/>
    <w:basedOn w:val="OPCParaBase"/>
    <w:qFormat/>
    <w:rsid w:val="00E367C1"/>
    <w:pPr>
      <w:spacing w:line="240" w:lineRule="auto"/>
    </w:pPr>
    <w:rPr>
      <w:sz w:val="24"/>
    </w:rPr>
  </w:style>
  <w:style w:type="paragraph" w:customStyle="1" w:styleId="BoxText">
    <w:name w:val="BoxText"/>
    <w:aliases w:val="bt"/>
    <w:basedOn w:val="OPCParaBase"/>
    <w:qFormat/>
    <w:rsid w:val="00E367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67C1"/>
    <w:rPr>
      <w:b/>
    </w:rPr>
  </w:style>
  <w:style w:type="paragraph" w:customStyle="1" w:styleId="BoxHeadItalic">
    <w:name w:val="BoxHeadItalic"/>
    <w:aliases w:val="bhi"/>
    <w:basedOn w:val="BoxText"/>
    <w:next w:val="BoxStep"/>
    <w:qFormat/>
    <w:rsid w:val="00E367C1"/>
    <w:rPr>
      <w:i/>
    </w:rPr>
  </w:style>
  <w:style w:type="paragraph" w:customStyle="1" w:styleId="BoxList">
    <w:name w:val="BoxList"/>
    <w:aliases w:val="bl"/>
    <w:basedOn w:val="BoxText"/>
    <w:qFormat/>
    <w:rsid w:val="00E367C1"/>
    <w:pPr>
      <w:ind w:left="1559" w:hanging="425"/>
    </w:pPr>
  </w:style>
  <w:style w:type="paragraph" w:customStyle="1" w:styleId="BoxNote">
    <w:name w:val="BoxNote"/>
    <w:aliases w:val="bn"/>
    <w:basedOn w:val="BoxText"/>
    <w:qFormat/>
    <w:rsid w:val="00E367C1"/>
    <w:pPr>
      <w:tabs>
        <w:tab w:val="left" w:pos="1985"/>
      </w:tabs>
      <w:spacing w:before="122" w:line="198" w:lineRule="exact"/>
      <w:ind w:left="2948" w:hanging="1814"/>
    </w:pPr>
    <w:rPr>
      <w:sz w:val="18"/>
    </w:rPr>
  </w:style>
  <w:style w:type="paragraph" w:customStyle="1" w:styleId="BoxPara">
    <w:name w:val="BoxPara"/>
    <w:aliases w:val="bp"/>
    <w:basedOn w:val="BoxText"/>
    <w:qFormat/>
    <w:rsid w:val="00E367C1"/>
    <w:pPr>
      <w:tabs>
        <w:tab w:val="right" w:pos="2268"/>
      </w:tabs>
      <w:ind w:left="2552" w:hanging="1418"/>
    </w:pPr>
  </w:style>
  <w:style w:type="paragraph" w:customStyle="1" w:styleId="BoxStep">
    <w:name w:val="BoxStep"/>
    <w:aliases w:val="bs"/>
    <w:basedOn w:val="BoxText"/>
    <w:qFormat/>
    <w:rsid w:val="00E367C1"/>
    <w:pPr>
      <w:ind w:left="1985" w:hanging="851"/>
    </w:pPr>
  </w:style>
  <w:style w:type="character" w:customStyle="1" w:styleId="CharAmPartNo">
    <w:name w:val="CharAmPartNo"/>
    <w:basedOn w:val="OPCCharBase"/>
    <w:qFormat/>
    <w:rsid w:val="00E367C1"/>
  </w:style>
  <w:style w:type="character" w:customStyle="1" w:styleId="CharAmPartText">
    <w:name w:val="CharAmPartText"/>
    <w:basedOn w:val="OPCCharBase"/>
    <w:qFormat/>
    <w:rsid w:val="00E367C1"/>
  </w:style>
  <w:style w:type="character" w:customStyle="1" w:styleId="CharAmSchNo">
    <w:name w:val="CharAmSchNo"/>
    <w:basedOn w:val="OPCCharBase"/>
    <w:qFormat/>
    <w:rsid w:val="00E367C1"/>
  </w:style>
  <w:style w:type="character" w:customStyle="1" w:styleId="CharAmSchText">
    <w:name w:val="CharAmSchText"/>
    <w:basedOn w:val="OPCCharBase"/>
    <w:qFormat/>
    <w:rsid w:val="00E367C1"/>
  </w:style>
  <w:style w:type="character" w:customStyle="1" w:styleId="CharBoldItalic">
    <w:name w:val="CharBoldItalic"/>
    <w:basedOn w:val="OPCCharBase"/>
    <w:uiPriority w:val="1"/>
    <w:qFormat/>
    <w:rsid w:val="00E367C1"/>
    <w:rPr>
      <w:b/>
      <w:i/>
    </w:rPr>
  </w:style>
  <w:style w:type="character" w:customStyle="1" w:styleId="CharChapNo">
    <w:name w:val="CharChapNo"/>
    <w:basedOn w:val="OPCCharBase"/>
    <w:uiPriority w:val="1"/>
    <w:qFormat/>
    <w:rsid w:val="00E367C1"/>
  </w:style>
  <w:style w:type="character" w:customStyle="1" w:styleId="CharChapText">
    <w:name w:val="CharChapText"/>
    <w:basedOn w:val="OPCCharBase"/>
    <w:uiPriority w:val="1"/>
    <w:qFormat/>
    <w:rsid w:val="00E367C1"/>
  </w:style>
  <w:style w:type="character" w:customStyle="1" w:styleId="CharDivNo">
    <w:name w:val="CharDivNo"/>
    <w:basedOn w:val="OPCCharBase"/>
    <w:uiPriority w:val="1"/>
    <w:qFormat/>
    <w:rsid w:val="00E367C1"/>
  </w:style>
  <w:style w:type="character" w:customStyle="1" w:styleId="CharDivText">
    <w:name w:val="CharDivText"/>
    <w:basedOn w:val="OPCCharBase"/>
    <w:uiPriority w:val="1"/>
    <w:qFormat/>
    <w:rsid w:val="00E367C1"/>
  </w:style>
  <w:style w:type="character" w:customStyle="1" w:styleId="CharItalic">
    <w:name w:val="CharItalic"/>
    <w:basedOn w:val="OPCCharBase"/>
    <w:uiPriority w:val="1"/>
    <w:qFormat/>
    <w:rsid w:val="00E367C1"/>
    <w:rPr>
      <w:i/>
    </w:rPr>
  </w:style>
  <w:style w:type="character" w:customStyle="1" w:styleId="CharPartNo">
    <w:name w:val="CharPartNo"/>
    <w:basedOn w:val="OPCCharBase"/>
    <w:uiPriority w:val="1"/>
    <w:qFormat/>
    <w:rsid w:val="00E367C1"/>
  </w:style>
  <w:style w:type="character" w:customStyle="1" w:styleId="CharPartText">
    <w:name w:val="CharPartText"/>
    <w:basedOn w:val="OPCCharBase"/>
    <w:uiPriority w:val="1"/>
    <w:qFormat/>
    <w:rsid w:val="00E367C1"/>
  </w:style>
  <w:style w:type="character" w:customStyle="1" w:styleId="CharSectno">
    <w:name w:val="CharSectno"/>
    <w:basedOn w:val="OPCCharBase"/>
    <w:qFormat/>
    <w:rsid w:val="00E367C1"/>
  </w:style>
  <w:style w:type="character" w:customStyle="1" w:styleId="CharSubdNo">
    <w:name w:val="CharSubdNo"/>
    <w:basedOn w:val="OPCCharBase"/>
    <w:uiPriority w:val="1"/>
    <w:qFormat/>
    <w:rsid w:val="00E367C1"/>
  </w:style>
  <w:style w:type="character" w:customStyle="1" w:styleId="CharSubdText">
    <w:name w:val="CharSubdText"/>
    <w:basedOn w:val="OPCCharBase"/>
    <w:uiPriority w:val="1"/>
    <w:qFormat/>
    <w:rsid w:val="00E367C1"/>
  </w:style>
  <w:style w:type="paragraph" w:customStyle="1" w:styleId="CTA--">
    <w:name w:val="CTA --"/>
    <w:basedOn w:val="OPCParaBase"/>
    <w:next w:val="Normal"/>
    <w:rsid w:val="00E367C1"/>
    <w:pPr>
      <w:spacing w:before="60" w:line="240" w:lineRule="atLeast"/>
      <w:ind w:left="142" w:hanging="142"/>
    </w:pPr>
    <w:rPr>
      <w:sz w:val="20"/>
    </w:rPr>
  </w:style>
  <w:style w:type="paragraph" w:customStyle="1" w:styleId="CTA-">
    <w:name w:val="CTA -"/>
    <w:basedOn w:val="OPCParaBase"/>
    <w:rsid w:val="00E367C1"/>
    <w:pPr>
      <w:spacing w:before="60" w:line="240" w:lineRule="atLeast"/>
      <w:ind w:left="85" w:hanging="85"/>
    </w:pPr>
    <w:rPr>
      <w:sz w:val="20"/>
    </w:rPr>
  </w:style>
  <w:style w:type="paragraph" w:customStyle="1" w:styleId="CTA---">
    <w:name w:val="CTA ---"/>
    <w:basedOn w:val="OPCParaBase"/>
    <w:next w:val="Normal"/>
    <w:rsid w:val="00E367C1"/>
    <w:pPr>
      <w:spacing w:before="60" w:line="240" w:lineRule="atLeast"/>
      <w:ind w:left="198" w:hanging="198"/>
    </w:pPr>
    <w:rPr>
      <w:sz w:val="20"/>
    </w:rPr>
  </w:style>
  <w:style w:type="paragraph" w:customStyle="1" w:styleId="CTA----">
    <w:name w:val="CTA ----"/>
    <w:basedOn w:val="OPCParaBase"/>
    <w:next w:val="Normal"/>
    <w:rsid w:val="00E367C1"/>
    <w:pPr>
      <w:spacing w:before="60" w:line="240" w:lineRule="atLeast"/>
      <w:ind w:left="255" w:hanging="255"/>
    </w:pPr>
    <w:rPr>
      <w:sz w:val="20"/>
    </w:rPr>
  </w:style>
  <w:style w:type="paragraph" w:customStyle="1" w:styleId="CTA1a">
    <w:name w:val="CTA 1(a)"/>
    <w:basedOn w:val="OPCParaBase"/>
    <w:rsid w:val="00E367C1"/>
    <w:pPr>
      <w:tabs>
        <w:tab w:val="right" w:pos="414"/>
      </w:tabs>
      <w:spacing w:before="40" w:line="240" w:lineRule="atLeast"/>
      <w:ind w:left="675" w:hanging="675"/>
    </w:pPr>
    <w:rPr>
      <w:sz w:val="20"/>
    </w:rPr>
  </w:style>
  <w:style w:type="paragraph" w:customStyle="1" w:styleId="CTA1ai">
    <w:name w:val="CTA 1(a)(i)"/>
    <w:basedOn w:val="OPCParaBase"/>
    <w:rsid w:val="00E367C1"/>
    <w:pPr>
      <w:tabs>
        <w:tab w:val="right" w:pos="1004"/>
      </w:tabs>
      <w:spacing w:before="40" w:line="240" w:lineRule="atLeast"/>
      <w:ind w:left="1253" w:hanging="1253"/>
    </w:pPr>
    <w:rPr>
      <w:sz w:val="20"/>
    </w:rPr>
  </w:style>
  <w:style w:type="paragraph" w:customStyle="1" w:styleId="CTA2a">
    <w:name w:val="CTA 2(a)"/>
    <w:basedOn w:val="OPCParaBase"/>
    <w:rsid w:val="00E367C1"/>
    <w:pPr>
      <w:tabs>
        <w:tab w:val="right" w:pos="482"/>
      </w:tabs>
      <w:spacing w:before="40" w:line="240" w:lineRule="atLeast"/>
      <w:ind w:left="748" w:hanging="748"/>
    </w:pPr>
    <w:rPr>
      <w:sz w:val="20"/>
    </w:rPr>
  </w:style>
  <w:style w:type="paragraph" w:customStyle="1" w:styleId="CTA2ai">
    <w:name w:val="CTA 2(a)(i)"/>
    <w:basedOn w:val="OPCParaBase"/>
    <w:rsid w:val="00E367C1"/>
    <w:pPr>
      <w:tabs>
        <w:tab w:val="right" w:pos="1089"/>
      </w:tabs>
      <w:spacing w:before="40" w:line="240" w:lineRule="atLeast"/>
      <w:ind w:left="1327" w:hanging="1327"/>
    </w:pPr>
    <w:rPr>
      <w:sz w:val="20"/>
    </w:rPr>
  </w:style>
  <w:style w:type="paragraph" w:customStyle="1" w:styleId="CTA3a">
    <w:name w:val="CTA 3(a)"/>
    <w:basedOn w:val="OPCParaBase"/>
    <w:rsid w:val="00E367C1"/>
    <w:pPr>
      <w:tabs>
        <w:tab w:val="right" w:pos="556"/>
      </w:tabs>
      <w:spacing w:before="40" w:line="240" w:lineRule="atLeast"/>
      <w:ind w:left="805" w:hanging="805"/>
    </w:pPr>
    <w:rPr>
      <w:sz w:val="20"/>
    </w:rPr>
  </w:style>
  <w:style w:type="paragraph" w:customStyle="1" w:styleId="CTA3ai">
    <w:name w:val="CTA 3(a)(i)"/>
    <w:basedOn w:val="OPCParaBase"/>
    <w:rsid w:val="00E367C1"/>
    <w:pPr>
      <w:tabs>
        <w:tab w:val="right" w:pos="1140"/>
      </w:tabs>
      <w:spacing w:before="40" w:line="240" w:lineRule="atLeast"/>
      <w:ind w:left="1361" w:hanging="1361"/>
    </w:pPr>
    <w:rPr>
      <w:sz w:val="20"/>
    </w:rPr>
  </w:style>
  <w:style w:type="paragraph" w:customStyle="1" w:styleId="CTA4a">
    <w:name w:val="CTA 4(a)"/>
    <w:basedOn w:val="OPCParaBase"/>
    <w:rsid w:val="00E367C1"/>
    <w:pPr>
      <w:tabs>
        <w:tab w:val="right" w:pos="624"/>
      </w:tabs>
      <w:spacing w:before="40" w:line="240" w:lineRule="atLeast"/>
      <w:ind w:left="873" w:hanging="873"/>
    </w:pPr>
    <w:rPr>
      <w:sz w:val="20"/>
    </w:rPr>
  </w:style>
  <w:style w:type="paragraph" w:customStyle="1" w:styleId="CTA4ai">
    <w:name w:val="CTA 4(a)(i)"/>
    <w:basedOn w:val="OPCParaBase"/>
    <w:rsid w:val="00E367C1"/>
    <w:pPr>
      <w:tabs>
        <w:tab w:val="right" w:pos="1213"/>
      </w:tabs>
      <w:spacing w:before="40" w:line="240" w:lineRule="atLeast"/>
      <w:ind w:left="1452" w:hanging="1452"/>
    </w:pPr>
    <w:rPr>
      <w:sz w:val="20"/>
    </w:rPr>
  </w:style>
  <w:style w:type="paragraph" w:customStyle="1" w:styleId="CTACAPS">
    <w:name w:val="CTA CAPS"/>
    <w:basedOn w:val="OPCParaBase"/>
    <w:rsid w:val="00E367C1"/>
    <w:pPr>
      <w:spacing w:before="60" w:line="240" w:lineRule="atLeast"/>
    </w:pPr>
    <w:rPr>
      <w:sz w:val="20"/>
    </w:rPr>
  </w:style>
  <w:style w:type="paragraph" w:customStyle="1" w:styleId="CTAright">
    <w:name w:val="CTA right"/>
    <w:basedOn w:val="OPCParaBase"/>
    <w:rsid w:val="00E367C1"/>
    <w:pPr>
      <w:spacing w:before="60" w:line="240" w:lineRule="auto"/>
      <w:jc w:val="right"/>
    </w:pPr>
    <w:rPr>
      <w:sz w:val="20"/>
    </w:rPr>
  </w:style>
  <w:style w:type="paragraph" w:customStyle="1" w:styleId="subsection">
    <w:name w:val="subsection"/>
    <w:aliases w:val="ss"/>
    <w:basedOn w:val="OPCParaBase"/>
    <w:link w:val="subsectionChar"/>
    <w:rsid w:val="00E367C1"/>
    <w:pPr>
      <w:tabs>
        <w:tab w:val="right" w:pos="1021"/>
      </w:tabs>
      <w:spacing w:before="180" w:line="240" w:lineRule="auto"/>
      <w:ind w:left="1134" w:hanging="1134"/>
    </w:pPr>
  </w:style>
  <w:style w:type="paragraph" w:customStyle="1" w:styleId="Definition">
    <w:name w:val="Definition"/>
    <w:aliases w:val="dd"/>
    <w:basedOn w:val="OPCParaBase"/>
    <w:rsid w:val="00E367C1"/>
    <w:pPr>
      <w:spacing w:before="180" w:line="240" w:lineRule="auto"/>
      <w:ind w:left="1134"/>
    </w:pPr>
  </w:style>
  <w:style w:type="paragraph" w:customStyle="1" w:styleId="ETAsubitem">
    <w:name w:val="ETA(subitem)"/>
    <w:basedOn w:val="OPCParaBase"/>
    <w:rsid w:val="00E367C1"/>
    <w:pPr>
      <w:tabs>
        <w:tab w:val="right" w:pos="340"/>
      </w:tabs>
      <w:spacing w:before="60" w:line="240" w:lineRule="auto"/>
      <w:ind w:left="454" w:hanging="454"/>
    </w:pPr>
    <w:rPr>
      <w:sz w:val="20"/>
    </w:rPr>
  </w:style>
  <w:style w:type="paragraph" w:customStyle="1" w:styleId="ETApara">
    <w:name w:val="ETA(para)"/>
    <w:basedOn w:val="OPCParaBase"/>
    <w:rsid w:val="00E367C1"/>
    <w:pPr>
      <w:tabs>
        <w:tab w:val="right" w:pos="754"/>
      </w:tabs>
      <w:spacing w:before="60" w:line="240" w:lineRule="auto"/>
      <w:ind w:left="828" w:hanging="828"/>
    </w:pPr>
    <w:rPr>
      <w:sz w:val="20"/>
    </w:rPr>
  </w:style>
  <w:style w:type="paragraph" w:customStyle="1" w:styleId="ETAsubpara">
    <w:name w:val="ETA(subpara)"/>
    <w:basedOn w:val="OPCParaBase"/>
    <w:rsid w:val="00E367C1"/>
    <w:pPr>
      <w:tabs>
        <w:tab w:val="right" w:pos="1083"/>
      </w:tabs>
      <w:spacing w:before="60" w:line="240" w:lineRule="auto"/>
      <w:ind w:left="1191" w:hanging="1191"/>
    </w:pPr>
    <w:rPr>
      <w:sz w:val="20"/>
    </w:rPr>
  </w:style>
  <w:style w:type="paragraph" w:customStyle="1" w:styleId="ETAsub-subpara">
    <w:name w:val="ETA(sub-subpara)"/>
    <w:basedOn w:val="OPCParaBase"/>
    <w:rsid w:val="00E367C1"/>
    <w:pPr>
      <w:tabs>
        <w:tab w:val="right" w:pos="1412"/>
      </w:tabs>
      <w:spacing w:before="60" w:line="240" w:lineRule="auto"/>
      <w:ind w:left="1525" w:hanging="1525"/>
    </w:pPr>
    <w:rPr>
      <w:sz w:val="20"/>
    </w:rPr>
  </w:style>
  <w:style w:type="paragraph" w:customStyle="1" w:styleId="Formula">
    <w:name w:val="Formula"/>
    <w:basedOn w:val="OPCParaBase"/>
    <w:rsid w:val="00E367C1"/>
    <w:pPr>
      <w:spacing w:line="240" w:lineRule="auto"/>
      <w:ind w:left="1134"/>
    </w:pPr>
    <w:rPr>
      <w:sz w:val="20"/>
    </w:rPr>
  </w:style>
  <w:style w:type="paragraph" w:styleId="Header">
    <w:name w:val="header"/>
    <w:basedOn w:val="OPCParaBase"/>
    <w:link w:val="HeaderChar"/>
    <w:unhideWhenUsed/>
    <w:rsid w:val="00E367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67C1"/>
    <w:rPr>
      <w:rFonts w:eastAsia="Times New Roman" w:cs="Times New Roman"/>
      <w:sz w:val="16"/>
      <w:lang w:eastAsia="en-AU"/>
    </w:rPr>
  </w:style>
  <w:style w:type="paragraph" w:customStyle="1" w:styleId="House">
    <w:name w:val="House"/>
    <w:basedOn w:val="OPCParaBase"/>
    <w:rsid w:val="00E367C1"/>
    <w:pPr>
      <w:spacing w:line="240" w:lineRule="auto"/>
    </w:pPr>
    <w:rPr>
      <w:sz w:val="28"/>
    </w:rPr>
  </w:style>
  <w:style w:type="paragraph" w:customStyle="1" w:styleId="Item">
    <w:name w:val="Item"/>
    <w:aliases w:val="i"/>
    <w:basedOn w:val="OPCParaBase"/>
    <w:next w:val="ItemHead"/>
    <w:link w:val="ItemChar"/>
    <w:rsid w:val="00E367C1"/>
    <w:pPr>
      <w:keepLines/>
      <w:spacing w:before="80" w:line="240" w:lineRule="auto"/>
      <w:ind w:left="709"/>
    </w:pPr>
  </w:style>
  <w:style w:type="paragraph" w:customStyle="1" w:styleId="ItemHead">
    <w:name w:val="ItemHead"/>
    <w:aliases w:val="ih"/>
    <w:basedOn w:val="OPCParaBase"/>
    <w:next w:val="Item"/>
    <w:link w:val="ItemHeadChar"/>
    <w:rsid w:val="00E367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67C1"/>
    <w:pPr>
      <w:spacing w:line="240" w:lineRule="auto"/>
    </w:pPr>
    <w:rPr>
      <w:b/>
      <w:sz w:val="32"/>
    </w:rPr>
  </w:style>
  <w:style w:type="paragraph" w:customStyle="1" w:styleId="notedraft">
    <w:name w:val="note(draft)"/>
    <w:aliases w:val="nd"/>
    <w:basedOn w:val="OPCParaBase"/>
    <w:rsid w:val="00E367C1"/>
    <w:pPr>
      <w:spacing w:before="240" w:line="240" w:lineRule="auto"/>
      <w:ind w:left="284" w:hanging="284"/>
    </w:pPr>
    <w:rPr>
      <w:i/>
      <w:sz w:val="24"/>
    </w:rPr>
  </w:style>
  <w:style w:type="paragraph" w:customStyle="1" w:styleId="notemargin">
    <w:name w:val="note(margin)"/>
    <w:aliases w:val="nm"/>
    <w:basedOn w:val="OPCParaBase"/>
    <w:rsid w:val="00E367C1"/>
    <w:pPr>
      <w:tabs>
        <w:tab w:val="left" w:pos="709"/>
      </w:tabs>
      <w:spacing w:before="122" w:line="198" w:lineRule="exact"/>
      <w:ind w:left="709" w:hanging="709"/>
    </w:pPr>
    <w:rPr>
      <w:sz w:val="18"/>
    </w:rPr>
  </w:style>
  <w:style w:type="paragraph" w:customStyle="1" w:styleId="noteToPara">
    <w:name w:val="noteToPara"/>
    <w:aliases w:val="ntp"/>
    <w:basedOn w:val="OPCParaBase"/>
    <w:rsid w:val="00E367C1"/>
    <w:pPr>
      <w:spacing w:before="122" w:line="198" w:lineRule="exact"/>
      <w:ind w:left="2353" w:hanging="709"/>
    </w:pPr>
    <w:rPr>
      <w:sz w:val="18"/>
    </w:rPr>
  </w:style>
  <w:style w:type="paragraph" w:customStyle="1" w:styleId="noteParlAmend">
    <w:name w:val="note(ParlAmend)"/>
    <w:aliases w:val="npp"/>
    <w:basedOn w:val="OPCParaBase"/>
    <w:next w:val="ParlAmend"/>
    <w:rsid w:val="00E367C1"/>
    <w:pPr>
      <w:spacing w:line="240" w:lineRule="auto"/>
      <w:jc w:val="right"/>
    </w:pPr>
    <w:rPr>
      <w:rFonts w:ascii="Arial" w:hAnsi="Arial"/>
      <w:b/>
      <w:i/>
    </w:rPr>
  </w:style>
  <w:style w:type="paragraph" w:customStyle="1" w:styleId="Page1">
    <w:name w:val="Page1"/>
    <w:basedOn w:val="OPCParaBase"/>
    <w:rsid w:val="00E367C1"/>
    <w:pPr>
      <w:spacing w:before="5600" w:line="240" w:lineRule="auto"/>
    </w:pPr>
    <w:rPr>
      <w:b/>
      <w:sz w:val="32"/>
    </w:rPr>
  </w:style>
  <w:style w:type="paragraph" w:customStyle="1" w:styleId="PageBreak">
    <w:name w:val="PageBreak"/>
    <w:aliases w:val="pb"/>
    <w:basedOn w:val="OPCParaBase"/>
    <w:rsid w:val="00E367C1"/>
    <w:pPr>
      <w:spacing w:line="240" w:lineRule="auto"/>
    </w:pPr>
    <w:rPr>
      <w:sz w:val="20"/>
    </w:rPr>
  </w:style>
  <w:style w:type="paragraph" w:customStyle="1" w:styleId="paragraphsub">
    <w:name w:val="paragraph(sub)"/>
    <w:aliases w:val="aa"/>
    <w:basedOn w:val="OPCParaBase"/>
    <w:rsid w:val="00E367C1"/>
    <w:pPr>
      <w:tabs>
        <w:tab w:val="right" w:pos="1985"/>
      </w:tabs>
      <w:spacing w:before="40" w:line="240" w:lineRule="auto"/>
      <w:ind w:left="2098" w:hanging="2098"/>
    </w:pPr>
  </w:style>
  <w:style w:type="paragraph" w:customStyle="1" w:styleId="paragraphsub-sub">
    <w:name w:val="paragraph(sub-sub)"/>
    <w:aliases w:val="aaa"/>
    <w:basedOn w:val="OPCParaBase"/>
    <w:rsid w:val="00E367C1"/>
    <w:pPr>
      <w:tabs>
        <w:tab w:val="right" w:pos="2722"/>
      </w:tabs>
      <w:spacing w:before="40" w:line="240" w:lineRule="auto"/>
      <w:ind w:left="2835" w:hanging="2835"/>
    </w:pPr>
  </w:style>
  <w:style w:type="paragraph" w:customStyle="1" w:styleId="paragraph">
    <w:name w:val="paragraph"/>
    <w:aliases w:val="a"/>
    <w:basedOn w:val="OPCParaBase"/>
    <w:link w:val="paragraphChar"/>
    <w:rsid w:val="00E367C1"/>
    <w:pPr>
      <w:tabs>
        <w:tab w:val="right" w:pos="1531"/>
      </w:tabs>
      <w:spacing w:before="40" w:line="240" w:lineRule="auto"/>
      <w:ind w:left="1644" w:hanging="1644"/>
    </w:pPr>
  </w:style>
  <w:style w:type="paragraph" w:customStyle="1" w:styleId="ParlAmend">
    <w:name w:val="ParlAmend"/>
    <w:aliases w:val="pp"/>
    <w:basedOn w:val="OPCParaBase"/>
    <w:rsid w:val="00E367C1"/>
    <w:pPr>
      <w:spacing w:before="240" w:line="240" w:lineRule="atLeast"/>
      <w:ind w:hanging="567"/>
    </w:pPr>
    <w:rPr>
      <w:sz w:val="24"/>
    </w:rPr>
  </w:style>
  <w:style w:type="paragraph" w:customStyle="1" w:styleId="Penalty">
    <w:name w:val="Penalty"/>
    <w:basedOn w:val="OPCParaBase"/>
    <w:rsid w:val="00E367C1"/>
    <w:pPr>
      <w:tabs>
        <w:tab w:val="left" w:pos="2977"/>
      </w:tabs>
      <w:spacing w:before="180" w:line="240" w:lineRule="auto"/>
      <w:ind w:left="1985" w:hanging="851"/>
    </w:pPr>
  </w:style>
  <w:style w:type="paragraph" w:customStyle="1" w:styleId="Portfolio">
    <w:name w:val="Portfolio"/>
    <w:basedOn w:val="OPCParaBase"/>
    <w:rsid w:val="00E367C1"/>
    <w:pPr>
      <w:spacing w:line="240" w:lineRule="auto"/>
    </w:pPr>
    <w:rPr>
      <w:i/>
      <w:sz w:val="20"/>
    </w:rPr>
  </w:style>
  <w:style w:type="paragraph" w:customStyle="1" w:styleId="Preamble">
    <w:name w:val="Preamble"/>
    <w:basedOn w:val="OPCParaBase"/>
    <w:next w:val="Normal"/>
    <w:rsid w:val="00E367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67C1"/>
    <w:pPr>
      <w:spacing w:line="240" w:lineRule="auto"/>
    </w:pPr>
    <w:rPr>
      <w:i/>
      <w:sz w:val="20"/>
    </w:rPr>
  </w:style>
  <w:style w:type="paragraph" w:customStyle="1" w:styleId="Session">
    <w:name w:val="Session"/>
    <w:basedOn w:val="OPCParaBase"/>
    <w:rsid w:val="00E367C1"/>
    <w:pPr>
      <w:spacing w:line="240" w:lineRule="auto"/>
    </w:pPr>
    <w:rPr>
      <w:sz w:val="28"/>
    </w:rPr>
  </w:style>
  <w:style w:type="paragraph" w:customStyle="1" w:styleId="Sponsor">
    <w:name w:val="Sponsor"/>
    <w:basedOn w:val="OPCParaBase"/>
    <w:rsid w:val="00E367C1"/>
    <w:pPr>
      <w:spacing w:line="240" w:lineRule="auto"/>
    </w:pPr>
    <w:rPr>
      <w:i/>
    </w:rPr>
  </w:style>
  <w:style w:type="paragraph" w:customStyle="1" w:styleId="Subitem">
    <w:name w:val="Subitem"/>
    <w:aliases w:val="iss"/>
    <w:basedOn w:val="OPCParaBase"/>
    <w:rsid w:val="00E367C1"/>
    <w:pPr>
      <w:spacing w:before="180" w:line="240" w:lineRule="auto"/>
      <w:ind w:left="709" w:hanging="709"/>
    </w:pPr>
  </w:style>
  <w:style w:type="paragraph" w:customStyle="1" w:styleId="SubitemHead">
    <w:name w:val="SubitemHead"/>
    <w:aliases w:val="issh"/>
    <w:basedOn w:val="OPCParaBase"/>
    <w:rsid w:val="00E367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67C1"/>
    <w:pPr>
      <w:spacing w:before="40" w:line="240" w:lineRule="auto"/>
      <w:ind w:left="1134"/>
    </w:pPr>
  </w:style>
  <w:style w:type="paragraph" w:customStyle="1" w:styleId="SubsectionHead">
    <w:name w:val="SubsectionHead"/>
    <w:aliases w:val="ssh"/>
    <w:basedOn w:val="OPCParaBase"/>
    <w:next w:val="subsection"/>
    <w:rsid w:val="00E367C1"/>
    <w:pPr>
      <w:keepNext/>
      <w:keepLines/>
      <w:spacing w:before="240" w:line="240" w:lineRule="auto"/>
      <w:ind w:left="1134"/>
    </w:pPr>
    <w:rPr>
      <w:i/>
    </w:rPr>
  </w:style>
  <w:style w:type="paragraph" w:customStyle="1" w:styleId="Tablea">
    <w:name w:val="Table(a)"/>
    <w:aliases w:val="ta"/>
    <w:basedOn w:val="OPCParaBase"/>
    <w:rsid w:val="00E367C1"/>
    <w:pPr>
      <w:spacing w:before="60" w:line="240" w:lineRule="auto"/>
      <w:ind w:left="284" w:hanging="284"/>
    </w:pPr>
    <w:rPr>
      <w:sz w:val="20"/>
    </w:rPr>
  </w:style>
  <w:style w:type="paragraph" w:customStyle="1" w:styleId="TableAA">
    <w:name w:val="Table(AA)"/>
    <w:aliases w:val="taaa"/>
    <w:basedOn w:val="OPCParaBase"/>
    <w:rsid w:val="00E367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67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67C1"/>
    <w:pPr>
      <w:spacing w:before="60" w:line="240" w:lineRule="atLeast"/>
    </w:pPr>
    <w:rPr>
      <w:sz w:val="20"/>
    </w:rPr>
  </w:style>
  <w:style w:type="paragraph" w:customStyle="1" w:styleId="TLPBoxTextnote">
    <w:name w:val="TLPBoxText(note"/>
    <w:aliases w:val="right)"/>
    <w:basedOn w:val="OPCParaBase"/>
    <w:rsid w:val="00E367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67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67C1"/>
    <w:pPr>
      <w:spacing w:before="122" w:line="198" w:lineRule="exact"/>
      <w:ind w:left="1985" w:hanging="851"/>
      <w:jc w:val="right"/>
    </w:pPr>
    <w:rPr>
      <w:sz w:val="18"/>
    </w:rPr>
  </w:style>
  <w:style w:type="paragraph" w:customStyle="1" w:styleId="TLPTableBullet">
    <w:name w:val="TLPTableBullet"/>
    <w:aliases w:val="ttb"/>
    <w:basedOn w:val="OPCParaBase"/>
    <w:rsid w:val="00E367C1"/>
    <w:pPr>
      <w:spacing w:line="240" w:lineRule="exact"/>
      <w:ind w:left="284" w:hanging="284"/>
    </w:pPr>
    <w:rPr>
      <w:sz w:val="20"/>
    </w:rPr>
  </w:style>
  <w:style w:type="paragraph" w:styleId="TOC1">
    <w:name w:val="toc 1"/>
    <w:basedOn w:val="Normal"/>
    <w:next w:val="Normal"/>
    <w:uiPriority w:val="39"/>
    <w:unhideWhenUsed/>
    <w:rsid w:val="00E367C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367C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367C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367C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367C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367C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367C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367C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367C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367C1"/>
    <w:pPr>
      <w:keepLines/>
      <w:spacing w:before="240" w:after="120" w:line="240" w:lineRule="auto"/>
      <w:ind w:left="794"/>
    </w:pPr>
    <w:rPr>
      <w:b/>
      <w:kern w:val="28"/>
      <w:sz w:val="20"/>
    </w:rPr>
  </w:style>
  <w:style w:type="paragraph" w:customStyle="1" w:styleId="TofSectsHeading">
    <w:name w:val="TofSects(Heading)"/>
    <w:basedOn w:val="OPCParaBase"/>
    <w:rsid w:val="00E367C1"/>
    <w:pPr>
      <w:spacing w:before="240" w:after="120" w:line="240" w:lineRule="auto"/>
    </w:pPr>
    <w:rPr>
      <w:b/>
      <w:sz w:val="24"/>
    </w:rPr>
  </w:style>
  <w:style w:type="paragraph" w:customStyle="1" w:styleId="TofSectsSection">
    <w:name w:val="TofSects(Section)"/>
    <w:basedOn w:val="OPCParaBase"/>
    <w:rsid w:val="00E367C1"/>
    <w:pPr>
      <w:keepLines/>
      <w:spacing w:before="40" w:line="240" w:lineRule="auto"/>
      <w:ind w:left="1588" w:hanging="794"/>
    </w:pPr>
    <w:rPr>
      <w:kern w:val="28"/>
      <w:sz w:val="18"/>
    </w:rPr>
  </w:style>
  <w:style w:type="paragraph" w:customStyle="1" w:styleId="TofSectsSubdiv">
    <w:name w:val="TofSects(Subdiv)"/>
    <w:basedOn w:val="OPCParaBase"/>
    <w:rsid w:val="00E367C1"/>
    <w:pPr>
      <w:keepLines/>
      <w:spacing w:before="80" w:line="240" w:lineRule="auto"/>
      <w:ind w:left="1588" w:hanging="794"/>
    </w:pPr>
    <w:rPr>
      <w:kern w:val="28"/>
    </w:rPr>
  </w:style>
  <w:style w:type="paragraph" w:customStyle="1" w:styleId="WRStyle">
    <w:name w:val="WR Style"/>
    <w:aliases w:val="WR"/>
    <w:basedOn w:val="OPCParaBase"/>
    <w:rsid w:val="00E367C1"/>
    <w:pPr>
      <w:spacing w:before="240" w:line="240" w:lineRule="auto"/>
      <w:ind w:left="284" w:hanging="284"/>
    </w:pPr>
    <w:rPr>
      <w:b/>
      <w:i/>
      <w:kern w:val="28"/>
      <w:sz w:val="24"/>
    </w:rPr>
  </w:style>
  <w:style w:type="paragraph" w:customStyle="1" w:styleId="notepara">
    <w:name w:val="note(para)"/>
    <w:aliases w:val="na"/>
    <w:basedOn w:val="OPCParaBase"/>
    <w:rsid w:val="00E367C1"/>
    <w:pPr>
      <w:spacing w:before="40" w:line="198" w:lineRule="exact"/>
      <w:ind w:left="2354" w:hanging="369"/>
    </w:pPr>
    <w:rPr>
      <w:sz w:val="18"/>
    </w:rPr>
  </w:style>
  <w:style w:type="paragraph" w:styleId="Footer">
    <w:name w:val="footer"/>
    <w:link w:val="FooterChar"/>
    <w:rsid w:val="00E367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67C1"/>
    <w:rPr>
      <w:rFonts w:eastAsia="Times New Roman" w:cs="Times New Roman"/>
      <w:sz w:val="22"/>
      <w:szCs w:val="24"/>
      <w:lang w:eastAsia="en-AU"/>
    </w:rPr>
  </w:style>
  <w:style w:type="character" w:styleId="LineNumber">
    <w:name w:val="line number"/>
    <w:basedOn w:val="OPCCharBase"/>
    <w:uiPriority w:val="99"/>
    <w:unhideWhenUsed/>
    <w:rsid w:val="00E367C1"/>
    <w:rPr>
      <w:sz w:val="16"/>
    </w:rPr>
  </w:style>
  <w:style w:type="table" w:customStyle="1" w:styleId="CFlag">
    <w:name w:val="CFlag"/>
    <w:basedOn w:val="TableNormal"/>
    <w:uiPriority w:val="99"/>
    <w:rsid w:val="00E367C1"/>
    <w:rPr>
      <w:rFonts w:eastAsia="Times New Roman" w:cs="Times New Roman"/>
      <w:lang w:eastAsia="en-AU"/>
    </w:rPr>
    <w:tblPr/>
  </w:style>
  <w:style w:type="paragraph" w:styleId="BalloonText">
    <w:name w:val="Balloon Text"/>
    <w:basedOn w:val="Normal"/>
    <w:link w:val="BalloonTextChar"/>
    <w:uiPriority w:val="99"/>
    <w:unhideWhenUsed/>
    <w:rsid w:val="00E36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67C1"/>
    <w:rPr>
      <w:rFonts w:ascii="Tahoma" w:hAnsi="Tahoma" w:cs="Tahoma"/>
      <w:sz w:val="16"/>
      <w:szCs w:val="16"/>
    </w:rPr>
  </w:style>
  <w:style w:type="table" w:styleId="TableGrid">
    <w:name w:val="Table Grid"/>
    <w:basedOn w:val="TableNormal"/>
    <w:uiPriority w:val="59"/>
    <w:rsid w:val="00E36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67C1"/>
    <w:rPr>
      <w:b/>
      <w:sz w:val="28"/>
      <w:szCs w:val="32"/>
    </w:rPr>
  </w:style>
  <w:style w:type="paragraph" w:customStyle="1" w:styleId="LegislationMadeUnder">
    <w:name w:val="LegislationMadeUnder"/>
    <w:basedOn w:val="OPCParaBase"/>
    <w:next w:val="Normal"/>
    <w:rsid w:val="00E367C1"/>
    <w:rPr>
      <w:i/>
      <w:sz w:val="32"/>
      <w:szCs w:val="32"/>
    </w:rPr>
  </w:style>
  <w:style w:type="paragraph" w:customStyle="1" w:styleId="SignCoverPageEnd">
    <w:name w:val="SignCoverPageEnd"/>
    <w:basedOn w:val="OPCParaBase"/>
    <w:next w:val="Normal"/>
    <w:rsid w:val="00E367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67C1"/>
    <w:pPr>
      <w:pBdr>
        <w:top w:val="single" w:sz="4" w:space="1" w:color="auto"/>
      </w:pBdr>
      <w:spacing w:before="360"/>
      <w:ind w:right="397"/>
      <w:jc w:val="both"/>
    </w:pPr>
  </w:style>
  <w:style w:type="paragraph" w:customStyle="1" w:styleId="NotesHeading1">
    <w:name w:val="NotesHeading 1"/>
    <w:basedOn w:val="OPCParaBase"/>
    <w:next w:val="Normal"/>
    <w:rsid w:val="00E367C1"/>
    <w:rPr>
      <w:b/>
      <w:sz w:val="28"/>
      <w:szCs w:val="28"/>
    </w:rPr>
  </w:style>
  <w:style w:type="paragraph" w:customStyle="1" w:styleId="NotesHeading2">
    <w:name w:val="NotesHeading 2"/>
    <w:basedOn w:val="OPCParaBase"/>
    <w:next w:val="Normal"/>
    <w:rsid w:val="00E367C1"/>
    <w:rPr>
      <w:b/>
      <w:sz w:val="28"/>
      <w:szCs w:val="28"/>
    </w:rPr>
  </w:style>
  <w:style w:type="paragraph" w:customStyle="1" w:styleId="ENotesText">
    <w:name w:val="ENotesText"/>
    <w:aliases w:val="Ent"/>
    <w:basedOn w:val="OPCParaBase"/>
    <w:next w:val="Normal"/>
    <w:rsid w:val="00E367C1"/>
    <w:pPr>
      <w:spacing w:before="120"/>
    </w:pPr>
  </w:style>
  <w:style w:type="paragraph" w:customStyle="1" w:styleId="CompiledActNo">
    <w:name w:val="CompiledActNo"/>
    <w:basedOn w:val="OPCParaBase"/>
    <w:next w:val="Normal"/>
    <w:rsid w:val="00E367C1"/>
    <w:rPr>
      <w:b/>
      <w:sz w:val="24"/>
      <w:szCs w:val="24"/>
    </w:rPr>
  </w:style>
  <w:style w:type="paragraph" w:customStyle="1" w:styleId="CompiledMadeUnder">
    <w:name w:val="CompiledMadeUnder"/>
    <w:basedOn w:val="OPCParaBase"/>
    <w:next w:val="Normal"/>
    <w:rsid w:val="00E367C1"/>
    <w:rPr>
      <w:i/>
      <w:sz w:val="24"/>
      <w:szCs w:val="24"/>
    </w:rPr>
  </w:style>
  <w:style w:type="paragraph" w:customStyle="1" w:styleId="Paragraphsub-sub-sub">
    <w:name w:val="Paragraph(sub-sub-sub)"/>
    <w:aliases w:val="aaaa"/>
    <w:basedOn w:val="OPCParaBase"/>
    <w:rsid w:val="00E367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67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67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67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67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67C1"/>
    <w:pPr>
      <w:spacing w:before="60" w:line="240" w:lineRule="auto"/>
    </w:pPr>
    <w:rPr>
      <w:rFonts w:cs="Arial"/>
      <w:sz w:val="20"/>
      <w:szCs w:val="22"/>
    </w:rPr>
  </w:style>
  <w:style w:type="paragraph" w:customStyle="1" w:styleId="NoteToSubpara">
    <w:name w:val="NoteToSubpara"/>
    <w:aliases w:val="nts"/>
    <w:basedOn w:val="OPCParaBase"/>
    <w:rsid w:val="00E367C1"/>
    <w:pPr>
      <w:spacing w:before="40" w:line="198" w:lineRule="exact"/>
      <w:ind w:left="2835" w:hanging="709"/>
    </w:pPr>
    <w:rPr>
      <w:sz w:val="18"/>
    </w:rPr>
  </w:style>
  <w:style w:type="paragraph" w:customStyle="1" w:styleId="ENoteTableHeading">
    <w:name w:val="ENoteTableHeading"/>
    <w:aliases w:val="enth"/>
    <w:basedOn w:val="OPCParaBase"/>
    <w:rsid w:val="00E367C1"/>
    <w:pPr>
      <w:keepNext/>
      <w:spacing w:before="60" w:line="240" w:lineRule="atLeast"/>
    </w:pPr>
    <w:rPr>
      <w:rFonts w:ascii="Arial" w:hAnsi="Arial"/>
      <w:b/>
      <w:sz w:val="16"/>
    </w:rPr>
  </w:style>
  <w:style w:type="paragraph" w:customStyle="1" w:styleId="ENoteTTi">
    <w:name w:val="ENoteTTi"/>
    <w:aliases w:val="entti"/>
    <w:basedOn w:val="OPCParaBase"/>
    <w:rsid w:val="00E367C1"/>
    <w:pPr>
      <w:keepNext/>
      <w:spacing w:before="60" w:line="240" w:lineRule="atLeast"/>
      <w:ind w:left="170"/>
    </w:pPr>
    <w:rPr>
      <w:sz w:val="16"/>
    </w:rPr>
  </w:style>
  <w:style w:type="paragraph" w:customStyle="1" w:styleId="ENotesHeading1">
    <w:name w:val="ENotesHeading 1"/>
    <w:aliases w:val="Enh1"/>
    <w:basedOn w:val="OPCParaBase"/>
    <w:next w:val="Normal"/>
    <w:rsid w:val="00E367C1"/>
    <w:pPr>
      <w:spacing w:before="120"/>
      <w:outlineLvl w:val="1"/>
    </w:pPr>
    <w:rPr>
      <w:b/>
      <w:sz w:val="28"/>
      <w:szCs w:val="28"/>
    </w:rPr>
  </w:style>
  <w:style w:type="paragraph" w:customStyle="1" w:styleId="ENotesHeading2">
    <w:name w:val="ENotesHeading 2"/>
    <w:aliases w:val="Enh2"/>
    <w:basedOn w:val="OPCParaBase"/>
    <w:next w:val="Normal"/>
    <w:rsid w:val="00E367C1"/>
    <w:pPr>
      <w:spacing w:before="120" w:after="120"/>
      <w:outlineLvl w:val="2"/>
    </w:pPr>
    <w:rPr>
      <w:b/>
      <w:sz w:val="24"/>
      <w:szCs w:val="28"/>
    </w:rPr>
  </w:style>
  <w:style w:type="paragraph" w:customStyle="1" w:styleId="ENoteTTIndentHeading">
    <w:name w:val="ENoteTTIndentHeading"/>
    <w:aliases w:val="enTTHi"/>
    <w:basedOn w:val="OPCParaBase"/>
    <w:rsid w:val="00E367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67C1"/>
    <w:pPr>
      <w:spacing w:before="60" w:line="240" w:lineRule="atLeast"/>
    </w:pPr>
    <w:rPr>
      <w:sz w:val="16"/>
    </w:rPr>
  </w:style>
  <w:style w:type="paragraph" w:customStyle="1" w:styleId="MadeunderText">
    <w:name w:val="MadeunderText"/>
    <w:basedOn w:val="OPCParaBase"/>
    <w:next w:val="Normal"/>
    <w:rsid w:val="00E367C1"/>
    <w:pPr>
      <w:spacing w:before="240"/>
    </w:pPr>
    <w:rPr>
      <w:sz w:val="24"/>
      <w:szCs w:val="24"/>
    </w:rPr>
  </w:style>
  <w:style w:type="paragraph" w:customStyle="1" w:styleId="ENotesHeading3">
    <w:name w:val="ENotesHeading 3"/>
    <w:aliases w:val="Enh3"/>
    <w:basedOn w:val="OPCParaBase"/>
    <w:next w:val="Normal"/>
    <w:rsid w:val="00E367C1"/>
    <w:pPr>
      <w:keepNext/>
      <w:spacing w:before="120" w:line="240" w:lineRule="auto"/>
      <w:outlineLvl w:val="4"/>
    </w:pPr>
    <w:rPr>
      <w:b/>
      <w:szCs w:val="24"/>
    </w:rPr>
  </w:style>
  <w:style w:type="character" w:customStyle="1" w:styleId="CharSubPartTextCASA">
    <w:name w:val="CharSubPartText(CASA)"/>
    <w:basedOn w:val="OPCCharBase"/>
    <w:uiPriority w:val="1"/>
    <w:rsid w:val="00E367C1"/>
  </w:style>
  <w:style w:type="character" w:customStyle="1" w:styleId="CharSubPartNoCASA">
    <w:name w:val="CharSubPartNo(CASA)"/>
    <w:basedOn w:val="OPCCharBase"/>
    <w:uiPriority w:val="1"/>
    <w:rsid w:val="00E367C1"/>
  </w:style>
  <w:style w:type="paragraph" w:customStyle="1" w:styleId="ENoteTTIndentHeadingSub">
    <w:name w:val="ENoteTTIndentHeadingSub"/>
    <w:aliases w:val="enTTHis"/>
    <w:basedOn w:val="OPCParaBase"/>
    <w:rsid w:val="00E367C1"/>
    <w:pPr>
      <w:keepNext/>
      <w:spacing w:before="60" w:line="240" w:lineRule="atLeast"/>
      <w:ind w:left="340"/>
    </w:pPr>
    <w:rPr>
      <w:b/>
      <w:sz w:val="16"/>
    </w:rPr>
  </w:style>
  <w:style w:type="paragraph" w:customStyle="1" w:styleId="ENoteTTiSub">
    <w:name w:val="ENoteTTiSub"/>
    <w:aliases w:val="enttis"/>
    <w:basedOn w:val="OPCParaBase"/>
    <w:rsid w:val="00E367C1"/>
    <w:pPr>
      <w:keepNext/>
      <w:spacing w:before="60" w:line="240" w:lineRule="atLeast"/>
      <w:ind w:left="340"/>
    </w:pPr>
    <w:rPr>
      <w:sz w:val="16"/>
    </w:rPr>
  </w:style>
  <w:style w:type="paragraph" w:customStyle="1" w:styleId="SubDivisionMigration">
    <w:name w:val="SubDivisionMigration"/>
    <w:aliases w:val="sdm"/>
    <w:basedOn w:val="OPCParaBase"/>
    <w:rsid w:val="00E367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67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367C1"/>
    <w:pPr>
      <w:spacing w:before="122" w:line="240" w:lineRule="auto"/>
      <w:ind w:left="1985" w:hanging="851"/>
    </w:pPr>
    <w:rPr>
      <w:sz w:val="18"/>
    </w:rPr>
  </w:style>
  <w:style w:type="paragraph" w:customStyle="1" w:styleId="FreeForm">
    <w:name w:val="FreeForm"/>
    <w:rsid w:val="0005350F"/>
    <w:rPr>
      <w:rFonts w:ascii="Arial" w:hAnsi="Arial"/>
      <w:sz w:val="22"/>
    </w:rPr>
  </w:style>
  <w:style w:type="paragraph" w:customStyle="1" w:styleId="SOText">
    <w:name w:val="SO Text"/>
    <w:aliases w:val="sot"/>
    <w:link w:val="SOTextChar"/>
    <w:rsid w:val="00E367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67C1"/>
    <w:rPr>
      <w:sz w:val="22"/>
    </w:rPr>
  </w:style>
  <w:style w:type="paragraph" w:customStyle="1" w:styleId="SOTextNote">
    <w:name w:val="SO TextNote"/>
    <w:aliases w:val="sont"/>
    <w:basedOn w:val="SOText"/>
    <w:qFormat/>
    <w:rsid w:val="00E367C1"/>
    <w:pPr>
      <w:spacing w:before="122" w:line="198" w:lineRule="exact"/>
      <w:ind w:left="1843" w:hanging="709"/>
    </w:pPr>
    <w:rPr>
      <w:sz w:val="18"/>
    </w:rPr>
  </w:style>
  <w:style w:type="paragraph" w:customStyle="1" w:styleId="SOPara">
    <w:name w:val="SO Para"/>
    <w:aliases w:val="soa"/>
    <w:basedOn w:val="SOText"/>
    <w:link w:val="SOParaChar"/>
    <w:qFormat/>
    <w:rsid w:val="00E367C1"/>
    <w:pPr>
      <w:tabs>
        <w:tab w:val="right" w:pos="1786"/>
      </w:tabs>
      <w:spacing w:before="40"/>
      <w:ind w:left="2070" w:hanging="936"/>
    </w:pPr>
  </w:style>
  <w:style w:type="character" w:customStyle="1" w:styleId="SOParaChar">
    <w:name w:val="SO Para Char"/>
    <w:aliases w:val="soa Char"/>
    <w:basedOn w:val="DefaultParagraphFont"/>
    <w:link w:val="SOPara"/>
    <w:rsid w:val="00E367C1"/>
    <w:rPr>
      <w:sz w:val="22"/>
    </w:rPr>
  </w:style>
  <w:style w:type="paragraph" w:customStyle="1" w:styleId="FileName">
    <w:name w:val="FileName"/>
    <w:basedOn w:val="Normal"/>
    <w:rsid w:val="00E367C1"/>
  </w:style>
  <w:style w:type="paragraph" w:customStyle="1" w:styleId="TableHeading">
    <w:name w:val="TableHeading"/>
    <w:aliases w:val="th"/>
    <w:basedOn w:val="OPCParaBase"/>
    <w:next w:val="Tabletext"/>
    <w:rsid w:val="00E367C1"/>
    <w:pPr>
      <w:keepNext/>
      <w:spacing w:before="60" w:line="240" w:lineRule="atLeast"/>
    </w:pPr>
    <w:rPr>
      <w:b/>
      <w:sz w:val="20"/>
    </w:rPr>
  </w:style>
  <w:style w:type="paragraph" w:customStyle="1" w:styleId="SOHeadBold">
    <w:name w:val="SO HeadBold"/>
    <w:aliases w:val="sohb"/>
    <w:basedOn w:val="SOText"/>
    <w:next w:val="SOText"/>
    <w:link w:val="SOHeadBoldChar"/>
    <w:qFormat/>
    <w:rsid w:val="00E367C1"/>
    <w:rPr>
      <w:b/>
    </w:rPr>
  </w:style>
  <w:style w:type="character" w:customStyle="1" w:styleId="SOHeadBoldChar">
    <w:name w:val="SO HeadBold Char"/>
    <w:aliases w:val="sohb Char"/>
    <w:basedOn w:val="DefaultParagraphFont"/>
    <w:link w:val="SOHeadBold"/>
    <w:rsid w:val="00E367C1"/>
    <w:rPr>
      <w:b/>
      <w:sz w:val="22"/>
    </w:rPr>
  </w:style>
  <w:style w:type="paragraph" w:customStyle="1" w:styleId="SOHeadItalic">
    <w:name w:val="SO HeadItalic"/>
    <w:aliases w:val="sohi"/>
    <w:basedOn w:val="SOText"/>
    <w:next w:val="SOText"/>
    <w:link w:val="SOHeadItalicChar"/>
    <w:qFormat/>
    <w:rsid w:val="00E367C1"/>
    <w:rPr>
      <w:i/>
    </w:rPr>
  </w:style>
  <w:style w:type="character" w:customStyle="1" w:styleId="SOHeadItalicChar">
    <w:name w:val="SO HeadItalic Char"/>
    <w:aliases w:val="sohi Char"/>
    <w:basedOn w:val="DefaultParagraphFont"/>
    <w:link w:val="SOHeadItalic"/>
    <w:rsid w:val="00E367C1"/>
    <w:rPr>
      <w:i/>
      <w:sz w:val="22"/>
    </w:rPr>
  </w:style>
  <w:style w:type="paragraph" w:customStyle="1" w:styleId="SOBullet">
    <w:name w:val="SO Bullet"/>
    <w:aliases w:val="sotb"/>
    <w:basedOn w:val="SOText"/>
    <w:link w:val="SOBulletChar"/>
    <w:qFormat/>
    <w:rsid w:val="00E367C1"/>
    <w:pPr>
      <w:ind w:left="1559" w:hanging="425"/>
    </w:pPr>
  </w:style>
  <w:style w:type="character" w:customStyle="1" w:styleId="SOBulletChar">
    <w:name w:val="SO Bullet Char"/>
    <w:aliases w:val="sotb Char"/>
    <w:basedOn w:val="DefaultParagraphFont"/>
    <w:link w:val="SOBullet"/>
    <w:rsid w:val="00E367C1"/>
    <w:rPr>
      <w:sz w:val="22"/>
    </w:rPr>
  </w:style>
  <w:style w:type="paragraph" w:customStyle="1" w:styleId="SOBulletNote">
    <w:name w:val="SO BulletNote"/>
    <w:aliases w:val="sonb"/>
    <w:basedOn w:val="SOTextNote"/>
    <w:link w:val="SOBulletNoteChar"/>
    <w:qFormat/>
    <w:rsid w:val="00E367C1"/>
    <w:pPr>
      <w:tabs>
        <w:tab w:val="left" w:pos="1560"/>
      </w:tabs>
      <w:ind w:left="2268" w:hanging="1134"/>
    </w:pPr>
  </w:style>
  <w:style w:type="character" w:customStyle="1" w:styleId="SOBulletNoteChar">
    <w:name w:val="SO BulletNote Char"/>
    <w:aliases w:val="sonb Char"/>
    <w:basedOn w:val="DefaultParagraphFont"/>
    <w:link w:val="SOBulletNote"/>
    <w:rsid w:val="00E367C1"/>
    <w:rPr>
      <w:sz w:val="18"/>
    </w:rPr>
  </w:style>
  <w:style w:type="paragraph" w:customStyle="1" w:styleId="SOText2">
    <w:name w:val="SO Text2"/>
    <w:aliases w:val="sot2"/>
    <w:basedOn w:val="Normal"/>
    <w:next w:val="SOText"/>
    <w:link w:val="SOText2Char"/>
    <w:rsid w:val="00E367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67C1"/>
    <w:rPr>
      <w:sz w:val="22"/>
    </w:rPr>
  </w:style>
  <w:style w:type="paragraph" w:customStyle="1" w:styleId="SubPartCASA">
    <w:name w:val="SubPart(CASA)"/>
    <w:aliases w:val="csp"/>
    <w:basedOn w:val="OPCParaBase"/>
    <w:next w:val="ActHead3"/>
    <w:rsid w:val="00E367C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367C1"/>
    <w:rPr>
      <w:rFonts w:eastAsia="Times New Roman" w:cs="Times New Roman"/>
      <w:sz w:val="22"/>
      <w:lang w:eastAsia="en-AU"/>
    </w:rPr>
  </w:style>
  <w:style w:type="character" w:customStyle="1" w:styleId="notetextChar">
    <w:name w:val="note(text) Char"/>
    <w:aliases w:val="n Char"/>
    <w:basedOn w:val="DefaultParagraphFont"/>
    <w:link w:val="notetext"/>
    <w:rsid w:val="00E367C1"/>
    <w:rPr>
      <w:rFonts w:eastAsia="Times New Roman" w:cs="Times New Roman"/>
      <w:sz w:val="18"/>
      <w:lang w:eastAsia="en-AU"/>
    </w:rPr>
  </w:style>
  <w:style w:type="character" w:customStyle="1" w:styleId="Heading1Char">
    <w:name w:val="Heading 1 Char"/>
    <w:basedOn w:val="DefaultParagraphFont"/>
    <w:link w:val="Heading1"/>
    <w:uiPriority w:val="9"/>
    <w:rsid w:val="00E367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7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7C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367C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367C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367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367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367C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67C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367C1"/>
  </w:style>
  <w:style w:type="character" w:customStyle="1" w:styleId="charlegsubtitle1">
    <w:name w:val="charlegsubtitle1"/>
    <w:basedOn w:val="DefaultParagraphFont"/>
    <w:rsid w:val="00E367C1"/>
    <w:rPr>
      <w:rFonts w:ascii="Arial" w:hAnsi="Arial" w:cs="Arial" w:hint="default"/>
      <w:b/>
      <w:bCs/>
      <w:sz w:val="28"/>
      <w:szCs w:val="28"/>
    </w:rPr>
  </w:style>
  <w:style w:type="paragraph" w:styleId="Index1">
    <w:name w:val="index 1"/>
    <w:basedOn w:val="Normal"/>
    <w:next w:val="Normal"/>
    <w:autoRedefine/>
    <w:rsid w:val="00E367C1"/>
    <w:pPr>
      <w:ind w:left="240" w:hanging="240"/>
    </w:pPr>
  </w:style>
  <w:style w:type="paragraph" w:styleId="Index2">
    <w:name w:val="index 2"/>
    <w:basedOn w:val="Normal"/>
    <w:next w:val="Normal"/>
    <w:autoRedefine/>
    <w:rsid w:val="00E367C1"/>
    <w:pPr>
      <w:ind w:left="480" w:hanging="240"/>
    </w:pPr>
  </w:style>
  <w:style w:type="paragraph" w:styleId="Index3">
    <w:name w:val="index 3"/>
    <w:basedOn w:val="Normal"/>
    <w:next w:val="Normal"/>
    <w:autoRedefine/>
    <w:rsid w:val="00E367C1"/>
    <w:pPr>
      <w:ind w:left="720" w:hanging="240"/>
    </w:pPr>
  </w:style>
  <w:style w:type="paragraph" w:styleId="Index4">
    <w:name w:val="index 4"/>
    <w:basedOn w:val="Normal"/>
    <w:next w:val="Normal"/>
    <w:autoRedefine/>
    <w:rsid w:val="00E367C1"/>
    <w:pPr>
      <w:ind w:left="960" w:hanging="240"/>
    </w:pPr>
  </w:style>
  <w:style w:type="paragraph" w:styleId="Index5">
    <w:name w:val="index 5"/>
    <w:basedOn w:val="Normal"/>
    <w:next w:val="Normal"/>
    <w:autoRedefine/>
    <w:rsid w:val="00E367C1"/>
    <w:pPr>
      <w:ind w:left="1200" w:hanging="240"/>
    </w:pPr>
  </w:style>
  <w:style w:type="paragraph" w:styleId="Index6">
    <w:name w:val="index 6"/>
    <w:basedOn w:val="Normal"/>
    <w:next w:val="Normal"/>
    <w:autoRedefine/>
    <w:rsid w:val="00E367C1"/>
    <w:pPr>
      <w:ind w:left="1440" w:hanging="240"/>
    </w:pPr>
  </w:style>
  <w:style w:type="paragraph" w:styleId="Index7">
    <w:name w:val="index 7"/>
    <w:basedOn w:val="Normal"/>
    <w:next w:val="Normal"/>
    <w:autoRedefine/>
    <w:rsid w:val="00E367C1"/>
    <w:pPr>
      <w:ind w:left="1680" w:hanging="240"/>
    </w:pPr>
  </w:style>
  <w:style w:type="paragraph" w:styleId="Index8">
    <w:name w:val="index 8"/>
    <w:basedOn w:val="Normal"/>
    <w:next w:val="Normal"/>
    <w:autoRedefine/>
    <w:rsid w:val="00E367C1"/>
    <w:pPr>
      <w:ind w:left="1920" w:hanging="240"/>
    </w:pPr>
  </w:style>
  <w:style w:type="paragraph" w:styleId="Index9">
    <w:name w:val="index 9"/>
    <w:basedOn w:val="Normal"/>
    <w:next w:val="Normal"/>
    <w:autoRedefine/>
    <w:rsid w:val="00E367C1"/>
    <w:pPr>
      <w:ind w:left="2160" w:hanging="240"/>
    </w:pPr>
  </w:style>
  <w:style w:type="paragraph" w:styleId="NormalIndent">
    <w:name w:val="Normal Indent"/>
    <w:basedOn w:val="Normal"/>
    <w:rsid w:val="00E367C1"/>
    <w:pPr>
      <w:ind w:left="720"/>
    </w:pPr>
  </w:style>
  <w:style w:type="paragraph" w:styleId="FootnoteText">
    <w:name w:val="footnote text"/>
    <w:basedOn w:val="Normal"/>
    <w:link w:val="FootnoteTextChar"/>
    <w:rsid w:val="00E367C1"/>
    <w:rPr>
      <w:sz w:val="20"/>
    </w:rPr>
  </w:style>
  <w:style w:type="character" w:customStyle="1" w:styleId="FootnoteTextChar">
    <w:name w:val="Footnote Text Char"/>
    <w:basedOn w:val="DefaultParagraphFont"/>
    <w:link w:val="FootnoteText"/>
    <w:rsid w:val="00E367C1"/>
  </w:style>
  <w:style w:type="paragraph" w:styleId="CommentText">
    <w:name w:val="annotation text"/>
    <w:basedOn w:val="Normal"/>
    <w:link w:val="CommentTextChar"/>
    <w:rsid w:val="00E367C1"/>
    <w:rPr>
      <w:sz w:val="20"/>
    </w:rPr>
  </w:style>
  <w:style w:type="character" w:customStyle="1" w:styleId="CommentTextChar">
    <w:name w:val="Comment Text Char"/>
    <w:basedOn w:val="DefaultParagraphFont"/>
    <w:link w:val="CommentText"/>
    <w:rsid w:val="00E367C1"/>
  </w:style>
  <w:style w:type="paragraph" w:styleId="IndexHeading">
    <w:name w:val="index heading"/>
    <w:basedOn w:val="Normal"/>
    <w:next w:val="Index1"/>
    <w:rsid w:val="00E367C1"/>
    <w:rPr>
      <w:rFonts w:ascii="Arial" w:hAnsi="Arial" w:cs="Arial"/>
      <w:b/>
      <w:bCs/>
    </w:rPr>
  </w:style>
  <w:style w:type="paragraph" w:styleId="Caption">
    <w:name w:val="caption"/>
    <w:basedOn w:val="Normal"/>
    <w:next w:val="Normal"/>
    <w:qFormat/>
    <w:rsid w:val="00E367C1"/>
    <w:pPr>
      <w:spacing w:before="120" w:after="120"/>
    </w:pPr>
    <w:rPr>
      <w:b/>
      <w:bCs/>
      <w:sz w:val="20"/>
    </w:rPr>
  </w:style>
  <w:style w:type="paragraph" w:styleId="TableofFigures">
    <w:name w:val="table of figures"/>
    <w:basedOn w:val="Normal"/>
    <w:next w:val="Normal"/>
    <w:rsid w:val="00E367C1"/>
    <w:pPr>
      <w:ind w:left="480" w:hanging="480"/>
    </w:pPr>
  </w:style>
  <w:style w:type="paragraph" w:styleId="EnvelopeAddress">
    <w:name w:val="envelope address"/>
    <w:basedOn w:val="Normal"/>
    <w:rsid w:val="00E367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7C1"/>
    <w:rPr>
      <w:rFonts w:ascii="Arial" w:hAnsi="Arial" w:cs="Arial"/>
      <w:sz w:val="20"/>
    </w:rPr>
  </w:style>
  <w:style w:type="character" w:styleId="FootnoteReference">
    <w:name w:val="footnote reference"/>
    <w:basedOn w:val="DefaultParagraphFont"/>
    <w:rsid w:val="00E367C1"/>
    <w:rPr>
      <w:rFonts w:ascii="Times New Roman" w:hAnsi="Times New Roman"/>
      <w:sz w:val="20"/>
      <w:vertAlign w:val="superscript"/>
    </w:rPr>
  </w:style>
  <w:style w:type="character" w:styleId="CommentReference">
    <w:name w:val="annotation reference"/>
    <w:basedOn w:val="DefaultParagraphFont"/>
    <w:rsid w:val="00E367C1"/>
    <w:rPr>
      <w:sz w:val="16"/>
      <w:szCs w:val="16"/>
    </w:rPr>
  </w:style>
  <w:style w:type="character" w:styleId="PageNumber">
    <w:name w:val="page number"/>
    <w:basedOn w:val="DefaultParagraphFont"/>
    <w:rsid w:val="00E367C1"/>
  </w:style>
  <w:style w:type="character" w:styleId="EndnoteReference">
    <w:name w:val="endnote reference"/>
    <w:basedOn w:val="DefaultParagraphFont"/>
    <w:rsid w:val="00E367C1"/>
    <w:rPr>
      <w:vertAlign w:val="superscript"/>
    </w:rPr>
  </w:style>
  <w:style w:type="paragraph" w:styleId="EndnoteText">
    <w:name w:val="endnote text"/>
    <w:basedOn w:val="Normal"/>
    <w:link w:val="EndnoteTextChar"/>
    <w:rsid w:val="00E367C1"/>
    <w:rPr>
      <w:sz w:val="20"/>
    </w:rPr>
  </w:style>
  <w:style w:type="character" w:customStyle="1" w:styleId="EndnoteTextChar">
    <w:name w:val="Endnote Text Char"/>
    <w:basedOn w:val="DefaultParagraphFont"/>
    <w:link w:val="EndnoteText"/>
    <w:rsid w:val="00E367C1"/>
  </w:style>
  <w:style w:type="paragraph" w:styleId="TableofAuthorities">
    <w:name w:val="table of authorities"/>
    <w:basedOn w:val="Normal"/>
    <w:next w:val="Normal"/>
    <w:rsid w:val="00E367C1"/>
    <w:pPr>
      <w:ind w:left="240" w:hanging="240"/>
    </w:pPr>
  </w:style>
  <w:style w:type="paragraph" w:styleId="MacroText">
    <w:name w:val="macro"/>
    <w:link w:val="MacroTextChar"/>
    <w:rsid w:val="00E367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367C1"/>
    <w:rPr>
      <w:rFonts w:ascii="Courier New" w:eastAsia="Times New Roman" w:hAnsi="Courier New" w:cs="Courier New"/>
      <w:lang w:eastAsia="en-AU"/>
    </w:rPr>
  </w:style>
  <w:style w:type="paragraph" w:styleId="TOAHeading">
    <w:name w:val="toa heading"/>
    <w:basedOn w:val="Normal"/>
    <w:next w:val="Normal"/>
    <w:rsid w:val="00E367C1"/>
    <w:pPr>
      <w:spacing w:before="120"/>
    </w:pPr>
    <w:rPr>
      <w:rFonts w:ascii="Arial" w:hAnsi="Arial" w:cs="Arial"/>
      <w:b/>
      <w:bCs/>
    </w:rPr>
  </w:style>
  <w:style w:type="paragraph" w:styleId="List">
    <w:name w:val="List"/>
    <w:basedOn w:val="Normal"/>
    <w:rsid w:val="00E367C1"/>
    <w:pPr>
      <w:ind w:left="283" w:hanging="283"/>
    </w:pPr>
  </w:style>
  <w:style w:type="paragraph" w:styleId="ListBullet">
    <w:name w:val="List Bullet"/>
    <w:basedOn w:val="Normal"/>
    <w:autoRedefine/>
    <w:rsid w:val="00E367C1"/>
    <w:pPr>
      <w:tabs>
        <w:tab w:val="num" w:pos="360"/>
      </w:tabs>
      <w:ind w:left="360" w:hanging="360"/>
    </w:pPr>
  </w:style>
  <w:style w:type="paragraph" w:styleId="ListNumber">
    <w:name w:val="List Number"/>
    <w:basedOn w:val="Normal"/>
    <w:rsid w:val="00E367C1"/>
    <w:pPr>
      <w:tabs>
        <w:tab w:val="num" w:pos="360"/>
      </w:tabs>
      <w:ind w:left="360" w:hanging="360"/>
    </w:pPr>
  </w:style>
  <w:style w:type="paragraph" w:styleId="List2">
    <w:name w:val="List 2"/>
    <w:basedOn w:val="Normal"/>
    <w:rsid w:val="00E367C1"/>
    <w:pPr>
      <w:ind w:left="566" w:hanging="283"/>
    </w:pPr>
  </w:style>
  <w:style w:type="paragraph" w:styleId="List3">
    <w:name w:val="List 3"/>
    <w:basedOn w:val="Normal"/>
    <w:rsid w:val="00E367C1"/>
    <w:pPr>
      <w:ind w:left="849" w:hanging="283"/>
    </w:pPr>
  </w:style>
  <w:style w:type="paragraph" w:styleId="List4">
    <w:name w:val="List 4"/>
    <w:basedOn w:val="Normal"/>
    <w:rsid w:val="00E367C1"/>
    <w:pPr>
      <w:ind w:left="1132" w:hanging="283"/>
    </w:pPr>
  </w:style>
  <w:style w:type="paragraph" w:styleId="List5">
    <w:name w:val="List 5"/>
    <w:basedOn w:val="Normal"/>
    <w:rsid w:val="00E367C1"/>
    <w:pPr>
      <w:ind w:left="1415" w:hanging="283"/>
    </w:pPr>
  </w:style>
  <w:style w:type="paragraph" w:styleId="ListBullet2">
    <w:name w:val="List Bullet 2"/>
    <w:basedOn w:val="Normal"/>
    <w:autoRedefine/>
    <w:rsid w:val="00E367C1"/>
    <w:pPr>
      <w:tabs>
        <w:tab w:val="num" w:pos="360"/>
      </w:tabs>
    </w:pPr>
  </w:style>
  <w:style w:type="paragraph" w:styleId="ListBullet3">
    <w:name w:val="List Bullet 3"/>
    <w:basedOn w:val="Normal"/>
    <w:autoRedefine/>
    <w:rsid w:val="00E367C1"/>
    <w:pPr>
      <w:tabs>
        <w:tab w:val="num" w:pos="926"/>
      </w:tabs>
      <w:ind w:left="926" w:hanging="360"/>
    </w:pPr>
  </w:style>
  <w:style w:type="paragraph" w:styleId="ListBullet4">
    <w:name w:val="List Bullet 4"/>
    <w:basedOn w:val="Normal"/>
    <w:autoRedefine/>
    <w:rsid w:val="00E367C1"/>
    <w:pPr>
      <w:tabs>
        <w:tab w:val="num" w:pos="1209"/>
      </w:tabs>
      <w:ind w:left="1209" w:hanging="360"/>
    </w:pPr>
  </w:style>
  <w:style w:type="paragraph" w:styleId="ListBullet5">
    <w:name w:val="List Bullet 5"/>
    <w:basedOn w:val="Normal"/>
    <w:autoRedefine/>
    <w:rsid w:val="00E367C1"/>
    <w:pPr>
      <w:tabs>
        <w:tab w:val="num" w:pos="1492"/>
      </w:tabs>
      <w:ind w:left="1492" w:hanging="360"/>
    </w:pPr>
  </w:style>
  <w:style w:type="paragraph" w:styleId="ListNumber2">
    <w:name w:val="List Number 2"/>
    <w:basedOn w:val="Normal"/>
    <w:rsid w:val="00E367C1"/>
    <w:pPr>
      <w:tabs>
        <w:tab w:val="num" w:pos="643"/>
      </w:tabs>
      <w:ind w:left="643" w:hanging="360"/>
    </w:pPr>
  </w:style>
  <w:style w:type="paragraph" w:styleId="ListNumber3">
    <w:name w:val="List Number 3"/>
    <w:basedOn w:val="Normal"/>
    <w:rsid w:val="00E367C1"/>
    <w:pPr>
      <w:tabs>
        <w:tab w:val="num" w:pos="926"/>
      </w:tabs>
      <w:ind w:left="926" w:hanging="360"/>
    </w:pPr>
  </w:style>
  <w:style w:type="paragraph" w:styleId="ListNumber4">
    <w:name w:val="List Number 4"/>
    <w:basedOn w:val="Normal"/>
    <w:rsid w:val="00E367C1"/>
    <w:pPr>
      <w:tabs>
        <w:tab w:val="num" w:pos="1209"/>
      </w:tabs>
      <w:ind w:left="1209" w:hanging="360"/>
    </w:pPr>
  </w:style>
  <w:style w:type="paragraph" w:styleId="ListNumber5">
    <w:name w:val="List Number 5"/>
    <w:basedOn w:val="Normal"/>
    <w:rsid w:val="00E367C1"/>
    <w:pPr>
      <w:tabs>
        <w:tab w:val="num" w:pos="1492"/>
      </w:tabs>
      <w:ind w:left="1492" w:hanging="360"/>
    </w:pPr>
  </w:style>
  <w:style w:type="paragraph" w:styleId="Title">
    <w:name w:val="Title"/>
    <w:basedOn w:val="Normal"/>
    <w:link w:val="TitleChar"/>
    <w:qFormat/>
    <w:rsid w:val="00E367C1"/>
    <w:pPr>
      <w:spacing w:before="240" w:after="60"/>
    </w:pPr>
    <w:rPr>
      <w:rFonts w:ascii="Arial" w:hAnsi="Arial" w:cs="Arial"/>
      <w:b/>
      <w:bCs/>
      <w:sz w:val="40"/>
      <w:szCs w:val="40"/>
    </w:rPr>
  </w:style>
  <w:style w:type="character" w:customStyle="1" w:styleId="TitleChar">
    <w:name w:val="Title Char"/>
    <w:basedOn w:val="DefaultParagraphFont"/>
    <w:link w:val="Title"/>
    <w:rsid w:val="00E367C1"/>
    <w:rPr>
      <w:rFonts w:ascii="Arial" w:hAnsi="Arial" w:cs="Arial"/>
      <w:b/>
      <w:bCs/>
      <w:sz w:val="40"/>
      <w:szCs w:val="40"/>
    </w:rPr>
  </w:style>
  <w:style w:type="paragraph" w:styleId="Closing">
    <w:name w:val="Closing"/>
    <w:basedOn w:val="Normal"/>
    <w:link w:val="ClosingChar"/>
    <w:rsid w:val="00E367C1"/>
    <w:pPr>
      <w:ind w:left="4252"/>
    </w:pPr>
  </w:style>
  <w:style w:type="character" w:customStyle="1" w:styleId="ClosingChar">
    <w:name w:val="Closing Char"/>
    <w:basedOn w:val="DefaultParagraphFont"/>
    <w:link w:val="Closing"/>
    <w:rsid w:val="00E367C1"/>
    <w:rPr>
      <w:sz w:val="22"/>
    </w:rPr>
  </w:style>
  <w:style w:type="paragraph" w:styleId="Signature">
    <w:name w:val="Signature"/>
    <w:basedOn w:val="Normal"/>
    <w:link w:val="SignatureChar"/>
    <w:rsid w:val="00E367C1"/>
    <w:pPr>
      <w:ind w:left="4252"/>
    </w:pPr>
  </w:style>
  <w:style w:type="character" w:customStyle="1" w:styleId="SignatureChar">
    <w:name w:val="Signature Char"/>
    <w:basedOn w:val="DefaultParagraphFont"/>
    <w:link w:val="Signature"/>
    <w:rsid w:val="00E367C1"/>
    <w:rPr>
      <w:sz w:val="22"/>
    </w:rPr>
  </w:style>
  <w:style w:type="paragraph" w:styleId="BodyText">
    <w:name w:val="Body Text"/>
    <w:basedOn w:val="Normal"/>
    <w:link w:val="BodyTextChar"/>
    <w:rsid w:val="00E367C1"/>
    <w:pPr>
      <w:spacing w:after="120"/>
    </w:pPr>
  </w:style>
  <w:style w:type="character" w:customStyle="1" w:styleId="BodyTextChar">
    <w:name w:val="Body Text Char"/>
    <w:basedOn w:val="DefaultParagraphFont"/>
    <w:link w:val="BodyText"/>
    <w:rsid w:val="00E367C1"/>
    <w:rPr>
      <w:sz w:val="22"/>
    </w:rPr>
  </w:style>
  <w:style w:type="paragraph" w:styleId="BodyTextIndent">
    <w:name w:val="Body Text Indent"/>
    <w:basedOn w:val="Normal"/>
    <w:link w:val="BodyTextIndentChar"/>
    <w:rsid w:val="00E367C1"/>
    <w:pPr>
      <w:spacing w:after="120"/>
      <w:ind w:left="283"/>
    </w:pPr>
  </w:style>
  <w:style w:type="character" w:customStyle="1" w:styleId="BodyTextIndentChar">
    <w:name w:val="Body Text Indent Char"/>
    <w:basedOn w:val="DefaultParagraphFont"/>
    <w:link w:val="BodyTextIndent"/>
    <w:rsid w:val="00E367C1"/>
    <w:rPr>
      <w:sz w:val="22"/>
    </w:rPr>
  </w:style>
  <w:style w:type="paragraph" w:styleId="ListContinue">
    <w:name w:val="List Continue"/>
    <w:basedOn w:val="Normal"/>
    <w:rsid w:val="00E367C1"/>
    <w:pPr>
      <w:spacing w:after="120"/>
      <w:ind w:left="283"/>
    </w:pPr>
  </w:style>
  <w:style w:type="paragraph" w:styleId="ListContinue2">
    <w:name w:val="List Continue 2"/>
    <w:basedOn w:val="Normal"/>
    <w:rsid w:val="00E367C1"/>
    <w:pPr>
      <w:spacing w:after="120"/>
      <w:ind w:left="566"/>
    </w:pPr>
  </w:style>
  <w:style w:type="paragraph" w:styleId="ListContinue3">
    <w:name w:val="List Continue 3"/>
    <w:basedOn w:val="Normal"/>
    <w:rsid w:val="00E367C1"/>
    <w:pPr>
      <w:spacing w:after="120"/>
      <w:ind w:left="849"/>
    </w:pPr>
  </w:style>
  <w:style w:type="paragraph" w:styleId="ListContinue4">
    <w:name w:val="List Continue 4"/>
    <w:basedOn w:val="Normal"/>
    <w:rsid w:val="00E367C1"/>
    <w:pPr>
      <w:spacing w:after="120"/>
      <w:ind w:left="1132"/>
    </w:pPr>
  </w:style>
  <w:style w:type="paragraph" w:styleId="ListContinue5">
    <w:name w:val="List Continue 5"/>
    <w:basedOn w:val="Normal"/>
    <w:rsid w:val="00E367C1"/>
    <w:pPr>
      <w:spacing w:after="120"/>
      <w:ind w:left="1415"/>
    </w:pPr>
  </w:style>
  <w:style w:type="paragraph" w:styleId="MessageHeader">
    <w:name w:val="Message Header"/>
    <w:basedOn w:val="Normal"/>
    <w:link w:val="MessageHeaderChar"/>
    <w:rsid w:val="00E367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367C1"/>
    <w:rPr>
      <w:rFonts w:ascii="Arial" w:hAnsi="Arial" w:cs="Arial"/>
      <w:sz w:val="22"/>
      <w:shd w:val="pct20" w:color="auto" w:fill="auto"/>
    </w:rPr>
  </w:style>
  <w:style w:type="paragraph" w:styleId="Subtitle">
    <w:name w:val="Subtitle"/>
    <w:basedOn w:val="Normal"/>
    <w:link w:val="SubtitleChar"/>
    <w:qFormat/>
    <w:rsid w:val="00E367C1"/>
    <w:pPr>
      <w:spacing w:after="60"/>
      <w:jc w:val="center"/>
      <w:outlineLvl w:val="1"/>
    </w:pPr>
    <w:rPr>
      <w:rFonts w:ascii="Arial" w:hAnsi="Arial" w:cs="Arial"/>
    </w:rPr>
  </w:style>
  <w:style w:type="character" w:customStyle="1" w:styleId="SubtitleChar">
    <w:name w:val="Subtitle Char"/>
    <w:basedOn w:val="DefaultParagraphFont"/>
    <w:link w:val="Subtitle"/>
    <w:rsid w:val="00E367C1"/>
    <w:rPr>
      <w:rFonts w:ascii="Arial" w:hAnsi="Arial" w:cs="Arial"/>
      <w:sz w:val="22"/>
    </w:rPr>
  </w:style>
  <w:style w:type="paragraph" w:styleId="Salutation">
    <w:name w:val="Salutation"/>
    <w:basedOn w:val="Normal"/>
    <w:next w:val="Normal"/>
    <w:link w:val="SalutationChar"/>
    <w:rsid w:val="00E367C1"/>
  </w:style>
  <w:style w:type="character" w:customStyle="1" w:styleId="SalutationChar">
    <w:name w:val="Salutation Char"/>
    <w:basedOn w:val="DefaultParagraphFont"/>
    <w:link w:val="Salutation"/>
    <w:rsid w:val="00E367C1"/>
    <w:rPr>
      <w:sz w:val="22"/>
    </w:rPr>
  </w:style>
  <w:style w:type="paragraph" w:styleId="Date">
    <w:name w:val="Date"/>
    <w:basedOn w:val="Normal"/>
    <w:next w:val="Normal"/>
    <w:link w:val="DateChar"/>
    <w:rsid w:val="00E367C1"/>
  </w:style>
  <w:style w:type="character" w:customStyle="1" w:styleId="DateChar">
    <w:name w:val="Date Char"/>
    <w:basedOn w:val="DefaultParagraphFont"/>
    <w:link w:val="Date"/>
    <w:rsid w:val="00E367C1"/>
    <w:rPr>
      <w:sz w:val="22"/>
    </w:rPr>
  </w:style>
  <w:style w:type="paragraph" w:styleId="BodyTextFirstIndent">
    <w:name w:val="Body Text First Indent"/>
    <w:basedOn w:val="BodyText"/>
    <w:link w:val="BodyTextFirstIndentChar"/>
    <w:rsid w:val="00E367C1"/>
    <w:pPr>
      <w:ind w:firstLine="210"/>
    </w:pPr>
  </w:style>
  <w:style w:type="character" w:customStyle="1" w:styleId="BodyTextFirstIndentChar">
    <w:name w:val="Body Text First Indent Char"/>
    <w:basedOn w:val="BodyTextChar"/>
    <w:link w:val="BodyTextFirstIndent"/>
    <w:rsid w:val="00E367C1"/>
    <w:rPr>
      <w:sz w:val="22"/>
    </w:rPr>
  </w:style>
  <w:style w:type="paragraph" w:styleId="BodyTextFirstIndent2">
    <w:name w:val="Body Text First Indent 2"/>
    <w:basedOn w:val="BodyTextIndent"/>
    <w:link w:val="BodyTextFirstIndent2Char"/>
    <w:rsid w:val="00E367C1"/>
    <w:pPr>
      <w:ind w:firstLine="210"/>
    </w:pPr>
  </w:style>
  <w:style w:type="character" w:customStyle="1" w:styleId="BodyTextFirstIndent2Char">
    <w:name w:val="Body Text First Indent 2 Char"/>
    <w:basedOn w:val="BodyTextIndentChar"/>
    <w:link w:val="BodyTextFirstIndent2"/>
    <w:rsid w:val="00E367C1"/>
    <w:rPr>
      <w:sz w:val="22"/>
    </w:rPr>
  </w:style>
  <w:style w:type="paragraph" w:styleId="BodyText2">
    <w:name w:val="Body Text 2"/>
    <w:basedOn w:val="Normal"/>
    <w:link w:val="BodyText2Char"/>
    <w:rsid w:val="00E367C1"/>
    <w:pPr>
      <w:spacing w:after="120" w:line="480" w:lineRule="auto"/>
    </w:pPr>
  </w:style>
  <w:style w:type="character" w:customStyle="1" w:styleId="BodyText2Char">
    <w:name w:val="Body Text 2 Char"/>
    <w:basedOn w:val="DefaultParagraphFont"/>
    <w:link w:val="BodyText2"/>
    <w:rsid w:val="00E367C1"/>
    <w:rPr>
      <w:sz w:val="22"/>
    </w:rPr>
  </w:style>
  <w:style w:type="paragraph" w:styleId="BodyText3">
    <w:name w:val="Body Text 3"/>
    <w:basedOn w:val="Normal"/>
    <w:link w:val="BodyText3Char"/>
    <w:rsid w:val="00E367C1"/>
    <w:pPr>
      <w:spacing w:after="120"/>
    </w:pPr>
    <w:rPr>
      <w:sz w:val="16"/>
      <w:szCs w:val="16"/>
    </w:rPr>
  </w:style>
  <w:style w:type="character" w:customStyle="1" w:styleId="BodyText3Char">
    <w:name w:val="Body Text 3 Char"/>
    <w:basedOn w:val="DefaultParagraphFont"/>
    <w:link w:val="BodyText3"/>
    <w:rsid w:val="00E367C1"/>
    <w:rPr>
      <w:sz w:val="16"/>
      <w:szCs w:val="16"/>
    </w:rPr>
  </w:style>
  <w:style w:type="paragraph" w:styleId="BodyTextIndent2">
    <w:name w:val="Body Text Indent 2"/>
    <w:basedOn w:val="Normal"/>
    <w:link w:val="BodyTextIndent2Char"/>
    <w:rsid w:val="00E367C1"/>
    <w:pPr>
      <w:spacing w:after="120" w:line="480" w:lineRule="auto"/>
      <w:ind w:left="283"/>
    </w:pPr>
  </w:style>
  <w:style w:type="character" w:customStyle="1" w:styleId="BodyTextIndent2Char">
    <w:name w:val="Body Text Indent 2 Char"/>
    <w:basedOn w:val="DefaultParagraphFont"/>
    <w:link w:val="BodyTextIndent2"/>
    <w:rsid w:val="00E367C1"/>
    <w:rPr>
      <w:sz w:val="22"/>
    </w:rPr>
  </w:style>
  <w:style w:type="paragraph" w:styleId="BodyTextIndent3">
    <w:name w:val="Body Text Indent 3"/>
    <w:basedOn w:val="Normal"/>
    <w:link w:val="BodyTextIndent3Char"/>
    <w:rsid w:val="00E367C1"/>
    <w:pPr>
      <w:spacing w:after="120"/>
      <w:ind w:left="283"/>
    </w:pPr>
    <w:rPr>
      <w:sz w:val="16"/>
      <w:szCs w:val="16"/>
    </w:rPr>
  </w:style>
  <w:style w:type="character" w:customStyle="1" w:styleId="BodyTextIndent3Char">
    <w:name w:val="Body Text Indent 3 Char"/>
    <w:basedOn w:val="DefaultParagraphFont"/>
    <w:link w:val="BodyTextIndent3"/>
    <w:rsid w:val="00E367C1"/>
    <w:rPr>
      <w:sz w:val="16"/>
      <w:szCs w:val="16"/>
    </w:rPr>
  </w:style>
  <w:style w:type="paragraph" w:styleId="BlockText">
    <w:name w:val="Block Text"/>
    <w:basedOn w:val="Normal"/>
    <w:rsid w:val="00E367C1"/>
    <w:pPr>
      <w:spacing w:after="120"/>
      <w:ind w:left="1440" w:right="1440"/>
    </w:pPr>
  </w:style>
  <w:style w:type="character" w:styleId="Hyperlink">
    <w:name w:val="Hyperlink"/>
    <w:basedOn w:val="DefaultParagraphFont"/>
    <w:rsid w:val="00E367C1"/>
    <w:rPr>
      <w:color w:val="0000FF"/>
      <w:u w:val="single"/>
    </w:rPr>
  </w:style>
  <w:style w:type="character" w:styleId="FollowedHyperlink">
    <w:name w:val="FollowedHyperlink"/>
    <w:basedOn w:val="DefaultParagraphFont"/>
    <w:rsid w:val="00E367C1"/>
    <w:rPr>
      <w:color w:val="800080"/>
      <w:u w:val="single"/>
    </w:rPr>
  </w:style>
  <w:style w:type="character" w:styleId="Strong">
    <w:name w:val="Strong"/>
    <w:basedOn w:val="DefaultParagraphFont"/>
    <w:qFormat/>
    <w:rsid w:val="00E367C1"/>
    <w:rPr>
      <w:b/>
      <w:bCs/>
    </w:rPr>
  </w:style>
  <w:style w:type="character" w:styleId="Emphasis">
    <w:name w:val="Emphasis"/>
    <w:basedOn w:val="DefaultParagraphFont"/>
    <w:qFormat/>
    <w:rsid w:val="00E367C1"/>
    <w:rPr>
      <w:i/>
      <w:iCs/>
    </w:rPr>
  </w:style>
  <w:style w:type="paragraph" w:styleId="DocumentMap">
    <w:name w:val="Document Map"/>
    <w:basedOn w:val="Normal"/>
    <w:link w:val="DocumentMapChar"/>
    <w:rsid w:val="00E367C1"/>
    <w:pPr>
      <w:shd w:val="clear" w:color="auto" w:fill="000080"/>
    </w:pPr>
    <w:rPr>
      <w:rFonts w:ascii="Tahoma" w:hAnsi="Tahoma" w:cs="Tahoma"/>
    </w:rPr>
  </w:style>
  <w:style w:type="character" w:customStyle="1" w:styleId="DocumentMapChar">
    <w:name w:val="Document Map Char"/>
    <w:basedOn w:val="DefaultParagraphFont"/>
    <w:link w:val="DocumentMap"/>
    <w:rsid w:val="00E367C1"/>
    <w:rPr>
      <w:rFonts w:ascii="Tahoma" w:hAnsi="Tahoma" w:cs="Tahoma"/>
      <w:sz w:val="22"/>
      <w:shd w:val="clear" w:color="auto" w:fill="000080"/>
    </w:rPr>
  </w:style>
  <w:style w:type="paragraph" w:styleId="PlainText">
    <w:name w:val="Plain Text"/>
    <w:basedOn w:val="Normal"/>
    <w:link w:val="PlainTextChar"/>
    <w:rsid w:val="00E367C1"/>
    <w:rPr>
      <w:rFonts w:ascii="Courier New" w:hAnsi="Courier New" w:cs="Courier New"/>
      <w:sz w:val="20"/>
    </w:rPr>
  </w:style>
  <w:style w:type="character" w:customStyle="1" w:styleId="PlainTextChar">
    <w:name w:val="Plain Text Char"/>
    <w:basedOn w:val="DefaultParagraphFont"/>
    <w:link w:val="PlainText"/>
    <w:rsid w:val="00E367C1"/>
    <w:rPr>
      <w:rFonts w:ascii="Courier New" w:hAnsi="Courier New" w:cs="Courier New"/>
    </w:rPr>
  </w:style>
  <w:style w:type="paragraph" w:styleId="E-mailSignature">
    <w:name w:val="E-mail Signature"/>
    <w:basedOn w:val="Normal"/>
    <w:link w:val="E-mailSignatureChar"/>
    <w:rsid w:val="00E367C1"/>
  </w:style>
  <w:style w:type="character" w:customStyle="1" w:styleId="E-mailSignatureChar">
    <w:name w:val="E-mail Signature Char"/>
    <w:basedOn w:val="DefaultParagraphFont"/>
    <w:link w:val="E-mailSignature"/>
    <w:rsid w:val="00E367C1"/>
    <w:rPr>
      <w:sz w:val="22"/>
    </w:rPr>
  </w:style>
  <w:style w:type="paragraph" w:styleId="NormalWeb">
    <w:name w:val="Normal (Web)"/>
    <w:basedOn w:val="Normal"/>
    <w:rsid w:val="00E367C1"/>
  </w:style>
  <w:style w:type="character" w:styleId="HTMLAcronym">
    <w:name w:val="HTML Acronym"/>
    <w:basedOn w:val="DefaultParagraphFont"/>
    <w:rsid w:val="00E367C1"/>
  </w:style>
  <w:style w:type="paragraph" w:styleId="HTMLAddress">
    <w:name w:val="HTML Address"/>
    <w:basedOn w:val="Normal"/>
    <w:link w:val="HTMLAddressChar"/>
    <w:rsid w:val="00E367C1"/>
    <w:rPr>
      <w:i/>
      <w:iCs/>
    </w:rPr>
  </w:style>
  <w:style w:type="character" w:customStyle="1" w:styleId="HTMLAddressChar">
    <w:name w:val="HTML Address Char"/>
    <w:basedOn w:val="DefaultParagraphFont"/>
    <w:link w:val="HTMLAddress"/>
    <w:rsid w:val="00E367C1"/>
    <w:rPr>
      <w:i/>
      <w:iCs/>
      <w:sz w:val="22"/>
    </w:rPr>
  </w:style>
  <w:style w:type="character" w:styleId="HTMLCite">
    <w:name w:val="HTML Cite"/>
    <w:basedOn w:val="DefaultParagraphFont"/>
    <w:rsid w:val="00E367C1"/>
    <w:rPr>
      <w:i/>
      <w:iCs/>
    </w:rPr>
  </w:style>
  <w:style w:type="character" w:styleId="HTMLCode">
    <w:name w:val="HTML Code"/>
    <w:basedOn w:val="DefaultParagraphFont"/>
    <w:rsid w:val="00E367C1"/>
    <w:rPr>
      <w:rFonts w:ascii="Courier New" w:hAnsi="Courier New" w:cs="Courier New"/>
      <w:sz w:val="20"/>
      <w:szCs w:val="20"/>
    </w:rPr>
  </w:style>
  <w:style w:type="character" w:styleId="HTMLDefinition">
    <w:name w:val="HTML Definition"/>
    <w:basedOn w:val="DefaultParagraphFont"/>
    <w:rsid w:val="00E367C1"/>
    <w:rPr>
      <w:i/>
      <w:iCs/>
    </w:rPr>
  </w:style>
  <w:style w:type="character" w:styleId="HTMLKeyboard">
    <w:name w:val="HTML Keyboard"/>
    <w:basedOn w:val="DefaultParagraphFont"/>
    <w:rsid w:val="00E367C1"/>
    <w:rPr>
      <w:rFonts w:ascii="Courier New" w:hAnsi="Courier New" w:cs="Courier New"/>
      <w:sz w:val="20"/>
      <w:szCs w:val="20"/>
    </w:rPr>
  </w:style>
  <w:style w:type="paragraph" w:styleId="HTMLPreformatted">
    <w:name w:val="HTML Preformatted"/>
    <w:basedOn w:val="Normal"/>
    <w:link w:val="HTMLPreformattedChar"/>
    <w:rsid w:val="00E367C1"/>
    <w:rPr>
      <w:rFonts w:ascii="Courier New" w:hAnsi="Courier New" w:cs="Courier New"/>
      <w:sz w:val="20"/>
    </w:rPr>
  </w:style>
  <w:style w:type="character" w:customStyle="1" w:styleId="HTMLPreformattedChar">
    <w:name w:val="HTML Preformatted Char"/>
    <w:basedOn w:val="DefaultParagraphFont"/>
    <w:link w:val="HTMLPreformatted"/>
    <w:rsid w:val="00E367C1"/>
    <w:rPr>
      <w:rFonts w:ascii="Courier New" w:hAnsi="Courier New" w:cs="Courier New"/>
    </w:rPr>
  </w:style>
  <w:style w:type="character" w:styleId="HTMLSample">
    <w:name w:val="HTML Sample"/>
    <w:basedOn w:val="DefaultParagraphFont"/>
    <w:rsid w:val="00E367C1"/>
    <w:rPr>
      <w:rFonts w:ascii="Courier New" w:hAnsi="Courier New" w:cs="Courier New"/>
    </w:rPr>
  </w:style>
  <w:style w:type="character" w:styleId="HTMLTypewriter">
    <w:name w:val="HTML Typewriter"/>
    <w:basedOn w:val="DefaultParagraphFont"/>
    <w:rsid w:val="00E367C1"/>
    <w:rPr>
      <w:rFonts w:ascii="Courier New" w:hAnsi="Courier New" w:cs="Courier New"/>
      <w:sz w:val="20"/>
      <w:szCs w:val="20"/>
    </w:rPr>
  </w:style>
  <w:style w:type="character" w:styleId="HTMLVariable">
    <w:name w:val="HTML Variable"/>
    <w:basedOn w:val="DefaultParagraphFont"/>
    <w:rsid w:val="00E367C1"/>
    <w:rPr>
      <w:i/>
      <w:iCs/>
    </w:rPr>
  </w:style>
  <w:style w:type="paragraph" w:styleId="CommentSubject">
    <w:name w:val="annotation subject"/>
    <w:basedOn w:val="CommentText"/>
    <w:next w:val="CommentText"/>
    <w:link w:val="CommentSubjectChar"/>
    <w:rsid w:val="00E367C1"/>
    <w:rPr>
      <w:b/>
      <w:bCs/>
    </w:rPr>
  </w:style>
  <w:style w:type="character" w:customStyle="1" w:styleId="CommentSubjectChar">
    <w:name w:val="Comment Subject Char"/>
    <w:basedOn w:val="CommentTextChar"/>
    <w:link w:val="CommentSubject"/>
    <w:rsid w:val="00E367C1"/>
    <w:rPr>
      <w:b/>
      <w:bCs/>
    </w:rPr>
  </w:style>
  <w:style w:type="numbering" w:styleId="1ai">
    <w:name w:val="Outline List 1"/>
    <w:basedOn w:val="NoList"/>
    <w:rsid w:val="00E367C1"/>
    <w:pPr>
      <w:numPr>
        <w:numId w:val="14"/>
      </w:numPr>
    </w:pPr>
  </w:style>
  <w:style w:type="numbering" w:styleId="111111">
    <w:name w:val="Outline List 2"/>
    <w:basedOn w:val="NoList"/>
    <w:rsid w:val="00E367C1"/>
    <w:pPr>
      <w:numPr>
        <w:numId w:val="15"/>
      </w:numPr>
    </w:pPr>
  </w:style>
  <w:style w:type="numbering" w:styleId="ArticleSection">
    <w:name w:val="Outline List 3"/>
    <w:basedOn w:val="NoList"/>
    <w:rsid w:val="00E367C1"/>
    <w:pPr>
      <w:numPr>
        <w:numId w:val="17"/>
      </w:numPr>
    </w:pPr>
  </w:style>
  <w:style w:type="table" w:styleId="TableSimple1">
    <w:name w:val="Table Simple 1"/>
    <w:basedOn w:val="TableNormal"/>
    <w:rsid w:val="00E367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67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367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67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67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67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67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67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67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67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67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67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67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67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67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67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67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67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67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67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67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67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67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67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67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367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67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67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67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67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67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67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367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67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367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367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367C1"/>
    <w:rPr>
      <w:rFonts w:eastAsia="Times New Roman" w:cs="Times New Roman"/>
      <w:b/>
      <w:kern w:val="28"/>
      <w:sz w:val="24"/>
      <w:lang w:eastAsia="en-AU"/>
    </w:rPr>
  </w:style>
  <w:style w:type="character" w:customStyle="1" w:styleId="paragraphChar">
    <w:name w:val="paragraph Char"/>
    <w:aliases w:val="a Char"/>
    <w:link w:val="paragraph"/>
    <w:rsid w:val="00E54E3E"/>
    <w:rPr>
      <w:rFonts w:eastAsia="Times New Roman" w:cs="Times New Roman"/>
      <w:sz w:val="22"/>
      <w:lang w:eastAsia="en-AU"/>
    </w:rPr>
  </w:style>
  <w:style w:type="character" w:customStyle="1" w:styleId="ItemHeadChar">
    <w:name w:val="ItemHead Char"/>
    <w:aliases w:val="ih Char"/>
    <w:basedOn w:val="DefaultParagraphFont"/>
    <w:link w:val="ItemHead"/>
    <w:rsid w:val="00AC645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C6451"/>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67C1"/>
    <w:pPr>
      <w:spacing w:line="260" w:lineRule="atLeast"/>
    </w:pPr>
    <w:rPr>
      <w:sz w:val="22"/>
    </w:rPr>
  </w:style>
  <w:style w:type="paragraph" w:styleId="Heading1">
    <w:name w:val="heading 1"/>
    <w:basedOn w:val="Normal"/>
    <w:next w:val="Normal"/>
    <w:link w:val="Heading1Char"/>
    <w:uiPriority w:val="9"/>
    <w:qFormat/>
    <w:rsid w:val="00E367C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7C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7C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7C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67C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67C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67C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7C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367C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67C1"/>
  </w:style>
  <w:style w:type="paragraph" w:customStyle="1" w:styleId="OPCParaBase">
    <w:name w:val="OPCParaBase"/>
    <w:qFormat/>
    <w:rsid w:val="00E367C1"/>
    <w:pPr>
      <w:spacing w:line="260" w:lineRule="atLeast"/>
    </w:pPr>
    <w:rPr>
      <w:rFonts w:eastAsia="Times New Roman" w:cs="Times New Roman"/>
      <w:sz w:val="22"/>
      <w:lang w:eastAsia="en-AU"/>
    </w:rPr>
  </w:style>
  <w:style w:type="paragraph" w:customStyle="1" w:styleId="ShortT">
    <w:name w:val="ShortT"/>
    <w:basedOn w:val="OPCParaBase"/>
    <w:next w:val="Normal"/>
    <w:qFormat/>
    <w:rsid w:val="00E367C1"/>
    <w:pPr>
      <w:spacing w:line="240" w:lineRule="auto"/>
    </w:pPr>
    <w:rPr>
      <w:b/>
      <w:sz w:val="40"/>
    </w:rPr>
  </w:style>
  <w:style w:type="paragraph" w:customStyle="1" w:styleId="ActHead1">
    <w:name w:val="ActHead 1"/>
    <w:aliases w:val="c"/>
    <w:basedOn w:val="OPCParaBase"/>
    <w:next w:val="Normal"/>
    <w:qFormat/>
    <w:rsid w:val="00E367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67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67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67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67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67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67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67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67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67C1"/>
  </w:style>
  <w:style w:type="paragraph" w:customStyle="1" w:styleId="Blocks">
    <w:name w:val="Blocks"/>
    <w:aliases w:val="bb"/>
    <w:basedOn w:val="OPCParaBase"/>
    <w:qFormat/>
    <w:rsid w:val="00E367C1"/>
    <w:pPr>
      <w:spacing w:line="240" w:lineRule="auto"/>
    </w:pPr>
    <w:rPr>
      <w:sz w:val="24"/>
    </w:rPr>
  </w:style>
  <w:style w:type="paragraph" w:customStyle="1" w:styleId="BoxText">
    <w:name w:val="BoxText"/>
    <w:aliases w:val="bt"/>
    <w:basedOn w:val="OPCParaBase"/>
    <w:qFormat/>
    <w:rsid w:val="00E367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67C1"/>
    <w:rPr>
      <w:b/>
    </w:rPr>
  </w:style>
  <w:style w:type="paragraph" w:customStyle="1" w:styleId="BoxHeadItalic">
    <w:name w:val="BoxHeadItalic"/>
    <w:aliases w:val="bhi"/>
    <w:basedOn w:val="BoxText"/>
    <w:next w:val="BoxStep"/>
    <w:qFormat/>
    <w:rsid w:val="00E367C1"/>
    <w:rPr>
      <w:i/>
    </w:rPr>
  </w:style>
  <w:style w:type="paragraph" w:customStyle="1" w:styleId="BoxList">
    <w:name w:val="BoxList"/>
    <w:aliases w:val="bl"/>
    <w:basedOn w:val="BoxText"/>
    <w:qFormat/>
    <w:rsid w:val="00E367C1"/>
    <w:pPr>
      <w:ind w:left="1559" w:hanging="425"/>
    </w:pPr>
  </w:style>
  <w:style w:type="paragraph" w:customStyle="1" w:styleId="BoxNote">
    <w:name w:val="BoxNote"/>
    <w:aliases w:val="bn"/>
    <w:basedOn w:val="BoxText"/>
    <w:qFormat/>
    <w:rsid w:val="00E367C1"/>
    <w:pPr>
      <w:tabs>
        <w:tab w:val="left" w:pos="1985"/>
      </w:tabs>
      <w:spacing w:before="122" w:line="198" w:lineRule="exact"/>
      <w:ind w:left="2948" w:hanging="1814"/>
    </w:pPr>
    <w:rPr>
      <w:sz w:val="18"/>
    </w:rPr>
  </w:style>
  <w:style w:type="paragraph" w:customStyle="1" w:styleId="BoxPara">
    <w:name w:val="BoxPara"/>
    <w:aliases w:val="bp"/>
    <w:basedOn w:val="BoxText"/>
    <w:qFormat/>
    <w:rsid w:val="00E367C1"/>
    <w:pPr>
      <w:tabs>
        <w:tab w:val="right" w:pos="2268"/>
      </w:tabs>
      <w:ind w:left="2552" w:hanging="1418"/>
    </w:pPr>
  </w:style>
  <w:style w:type="paragraph" w:customStyle="1" w:styleId="BoxStep">
    <w:name w:val="BoxStep"/>
    <w:aliases w:val="bs"/>
    <w:basedOn w:val="BoxText"/>
    <w:qFormat/>
    <w:rsid w:val="00E367C1"/>
    <w:pPr>
      <w:ind w:left="1985" w:hanging="851"/>
    </w:pPr>
  </w:style>
  <w:style w:type="character" w:customStyle="1" w:styleId="CharAmPartNo">
    <w:name w:val="CharAmPartNo"/>
    <w:basedOn w:val="OPCCharBase"/>
    <w:qFormat/>
    <w:rsid w:val="00E367C1"/>
  </w:style>
  <w:style w:type="character" w:customStyle="1" w:styleId="CharAmPartText">
    <w:name w:val="CharAmPartText"/>
    <w:basedOn w:val="OPCCharBase"/>
    <w:qFormat/>
    <w:rsid w:val="00E367C1"/>
  </w:style>
  <w:style w:type="character" w:customStyle="1" w:styleId="CharAmSchNo">
    <w:name w:val="CharAmSchNo"/>
    <w:basedOn w:val="OPCCharBase"/>
    <w:qFormat/>
    <w:rsid w:val="00E367C1"/>
  </w:style>
  <w:style w:type="character" w:customStyle="1" w:styleId="CharAmSchText">
    <w:name w:val="CharAmSchText"/>
    <w:basedOn w:val="OPCCharBase"/>
    <w:qFormat/>
    <w:rsid w:val="00E367C1"/>
  </w:style>
  <w:style w:type="character" w:customStyle="1" w:styleId="CharBoldItalic">
    <w:name w:val="CharBoldItalic"/>
    <w:basedOn w:val="OPCCharBase"/>
    <w:uiPriority w:val="1"/>
    <w:qFormat/>
    <w:rsid w:val="00E367C1"/>
    <w:rPr>
      <w:b/>
      <w:i/>
    </w:rPr>
  </w:style>
  <w:style w:type="character" w:customStyle="1" w:styleId="CharChapNo">
    <w:name w:val="CharChapNo"/>
    <w:basedOn w:val="OPCCharBase"/>
    <w:uiPriority w:val="1"/>
    <w:qFormat/>
    <w:rsid w:val="00E367C1"/>
  </w:style>
  <w:style w:type="character" w:customStyle="1" w:styleId="CharChapText">
    <w:name w:val="CharChapText"/>
    <w:basedOn w:val="OPCCharBase"/>
    <w:uiPriority w:val="1"/>
    <w:qFormat/>
    <w:rsid w:val="00E367C1"/>
  </w:style>
  <w:style w:type="character" w:customStyle="1" w:styleId="CharDivNo">
    <w:name w:val="CharDivNo"/>
    <w:basedOn w:val="OPCCharBase"/>
    <w:uiPriority w:val="1"/>
    <w:qFormat/>
    <w:rsid w:val="00E367C1"/>
  </w:style>
  <w:style w:type="character" w:customStyle="1" w:styleId="CharDivText">
    <w:name w:val="CharDivText"/>
    <w:basedOn w:val="OPCCharBase"/>
    <w:uiPriority w:val="1"/>
    <w:qFormat/>
    <w:rsid w:val="00E367C1"/>
  </w:style>
  <w:style w:type="character" w:customStyle="1" w:styleId="CharItalic">
    <w:name w:val="CharItalic"/>
    <w:basedOn w:val="OPCCharBase"/>
    <w:uiPriority w:val="1"/>
    <w:qFormat/>
    <w:rsid w:val="00E367C1"/>
    <w:rPr>
      <w:i/>
    </w:rPr>
  </w:style>
  <w:style w:type="character" w:customStyle="1" w:styleId="CharPartNo">
    <w:name w:val="CharPartNo"/>
    <w:basedOn w:val="OPCCharBase"/>
    <w:uiPriority w:val="1"/>
    <w:qFormat/>
    <w:rsid w:val="00E367C1"/>
  </w:style>
  <w:style w:type="character" w:customStyle="1" w:styleId="CharPartText">
    <w:name w:val="CharPartText"/>
    <w:basedOn w:val="OPCCharBase"/>
    <w:uiPriority w:val="1"/>
    <w:qFormat/>
    <w:rsid w:val="00E367C1"/>
  </w:style>
  <w:style w:type="character" w:customStyle="1" w:styleId="CharSectno">
    <w:name w:val="CharSectno"/>
    <w:basedOn w:val="OPCCharBase"/>
    <w:qFormat/>
    <w:rsid w:val="00E367C1"/>
  </w:style>
  <w:style w:type="character" w:customStyle="1" w:styleId="CharSubdNo">
    <w:name w:val="CharSubdNo"/>
    <w:basedOn w:val="OPCCharBase"/>
    <w:uiPriority w:val="1"/>
    <w:qFormat/>
    <w:rsid w:val="00E367C1"/>
  </w:style>
  <w:style w:type="character" w:customStyle="1" w:styleId="CharSubdText">
    <w:name w:val="CharSubdText"/>
    <w:basedOn w:val="OPCCharBase"/>
    <w:uiPriority w:val="1"/>
    <w:qFormat/>
    <w:rsid w:val="00E367C1"/>
  </w:style>
  <w:style w:type="paragraph" w:customStyle="1" w:styleId="CTA--">
    <w:name w:val="CTA --"/>
    <w:basedOn w:val="OPCParaBase"/>
    <w:next w:val="Normal"/>
    <w:rsid w:val="00E367C1"/>
    <w:pPr>
      <w:spacing w:before="60" w:line="240" w:lineRule="atLeast"/>
      <w:ind w:left="142" w:hanging="142"/>
    </w:pPr>
    <w:rPr>
      <w:sz w:val="20"/>
    </w:rPr>
  </w:style>
  <w:style w:type="paragraph" w:customStyle="1" w:styleId="CTA-">
    <w:name w:val="CTA -"/>
    <w:basedOn w:val="OPCParaBase"/>
    <w:rsid w:val="00E367C1"/>
    <w:pPr>
      <w:spacing w:before="60" w:line="240" w:lineRule="atLeast"/>
      <w:ind w:left="85" w:hanging="85"/>
    </w:pPr>
    <w:rPr>
      <w:sz w:val="20"/>
    </w:rPr>
  </w:style>
  <w:style w:type="paragraph" w:customStyle="1" w:styleId="CTA---">
    <w:name w:val="CTA ---"/>
    <w:basedOn w:val="OPCParaBase"/>
    <w:next w:val="Normal"/>
    <w:rsid w:val="00E367C1"/>
    <w:pPr>
      <w:spacing w:before="60" w:line="240" w:lineRule="atLeast"/>
      <w:ind w:left="198" w:hanging="198"/>
    </w:pPr>
    <w:rPr>
      <w:sz w:val="20"/>
    </w:rPr>
  </w:style>
  <w:style w:type="paragraph" w:customStyle="1" w:styleId="CTA----">
    <w:name w:val="CTA ----"/>
    <w:basedOn w:val="OPCParaBase"/>
    <w:next w:val="Normal"/>
    <w:rsid w:val="00E367C1"/>
    <w:pPr>
      <w:spacing w:before="60" w:line="240" w:lineRule="atLeast"/>
      <w:ind w:left="255" w:hanging="255"/>
    </w:pPr>
    <w:rPr>
      <w:sz w:val="20"/>
    </w:rPr>
  </w:style>
  <w:style w:type="paragraph" w:customStyle="1" w:styleId="CTA1a">
    <w:name w:val="CTA 1(a)"/>
    <w:basedOn w:val="OPCParaBase"/>
    <w:rsid w:val="00E367C1"/>
    <w:pPr>
      <w:tabs>
        <w:tab w:val="right" w:pos="414"/>
      </w:tabs>
      <w:spacing w:before="40" w:line="240" w:lineRule="atLeast"/>
      <w:ind w:left="675" w:hanging="675"/>
    </w:pPr>
    <w:rPr>
      <w:sz w:val="20"/>
    </w:rPr>
  </w:style>
  <w:style w:type="paragraph" w:customStyle="1" w:styleId="CTA1ai">
    <w:name w:val="CTA 1(a)(i)"/>
    <w:basedOn w:val="OPCParaBase"/>
    <w:rsid w:val="00E367C1"/>
    <w:pPr>
      <w:tabs>
        <w:tab w:val="right" w:pos="1004"/>
      </w:tabs>
      <w:spacing w:before="40" w:line="240" w:lineRule="atLeast"/>
      <w:ind w:left="1253" w:hanging="1253"/>
    </w:pPr>
    <w:rPr>
      <w:sz w:val="20"/>
    </w:rPr>
  </w:style>
  <w:style w:type="paragraph" w:customStyle="1" w:styleId="CTA2a">
    <w:name w:val="CTA 2(a)"/>
    <w:basedOn w:val="OPCParaBase"/>
    <w:rsid w:val="00E367C1"/>
    <w:pPr>
      <w:tabs>
        <w:tab w:val="right" w:pos="482"/>
      </w:tabs>
      <w:spacing w:before="40" w:line="240" w:lineRule="atLeast"/>
      <w:ind w:left="748" w:hanging="748"/>
    </w:pPr>
    <w:rPr>
      <w:sz w:val="20"/>
    </w:rPr>
  </w:style>
  <w:style w:type="paragraph" w:customStyle="1" w:styleId="CTA2ai">
    <w:name w:val="CTA 2(a)(i)"/>
    <w:basedOn w:val="OPCParaBase"/>
    <w:rsid w:val="00E367C1"/>
    <w:pPr>
      <w:tabs>
        <w:tab w:val="right" w:pos="1089"/>
      </w:tabs>
      <w:spacing w:before="40" w:line="240" w:lineRule="atLeast"/>
      <w:ind w:left="1327" w:hanging="1327"/>
    </w:pPr>
    <w:rPr>
      <w:sz w:val="20"/>
    </w:rPr>
  </w:style>
  <w:style w:type="paragraph" w:customStyle="1" w:styleId="CTA3a">
    <w:name w:val="CTA 3(a)"/>
    <w:basedOn w:val="OPCParaBase"/>
    <w:rsid w:val="00E367C1"/>
    <w:pPr>
      <w:tabs>
        <w:tab w:val="right" w:pos="556"/>
      </w:tabs>
      <w:spacing w:before="40" w:line="240" w:lineRule="atLeast"/>
      <w:ind w:left="805" w:hanging="805"/>
    </w:pPr>
    <w:rPr>
      <w:sz w:val="20"/>
    </w:rPr>
  </w:style>
  <w:style w:type="paragraph" w:customStyle="1" w:styleId="CTA3ai">
    <w:name w:val="CTA 3(a)(i)"/>
    <w:basedOn w:val="OPCParaBase"/>
    <w:rsid w:val="00E367C1"/>
    <w:pPr>
      <w:tabs>
        <w:tab w:val="right" w:pos="1140"/>
      </w:tabs>
      <w:spacing w:before="40" w:line="240" w:lineRule="atLeast"/>
      <w:ind w:left="1361" w:hanging="1361"/>
    </w:pPr>
    <w:rPr>
      <w:sz w:val="20"/>
    </w:rPr>
  </w:style>
  <w:style w:type="paragraph" w:customStyle="1" w:styleId="CTA4a">
    <w:name w:val="CTA 4(a)"/>
    <w:basedOn w:val="OPCParaBase"/>
    <w:rsid w:val="00E367C1"/>
    <w:pPr>
      <w:tabs>
        <w:tab w:val="right" w:pos="624"/>
      </w:tabs>
      <w:spacing w:before="40" w:line="240" w:lineRule="atLeast"/>
      <w:ind w:left="873" w:hanging="873"/>
    </w:pPr>
    <w:rPr>
      <w:sz w:val="20"/>
    </w:rPr>
  </w:style>
  <w:style w:type="paragraph" w:customStyle="1" w:styleId="CTA4ai">
    <w:name w:val="CTA 4(a)(i)"/>
    <w:basedOn w:val="OPCParaBase"/>
    <w:rsid w:val="00E367C1"/>
    <w:pPr>
      <w:tabs>
        <w:tab w:val="right" w:pos="1213"/>
      </w:tabs>
      <w:spacing w:before="40" w:line="240" w:lineRule="atLeast"/>
      <w:ind w:left="1452" w:hanging="1452"/>
    </w:pPr>
    <w:rPr>
      <w:sz w:val="20"/>
    </w:rPr>
  </w:style>
  <w:style w:type="paragraph" w:customStyle="1" w:styleId="CTACAPS">
    <w:name w:val="CTA CAPS"/>
    <w:basedOn w:val="OPCParaBase"/>
    <w:rsid w:val="00E367C1"/>
    <w:pPr>
      <w:spacing w:before="60" w:line="240" w:lineRule="atLeast"/>
    </w:pPr>
    <w:rPr>
      <w:sz w:val="20"/>
    </w:rPr>
  </w:style>
  <w:style w:type="paragraph" w:customStyle="1" w:styleId="CTAright">
    <w:name w:val="CTA right"/>
    <w:basedOn w:val="OPCParaBase"/>
    <w:rsid w:val="00E367C1"/>
    <w:pPr>
      <w:spacing w:before="60" w:line="240" w:lineRule="auto"/>
      <w:jc w:val="right"/>
    </w:pPr>
    <w:rPr>
      <w:sz w:val="20"/>
    </w:rPr>
  </w:style>
  <w:style w:type="paragraph" w:customStyle="1" w:styleId="subsection">
    <w:name w:val="subsection"/>
    <w:aliases w:val="ss"/>
    <w:basedOn w:val="OPCParaBase"/>
    <w:link w:val="subsectionChar"/>
    <w:rsid w:val="00E367C1"/>
    <w:pPr>
      <w:tabs>
        <w:tab w:val="right" w:pos="1021"/>
      </w:tabs>
      <w:spacing w:before="180" w:line="240" w:lineRule="auto"/>
      <w:ind w:left="1134" w:hanging="1134"/>
    </w:pPr>
  </w:style>
  <w:style w:type="paragraph" w:customStyle="1" w:styleId="Definition">
    <w:name w:val="Definition"/>
    <w:aliases w:val="dd"/>
    <w:basedOn w:val="OPCParaBase"/>
    <w:rsid w:val="00E367C1"/>
    <w:pPr>
      <w:spacing w:before="180" w:line="240" w:lineRule="auto"/>
      <w:ind w:left="1134"/>
    </w:pPr>
  </w:style>
  <w:style w:type="paragraph" w:customStyle="1" w:styleId="ETAsubitem">
    <w:name w:val="ETA(subitem)"/>
    <w:basedOn w:val="OPCParaBase"/>
    <w:rsid w:val="00E367C1"/>
    <w:pPr>
      <w:tabs>
        <w:tab w:val="right" w:pos="340"/>
      </w:tabs>
      <w:spacing w:before="60" w:line="240" w:lineRule="auto"/>
      <w:ind w:left="454" w:hanging="454"/>
    </w:pPr>
    <w:rPr>
      <w:sz w:val="20"/>
    </w:rPr>
  </w:style>
  <w:style w:type="paragraph" w:customStyle="1" w:styleId="ETApara">
    <w:name w:val="ETA(para)"/>
    <w:basedOn w:val="OPCParaBase"/>
    <w:rsid w:val="00E367C1"/>
    <w:pPr>
      <w:tabs>
        <w:tab w:val="right" w:pos="754"/>
      </w:tabs>
      <w:spacing w:before="60" w:line="240" w:lineRule="auto"/>
      <w:ind w:left="828" w:hanging="828"/>
    </w:pPr>
    <w:rPr>
      <w:sz w:val="20"/>
    </w:rPr>
  </w:style>
  <w:style w:type="paragraph" w:customStyle="1" w:styleId="ETAsubpara">
    <w:name w:val="ETA(subpara)"/>
    <w:basedOn w:val="OPCParaBase"/>
    <w:rsid w:val="00E367C1"/>
    <w:pPr>
      <w:tabs>
        <w:tab w:val="right" w:pos="1083"/>
      </w:tabs>
      <w:spacing w:before="60" w:line="240" w:lineRule="auto"/>
      <w:ind w:left="1191" w:hanging="1191"/>
    </w:pPr>
    <w:rPr>
      <w:sz w:val="20"/>
    </w:rPr>
  </w:style>
  <w:style w:type="paragraph" w:customStyle="1" w:styleId="ETAsub-subpara">
    <w:name w:val="ETA(sub-subpara)"/>
    <w:basedOn w:val="OPCParaBase"/>
    <w:rsid w:val="00E367C1"/>
    <w:pPr>
      <w:tabs>
        <w:tab w:val="right" w:pos="1412"/>
      </w:tabs>
      <w:spacing w:before="60" w:line="240" w:lineRule="auto"/>
      <w:ind w:left="1525" w:hanging="1525"/>
    </w:pPr>
    <w:rPr>
      <w:sz w:val="20"/>
    </w:rPr>
  </w:style>
  <w:style w:type="paragraph" w:customStyle="1" w:styleId="Formula">
    <w:name w:val="Formula"/>
    <w:basedOn w:val="OPCParaBase"/>
    <w:rsid w:val="00E367C1"/>
    <w:pPr>
      <w:spacing w:line="240" w:lineRule="auto"/>
      <w:ind w:left="1134"/>
    </w:pPr>
    <w:rPr>
      <w:sz w:val="20"/>
    </w:rPr>
  </w:style>
  <w:style w:type="paragraph" w:styleId="Header">
    <w:name w:val="header"/>
    <w:basedOn w:val="OPCParaBase"/>
    <w:link w:val="HeaderChar"/>
    <w:unhideWhenUsed/>
    <w:rsid w:val="00E367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67C1"/>
    <w:rPr>
      <w:rFonts w:eastAsia="Times New Roman" w:cs="Times New Roman"/>
      <w:sz w:val="16"/>
      <w:lang w:eastAsia="en-AU"/>
    </w:rPr>
  </w:style>
  <w:style w:type="paragraph" w:customStyle="1" w:styleId="House">
    <w:name w:val="House"/>
    <w:basedOn w:val="OPCParaBase"/>
    <w:rsid w:val="00E367C1"/>
    <w:pPr>
      <w:spacing w:line="240" w:lineRule="auto"/>
    </w:pPr>
    <w:rPr>
      <w:sz w:val="28"/>
    </w:rPr>
  </w:style>
  <w:style w:type="paragraph" w:customStyle="1" w:styleId="Item">
    <w:name w:val="Item"/>
    <w:aliases w:val="i"/>
    <w:basedOn w:val="OPCParaBase"/>
    <w:next w:val="ItemHead"/>
    <w:link w:val="ItemChar"/>
    <w:rsid w:val="00E367C1"/>
    <w:pPr>
      <w:keepLines/>
      <w:spacing w:before="80" w:line="240" w:lineRule="auto"/>
      <w:ind w:left="709"/>
    </w:pPr>
  </w:style>
  <w:style w:type="paragraph" w:customStyle="1" w:styleId="ItemHead">
    <w:name w:val="ItemHead"/>
    <w:aliases w:val="ih"/>
    <w:basedOn w:val="OPCParaBase"/>
    <w:next w:val="Item"/>
    <w:link w:val="ItemHeadChar"/>
    <w:rsid w:val="00E367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67C1"/>
    <w:pPr>
      <w:spacing w:line="240" w:lineRule="auto"/>
    </w:pPr>
    <w:rPr>
      <w:b/>
      <w:sz w:val="32"/>
    </w:rPr>
  </w:style>
  <w:style w:type="paragraph" w:customStyle="1" w:styleId="notedraft">
    <w:name w:val="note(draft)"/>
    <w:aliases w:val="nd"/>
    <w:basedOn w:val="OPCParaBase"/>
    <w:rsid w:val="00E367C1"/>
    <w:pPr>
      <w:spacing w:before="240" w:line="240" w:lineRule="auto"/>
      <w:ind w:left="284" w:hanging="284"/>
    </w:pPr>
    <w:rPr>
      <w:i/>
      <w:sz w:val="24"/>
    </w:rPr>
  </w:style>
  <w:style w:type="paragraph" w:customStyle="1" w:styleId="notemargin">
    <w:name w:val="note(margin)"/>
    <w:aliases w:val="nm"/>
    <w:basedOn w:val="OPCParaBase"/>
    <w:rsid w:val="00E367C1"/>
    <w:pPr>
      <w:tabs>
        <w:tab w:val="left" w:pos="709"/>
      </w:tabs>
      <w:spacing w:before="122" w:line="198" w:lineRule="exact"/>
      <w:ind w:left="709" w:hanging="709"/>
    </w:pPr>
    <w:rPr>
      <w:sz w:val="18"/>
    </w:rPr>
  </w:style>
  <w:style w:type="paragraph" w:customStyle="1" w:styleId="noteToPara">
    <w:name w:val="noteToPara"/>
    <w:aliases w:val="ntp"/>
    <w:basedOn w:val="OPCParaBase"/>
    <w:rsid w:val="00E367C1"/>
    <w:pPr>
      <w:spacing w:before="122" w:line="198" w:lineRule="exact"/>
      <w:ind w:left="2353" w:hanging="709"/>
    </w:pPr>
    <w:rPr>
      <w:sz w:val="18"/>
    </w:rPr>
  </w:style>
  <w:style w:type="paragraph" w:customStyle="1" w:styleId="noteParlAmend">
    <w:name w:val="note(ParlAmend)"/>
    <w:aliases w:val="npp"/>
    <w:basedOn w:val="OPCParaBase"/>
    <w:next w:val="ParlAmend"/>
    <w:rsid w:val="00E367C1"/>
    <w:pPr>
      <w:spacing w:line="240" w:lineRule="auto"/>
      <w:jc w:val="right"/>
    </w:pPr>
    <w:rPr>
      <w:rFonts w:ascii="Arial" w:hAnsi="Arial"/>
      <w:b/>
      <w:i/>
    </w:rPr>
  </w:style>
  <w:style w:type="paragraph" w:customStyle="1" w:styleId="Page1">
    <w:name w:val="Page1"/>
    <w:basedOn w:val="OPCParaBase"/>
    <w:rsid w:val="00E367C1"/>
    <w:pPr>
      <w:spacing w:before="5600" w:line="240" w:lineRule="auto"/>
    </w:pPr>
    <w:rPr>
      <w:b/>
      <w:sz w:val="32"/>
    </w:rPr>
  </w:style>
  <w:style w:type="paragraph" w:customStyle="1" w:styleId="PageBreak">
    <w:name w:val="PageBreak"/>
    <w:aliases w:val="pb"/>
    <w:basedOn w:val="OPCParaBase"/>
    <w:rsid w:val="00E367C1"/>
    <w:pPr>
      <w:spacing w:line="240" w:lineRule="auto"/>
    </w:pPr>
    <w:rPr>
      <w:sz w:val="20"/>
    </w:rPr>
  </w:style>
  <w:style w:type="paragraph" w:customStyle="1" w:styleId="paragraphsub">
    <w:name w:val="paragraph(sub)"/>
    <w:aliases w:val="aa"/>
    <w:basedOn w:val="OPCParaBase"/>
    <w:rsid w:val="00E367C1"/>
    <w:pPr>
      <w:tabs>
        <w:tab w:val="right" w:pos="1985"/>
      </w:tabs>
      <w:spacing w:before="40" w:line="240" w:lineRule="auto"/>
      <w:ind w:left="2098" w:hanging="2098"/>
    </w:pPr>
  </w:style>
  <w:style w:type="paragraph" w:customStyle="1" w:styleId="paragraphsub-sub">
    <w:name w:val="paragraph(sub-sub)"/>
    <w:aliases w:val="aaa"/>
    <w:basedOn w:val="OPCParaBase"/>
    <w:rsid w:val="00E367C1"/>
    <w:pPr>
      <w:tabs>
        <w:tab w:val="right" w:pos="2722"/>
      </w:tabs>
      <w:spacing w:before="40" w:line="240" w:lineRule="auto"/>
      <w:ind w:left="2835" w:hanging="2835"/>
    </w:pPr>
  </w:style>
  <w:style w:type="paragraph" w:customStyle="1" w:styleId="paragraph">
    <w:name w:val="paragraph"/>
    <w:aliases w:val="a"/>
    <w:basedOn w:val="OPCParaBase"/>
    <w:link w:val="paragraphChar"/>
    <w:rsid w:val="00E367C1"/>
    <w:pPr>
      <w:tabs>
        <w:tab w:val="right" w:pos="1531"/>
      </w:tabs>
      <w:spacing w:before="40" w:line="240" w:lineRule="auto"/>
      <w:ind w:left="1644" w:hanging="1644"/>
    </w:pPr>
  </w:style>
  <w:style w:type="paragraph" w:customStyle="1" w:styleId="ParlAmend">
    <w:name w:val="ParlAmend"/>
    <w:aliases w:val="pp"/>
    <w:basedOn w:val="OPCParaBase"/>
    <w:rsid w:val="00E367C1"/>
    <w:pPr>
      <w:spacing w:before="240" w:line="240" w:lineRule="atLeast"/>
      <w:ind w:hanging="567"/>
    </w:pPr>
    <w:rPr>
      <w:sz w:val="24"/>
    </w:rPr>
  </w:style>
  <w:style w:type="paragraph" w:customStyle="1" w:styleId="Penalty">
    <w:name w:val="Penalty"/>
    <w:basedOn w:val="OPCParaBase"/>
    <w:rsid w:val="00E367C1"/>
    <w:pPr>
      <w:tabs>
        <w:tab w:val="left" w:pos="2977"/>
      </w:tabs>
      <w:spacing w:before="180" w:line="240" w:lineRule="auto"/>
      <w:ind w:left="1985" w:hanging="851"/>
    </w:pPr>
  </w:style>
  <w:style w:type="paragraph" w:customStyle="1" w:styleId="Portfolio">
    <w:name w:val="Portfolio"/>
    <w:basedOn w:val="OPCParaBase"/>
    <w:rsid w:val="00E367C1"/>
    <w:pPr>
      <w:spacing w:line="240" w:lineRule="auto"/>
    </w:pPr>
    <w:rPr>
      <w:i/>
      <w:sz w:val="20"/>
    </w:rPr>
  </w:style>
  <w:style w:type="paragraph" w:customStyle="1" w:styleId="Preamble">
    <w:name w:val="Preamble"/>
    <w:basedOn w:val="OPCParaBase"/>
    <w:next w:val="Normal"/>
    <w:rsid w:val="00E367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67C1"/>
    <w:pPr>
      <w:spacing w:line="240" w:lineRule="auto"/>
    </w:pPr>
    <w:rPr>
      <w:i/>
      <w:sz w:val="20"/>
    </w:rPr>
  </w:style>
  <w:style w:type="paragraph" w:customStyle="1" w:styleId="Session">
    <w:name w:val="Session"/>
    <w:basedOn w:val="OPCParaBase"/>
    <w:rsid w:val="00E367C1"/>
    <w:pPr>
      <w:spacing w:line="240" w:lineRule="auto"/>
    </w:pPr>
    <w:rPr>
      <w:sz w:val="28"/>
    </w:rPr>
  </w:style>
  <w:style w:type="paragraph" w:customStyle="1" w:styleId="Sponsor">
    <w:name w:val="Sponsor"/>
    <w:basedOn w:val="OPCParaBase"/>
    <w:rsid w:val="00E367C1"/>
    <w:pPr>
      <w:spacing w:line="240" w:lineRule="auto"/>
    </w:pPr>
    <w:rPr>
      <w:i/>
    </w:rPr>
  </w:style>
  <w:style w:type="paragraph" w:customStyle="1" w:styleId="Subitem">
    <w:name w:val="Subitem"/>
    <w:aliases w:val="iss"/>
    <w:basedOn w:val="OPCParaBase"/>
    <w:rsid w:val="00E367C1"/>
    <w:pPr>
      <w:spacing w:before="180" w:line="240" w:lineRule="auto"/>
      <w:ind w:left="709" w:hanging="709"/>
    </w:pPr>
  </w:style>
  <w:style w:type="paragraph" w:customStyle="1" w:styleId="SubitemHead">
    <w:name w:val="SubitemHead"/>
    <w:aliases w:val="issh"/>
    <w:basedOn w:val="OPCParaBase"/>
    <w:rsid w:val="00E367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67C1"/>
    <w:pPr>
      <w:spacing w:before="40" w:line="240" w:lineRule="auto"/>
      <w:ind w:left="1134"/>
    </w:pPr>
  </w:style>
  <w:style w:type="paragraph" w:customStyle="1" w:styleId="SubsectionHead">
    <w:name w:val="SubsectionHead"/>
    <w:aliases w:val="ssh"/>
    <w:basedOn w:val="OPCParaBase"/>
    <w:next w:val="subsection"/>
    <w:rsid w:val="00E367C1"/>
    <w:pPr>
      <w:keepNext/>
      <w:keepLines/>
      <w:spacing w:before="240" w:line="240" w:lineRule="auto"/>
      <w:ind w:left="1134"/>
    </w:pPr>
    <w:rPr>
      <w:i/>
    </w:rPr>
  </w:style>
  <w:style w:type="paragraph" w:customStyle="1" w:styleId="Tablea">
    <w:name w:val="Table(a)"/>
    <w:aliases w:val="ta"/>
    <w:basedOn w:val="OPCParaBase"/>
    <w:rsid w:val="00E367C1"/>
    <w:pPr>
      <w:spacing w:before="60" w:line="240" w:lineRule="auto"/>
      <w:ind w:left="284" w:hanging="284"/>
    </w:pPr>
    <w:rPr>
      <w:sz w:val="20"/>
    </w:rPr>
  </w:style>
  <w:style w:type="paragraph" w:customStyle="1" w:styleId="TableAA">
    <w:name w:val="Table(AA)"/>
    <w:aliases w:val="taaa"/>
    <w:basedOn w:val="OPCParaBase"/>
    <w:rsid w:val="00E367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67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67C1"/>
    <w:pPr>
      <w:spacing w:before="60" w:line="240" w:lineRule="atLeast"/>
    </w:pPr>
    <w:rPr>
      <w:sz w:val="20"/>
    </w:rPr>
  </w:style>
  <w:style w:type="paragraph" w:customStyle="1" w:styleId="TLPBoxTextnote">
    <w:name w:val="TLPBoxText(note"/>
    <w:aliases w:val="right)"/>
    <w:basedOn w:val="OPCParaBase"/>
    <w:rsid w:val="00E367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67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67C1"/>
    <w:pPr>
      <w:spacing w:before="122" w:line="198" w:lineRule="exact"/>
      <w:ind w:left="1985" w:hanging="851"/>
      <w:jc w:val="right"/>
    </w:pPr>
    <w:rPr>
      <w:sz w:val="18"/>
    </w:rPr>
  </w:style>
  <w:style w:type="paragraph" w:customStyle="1" w:styleId="TLPTableBullet">
    <w:name w:val="TLPTableBullet"/>
    <w:aliases w:val="ttb"/>
    <w:basedOn w:val="OPCParaBase"/>
    <w:rsid w:val="00E367C1"/>
    <w:pPr>
      <w:spacing w:line="240" w:lineRule="exact"/>
      <w:ind w:left="284" w:hanging="284"/>
    </w:pPr>
    <w:rPr>
      <w:sz w:val="20"/>
    </w:rPr>
  </w:style>
  <w:style w:type="paragraph" w:styleId="TOC1">
    <w:name w:val="toc 1"/>
    <w:basedOn w:val="Normal"/>
    <w:next w:val="Normal"/>
    <w:uiPriority w:val="39"/>
    <w:unhideWhenUsed/>
    <w:rsid w:val="00E367C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367C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367C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367C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367C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367C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367C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367C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367C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367C1"/>
    <w:pPr>
      <w:keepLines/>
      <w:spacing w:before="240" w:after="120" w:line="240" w:lineRule="auto"/>
      <w:ind w:left="794"/>
    </w:pPr>
    <w:rPr>
      <w:b/>
      <w:kern w:val="28"/>
      <w:sz w:val="20"/>
    </w:rPr>
  </w:style>
  <w:style w:type="paragraph" w:customStyle="1" w:styleId="TofSectsHeading">
    <w:name w:val="TofSects(Heading)"/>
    <w:basedOn w:val="OPCParaBase"/>
    <w:rsid w:val="00E367C1"/>
    <w:pPr>
      <w:spacing w:before="240" w:after="120" w:line="240" w:lineRule="auto"/>
    </w:pPr>
    <w:rPr>
      <w:b/>
      <w:sz w:val="24"/>
    </w:rPr>
  </w:style>
  <w:style w:type="paragraph" w:customStyle="1" w:styleId="TofSectsSection">
    <w:name w:val="TofSects(Section)"/>
    <w:basedOn w:val="OPCParaBase"/>
    <w:rsid w:val="00E367C1"/>
    <w:pPr>
      <w:keepLines/>
      <w:spacing w:before="40" w:line="240" w:lineRule="auto"/>
      <w:ind w:left="1588" w:hanging="794"/>
    </w:pPr>
    <w:rPr>
      <w:kern w:val="28"/>
      <w:sz w:val="18"/>
    </w:rPr>
  </w:style>
  <w:style w:type="paragraph" w:customStyle="1" w:styleId="TofSectsSubdiv">
    <w:name w:val="TofSects(Subdiv)"/>
    <w:basedOn w:val="OPCParaBase"/>
    <w:rsid w:val="00E367C1"/>
    <w:pPr>
      <w:keepLines/>
      <w:spacing w:before="80" w:line="240" w:lineRule="auto"/>
      <w:ind w:left="1588" w:hanging="794"/>
    </w:pPr>
    <w:rPr>
      <w:kern w:val="28"/>
    </w:rPr>
  </w:style>
  <w:style w:type="paragraph" w:customStyle="1" w:styleId="WRStyle">
    <w:name w:val="WR Style"/>
    <w:aliases w:val="WR"/>
    <w:basedOn w:val="OPCParaBase"/>
    <w:rsid w:val="00E367C1"/>
    <w:pPr>
      <w:spacing w:before="240" w:line="240" w:lineRule="auto"/>
      <w:ind w:left="284" w:hanging="284"/>
    </w:pPr>
    <w:rPr>
      <w:b/>
      <w:i/>
      <w:kern w:val="28"/>
      <w:sz w:val="24"/>
    </w:rPr>
  </w:style>
  <w:style w:type="paragraph" w:customStyle="1" w:styleId="notepara">
    <w:name w:val="note(para)"/>
    <w:aliases w:val="na"/>
    <w:basedOn w:val="OPCParaBase"/>
    <w:rsid w:val="00E367C1"/>
    <w:pPr>
      <w:spacing w:before="40" w:line="198" w:lineRule="exact"/>
      <w:ind w:left="2354" w:hanging="369"/>
    </w:pPr>
    <w:rPr>
      <w:sz w:val="18"/>
    </w:rPr>
  </w:style>
  <w:style w:type="paragraph" w:styleId="Footer">
    <w:name w:val="footer"/>
    <w:link w:val="FooterChar"/>
    <w:rsid w:val="00E367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67C1"/>
    <w:rPr>
      <w:rFonts w:eastAsia="Times New Roman" w:cs="Times New Roman"/>
      <w:sz w:val="22"/>
      <w:szCs w:val="24"/>
      <w:lang w:eastAsia="en-AU"/>
    </w:rPr>
  </w:style>
  <w:style w:type="character" w:styleId="LineNumber">
    <w:name w:val="line number"/>
    <w:basedOn w:val="OPCCharBase"/>
    <w:uiPriority w:val="99"/>
    <w:unhideWhenUsed/>
    <w:rsid w:val="00E367C1"/>
    <w:rPr>
      <w:sz w:val="16"/>
    </w:rPr>
  </w:style>
  <w:style w:type="table" w:customStyle="1" w:styleId="CFlag">
    <w:name w:val="CFlag"/>
    <w:basedOn w:val="TableNormal"/>
    <w:uiPriority w:val="99"/>
    <w:rsid w:val="00E367C1"/>
    <w:rPr>
      <w:rFonts w:eastAsia="Times New Roman" w:cs="Times New Roman"/>
      <w:lang w:eastAsia="en-AU"/>
    </w:rPr>
    <w:tblPr/>
  </w:style>
  <w:style w:type="paragraph" w:styleId="BalloonText">
    <w:name w:val="Balloon Text"/>
    <w:basedOn w:val="Normal"/>
    <w:link w:val="BalloonTextChar"/>
    <w:uiPriority w:val="99"/>
    <w:unhideWhenUsed/>
    <w:rsid w:val="00E36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67C1"/>
    <w:rPr>
      <w:rFonts w:ascii="Tahoma" w:hAnsi="Tahoma" w:cs="Tahoma"/>
      <w:sz w:val="16"/>
      <w:szCs w:val="16"/>
    </w:rPr>
  </w:style>
  <w:style w:type="table" w:styleId="TableGrid">
    <w:name w:val="Table Grid"/>
    <w:basedOn w:val="TableNormal"/>
    <w:uiPriority w:val="59"/>
    <w:rsid w:val="00E36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67C1"/>
    <w:rPr>
      <w:b/>
      <w:sz w:val="28"/>
      <w:szCs w:val="32"/>
    </w:rPr>
  </w:style>
  <w:style w:type="paragraph" w:customStyle="1" w:styleId="LegislationMadeUnder">
    <w:name w:val="LegislationMadeUnder"/>
    <w:basedOn w:val="OPCParaBase"/>
    <w:next w:val="Normal"/>
    <w:rsid w:val="00E367C1"/>
    <w:rPr>
      <w:i/>
      <w:sz w:val="32"/>
      <w:szCs w:val="32"/>
    </w:rPr>
  </w:style>
  <w:style w:type="paragraph" w:customStyle="1" w:styleId="SignCoverPageEnd">
    <w:name w:val="SignCoverPageEnd"/>
    <w:basedOn w:val="OPCParaBase"/>
    <w:next w:val="Normal"/>
    <w:rsid w:val="00E367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67C1"/>
    <w:pPr>
      <w:pBdr>
        <w:top w:val="single" w:sz="4" w:space="1" w:color="auto"/>
      </w:pBdr>
      <w:spacing w:before="360"/>
      <w:ind w:right="397"/>
      <w:jc w:val="both"/>
    </w:pPr>
  </w:style>
  <w:style w:type="paragraph" w:customStyle="1" w:styleId="NotesHeading1">
    <w:name w:val="NotesHeading 1"/>
    <w:basedOn w:val="OPCParaBase"/>
    <w:next w:val="Normal"/>
    <w:rsid w:val="00E367C1"/>
    <w:rPr>
      <w:b/>
      <w:sz w:val="28"/>
      <w:szCs w:val="28"/>
    </w:rPr>
  </w:style>
  <w:style w:type="paragraph" w:customStyle="1" w:styleId="NotesHeading2">
    <w:name w:val="NotesHeading 2"/>
    <w:basedOn w:val="OPCParaBase"/>
    <w:next w:val="Normal"/>
    <w:rsid w:val="00E367C1"/>
    <w:rPr>
      <w:b/>
      <w:sz w:val="28"/>
      <w:szCs w:val="28"/>
    </w:rPr>
  </w:style>
  <w:style w:type="paragraph" w:customStyle="1" w:styleId="ENotesText">
    <w:name w:val="ENotesText"/>
    <w:aliases w:val="Ent"/>
    <w:basedOn w:val="OPCParaBase"/>
    <w:next w:val="Normal"/>
    <w:rsid w:val="00E367C1"/>
    <w:pPr>
      <w:spacing w:before="120"/>
    </w:pPr>
  </w:style>
  <w:style w:type="paragraph" w:customStyle="1" w:styleId="CompiledActNo">
    <w:name w:val="CompiledActNo"/>
    <w:basedOn w:val="OPCParaBase"/>
    <w:next w:val="Normal"/>
    <w:rsid w:val="00E367C1"/>
    <w:rPr>
      <w:b/>
      <w:sz w:val="24"/>
      <w:szCs w:val="24"/>
    </w:rPr>
  </w:style>
  <w:style w:type="paragraph" w:customStyle="1" w:styleId="CompiledMadeUnder">
    <w:name w:val="CompiledMadeUnder"/>
    <w:basedOn w:val="OPCParaBase"/>
    <w:next w:val="Normal"/>
    <w:rsid w:val="00E367C1"/>
    <w:rPr>
      <w:i/>
      <w:sz w:val="24"/>
      <w:szCs w:val="24"/>
    </w:rPr>
  </w:style>
  <w:style w:type="paragraph" w:customStyle="1" w:styleId="Paragraphsub-sub-sub">
    <w:name w:val="Paragraph(sub-sub-sub)"/>
    <w:aliases w:val="aaaa"/>
    <w:basedOn w:val="OPCParaBase"/>
    <w:rsid w:val="00E367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67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67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67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67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67C1"/>
    <w:pPr>
      <w:spacing w:before="60" w:line="240" w:lineRule="auto"/>
    </w:pPr>
    <w:rPr>
      <w:rFonts w:cs="Arial"/>
      <w:sz w:val="20"/>
      <w:szCs w:val="22"/>
    </w:rPr>
  </w:style>
  <w:style w:type="paragraph" w:customStyle="1" w:styleId="NoteToSubpara">
    <w:name w:val="NoteToSubpara"/>
    <w:aliases w:val="nts"/>
    <w:basedOn w:val="OPCParaBase"/>
    <w:rsid w:val="00E367C1"/>
    <w:pPr>
      <w:spacing w:before="40" w:line="198" w:lineRule="exact"/>
      <w:ind w:left="2835" w:hanging="709"/>
    </w:pPr>
    <w:rPr>
      <w:sz w:val="18"/>
    </w:rPr>
  </w:style>
  <w:style w:type="paragraph" w:customStyle="1" w:styleId="ENoteTableHeading">
    <w:name w:val="ENoteTableHeading"/>
    <w:aliases w:val="enth"/>
    <w:basedOn w:val="OPCParaBase"/>
    <w:rsid w:val="00E367C1"/>
    <w:pPr>
      <w:keepNext/>
      <w:spacing w:before="60" w:line="240" w:lineRule="atLeast"/>
    </w:pPr>
    <w:rPr>
      <w:rFonts w:ascii="Arial" w:hAnsi="Arial"/>
      <w:b/>
      <w:sz w:val="16"/>
    </w:rPr>
  </w:style>
  <w:style w:type="paragraph" w:customStyle="1" w:styleId="ENoteTTi">
    <w:name w:val="ENoteTTi"/>
    <w:aliases w:val="entti"/>
    <w:basedOn w:val="OPCParaBase"/>
    <w:rsid w:val="00E367C1"/>
    <w:pPr>
      <w:keepNext/>
      <w:spacing w:before="60" w:line="240" w:lineRule="atLeast"/>
      <w:ind w:left="170"/>
    </w:pPr>
    <w:rPr>
      <w:sz w:val="16"/>
    </w:rPr>
  </w:style>
  <w:style w:type="paragraph" w:customStyle="1" w:styleId="ENotesHeading1">
    <w:name w:val="ENotesHeading 1"/>
    <w:aliases w:val="Enh1"/>
    <w:basedOn w:val="OPCParaBase"/>
    <w:next w:val="Normal"/>
    <w:rsid w:val="00E367C1"/>
    <w:pPr>
      <w:spacing w:before="120"/>
      <w:outlineLvl w:val="1"/>
    </w:pPr>
    <w:rPr>
      <w:b/>
      <w:sz w:val="28"/>
      <w:szCs w:val="28"/>
    </w:rPr>
  </w:style>
  <w:style w:type="paragraph" w:customStyle="1" w:styleId="ENotesHeading2">
    <w:name w:val="ENotesHeading 2"/>
    <w:aliases w:val="Enh2"/>
    <w:basedOn w:val="OPCParaBase"/>
    <w:next w:val="Normal"/>
    <w:rsid w:val="00E367C1"/>
    <w:pPr>
      <w:spacing w:before="120" w:after="120"/>
      <w:outlineLvl w:val="2"/>
    </w:pPr>
    <w:rPr>
      <w:b/>
      <w:sz w:val="24"/>
      <w:szCs w:val="28"/>
    </w:rPr>
  </w:style>
  <w:style w:type="paragraph" w:customStyle="1" w:styleId="ENoteTTIndentHeading">
    <w:name w:val="ENoteTTIndentHeading"/>
    <w:aliases w:val="enTTHi"/>
    <w:basedOn w:val="OPCParaBase"/>
    <w:rsid w:val="00E367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67C1"/>
    <w:pPr>
      <w:spacing w:before="60" w:line="240" w:lineRule="atLeast"/>
    </w:pPr>
    <w:rPr>
      <w:sz w:val="16"/>
    </w:rPr>
  </w:style>
  <w:style w:type="paragraph" w:customStyle="1" w:styleId="MadeunderText">
    <w:name w:val="MadeunderText"/>
    <w:basedOn w:val="OPCParaBase"/>
    <w:next w:val="Normal"/>
    <w:rsid w:val="00E367C1"/>
    <w:pPr>
      <w:spacing w:before="240"/>
    </w:pPr>
    <w:rPr>
      <w:sz w:val="24"/>
      <w:szCs w:val="24"/>
    </w:rPr>
  </w:style>
  <w:style w:type="paragraph" w:customStyle="1" w:styleId="ENotesHeading3">
    <w:name w:val="ENotesHeading 3"/>
    <w:aliases w:val="Enh3"/>
    <w:basedOn w:val="OPCParaBase"/>
    <w:next w:val="Normal"/>
    <w:rsid w:val="00E367C1"/>
    <w:pPr>
      <w:keepNext/>
      <w:spacing w:before="120" w:line="240" w:lineRule="auto"/>
      <w:outlineLvl w:val="4"/>
    </w:pPr>
    <w:rPr>
      <w:b/>
      <w:szCs w:val="24"/>
    </w:rPr>
  </w:style>
  <w:style w:type="character" w:customStyle="1" w:styleId="CharSubPartTextCASA">
    <w:name w:val="CharSubPartText(CASA)"/>
    <w:basedOn w:val="OPCCharBase"/>
    <w:uiPriority w:val="1"/>
    <w:rsid w:val="00E367C1"/>
  </w:style>
  <w:style w:type="character" w:customStyle="1" w:styleId="CharSubPartNoCASA">
    <w:name w:val="CharSubPartNo(CASA)"/>
    <w:basedOn w:val="OPCCharBase"/>
    <w:uiPriority w:val="1"/>
    <w:rsid w:val="00E367C1"/>
  </w:style>
  <w:style w:type="paragraph" w:customStyle="1" w:styleId="ENoteTTIndentHeadingSub">
    <w:name w:val="ENoteTTIndentHeadingSub"/>
    <w:aliases w:val="enTTHis"/>
    <w:basedOn w:val="OPCParaBase"/>
    <w:rsid w:val="00E367C1"/>
    <w:pPr>
      <w:keepNext/>
      <w:spacing w:before="60" w:line="240" w:lineRule="atLeast"/>
      <w:ind w:left="340"/>
    </w:pPr>
    <w:rPr>
      <w:b/>
      <w:sz w:val="16"/>
    </w:rPr>
  </w:style>
  <w:style w:type="paragraph" w:customStyle="1" w:styleId="ENoteTTiSub">
    <w:name w:val="ENoteTTiSub"/>
    <w:aliases w:val="enttis"/>
    <w:basedOn w:val="OPCParaBase"/>
    <w:rsid w:val="00E367C1"/>
    <w:pPr>
      <w:keepNext/>
      <w:spacing w:before="60" w:line="240" w:lineRule="atLeast"/>
      <w:ind w:left="340"/>
    </w:pPr>
    <w:rPr>
      <w:sz w:val="16"/>
    </w:rPr>
  </w:style>
  <w:style w:type="paragraph" w:customStyle="1" w:styleId="SubDivisionMigration">
    <w:name w:val="SubDivisionMigration"/>
    <w:aliases w:val="sdm"/>
    <w:basedOn w:val="OPCParaBase"/>
    <w:rsid w:val="00E367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67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367C1"/>
    <w:pPr>
      <w:spacing w:before="122" w:line="240" w:lineRule="auto"/>
      <w:ind w:left="1985" w:hanging="851"/>
    </w:pPr>
    <w:rPr>
      <w:sz w:val="18"/>
    </w:rPr>
  </w:style>
  <w:style w:type="paragraph" w:customStyle="1" w:styleId="FreeForm">
    <w:name w:val="FreeForm"/>
    <w:rsid w:val="0005350F"/>
    <w:rPr>
      <w:rFonts w:ascii="Arial" w:hAnsi="Arial"/>
      <w:sz w:val="22"/>
    </w:rPr>
  </w:style>
  <w:style w:type="paragraph" w:customStyle="1" w:styleId="SOText">
    <w:name w:val="SO Text"/>
    <w:aliases w:val="sot"/>
    <w:link w:val="SOTextChar"/>
    <w:rsid w:val="00E367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67C1"/>
    <w:rPr>
      <w:sz w:val="22"/>
    </w:rPr>
  </w:style>
  <w:style w:type="paragraph" w:customStyle="1" w:styleId="SOTextNote">
    <w:name w:val="SO TextNote"/>
    <w:aliases w:val="sont"/>
    <w:basedOn w:val="SOText"/>
    <w:qFormat/>
    <w:rsid w:val="00E367C1"/>
    <w:pPr>
      <w:spacing w:before="122" w:line="198" w:lineRule="exact"/>
      <w:ind w:left="1843" w:hanging="709"/>
    </w:pPr>
    <w:rPr>
      <w:sz w:val="18"/>
    </w:rPr>
  </w:style>
  <w:style w:type="paragraph" w:customStyle="1" w:styleId="SOPara">
    <w:name w:val="SO Para"/>
    <w:aliases w:val="soa"/>
    <w:basedOn w:val="SOText"/>
    <w:link w:val="SOParaChar"/>
    <w:qFormat/>
    <w:rsid w:val="00E367C1"/>
    <w:pPr>
      <w:tabs>
        <w:tab w:val="right" w:pos="1786"/>
      </w:tabs>
      <w:spacing w:before="40"/>
      <w:ind w:left="2070" w:hanging="936"/>
    </w:pPr>
  </w:style>
  <w:style w:type="character" w:customStyle="1" w:styleId="SOParaChar">
    <w:name w:val="SO Para Char"/>
    <w:aliases w:val="soa Char"/>
    <w:basedOn w:val="DefaultParagraphFont"/>
    <w:link w:val="SOPara"/>
    <w:rsid w:val="00E367C1"/>
    <w:rPr>
      <w:sz w:val="22"/>
    </w:rPr>
  </w:style>
  <w:style w:type="paragraph" w:customStyle="1" w:styleId="FileName">
    <w:name w:val="FileName"/>
    <w:basedOn w:val="Normal"/>
    <w:rsid w:val="00E367C1"/>
  </w:style>
  <w:style w:type="paragraph" w:customStyle="1" w:styleId="TableHeading">
    <w:name w:val="TableHeading"/>
    <w:aliases w:val="th"/>
    <w:basedOn w:val="OPCParaBase"/>
    <w:next w:val="Tabletext"/>
    <w:rsid w:val="00E367C1"/>
    <w:pPr>
      <w:keepNext/>
      <w:spacing w:before="60" w:line="240" w:lineRule="atLeast"/>
    </w:pPr>
    <w:rPr>
      <w:b/>
      <w:sz w:val="20"/>
    </w:rPr>
  </w:style>
  <w:style w:type="paragraph" w:customStyle="1" w:styleId="SOHeadBold">
    <w:name w:val="SO HeadBold"/>
    <w:aliases w:val="sohb"/>
    <w:basedOn w:val="SOText"/>
    <w:next w:val="SOText"/>
    <w:link w:val="SOHeadBoldChar"/>
    <w:qFormat/>
    <w:rsid w:val="00E367C1"/>
    <w:rPr>
      <w:b/>
    </w:rPr>
  </w:style>
  <w:style w:type="character" w:customStyle="1" w:styleId="SOHeadBoldChar">
    <w:name w:val="SO HeadBold Char"/>
    <w:aliases w:val="sohb Char"/>
    <w:basedOn w:val="DefaultParagraphFont"/>
    <w:link w:val="SOHeadBold"/>
    <w:rsid w:val="00E367C1"/>
    <w:rPr>
      <w:b/>
      <w:sz w:val="22"/>
    </w:rPr>
  </w:style>
  <w:style w:type="paragraph" w:customStyle="1" w:styleId="SOHeadItalic">
    <w:name w:val="SO HeadItalic"/>
    <w:aliases w:val="sohi"/>
    <w:basedOn w:val="SOText"/>
    <w:next w:val="SOText"/>
    <w:link w:val="SOHeadItalicChar"/>
    <w:qFormat/>
    <w:rsid w:val="00E367C1"/>
    <w:rPr>
      <w:i/>
    </w:rPr>
  </w:style>
  <w:style w:type="character" w:customStyle="1" w:styleId="SOHeadItalicChar">
    <w:name w:val="SO HeadItalic Char"/>
    <w:aliases w:val="sohi Char"/>
    <w:basedOn w:val="DefaultParagraphFont"/>
    <w:link w:val="SOHeadItalic"/>
    <w:rsid w:val="00E367C1"/>
    <w:rPr>
      <w:i/>
      <w:sz w:val="22"/>
    </w:rPr>
  </w:style>
  <w:style w:type="paragraph" w:customStyle="1" w:styleId="SOBullet">
    <w:name w:val="SO Bullet"/>
    <w:aliases w:val="sotb"/>
    <w:basedOn w:val="SOText"/>
    <w:link w:val="SOBulletChar"/>
    <w:qFormat/>
    <w:rsid w:val="00E367C1"/>
    <w:pPr>
      <w:ind w:left="1559" w:hanging="425"/>
    </w:pPr>
  </w:style>
  <w:style w:type="character" w:customStyle="1" w:styleId="SOBulletChar">
    <w:name w:val="SO Bullet Char"/>
    <w:aliases w:val="sotb Char"/>
    <w:basedOn w:val="DefaultParagraphFont"/>
    <w:link w:val="SOBullet"/>
    <w:rsid w:val="00E367C1"/>
    <w:rPr>
      <w:sz w:val="22"/>
    </w:rPr>
  </w:style>
  <w:style w:type="paragraph" w:customStyle="1" w:styleId="SOBulletNote">
    <w:name w:val="SO BulletNote"/>
    <w:aliases w:val="sonb"/>
    <w:basedOn w:val="SOTextNote"/>
    <w:link w:val="SOBulletNoteChar"/>
    <w:qFormat/>
    <w:rsid w:val="00E367C1"/>
    <w:pPr>
      <w:tabs>
        <w:tab w:val="left" w:pos="1560"/>
      </w:tabs>
      <w:ind w:left="2268" w:hanging="1134"/>
    </w:pPr>
  </w:style>
  <w:style w:type="character" w:customStyle="1" w:styleId="SOBulletNoteChar">
    <w:name w:val="SO BulletNote Char"/>
    <w:aliases w:val="sonb Char"/>
    <w:basedOn w:val="DefaultParagraphFont"/>
    <w:link w:val="SOBulletNote"/>
    <w:rsid w:val="00E367C1"/>
    <w:rPr>
      <w:sz w:val="18"/>
    </w:rPr>
  </w:style>
  <w:style w:type="paragraph" w:customStyle="1" w:styleId="SOText2">
    <w:name w:val="SO Text2"/>
    <w:aliases w:val="sot2"/>
    <w:basedOn w:val="Normal"/>
    <w:next w:val="SOText"/>
    <w:link w:val="SOText2Char"/>
    <w:rsid w:val="00E367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67C1"/>
    <w:rPr>
      <w:sz w:val="22"/>
    </w:rPr>
  </w:style>
  <w:style w:type="paragraph" w:customStyle="1" w:styleId="SubPartCASA">
    <w:name w:val="SubPart(CASA)"/>
    <w:aliases w:val="csp"/>
    <w:basedOn w:val="OPCParaBase"/>
    <w:next w:val="ActHead3"/>
    <w:rsid w:val="00E367C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367C1"/>
    <w:rPr>
      <w:rFonts w:eastAsia="Times New Roman" w:cs="Times New Roman"/>
      <w:sz w:val="22"/>
      <w:lang w:eastAsia="en-AU"/>
    </w:rPr>
  </w:style>
  <w:style w:type="character" w:customStyle="1" w:styleId="notetextChar">
    <w:name w:val="note(text) Char"/>
    <w:aliases w:val="n Char"/>
    <w:basedOn w:val="DefaultParagraphFont"/>
    <w:link w:val="notetext"/>
    <w:rsid w:val="00E367C1"/>
    <w:rPr>
      <w:rFonts w:eastAsia="Times New Roman" w:cs="Times New Roman"/>
      <w:sz w:val="18"/>
      <w:lang w:eastAsia="en-AU"/>
    </w:rPr>
  </w:style>
  <w:style w:type="character" w:customStyle="1" w:styleId="Heading1Char">
    <w:name w:val="Heading 1 Char"/>
    <w:basedOn w:val="DefaultParagraphFont"/>
    <w:link w:val="Heading1"/>
    <w:uiPriority w:val="9"/>
    <w:rsid w:val="00E367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7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7C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367C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367C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367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367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367C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67C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367C1"/>
  </w:style>
  <w:style w:type="character" w:customStyle="1" w:styleId="charlegsubtitle1">
    <w:name w:val="charlegsubtitle1"/>
    <w:basedOn w:val="DefaultParagraphFont"/>
    <w:rsid w:val="00E367C1"/>
    <w:rPr>
      <w:rFonts w:ascii="Arial" w:hAnsi="Arial" w:cs="Arial" w:hint="default"/>
      <w:b/>
      <w:bCs/>
      <w:sz w:val="28"/>
      <w:szCs w:val="28"/>
    </w:rPr>
  </w:style>
  <w:style w:type="paragraph" w:styleId="Index1">
    <w:name w:val="index 1"/>
    <w:basedOn w:val="Normal"/>
    <w:next w:val="Normal"/>
    <w:autoRedefine/>
    <w:rsid w:val="00E367C1"/>
    <w:pPr>
      <w:ind w:left="240" w:hanging="240"/>
    </w:pPr>
  </w:style>
  <w:style w:type="paragraph" w:styleId="Index2">
    <w:name w:val="index 2"/>
    <w:basedOn w:val="Normal"/>
    <w:next w:val="Normal"/>
    <w:autoRedefine/>
    <w:rsid w:val="00E367C1"/>
    <w:pPr>
      <w:ind w:left="480" w:hanging="240"/>
    </w:pPr>
  </w:style>
  <w:style w:type="paragraph" w:styleId="Index3">
    <w:name w:val="index 3"/>
    <w:basedOn w:val="Normal"/>
    <w:next w:val="Normal"/>
    <w:autoRedefine/>
    <w:rsid w:val="00E367C1"/>
    <w:pPr>
      <w:ind w:left="720" w:hanging="240"/>
    </w:pPr>
  </w:style>
  <w:style w:type="paragraph" w:styleId="Index4">
    <w:name w:val="index 4"/>
    <w:basedOn w:val="Normal"/>
    <w:next w:val="Normal"/>
    <w:autoRedefine/>
    <w:rsid w:val="00E367C1"/>
    <w:pPr>
      <w:ind w:left="960" w:hanging="240"/>
    </w:pPr>
  </w:style>
  <w:style w:type="paragraph" w:styleId="Index5">
    <w:name w:val="index 5"/>
    <w:basedOn w:val="Normal"/>
    <w:next w:val="Normal"/>
    <w:autoRedefine/>
    <w:rsid w:val="00E367C1"/>
    <w:pPr>
      <w:ind w:left="1200" w:hanging="240"/>
    </w:pPr>
  </w:style>
  <w:style w:type="paragraph" w:styleId="Index6">
    <w:name w:val="index 6"/>
    <w:basedOn w:val="Normal"/>
    <w:next w:val="Normal"/>
    <w:autoRedefine/>
    <w:rsid w:val="00E367C1"/>
    <w:pPr>
      <w:ind w:left="1440" w:hanging="240"/>
    </w:pPr>
  </w:style>
  <w:style w:type="paragraph" w:styleId="Index7">
    <w:name w:val="index 7"/>
    <w:basedOn w:val="Normal"/>
    <w:next w:val="Normal"/>
    <w:autoRedefine/>
    <w:rsid w:val="00E367C1"/>
    <w:pPr>
      <w:ind w:left="1680" w:hanging="240"/>
    </w:pPr>
  </w:style>
  <w:style w:type="paragraph" w:styleId="Index8">
    <w:name w:val="index 8"/>
    <w:basedOn w:val="Normal"/>
    <w:next w:val="Normal"/>
    <w:autoRedefine/>
    <w:rsid w:val="00E367C1"/>
    <w:pPr>
      <w:ind w:left="1920" w:hanging="240"/>
    </w:pPr>
  </w:style>
  <w:style w:type="paragraph" w:styleId="Index9">
    <w:name w:val="index 9"/>
    <w:basedOn w:val="Normal"/>
    <w:next w:val="Normal"/>
    <w:autoRedefine/>
    <w:rsid w:val="00E367C1"/>
    <w:pPr>
      <w:ind w:left="2160" w:hanging="240"/>
    </w:pPr>
  </w:style>
  <w:style w:type="paragraph" w:styleId="NormalIndent">
    <w:name w:val="Normal Indent"/>
    <w:basedOn w:val="Normal"/>
    <w:rsid w:val="00E367C1"/>
    <w:pPr>
      <w:ind w:left="720"/>
    </w:pPr>
  </w:style>
  <w:style w:type="paragraph" w:styleId="FootnoteText">
    <w:name w:val="footnote text"/>
    <w:basedOn w:val="Normal"/>
    <w:link w:val="FootnoteTextChar"/>
    <w:rsid w:val="00E367C1"/>
    <w:rPr>
      <w:sz w:val="20"/>
    </w:rPr>
  </w:style>
  <w:style w:type="character" w:customStyle="1" w:styleId="FootnoteTextChar">
    <w:name w:val="Footnote Text Char"/>
    <w:basedOn w:val="DefaultParagraphFont"/>
    <w:link w:val="FootnoteText"/>
    <w:rsid w:val="00E367C1"/>
  </w:style>
  <w:style w:type="paragraph" w:styleId="CommentText">
    <w:name w:val="annotation text"/>
    <w:basedOn w:val="Normal"/>
    <w:link w:val="CommentTextChar"/>
    <w:rsid w:val="00E367C1"/>
    <w:rPr>
      <w:sz w:val="20"/>
    </w:rPr>
  </w:style>
  <w:style w:type="character" w:customStyle="1" w:styleId="CommentTextChar">
    <w:name w:val="Comment Text Char"/>
    <w:basedOn w:val="DefaultParagraphFont"/>
    <w:link w:val="CommentText"/>
    <w:rsid w:val="00E367C1"/>
  </w:style>
  <w:style w:type="paragraph" w:styleId="IndexHeading">
    <w:name w:val="index heading"/>
    <w:basedOn w:val="Normal"/>
    <w:next w:val="Index1"/>
    <w:rsid w:val="00E367C1"/>
    <w:rPr>
      <w:rFonts w:ascii="Arial" w:hAnsi="Arial" w:cs="Arial"/>
      <w:b/>
      <w:bCs/>
    </w:rPr>
  </w:style>
  <w:style w:type="paragraph" w:styleId="Caption">
    <w:name w:val="caption"/>
    <w:basedOn w:val="Normal"/>
    <w:next w:val="Normal"/>
    <w:qFormat/>
    <w:rsid w:val="00E367C1"/>
    <w:pPr>
      <w:spacing w:before="120" w:after="120"/>
    </w:pPr>
    <w:rPr>
      <w:b/>
      <w:bCs/>
      <w:sz w:val="20"/>
    </w:rPr>
  </w:style>
  <w:style w:type="paragraph" w:styleId="TableofFigures">
    <w:name w:val="table of figures"/>
    <w:basedOn w:val="Normal"/>
    <w:next w:val="Normal"/>
    <w:rsid w:val="00E367C1"/>
    <w:pPr>
      <w:ind w:left="480" w:hanging="480"/>
    </w:pPr>
  </w:style>
  <w:style w:type="paragraph" w:styleId="EnvelopeAddress">
    <w:name w:val="envelope address"/>
    <w:basedOn w:val="Normal"/>
    <w:rsid w:val="00E367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7C1"/>
    <w:rPr>
      <w:rFonts w:ascii="Arial" w:hAnsi="Arial" w:cs="Arial"/>
      <w:sz w:val="20"/>
    </w:rPr>
  </w:style>
  <w:style w:type="character" w:styleId="FootnoteReference">
    <w:name w:val="footnote reference"/>
    <w:basedOn w:val="DefaultParagraphFont"/>
    <w:rsid w:val="00E367C1"/>
    <w:rPr>
      <w:rFonts w:ascii="Times New Roman" w:hAnsi="Times New Roman"/>
      <w:sz w:val="20"/>
      <w:vertAlign w:val="superscript"/>
    </w:rPr>
  </w:style>
  <w:style w:type="character" w:styleId="CommentReference">
    <w:name w:val="annotation reference"/>
    <w:basedOn w:val="DefaultParagraphFont"/>
    <w:rsid w:val="00E367C1"/>
    <w:rPr>
      <w:sz w:val="16"/>
      <w:szCs w:val="16"/>
    </w:rPr>
  </w:style>
  <w:style w:type="character" w:styleId="PageNumber">
    <w:name w:val="page number"/>
    <w:basedOn w:val="DefaultParagraphFont"/>
    <w:rsid w:val="00E367C1"/>
  </w:style>
  <w:style w:type="character" w:styleId="EndnoteReference">
    <w:name w:val="endnote reference"/>
    <w:basedOn w:val="DefaultParagraphFont"/>
    <w:rsid w:val="00E367C1"/>
    <w:rPr>
      <w:vertAlign w:val="superscript"/>
    </w:rPr>
  </w:style>
  <w:style w:type="paragraph" w:styleId="EndnoteText">
    <w:name w:val="endnote text"/>
    <w:basedOn w:val="Normal"/>
    <w:link w:val="EndnoteTextChar"/>
    <w:rsid w:val="00E367C1"/>
    <w:rPr>
      <w:sz w:val="20"/>
    </w:rPr>
  </w:style>
  <w:style w:type="character" w:customStyle="1" w:styleId="EndnoteTextChar">
    <w:name w:val="Endnote Text Char"/>
    <w:basedOn w:val="DefaultParagraphFont"/>
    <w:link w:val="EndnoteText"/>
    <w:rsid w:val="00E367C1"/>
  </w:style>
  <w:style w:type="paragraph" w:styleId="TableofAuthorities">
    <w:name w:val="table of authorities"/>
    <w:basedOn w:val="Normal"/>
    <w:next w:val="Normal"/>
    <w:rsid w:val="00E367C1"/>
    <w:pPr>
      <w:ind w:left="240" w:hanging="240"/>
    </w:pPr>
  </w:style>
  <w:style w:type="paragraph" w:styleId="MacroText">
    <w:name w:val="macro"/>
    <w:link w:val="MacroTextChar"/>
    <w:rsid w:val="00E367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367C1"/>
    <w:rPr>
      <w:rFonts w:ascii="Courier New" w:eastAsia="Times New Roman" w:hAnsi="Courier New" w:cs="Courier New"/>
      <w:lang w:eastAsia="en-AU"/>
    </w:rPr>
  </w:style>
  <w:style w:type="paragraph" w:styleId="TOAHeading">
    <w:name w:val="toa heading"/>
    <w:basedOn w:val="Normal"/>
    <w:next w:val="Normal"/>
    <w:rsid w:val="00E367C1"/>
    <w:pPr>
      <w:spacing w:before="120"/>
    </w:pPr>
    <w:rPr>
      <w:rFonts w:ascii="Arial" w:hAnsi="Arial" w:cs="Arial"/>
      <w:b/>
      <w:bCs/>
    </w:rPr>
  </w:style>
  <w:style w:type="paragraph" w:styleId="List">
    <w:name w:val="List"/>
    <w:basedOn w:val="Normal"/>
    <w:rsid w:val="00E367C1"/>
    <w:pPr>
      <w:ind w:left="283" w:hanging="283"/>
    </w:pPr>
  </w:style>
  <w:style w:type="paragraph" w:styleId="ListBullet">
    <w:name w:val="List Bullet"/>
    <w:basedOn w:val="Normal"/>
    <w:autoRedefine/>
    <w:rsid w:val="00E367C1"/>
    <w:pPr>
      <w:tabs>
        <w:tab w:val="num" w:pos="360"/>
      </w:tabs>
      <w:ind w:left="360" w:hanging="360"/>
    </w:pPr>
  </w:style>
  <w:style w:type="paragraph" w:styleId="ListNumber">
    <w:name w:val="List Number"/>
    <w:basedOn w:val="Normal"/>
    <w:rsid w:val="00E367C1"/>
    <w:pPr>
      <w:tabs>
        <w:tab w:val="num" w:pos="360"/>
      </w:tabs>
      <w:ind w:left="360" w:hanging="360"/>
    </w:pPr>
  </w:style>
  <w:style w:type="paragraph" w:styleId="List2">
    <w:name w:val="List 2"/>
    <w:basedOn w:val="Normal"/>
    <w:rsid w:val="00E367C1"/>
    <w:pPr>
      <w:ind w:left="566" w:hanging="283"/>
    </w:pPr>
  </w:style>
  <w:style w:type="paragraph" w:styleId="List3">
    <w:name w:val="List 3"/>
    <w:basedOn w:val="Normal"/>
    <w:rsid w:val="00E367C1"/>
    <w:pPr>
      <w:ind w:left="849" w:hanging="283"/>
    </w:pPr>
  </w:style>
  <w:style w:type="paragraph" w:styleId="List4">
    <w:name w:val="List 4"/>
    <w:basedOn w:val="Normal"/>
    <w:rsid w:val="00E367C1"/>
    <w:pPr>
      <w:ind w:left="1132" w:hanging="283"/>
    </w:pPr>
  </w:style>
  <w:style w:type="paragraph" w:styleId="List5">
    <w:name w:val="List 5"/>
    <w:basedOn w:val="Normal"/>
    <w:rsid w:val="00E367C1"/>
    <w:pPr>
      <w:ind w:left="1415" w:hanging="283"/>
    </w:pPr>
  </w:style>
  <w:style w:type="paragraph" w:styleId="ListBullet2">
    <w:name w:val="List Bullet 2"/>
    <w:basedOn w:val="Normal"/>
    <w:autoRedefine/>
    <w:rsid w:val="00E367C1"/>
    <w:pPr>
      <w:tabs>
        <w:tab w:val="num" w:pos="360"/>
      </w:tabs>
    </w:pPr>
  </w:style>
  <w:style w:type="paragraph" w:styleId="ListBullet3">
    <w:name w:val="List Bullet 3"/>
    <w:basedOn w:val="Normal"/>
    <w:autoRedefine/>
    <w:rsid w:val="00E367C1"/>
    <w:pPr>
      <w:tabs>
        <w:tab w:val="num" w:pos="926"/>
      </w:tabs>
      <w:ind w:left="926" w:hanging="360"/>
    </w:pPr>
  </w:style>
  <w:style w:type="paragraph" w:styleId="ListBullet4">
    <w:name w:val="List Bullet 4"/>
    <w:basedOn w:val="Normal"/>
    <w:autoRedefine/>
    <w:rsid w:val="00E367C1"/>
    <w:pPr>
      <w:tabs>
        <w:tab w:val="num" w:pos="1209"/>
      </w:tabs>
      <w:ind w:left="1209" w:hanging="360"/>
    </w:pPr>
  </w:style>
  <w:style w:type="paragraph" w:styleId="ListBullet5">
    <w:name w:val="List Bullet 5"/>
    <w:basedOn w:val="Normal"/>
    <w:autoRedefine/>
    <w:rsid w:val="00E367C1"/>
    <w:pPr>
      <w:tabs>
        <w:tab w:val="num" w:pos="1492"/>
      </w:tabs>
      <w:ind w:left="1492" w:hanging="360"/>
    </w:pPr>
  </w:style>
  <w:style w:type="paragraph" w:styleId="ListNumber2">
    <w:name w:val="List Number 2"/>
    <w:basedOn w:val="Normal"/>
    <w:rsid w:val="00E367C1"/>
    <w:pPr>
      <w:tabs>
        <w:tab w:val="num" w:pos="643"/>
      </w:tabs>
      <w:ind w:left="643" w:hanging="360"/>
    </w:pPr>
  </w:style>
  <w:style w:type="paragraph" w:styleId="ListNumber3">
    <w:name w:val="List Number 3"/>
    <w:basedOn w:val="Normal"/>
    <w:rsid w:val="00E367C1"/>
    <w:pPr>
      <w:tabs>
        <w:tab w:val="num" w:pos="926"/>
      </w:tabs>
      <w:ind w:left="926" w:hanging="360"/>
    </w:pPr>
  </w:style>
  <w:style w:type="paragraph" w:styleId="ListNumber4">
    <w:name w:val="List Number 4"/>
    <w:basedOn w:val="Normal"/>
    <w:rsid w:val="00E367C1"/>
    <w:pPr>
      <w:tabs>
        <w:tab w:val="num" w:pos="1209"/>
      </w:tabs>
      <w:ind w:left="1209" w:hanging="360"/>
    </w:pPr>
  </w:style>
  <w:style w:type="paragraph" w:styleId="ListNumber5">
    <w:name w:val="List Number 5"/>
    <w:basedOn w:val="Normal"/>
    <w:rsid w:val="00E367C1"/>
    <w:pPr>
      <w:tabs>
        <w:tab w:val="num" w:pos="1492"/>
      </w:tabs>
      <w:ind w:left="1492" w:hanging="360"/>
    </w:pPr>
  </w:style>
  <w:style w:type="paragraph" w:styleId="Title">
    <w:name w:val="Title"/>
    <w:basedOn w:val="Normal"/>
    <w:link w:val="TitleChar"/>
    <w:qFormat/>
    <w:rsid w:val="00E367C1"/>
    <w:pPr>
      <w:spacing w:before="240" w:after="60"/>
    </w:pPr>
    <w:rPr>
      <w:rFonts w:ascii="Arial" w:hAnsi="Arial" w:cs="Arial"/>
      <w:b/>
      <w:bCs/>
      <w:sz w:val="40"/>
      <w:szCs w:val="40"/>
    </w:rPr>
  </w:style>
  <w:style w:type="character" w:customStyle="1" w:styleId="TitleChar">
    <w:name w:val="Title Char"/>
    <w:basedOn w:val="DefaultParagraphFont"/>
    <w:link w:val="Title"/>
    <w:rsid w:val="00E367C1"/>
    <w:rPr>
      <w:rFonts w:ascii="Arial" w:hAnsi="Arial" w:cs="Arial"/>
      <w:b/>
      <w:bCs/>
      <w:sz w:val="40"/>
      <w:szCs w:val="40"/>
    </w:rPr>
  </w:style>
  <w:style w:type="paragraph" w:styleId="Closing">
    <w:name w:val="Closing"/>
    <w:basedOn w:val="Normal"/>
    <w:link w:val="ClosingChar"/>
    <w:rsid w:val="00E367C1"/>
    <w:pPr>
      <w:ind w:left="4252"/>
    </w:pPr>
  </w:style>
  <w:style w:type="character" w:customStyle="1" w:styleId="ClosingChar">
    <w:name w:val="Closing Char"/>
    <w:basedOn w:val="DefaultParagraphFont"/>
    <w:link w:val="Closing"/>
    <w:rsid w:val="00E367C1"/>
    <w:rPr>
      <w:sz w:val="22"/>
    </w:rPr>
  </w:style>
  <w:style w:type="paragraph" w:styleId="Signature">
    <w:name w:val="Signature"/>
    <w:basedOn w:val="Normal"/>
    <w:link w:val="SignatureChar"/>
    <w:rsid w:val="00E367C1"/>
    <w:pPr>
      <w:ind w:left="4252"/>
    </w:pPr>
  </w:style>
  <w:style w:type="character" w:customStyle="1" w:styleId="SignatureChar">
    <w:name w:val="Signature Char"/>
    <w:basedOn w:val="DefaultParagraphFont"/>
    <w:link w:val="Signature"/>
    <w:rsid w:val="00E367C1"/>
    <w:rPr>
      <w:sz w:val="22"/>
    </w:rPr>
  </w:style>
  <w:style w:type="paragraph" w:styleId="BodyText">
    <w:name w:val="Body Text"/>
    <w:basedOn w:val="Normal"/>
    <w:link w:val="BodyTextChar"/>
    <w:rsid w:val="00E367C1"/>
    <w:pPr>
      <w:spacing w:after="120"/>
    </w:pPr>
  </w:style>
  <w:style w:type="character" w:customStyle="1" w:styleId="BodyTextChar">
    <w:name w:val="Body Text Char"/>
    <w:basedOn w:val="DefaultParagraphFont"/>
    <w:link w:val="BodyText"/>
    <w:rsid w:val="00E367C1"/>
    <w:rPr>
      <w:sz w:val="22"/>
    </w:rPr>
  </w:style>
  <w:style w:type="paragraph" w:styleId="BodyTextIndent">
    <w:name w:val="Body Text Indent"/>
    <w:basedOn w:val="Normal"/>
    <w:link w:val="BodyTextIndentChar"/>
    <w:rsid w:val="00E367C1"/>
    <w:pPr>
      <w:spacing w:after="120"/>
      <w:ind w:left="283"/>
    </w:pPr>
  </w:style>
  <w:style w:type="character" w:customStyle="1" w:styleId="BodyTextIndentChar">
    <w:name w:val="Body Text Indent Char"/>
    <w:basedOn w:val="DefaultParagraphFont"/>
    <w:link w:val="BodyTextIndent"/>
    <w:rsid w:val="00E367C1"/>
    <w:rPr>
      <w:sz w:val="22"/>
    </w:rPr>
  </w:style>
  <w:style w:type="paragraph" w:styleId="ListContinue">
    <w:name w:val="List Continue"/>
    <w:basedOn w:val="Normal"/>
    <w:rsid w:val="00E367C1"/>
    <w:pPr>
      <w:spacing w:after="120"/>
      <w:ind w:left="283"/>
    </w:pPr>
  </w:style>
  <w:style w:type="paragraph" w:styleId="ListContinue2">
    <w:name w:val="List Continue 2"/>
    <w:basedOn w:val="Normal"/>
    <w:rsid w:val="00E367C1"/>
    <w:pPr>
      <w:spacing w:after="120"/>
      <w:ind w:left="566"/>
    </w:pPr>
  </w:style>
  <w:style w:type="paragraph" w:styleId="ListContinue3">
    <w:name w:val="List Continue 3"/>
    <w:basedOn w:val="Normal"/>
    <w:rsid w:val="00E367C1"/>
    <w:pPr>
      <w:spacing w:after="120"/>
      <w:ind w:left="849"/>
    </w:pPr>
  </w:style>
  <w:style w:type="paragraph" w:styleId="ListContinue4">
    <w:name w:val="List Continue 4"/>
    <w:basedOn w:val="Normal"/>
    <w:rsid w:val="00E367C1"/>
    <w:pPr>
      <w:spacing w:after="120"/>
      <w:ind w:left="1132"/>
    </w:pPr>
  </w:style>
  <w:style w:type="paragraph" w:styleId="ListContinue5">
    <w:name w:val="List Continue 5"/>
    <w:basedOn w:val="Normal"/>
    <w:rsid w:val="00E367C1"/>
    <w:pPr>
      <w:spacing w:after="120"/>
      <w:ind w:left="1415"/>
    </w:pPr>
  </w:style>
  <w:style w:type="paragraph" w:styleId="MessageHeader">
    <w:name w:val="Message Header"/>
    <w:basedOn w:val="Normal"/>
    <w:link w:val="MessageHeaderChar"/>
    <w:rsid w:val="00E367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367C1"/>
    <w:rPr>
      <w:rFonts w:ascii="Arial" w:hAnsi="Arial" w:cs="Arial"/>
      <w:sz w:val="22"/>
      <w:shd w:val="pct20" w:color="auto" w:fill="auto"/>
    </w:rPr>
  </w:style>
  <w:style w:type="paragraph" w:styleId="Subtitle">
    <w:name w:val="Subtitle"/>
    <w:basedOn w:val="Normal"/>
    <w:link w:val="SubtitleChar"/>
    <w:qFormat/>
    <w:rsid w:val="00E367C1"/>
    <w:pPr>
      <w:spacing w:after="60"/>
      <w:jc w:val="center"/>
      <w:outlineLvl w:val="1"/>
    </w:pPr>
    <w:rPr>
      <w:rFonts w:ascii="Arial" w:hAnsi="Arial" w:cs="Arial"/>
    </w:rPr>
  </w:style>
  <w:style w:type="character" w:customStyle="1" w:styleId="SubtitleChar">
    <w:name w:val="Subtitle Char"/>
    <w:basedOn w:val="DefaultParagraphFont"/>
    <w:link w:val="Subtitle"/>
    <w:rsid w:val="00E367C1"/>
    <w:rPr>
      <w:rFonts w:ascii="Arial" w:hAnsi="Arial" w:cs="Arial"/>
      <w:sz w:val="22"/>
    </w:rPr>
  </w:style>
  <w:style w:type="paragraph" w:styleId="Salutation">
    <w:name w:val="Salutation"/>
    <w:basedOn w:val="Normal"/>
    <w:next w:val="Normal"/>
    <w:link w:val="SalutationChar"/>
    <w:rsid w:val="00E367C1"/>
  </w:style>
  <w:style w:type="character" w:customStyle="1" w:styleId="SalutationChar">
    <w:name w:val="Salutation Char"/>
    <w:basedOn w:val="DefaultParagraphFont"/>
    <w:link w:val="Salutation"/>
    <w:rsid w:val="00E367C1"/>
    <w:rPr>
      <w:sz w:val="22"/>
    </w:rPr>
  </w:style>
  <w:style w:type="paragraph" w:styleId="Date">
    <w:name w:val="Date"/>
    <w:basedOn w:val="Normal"/>
    <w:next w:val="Normal"/>
    <w:link w:val="DateChar"/>
    <w:rsid w:val="00E367C1"/>
  </w:style>
  <w:style w:type="character" w:customStyle="1" w:styleId="DateChar">
    <w:name w:val="Date Char"/>
    <w:basedOn w:val="DefaultParagraphFont"/>
    <w:link w:val="Date"/>
    <w:rsid w:val="00E367C1"/>
    <w:rPr>
      <w:sz w:val="22"/>
    </w:rPr>
  </w:style>
  <w:style w:type="paragraph" w:styleId="BodyTextFirstIndent">
    <w:name w:val="Body Text First Indent"/>
    <w:basedOn w:val="BodyText"/>
    <w:link w:val="BodyTextFirstIndentChar"/>
    <w:rsid w:val="00E367C1"/>
    <w:pPr>
      <w:ind w:firstLine="210"/>
    </w:pPr>
  </w:style>
  <w:style w:type="character" w:customStyle="1" w:styleId="BodyTextFirstIndentChar">
    <w:name w:val="Body Text First Indent Char"/>
    <w:basedOn w:val="BodyTextChar"/>
    <w:link w:val="BodyTextFirstIndent"/>
    <w:rsid w:val="00E367C1"/>
    <w:rPr>
      <w:sz w:val="22"/>
    </w:rPr>
  </w:style>
  <w:style w:type="paragraph" w:styleId="BodyTextFirstIndent2">
    <w:name w:val="Body Text First Indent 2"/>
    <w:basedOn w:val="BodyTextIndent"/>
    <w:link w:val="BodyTextFirstIndent2Char"/>
    <w:rsid w:val="00E367C1"/>
    <w:pPr>
      <w:ind w:firstLine="210"/>
    </w:pPr>
  </w:style>
  <w:style w:type="character" w:customStyle="1" w:styleId="BodyTextFirstIndent2Char">
    <w:name w:val="Body Text First Indent 2 Char"/>
    <w:basedOn w:val="BodyTextIndentChar"/>
    <w:link w:val="BodyTextFirstIndent2"/>
    <w:rsid w:val="00E367C1"/>
    <w:rPr>
      <w:sz w:val="22"/>
    </w:rPr>
  </w:style>
  <w:style w:type="paragraph" w:styleId="BodyText2">
    <w:name w:val="Body Text 2"/>
    <w:basedOn w:val="Normal"/>
    <w:link w:val="BodyText2Char"/>
    <w:rsid w:val="00E367C1"/>
    <w:pPr>
      <w:spacing w:after="120" w:line="480" w:lineRule="auto"/>
    </w:pPr>
  </w:style>
  <w:style w:type="character" w:customStyle="1" w:styleId="BodyText2Char">
    <w:name w:val="Body Text 2 Char"/>
    <w:basedOn w:val="DefaultParagraphFont"/>
    <w:link w:val="BodyText2"/>
    <w:rsid w:val="00E367C1"/>
    <w:rPr>
      <w:sz w:val="22"/>
    </w:rPr>
  </w:style>
  <w:style w:type="paragraph" w:styleId="BodyText3">
    <w:name w:val="Body Text 3"/>
    <w:basedOn w:val="Normal"/>
    <w:link w:val="BodyText3Char"/>
    <w:rsid w:val="00E367C1"/>
    <w:pPr>
      <w:spacing w:after="120"/>
    </w:pPr>
    <w:rPr>
      <w:sz w:val="16"/>
      <w:szCs w:val="16"/>
    </w:rPr>
  </w:style>
  <w:style w:type="character" w:customStyle="1" w:styleId="BodyText3Char">
    <w:name w:val="Body Text 3 Char"/>
    <w:basedOn w:val="DefaultParagraphFont"/>
    <w:link w:val="BodyText3"/>
    <w:rsid w:val="00E367C1"/>
    <w:rPr>
      <w:sz w:val="16"/>
      <w:szCs w:val="16"/>
    </w:rPr>
  </w:style>
  <w:style w:type="paragraph" w:styleId="BodyTextIndent2">
    <w:name w:val="Body Text Indent 2"/>
    <w:basedOn w:val="Normal"/>
    <w:link w:val="BodyTextIndent2Char"/>
    <w:rsid w:val="00E367C1"/>
    <w:pPr>
      <w:spacing w:after="120" w:line="480" w:lineRule="auto"/>
      <w:ind w:left="283"/>
    </w:pPr>
  </w:style>
  <w:style w:type="character" w:customStyle="1" w:styleId="BodyTextIndent2Char">
    <w:name w:val="Body Text Indent 2 Char"/>
    <w:basedOn w:val="DefaultParagraphFont"/>
    <w:link w:val="BodyTextIndent2"/>
    <w:rsid w:val="00E367C1"/>
    <w:rPr>
      <w:sz w:val="22"/>
    </w:rPr>
  </w:style>
  <w:style w:type="paragraph" w:styleId="BodyTextIndent3">
    <w:name w:val="Body Text Indent 3"/>
    <w:basedOn w:val="Normal"/>
    <w:link w:val="BodyTextIndent3Char"/>
    <w:rsid w:val="00E367C1"/>
    <w:pPr>
      <w:spacing w:after="120"/>
      <w:ind w:left="283"/>
    </w:pPr>
    <w:rPr>
      <w:sz w:val="16"/>
      <w:szCs w:val="16"/>
    </w:rPr>
  </w:style>
  <w:style w:type="character" w:customStyle="1" w:styleId="BodyTextIndent3Char">
    <w:name w:val="Body Text Indent 3 Char"/>
    <w:basedOn w:val="DefaultParagraphFont"/>
    <w:link w:val="BodyTextIndent3"/>
    <w:rsid w:val="00E367C1"/>
    <w:rPr>
      <w:sz w:val="16"/>
      <w:szCs w:val="16"/>
    </w:rPr>
  </w:style>
  <w:style w:type="paragraph" w:styleId="BlockText">
    <w:name w:val="Block Text"/>
    <w:basedOn w:val="Normal"/>
    <w:rsid w:val="00E367C1"/>
    <w:pPr>
      <w:spacing w:after="120"/>
      <w:ind w:left="1440" w:right="1440"/>
    </w:pPr>
  </w:style>
  <w:style w:type="character" w:styleId="Hyperlink">
    <w:name w:val="Hyperlink"/>
    <w:basedOn w:val="DefaultParagraphFont"/>
    <w:rsid w:val="00E367C1"/>
    <w:rPr>
      <w:color w:val="0000FF"/>
      <w:u w:val="single"/>
    </w:rPr>
  </w:style>
  <w:style w:type="character" w:styleId="FollowedHyperlink">
    <w:name w:val="FollowedHyperlink"/>
    <w:basedOn w:val="DefaultParagraphFont"/>
    <w:rsid w:val="00E367C1"/>
    <w:rPr>
      <w:color w:val="800080"/>
      <w:u w:val="single"/>
    </w:rPr>
  </w:style>
  <w:style w:type="character" w:styleId="Strong">
    <w:name w:val="Strong"/>
    <w:basedOn w:val="DefaultParagraphFont"/>
    <w:qFormat/>
    <w:rsid w:val="00E367C1"/>
    <w:rPr>
      <w:b/>
      <w:bCs/>
    </w:rPr>
  </w:style>
  <w:style w:type="character" w:styleId="Emphasis">
    <w:name w:val="Emphasis"/>
    <w:basedOn w:val="DefaultParagraphFont"/>
    <w:qFormat/>
    <w:rsid w:val="00E367C1"/>
    <w:rPr>
      <w:i/>
      <w:iCs/>
    </w:rPr>
  </w:style>
  <w:style w:type="paragraph" w:styleId="DocumentMap">
    <w:name w:val="Document Map"/>
    <w:basedOn w:val="Normal"/>
    <w:link w:val="DocumentMapChar"/>
    <w:rsid w:val="00E367C1"/>
    <w:pPr>
      <w:shd w:val="clear" w:color="auto" w:fill="000080"/>
    </w:pPr>
    <w:rPr>
      <w:rFonts w:ascii="Tahoma" w:hAnsi="Tahoma" w:cs="Tahoma"/>
    </w:rPr>
  </w:style>
  <w:style w:type="character" w:customStyle="1" w:styleId="DocumentMapChar">
    <w:name w:val="Document Map Char"/>
    <w:basedOn w:val="DefaultParagraphFont"/>
    <w:link w:val="DocumentMap"/>
    <w:rsid w:val="00E367C1"/>
    <w:rPr>
      <w:rFonts w:ascii="Tahoma" w:hAnsi="Tahoma" w:cs="Tahoma"/>
      <w:sz w:val="22"/>
      <w:shd w:val="clear" w:color="auto" w:fill="000080"/>
    </w:rPr>
  </w:style>
  <w:style w:type="paragraph" w:styleId="PlainText">
    <w:name w:val="Plain Text"/>
    <w:basedOn w:val="Normal"/>
    <w:link w:val="PlainTextChar"/>
    <w:rsid w:val="00E367C1"/>
    <w:rPr>
      <w:rFonts w:ascii="Courier New" w:hAnsi="Courier New" w:cs="Courier New"/>
      <w:sz w:val="20"/>
    </w:rPr>
  </w:style>
  <w:style w:type="character" w:customStyle="1" w:styleId="PlainTextChar">
    <w:name w:val="Plain Text Char"/>
    <w:basedOn w:val="DefaultParagraphFont"/>
    <w:link w:val="PlainText"/>
    <w:rsid w:val="00E367C1"/>
    <w:rPr>
      <w:rFonts w:ascii="Courier New" w:hAnsi="Courier New" w:cs="Courier New"/>
    </w:rPr>
  </w:style>
  <w:style w:type="paragraph" w:styleId="E-mailSignature">
    <w:name w:val="E-mail Signature"/>
    <w:basedOn w:val="Normal"/>
    <w:link w:val="E-mailSignatureChar"/>
    <w:rsid w:val="00E367C1"/>
  </w:style>
  <w:style w:type="character" w:customStyle="1" w:styleId="E-mailSignatureChar">
    <w:name w:val="E-mail Signature Char"/>
    <w:basedOn w:val="DefaultParagraphFont"/>
    <w:link w:val="E-mailSignature"/>
    <w:rsid w:val="00E367C1"/>
    <w:rPr>
      <w:sz w:val="22"/>
    </w:rPr>
  </w:style>
  <w:style w:type="paragraph" w:styleId="NormalWeb">
    <w:name w:val="Normal (Web)"/>
    <w:basedOn w:val="Normal"/>
    <w:rsid w:val="00E367C1"/>
  </w:style>
  <w:style w:type="character" w:styleId="HTMLAcronym">
    <w:name w:val="HTML Acronym"/>
    <w:basedOn w:val="DefaultParagraphFont"/>
    <w:rsid w:val="00E367C1"/>
  </w:style>
  <w:style w:type="paragraph" w:styleId="HTMLAddress">
    <w:name w:val="HTML Address"/>
    <w:basedOn w:val="Normal"/>
    <w:link w:val="HTMLAddressChar"/>
    <w:rsid w:val="00E367C1"/>
    <w:rPr>
      <w:i/>
      <w:iCs/>
    </w:rPr>
  </w:style>
  <w:style w:type="character" w:customStyle="1" w:styleId="HTMLAddressChar">
    <w:name w:val="HTML Address Char"/>
    <w:basedOn w:val="DefaultParagraphFont"/>
    <w:link w:val="HTMLAddress"/>
    <w:rsid w:val="00E367C1"/>
    <w:rPr>
      <w:i/>
      <w:iCs/>
      <w:sz w:val="22"/>
    </w:rPr>
  </w:style>
  <w:style w:type="character" w:styleId="HTMLCite">
    <w:name w:val="HTML Cite"/>
    <w:basedOn w:val="DefaultParagraphFont"/>
    <w:rsid w:val="00E367C1"/>
    <w:rPr>
      <w:i/>
      <w:iCs/>
    </w:rPr>
  </w:style>
  <w:style w:type="character" w:styleId="HTMLCode">
    <w:name w:val="HTML Code"/>
    <w:basedOn w:val="DefaultParagraphFont"/>
    <w:rsid w:val="00E367C1"/>
    <w:rPr>
      <w:rFonts w:ascii="Courier New" w:hAnsi="Courier New" w:cs="Courier New"/>
      <w:sz w:val="20"/>
      <w:szCs w:val="20"/>
    </w:rPr>
  </w:style>
  <w:style w:type="character" w:styleId="HTMLDefinition">
    <w:name w:val="HTML Definition"/>
    <w:basedOn w:val="DefaultParagraphFont"/>
    <w:rsid w:val="00E367C1"/>
    <w:rPr>
      <w:i/>
      <w:iCs/>
    </w:rPr>
  </w:style>
  <w:style w:type="character" w:styleId="HTMLKeyboard">
    <w:name w:val="HTML Keyboard"/>
    <w:basedOn w:val="DefaultParagraphFont"/>
    <w:rsid w:val="00E367C1"/>
    <w:rPr>
      <w:rFonts w:ascii="Courier New" w:hAnsi="Courier New" w:cs="Courier New"/>
      <w:sz w:val="20"/>
      <w:szCs w:val="20"/>
    </w:rPr>
  </w:style>
  <w:style w:type="paragraph" w:styleId="HTMLPreformatted">
    <w:name w:val="HTML Preformatted"/>
    <w:basedOn w:val="Normal"/>
    <w:link w:val="HTMLPreformattedChar"/>
    <w:rsid w:val="00E367C1"/>
    <w:rPr>
      <w:rFonts w:ascii="Courier New" w:hAnsi="Courier New" w:cs="Courier New"/>
      <w:sz w:val="20"/>
    </w:rPr>
  </w:style>
  <w:style w:type="character" w:customStyle="1" w:styleId="HTMLPreformattedChar">
    <w:name w:val="HTML Preformatted Char"/>
    <w:basedOn w:val="DefaultParagraphFont"/>
    <w:link w:val="HTMLPreformatted"/>
    <w:rsid w:val="00E367C1"/>
    <w:rPr>
      <w:rFonts w:ascii="Courier New" w:hAnsi="Courier New" w:cs="Courier New"/>
    </w:rPr>
  </w:style>
  <w:style w:type="character" w:styleId="HTMLSample">
    <w:name w:val="HTML Sample"/>
    <w:basedOn w:val="DefaultParagraphFont"/>
    <w:rsid w:val="00E367C1"/>
    <w:rPr>
      <w:rFonts w:ascii="Courier New" w:hAnsi="Courier New" w:cs="Courier New"/>
    </w:rPr>
  </w:style>
  <w:style w:type="character" w:styleId="HTMLTypewriter">
    <w:name w:val="HTML Typewriter"/>
    <w:basedOn w:val="DefaultParagraphFont"/>
    <w:rsid w:val="00E367C1"/>
    <w:rPr>
      <w:rFonts w:ascii="Courier New" w:hAnsi="Courier New" w:cs="Courier New"/>
      <w:sz w:val="20"/>
      <w:szCs w:val="20"/>
    </w:rPr>
  </w:style>
  <w:style w:type="character" w:styleId="HTMLVariable">
    <w:name w:val="HTML Variable"/>
    <w:basedOn w:val="DefaultParagraphFont"/>
    <w:rsid w:val="00E367C1"/>
    <w:rPr>
      <w:i/>
      <w:iCs/>
    </w:rPr>
  </w:style>
  <w:style w:type="paragraph" w:styleId="CommentSubject">
    <w:name w:val="annotation subject"/>
    <w:basedOn w:val="CommentText"/>
    <w:next w:val="CommentText"/>
    <w:link w:val="CommentSubjectChar"/>
    <w:rsid w:val="00E367C1"/>
    <w:rPr>
      <w:b/>
      <w:bCs/>
    </w:rPr>
  </w:style>
  <w:style w:type="character" w:customStyle="1" w:styleId="CommentSubjectChar">
    <w:name w:val="Comment Subject Char"/>
    <w:basedOn w:val="CommentTextChar"/>
    <w:link w:val="CommentSubject"/>
    <w:rsid w:val="00E367C1"/>
    <w:rPr>
      <w:b/>
      <w:bCs/>
    </w:rPr>
  </w:style>
  <w:style w:type="numbering" w:styleId="1ai">
    <w:name w:val="Outline List 1"/>
    <w:basedOn w:val="NoList"/>
    <w:rsid w:val="00E367C1"/>
    <w:pPr>
      <w:numPr>
        <w:numId w:val="14"/>
      </w:numPr>
    </w:pPr>
  </w:style>
  <w:style w:type="numbering" w:styleId="111111">
    <w:name w:val="Outline List 2"/>
    <w:basedOn w:val="NoList"/>
    <w:rsid w:val="00E367C1"/>
    <w:pPr>
      <w:numPr>
        <w:numId w:val="15"/>
      </w:numPr>
    </w:pPr>
  </w:style>
  <w:style w:type="numbering" w:styleId="ArticleSection">
    <w:name w:val="Outline List 3"/>
    <w:basedOn w:val="NoList"/>
    <w:rsid w:val="00E367C1"/>
    <w:pPr>
      <w:numPr>
        <w:numId w:val="17"/>
      </w:numPr>
    </w:pPr>
  </w:style>
  <w:style w:type="table" w:styleId="TableSimple1">
    <w:name w:val="Table Simple 1"/>
    <w:basedOn w:val="TableNormal"/>
    <w:rsid w:val="00E367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67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367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67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67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67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67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67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67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67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67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67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67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67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67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67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67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67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67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67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67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67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67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67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67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67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367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67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67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67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67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367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67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67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367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67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367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367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367C1"/>
    <w:rPr>
      <w:rFonts w:eastAsia="Times New Roman" w:cs="Times New Roman"/>
      <w:b/>
      <w:kern w:val="28"/>
      <w:sz w:val="24"/>
      <w:lang w:eastAsia="en-AU"/>
    </w:rPr>
  </w:style>
  <w:style w:type="character" w:customStyle="1" w:styleId="paragraphChar">
    <w:name w:val="paragraph Char"/>
    <w:aliases w:val="a Char"/>
    <w:link w:val="paragraph"/>
    <w:rsid w:val="00E54E3E"/>
    <w:rPr>
      <w:rFonts w:eastAsia="Times New Roman" w:cs="Times New Roman"/>
      <w:sz w:val="22"/>
      <w:lang w:eastAsia="en-AU"/>
    </w:rPr>
  </w:style>
  <w:style w:type="character" w:customStyle="1" w:styleId="ItemHeadChar">
    <w:name w:val="ItemHead Char"/>
    <w:aliases w:val="ih Char"/>
    <w:basedOn w:val="DefaultParagraphFont"/>
    <w:link w:val="ItemHead"/>
    <w:rsid w:val="00AC645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C645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6933-E21B-4C3B-AAE1-8DDE132D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33</Pages>
  <Words>7074</Words>
  <Characters>34879</Characters>
  <Application>Microsoft Office Word</Application>
  <DocSecurity>4</DocSecurity>
  <PresentationFormat/>
  <Lines>2906</Lines>
  <Paragraphs>1311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2020-07-23T03:59:00Z</dcterms:created>
  <dcterms:modified xsi:type="dcterms:W3CDTF">2020-07-23T03:59:00Z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Therapeutic Goods Legislation Amendment (2020 Measures No. 1)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23 July 2020</vt:lpwstr>
  </property>
  <property fmtid="{D5CDD505-2E9C-101B-9397-08002B2CF9AE}" pid="10" name="ID">
    <vt:lpwstr>OPC64321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23 July 2020</vt:lpwstr>
  </property>
</Properties>
</file>