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97D0" w14:textId="77777777" w:rsidR="005E317F" w:rsidRPr="00683C1D" w:rsidRDefault="005E317F" w:rsidP="005E317F">
      <w:pPr>
        <w:rPr>
          <w:sz w:val="28"/>
        </w:rPr>
      </w:pPr>
      <w:r w:rsidRPr="00683C1D">
        <w:rPr>
          <w:noProof/>
          <w:lang w:eastAsia="en-AU"/>
        </w:rPr>
        <w:drawing>
          <wp:inline distT="0" distB="0" distL="0" distR="0" wp14:anchorId="549090F9" wp14:editId="491695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A0E69" w14:textId="77777777" w:rsidR="005E317F" w:rsidRPr="00683C1D" w:rsidRDefault="005E317F" w:rsidP="005E317F">
      <w:pPr>
        <w:rPr>
          <w:sz w:val="19"/>
        </w:rPr>
      </w:pPr>
    </w:p>
    <w:p w14:paraId="070791C3" w14:textId="6AB1AE73" w:rsidR="005E317F" w:rsidRPr="00683C1D" w:rsidRDefault="00FF05AD" w:rsidP="005E317F">
      <w:pPr>
        <w:pStyle w:val="ShortT"/>
      </w:pPr>
      <w:r w:rsidRPr="00683C1D">
        <w:t>Commonwealth Scholarship</w:t>
      </w:r>
      <w:r w:rsidR="00C27EB3" w:rsidRPr="00683C1D">
        <w:t>s</w:t>
      </w:r>
      <w:r w:rsidRPr="00683C1D">
        <w:t xml:space="preserve"> Guidelines (Research)</w:t>
      </w:r>
      <w:r w:rsidR="005E317F" w:rsidRPr="00683C1D">
        <w:t xml:space="preserve"> Amendment (</w:t>
      </w:r>
      <w:r w:rsidRPr="00683C1D">
        <w:t>No.1</w:t>
      </w:r>
      <w:r w:rsidR="005E317F" w:rsidRPr="00683C1D">
        <w:t xml:space="preserve">) </w:t>
      </w:r>
      <w:r w:rsidRPr="00683C1D">
        <w:t>2020</w:t>
      </w:r>
    </w:p>
    <w:p w14:paraId="486FA17C" w14:textId="77777777" w:rsidR="005E317F" w:rsidRPr="00683C1D" w:rsidRDefault="005E317F" w:rsidP="005E317F">
      <w:pPr>
        <w:pStyle w:val="SignCoverPageStart"/>
        <w:spacing w:before="240"/>
        <w:ind w:right="91"/>
        <w:rPr>
          <w:szCs w:val="22"/>
        </w:rPr>
      </w:pPr>
      <w:r w:rsidRPr="00683C1D">
        <w:rPr>
          <w:szCs w:val="22"/>
        </w:rPr>
        <w:t xml:space="preserve">I, </w:t>
      </w:r>
      <w:r w:rsidR="00FF05AD" w:rsidRPr="00683C1D">
        <w:rPr>
          <w:szCs w:val="22"/>
        </w:rPr>
        <w:t>Dan Tehan</w:t>
      </w:r>
      <w:r w:rsidRPr="00683C1D">
        <w:rPr>
          <w:szCs w:val="22"/>
        </w:rPr>
        <w:t xml:space="preserve">, </w:t>
      </w:r>
      <w:r w:rsidR="00FF05AD" w:rsidRPr="00683C1D">
        <w:rPr>
          <w:szCs w:val="22"/>
        </w:rPr>
        <w:t>Minister for Education</w:t>
      </w:r>
      <w:r w:rsidRPr="00683C1D">
        <w:rPr>
          <w:szCs w:val="22"/>
        </w:rPr>
        <w:t xml:space="preserve">, make the following </w:t>
      </w:r>
      <w:r w:rsidR="00FF05AD" w:rsidRPr="00683C1D">
        <w:rPr>
          <w:szCs w:val="22"/>
        </w:rPr>
        <w:t>legislative instrument</w:t>
      </w:r>
      <w:r w:rsidRPr="00683C1D">
        <w:rPr>
          <w:szCs w:val="22"/>
        </w:rPr>
        <w:t>.</w:t>
      </w:r>
    </w:p>
    <w:p w14:paraId="7D92DBFF" w14:textId="5D01D7C0" w:rsidR="005E317F" w:rsidRPr="00683C1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683C1D">
        <w:rPr>
          <w:szCs w:val="22"/>
        </w:rPr>
        <w:t>Dated</w:t>
      </w:r>
      <w:r w:rsidR="00683C1D" w:rsidRPr="00683C1D">
        <w:rPr>
          <w:szCs w:val="22"/>
        </w:rPr>
        <w:t xml:space="preserve"> 17 July </w:t>
      </w:r>
      <w:r w:rsidR="00FF05AD" w:rsidRPr="00683C1D">
        <w:rPr>
          <w:szCs w:val="22"/>
        </w:rPr>
        <w:t>2020</w:t>
      </w:r>
      <w:r w:rsidRPr="00683C1D">
        <w:rPr>
          <w:szCs w:val="22"/>
        </w:rPr>
        <w:tab/>
      </w:r>
      <w:r w:rsidRPr="00683C1D">
        <w:rPr>
          <w:szCs w:val="22"/>
        </w:rPr>
        <w:tab/>
      </w:r>
      <w:r w:rsidRPr="00683C1D">
        <w:rPr>
          <w:szCs w:val="22"/>
        </w:rPr>
        <w:tab/>
      </w:r>
      <w:r w:rsidRPr="00683C1D">
        <w:rPr>
          <w:szCs w:val="22"/>
        </w:rPr>
        <w:tab/>
      </w:r>
    </w:p>
    <w:p w14:paraId="060ED08F" w14:textId="77777777" w:rsidR="005E317F" w:rsidRPr="00683C1D" w:rsidRDefault="00FF05A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83C1D">
        <w:rPr>
          <w:szCs w:val="22"/>
        </w:rPr>
        <w:t>Dan Tehan</w:t>
      </w:r>
      <w:bookmarkStart w:id="0" w:name="_GoBack"/>
      <w:bookmarkEnd w:id="0"/>
    </w:p>
    <w:p w14:paraId="0163A870" w14:textId="77777777" w:rsidR="005E317F" w:rsidRPr="00683C1D" w:rsidRDefault="00FF05AD" w:rsidP="005E317F">
      <w:pPr>
        <w:pStyle w:val="SignCoverPageEnd"/>
        <w:ind w:right="91"/>
        <w:rPr>
          <w:sz w:val="22"/>
        </w:rPr>
      </w:pPr>
      <w:r w:rsidRPr="00683C1D">
        <w:rPr>
          <w:sz w:val="22"/>
        </w:rPr>
        <w:t>Minister for Education</w:t>
      </w:r>
    </w:p>
    <w:p w14:paraId="674183C9" w14:textId="77777777" w:rsidR="00B20990" w:rsidRPr="00683C1D" w:rsidRDefault="00B20990" w:rsidP="00B20990"/>
    <w:p w14:paraId="5769B194" w14:textId="77777777" w:rsidR="00B20990" w:rsidRPr="00683C1D" w:rsidRDefault="00B20990" w:rsidP="00B20990">
      <w:pPr>
        <w:sectPr w:rsidR="00B20990" w:rsidRPr="00683C1D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CCE4DDD" w14:textId="77777777" w:rsidR="00B20990" w:rsidRPr="00683C1D" w:rsidRDefault="00B20990" w:rsidP="00B20990">
      <w:pPr>
        <w:outlineLvl w:val="0"/>
        <w:rPr>
          <w:sz w:val="36"/>
        </w:rPr>
      </w:pPr>
      <w:r w:rsidRPr="00683C1D">
        <w:rPr>
          <w:sz w:val="36"/>
        </w:rPr>
        <w:lastRenderedPageBreak/>
        <w:t>Contents</w:t>
      </w:r>
    </w:p>
    <w:bookmarkStart w:id="1" w:name="BKCheck15B_2"/>
    <w:bookmarkEnd w:id="1"/>
    <w:p w14:paraId="27E1E813" w14:textId="1A084328" w:rsidR="00474D30" w:rsidRPr="00683C1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3C1D">
        <w:fldChar w:fldCharType="begin"/>
      </w:r>
      <w:r w:rsidRPr="00683C1D">
        <w:instrText xml:space="preserve"> TOC \o "1-9" </w:instrText>
      </w:r>
      <w:r w:rsidRPr="00683C1D">
        <w:fldChar w:fldCharType="separate"/>
      </w:r>
      <w:r w:rsidR="00474D30" w:rsidRPr="00683C1D">
        <w:rPr>
          <w:noProof/>
        </w:rPr>
        <w:t>1  Name</w:t>
      </w:r>
      <w:r w:rsidR="00474D30" w:rsidRPr="00683C1D">
        <w:rPr>
          <w:noProof/>
        </w:rPr>
        <w:tab/>
      </w:r>
      <w:r w:rsidR="00474D30" w:rsidRPr="00683C1D">
        <w:rPr>
          <w:noProof/>
        </w:rPr>
        <w:fldChar w:fldCharType="begin"/>
      </w:r>
      <w:r w:rsidR="00474D30" w:rsidRPr="00683C1D">
        <w:rPr>
          <w:noProof/>
        </w:rPr>
        <w:instrText xml:space="preserve"> PAGEREF _Toc41127523 \h </w:instrText>
      </w:r>
      <w:r w:rsidR="00474D30" w:rsidRPr="00683C1D">
        <w:rPr>
          <w:noProof/>
        </w:rPr>
      </w:r>
      <w:r w:rsidR="00474D30" w:rsidRPr="00683C1D">
        <w:rPr>
          <w:noProof/>
        </w:rPr>
        <w:fldChar w:fldCharType="separate"/>
      </w:r>
      <w:r w:rsidR="00474D30" w:rsidRPr="00683C1D">
        <w:rPr>
          <w:noProof/>
        </w:rPr>
        <w:t>1</w:t>
      </w:r>
      <w:r w:rsidR="00474D30" w:rsidRPr="00683C1D">
        <w:rPr>
          <w:noProof/>
        </w:rPr>
        <w:fldChar w:fldCharType="end"/>
      </w:r>
    </w:p>
    <w:p w14:paraId="2090DBB9" w14:textId="5A4C9F45" w:rsidR="00474D30" w:rsidRPr="00683C1D" w:rsidRDefault="00474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3C1D">
        <w:rPr>
          <w:noProof/>
        </w:rPr>
        <w:t>2  Commencement</w:t>
      </w:r>
      <w:r w:rsidRPr="00683C1D">
        <w:rPr>
          <w:noProof/>
        </w:rPr>
        <w:tab/>
      </w:r>
      <w:r w:rsidRPr="00683C1D">
        <w:rPr>
          <w:noProof/>
        </w:rPr>
        <w:fldChar w:fldCharType="begin"/>
      </w:r>
      <w:r w:rsidRPr="00683C1D">
        <w:rPr>
          <w:noProof/>
        </w:rPr>
        <w:instrText xml:space="preserve"> PAGEREF _Toc41127524 \h </w:instrText>
      </w:r>
      <w:r w:rsidRPr="00683C1D">
        <w:rPr>
          <w:noProof/>
        </w:rPr>
      </w:r>
      <w:r w:rsidRPr="00683C1D">
        <w:rPr>
          <w:noProof/>
        </w:rPr>
        <w:fldChar w:fldCharType="separate"/>
      </w:r>
      <w:r w:rsidRPr="00683C1D">
        <w:rPr>
          <w:noProof/>
        </w:rPr>
        <w:t>1</w:t>
      </w:r>
      <w:r w:rsidRPr="00683C1D">
        <w:rPr>
          <w:noProof/>
        </w:rPr>
        <w:fldChar w:fldCharType="end"/>
      </w:r>
    </w:p>
    <w:p w14:paraId="704A123C" w14:textId="52039E21" w:rsidR="00474D30" w:rsidRPr="00683C1D" w:rsidRDefault="00474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3C1D">
        <w:rPr>
          <w:noProof/>
        </w:rPr>
        <w:t>3  Authority</w:t>
      </w:r>
      <w:r w:rsidRPr="00683C1D">
        <w:rPr>
          <w:noProof/>
        </w:rPr>
        <w:tab/>
      </w:r>
      <w:r w:rsidRPr="00683C1D">
        <w:rPr>
          <w:noProof/>
        </w:rPr>
        <w:fldChar w:fldCharType="begin"/>
      </w:r>
      <w:r w:rsidRPr="00683C1D">
        <w:rPr>
          <w:noProof/>
        </w:rPr>
        <w:instrText xml:space="preserve"> PAGEREF _Toc41127525 \h </w:instrText>
      </w:r>
      <w:r w:rsidRPr="00683C1D">
        <w:rPr>
          <w:noProof/>
        </w:rPr>
      </w:r>
      <w:r w:rsidRPr="00683C1D">
        <w:rPr>
          <w:noProof/>
        </w:rPr>
        <w:fldChar w:fldCharType="separate"/>
      </w:r>
      <w:r w:rsidRPr="00683C1D">
        <w:rPr>
          <w:noProof/>
        </w:rPr>
        <w:t>1</w:t>
      </w:r>
      <w:r w:rsidRPr="00683C1D">
        <w:rPr>
          <w:noProof/>
        </w:rPr>
        <w:fldChar w:fldCharType="end"/>
      </w:r>
    </w:p>
    <w:p w14:paraId="64AA7351" w14:textId="34141DCD" w:rsidR="00474D30" w:rsidRPr="00683C1D" w:rsidRDefault="00474D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83C1D">
        <w:rPr>
          <w:noProof/>
        </w:rPr>
        <w:t>4  Schedules</w:t>
      </w:r>
      <w:r w:rsidRPr="00683C1D">
        <w:rPr>
          <w:noProof/>
        </w:rPr>
        <w:tab/>
      </w:r>
      <w:r w:rsidRPr="00683C1D">
        <w:rPr>
          <w:noProof/>
        </w:rPr>
        <w:fldChar w:fldCharType="begin"/>
      </w:r>
      <w:r w:rsidRPr="00683C1D">
        <w:rPr>
          <w:noProof/>
        </w:rPr>
        <w:instrText xml:space="preserve"> PAGEREF _Toc41127526 \h </w:instrText>
      </w:r>
      <w:r w:rsidRPr="00683C1D">
        <w:rPr>
          <w:noProof/>
        </w:rPr>
      </w:r>
      <w:r w:rsidRPr="00683C1D">
        <w:rPr>
          <w:noProof/>
        </w:rPr>
        <w:fldChar w:fldCharType="separate"/>
      </w:r>
      <w:r w:rsidRPr="00683C1D">
        <w:rPr>
          <w:noProof/>
        </w:rPr>
        <w:t>1</w:t>
      </w:r>
      <w:r w:rsidRPr="00683C1D">
        <w:rPr>
          <w:noProof/>
        </w:rPr>
        <w:fldChar w:fldCharType="end"/>
      </w:r>
    </w:p>
    <w:p w14:paraId="7A16DD70" w14:textId="6D682BD9" w:rsidR="00474D30" w:rsidRPr="00683C1D" w:rsidRDefault="00474D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83C1D">
        <w:rPr>
          <w:noProof/>
        </w:rPr>
        <w:t>Schedule 1—Amendments</w:t>
      </w:r>
      <w:r w:rsidRPr="00683C1D">
        <w:rPr>
          <w:noProof/>
        </w:rPr>
        <w:tab/>
      </w:r>
      <w:r w:rsidRPr="00683C1D">
        <w:rPr>
          <w:noProof/>
        </w:rPr>
        <w:fldChar w:fldCharType="begin"/>
      </w:r>
      <w:r w:rsidRPr="00683C1D">
        <w:rPr>
          <w:noProof/>
        </w:rPr>
        <w:instrText xml:space="preserve"> PAGEREF _Toc41127527 \h </w:instrText>
      </w:r>
      <w:r w:rsidRPr="00683C1D">
        <w:rPr>
          <w:noProof/>
        </w:rPr>
      </w:r>
      <w:r w:rsidRPr="00683C1D">
        <w:rPr>
          <w:noProof/>
        </w:rPr>
        <w:fldChar w:fldCharType="separate"/>
      </w:r>
      <w:r w:rsidRPr="00683C1D">
        <w:rPr>
          <w:noProof/>
        </w:rPr>
        <w:t>2</w:t>
      </w:r>
      <w:r w:rsidRPr="00683C1D">
        <w:rPr>
          <w:noProof/>
        </w:rPr>
        <w:fldChar w:fldCharType="end"/>
      </w:r>
    </w:p>
    <w:p w14:paraId="5A3A0AEC" w14:textId="15A712A2" w:rsidR="00474D30" w:rsidRPr="00683C1D" w:rsidRDefault="00474D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83C1D">
        <w:rPr>
          <w:noProof/>
        </w:rPr>
        <w:t>Commonwealth Scholarship</w:t>
      </w:r>
      <w:r w:rsidR="00C27EB3" w:rsidRPr="00683C1D">
        <w:rPr>
          <w:noProof/>
        </w:rPr>
        <w:t>s</w:t>
      </w:r>
      <w:r w:rsidRPr="00683C1D">
        <w:rPr>
          <w:noProof/>
        </w:rPr>
        <w:t xml:space="preserve"> Guidelines (Research) 2017</w:t>
      </w:r>
      <w:r w:rsidRPr="00683C1D">
        <w:rPr>
          <w:noProof/>
        </w:rPr>
        <w:tab/>
      </w:r>
      <w:r w:rsidRPr="00683C1D">
        <w:rPr>
          <w:noProof/>
        </w:rPr>
        <w:fldChar w:fldCharType="begin"/>
      </w:r>
      <w:r w:rsidRPr="00683C1D">
        <w:rPr>
          <w:noProof/>
        </w:rPr>
        <w:instrText xml:space="preserve"> PAGEREF _Toc41127528 \h </w:instrText>
      </w:r>
      <w:r w:rsidRPr="00683C1D">
        <w:rPr>
          <w:noProof/>
        </w:rPr>
      </w:r>
      <w:r w:rsidRPr="00683C1D">
        <w:rPr>
          <w:noProof/>
        </w:rPr>
        <w:fldChar w:fldCharType="separate"/>
      </w:r>
      <w:r w:rsidRPr="00683C1D">
        <w:rPr>
          <w:noProof/>
        </w:rPr>
        <w:t>2</w:t>
      </w:r>
      <w:r w:rsidRPr="00683C1D">
        <w:rPr>
          <w:noProof/>
        </w:rPr>
        <w:fldChar w:fldCharType="end"/>
      </w:r>
    </w:p>
    <w:p w14:paraId="316AF81A" w14:textId="77777777" w:rsidR="00B20990" w:rsidRPr="00683C1D" w:rsidRDefault="00B20990" w:rsidP="005E317F">
      <w:r w:rsidRPr="00683C1D">
        <w:rPr>
          <w:rFonts w:cs="Times New Roman"/>
          <w:sz w:val="20"/>
        </w:rPr>
        <w:fldChar w:fldCharType="end"/>
      </w:r>
    </w:p>
    <w:p w14:paraId="6FBCC992" w14:textId="77777777" w:rsidR="00B20990" w:rsidRPr="00683C1D" w:rsidRDefault="00B20990" w:rsidP="00B20990"/>
    <w:p w14:paraId="388DD4DC" w14:textId="77777777" w:rsidR="00B20990" w:rsidRPr="00683C1D" w:rsidRDefault="00B20990" w:rsidP="00B20990">
      <w:pPr>
        <w:sectPr w:rsidR="00B20990" w:rsidRPr="00683C1D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42BC846" w14:textId="77777777" w:rsidR="005E317F" w:rsidRPr="00683C1D" w:rsidRDefault="005E317F" w:rsidP="005E317F">
      <w:pPr>
        <w:pStyle w:val="ActHead5"/>
      </w:pPr>
      <w:bookmarkStart w:id="2" w:name="_Toc41127523"/>
      <w:r w:rsidRPr="00683C1D">
        <w:rPr>
          <w:rStyle w:val="CharSectno"/>
        </w:rPr>
        <w:lastRenderedPageBreak/>
        <w:t>1</w:t>
      </w:r>
      <w:r w:rsidRPr="00683C1D">
        <w:t xml:space="preserve">  Name</w:t>
      </w:r>
      <w:bookmarkEnd w:id="2"/>
    </w:p>
    <w:p w14:paraId="0EAF02CB" w14:textId="721333A4" w:rsidR="005E317F" w:rsidRPr="00683C1D" w:rsidRDefault="005E317F" w:rsidP="005E317F">
      <w:pPr>
        <w:pStyle w:val="subsection"/>
      </w:pPr>
      <w:r w:rsidRPr="00683C1D">
        <w:tab/>
      </w:r>
      <w:r w:rsidRPr="00683C1D">
        <w:tab/>
        <w:t xml:space="preserve">This instrument is the </w:t>
      </w:r>
      <w:bookmarkStart w:id="3" w:name="BKCheck15B_3"/>
      <w:bookmarkEnd w:id="3"/>
      <w:r w:rsidR="00FF05AD" w:rsidRPr="00683C1D">
        <w:rPr>
          <w:i/>
        </w:rPr>
        <w:t>Commonwealth Scholarship</w:t>
      </w:r>
      <w:r w:rsidR="00C27EB3" w:rsidRPr="00683C1D">
        <w:rPr>
          <w:i/>
        </w:rPr>
        <w:t>s</w:t>
      </w:r>
      <w:r w:rsidR="00FF05AD" w:rsidRPr="00683C1D">
        <w:rPr>
          <w:i/>
        </w:rPr>
        <w:t xml:space="preserve"> Guidelines (Research) Amendment (No. 1) 2020</w:t>
      </w:r>
      <w:r w:rsidRPr="00683C1D">
        <w:t>.</w:t>
      </w:r>
    </w:p>
    <w:p w14:paraId="6B0AE5A8" w14:textId="77777777" w:rsidR="005E317F" w:rsidRPr="00683C1D" w:rsidRDefault="005E317F" w:rsidP="005E317F">
      <w:pPr>
        <w:pStyle w:val="ActHead5"/>
      </w:pPr>
      <w:bookmarkStart w:id="4" w:name="_Toc41127524"/>
      <w:r w:rsidRPr="00683C1D">
        <w:rPr>
          <w:rStyle w:val="CharSectno"/>
        </w:rPr>
        <w:t>2</w:t>
      </w:r>
      <w:r w:rsidRPr="00683C1D">
        <w:t xml:space="preserve">  Commencement</w:t>
      </w:r>
      <w:bookmarkEnd w:id="4"/>
    </w:p>
    <w:p w14:paraId="1C195BEA" w14:textId="77777777" w:rsidR="00002BCC" w:rsidRPr="00683C1D" w:rsidRDefault="00002BCC" w:rsidP="00002BCC">
      <w:pPr>
        <w:pStyle w:val="subsection"/>
      </w:pPr>
      <w:r w:rsidRPr="00683C1D">
        <w:tab/>
        <w:t>(1)</w:t>
      </w:r>
      <w:r w:rsidRPr="00683C1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3E7D97B" w14:textId="77777777" w:rsidR="00002BCC" w:rsidRPr="00683C1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683C1D" w14:paraId="49813C7C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8F035F" w14:textId="77777777" w:rsidR="00002BCC" w:rsidRPr="00683C1D" w:rsidRDefault="00002BCC" w:rsidP="00A02135">
            <w:pPr>
              <w:pStyle w:val="TableHeading"/>
            </w:pPr>
            <w:r w:rsidRPr="00683C1D">
              <w:t>Commencement information</w:t>
            </w:r>
          </w:p>
        </w:tc>
      </w:tr>
      <w:tr w:rsidR="00002BCC" w:rsidRPr="00683C1D" w14:paraId="1F365B96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FA4D3D" w14:textId="77777777" w:rsidR="00002BCC" w:rsidRPr="00683C1D" w:rsidRDefault="00002BCC" w:rsidP="00A02135">
            <w:pPr>
              <w:pStyle w:val="TableHeading"/>
            </w:pPr>
            <w:r w:rsidRPr="00683C1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722875" w14:textId="77777777" w:rsidR="00002BCC" w:rsidRPr="00683C1D" w:rsidRDefault="00002BCC" w:rsidP="00A02135">
            <w:pPr>
              <w:pStyle w:val="TableHeading"/>
            </w:pPr>
            <w:r w:rsidRPr="00683C1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86B764" w14:textId="77777777" w:rsidR="00002BCC" w:rsidRPr="00683C1D" w:rsidRDefault="00002BCC" w:rsidP="00A02135">
            <w:pPr>
              <w:pStyle w:val="TableHeading"/>
            </w:pPr>
            <w:r w:rsidRPr="00683C1D">
              <w:t>Column 3</w:t>
            </w:r>
          </w:p>
        </w:tc>
      </w:tr>
      <w:tr w:rsidR="00002BCC" w:rsidRPr="00683C1D" w14:paraId="5289D018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643E52" w14:textId="77777777" w:rsidR="00002BCC" w:rsidRPr="00683C1D" w:rsidRDefault="00002BCC" w:rsidP="00A02135">
            <w:pPr>
              <w:pStyle w:val="TableHeading"/>
            </w:pPr>
            <w:r w:rsidRPr="00683C1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7B78570" w14:textId="77777777" w:rsidR="00002BCC" w:rsidRPr="00683C1D" w:rsidRDefault="00002BCC" w:rsidP="00A02135">
            <w:pPr>
              <w:pStyle w:val="TableHeading"/>
            </w:pPr>
            <w:r w:rsidRPr="00683C1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686F5A1" w14:textId="77777777" w:rsidR="00002BCC" w:rsidRPr="00683C1D" w:rsidRDefault="00002BCC" w:rsidP="00A02135">
            <w:pPr>
              <w:pStyle w:val="TableHeading"/>
            </w:pPr>
            <w:r w:rsidRPr="00683C1D">
              <w:t>Date/Details</w:t>
            </w:r>
          </w:p>
        </w:tc>
      </w:tr>
      <w:tr w:rsidR="00002BCC" w:rsidRPr="00683C1D" w14:paraId="0B13DE5E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C0101D0" w14:textId="77777777" w:rsidR="00002BCC" w:rsidRPr="00683C1D" w:rsidRDefault="00FF05AD" w:rsidP="00A02135">
            <w:pPr>
              <w:pStyle w:val="Tabletext"/>
              <w:rPr>
                <w:i/>
              </w:rPr>
            </w:pPr>
            <w:r w:rsidRPr="00683C1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AF3AEB" w14:textId="77777777" w:rsidR="00002BCC" w:rsidRPr="00683C1D" w:rsidRDefault="00FF05AD" w:rsidP="00A02135">
            <w:pPr>
              <w:pStyle w:val="Tabletext"/>
              <w:rPr>
                <w:i/>
              </w:rPr>
            </w:pPr>
            <w:r w:rsidRPr="00683C1D">
              <w:rPr>
                <w:i/>
              </w:rPr>
              <w:t>The day after this instrument is registered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73FF3E" w14:textId="77777777" w:rsidR="00002BCC" w:rsidRPr="00683C1D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144684C2" w14:textId="77777777" w:rsidR="00002BCC" w:rsidRPr="00683C1D" w:rsidRDefault="00002BCC" w:rsidP="00002BCC">
      <w:pPr>
        <w:pStyle w:val="notetext"/>
      </w:pPr>
      <w:r w:rsidRPr="00683C1D">
        <w:rPr>
          <w:snapToGrid w:val="0"/>
          <w:lang w:eastAsia="en-US"/>
        </w:rPr>
        <w:t>Note:</w:t>
      </w:r>
      <w:r w:rsidRPr="00683C1D">
        <w:rPr>
          <w:snapToGrid w:val="0"/>
          <w:lang w:eastAsia="en-US"/>
        </w:rPr>
        <w:tab/>
        <w:t>This table relates only to the provisions of this instrument</w:t>
      </w:r>
      <w:r w:rsidRPr="00683C1D">
        <w:t xml:space="preserve"> </w:t>
      </w:r>
      <w:r w:rsidRPr="00683C1D">
        <w:rPr>
          <w:snapToGrid w:val="0"/>
          <w:lang w:eastAsia="en-US"/>
        </w:rPr>
        <w:t>as originally made. It will not be amended to deal with any later amendments of this instrument.</w:t>
      </w:r>
    </w:p>
    <w:p w14:paraId="705FBA53" w14:textId="77777777" w:rsidR="00002BCC" w:rsidRPr="00683C1D" w:rsidRDefault="00002BCC" w:rsidP="00002BCC">
      <w:pPr>
        <w:pStyle w:val="subsection"/>
      </w:pPr>
      <w:r w:rsidRPr="00683C1D">
        <w:tab/>
        <w:t>(2)</w:t>
      </w:r>
      <w:r w:rsidRPr="00683C1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37BF6AB" w14:textId="77777777" w:rsidR="005E317F" w:rsidRPr="00683C1D" w:rsidRDefault="005E317F" w:rsidP="005E317F">
      <w:pPr>
        <w:pStyle w:val="ActHead5"/>
      </w:pPr>
      <w:bookmarkStart w:id="5" w:name="_Toc41127525"/>
      <w:r w:rsidRPr="00683C1D">
        <w:rPr>
          <w:rStyle w:val="CharSectno"/>
        </w:rPr>
        <w:t>3</w:t>
      </w:r>
      <w:r w:rsidRPr="00683C1D">
        <w:t xml:space="preserve">  Authority</w:t>
      </w:r>
      <w:bookmarkEnd w:id="5"/>
    </w:p>
    <w:p w14:paraId="65B2C2FA" w14:textId="77777777" w:rsidR="005E317F" w:rsidRPr="00683C1D" w:rsidRDefault="005E317F" w:rsidP="005E317F">
      <w:pPr>
        <w:pStyle w:val="subsection"/>
      </w:pPr>
      <w:r w:rsidRPr="00683C1D">
        <w:tab/>
      </w:r>
      <w:r w:rsidRPr="00683C1D">
        <w:tab/>
        <w:t>This instrument is made under</w:t>
      </w:r>
      <w:r w:rsidR="00FF05AD" w:rsidRPr="00683C1D">
        <w:t xml:space="preserve"> section 238-10 of the </w:t>
      </w:r>
      <w:r w:rsidR="00FF05AD" w:rsidRPr="00683C1D">
        <w:rPr>
          <w:i/>
        </w:rPr>
        <w:t>Higher Education Support Act 2003</w:t>
      </w:r>
      <w:r w:rsidRPr="00683C1D">
        <w:t>.</w:t>
      </w:r>
    </w:p>
    <w:p w14:paraId="15EEEE41" w14:textId="77777777" w:rsidR="005E317F" w:rsidRPr="00683C1D" w:rsidRDefault="005E317F" w:rsidP="005E317F">
      <w:pPr>
        <w:pStyle w:val="ActHead5"/>
      </w:pPr>
      <w:bookmarkStart w:id="6" w:name="_Toc41127526"/>
      <w:r w:rsidRPr="00683C1D">
        <w:t>4  Schedules</w:t>
      </w:r>
      <w:bookmarkEnd w:id="6"/>
    </w:p>
    <w:p w14:paraId="0A36E9A4" w14:textId="77777777" w:rsidR="005E317F" w:rsidRPr="00683C1D" w:rsidRDefault="005E317F" w:rsidP="005E317F">
      <w:pPr>
        <w:pStyle w:val="subsection"/>
      </w:pPr>
      <w:r w:rsidRPr="00683C1D">
        <w:tab/>
      </w:r>
      <w:r w:rsidRPr="00683C1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7ADEAA1" w14:textId="77777777" w:rsidR="005E317F" w:rsidRPr="00683C1D" w:rsidRDefault="005E317F" w:rsidP="005E317F">
      <w:pPr>
        <w:pStyle w:val="ActHead6"/>
        <w:pageBreakBefore/>
      </w:pPr>
      <w:bookmarkStart w:id="7" w:name="_Toc41127527"/>
      <w:r w:rsidRPr="00683C1D">
        <w:rPr>
          <w:rStyle w:val="CharAmSchNo"/>
        </w:rPr>
        <w:lastRenderedPageBreak/>
        <w:t>Schedule 1</w:t>
      </w:r>
      <w:r w:rsidRPr="00683C1D">
        <w:t>—</w:t>
      </w:r>
      <w:r w:rsidRPr="00683C1D">
        <w:rPr>
          <w:rStyle w:val="CharAmSchText"/>
        </w:rPr>
        <w:t>Amendments</w:t>
      </w:r>
      <w:bookmarkEnd w:id="7"/>
    </w:p>
    <w:p w14:paraId="660F0937" w14:textId="1CFFB87D" w:rsidR="005E317F" w:rsidRPr="00683C1D" w:rsidRDefault="00475177" w:rsidP="005E317F">
      <w:pPr>
        <w:pStyle w:val="ActHead9"/>
      </w:pPr>
      <w:bookmarkStart w:id="8" w:name="_Toc41127528"/>
      <w:r w:rsidRPr="00683C1D">
        <w:t>Commonwealth Scholarship</w:t>
      </w:r>
      <w:r w:rsidR="00C27EB3" w:rsidRPr="00683C1D">
        <w:t>s</w:t>
      </w:r>
      <w:r w:rsidRPr="00683C1D">
        <w:t xml:space="preserve"> Guidelines (Research) 2017</w:t>
      </w:r>
      <w:bookmarkEnd w:id="8"/>
    </w:p>
    <w:p w14:paraId="69E15E04" w14:textId="77777777" w:rsidR="005E317F" w:rsidRPr="00683C1D" w:rsidRDefault="005E317F" w:rsidP="005E317F">
      <w:pPr>
        <w:pStyle w:val="ItemHead"/>
      </w:pPr>
      <w:r w:rsidRPr="00683C1D">
        <w:t xml:space="preserve">1  </w:t>
      </w:r>
      <w:r w:rsidR="00FC1D86" w:rsidRPr="00683C1D">
        <w:t xml:space="preserve">Section </w:t>
      </w:r>
      <w:proofErr w:type="spellStart"/>
      <w:r w:rsidR="00FC1D86" w:rsidRPr="00683C1D">
        <w:t>i.v</w:t>
      </w:r>
      <w:proofErr w:type="spellEnd"/>
    </w:p>
    <w:p w14:paraId="05E0B3E5" w14:textId="77777777" w:rsidR="00647EE1" w:rsidRPr="00683C1D" w:rsidRDefault="00647EE1" w:rsidP="00647EE1">
      <w:pPr>
        <w:pStyle w:val="Item"/>
      </w:pPr>
    </w:p>
    <w:p w14:paraId="5AF70A0C" w14:textId="21966492" w:rsidR="00FC1D86" w:rsidRPr="00683C1D" w:rsidRDefault="00FC1D86" w:rsidP="00FC1D86">
      <w:pPr>
        <w:tabs>
          <w:tab w:val="left" w:pos="2040"/>
        </w:tabs>
        <w:spacing w:after="120"/>
        <w:ind w:left="2880" w:hanging="2880"/>
        <w:rPr>
          <w:bCs/>
        </w:rPr>
      </w:pPr>
      <w:r w:rsidRPr="00683C1D">
        <w:rPr>
          <w:bCs/>
        </w:rPr>
        <w:t>Amend the following definition</w:t>
      </w:r>
      <w:r w:rsidR="00CF3476" w:rsidRPr="00683C1D">
        <w:rPr>
          <w:bCs/>
        </w:rPr>
        <w:t>s</w:t>
      </w:r>
      <w:r w:rsidRPr="00683C1D">
        <w:rPr>
          <w:bCs/>
        </w:rPr>
        <w:t>:</w:t>
      </w:r>
    </w:p>
    <w:p w14:paraId="524949EC" w14:textId="468F8DA5" w:rsidR="00FC1D86" w:rsidRPr="00683C1D" w:rsidRDefault="00CF3476" w:rsidP="00FC1D86">
      <w:pPr>
        <w:tabs>
          <w:tab w:val="left" w:pos="2040"/>
        </w:tabs>
        <w:spacing w:after="120"/>
        <w:ind w:left="2880" w:hanging="2880"/>
        <w:rPr>
          <w:bCs/>
        </w:rPr>
      </w:pPr>
      <w:r w:rsidRPr="00683C1D">
        <w:rPr>
          <w:bCs/>
          <w:i/>
        </w:rPr>
        <w:t>t</w:t>
      </w:r>
      <w:r w:rsidR="00FC1D86" w:rsidRPr="00683C1D">
        <w:rPr>
          <w:bCs/>
          <w:i/>
        </w:rPr>
        <w:t>he department</w:t>
      </w:r>
      <w:r w:rsidR="00FC1D86" w:rsidRPr="00683C1D">
        <w:rPr>
          <w:bCs/>
        </w:rPr>
        <w:tab/>
      </w:r>
      <w:r w:rsidR="00FC1D86" w:rsidRPr="00683C1D">
        <w:rPr>
          <w:bCs/>
        </w:rPr>
        <w:tab/>
        <w:t xml:space="preserve">means the Commonwealth </w:t>
      </w:r>
      <w:r w:rsidR="00AB40DE" w:rsidRPr="00683C1D">
        <w:rPr>
          <w:bCs/>
        </w:rPr>
        <w:t>d</w:t>
      </w:r>
      <w:r w:rsidR="00FC1D86" w:rsidRPr="00683C1D">
        <w:rPr>
          <w:bCs/>
        </w:rPr>
        <w:t xml:space="preserve">epartment </w:t>
      </w:r>
      <w:r w:rsidR="00AB40DE" w:rsidRPr="00683C1D">
        <w:rPr>
          <w:bCs/>
        </w:rPr>
        <w:t>responsible for administering the Act</w:t>
      </w:r>
    </w:p>
    <w:p w14:paraId="6106A0CA" w14:textId="24B5DAAC" w:rsidR="00CF3476" w:rsidRPr="00683C1D" w:rsidRDefault="00CF3476" w:rsidP="00FC1D86">
      <w:pPr>
        <w:tabs>
          <w:tab w:val="left" w:pos="2040"/>
        </w:tabs>
        <w:spacing w:after="120"/>
        <w:ind w:left="2880" w:hanging="2880"/>
        <w:rPr>
          <w:bCs/>
        </w:rPr>
      </w:pPr>
      <w:r w:rsidRPr="00683C1D">
        <w:rPr>
          <w:bCs/>
          <w:i/>
        </w:rPr>
        <w:t>the Minister</w:t>
      </w:r>
      <w:r w:rsidRPr="00683C1D">
        <w:rPr>
          <w:bCs/>
          <w:i/>
        </w:rPr>
        <w:tab/>
      </w:r>
      <w:r w:rsidRPr="00683C1D">
        <w:rPr>
          <w:bCs/>
          <w:i/>
        </w:rPr>
        <w:tab/>
      </w:r>
      <w:r w:rsidR="00900C94" w:rsidRPr="00683C1D">
        <w:rPr>
          <w:bCs/>
        </w:rPr>
        <w:t>means the Minister responsible for administering the Act</w:t>
      </w:r>
    </w:p>
    <w:p w14:paraId="60A5BB39" w14:textId="77777777" w:rsidR="005E317F" w:rsidRPr="00683C1D" w:rsidRDefault="005E317F" w:rsidP="005E317F">
      <w:pPr>
        <w:pStyle w:val="ItemHead"/>
      </w:pPr>
      <w:r w:rsidRPr="00683C1D">
        <w:t xml:space="preserve">2  </w:t>
      </w:r>
      <w:r w:rsidR="00647EE1" w:rsidRPr="00683C1D">
        <w:t>Paragraph 1.4.</w:t>
      </w:r>
      <w:r w:rsidR="00E205E8" w:rsidRPr="00683C1D">
        <w:t>15</w:t>
      </w:r>
    </w:p>
    <w:p w14:paraId="510C6767" w14:textId="30486D30" w:rsidR="005E317F" w:rsidRPr="00683C1D" w:rsidRDefault="00EA1FCE" w:rsidP="00221814">
      <w:pPr>
        <w:pStyle w:val="Item"/>
        <w:ind w:left="0"/>
      </w:pPr>
      <w:r w:rsidRPr="00683C1D">
        <w:t>I</w:t>
      </w:r>
      <w:r w:rsidR="00D956F1" w:rsidRPr="00683C1D">
        <w:t>n</w:t>
      </w:r>
      <w:r w:rsidR="00E205E8" w:rsidRPr="00683C1D">
        <w:t xml:space="preserve"> </w:t>
      </w:r>
      <w:r w:rsidR="00D956F1" w:rsidRPr="00683C1D">
        <w:t>paragraph 1.4.1</w:t>
      </w:r>
      <w:r w:rsidR="00E205E8" w:rsidRPr="00683C1D">
        <w:t xml:space="preserve">5 replace the words “for the 2017, 2018, 2019 and 2020 </w:t>
      </w:r>
      <w:r w:rsidR="00E205E8" w:rsidRPr="00683C1D">
        <w:rPr>
          <w:i/>
        </w:rPr>
        <w:t>Grant Years</w:t>
      </w:r>
      <w:r w:rsidR="00E205E8" w:rsidRPr="00683C1D">
        <w:t xml:space="preserve">” with “for the 2017, 2018, 2019, 2020 and 2021 </w:t>
      </w:r>
      <w:r w:rsidR="00E205E8" w:rsidRPr="00683C1D">
        <w:rPr>
          <w:i/>
        </w:rPr>
        <w:t>Grant Years</w:t>
      </w:r>
      <w:r w:rsidR="00E205E8" w:rsidRPr="00683C1D">
        <w:t>”</w:t>
      </w:r>
    </w:p>
    <w:p w14:paraId="63E7B142" w14:textId="77777777" w:rsidR="005E317F" w:rsidRPr="00683C1D" w:rsidRDefault="005E317F" w:rsidP="005E317F">
      <w:pPr>
        <w:pStyle w:val="ItemHead"/>
      </w:pPr>
      <w:r w:rsidRPr="00683C1D">
        <w:t xml:space="preserve">3  </w:t>
      </w:r>
      <w:r w:rsidR="00C311F5" w:rsidRPr="00683C1D">
        <w:t>Paragraph 1.4.20</w:t>
      </w:r>
    </w:p>
    <w:p w14:paraId="4A881ED2" w14:textId="77777777" w:rsidR="00B028D7" w:rsidRPr="00683C1D" w:rsidRDefault="00B028D7" w:rsidP="00B028D7">
      <w:pPr>
        <w:pStyle w:val="Item"/>
      </w:pPr>
    </w:p>
    <w:p w14:paraId="63134311" w14:textId="77777777" w:rsidR="005E317F" w:rsidRPr="00683C1D" w:rsidRDefault="005E317F" w:rsidP="00C311F5">
      <w:pPr>
        <w:pStyle w:val="Item"/>
        <w:ind w:left="0"/>
      </w:pPr>
      <w:r w:rsidRPr="00683C1D">
        <w:t xml:space="preserve">Repeal </w:t>
      </w:r>
      <w:r w:rsidR="00C311F5" w:rsidRPr="00683C1D">
        <w:t>existing paragraph 1.4.20 and substitute new paragraph 1.4.20:</w:t>
      </w:r>
    </w:p>
    <w:p w14:paraId="7500C8C7" w14:textId="77777777" w:rsidR="00C311F5" w:rsidRPr="00683C1D" w:rsidRDefault="00C311F5" w:rsidP="00C311F5">
      <w:pPr>
        <w:pStyle w:val="ItemHead"/>
        <w:rPr>
          <w:rFonts w:ascii="Times New Roman" w:hAnsi="Times New Roman"/>
          <w:sz w:val="26"/>
          <w:szCs w:val="26"/>
        </w:rPr>
      </w:pPr>
      <w:r w:rsidRPr="00683C1D">
        <w:rPr>
          <w:rFonts w:ascii="Times New Roman" w:hAnsi="Times New Roman"/>
          <w:sz w:val="26"/>
          <w:szCs w:val="26"/>
        </w:rPr>
        <w:t>1.4.20</w:t>
      </w:r>
      <w:r w:rsidRPr="00683C1D">
        <w:rPr>
          <w:rFonts w:ascii="Times New Roman" w:hAnsi="Times New Roman"/>
          <w:sz w:val="26"/>
          <w:szCs w:val="26"/>
        </w:rPr>
        <w:tab/>
      </w:r>
      <w:r w:rsidRPr="00683C1D">
        <w:rPr>
          <w:rFonts w:ascii="Times New Roman" w:hAnsi="Times New Roman"/>
          <w:sz w:val="26"/>
          <w:szCs w:val="26"/>
        </w:rPr>
        <w:tab/>
      </w:r>
      <w:r w:rsidRPr="00683C1D">
        <w:rPr>
          <w:rFonts w:ascii="Times New Roman" w:hAnsi="Times New Roman"/>
          <w:sz w:val="26"/>
          <w:szCs w:val="26"/>
        </w:rPr>
        <w:tab/>
        <w:t>Grant amounts for 2022 and future Grant Years</w:t>
      </w:r>
    </w:p>
    <w:p w14:paraId="3A235FD2" w14:textId="77777777" w:rsidR="00C311F5" w:rsidRPr="00683C1D" w:rsidRDefault="00C311F5" w:rsidP="00C311F5"/>
    <w:p w14:paraId="32F81C62" w14:textId="537AD318" w:rsidR="00C311F5" w:rsidRPr="00683C1D" w:rsidRDefault="00C311F5" w:rsidP="00221814">
      <w:r w:rsidRPr="00683C1D">
        <w:t xml:space="preserve">Subject to any adjustment that may be made under paragraph 1.4.30, for the 2022 and future </w:t>
      </w:r>
      <w:r w:rsidRPr="00683C1D">
        <w:rPr>
          <w:i/>
        </w:rPr>
        <w:t>Grant Years</w:t>
      </w:r>
      <w:r w:rsidRPr="00683C1D">
        <w:t xml:space="preserve">, each </w:t>
      </w:r>
      <w:r w:rsidRPr="00683C1D">
        <w:rPr>
          <w:i/>
        </w:rPr>
        <w:t>HEP</w:t>
      </w:r>
      <w:r w:rsidRPr="00683C1D">
        <w:t xml:space="preserve">’s </w:t>
      </w:r>
      <w:r w:rsidRPr="00683C1D">
        <w:rPr>
          <w:i/>
        </w:rPr>
        <w:t>RTP</w:t>
      </w:r>
      <w:r w:rsidRPr="00683C1D">
        <w:t xml:space="preserve"> Grant Amount is equal to that </w:t>
      </w:r>
      <w:r w:rsidRPr="00683C1D">
        <w:rPr>
          <w:i/>
        </w:rPr>
        <w:t>HEP’</w:t>
      </w:r>
      <w:r w:rsidRPr="00683C1D">
        <w:t>s Basic Grant Amount calculated in paragraph 1.4.5.</w:t>
      </w:r>
      <w:bookmarkStart w:id="9" w:name="_Toc442795980"/>
      <w:bookmarkStart w:id="10" w:name="_Toc442796049"/>
      <w:bookmarkStart w:id="11" w:name="_Toc442797627"/>
      <w:bookmarkStart w:id="12" w:name="_Toc442797699"/>
      <w:bookmarkStart w:id="13" w:name="_Toc442795993"/>
      <w:bookmarkStart w:id="14" w:name="_Toc442796062"/>
      <w:bookmarkStart w:id="15" w:name="_Toc442797640"/>
      <w:bookmarkStart w:id="16" w:name="_Toc442797712"/>
      <w:bookmarkStart w:id="17" w:name="_Toc442795995"/>
      <w:bookmarkStart w:id="18" w:name="_Toc442796064"/>
      <w:bookmarkStart w:id="19" w:name="_Toc442797642"/>
      <w:bookmarkStart w:id="20" w:name="_Toc442797714"/>
      <w:bookmarkStart w:id="21" w:name="_Toc442795998"/>
      <w:bookmarkStart w:id="22" w:name="_Toc442796067"/>
      <w:bookmarkStart w:id="23" w:name="_Toc442797645"/>
      <w:bookmarkStart w:id="24" w:name="_Toc442797717"/>
      <w:bookmarkStart w:id="25" w:name="_Toc442796000"/>
      <w:bookmarkStart w:id="26" w:name="_Toc442796069"/>
      <w:bookmarkStart w:id="27" w:name="_Toc442797647"/>
      <w:bookmarkStart w:id="28" w:name="_Toc442797719"/>
      <w:bookmarkStart w:id="29" w:name="_Toc442796005"/>
      <w:bookmarkStart w:id="30" w:name="_Toc442796074"/>
      <w:bookmarkStart w:id="31" w:name="_Toc442797652"/>
      <w:bookmarkStart w:id="32" w:name="_Toc442797724"/>
      <w:bookmarkStart w:id="33" w:name="_Toc442796009"/>
      <w:bookmarkStart w:id="34" w:name="_Toc442796078"/>
      <w:bookmarkStart w:id="35" w:name="_Toc442797656"/>
      <w:bookmarkStart w:id="36" w:name="_Toc442797728"/>
      <w:bookmarkStart w:id="37" w:name="_Toc442796011"/>
      <w:bookmarkStart w:id="38" w:name="_Toc442796080"/>
      <w:bookmarkStart w:id="39" w:name="_Toc442797658"/>
      <w:bookmarkStart w:id="40" w:name="_Toc442797730"/>
      <w:bookmarkStart w:id="41" w:name="_Toc442796012"/>
      <w:bookmarkStart w:id="42" w:name="_Toc442796081"/>
      <w:bookmarkStart w:id="43" w:name="_Toc442797659"/>
      <w:bookmarkStart w:id="44" w:name="_Toc442797731"/>
      <w:bookmarkStart w:id="45" w:name="_Toc442796015"/>
      <w:bookmarkStart w:id="46" w:name="_Toc442796084"/>
      <w:bookmarkStart w:id="47" w:name="_Toc442797662"/>
      <w:bookmarkStart w:id="48" w:name="_Toc442797734"/>
      <w:bookmarkStart w:id="49" w:name="_Toc514164141"/>
      <w:bookmarkStart w:id="50" w:name="_Toc51543936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683C1D">
        <w:t xml:space="preserve"> </w:t>
      </w:r>
      <w:bookmarkEnd w:id="49"/>
      <w:bookmarkEnd w:id="50"/>
    </w:p>
    <w:p w14:paraId="7365B9EF" w14:textId="77777777" w:rsidR="005E317F" w:rsidRPr="00683C1D" w:rsidRDefault="005E317F" w:rsidP="005E317F">
      <w:pPr>
        <w:pStyle w:val="ItemHead"/>
      </w:pPr>
      <w:r w:rsidRPr="00683C1D">
        <w:t xml:space="preserve">4  </w:t>
      </w:r>
      <w:r w:rsidR="009702DB" w:rsidRPr="00683C1D">
        <w:t>After p</w:t>
      </w:r>
      <w:r w:rsidR="00C311F5" w:rsidRPr="00683C1D">
        <w:t>aragraph 1.6.</w:t>
      </w:r>
      <w:r w:rsidR="009702DB" w:rsidRPr="00683C1D">
        <w:t>5</w:t>
      </w:r>
    </w:p>
    <w:p w14:paraId="209AF9F7" w14:textId="77777777" w:rsidR="00927466" w:rsidRPr="00683C1D" w:rsidRDefault="00927466" w:rsidP="00927466">
      <w:pPr>
        <w:pStyle w:val="Item"/>
        <w:ind w:left="0"/>
      </w:pPr>
      <w:r w:rsidRPr="00683C1D">
        <w:t>Insert new paragraph 1.6.6:</w:t>
      </w:r>
    </w:p>
    <w:p w14:paraId="7474412F" w14:textId="77777777" w:rsidR="00927466" w:rsidRPr="00683C1D" w:rsidRDefault="00927466" w:rsidP="00927466">
      <w:pPr>
        <w:pStyle w:val="ItemHead"/>
        <w:rPr>
          <w:rFonts w:ascii="Times New Roman" w:hAnsi="Times New Roman"/>
          <w:sz w:val="26"/>
          <w:szCs w:val="26"/>
        </w:rPr>
      </w:pPr>
      <w:r w:rsidRPr="00683C1D">
        <w:rPr>
          <w:rFonts w:ascii="Times New Roman" w:hAnsi="Times New Roman"/>
          <w:sz w:val="26"/>
          <w:szCs w:val="26"/>
        </w:rPr>
        <w:t>1.6.6</w:t>
      </w:r>
      <w:r w:rsidRPr="00683C1D">
        <w:rPr>
          <w:rFonts w:ascii="Times New Roman" w:hAnsi="Times New Roman"/>
          <w:sz w:val="26"/>
          <w:szCs w:val="26"/>
        </w:rPr>
        <w:tab/>
      </w:r>
      <w:r w:rsidRPr="00683C1D">
        <w:rPr>
          <w:rFonts w:ascii="Times New Roman" w:hAnsi="Times New Roman"/>
          <w:sz w:val="26"/>
          <w:szCs w:val="26"/>
        </w:rPr>
        <w:tab/>
      </w:r>
      <w:r w:rsidRPr="00683C1D">
        <w:rPr>
          <w:rFonts w:ascii="Times New Roman" w:hAnsi="Times New Roman"/>
          <w:sz w:val="26"/>
          <w:szCs w:val="26"/>
        </w:rPr>
        <w:tab/>
        <w:t>COVID-19 extension</w:t>
      </w:r>
    </w:p>
    <w:p w14:paraId="2AF59AB7" w14:textId="77777777" w:rsidR="000C31C2" w:rsidRPr="00683C1D" w:rsidRDefault="000C31C2" w:rsidP="000C31C2"/>
    <w:p w14:paraId="2B3D3506" w14:textId="062C75DD" w:rsidR="000C31C2" w:rsidRPr="00683C1D" w:rsidRDefault="00927466" w:rsidP="000C31C2">
      <w:r w:rsidRPr="00683C1D">
        <w:t>A HEP may approve an extension of up to six months</w:t>
      </w:r>
      <w:r w:rsidR="000C31C2" w:rsidRPr="00683C1D">
        <w:t xml:space="preserve"> to the Period of Support specified in paragraph 1.6.5 if a student is </w:t>
      </w:r>
      <w:r w:rsidR="00762775" w:rsidRPr="00683C1D">
        <w:t xml:space="preserve">otherwise </w:t>
      </w:r>
      <w:r w:rsidR="000C31C2" w:rsidRPr="00683C1D">
        <w:t xml:space="preserve">making satisfactory progress and the grounds for the extension relate to the student’s </w:t>
      </w:r>
      <w:r w:rsidR="000C31C2" w:rsidRPr="00683C1D">
        <w:rPr>
          <w:i/>
        </w:rPr>
        <w:t>course of study</w:t>
      </w:r>
      <w:r w:rsidR="000C31C2" w:rsidRPr="00683C1D">
        <w:t xml:space="preserve"> being materially adversely impacted by COVID-19 restrictions. </w:t>
      </w:r>
    </w:p>
    <w:p w14:paraId="6627F926" w14:textId="77777777" w:rsidR="000C31C2" w:rsidRPr="00683C1D" w:rsidRDefault="000C31C2" w:rsidP="000C31C2">
      <w:pPr>
        <w:ind w:left="720" w:hanging="720"/>
        <w:rPr>
          <w:rFonts w:cs="Arial"/>
          <w:szCs w:val="22"/>
        </w:rPr>
      </w:pPr>
    </w:p>
    <w:p w14:paraId="268E1C12" w14:textId="77777777" w:rsidR="000C31C2" w:rsidRPr="00683C1D" w:rsidRDefault="000C31C2" w:rsidP="000C31C2">
      <w:r w:rsidRPr="00683C1D">
        <w:t>The following provisions apply to COVID-19 extensions:</w:t>
      </w:r>
    </w:p>
    <w:p w14:paraId="34D79C48" w14:textId="77777777" w:rsidR="0003370C" w:rsidRPr="00683C1D" w:rsidRDefault="0003370C" w:rsidP="000C31C2"/>
    <w:p w14:paraId="4E934368" w14:textId="4273F97F" w:rsidR="000C31C2" w:rsidRPr="00683C1D" w:rsidRDefault="000C31C2" w:rsidP="00B10EB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3C1D">
        <w:rPr>
          <w:sz w:val="22"/>
          <w:szCs w:val="22"/>
        </w:rPr>
        <w:t xml:space="preserve">Eligibility is limited to students </w:t>
      </w:r>
      <w:r w:rsidR="00762775" w:rsidRPr="00683C1D">
        <w:rPr>
          <w:sz w:val="22"/>
          <w:szCs w:val="22"/>
        </w:rPr>
        <w:t xml:space="preserve">that were either enrolled in a </w:t>
      </w:r>
      <w:r w:rsidR="00762775" w:rsidRPr="00683C1D">
        <w:rPr>
          <w:i/>
          <w:sz w:val="22"/>
          <w:szCs w:val="22"/>
        </w:rPr>
        <w:t>course of study</w:t>
      </w:r>
      <w:r w:rsidR="00762775" w:rsidRPr="00683C1D">
        <w:rPr>
          <w:sz w:val="22"/>
          <w:szCs w:val="22"/>
        </w:rPr>
        <w:t>:</w:t>
      </w:r>
    </w:p>
    <w:p w14:paraId="47890451" w14:textId="78A4134D" w:rsidR="00762775" w:rsidRPr="00683C1D" w:rsidRDefault="00762775" w:rsidP="0022778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3C1D">
        <w:rPr>
          <w:sz w:val="22"/>
          <w:szCs w:val="22"/>
        </w:rPr>
        <w:t>as at 1 March 2020</w:t>
      </w:r>
      <w:r w:rsidR="00506603" w:rsidRPr="00683C1D">
        <w:rPr>
          <w:sz w:val="22"/>
          <w:szCs w:val="22"/>
        </w:rPr>
        <w:t>;</w:t>
      </w:r>
      <w:r w:rsidRPr="00683C1D">
        <w:rPr>
          <w:sz w:val="22"/>
          <w:szCs w:val="22"/>
        </w:rPr>
        <w:t xml:space="preserve"> or</w:t>
      </w:r>
    </w:p>
    <w:p w14:paraId="12B0945D" w14:textId="57435776" w:rsidR="00762775" w:rsidRPr="00683C1D" w:rsidRDefault="00762775" w:rsidP="00227788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83C1D">
        <w:rPr>
          <w:sz w:val="22"/>
          <w:szCs w:val="22"/>
        </w:rPr>
        <w:t xml:space="preserve">prior to 1 March 2020 and on a </w:t>
      </w:r>
      <w:r w:rsidRPr="00683C1D">
        <w:rPr>
          <w:i/>
          <w:sz w:val="22"/>
          <w:szCs w:val="22"/>
        </w:rPr>
        <w:t>suspension</w:t>
      </w:r>
      <w:r w:rsidRPr="00683C1D">
        <w:rPr>
          <w:sz w:val="22"/>
          <w:szCs w:val="22"/>
        </w:rPr>
        <w:t xml:space="preserve"> or leave of absence </w:t>
      </w:r>
      <w:r w:rsidR="00FB7835" w:rsidRPr="00683C1D">
        <w:rPr>
          <w:sz w:val="22"/>
          <w:szCs w:val="22"/>
        </w:rPr>
        <w:t xml:space="preserve">as </w:t>
      </w:r>
      <w:r w:rsidRPr="00683C1D">
        <w:rPr>
          <w:sz w:val="22"/>
          <w:szCs w:val="22"/>
        </w:rPr>
        <w:t>at 1</w:t>
      </w:r>
      <w:r w:rsidR="004A0D8F" w:rsidRPr="00683C1D">
        <w:rPr>
          <w:sz w:val="22"/>
          <w:szCs w:val="22"/>
        </w:rPr>
        <w:t> </w:t>
      </w:r>
      <w:r w:rsidRPr="00683C1D">
        <w:rPr>
          <w:sz w:val="22"/>
          <w:szCs w:val="22"/>
        </w:rPr>
        <w:t>March 2020</w:t>
      </w:r>
      <w:r w:rsidR="004A0D8F" w:rsidRPr="00683C1D">
        <w:rPr>
          <w:sz w:val="22"/>
          <w:szCs w:val="22"/>
        </w:rPr>
        <w:t>.</w:t>
      </w:r>
    </w:p>
    <w:p w14:paraId="028DD10A" w14:textId="77777777" w:rsidR="0003370C" w:rsidRPr="00683C1D" w:rsidRDefault="0003370C" w:rsidP="00B10EB3">
      <w:pPr>
        <w:pStyle w:val="ListParagraph"/>
        <w:ind w:left="1080"/>
        <w:rPr>
          <w:sz w:val="22"/>
          <w:szCs w:val="22"/>
        </w:rPr>
      </w:pPr>
    </w:p>
    <w:p w14:paraId="15992176" w14:textId="71066B80" w:rsidR="000C31C2" w:rsidRPr="00683C1D" w:rsidRDefault="000C31C2" w:rsidP="00B10EB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3C1D">
        <w:rPr>
          <w:sz w:val="22"/>
          <w:szCs w:val="22"/>
        </w:rPr>
        <w:t xml:space="preserve">All extensions must be approved by a </w:t>
      </w:r>
      <w:r w:rsidRPr="00683C1D">
        <w:rPr>
          <w:i/>
          <w:sz w:val="22"/>
          <w:szCs w:val="22"/>
        </w:rPr>
        <w:t>HEP</w:t>
      </w:r>
      <w:r w:rsidRPr="00683C1D">
        <w:rPr>
          <w:sz w:val="22"/>
          <w:szCs w:val="22"/>
        </w:rPr>
        <w:t xml:space="preserve"> by no later than </w:t>
      </w:r>
      <w:r w:rsidR="00227788" w:rsidRPr="00683C1D">
        <w:rPr>
          <w:sz w:val="22"/>
          <w:szCs w:val="22"/>
        </w:rPr>
        <w:t>31 December 2022</w:t>
      </w:r>
      <w:r w:rsidRPr="00683C1D">
        <w:rPr>
          <w:sz w:val="22"/>
          <w:szCs w:val="22"/>
        </w:rPr>
        <w:t>.</w:t>
      </w:r>
    </w:p>
    <w:p w14:paraId="2EA56185" w14:textId="77777777" w:rsidR="0003370C" w:rsidRPr="00683C1D" w:rsidRDefault="0003370C" w:rsidP="00B10EB3">
      <w:pPr>
        <w:pStyle w:val="ListParagraph"/>
        <w:rPr>
          <w:sz w:val="22"/>
          <w:szCs w:val="22"/>
        </w:rPr>
      </w:pPr>
    </w:p>
    <w:p w14:paraId="2C172371" w14:textId="26EDA950" w:rsidR="004A0D8F" w:rsidRPr="00683C1D" w:rsidRDefault="000C31C2" w:rsidP="004A0D8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3C1D">
        <w:rPr>
          <w:sz w:val="22"/>
          <w:szCs w:val="22"/>
        </w:rPr>
        <w:t xml:space="preserve">A </w:t>
      </w:r>
      <w:r w:rsidRPr="00683C1D">
        <w:rPr>
          <w:i/>
          <w:sz w:val="22"/>
          <w:szCs w:val="22"/>
        </w:rPr>
        <w:t>HEP</w:t>
      </w:r>
      <w:r w:rsidRPr="00683C1D">
        <w:rPr>
          <w:sz w:val="22"/>
          <w:szCs w:val="22"/>
        </w:rPr>
        <w:t xml:space="preserve"> must inform a student in writing of the approval of an extension and the period of the extension.</w:t>
      </w:r>
    </w:p>
    <w:p w14:paraId="199AF7E5" w14:textId="00F406C9" w:rsidR="000C31C2" w:rsidRPr="00683C1D" w:rsidRDefault="000C31C2" w:rsidP="00227788">
      <w:pPr>
        <w:ind w:left="360"/>
        <w:rPr>
          <w:szCs w:val="22"/>
        </w:rPr>
      </w:pPr>
    </w:p>
    <w:p w14:paraId="6924D817" w14:textId="77777777" w:rsidR="000C31C2" w:rsidRPr="00683C1D" w:rsidRDefault="000C31C2" w:rsidP="00B10EB3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683C1D">
        <w:rPr>
          <w:sz w:val="22"/>
          <w:szCs w:val="22"/>
        </w:rPr>
        <w:t xml:space="preserve">The maximum period of six months applies to students undertaking either </w:t>
      </w:r>
      <w:r w:rsidRPr="00683C1D">
        <w:rPr>
          <w:i/>
          <w:sz w:val="22"/>
          <w:szCs w:val="22"/>
        </w:rPr>
        <w:t>full</w:t>
      </w:r>
      <w:r w:rsidRPr="00683C1D">
        <w:rPr>
          <w:i/>
          <w:sz w:val="22"/>
          <w:szCs w:val="22"/>
        </w:rPr>
        <w:noBreakHyphen/>
        <w:t>time student load</w:t>
      </w:r>
      <w:r w:rsidRPr="00683C1D">
        <w:rPr>
          <w:sz w:val="22"/>
          <w:szCs w:val="22"/>
        </w:rPr>
        <w:t xml:space="preserve"> or </w:t>
      </w:r>
      <w:r w:rsidRPr="00683C1D">
        <w:rPr>
          <w:i/>
          <w:sz w:val="22"/>
          <w:szCs w:val="22"/>
        </w:rPr>
        <w:t>part-time student load</w:t>
      </w:r>
      <w:r w:rsidRPr="00683C1D">
        <w:rPr>
          <w:sz w:val="22"/>
          <w:szCs w:val="22"/>
        </w:rPr>
        <w:t>.</w:t>
      </w:r>
    </w:p>
    <w:p w14:paraId="4582EAA2" w14:textId="77777777" w:rsidR="005E317F" w:rsidRPr="00683C1D" w:rsidRDefault="005E317F" w:rsidP="000C31C2">
      <w:pPr>
        <w:pStyle w:val="ItemHead"/>
        <w:ind w:left="0" w:firstLine="0"/>
      </w:pPr>
      <w:r w:rsidRPr="00683C1D">
        <w:t xml:space="preserve">5  </w:t>
      </w:r>
      <w:r w:rsidR="000C31C2" w:rsidRPr="00683C1D">
        <w:t>Subparagraphs 1.6.45</w:t>
      </w:r>
      <w:r w:rsidR="00B028D7" w:rsidRPr="00683C1D">
        <w:t xml:space="preserve"> </w:t>
      </w:r>
      <w:r w:rsidR="000C31C2" w:rsidRPr="00683C1D">
        <w:t>(10) and 1.6.45</w:t>
      </w:r>
      <w:r w:rsidR="00B028D7" w:rsidRPr="00683C1D">
        <w:t xml:space="preserve"> </w:t>
      </w:r>
      <w:r w:rsidR="000C31C2" w:rsidRPr="00683C1D">
        <w:t>(11)</w:t>
      </w:r>
    </w:p>
    <w:p w14:paraId="4A70217E" w14:textId="77777777" w:rsidR="000C31C2" w:rsidRPr="00683C1D" w:rsidRDefault="000C31C2" w:rsidP="000C31C2">
      <w:pPr>
        <w:pStyle w:val="ItemHead"/>
        <w:rPr>
          <w:rFonts w:ascii="Times New Roman" w:hAnsi="Times New Roman"/>
          <w:b w:val="0"/>
          <w:kern w:val="0"/>
          <w:sz w:val="22"/>
        </w:rPr>
      </w:pPr>
      <w:r w:rsidRPr="00683C1D">
        <w:rPr>
          <w:rFonts w:ascii="Times New Roman" w:hAnsi="Times New Roman"/>
          <w:b w:val="0"/>
          <w:kern w:val="0"/>
          <w:sz w:val="22"/>
        </w:rPr>
        <w:t>Repeal existing subparagraphs 1.6.45 (10) and 1.6.45 (11) and insert new subparagraphs:</w:t>
      </w:r>
    </w:p>
    <w:p w14:paraId="4AC1B40B" w14:textId="77777777" w:rsidR="000C31C2" w:rsidRPr="00683C1D" w:rsidRDefault="000C31C2" w:rsidP="000C31C2">
      <w:pPr>
        <w:pStyle w:val="Item"/>
      </w:pPr>
    </w:p>
    <w:p w14:paraId="0424D89A" w14:textId="77777777" w:rsidR="000C31C2" w:rsidRPr="00683C1D" w:rsidRDefault="000C31C2" w:rsidP="000C31C2">
      <w:pPr>
        <w:numPr>
          <w:ilvl w:val="0"/>
          <w:numId w:val="14"/>
        </w:numPr>
        <w:tabs>
          <w:tab w:val="left" w:pos="840"/>
        </w:tabs>
        <w:rPr>
          <w:color w:val="000000"/>
        </w:rPr>
      </w:pPr>
      <w:r w:rsidRPr="00683C1D">
        <w:rPr>
          <w:color w:val="000000"/>
        </w:rPr>
        <w:t xml:space="preserve">the grievance and review procedures for </w:t>
      </w:r>
      <w:r w:rsidRPr="00683C1D">
        <w:rPr>
          <w:i/>
          <w:color w:val="000000"/>
        </w:rPr>
        <w:t>HDR</w:t>
      </w:r>
      <w:r w:rsidRPr="00683C1D">
        <w:rPr>
          <w:color w:val="000000"/>
        </w:rPr>
        <w:t xml:space="preserve"> students; </w:t>
      </w:r>
    </w:p>
    <w:p w14:paraId="14962DD1" w14:textId="77777777" w:rsidR="000C31C2" w:rsidRPr="00683C1D" w:rsidRDefault="000C31C2" w:rsidP="000C31C2">
      <w:pPr>
        <w:pStyle w:val="ListParagraph"/>
        <w:rPr>
          <w:color w:val="000000"/>
        </w:rPr>
      </w:pPr>
    </w:p>
    <w:p w14:paraId="6068624C" w14:textId="77777777" w:rsidR="000C31C2" w:rsidRPr="00683C1D" w:rsidRDefault="000C31C2" w:rsidP="000C31C2">
      <w:pPr>
        <w:numPr>
          <w:ilvl w:val="0"/>
          <w:numId w:val="14"/>
        </w:numPr>
        <w:tabs>
          <w:tab w:val="left" w:pos="840"/>
        </w:tabs>
        <w:ind w:left="839" w:hanging="839"/>
        <w:rPr>
          <w:color w:val="000000"/>
        </w:rPr>
      </w:pPr>
      <w:r w:rsidRPr="00683C1D">
        <w:rPr>
          <w:color w:val="000000"/>
        </w:rPr>
        <w:t xml:space="preserve">arrangements for optional industry placements, </w:t>
      </w:r>
      <w:r w:rsidRPr="00683C1D">
        <w:rPr>
          <w:i/>
          <w:color w:val="000000"/>
        </w:rPr>
        <w:t>research</w:t>
      </w:r>
      <w:r w:rsidRPr="00683C1D">
        <w:rPr>
          <w:color w:val="000000"/>
        </w:rPr>
        <w:t xml:space="preserve"> internships, professional practice activities or other similar enrichment activities undertaken as part of a </w:t>
      </w:r>
      <w:r w:rsidRPr="00683C1D">
        <w:rPr>
          <w:i/>
          <w:color w:val="000000"/>
        </w:rPr>
        <w:t>HDR</w:t>
      </w:r>
      <w:r w:rsidRPr="00683C1D">
        <w:rPr>
          <w:color w:val="000000"/>
        </w:rPr>
        <w:t xml:space="preserve">, including information on any impacts on duration in relation to subparagraph 1.6.5 and </w:t>
      </w:r>
      <w:r w:rsidRPr="00683C1D">
        <w:rPr>
          <w:i/>
          <w:color w:val="000000"/>
        </w:rPr>
        <w:t>RTP Stipend</w:t>
      </w:r>
      <w:r w:rsidRPr="00683C1D">
        <w:rPr>
          <w:color w:val="000000"/>
        </w:rPr>
        <w:t xml:space="preserve"> rates in relation to subparagraph 1.6.10; and</w:t>
      </w:r>
    </w:p>
    <w:p w14:paraId="1F8FE05E" w14:textId="77777777" w:rsidR="000C31C2" w:rsidRPr="00683C1D" w:rsidRDefault="000C31C2" w:rsidP="000C31C2">
      <w:pPr>
        <w:tabs>
          <w:tab w:val="left" w:pos="840"/>
        </w:tabs>
        <w:rPr>
          <w:color w:val="000000"/>
        </w:rPr>
      </w:pPr>
    </w:p>
    <w:p w14:paraId="105CD629" w14:textId="4FE7790F" w:rsidR="00DB64FC" w:rsidRPr="00B1728A" w:rsidRDefault="000C31C2" w:rsidP="00582BCF">
      <w:pPr>
        <w:ind w:left="720" w:hanging="720"/>
      </w:pPr>
      <w:r w:rsidRPr="00683C1D">
        <w:t xml:space="preserve"> (12)</w:t>
      </w:r>
      <w:r w:rsidRPr="00683C1D">
        <w:tab/>
        <w:t xml:space="preserve">provisions that identify the circumstances and procedures in which a </w:t>
      </w:r>
      <w:r w:rsidRPr="00683C1D">
        <w:rPr>
          <w:i/>
        </w:rPr>
        <w:t>HEP</w:t>
      </w:r>
      <w:r w:rsidRPr="00683C1D">
        <w:t xml:space="preserve"> will grant a COVID-19 extension in relation to paragraph 1.6.6.</w:t>
      </w:r>
    </w:p>
    <w:sectPr w:rsidR="00DB64FC" w:rsidRPr="00B1728A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DD34" w14:textId="77777777" w:rsidR="00925A2A" w:rsidRDefault="00925A2A" w:rsidP="0048364F">
      <w:pPr>
        <w:spacing w:line="240" w:lineRule="auto"/>
      </w:pPr>
      <w:r>
        <w:separator/>
      </w:r>
    </w:p>
  </w:endnote>
  <w:endnote w:type="continuationSeparator" w:id="0">
    <w:p w14:paraId="2A115216" w14:textId="77777777" w:rsidR="00925A2A" w:rsidRDefault="00925A2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3172E752" w14:textId="77777777" w:rsidTr="0001176A">
      <w:tc>
        <w:tcPr>
          <w:tcW w:w="5000" w:type="pct"/>
        </w:tcPr>
        <w:p w14:paraId="40E1CC99" w14:textId="77777777" w:rsidR="009278C1" w:rsidRDefault="009278C1" w:rsidP="0001176A">
          <w:pPr>
            <w:rPr>
              <w:sz w:val="18"/>
            </w:rPr>
          </w:pPr>
        </w:p>
      </w:tc>
    </w:tr>
  </w:tbl>
  <w:p w14:paraId="2020F12F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4CC2D0E" w14:textId="77777777" w:rsidTr="00C160A1">
      <w:tc>
        <w:tcPr>
          <w:tcW w:w="5000" w:type="pct"/>
        </w:tcPr>
        <w:p w14:paraId="3C9C5741" w14:textId="77777777" w:rsidR="00B20990" w:rsidRDefault="00B20990" w:rsidP="007946FE">
          <w:pPr>
            <w:rPr>
              <w:sz w:val="18"/>
            </w:rPr>
          </w:pPr>
        </w:p>
      </w:tc>
    </w:tr>
  </w:tbl>
  <w:p w14:paraId="37E96720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0922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3D97A76" w14:textId="77777777" w:rsidTr="00C160A1">
      <w:tc>
        <w:tcPr>
          <w:tcW w:w="5000" w:type="pct"/>
        </w:tcPr>
        <w:p w14:paraId="65302A73" w14:textId="77777777" w:rsidR="00B20990" w:rsidRDefault="00B20990" w:rsidP="00465764">
          <w:pPr>
            <w:rPr>
              <w:sz w:val="18"/>
            </w:rPr>
          </w:pPr>
        </w:p>
      </w:tc>
    </w:tr>
  </w:tbl>
  <w:p w14:paraId="493BBDEF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7389C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283C4BB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45396C9" w14:textId="2772F6D1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05E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5CC55E3" w14:textId="6B53978E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E05EA">
            <w:rPr>
              <w:i/>
              <w:noProof/>
              <w:sz w:val="18"/>
            </w:rPr>
            <w:t>Commonwealth Scholarships Guidelines (Research)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B07E07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52491D3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3194C2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6FAF9BB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372A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EFB758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72270A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F484D12" w14:textId="3833E6A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Commonwealth Scholarships Guidelines (Research)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3C1914A" w14:textId="0B2FF19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0844E9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E59A7B9" w14:textId="77777777" w:rsidR="00B20990" w:rsidRDefault="00B20990" w:rsidP="007946FE">
          <w:pPr>
            <w:rPr>
              <w:sz w:val="18"/>
            </w:rPr>
          </w:pPr>
        </w:p>
      </w:tc>
    </w:tr>
  </w:tbl>
  <w:p w14:paraId="7EC8677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60DA5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C0663E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A63255" w14:textId="148FBDA4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E5B3FC" w14:textId="4571474D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Commonwealth Scholarships Guidelines (Research)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367A8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4A1A82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347CB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8BE114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EF9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2BF5603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6B9E8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CE5B3" w14:textId="53D9AB0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Commonwealth Scholarships Guidelines (Research) Amendment (No.1)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F4E343" w14:textId="08AF616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8BB8F89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536E4E" w14:textId="77777777" w:rsidR="00EE57E8" w:rsidRDefault="00EE57E8" w:rsidP="00EE57E8">
          <w:pPr>
            <w:rPr>
              <w:sz w:val="18"/>
            </w:rPr>
          </w:pPr>
        </w:p>
      </w:tc>
    </w:tr>
  </w:tbl>
  <w:p w14:paraId="3E7E558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D1E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85F85A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E6851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8C3E7D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25A2A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46135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9FC99F9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9659B8" w14:textId="485C4EB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25A2A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FC6D0D">
            <w:rPr>
              <w:i/>
              <w:noProof/>
              <w:sz w:val="18"/>
            </w:rPr>
            <w:t>22/7/2020 8:41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ABACCA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4947C" w14:textId="77777777" w:rsidR="00925A2A" w:rsidRDefault="00925A2A" w:rsidP="0048364F">
      <w:pPr>
        <w:spacing w:line="240" w:lineRule="auto"/>
      </w:pPr>
      <w:r>
        <w:separator/>
      </w:r>
    </w:p>
  </w:footnote>
  <w:footnote w:type="continuationSeparator" w:id="0">
    <w:p w14:paraId="705AF8E4" w14:textId="77777777" w:rsidR="00925A2A" w:rsidRDefault="00925A2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E81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B0D0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A494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0FF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DA1C6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10ECC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CC39" w14:textId="77777777" w:rsidR="00EE57E8" w:rsidRPr="00A961C4" w:rsidRDefault="00EE57E8" w:rsidP="0048364F">
    <w:pPr>
      <w:rPr>
        <w:b/>
        <w:sz w:val="20"/>
      </w:rPr>
    </w:pPr>
  </w:p>
  <w:p w14:paraId="0EE559F6" w14:textId="77777777" w:rsidR="00EE57E8" w:rsidRPr="00A961C4" w:rsidRDefault="00EE57E8" w:rsidP="0048364F">
    <w:pPr>
      <w:rPr>
        <w:b/>
        <w:sz w:val="20"/>
      </w:rPr>
    </w:pPr>
  </w:p>
  <w:p w14:paraId="0FB8EF23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4C5E9" w14:textId="77777777" w:rsidR="00EE57E8" w:rsidRPr="00A961C4" w:rsidRDefault="00EE57E8" w:rsidP="0048364F">
    <w:pPr>
      <w:jc w:val="right"/>
      <w:rPr>
        <w:sz w:val="20"/>
      </w:rPr>
    </w:pPr>
  </w:p>
  <w:p w14:paraId="425951F6" w14:textId="77777777" w:rsidR="00EE57E8" w:rsidRPr="00A961C4" w:rsidRDefault="00EE57E8" w:rsidP="0048364F">
    <w:pPr>
      <w:jc w:val="right"/>
      <w:rPr>
        <w:b/>
        <w:sz w:val="20"/>
      </w:rPr>
    </w:pPr>
  </w:p>
  <w:p w14:paraId="77AA2DC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055F6"/>
    <w:multiLevelType w:val="hybridMultilevel"/>
    <w:tmpl w:val="2118F94E"/>
    <w:lvl w:ilvl="0" w:tplc="DF626AA8">
      <w:start w:val="10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583926"/>
    <w:multiLevelType w:val="hybridMultilevel"/>
    <w:tmpl w:val="6A98ADA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53344202"/>
    <w:multiLevelType w:val="hybridMultilevel"/>
    <w:tmpl w:val="2138B57E"/>
    <w:lvl w:ilvl="0" w:tplc="E17AA67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2A"/>
    <w:rsid w:val="00000263"/>
    <w:rsid w:val="00002BCC"/>
    <w:rsid w:val="000113BC"/>
    <w:rsid w:val="000136AF"/>
    <w:rsid w:val="0003370C"/>
    <w:rsid w:val="00037255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31C2"/>
    <w:rsid w:val="000C67F5"/>
    <w:rsid w:val="000C7465"/>
    <w:rsid w:val="000D05EF"/>
    <w:rsid w:val="000D3FB9"/>
    <w:rsid w:val="000D5485"/>
    <w:rsid w:val="000E598E"/>
    <w:rsid w:val="000E5A3D"/>
    <w:rsid w:val="000F0ADA"/>
    <w:rsid w:val="000F1C02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1814"/>
    <w:rsid w:val="002245A6"/>
    <w:rsid w:val="00227788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1713F"/>
    <w:rsid w:val="003222D1"/>
    <w:rsid w:val="00325AF5"/>
    <w:rsid w:val="0032750F"/>
    <w:rsid w:val="003415D3"/>
    <w:rsid w:val="003442F6"/>
    <w:rsid w:val="00346335"/>
    <w:rsid w:val="00352B0F"/>
    <w:rsid w:val="003561B0"/>
    <w:rsid w:val="0036265D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0521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4D30"/>
    <w:rsid w:val="00475177"/>
    <w:rsid w:val="004819C7"/>
    <w:rsid w:val="0048364F"/>
    <w:rsid w:val="004877FC"/>
    <w:rsid w:val="00490F2E"/>
    <w:rsid w:val="00496F97"/>
    <w:rsid w:val="004A0D8F"/>
    <w:rsid w:val="004A53EA"/>
    <w:rsid w:val="004B35E7"/>
    <w:rsid w:val="004E05EA"/>
    <w:rsid w:val="004F1FAC"/>
    <w:rsid w:val="004F676E"/>
    <w:rsid w:val="004F71C0"/>
    <w:rsid w:val="00506603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4704D"/>
    <w:rsid w:val="00557C7A"/>
    <w:rsid w:val="00562A58"/>
    <w:rsid w:val="0056541A"/>
    <w:rsid w:val="00581211"/>
    <w:rsid w:val="00582BCF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36BC"/>
    <w:rsid w:val="005E61D3"/>
    <w:rsid w:val="00600219"/>
    <w:rsid w:val="006065DA"/>
    <w:rsid w:val="00606AA4"/>
    <w:rsid w:val="00640402"/>
    <w:rsid w:val="00640F78"/>
    <w:rsid w:val="00647EE1"/>
    <w:rsid w:val="00655D6A"/>
    <w:rsid w:val="00656DE9"/>
    <w:rsid w:val="00672876"/>
    <w:rsid w:val="00677CC2"/>
    <w:rsid w:val="00683C1D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2775"/>
    <w:rsid w:val="007634AD"/>
    <w:rsid w:val="007715C9"/>
    <w:rsid w:val="00774EDD"/>
    <w:rsid w:val="007757EC"/>
    <w:rsid w:val="007A6126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0C94"/>
    <w:rsid w:val="009069AD"/>
    <w:rsid w:val="00910E64"/>
    <w:rsid w:val="00922764"/>
    <w:rsid w:val="00925A2A"/>
    <w:rsid w:val="00927466"/>
    <w:rsid w:val="009278C1"/>
    <w:rsid w:val="00932377"/>
    <w:rsid w:val="009346E3"/>
    <w:rsid w:val="0094523D"/>
    <w:rsid w:val="009702DB"/>
    <w:rsid w:val="00976A63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40DE"/>
    <w:rsid w:val="00AC767C"/>
    <w:rsid w:val="00AD3467"/>
    <w:rsid w:val="00AD5641"/>
    <w:rsid w:val="00AF07F1"/>
    <w:rsid w:val="00AF33DB"/>
    <w:rsid w:val="00B028D7"/>
    <w:rsid w:val="00B032D8"/>
    <w:rsid w:val="00B05D72"/>
    <w:rsid w:val="00B10EB3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1F93"/>
    <w:rsid w:val="00C1320F"/>
    <w:rsid w:val="00C164CA"/>
    <w:rsid w:val="00C26051"/>
    <w:rsid w:val="00C27EB3"/>
    <w:rsid w:val="00C311F5"/>
    <w:rsid w:val="00C32B02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764"/>
    <w:rsid w:val="00CA7844"/>
    <w:rsid w:val="00CB58EF"/>
    <w:rsid w:val="00CE0A93"/>
    <w:rsid w:val="00CF0BB2"/>
    <w:rsid w:val="00CF3476"/>
    <w:rsid w:val="00D12B0D"/>
    <w:rsid w:val="00D13441"/>
    <w:rsid w:val="00D243A3"/>
    <w:rsid w:val="00D33440"/>
    <w:rsid w:val="00D52EFE"/>
    <w:rsid w:val="00D56A0D"/>
    <w:rsid w:val="00D62ABC"/>
    <w:rsid w:val="00D63EF6"/>
    <w:rsid w:val="00D66518"/>
    <w:rsid w:val="00D70DFB"/>
    <w:rsid w:val="00D71EEA"/>
    <w:rsid w:val="00D735CD"/>
    <w:rsid w:val="00D766DF"/>
    <w:rsid w:val="00D90841"/>
    <w:rsid w:val="00D956F1"/>
    <w:rsid w:val="00DA2439"/>
    <w:rsid w:val="00DA6F05"/>
    <w:rsid w:val="00DB64FC"/>
    <w:rsid w:val="00DE149E"/>
    <w:rsid w:val="00E034DB"/>
    <w:rsid w:val="00E05704"/>
    <w:rsid w:val="00E12F1A"/>
    <w:rsid w:val="00E205E8"/>
    <w:rsid w:val="00E22935"/>
    <w:rsid w:val="00E420FF"/>
    <w:rsid w:val="00E54292"/>
    <w:rsid w:val="00E60191"/>
    <w:rsid w:val="00E74DC7"/>
    <w:rsid w:val="00E87699"/>
    <w:rsid w:val="00E92E27"/>
    <w:rsid w:val="00E9586B"/>
    <w:rsid w:val="00E97334"/>
    <w:rsid w:val="00EA1FCE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B7835"/>
    <w:rsid w:val="00FC1D86"/>
    <w:rsid w:val="00FC3EAC"/>
    <w:rsid w:val="00FC6D0D"/>
    <w:rsid w:val="00FF05AD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AD34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aliases w:val="List Paragraph1,Recommendation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0C31C2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List Paragraph1 Char,Recommendation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locked/>
    <w:rsid w:val="000C31C2"/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02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D7"/>
    <w:rPr>
      <w:b/>
      <w:bCs/>
    </w:rPr>
  </w:style>
  <w:style w:type="paragraph" w:styleId="Revision">
    <w:name w:val="Revision"/>
    <w:hidden/>
    <w:uiPriority w:val="99"/>
    <w:semiHidden/>
    <w:rsid w:val="009702D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EFEC69E4</Template>
  <TotalTime>0</TotalTime>
  <Pages>7</Pages>
  <Words>621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2020-07-21T22:43:00Z</dcterms:created>
  <dcterms:modified xsi:type="dcterms:W3CDTF">2020-07-21T22:43:00Z</dcterms:modified>
</cp:coreProperties>
</file>