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1B27A" w14:textId="77777777" w:rsidR="00FA6784" w:rsidRPr="008149B4" w:rsidRDefault="00FA6784" w:rsidP="00FA6784">
      <w:pPr>
        <w:pStyle w:val="H3"/>
        <w:jc w:val="center"/>
        <w:rPr>
          <w:sz w:val="24"/>
          <w:szCs w:val="24"/>
        </w:rPr>
      </w:pPr>
      <w:r w:rsidRPr="008149B4">
        <w:rPr>
          <w:sz w:val="24"/>
          <w:szCs w:val="24"/>
        </w:rPr>
        <w:t>EXPLANATORY STATEMENT</w:t>
      </w:r>
    </w:p>
    <w:p w14:paraId="0998CCD6" w14:textId="77777777" w:rsidR="00FA6784" w:rsidRPr="008149B4" w:rsidRDefault="00FA6784" w:rsidP="00FA6784">
      <w:pPr>
        <w:jc w:val="center"/>
        <w:rPr>
          <w:sz w:val="22"/>
          <w:szCs w:val="22"/>
        </w:rPr>
      </w:pPr>
    </w:p>
    <w:p w14:paraId="45F6F167" w14:textId="77777777" w:rsidR="00FA6784" w:rsidRPr="008149B4" w:rsidRDefault="00FA6784" w:rsidP="00FA6784">
      <w:pPr>
        <w:jc w:val="center"/>
        <w:rPr>
          <w:i/>
          <w:iCs/>
        </w:rPr>
      </w:pPr>
      <w:r w:rsidRPr="008149B4">
        <w:rPr>
          <w:i/>
          <w:iCs/>
        </w:rPr>
        <w:t>Health Insurance Act 1973</w:t>
      </w:r>
    </w:p>
    <w:p w14:paraId="2D97D715" w14:textId="77777777" w:rsidR="00A1739A" w:rsidRPr="008149B4" w:rsidRDefault="00A1739A" w:rsidP="00A1739A">
      <w:pPr>
        <w:rPr>
          <w:szCs w:val="24"/>
          <w:u w:val="single"/>
        </w:rPr>
      </w:pPr>
    </w:p>
    <w:p w14:paraId="3523123A" w14:textId="749BD976" w:rsidR="00FD602D" w:rsidRPr="008149B4" w:rsidRDefault="002E4DB0" w:rsidP="00961795">
      <w:pPr>
        <w:ind w:right="84"/>
        <w:jc w:val="center"/>
        <w:rPr>
          <w:szCs w:val="24"/>
        </w:rPr>
      </w:pPr>
      <w:r w:rsidRPr="008149B4">
        <w:rPr>
          <w:i/>
          <w:iCs/>
        </w:rPr>
        <w:t xml:space="preserve">Health Insurance (Section 3C </w:t>
      </w:r>
      <w:r w:rsidR="00EA53A3" w:rsidRPr="008149B4">
        <w:rPr>
          <w:i/>
          <w:iCs/>
        </w:rPr>
        <w:t>General Medical</w:t>
      </w:r>
      <w:r w:rsidRPr="008149B4">
        <w:rPr>
          <w:i/>
          <w:iCs/>
        </w:rPr>
        <w:t xml:space="preserve"> Services – Cardiac Services) Determination 2020</w:t>
      </w:r>
    </w:p>
    <w:p w14:paraId="1D7F0D7E" w14:textId="77777777" w:rsidR="00164A69" w:rsidRPr="008149B4"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DCB781A" w14:textId="7FFBFAD1" w:rsidR="004129E0" w:rsidRPr="008149B4" w:rsidRDefault="004129E0"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8149B4">
        <w:rPr>
          <w:color w:val="000000"/>
          <w:shd w:val="clear" w:color="auto" w:fill="FFFFFF"/>
        </w:rPr>
        <w:t xml:space="preserve">Subsection 3C(1) of the </w:t>
      </w:r>
      <w:r w:rsidRPr="008149B4">
        <w:rPr>
          <w:i/>
          <w:color w:val="000000"/>
          <w:shd w:val="clear" w:color="auto" w:fill="FFFFFF"/>
        </w:rPr>
        <w:t>Health Insurance Act 1973</w:t>
      </w:r>
      <w:r w:rsidRPr="008149B4">
        <w:rPr>
          <w:color w:val="000000"/>
          <w:shd w:val="clear" w:color="auto" w:fill="FFFFFF"/>
        </w:rPr>
        <w:t xml:space="preserve"> (the Act) provides that the Minister may, by legislative instrument, determine that a health service not specified in an item in the general medical services table (the Table) shall, in specified circumstances and for specified statutory provisions, be treated as if it were specified in the Table.   </w:t>
      </w:r>
    </w:p>
    <w:p w14:paraId="52A809A4" w14:textId="77777777" w:rsidR="00841EDA" w:rsidRPr="008149B4"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FEAD664" w14:textId="58A1D1BF" w:rsidR="00050623" w:rsidRPr="008149B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r w:rsidRPr="008149B4">
        <w:t xml:space="preserve">The </w:t>
      </w:r>
      <w:r w:rsidR="00D01D5A" w:rsidRPr="008149B4">
        <w:t>Table</w:t>
      </w:r>
      <w:r w:rsidRPr="008149B4">
        <w:t xml:space="preserve"> is set out in the regulations made under subsection 4(1) of the Act. The most recent version of the regulations is the</w:t>
      </w:r>
      <w:r w:rsidR="002E4DB0" w:rsidRPr="008149B4">
        <w:t xml:space="preserve"> </w:t>
      </w:r>
      <w:r w:rsidR="002E4DB0" w:rsidRPr="008149B4">
        <w:rPr>
          <w:i/>
        </w:rPr>
        <w:t>Health Insurance (</w:t>
      </w:r>
      <w:r w:rsidR="00EA53A3" w:rsidRPr="008149B4">
        <w:rPr>
          <w:i/>
        </w:rPr>
        <w:t>General Medical</w:t>
      </w:r>
      <w:r w:rsidR="002E4DB0" w:rsidRPr="008149B4">
        <w:rPr>
          <w:i/>
        </w:rPr>
        <w:t xml:space="preserve"> Services Table) Regulations (No. 2) 2020.</w:t>
      </w:r>
    </w:p>
    <w:p w14:paraId="71330998" w14:textId="77777777" w:rsidR="00EA53A3" w:rsidRPr="008149B4" w:rsidRDefault="00EA53A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F2F8CF9" w14:textId="77777777" w:rsidR="00BB00BA" w:rsidRPr="008149B4" w:rsidRDefault="00A1739A" w:rsidP="00BB00BA">
      <w:pPr>
        <w:rPr>
          <w:b/>
          <w:szCs w:val="24"/>
          <w:lang w:val="en-US" w:eastAsia="en-US"/>
        </w:rPr>
      </w:pPr>
      <w:r w:rsidRPr="008149B4">
        <w:rPr>
          <w:b/>
          <w:szCs w:val="24"/>
          <w:lang w:val="en-US" w:eastAsia="en-US"/>
        </w:rPr>
        <w:t>Purpose</w:t>
      </w:r>
    </w:p>
    <w:p w14:paraId="3CAE9D74" w14:textId="7F9CC423" w:rsidR="00101D98" w:rsidRPr="008149B4" w:rsidRDefault="00B80DBB" w:rsidP="00101D98">
      <w:pPr>
        <w:rPr>
          <w:szCs w:val="24"/>
          <w:lang w:eastAsia="en-US"/>
        </w:rPr>
      </w:pPr>
      <w:r w:rsidRPr="008149B4">
        <w:rPr>
          <w:szCs w:val="24"/>
          <w:lang w:val="en-US" w:eastAsia="en-US"/>
        </w:rPr>
        <w:t xml:space="preserve">The purpose of the </w:t>
      </w:r>
      <w:r w:rsidRPr="008149B4">
        <w:rPr>
          <w:i/>
          <w:iCs/>
          <w:szCs w:val="24"/>
          <w:lang w:eastAsia="en-US"/>
        </w:rPr>
        <w:t xml:space="preserve">Health Insurance (Section 3C </w:t>
      </w:r>
      <w:r w:rsidR="00EA53A3" w:rsidRPr="008149B4">
        <w:rPr>
          <w:i/>
          <w:iCs/>
          <w:szCs w:val="24"/>
          <w:lang w:eastAsia="en-US"/>
        </w:rPr>
        <w:t>General Medical</w:t>
      </w:r>
      <w:r w:rsidRPr="008149B4">
        <w:rPr>
          <w:i/>
          <w:iCs/>
          <w:szCs w:val="24"/>
          <w:lang w:eastAsia="en-US"/>
        </w:rPr>
        <w:t xml:space="preserve"> Services – Cardiac Services) Determination 2020 </w:t>
      </w:r>
      <w:r w:rsidRPr="008149B4">
        <w:rPr>
          <w:iCs/>
          <w:szCs w:val="24"/>
          <w:lang w:eastAsia="en-US"/>
        </w:rPr>
        <w:t xml:space="preserve">(the Determination) is to list </w:t>
      </w:r>
      <w:r w:rsidR="00274CF9" w:rsidRPr="008149B4">
        <w:rPr>
          <w:iCs/>
          <w:szCs w:val="24"/>
          <w:lang w:eastAsia="en-US"/>
        </w:rPr>
        <w:t>10</w:t>
      </w:r>
      <w:r w:rsidR="003E00EB" w:rsidRPr="008149B4">
        <w:rPr>
          <w:iCs/>
          <w:szCs w:val="24"/>
          <w:lang w:eastAsia="en-US"/>
        </w:rPr>
        <w:t xml:space="preserve"> </w:t>
      </w:r>
      <w:r w:rsidRPr="008149B4">
        <w:rPr>
          <w:iCs/>
          <w:szCs w:val="24"/>
          <w:lang w:eastAsia="en-US"/>
        </w:rPr>
        <w:t>new Medicare Benefits Schedule (MBS) items for cardiac</w:t>
      </w:r>
      <w:r w:rsidR="0060632A" w:rsidRPr="008149B4">
        <w:rPr>
          <w:iCs/>
          <w:szCs w:val="24"/>
          <w:lang w:eastAsia="en-US"/>
        </w:rPr>
        <w:t xml:space="preserve"> investigation</w:t>
      </w:r>
      <w:r w:rsidRPr="008149B4">
        <w:rPr>
          <w:iCs/>
          <w:szCs w:val="24"/>
          <w:lang w:eastAsia="en-US"/>
        </w:rPr>
        <w:t xml:space="preserve"> services</w:t>
      </w:r>
      <w:r w:rsidR="003E00EB" w:rsidRPr="008149B4">
        <w:rPr>
          <w:iCs/>
          <w:szCs w:val="24"/>
          <w:lang w:eastAsia="en-US"/>
        </w:rPr>
        <w:t xml:space="preserve"> </w:t>
      </w:r>
      <w:r w:rsidRPr="008149B4">
        <w:rPr>
          <w:iCs/>
          <w:szCs w:val="24"/>
          <w:lang w:eastAsia="en-US"/>
        </w:rPr>
        <w:t>from 1 August 2020.</w:t>
      </w:r>
      <w:r w:rsidR="00A75EFE" w:rsidRPr="008149B4">
        <w:rPr>
          <w:iCs/>
          <w:szCs w:val="24"/>
          <w:lang w:eastAsia="en-US"/>
        </w:rPr>
        <w:t xml:space="preserve"> These amendments are part of the Government’s response to changes recommended by the clinician-led MBS Review Taskforce (the Taskforce)</w:t>
      </w:r>
      <w:r w:rsidR="005F576B" w:rsidRPr="008149B4">
        <w:rPr>
          <w:iCs/>
          <w:szCs w:val="24"/>
          <w:lang w:eastAsia="en-US"/>
        </w:rPr>
        <w:t xml:space="preserve"> made during the </w:t>
      </w:r>
      <w:r w:rsidR="00101D98" w:rsidRPr="008149B4">
        <w:rPr>
          <w:szCs w:val="24"/>
          <w:lang w:eastAsia="en-US"/>
        </w:rPr>
        <w:t xml:space="preserve">2018-19 </w:t>
      </w:r>
      <w:r w:rsidR="005F576B" w:rsidRPr="008149B4">
        <w:rPr>
          <w:szCs w:val="24"/>
          <w:lang w:eastAsia="en-US"/>
        </w:rPr>
        <w:br/>
      </w:r>
      <w:r w:rsidR="00101D98" w:rsidRPr="008149B4">
        <w:rPr>
          <w:szCs w:val="24"/>
          <w:lang w:eastAsia="en-US"/>
        </w:rPr>
        <w:t xml:space="preserve">Mid-Year Economic and Fiscal Outlook (MYEFO) under the </w:t>
      </w:r>
      <w:r w:rsidR="00101D98" w:rsidRPr="008149B4">
        <w:rPr>
          <w:i/>
          <w:szCs w:val="24"/>
          <w:lang w:eastAsia="en-US"/>
        </w:rPr>
        <w:t>Guaranteeing Medicare – strengthening primary care</w:t>
      </w:r>
      <w:r w:rsidR="00101D98" w:rsidRPr="008149B4">
        <w:rPr>
          <w:szCs w:val="24"/>
          <w:lang w:eastAsia="en-US"/>
        </w:rPr>
        <w:t xml:space="preserve"> measure.</w:t>
      </w:r>
    </w:p>
    <w:p w14:paraId="412B23A3" w14:textId="62A5449B" w:rsidR="006C5C7F" w:rsidRPr="008149B4" w:rsidRDefault="006C5C7F" w:rsidP="00101D98">
      <w:pPr>
        <w:rPr>
          <w:szCs w:val="24"/>
          <w:lang w:eastAsia="en-US"/>
        </w:rPr>
      </w:pPr>
    </w:p>
    <w:p w14:paraId="679A56F6" w14:textId="619EF794" w:rsidR="00101D98" w:rsidRPr="008149B4" w:rsidRDefault="00101D98" w:rsidP="00101D98">
      <w:pPr>
        <w:rPr>
          <w:iCs/>
          <w:szCs w:val="24"/>
          <w:lang w:eastAsia="en-US"/>
        </w:rPr>
      </w:pPr>
      <w:r w:rsidRPr="008149B4">
        <w:t xml:space="preserve">The Determination will list 10 new </w:t>
      </w:r>
      <w:r w:rsidR="00157434" w:rsidRPr="008149B4">
        <w:t>cardiac</w:t>
      </w:r>
      <w:r w:rsidRPr="008149B4">
        <w:t xml:space="preserve"> diagnostic testing items to </w:t>
      </w:r>
      <w:r w:rsidRPr="008149B4">
        <w:rPr>
          <w:iCs/>
          <w:szCs w:val="24"/>
          <w:lang w:eastAsia="en-US"/>
        </w:rPr>
        <w:t>align with clinical guidelines regarding the types of medical practitioners who can conduct and interpret electrocardiograph testing, and clarify the requirements and frequency for exercise or pharmacological electrocardiogram stress testing for optimal patient safety.</w:t>
      </w:r>
    </w:p>
    <w:p w14:paraId="2C9EDCCF" w14:textId="304B8B30" w:rsidR="00101D98" w:rsidRPr="008149B4" w:rsidRDefault="00101D98" w:rsidP="00101D98">
      <w:pPr>
        <w:rPr>
          <w:iCs/>
          <w:szCs w:val="24"/>
          <w:lang w:eastAsia="en-US"/>
        </w:rPr>
      </w:pPr>
    </w:p>
    <w:p w14:paraId="6A0DDD42" w14:textId="77777777" w:rsidR="006C5C7F" w:rsidRPr="008149B4" w:rsidRDefault="00101D98" w:rsidP="00157434">
      <w:r w:rsidRPr="008149B4">
        <w:rPr>
          <w:iCs/>
          <w:szCs w:val="24"/>
          <w:lang w:eastAsia="en-US"/>
        </w:rPr>
        <w:t xml:space="preserve">The new items will replace the nine existing MBS </w:t>
      </w:r>
      <w:r w:rsidR="00157434" w:rsidRPr="008149B4">
        <w:t xml:space="preserve">cardiac </w:t>
      </w:r>
      <w:r w:rsidRPr="008149B4">
        <w:rPr>
          <w:iCs/>
          <w:szCs w:val="24"/>
          <w:lang w:eastAsia="en-US"/>
        </w:rPr>
        <w:t xml:space="preserve">items (11700, 11701, 11702, 11708, 11709, 11710, 11711, 11712 and 11722) which will be removed from the MBS on 1 August 2020 by the </w:t>
      </w:r>
      <w:r w:rsidRPr="008149B4">
        <w:rPr>
          <w:i/>
        </w:rPr>
        <w:t>Health Insurance Legislation Amendment (2020 Measures No. 1) Regulations 2020</w:t>
      </w:r>
      <w:r w:rsidRPr="008149B4">
        <w:t>.</w:t>
      </w:r>
    </w:p>
    <w:p w14:paraId="39E569DE" w14:textId="77777777" w:rsidR="006C5C7F" w:rsidRPr="008149B4" w:rsidRDefault="006C5C7F" w:rsidP="00157434"/>
    <w:p w14:paraId="659A648B" w14:textId="728C1FAD" w:rsidR="0060632A" w:rsidRPr="008149B4" w:rsidRDefault="0060632A" w:rsidP="0060632A">
      <w:r w:rsidRPr="008149B4">
        <w:t>The Government response to the Taskforce</w:t>
      </w:r>
      <w:r w:rsidR="000E418C" w:rsidRPr="008149B4">
        <w:t>’s</w:t>
      </w:r>
      <w:r w:rsidRPr="008149B4">
        <w:t xml:space="preserve"> recommendations on cardiac diagnostic imaging will be implemented by the </w:t>
      </w:r>
      <w:r w:rsidRPr="008149B4">
        <w:rPr>
          <w:i/>
        </w:rPr>
        <w:t>Health Insurance (Section 3C Diagnostic Imaging Services – Cardiac Services) Determination 2020</w:t>
      </w:r>
      <w:r w:rsidRPr="008149B4">
        <w:t>. That instrument will list 19 new MBS items for cardiac diagnostic imaging services from 1 August 2020.</w:t>
      </w:r>
    </w:p>
    <w:p w14:paraId="19162E37" w14:textId="77777777" w:rsidR="0060632A" w:rsidRPr="008149B4" w:rsidRDefault="0060632A" w:rsidP="0060632A"/>
    <w:p w14:paraId="141280E3" w14:textId="31049940" w:rsidR="001865F8" w:rsidRPr="008149B4" w:rsidRDefault="00631760" w:rsidP="00157434">
      <w:pPr>
        <w:rPr>
          <w:rFonts w:ascii="Helvetica Neue" w:hAnsi="Helvetica Neue"/>
          <w:szCs w:val="24"/>
          <w:lang w:val="en-US"/>
        </w:rPr>
      </w:pPr>
      <w:r w:rsidRPr="008149B4">
        <w:rPr>
          <w:b/>
        </w:rPr>
        <w:t>C</w:t>
      </w:r>
      <w:r w:rsidR="00A1739A" w:rsidRPr="008149B4">
        <w:rPr>
          <w:b/>
        </w:rPr>
        <w:t>onsultation</w:t>
      </w:r>
    </w:p>
    <w:p w14:paraId="24E7401C" w14:textId="77777777" w:rsidR="003E00EB" w:rsidRPr="008149B4" w:rsidRDefault="003E00EB" w:rsidP="003E00EB">
      <w:pPr>
        <w:ind w:right="91"/>
        <w:rPr>
          <w:szCs w:val="24"/>
        </w:rPr>
      </w:pPr>
      <w:r w:rsidRPr="008149B4">
        <w:rPr>
          <w:szCs w:val="24"/>
        </w:rPr>
        <w:t xml:space="preserve">Consultation was undertaken on the cardiac changes that were recommended by the MBS Review Taskforce, and announced in the 2018-19 MYEFO under the </w:t>
      </w:r>
      <w:r w:rsidRPr="008149B4">
        <w:rPr>
          <w:i/>
          <w:szCs w:val="24"/>
        </w:rPr>
        <w:t>Guaranteeing Medicare – strengthening primary care</w:t>
      </w:r>
      <w:r w:rsidRPr="008149B4">
        <w:rPr>
          <w:szCs w:val="24"/>
        </w:rPr>
        <w:t xml:space="preserve"> measure.</w:t>
      </w:r>
    </w:p>
    <w:p w14:paraId="56933C20" w14:textId="77777777" w:rsidR="003E00EB" w:rsidRPr="008149B4" w:rsidRDefault="003E00EB" w:rsidP="003E00EB">
      <w:pPr>
        <w:ind w:right="91"/>
        <w:rPr>
          <w:szCs w:val="24"/>
        </w:rPr>
      </w:pPr>
    </w:p>
    <w:p w14:paraId="69767C2D" w14:textId="4F6B29B6" w:rsidR="003E00EB" w:rsidRPr="008149B4" w:rsidRDefault="003E00EB" w:rsidP="003E00EB">
      <w:pPr>
        <w:ind w:right="91"/>
        <w:rPr>
          <w:szCs w:val="24"/>
        </w:rPr>
      </w:pPr>
      <w:r w:rsidRPr="008149B4">
        <w:rPr>
          <w:szCs w:val="24"/>
        </w:rPr>
        <w:t xml:space="preserve">The MBS Review </w:t>
      </w:r>
      <w:r w:rsidR="00780C18" w:rsidRPr="008149B4">
        <w:rPr>
          <w:szCs w:val="24"/>
        </w:rPr>
        <w:t>was</w:t>
      </w:r>
      <w:r w:rsidRPr="008149B4">
        <w:rPr>
          <w:szCs w:val="24"/>
        </w:rPr>
        <w:t xml:space="preserve"> conducted by expert committees and working groups focusing on specific areas of the MBS. The Cardiac Services Clinical Committee (CSCC) report on changes to cardiac services was released for public comment and further </w:t>
      </w:r>
      <w:r w:rsidRPr="008149B4">
        <w:rPr>
          <w:szCs w:val="24"/>
        </w:rPr>
        <w:lastRenderedPageBreak/>
        <w:t>consideration taken based on stakeholder feedback. The CSCC report was then presented to the Taskforce for finalisation and endorsement of the recommendations, before being presented to Government.</w:t>
      </w:r>
    </w:p>
    <w:p w14:paraId="0186C16A" w14:textId="77777777" w:rsidR="003E00EB" w:rsidRPr="008149B4" w:rsidRDefault="003E00EB" w:rsidP="003E00EB">
      <w:pPr>
        <w:ind w:right="91"/>
        <w:rPr>
          <w:szCs w:val="24"/>
        </w:rPr>
      </w:pPr>
    </w:p>
    <w:p w14:paraId="29B6A4AD" w14:textId="77777777" w:rsidR="003E00EB" w:rsidRPr="008149B4" w:rsidRDefault="003E00EB" w:rsidP="003E00EB">
      <w:pPr>
        <w:ind w:right="91"/>
        <w:rPr>
          <w:szCs w:val="24"/>
        </w:rPr>
      </w:pPr>
      <w:r w:rsidRPr="008149B4">
        <w:rPr>
          <w:szCs w:val="24"/>
        </w:rPr>
        <w:t xml:space="preserve">The Department has also undertaken consultation with key stakeholders on the cardiac changes, including the Cardiac Society of Australia and New Zealand, the Australian Medical Association, the Rural Doctors Association of Australia, the Royal Australian College of General Practice, the Australian and New Zealand Society of Cardiac and Thoracic Surgeons, the Australian Private Hospitals Association, as well as individual practitioners.  </w:t>
      </w:r>
    </w:p>
    <w:p w14:paraId="5ED837EB" w14:textId="77777777" w:rsidR="003E00EB" w:rsidRPr="008149B4" w:rsidRDefault="003E00EB" w:rsidP="002806A1">
      <w:pPr>
        <w:shd w:val="clear" w:color="auto" w:fill="FFFFFF"/>
        <w:rPr>
          <w:color w:val="000000"/>
          <w:szCs w:val="24"/>
        </w:rPr>
      </w:pPr>
    </w:p>
    <w:p w14:paraId="27E62B1F" w14:textId="77777777" w:rsidR="00967E51" w:rsidRPr="008149B4" w:rsidRDefault="00A1739A" w:rsidP="000337CB">
      <w:pPr>
        <w:rPr>
          <w:szCs w:val="24"/>
        </w:rPr>
      </w:pPr>
      <w:r w:rsidRPr="008149B4">
        <w:rPr>
          <w:szCs w:val="24"/>
        </w:rPr>
        <w:t xml:space="preserve">Details of the </w:t>
      </w:r>
      <w:r w:rsidR="00574E71" w:rsidRPr="008149B4">
        <w:rPr>
          <w:szCs w:val="24"/>
        </w:rPr>
        <w:t>Determination</w:t>
      </w:r>
      <w:r w:rsidRPr="008149B4">
        <w:rPr>
          <w:szCs w:val="24"/>
        </w:rPr>
        <w:t xml:space="preserve"> are set out in the </w:t>
      </w:r>
      <w:r w:rsidRPr="008149B4">
        <w:rPr>
          <w:szCs w:val="24"/>
          <w:u w:val="single"/>
        </w:rPr>
        <w:t>Attachment</w:t>
      </w:r>
      <w:r w:rsidRPr="008149B4">
        <w:rPr>
          <w:szCs w:val="24"/>
        </w:rPr>
        <w:t>.</w:t>
      </w:r>
    </w:p>
    <w:p w14:paraId="4410FFE8" w14:textId="3311A7D6" w:rsidR="006C138D" w:rsidRPr="008149B4" w:rsidRDefault="00297AD0" w:rsidP="006C138D">
      <w:pPr>
        <w:tabs>
          <w:tab w:val="left" w:pos="567"/>
        </w:tabs>
        <w:spacing w:before="240"/>
        <w:rPr>
          <w:szCs w:val="24"/>
        </w:rPr>
      </w:pPr>
      <w:r w:rsidRPr="008149B4">
        <w:rPr>
          <w:szCs w:val="24"/>
        </w:rPr>
        <w:t xml:space="preserve">The </w:t>
      </w:r>
      <w:r w:rsidR="00967E51" w:rsidRPr="008149B4">
        <w:rPr>
          <w:szCs w:val="24"/>
        </w:rPr>
        <w:t>Determination</w:t>
      </w:r>
      <w:r w:rsidRPr="008149B4">
        <w:rPr>
          <w:szCs w:val="24"/>
        </w:rPr>
        <w:t xml:space="preserve"> </w:t>
      </w:r>
      <w:r w:rsidR="007524B0" w:rsidRPr="008149B4">
        <w:rPr>
          <w:szCs w:val="24"/>
        </w:rPr>
        <w:t xml:space="preserve">commences </w:t>
      </w:r>
      <w:r w:rsidR="00C63FDC" w:rsidRPr="008149B4">
        <w:rPr>
          <w:szCs w:val="24"/>
        </w:rPr>
        <w:t xml:space="preserve">on </w:t>
      </w:r>
      <w:r w:rsidR="0042720C" w:rsidRPr="008149B4">
        <w:rPr>
          <w:szCs w:val="24"/>
        </w:rPr>
        <w:t>1 August 2020.</w:t>
      </w:r>
    </w:p>
    <w:p w14:paraId="5B36313C" w14:textId="77777777" w:rsidR="00236DF2" w:rsidRPr="008149B4" w:rsidRDefault="00236DF2" w:rsidP="00574E71">
      <w:pPr>
        <w:rPr>
          <w:szCs w:val="24"/>
        </w:rPr>
      </w:pPr>
    </w:p>
    <w:p w14:paraId="490BAF5A" w14:textId="77777777" w:rsidR="00574E71" w:rsidRPr="008149B4" w:rsidRDefault="0002728B" w:rsidP="00DE07E4">
      <w:pPr>
        <w:spacing w:after="200" w:line="276" w:lineRule="auto"/>
        <w:rPr>
          <w:szCs w:val="24"/>
        </w:rPr>
      </w:pPr>
      <w:r w:rsidRPr="008149B4">
        <w:rPr>
          <w:szCs w:val="24"/>
        </w:rPr>
        <w:t>T</w:t>
      </w:r>
      <w:r w:rsidR="00574E71" w:rsidRPr="008149B4">
        <w:rPr>
          <w:szCs w:val="24"/>
        </w:rPr>
        <w:t xml:space="preserve">he Determination is </w:t>
      </w:r>
      <w:r w:rsidR="004417A2" w:rsidRPr="008149B4">
        <w:rPr>
          <w:szCs w:val="24"/>
        </w:rPr>
        <w:t xml:space="preserve">a </w:t>
      </w:r>
      <w:r w:rsidR="00574E71" w:rsidRPr="008149B4">
        <w:rPr>
          <w:szCs w:val="24"/>
        </w:rPr>
        <w:t xml:space="preserve">legislative instrument for the purposes of the </w:t>
      </w:r>
      <w:r w:rsidR="00574E71" w:rsidRPr="008149B4">
        <w:rPr>
          <w:i/>
        </w:rPr>
        <w:t>Legislation Act 2003</w:t>
      </w:r>
      <w:r w:rsidR="00574E71" w:rsidRPr="008149B4">
        <w:rPr>
          <w:szCs w:val="24"/>
        </w:rPr>
        <w:t>.</w:t>
      </w:r>
    </w:p>
    <w:p w14:paraId="6052E064" w14:textId="5E9C7AA6" w:rsidR="00A1739A" w:rsidRPr="008149B4" w:rsidRDefault="00A1739A" w:rsidP="000337CB">
      <w:pPr>
        <w:ind w:left="6663" w:hanging="3119"/>
        <w:rPr>
          <w:szCs w:val="24"/>
        </w:rPr>
      </w:pPr>
    </w:p>
    <w:p w14:paraId="66774E38" w14:textId="77777777" w:rsidR="00A1739A" w:rsidRPr="008149B4" w:rsidRDefault="00A1739A" w:rsidP="000337CB">
      <w:pPr>
        <w:ind w:left="6663" w:hanging="3119"/>
        <w:rPr>
          <w:szCs w:val="24"/>
        </w:rPr>
      </w:pPr>
      <w:r w:rsidRPr="008149B4">
        <w:rPr>
          <w:szCs w:val="24"/>
          <w:u w:val="single"/>
        </w:rPr>
        <w:t>Authority</w:t>
      </w:r>
      <w:r w:rsidR="00967E51" w:rsidRPr="008149B4">
        <w:rPr>
          <w:szCs w:val="24"/>
        </w:rPr>
        <w:t xml:space="preserve">:     Subsection </w:t>
      </w:r>
      <w:r w:rsidRPr="008149B4">
        <w:rPr>
          <w:szCs w:val="24"/>
        </w:rPr>
        <w:t>3</w:t>
      </w:r>
      <w:r w:rsidR="00967E51" w:rsidRPr="008149B4">
        <w:rPr>
          <w:szCs w:val="24"/>
        </w:rPr>
        <w:t>C</w:t>
      </w:r>
      <w:r w:rsidRPr="008149B4">
        <w:rPr>
          <w:szCs w:val="24"/>
        </w:rPr>
        <w:t xml:space="preserve">(1) of the </w:t>
      </w:r>
    </w:p>
    <w:p w14:paraId="0A0097C8" w14:textId="77777777" w:rsidR="00A1739A" w:rsidRPr="008149B4" w:rsidRDefault="00A1739A" w:rsidP="000337CB">
      <w:pPr>
        <w:tabs>
          <w:tab w:val="left" w:pos="4820"/>
        </w:tabs>
        <w:rPr>
          <w:szCs w:val="24"/>
        </w:rPr>
        <w:sectPr w:rsidR="00A1739A" w:rsidRPr="008149B4" w:rsidSect="00235B6C">
          <w:headerReference w:type="default" r:id="rId11"/>
          <w:pgSz w:w="11906" w:h="16838"/>
          <w:pgMar w:top="1440" w:right="1800" w:bottom="1135" w:left="1800" w:header="708" w:footer="708" w:gutter="0"/>
          <w:pgNumType w:start="1"/>
          <w:cols w:space="708"/>
          <w:docGrid w:linePitch="360"/>
        </w:sectPr>
      </w:pPr>
      <w:r w:rsidRPr="008149B4">
        <w:rPr>
          <w:i/>
          <w:szCs w:val="24"/>
        </w:rPr>
        <w:tab/>
        <w:t>Health Insurance Act 1973</w:t>
      </w:r>
    </w:p>
    <w:p w14:paraId="53CB9A8A" w14:textId="77777777" w:rsidR="006D5816" w:rsidRPr="008149B4" w:rsidRDefault="006D5816" w:rsidP="000337CB">
      <w:pPr>
        <w:pStyle w:val="BodyText"/>
        <w:jc w:val="right"/>
        <w:rPr>
          <w:szCs w:val="24"/>
        </w:rPr>
      </w:pPr>
      <w:r w:rsidRPr="008149B4">
        <w:rPr>
          <w:szCs w:val="24"/>
        </w:rPr>
        <w:lastRenderedPageBreak/>
        <w:t>ATTACHMENT</w:t>
      </w:r>
    </w:p>
    <w:p w14:paraId="44F47387" w14:textId="77777777" w:rsidR="006D5816" w:rsidRPr="008149B4" w:rsidRDefault="006D5816" w:rsidP="000337CB">
      <w:pPr>
        <w:pStyle w:val="BodyText"/>
        <w:rPr>
          <w:szCs w:val="24"/>
          <w:u w:val="single"/>
        </w:rPr>
      </w:pPr>
    </w:p>
    <w:p w14:paraId="7100E240" w14:textId="6B4F5628" w:rsidR="00E70355" w:rsidRPr="008149B4" w:rsidRDefault="00A41364" w:rsidP="000337CB">
      <w:pPr>
        <w:pStyle w:val="BodyText"/>
        <w:rPr>
          <w:szCs w:val="24"/>
        </w:rPr>
      </w:pPr>
      <w:r w:rsidRPr="008149B4">
        <w:rPr>
          <w:szCs w:val="24"/>
        </w:rPr>
        <w:t>Details of the</w:t>
      </w:r>
      <w:r w:rsidR="0042720C" w:rsidRPr="008149B4">
        <w:t xml:space="preserve"> </w:t>
      </w:r>
      <w:r w:rsidR="0042720C" w:rsidRPr="008149B4">
        <w:rPr>
          <w:i/>
          <w:szCs w:val="24"/>
        </w:rPr>
        <w:t xml:space="preserve">Health Insurance (Section 3C </w:t>
      </w:r>
      <w:r w:rsidR="00795F5B" w:rsidRPr="008149B4">
        <w:rPr>
          <w:i/>
          <w:szCs w:val="24"/>
        </w:rPr>
        <w:t>General Medical</w:t>
      </w:r>
      <w:r w:rsidR="0042720C" w:rsidRPr="008149B4">
        <w:rPr>
          <w:i/>
          <w:szCs w:val="24"/>
        </w:rPr>
        <w:t xml:space="preserve"> Services – Cardiac Services) Determination 2020</w:t>
      </w:r>
    </w:p>
    <w:p w14:paraId="49F493C8" w14:textId="77777777" w:rsidR="0042720C" w:rsidRPr="008149B4" w:rsidRDefault="0042720C" w:rsidP="000337CB">
      <w:pPr>
        <w:pStyle w:val="BodyText"/>
        <w:rPr>
          <w:b w:val="0"/>
          <w:i/>
          <w:szCs w:val="24"/>
        </w:rPr>
      </w:pPr>
    </w:p>
    <w:p w14:paraId="46D6341A" w14:textId="77777777" w:rsidR="00FE02C2" w:rsidRPr="008149B4" w:rsidRDefault="001B0111" w:rsidP="000337CB">
      <w:pPr>
        <w:pStyle w:val="BodyText"/>
        <w:rPr>
          <w:b w:val="0"/>
          <w:szCs w:val="24"/>
          <w:u w:val="single"/>
        </w:rPr>
      </w:pPr>
      <w:r w:rsidRPr="008149B4">
        <w:rPr>
          <w:b w:val="0"/>
          <w:szCs w:val="24"/>
          <w:u w:val="single"/>
        </w:rPr>
        <w:t>Section 1 – Name</w:t>
      </w:r>
    </w:p>
    <w:p w14:paraId="2299981F" w14:textId="77777777" w:rsidR="00FE02C2" w:rsidRPr="008149B4" w:rsidRDefault="00FE02C2" w:rsidP="000337CB">
      <w:pPr>
        <w:pStyle w:val="BodyText"/>
        <w:rPr>
          <w:b w:val="0"/>
          <w:szCs w:val="24"/>
          <w:u w:val="single"/>
        </w:rPr>
      </w:pPr>
    </w:p>
    <w:p w14:paraId="796DAC75" w14:textId="588D48B2" w:rsidR="00F83B6F" w:rsidRPr="008149B4" w:rsidRDefault="00BC7397" w:rsidP="00C67BC7">
      <w:pPr>
        <w:pStyle w:val="BodyText"/>
        <w:rPr>
          <w:i/>
          <w:iCs/>
        </w:rPr>
      </w:pPr>
      <w:r w:rsidRPr="008149B4">
        <w:rPr>
          <w:b w:val="0"/>
          <w:szCs w:val="24"/>
        </w:rPr>
        <w:t>S</w:t>
      </w:r>
      <w:r w:rsidR="00FE02C2" w:rsidRPr="008149B4">
        <w:rPr>
          <w:b w:val="0"/>
          <w:szCs w:val="24"/>
        </w:rPr>
        <w:t xml:space="preserve">ection </w:t>
      </w:r>
      <w:r w:rsidRPr="008149B4">
        <w:rPr>
          <w:b w:val="0"/>
          <w:szCs w:val="24"/>
        </w:rPr>
        <w:t xml:space="preserve">1 </w:t>
      </w:r>
      <w:r w:rsidR="00FE02C2" w:rsidRPr="008149B4">
        <w:rPr>
          <w:b w:val="0"/>
          <w:szCs w:val="24"/>
        </w:rPr>
        <w:t>provides</w:t>
      </w:r>
      <w:r w:rsidR="008B683E" w:rsidRPr="008149B4">
        <w:rPr>
          <w:b w:val="0"/>
          <w:szCs w:val="24"/>
        </w:rPr>
        <w:t xml:space="preserve"> for the </w:t>
      </w:r>
      <w:r w:rsidR="008B2094" w:rsidRPr="008149B4">
        <w:rPr>
          <w:b w:val="0"/>
          <w:szCs w:val="24"/>
        </w:rPr>
        <w:t>Determination</w:t>
      </w:r>
      <w:r w:rsidR="00FE02C2" w:rsidRPr="008149B4">
        <w:rPr>
          <w:b w:val="0"/>
          <w:szCs w:val="24"/>
        </w:rPr>
        <w:t xml:space="preserve"> to be referred to as the</w:t>
      </w:r>
      <w:r w:rsidR="0042720C" w:rsidRPr="008149B4">
        <w:rPr>
          <w:b w:val="0"/>
          <w:szCs w:val="24"/>
        </w:rPr>
        <w:t xml:space="preserve"> </w:t>
      </w:r>
      <w:r w:rsidR="0042720C" w:rsidRPr="008149B4">
        <w:rPr>
          <w:b w:val="0"/>
          <w:i/>
          <w:szCs w:val="24"/>
        </w:rPr>
        <w:t xml:space="preserve">Health Insurance (Section 3C </w:t>
      </w:r>
      <w:r w:rsidR="00795F5B" w:rsidRPr="008149B4">
        <w:rPr>
          <w:b w:val="0"/>
          <w:i/>
          <w:szCs w:val="24"/>
        </w:rPr>
        <w:t xml:space="preserve">General Medical </w:t>
      </w:r>
      <w:r w:rsidR="0042720C" w:rsidRPr="008149B4">
        <w:rPr>
          <w:b w:val="0"/>
          <w:i/>
          <w:szCs w:val="24"/>
        </w:rPr>
        <w:t>Services – Cardiac Services) Determination 2020</w:t>
      </w:r>
      <w:r w:rsidR="0042720C" w:rsidRPr="008149B4">
        <w:rPr>
          <w:b w:val="0"/>
          <w:szCs w:val="24"/>
        </w:rPr>
        <w:t>.</w:t>
      </w:r>
    </w:p>
    <w:p w14:paraId="7F7E047A" w14:textId="77777777" w:rsidR="00FD602D" w:rsidRPr="008149B4" w:rsidRDefault="00FD602D" w:rsidP="00FD602D"/>
    <w:p w14:paraId="207EC5D1" w14:textId="77777777" w:rsidR="007A4089" w:rsidRPr="008149B4" w:rsidRDefault="00FE02C2" w:rsidP="000337CB">
      <w:pPr>
        <w:pStyle w:val="BodyText"/>
        <w:rPr>
          <w:b w:val="0"/>
          <w:szCs w:val="24"/>
          <w:u w:val="single"/>
        </w:rPr>
      </w:pPr>
      <w:r w:rsidRPr="008149B4">
        <w:rPr>
          <w:b w:val="0"/>
          <w:szCs w:val="24"/>
          <w:u w:val="single"/>
        </w:rPr>
        <w:t xml:space="preserve">Section 2 – Commencement </w:t>
      </w:r>
    </w:p>
    <w:p w14:paraId="3A77A264" w14:textId="77777777" w:rsidR="007A4089" w:rsidRPr="008149B4" w:rsidRDefault="007A4089" w:rsidP="000337CB">
      <w:pPr>
        <w:pStyle w:val="BodyText"/>
        <w:rPr>
          <w:b w:val="0"/>
          <w:szCs w:val="24"/>
          <w:u w:val="single"/>
        </w:rPr>
      </w:pPr>
    </w:p>
    <w:p w14:paraId="1A9DAA66" w14:textId="77777777" w:rsidR="00510A4F" w:rsidRPr="008149B4" w:rsidRDefault="00510A4F" w:rsidP="000337CB">
      <w:pPr>
        <w:pStyle w:val="BodyText"/>
        <w:rPr>
          <w:b w:val="0"/>
          <w:szCs w:val="24"/>
        </w:rPr>
      </w:pPr>
      <w:r w:rsidRPr="008149B4">
        <w:rPr>
          <w:b w:val="0"/>
          <w:szCs w:val="24"/>
        </w:rPr>
        <w:t xml:space="preserve">Section 2 </w:t>
      </w:r>
      <w:r w:rsidR="00404F11" w:rsidRPr="008149B4">
        <w:rPr>
          <w:b w:val="0"/>
          <w:szCs w:val="24"/>
        </w:rPr>
        <w:t xml:space="preserve">provides that the </w:t>
      </w:r>
      <w:r w:rsidR="008B2094" w:rsidRPr="008149B4">
        <w:rPr>
          <w:b w:val="0"/>
          <w:szCs w:val="24"/>
        </w:rPr>
        <w:t xml:space="preserve">Determination </w:t>
      </w:r>
      <w:r w:rsidR="00404F11" w:rsidRPr="008149B4">
        <w:rPr>
          <w:b w:val="0"/>
          <w:szCs w:val="24"/>
        </w:rPr>
        <w:t xml:space="preserve">commences </w:t>
      </w:r>
      <w:r w:rsidR="00C63FDC" w:rsidRPr="008149B4">
        <w:rPr>
          <w:b w:val="0"/>
          <w:szCs w:val="24"/>
        </w:rPr>
        <w:t>on</w:t>
      </w:r>
      <w:r w:rsidR="00C63FDC" w:rsidRPr="008149B4">
        <w:rPr>
          <w:b w:val="0"/>
          <w:color w:val="FF0000"/>
          <w:szCs w:val="24"/>
        </w:rPr>
        <w:t xml:space="preserve"> </w:t>
      </w:r>
      <w:r w:rsidR="0042720C" w:rsidRPr="008149B4">
        <w:rPr>
          <w:b w:val="0"/>
          <w:szCs w:val="24"/>
        </w:rPr>
        <w:t>1 August 2020.</w:t>
      </w:r>
      <w:r w:rsidR="00C63FDC" w:rsidRPr="008149B4">
        <w:rPr>
          <w:b w:val="0"/>
          <w:szCs w:val="24"/>
        </w:rPr>
        <w:t xml:space="preserve"> </w:t>
      </w:r>
    </w:p>
    <w:p w14:paraId="2D9EDD41" w14:textId="77777777" w:rsidR="007E0017" w:rsidRPr="008149B4" w:rsidRDefault="007E0017" w:rsidP="000337CB">
      <w:pPr>
        <w:pStyle w:val="BodyText"/>
        <w:rPr>
          <w:b w:val="0"/>
          <w:szCs w:val="24"/>
        </w:rPr>
      </w:pPr>
    </w:p>
    <w:p w14:paraId="429AC40E" w14:textId="77777777" w:rsidR="007A4089" w:rsidRPr="008149B4" w:rsidRDefault="00FE02C2" w:rsidP="000337CB">
      <w:pPr>
        <w:pStyle w:val="BodyText"/>
        <w:rPr>
          <w:b w:val="0"/>
          <w:szCs w:val="24"/>
          <w:u w:val="single"/>
        </w:rPr>
      </w:pPr>
      <w:r w:rsidRPr="008149B4">
        <w:rPr>
          <w:b w:val="0"/>
          <w:szCs w:val="24"/>
          <w:u w:val="single"/>
        </w:rPr>
        <w:t xml:space="preserve">Section 3 – </w:t>
      </w:r>
      <w:r w:rsidR="00E5798A" w:rsidRPr="008149B4">
        <w:rPr>
          <w:b w:val="0"/>
          <w:szCs w:val="24"/>
          <w:u w:val="single"/>
        </w:rPr>
        <w:t>Authority</w:t>
      </w:r>
    </w:p>
    <w:p w14:paraId="466024D4" w14:textId="77777777" w:rsidR="007A4089" w:rsidRPr="008149B4" w:rsidRDefault="007A4089" w:rsidP="000337CB">
      <w:pPr>
        <w:pStyle w:val="BodyText"/>
        <w:rPr>
          <w:b w:val="0"/>
          <w:szCs w:val="24"/>
          <w:u w:val="single"/>
        </w:rPr>
      </w:pPr>
    </w:p>
    <w:p w14:paraId="7171A763" w14:textId="77777777" w:rsidR="00FE02C2" w:rsidRPr="008149B4" w:rsidRDefault="00F83B6F" w:rsidP="000337CB">
      <w:pPr>
        <w:pStyle w:val="BodyText"/>
        <w:rPr>
          <w:b w:val="0"/>
        </w:rPr>
      </w:pPr>
      <w:r w:rsidRPr="008149B4">
        <w:rPr>
          <w:b w:val="0"/>
        </w:rPr>
        <w:t xml:space="preserve">Section 3 provides that the </w:t>
      </w:r>
      <w:r w:rsidR="008B2094" w:rsidRPr="008149B4">
        <w:rPr>
          <w:b w:val="0"/>
          <w:szCs w:val="24"/>
        </w:rPr>
        <w:t xml:space="preserve">Determination </w:t>
      </w:r>
      <w:r w:rsidR="00E5798A" w:rsidRPr="008149B4">
        <w:rPr>
          <w:b w:val="0"/>
        </w:rPr>
        <w:t xml:space="preserve">is made under </w:t>
      </w:r>
      <w:r w:rsidR="00367440" w:rsidRPr="008149B4">
        <w:rPr>
          <w:b w:val="0"/>
        </w:rPr>
        <w:t xml:space="preserve">subsection </w:t>
      </w:r>
      <w:r w:rsidR="00E5798A" w:rsidRPr="008149B4">
        <w:rPr>
          <w:b w:val="0"/>
        </w:rPr>
        <w:t xml:space="preserve">3C(1) of the </w:t>
      </w:r>
      <w:r w:rsidR="00E5798A" w:rsidRPr="008149B4">
        <w:rPr>
          <w:b w:val="0"/>
          <w:i/>
        </w:rPr>
        <w:t>Health Insurance Act 1973</w:t>
      </w:r>
      <w:r w:rsidR="00E5798A" w:rsidRPr="008149B4">
        <w:rPr>
          <w:b w:val="0"/>
        </w:rPr>
        <w:t>.</w:t>
      </w:r>
    </w:p>
    <w:p w14:paraId="302F8105" w14:textId="77777777" w:rsidR="00E70355" w:rsidRPr="008149B4" w:rsidRDefault="00E70355" w:rsidP="000337CB">
      <w:pPr>
        <w:pStyle w:val="BodyText"/>
        <w:rPr>
          <w:b w:val="0"/>
        </w:rPr>
      </w:pPr>
    </w:p>
    <w:p w14:paraId="297560A1" w14:textId="77777777" w:rsidR="00C63FDC" w:rsidRPr="008149B4" w:rsidRDefault="00C63FDC" w:rsidP="00C63FDC">
      <w:pPr>
        <w:pStyle w:val="BodyText"/>
        <w:rPr>
          <w:b w:val="0"/>
          <w:szCs w:val="24"/>
          <w:u w:val="single"/>
        </w:rPr>
      </w:pPr>
      <w:r w:rsidRPr="008149B4">
        <w:rPr>
          <w:b w:val="0"/>
          <w:szCs w:val="24"/>
          <w:u w:val="single"/>
        </w:rPr>
        <w:t xml:space="preserve">Section 4 – </w:t>
      </w:r>
      <w:r w:rsidR="00AE2A1A" w:rsidRPr="008149B4">
        <w:rPr>
          <w:b w:val="0"/>
          <w:szCs w:val="24"/>
          <w:u w:val="single"/>
        </w:rPr>
        <w:t>Definitions</w:t>
      </w:r>
    </w:p>
    <w:p w14:paraId="1708C2BA" w14:textId="77777777" w:rsidR="00C63FDC" w:rsidRPr="008149B4" w:rsidRDefault="00C63FDC" w:rsidP="00C63FDC">
      <w:pPr>
        <w:pStyle w:val="BodyText"/>
        <w:rPr>
          <w:b w:val="0"/>
          <w:szCs w:val="24"/>
          <w:u w:val="single"/>
        </w:rPr>
      </w:pPr>
    </w:p>
    <w:p w14:paraId="462322ED" w14:textId="77777777" w:rsidR="00C63FDC" w:rsidRPr="008149B4" w:rsidRDefault="00AE2A1A" w:rsidP="00C63FDC">
      <w:pPr>
        <w:pStyle w:val="BodyText"/>
        <w:rPr>
          <w:b w:val="0"/>
          <w:szCs w:val="24"/>
        </w:rPr>
      </w:pPr>
      <w:r w:rsidRPr="008149B4">
        <w:rPr>
          <w:b w:val="0"/>
          <w:szCs w:val="24"/>
        </w:rPr>
        <w:t>Section 4 defines terms used in the Determination</w:t>
      </w:r>
      <w:r w:rsidR="00C63FDC" w:rsidRPr="008149B4">
        <w:rPr>
          <w:b w:val="0"/>
          <w:szCs w:val="24"/>
        </w:rPr>
        <w:t>.</w:t>
      </w:r>
    </w:p>
    <w:p w14:paraId="4CFFB145" w14:textId="77777777" w:rsidR="007E0017" w:rsidRPr="008149B4" w:rsidRDefault="007E0017" w:rsidP="00404F11">
      <w:pPr>
        <w:pStyle w:val="BodyText"/>
        <w:rPr>
          <w:b w:val="0"/>
          <w:szCs w:val="24"/>
        </w:rPr>
      </w:pPr>
    </w:p>
    <w:p w14:paraId="08406F60" w14:textId="77777777" w:rsidR="00AE2A1A" w:rsidRPr="008149B4" w:rsidRDefault="00AE2A1A" w:rsidP="00AE2A1A">
      <w:pPr>
        <w:pStyle w:val="BodyText"/>
        <w:rPr>
          <w:b w:val="0"/>
          <w:szCs w:val="24"/>
          <w:u w:val="single"/>
        </w:rPr>
      </w:pPr>
      <w:r w:rsidRPr="008149B4">
        <w:rPr>
          <w:b w:val="0"/>
          <w:szCs w:val="24"/>
          <w:u w:val="single"/>
        </w:rPr>
        <w:t>Section 5 – Treatment of relevant services</w:t>
      </w:r>
    </w:p>
    <w:p w14:paraId="2AFD580B" w14:textId="77777777" w:rsidR="00AE2A1A" w:rsidRPr="008149B4" w:rsidRDefault="00AE2A1A" w:rsidP="00AE2A1A">
      <w:pPr>
        <w:pStyle w:val="BodyText"/>
        <w:shd w:val="clear" w:color="auto" w:fill="FFFFFF"/>
        <w:rPr>
          <w:b w:val="0"/>
          <w:szCs w:val="24"/>
        </w:rPr>
      </w:pPr>
      <w:r w:rsidRPr="008149B4">
        <w:rPr>
          <w:b w:val="0"/>
          <w:szCs w:val="24"/>
        </w:rPr>
        <w:t> </w:t>
      </w:r>
    </w:p>
    <w:p w14:paraId="5427713E" w14:textId="3A6EE2BA" w:rsidR="00AE2A1A" w:rsidRPr="008149B4" w:rsidRDefault="00AE2A1A" w:rsidP="00AE2A1A">
      <w:pPr>
        <w:pStyle w:val="BodyText"/>
        <w:shd w:val="clear" w:color="auto" w:fill="FFFFFF"/>
        <w:rPr>
          <w:b w:val="0"/>
          <w:szCs w:val="24"/>
        </w:rPr>
      </w:pPr>
      <w:r w:rsidRPr="008149B4">
        <w:rPr>
          <w:b w:val="0"/>
          <w:szCs w:val="24"/>
        </w:rPr>
        <w:t xml:space="preserve">Section 5 provides that a clinically relevant service provided in accordance with the Determination shall be treated, as if it were both a professional service and a </w:t>
      </w:r>
      <w:r w:rsidR="00875A94" w:rsidRPr="008149B4">
        <w:rPr>
          <w:b w:val="0"/>
          <w:szCs w:val="24"/>
        </w:rPr>
        <w:t>general medical</w:t>
      </w:r>
      <w:r w:rsidR="0074525D" w:rsidRPr="008149B4">
        <w:rPr>
          <w:b w:val="0"/>
          <w:szCs w:val="24"/>
        </w:rPr>
        <w:t xml:space="preserve"> </w:t>
      </w:r>
      <w:r w:rsidRPr="008149B4">
        <w:rPr>
          <w:b w:val="0"/>
          <w:szCs w:val="24"/>
        </w:rPr>
        <w:t>service</w:t>
      </w:r>
      <w:r w:rsidR="001A68B8" w:rsidRPr="008149B4">
        <w:rPr>
          <w:b w:val="0"/>
          <w:szCs w:val="24"/>
        </w:rPr>
        <w:t xml:space="preserve"> (the Table)</w:t>
      </w:r>
      <w:r w:rsidRPr="008149B4">
        <w:rPr>
          <w:b w:val="0"/>
          <w:szCs w:val="24"/>
        </w:rPr>
        <w:t xml:space="preserve"> and as if there were an item specified in the </w:t>
      </w:r>
      <w:r w:rsidR="001A68B8" w:rsidRPr="008149B4">
        <w:rPr>
          <w:b w:val="0"/>
          <w:szCs w:val="24"/>
        </w:rPr>
        <w:t>Table</w:t>
      </w:r>
      <w:r w:rsidRPr="008149B4">
        <w:rPr>
          <w:b w:val="0"/>
          <w:szCs w:val="24"/>
        </w:rPr>
        <w:t xml:space="preserve"> for the service.</w:t>
      </w:r>
    </w:p>
    <w:p w14:paraId="083029CC" w14:textId="77777777" w:rsidR="00AE2A1A" w:rsidRPr="008149B4" w:rsidRDefault="00AE2A1A" w:rsidP="00C63FDC">
      <w:pPr>
        <w:pStyle w:val="Header"/>
        <w:tabs>
          <w:tab w:val="num" w:pos="1080"/>
        </w:tabs>
        <w:rPr>
          <w:szCs w:val="24"/>
          <w:u w:val="single"/>
        </w:rPr>
      </w:pPr>
    </w:p>
    <w:p w14:paraId="3AC03B85" w14:textId="47FA37D5" w:rsidR="00AE2A1A" w:rsidRPr="008149B4" w:rsidRDefault="00AE2A1A" w:rsidP="00C63FDC">
      <w:pPr>
        <w:pStyle w:val="Header"/>
        <w:tabs>
          <w:tab w:val="num" w:pos="1080"/>
        </w:tabs>
        <w:rPr>
          <w:szCs w:val="24"/>
          <w:u w:val="single"/>
        </w:rPr>
      </w:pPr>
      <w:r w:rsidRPr="008149B4">
        <w:rPr>
          <w:szCs w:val="24"/>
          <w:u w:val="single"/>
        </w:rPr>
        <w:t xml:space="preserve">Section 6 – Application of provisions of the </w:t>
      </w:r>
      <w:r w:rsidR="00C1785F" w:rsidRPr="008149B4">
        <w:rPr>
          <w:szCs w:val="24"/>
          <w:u w:val="single"/>
        </w:rPr>
        <w:t>general medical</w:t>
      </w:r>
      <w:r w:rsidR="0074525D" w:rsidRPr="008149B4">
        <w:rPr>
          <w:szCs w:val="24"/>
          <w:u w:val="single"/>
        </w:rPr>
        <w:t xml:space="preserve"> </w:t>
      </w:r>
      <w:r w:rsidRPr="008149B4">
        <w:rPr>
          <w:szCs w:val="24"/>
          <w:u w:val="single"/>
        </w:rPr>
        <w:t>services table</w:t>
      </w:r>
    </w:p>
    <w:p w14:paraId="7BB830EF" w14:textId="77777777" w:rsidR="00FC0341" w:rsidRPr="008149B4" w:rsidRDefault="00FC0341" w:rsidP="00C63FDC">
      <w:pPr>
        <w:pStyle w:val="Header"/>
        <w:tabs>
          <w:tab w:val="num" w:pos="1080"/>
        </w:tabs>
        <w:rPr>
          <w:szCs w:val="24"/>
        </w:rPr>
      </w:pPr>
    </w:p>
    <w:p w14:paraId="643A35EF" w14:textId="7CAC30FA" w:rsidR="00517CF3" w:rsidRPr="008149B4" w:rsidRDefault="00631760" w:rsidP="00C63FDC">
      <w:pPr>
        <w:pStyle w:val="Header"/>
        <w:tabs>
          <w:tab w:val="num" w:pos="1080"/>
        </w:tabs>
        <w:rPr>
          <w:szCs w:val="24"/>
        </w:rPr>
      </w:pPr>
      <w:r w:rsidRPr="008149B4">
        <w:rPr>
          <w:szCs w:val="24"/>
        </w:rPr>
        <w:t xml:space="preserve">Section 6 specifies provisions </w:t>
      </w:r>
      <w:r w:rsidR="00875A94" w:rsidRPr="008149B4">
        <w:rPr>
          <w:szCs w:val="24"/>
        </w:rPr>
        <w:t>from</w:t>
      </w:r>
      <w:r w:rsidRPr="008149B4">
        <w:rPr>
          <w:szCs w:val="24"/>
        </w:rPr>
        <w:t xml:space="preserve"> the </w:t>
      </w:r>
      <w:r w:rsidR="001A68B8" w:rsidRPr="008149B4">
        <w:rPr>
          <w:szCs w:val="24"/>
        </w:rPr>
        <w:t>Table</w:t>
      </w:r>
      <w:r w:rsidRPr="008149B4">
        <w:rPr>
          <w:szCs w:val="24"/>
        </w:rPr>
        <w:t xml:space="preserve"> that apply as if items in </w:t>
      </w:r>
      <w:r w:rsidR="00875A94" w:rsidRPr="008149B4">
        <w:rPr>
          <w:szCs w:val="24"/>
        </w:rPr>
        <w:t xml:space="preserve">the </w:t>
      </w:r>
      <w:r w:rsidRPr="008149B4">
        <w:rPr>
          <w:szCs w:val="24"/>
        </w:rPr>
        <w:t xml:space="preserve">Schedule </w:t>
      </w:r>
      <w:r w:rsidR="00875A94" w:rsidRPr="008149B4">
        <w:rPr>
          <w:szCs w:val="24"/>
        </w:rPr>
        <w:t>of the</w:t>
      </w:r>
      <w:r w:rsidRPr="008149B4">
        <w:rPr>
          <w:szCs w:val="24"/>
        </w:rPr>
        <w:t xml:space="preserve"> Determination were specified in the relevant provisions of the </w:t>
      </w:r>
      <w:r w:rsidR="00EA7060" w:rsidRPr="008149B4">
        <w:rPr>
          <w:szCs w:val="24"/>
        </w:rPr>
        <w:t>Table</w:t>
      </w:r>
      <w:r w:rsidR="00875A94" w:rsidRPr="008149B4">
        <w:rPr>
          <w:szCs w:val="24"/>
        </w:rPr>
        <w:t>.</w:t>
      </w:r>
    </w:p>
    <w:p w14:paraId="28340E6F" w14:textId="77777777" w:rsidR="00631760" w:rsidRPr="008149B4" w:rsidRDefault="00631760" w:rsidP="00C63FDC">
      <w:pPr>
        <w:pStyle w:val="Header"/>
        <w:tabs>
          <w:tab w:val="num" w:pos="1080"/>
        </w:tabs>
        <w:rPr>
          <w:szCs w:val="24"/>
        </w:rPr>
      </w:pPr>
    </w:p>
    <w:p w14:paraId="2991FA72" w14:textId="0CC03382" w:rsidR="00C91930" w:rsidRPr="008149B4" w:rsidRDefault="00631760" w:rsidP="00C91930">
      <w:pPr>
        <w:pStyle w:val="Header"/>
        <w:tabs>
          <w:tab w:val="num" w:pos="1080"/>
        </w:tabs>
        <w:rPr>
          <w:szCs w:val="24"/>
        </w:rPr>
      </w:pPr>
      <w:r w:rsidRPr="008149B4">
        <w:rPr>
          <w:szCs w:val="24"/>
        </w:rPr>
        <w:t xml:space="preserve">Subsection 6(1) of the Determination provides that items </w:t>
      </w:r>
      <w:r w:rsidR="007C6875" w:rsidRPr="008149B4">
        <w:rPr>
          <w:szCs w:val="24"/>
        </w:rPr>
        <w:t>117</w:t>
      </w:r>
      <w:r w:rsidR="00A30C45" w:rsidRPr="008149B4">
        <w:rPr>
          <w:szCs w:val="24"/>
        </w:rPr>
        <w:t>05</w:t>
      </w:r>
      <w:r w:rsidR="00875A94" w:rsidRPr="008149B4">
        <w:rPr>
          <w:szCs w:val="24"/>
        </w:rPr>
        <w:t xml:space="preserve"> and 117</w:t>
      </w:r>
      <w:r w:rsidR="00A30C45" w:rsidRPr="008149B4">
        <w:rPr>
          <w:szCs w:val="24"/>
        </w:rPr>
        <w:t>31</w:t>
      </w:r>
      <w:r w:rsidR="00875A94" w:rsidRPr="008149B4">
        <w:rPr>
          <w:szCs w:val="24"/>
        </w:rPr>
        <w:t xml:space="preserve"> in the Schedule have effect as if</w:t>
      </w:r>
      <w:r w:rsidR="00EA7060" w:rsidRPr="008149B4">
        <w:rPr>
          <w:szCs w:val="24"/>
        </w:rPr>
        <w:t xml:space="preserve"> the</w:t>
      </w:r>
      <w:r w:rsidR="00875A94" w:rsidRPr="008149B4">
        <w:rPr>
          <w:szCs w:val="24"/>
        </w:rPr>
        <w:t xml:space="preserve"> </w:t>
      </w:r>
      <w:r w:rsidRPr="008149B4">
        <w:rPr>
          <w:szCs w:val="24"/>
        </w:rPr>
        <w:t>items were specified in clause</w:t>
      </w:r>
      <w:r w:rsidR="00EA7060" w:rsidRPr="008149B4">
        <w:rPr>
          <w:szCs w:val="24"/>
        </w:rPr>
        <w:t>s</w:t>
      </w:r>
      <w:r w:rsidRPr="008149B4">
        <w:rPr>
          <w:szCs w:val="24"/>
        </w:rPr>
        <w:t xml:space="preserve"> 1.2.</w:t>
      </w:r>
      <w:r w:rsidR="00875A94" w:rsidRPr="008149B4">
        <w:rPr>
          <w:szCs w:val="24"/>
        </w:rPr>
        <w:t>6</w:t>
      </w:r>
      <w:r w:rsidR="00EA7060" w:rsidRPr="008149B4">
        <w:rPr>
          <w:szCs w:val="24"/>
        </w:rPr>
        <w:t xml:space="preserve"> and 1.2.7 of the Table.  Clauses 1.2.6 and 1.2.7 </w:t>
      </w:r>
      <w:r w:rsidR="00C91930" w:rsidRPr="008149B4">
        <w:rPr>
          <w:szCs w:val="24"/>
        </w:rPr>
        <w:t>of the Table provide</w:t>
      </w:r>
      <w:r w:rsidR="00EA7060" w:rsidRPr="008149B4">
        <w:rPr>
          <w:szCs w:val="24"/>
        </w:rPr>
        <w:t xml:space="preserve"> that medical practitioners must personally attend the service which must be performed on a single occasion, regardless if </w:t>
      </w:r>
      <w:r w:rsidR="00C91930" w:rsidRPr="008149B4">
        <w:rPr>
          <w:szCs w:val="24"/>
        </w:rPr>
        <w:t>the medical practitioner, or a person on behalf of the medical practitioner, performs the service.</w:t>
      </w:r>
    </w:p>
    <w:p w14:paraId="410B049E" w14:textId="77777777" w:rsidR="00631760" w:rsidRPr="008149B4" w:rsidRDefault="00631760" w:rsidP="00C63FDC">
      <w:pPr>
        <w:pStyle w:val="Header"/>
        <w:tabs>
          <w:tab w:val="num" w:pos="1080"/>
        </w:tabs>
        <w:rPr>
          <w:szCs w:val="24"/>
        </w:rPr>
      </w:pPr>
    </w:p>
    <w:p w14:paraId="77C5DB52" w14:textId="7AB181AF" w:rsidR="00B609E1" w:rsidRPr="008149B4" w:rsidRDefault="00260E0D" w:rsidP="00B609E1">
      <w:pPr>
        <w:pStyle w:val="Header"/>
        <w:tabs>
          <w:tab w:val="num" w:pos="1080"/>
        </w:tabs>
        <w:rPr>
          <w:szCs w:val="24"/>
        </w:rPr>
      </w:pPr>
      <w:r w:rsidRPr="008149B4">
        <w:rPr>
          <w:szCs w:val="24"/>
        </w:rPr>
        <w:t>Subsection 6(2) of the Determination provides that items</w:t>
      </w:r>
      <w:r w:rsidR="00875A94" w:rsidRPr="008149B4">
        <w:rPr>
          <w:szCs w:val="24"/>
        </w:rPr>
        <w:t xml:space="preserve"> </w:t>
      </w:r>
      <w:r w:rsidR="007C6875" w:rsidRPr="008149B4">
        <w:rPr>
          <w:szCs w:val="24"/>
        </w:rPr>
        <w:t>11704, 11705</w:t>
      </w:r>
      <w:r w:rsidR="00C12280" w:rsidRPr="008149B4">
        <w:rPr>
          <w:szCs w:val="24"/>
        </w:rPr>
        <w:t>, 11707, 11714, 11716, 11717, 11723, 11729</w:t>
      </w:r>
      <w:r w:rsidR="00B609E1" w:rsidRPr="008149B4">
        <w:rPr>
          <w:szCs w:val="24"/>
        </w:rPr>
        <w:t xml:space="preserve"> and</w:t>
      </w:r>
      <w:r w:rsidR="00C12280" w:rsidRPr="008149B4">
        <w:rPr>
          <w:szCs w:val="24"/>
        </w:rPr>
        <w:t xml:space="preserve"> 11730</w:t>
      </w:r>
      <w:r w:rsidR="007C6875" w:rsidRPr="008149B4">
        <w:rPr>
          <w:szCs w:val="24"/>
        </w:rPr>
        <w:t xml:space="preserve"> </w:t>
      </w:r>
      <w:r w:rsidRPr="008149B4">
        <w:rPr>
          <w:szCs w:val="24"/>
        </w:rPr>
        <w:t xml:space="preserve">in </w:t>
      </w:r>
      <w:r w:rsidR="007C6875" w:rsidRPr="008149B4">
        <w:rPr>
          <w:szCs w:val="24"/>
        </w:rPr>
        <w:t xml:space="preserve">the </w:t>
      </w:r>
      <w:r w:rsidRPr="008149B4">
        <w:rPr>
          <w:szCs w:val="24"/>
        </w:rPr>
        <w:t xml:space="preserve">Schedule </w:t>
      </w:r>
      <w:r w:rsidR="007C6875" w:rsidRPr="008149B4">
        <w:rPr>
          <w:szCs w:val="24"/>
        </w:rPr>
        <w:t>have effect as if</w:t>
      </w:r>
      <w:r w:rsidRPr="008149B4">
        <w:rPr>
          <w:szCs w:val="24"/>
        </w:rPr>
        <w:t xml:space="preserve"> the items were specified in clause </w:t>
      </w:r>
      <w:r w:rsidR="00B609E1" w:rsidRPr="008149B4">
        <w:rPr>
          <w:szCs w:val="24"/>
        </w:rPr>
        <w:t xml:space="preserve">1.2.11 of the </w:t>
      </w:r>
      <w:r w:rsidR="00C91930" w:rsidRPr="008149B4">
        <w:rPr>
          <w:szCs w:val="24"/>
        </w:rPr>
        <w:t>Table. Clause 1.2.11</w:t>
      </w:r>
      <w:r w:rsidR="00B609E1" w:rsidRPr="008149B4">
        <w:rPr>
          <w:szCs w:val="24"/>
        </w:rPr>
        <w:t xml:space="preserve"> </w:t>
      </w:r>
      <w:r w:rsidR="00C91930" w:rsidRPr="008149B4">
        <w:rPr>
          <w:szCs w:val="24"/>
        </w:rPr>
        <w:t xml:space="preserve">prescribes a list of items that can be performed on behalf of a medical practitioner by a non-medical practitioner, providing they are employed by the medical practitioner or perform the service under </w:t>
      </w:r>
      <w:r w:rsidR="00B609E1" w:rsidRPr="008149B4">
        <w:rPr>
          <w:szCs w:val="24"/>
        </w:rPr>
        <w:t>the supervision of a medical practitioner in accordance with accepted medical practice.</w:t>
      </w:r>
    </w:p>
    <w:p w14:paraId="06C905C6" w14:textId="76BE2BCB" w:rsidR="003B3D70" w:rsidRPr="008149B4" w:rsidRDefault="003B3D70" w:rsidP="00B609E1">
      <w:pPr>
        <w:pStyle w:val="Header"/>
        <w:tabs>
          <w:tab w:val="num" w:pos="1080"/>
        </w:tabs>
        <w:rPr>
          <w:szCs w:val="24"/>
        </w:rPr>
      </w:pPr>
    </w:p>
    <w:p w14:paraId="65E0D2FB" w14:textId="0178D007" w:rsidR="003B3D70" w:rsidRPr="008149B4" w:rsidRDefault="003B3D70" w:rsidP="003B3D70">
      <w:pPr>
        <w:pStyle w:val="Header"/>
        <w:tabs>
          <w:tab w:val="num" w:pos="1080"/>
        </w:tabs>
        <w:rPr>
          <w:szCs w:val="24"/>
          <w:u w:val="single"/>
        </w:rPr>
      </w:pPr>
      <w:r w:rsidRPr="008149B4">
        <w:rPr>
          <w:szCs w:val="24"/>
          <w:u w:val="single"/>
        </w:rPr>
        <w:t>Schedule 1 – Relevant services (and application and limitation provisions in sections 7 and 8)</w:t>
      </w:r>
    </w:p>
    <w:p w14:paraId="4451A26A" w14:textId="49CB58BA" w:rsidR="003B3D70" w:rsidRPr="008149B4" w:rsidRDefault="003B3D70" w:rsidP="003B3D70">
      <w:pPr>
        <w:rPr>
          <w:iCs/>
          <w:szCs w:val="24"/>
          <w:lang w:eastAsia="en-US"/>
        </w:rPr>
      </w:pPr>
      <w:r w:rsidRPr="008149B4">
        <w:t xml:space="preserve">The Determination will list 10 new cardiac diagnostic testing items to </w:t>
      </w:r>
      <w:r w:rsidRPr="008149B4">
        <w:rPr>
          <w:iCs/>
          <w:szCs w:val="24"/>
          <w:lang w:eastAsia="en-US"/>
        </w:rPr>
        <w:t xml:space="preserve">align with clinical guidelines regarding the types of medical practitioners who can conduct and interpret </w:t>
      </w:r>
      <w:r w:rsidRPr="008149B4">
        <w:rPr>
          <w:iCs/>
          <w:szCs w:val="24"/>
          <w:lang w:eastAsia="en-US"/>
        </w:rPr>
        <w:lastRenderedPageBreak/>
        <w:t>electrocardiograph testing, and clarify the requirements and frequency for exercise or pharmacological electrocardiogram stress testing for optimal patient safety.</w:t>
      </w:r>
    </w:p>
    <w:p w14:paraId="1917A220" w14:textId="5AF8D149" w:rsidR="003B3D70" w:rsidRPr="008149B4" w:rsidRDefault="003B3D70" w:rsidP="003B3D70">
      <w:pPr>
        <w:rPr>
          <w:iCs/>
          <w:szCs w:val="24"/>
          <w:lang w:eastAsia="en-US"/>
        </w:rPr>
      </w:pPr>
    </w:p>
    <w:p w14:paraId="1681C526" w14:textId="2D0F350D" w:rsidR="003B3D70" w:rsidRPr="008149B4" w:rsidRDefault="003B3D70" w:rsidP="003B3D70">
      <w:pPr>
        <w:rPr>
          <w:iCs/>
          <w:szCs w:val="24"/>
          <w:lang w:eastAsia="en-US"/>
        </w:rPr>
      </w:pPr>
      <w:r w:rsidRPr="008149B4">
        <w:rPr>
          <w:iCs/>
          <w:szCs w:val="24"/>
          <w:lang w:eastAsia="en-US"/>
        </w:rPr>
        <w:t>The Determination will list three distinct types of cardiac diagnostic investigations:</w:t>
      </w:r>
    </w:p>
    <w:p w14:paraId="54642CB9" w14:textId="53BBC544" w:rsidR="003B3D70" w:rsidRPr="008149B4" w:rsidRDefault="00E01EB9" w:rsidP="00BA458E">
      <w:pPr>
        <w:pStyle w:val="ListParagraph"/>
        <w:numPr>
          <w:ilvl w:val="0"/>
          <w:numId w:val="1"/>
        </w:numPr>
        <w:rPr>
          <w:iCs/>
          <w:szCs w:val="24"/>
          <w:lang w:eastAsia="en-US"/>
        </w:rPr>
      </w:pPr>
      <w:r w:rsidRPr="008149B4">
        <w:rPr>
          <w:iCs/>
          <w:szCs w:val="24"/>
          <w:lang w:eastAsia="en-US"/>
        </w:rPr>
        <w:t>f</w:t>
      </w:r>
      <w:r w:rsidR="009215F6" w:rsidRPr="008149B4">
        <w:rPr>
          <w:iCs/>
          <w:szCs w:val="24"/>
          <w:lang w:eastAsia="en-US"/>
        </w:rPr>
        <w:t>our 12-lead electro</w:t>
      </w:r>
      <w:r w:rsidR="003B3D70" w:rsidRPr="008149B4">
        <w:rPr>
          <w:iCs/>
          <w:szCs w:val="24"/>
          <w:lang w:eastAsia="en-US"/>
        </w:rPr>
        <w:t>cardiography items</w:t>
      </w:r>
      <w:r w:rsidR="009215F6" w:rsidRPr="008149B4">
        <w:rPr>
          <w:iCs/>
          <w:szCs w:val="24"/>
          <w:lang w:eastAsia="en-US"/>
        </w:rPr>
        <w:t xml:space="preserve"> to detect and monitor potential cardiac disorders;</w:t>
      </w:r>
    </w:p>
    <w:p w14:paraId="2248D84C" w14:textId="2162DE4F" w:rsidR="009215F6" w:rsidRPr="008149B4" w:rsidRDefault="00E01EB9" w:rsidP="00BA458E">
      <w:pPr>
        <w:pStyle w:val="ListParagraph"/>
        <w:numPr>
          <w:ilvl w:val="0"/>
          <w:numId w:val="1"/>
        </w:numPr>
        <w:rPr>
          <w:iCs/>
          <w:szCs w:val="24"/>
          <w:lang w:eastAsia="en-US"/>
        </w:rPr>
      </w:pPr>
      <w:r w:rsidRPr="008149B4">
        <w:rPr>
          <w:iCs/>
          <w:szCs w:val="24"/>
          <w:lang w:eastAsia="en-US"/>
        </w:rPr>
        <w:t>t</w:t>
      </w:r>
      <w:r w:rsidR="009215F6" w:rsidRPr="008149B4">
        <w:rPr>
          <w:iCs/>
          <w:szCs w:val="24"/>
          <w:lang w:eastAsia="en-US"/>
        </w:rPr>
        <w:t>hree ambulatory diagnostic testing items to detect and monitor infrequent or unpredictable cardiac arrhythmias;</w:t>
      </w:r>
    </w:p>
    <w:p w14:paraId="3739827D" w14:textId="5CD710C5" w:rsidR="009215F6" w:rsidRPr="008149B4" w:rsidRDefault="00E01EB9" w:rsidP="00BA458E">
      <w:pPr>
        <w:pStyle w:val="ListParagraph"/>
        <w:numPr>
          <w:ilvl w:val="0"/>
          <w:numId w:val="1"/>
        </w:numPr>
        <w:rPr>
          <w:iCs/>
          <w:szCs w:val="24"/>
          <w:lang w:eastAsia="en-US"/>
        </w:rPr>
      </w:pPr>
      <w:r w:rsidRPr="008149B4">
        <w:rPr>
          <w:iCs/>
          <w:szCs w:val="24"/>
          <w:lang w:eastAsia="en-US"/>
        </w:rPr>
        <w:t>t</w:t>
      </w:r>
      <w:r w:rsidR="009215F6" w:rsidRPr="008149B4">
        <w:rPr>
          <w:iCs/>
          <w:szCs w:val="24"/>
          <w:lang w:eastAsia="en-US"/>
        </w:rPr>
        <w:t xml:space="preserve">wo electrocardiogram exercise or pharmacology stress test items </w:t>
      </w:r>
      <w:r w:rsidRPr="008149B4">
        <w:rPr>
          <w:iCs/>
          <w:szCs w:val="24"/>
          <w:lang w:eastAsia="en-US"/>
        </w:rPr>
        <w:t xml:space="preserve">for patients with suspected or known </w:t>
      </w:r>
      <w:r w:rsidR="009215F6" w:rsidRPr="008149B4">
        <w:rPr>
          <w:iCs/>
          <w:szCs w:val="24"/>
          <w:lang w:eastAsia="en-US"/>
        </w:rPr>
        <w:t>heart disorders</w:t>
      </w:r>
      <w:r w:rsidRPr="008149B4">
        <w:rPr>
          <w:iCs/>
          <w:szCs w:val="24"/>
          <w:lang w:eastAsia="en-US"/>
        </w:rPr>
        <w:t xml:space="preserve"> which are exacerbated by exercise</w:t>
      </w:r>
      <w:r w:rsidR="009215F6" w:rsidRPr="008149B4">
        <w:rPr>
          <w:iCs/>
          <w:szCs w:val="24"/>
          <w:lang w:eastAsia="en-US"/>
        </w:rPr>
        <w:t>; and</w:t>
      </w:r>
    </w:p>
    <w:p w14:paraId="49F6B9B1" w14:textId="7A9DE16D" w:rsidR="009215F6" w:rsidRPr="008149B4" w:rsidRDefault="00E01EB9" w:rsidP="00BA458E">
      <w:pPr>
        <w:pStyle w:val="ListParagraph"/>
        <w:numPr>
          <w:ilvl w:val="0"/>
          <w:numId w:val="1"/>
        </w:numPr>
        <w:rPr>
          <w:iCs/>
          <w:szCs w:val="24"/>
          <w:lang w:eastAsia="en-US"/>
        </w:rPr>
      </w:pPr>
      <w:r w:rsidRPr="008149B4">
        <w:rPr>
          <w:iCs/>
          <w:szCs w:val="24"/>
          <w:lang w:eastAsia="en-US"/>
        </w:rPr>
        <w:t>o</w:t>
      </w:r>
      <w:r w:rsidR="009215F6" w:rsidRPr="008149B4">
        <w:rPr>
          <w:iCs/>
          <w:szCs w:val="24"/>
          <w:lang w:eastAsia="en-US"/>
        </w:rPr>
        <w:t xml:space="preserve">ne </w:t>
      </w:r>
      <w:r w:rsidR="0038480E" w:rsidRPr="008149B4">
        <w:rPr>
          <w:iCs/>
          <w:szCs w:val="24"/>
          <w:lang w:eastAsia="en-US"/>
        </w:rPr>
        <w:t>implanted</w:t>
      </w:r>
      <w:r w:rsidR="009215F6" w:rsidRPr="008149B4">
        <w:rPr>
          <w:iCs/>
          <w:szCs w:val="24"/>
          <w:lang w:eastAsia="en-US"/>
        </w:rPr>
        <w:t xml:space="preserve"> loop record</w:t>
      </w:r>
      <w:r w:rsidR="0038480E" w:rsidRPr="008149B4">
        <w:rPr>
          <w:iCs/>
          <w:szCs w:val="24"/>
          <w:lang w:eastAsia="en-US"/>
        </w:rPr>
        <w:t xml:space="preserve"> to investigate patients with cryptogenic stroke or recurrent unexplained syncope. </w:t>
      </w:r>
    </w:p>
    <w:p w14:paraId="460BF2F2" w14:textId="1E2CF744" w:rsidR="003B3D70" w:rsidRPr="008149B4" w:rsidRDefault="003B3D70" w:rsidP="003B3D70">
      <w:pPr>
        <w:rPr>
          <w:iCs/>
          <w:color w:val="FF0000"/>
          <w:szCs w:val="24"/>
          <w:lang w:eastAsia="en-US"/>
        </w:rPr>
      </w:pPr>
    </w:p>
    <w:p w14:paraId="3E16A7B9" w14:textId="0A30AABD" w:rsidR="0038480E" w:rsidRPr="008149B4" w:rsidRDefault="008F2754" w:rsidP="003B3D70">
      <w:pPr>
        <w:rPr>
          <w:b/>
          <w:iCs/>
          <w:szCs w:val="24"/>
          <w:lang w:eastAsia="en-US"/>
        </w:rPr>
      </w:pPr>
      <w:r w:rsidRPr="008149B4">
        <w:rPr>
          <w:b/>
          <w:iCs/>
          <w:szCs w:val="24"/>
          <w:lang w:eastAsia="en-US"/>
        </w:rPr>
        <w:t>12-lead electrocardiography items</w:t>
      </w:r>
    </w:p>
    <w:p w14:paraId="0812BED9" w14:textId="77D6A0D8" w:rsidR="008F2754" w:rsidRPr="008149B4" w:rsidRDefault="0021505A" w:rsidP="003B3D70">
      <w:pPr>
        <w:rPr>
          <w:iCs/>
          <w:szCs w:val="24"/>
          <w:lang w:eastAsia="en-US"/>
        </w:rPr>
      </w:pPr>
      <w:r w:rsidRPr="008149B4">
        <w:rPr>
          <w:iCs/>
          <w:szCs w:val="24"/>
          <w:lang w:eastAsia="en-US"/>
        </w:rPr>
        <w:t>Schedule 1 of the Determination will list four new 12-lead electrocardiography items:</w:t>
      </w:r>
    </w:p>
    <w:p w14:paraId="6B7DD7DF" w14:textId="0E7F0062" w:rsidR="0021505A" w:rsidRPr="008149B4" w:rsidRDefault="0021505A" w:rsidP="00BA458E">
      <w:pPr>
        <w:pStyle w:val="Header"/>
        <w:numPr>
          <w:ilvl w:val="0"/>
          <w:numId w:val="2"/>
        </w:numPr>
        <w:rPr>
          <w:szCs w:val="24"/>
        </w:rPr>
      </w:pPr>
      <w:r w:rsidRPr="008149B4">
        <w:rPr>
          <w:szCs w:val="24"/>
        </w:rPr>
        <w:t xml:space="preserve">Item 11704 for a trace and formal report service performed by </w:t>
      </w:r>
      <w:r w:rsidR="00D00D17" w:rsidRPr="008149B4">
        <w:rPr>
          <w:szCs w:val="24"/>
        </w:rPr>
        <w:t xml:space="preserve">a </w:t>
      </w:r>
      <w:r w:rsidRPr="008149B4">
        <w:rPr>
          <w:szCs w:val="24"/>
        </w:rPr>
        <w:t xml:space="preserve">specialist or consultant physician. </w:t>
      </w:r>
    </w:p>
    <w:p w14:paraId="518800E3" w14:textId="19CD633A" w:rsidR="0021505A" w:rsidRPr="008149B4" w:rsidRDefault="0021505A" w:rsidP="00BA458E">
      <w:pPr>
        <w:pStyle w:val="Header"/>
        <w:numPr>
          <w:ilvl w:val="0"/>
          <w:numId w:val="2"/>
        </w:numPr>
        <w:rPr>
          <w:szCs w:val="24"/>
        </w:rPr>
      </w:pPr>
      <w:r w:rsidRPr="008149B4">
        <w:rPr>
          <w:szCs w:val="24"/>
        </w:rPr>
        <w:t xml:space="preserve">Item 11705 for a formal report service performed by </w:t>
      </w:r>
      <w:r w:rsidR="00D00D17" w:rsidRPr="008149B4">
        <w:rPr>
          <w:szCs w:val="24"/>
        </w:rPr>
        <w:t xml:space="preserve">a </w:t>
      </w:r>
      <w:r w:rsidRPr="008149B4">
        <w:rPr>
          <w:szCs w:val="24"/>
        </w:rPr>
        <w:t xml:space="preserve">specialist or consultant physician, where the specialist reports on a trace from a </w:t>
      </w:r>
      <w:r w:rsidRPr="008149B4">
        <w:rPr>
          <w:iCs/>
          <w:szCs w:val="24"/>
          <w:lang w:eastAsia="en-US"/>
        </w:rPr>
        <w:t>12-lead electrocardiography</w:t>
      </w:r>
      <w:r w:rsidRPr="008149B4">
        <w:rPr>
          <w:szCs w:val="24"/>
        </w:rPr>
        <w:t>.</w:t>
      </w:r>
    </w:p>
    <w:p w14:paraId="5E3F662F" w14:textId="280EA0C9" w:rsidR="0021505A" w:rsidRPr="008149B4" w:rsidRDefault="0021505A" w:rsidP="00BA458E">
      <w:pPr>
        <w:pStyle w:val="Header"/>
        <w:numPr>
          <w:ilvl w:val="0"/>
          <w:numId w:val="2"/>
        </w:numPr>
        <w:rPr>
          <w:szCs w:val="24"/>
        </w:rPr>
      </w:pPr>
      <w:r w:rsidRPr="008149B4">
        <w:rPr>
          <w:szCs w:val="24"/>
        </w:rPr>
        <w:t>Item 11707 for a trace service performed by a medical practitioner.</w:t>
      </w:r>
    </w:p>
    <w:p w14:paraId="413A7008" w14:textId="3D0B70A6" w:rsidR="0021505A" w:rsidRPr="008149B4" w:rsidRDefault="0021505A" w:rsidP="00BA458E">
      <w:pPr>
        <w:pStyle w:val="Header"/>
        <w:numPr>
          <w:ilvl w:val="0"/>
          <w:numId w:val="2"/>
        </w:numPr>
        <w:rPr>
          <w:szCs w:val="24"/>
        </w:rPr>
      </w:pPr>
      <w:r w:rsidRPr="008149B4">
        <w:rPr>
          <w:szCs w:val="24"/>
        </w:rPr>
        <w:t xml:space="preserve">Item 11714 for trace and clinical note service performed by </w:t>
      </w:r>
      <w:r w:rsidR="00D00D17" w:rsidRPr="008149B4">
        <w:rPr>
          <w:szCs w:val="24"/>
        </w:rPr>
        <w:t xml:space="preserve">a </w:t>
      </w:r>
      <w:r w:rsidRPr="008149B4">
        <w:rPr>
          <w:szCs w:val="24"/>
        </w:rPr>
        <w:t xml:space="preserve">specialist or consultant physician. </w:t>
      </w:r>
    </w:p>
    <w:p w14:paraId="229AF94D" w14:textId="4073716D" w:rsidR="0021505A" w:rsidRPr="008149B4" w:rsidRDefault="0021505A" w:rsidP="0021505A">
      <w:pPr>
        <w:pStyle w:val="Header"/>
        <w:rPr>
          <w:szCs w:val="24"/>
        </w:rPr>
      </w:pPr>
    </w:p>
    <w:p w14:paraId="27D3268F" w14:textId="3240023D" w:rsidR="0021505A" w:rsidRPr="008149B4" w:rsidRDefault="00A718B6" w:rsidP="0021505A">
      <w:pPr>
        <w:pStyle w:val="Header"/>
        <w:rPr>
          <w:szCs w:val="24"/>
        </w:rPr>
      </w:pPr>
      <w:r w:rsidRPr="008149B4">
        <w:rPr>
          <w:szCs w:val="24"/>
        </w:rPr>
        <w:t>Items 11704, 11707 and 11714 do not apply where the patient is an “admitted patient” of a hospital, per subsection 8(1) of the Determination. An “admitted patient” is defined in section 4 of the Determination and includes an episode of hospital treatment and an episode of hospital-substitute treatment where a benefit is paid from a private health insurer. Item 11705 is not subject to subsection 8(1) of the Determination, and can be performed out-of-hospital or for admitted hospital patients.</w:t>
      </w:r>
    </w:p>
    <w:p w14:paraId="5CA29CCC" w14:textId="0276782D" w:rsidR="00BA458E" w:rsidRPr="008149B4" w:rsidRDefault="00BA458E" w:rsidP="0021505A">
      <w:pPr>
        <w:pStyle w:val="Header"/>
        <w:rPr>
          <w:szCs w:val="24"/>
        </w:rPr>
      </w:pPr>
    </w:p>
    <w:p w14:paraId="1CAB6FC6" w14:textId="2EA6629F" w:rsidR="001F643D" w:rsidRPr="008149B4" w:rsidRDefault="001F643D" w:rsidP="001F643D">
      <w:pPr>
        <w:pStyle w:val="Header"/>
        <w:rPr>
          <w:szCs w:val="24"/>
        </w:rPr>
      </w:pPr>
      <w:r w:rsidRPr="008149B4">
        <w:rPr>
          <w:szCs w:val="24"/>
        </w:rPr>
        <w:t>Items 11704 and 11705 are requested services</w:t>
      </w:r>
      <w:r w:rsidR="00C0025A" w:rsidRPr="008149B4">
        <w:rPr>
          <w:szCs w:val="24"/>
        </w:rPr>
        <w:t xml:space="preserve"> which require the rendering specialist or consultant physician to produce a “formal report”, as defined in section 4 of the Determination, which must be provided to the requesting practitioner</w:t>
      </w:r>
      <w:r w:rsidRPr="008149B4">
        <w:rPr>
          <w:szCs w:val="24"/>
        </w:rPr>
        <w:t>. The rendering specialist or consultant physician cannot perform the service unless it has been requested by another medical practitioner</w:t>
      </w:r>
      <w:r w:rsidR="006E6212" w:rsidRPr="008149B4">
        <w:rPr>
          <w:szCs w:val="24"/>
        </w:rPr>
        <w:t xml:space="preserve"> (a “requesting practitioner” as defined in section 4). Subsection 8(2) limits the rendering specialist or consultant physician and the requesting practitioner from having a financial relationship. </w:t>
      </w:r>
    </w:p>
    <w:p w14:paraId="41528690" w14:textId="5CF0EAD7" w:rsidR="006E6212" w:rsidRPr="008149B4" w:rsidRDefault="006E6212" w:rsidP="001F643D">
      <w:pPr>
        <w:pStyle w:val="Header"/>
        <w:rPr>
          <w:szCs w:val="24"/>
        </w:rPr>
      </w:pPr>
    </w:p>
    <w:p w14:paraId="6C34766B" w14:textId="2B9E965C" w:rsidR="00C0025A" w:rsidRPr="008149B4" w:rsidRDefault="006E6212" w:rsidP="001F643D">
      <w:pPr>
        <w:pStyle w:val="Header"/>
        <w:rPr>
          <w:szCs w:val="24"/>
        </w:rPr>
      </w:pPr>
      <w:r w:rsidRPr="008149B4">
        <w:rPr>
          <w:szCs w:val="24"/>
        </w:rPr>
        <w:t xml:space="preserve">As a requested service, it is generally not expected that items 11704 or 11705 involve any clinical work beyond performing the </w:t>
      </w:r>
      <w:r w:rsidR="00C0025A" w:rsidRPr="008149B4">
        <w:rPr>
          <w:szCs w:val="24"/>
        </w:rPr>
        <w:t xml:space="preserve">formal </w:t>
      </w:r>
      <w:r w:rsidRPr="008149B4">
        <w:rPr>
          <w:szCs w:val="24"/>
        </w:rPr>
        <w:t xml:space="preserve">report (and the trace for item 11704). </w:t>
      </w:r>
      <w:r w:rsidR="00761430" w:rsidRPr="008149B4">
        <w:rPr>
          <w:szCs w:val="24"/>
        </w:rPr>
        <w:t>The Taskforce recommended that an attendance should not be co-claimed with a diagnostic cardiac investigation in these circumstances. Subsection 8(7) limits item 11704 from being performed if the rendering specialist or consultant physician has performed an attendance on the same patient on the same day. Item 11705 is generally limit from being co-claimed with an attendance, but in exceptional clinical circumstances an attendance can be performed; see subsections 8(8) and (9).</w:t>
      </w:r>
      <w:r w:rsidR="00C0025A" w:rsidRPr="008149B4">
        <w:rPr>
          <w:szCs w:val="24"/>
        </w:rPr>
        <w:t xml:space="preserve"> </w:t>
      </w:r>
    </w:p>
    <w:p w14:paraId="31F11B03" w14:textId="77777777" w:rsidR="00C0025A" w:rsidRPr="008149B4" w:rsidRDefault="00C0025A" w:rsidP="001F643D">
      <w:pPr>
        <w:pStyle w:val="Header"/>
        <w:rPr>
          <w:szCs w:val="24"/>
        </w:rPr>
      </w:pPr>
    </w:p>
    <w:p w14:paraId="711AEEB2" w14:textId="77777777" w:rsidR="00C0025A" w:rsidRPr="008149B4" w:rsidRDefault="00761430" w:rsidP="001F643D">
      <w:pPr>
        <w:pStyle w:val="Header"/>
        <w:rPr>
          <w:szCs w:val="24"/>
        </w:rPr>
      </w:pPr>
      <w:r w:rsidRPr="008149B4">
        <w:rPr>
          <w:szCs w:val="24"/>
        </w:rPr>
        <w:t xml:space="preserve">Item 11707 is a trace only service and can be performed by any medical practitioner. </w:t>
      </w:r>
    </w:p>
    <w:p w14:paraId="43A60D2C" w14:textId="77777777" w:rsidR="00C0025A" w:rsidRPr="008149B4" w:rsidRDefault="00C0025A" w:rsidP="001F643D">
      <w:pPr>
        <w:pStyle w:val="Header"/>
        <w:rPr>
          <w:szCs w:val="24"/>
        </w:rPr>
      </w:pPr>
    </w:p>
    <w:p w14:paraId="4D041FD3" w14:textId="58E88711" w:rsidR="00761430" w:rsidRPr="008149B4" w:rsidRDefault="00761430" w:rsidP="001F643D">
      <w:pPr>
        <w:pStyle w:val="Header"/>
        <w:rPr>
          <w:szCs w:val="24"/>
        </w:rPr>
      </w:pPr>
      <w:r w:rsidRPr="008149B4">
        <w:rPr>
          <w:szCs w:val="24"/>
        </w:rPr>
        <w:t xml:space="preserve">Item 11714 </w:t>
      </w:r>
      <w:r w:rsidR="00C0025A" w:rsidRPr="008149B4">
        <w:rPr>
          <w:szCs w:val="24"/>
        </w:rPr>
        <w:t xml:space="preserve">allows specialist and consultant physicians to perform an </w:t>
      </w:r>
      <w:r w:rsidR="00E01EB9" w:rsidRPr="008149B4">
        <w:rPr>
          <w:iCs/>
          <w:szCs w:val="24"/>
          <w:lang w:eastAsia="en-US"/>
        </w:rPr>
        <w:t xml:space="preserve">electrocardiography </w:t>
      </w:r>
      <w:r w:rsidR="00C0025A" w:rsidRPr="008149B4">
        <w:rPr>
          <w:szCs w:val="24"/>
        </w:rPr>
        <w:t xml:space="preserve">trace and </w:t>
      </w:r>
      <w:r w:rsidR="000372F5" w:rsidRPr="008149B4">
        <w:rPr>
          <w:szCs w:val="24"/>
        </w:rPr>
        <w:t>interpret</w:t>
      </w:r>
      <w:r w:rsidR="00E01EB9" w:rsidRPr="008149B4">
        <w:rPr>
          <w:szCs w:val="24"/>
        </w:rPr>
        <w:t xml:space="preserve"> the results</w:t>
      </w:r>
      <w:r w:rsidR="00C0025A" w:rsidRPr="008149B4">
        <w:rPr>
          <w:szCs w:val="24"/>
        </w:rPr>
        <w:t xml:space="preserve"> (</w:t>
      </w:r>
      <w:r w:rsidR="000372F5" w:rsidRPr="008149B4">
        <w:rPr>
          <w:szCs w:val="24"/>
        </w:rPr>
        <w:t>in the form of producing</w:t>
      </w:r>
      <w:r w:rsidR="00C0025A" w:rsidRPr="008149B4">
        <w:rPr>
          <w:szCs w:val="24"/>
        </w:rPr>
        <w:t xml:space="preserve"> a clinical note</w:t>
      </w:r>
      <w:r w:rsidR="000372F5" w:rsidRPr="008149B4">
        <w:rPr>
          <w:szCs w:val="24"/>
        </w:rPr>
        <w:t xml:space="preserve"> as defined in 4 of the Determination</w:t>
      </w:r>
      <w:r w:rsidR="00C0025A" w:rsidRPr="008149B4">
        <w:rPr>
          <w:szCs w:val="24"/>
        </w:rPr>
        <w:t>)</w:t>
      </w:r>
      <w:r w:rsidR="000372F5" w:rsidRPr="008149B4">
        <w:rPr>
          <w:szCs w:val="24"/>
        </w:rPr>
        <w:t xml:space="preserve"> where they consider it necessary for the management or treatment of the patient. </w:t>
      </w:r>
      <w:r w:rsidR="000372F5" w:rsidRPr="008149B4">
        <w:rPr>
          <w:szCs w:val="24"/>
        </w:rPr>
        <w:lastRenderedPageBreak/>
        <w:t xml:space="preserve">No request is required for this service. There is no limitation on the claiming of an attendance with item 11714, as the Taskforce agreed that performance of an </w:t>
      </w:r>
      <w:r w:rsidR="00E01EB9" w:rsidRPr="008149B4">
        <w:rPr>
          <w:iCs/>
          <w:szCs w:val="24"/>
          <w:lang w:eastAsia="en-US"/>
        </w:rPr>
        <w:t xml:space="preserve">electrocardiography </w:t>
      </w:r>
      <w:r w:rsidR="000372F5" w:rsidRPr="008149B4">
        <w:rPr>
          <w:szCs w:val="24"/>
        </w:rPr>
        <w:t xml:space="preserve">was part of routine assessment for patients presenting to specialist and consultant physicians for management of their </w:t>
      </w:r>
      <w:r w:rsidR="00E01EB9" w:rsidRPr="008149B4">
        <w:rPr>
          <w:szCs w:val="24"/>
        </w:rPr>
        <w:t xml:space="preserve">cardiac </w:t>
      </w:r>
      <w:r w:rsidR="000372F5" w:rsidRPr="008149B4">
        <w:rPr>
          <w:szCs w:val="24"/>
        </w:rPr>
        <w:t xml:space="preserve">condition. </w:t>
      </w:r>
    </w:p>
    <w:p w14:paraId="3B738F3C" w14:textId="130D1545" w:rsidR="008F2754" w:rsidRPr="008149B4" w:rsidRDefault="008F2754" w:rsidP="003B3D70">
      <w:pPr>
        <w:rPr>
          <w:b/>
          <w:iCs/>
          <w:szCs w:val="24"/>
          <w:lang w:eastAsia="en-US"/>
        </w:rPr>
      </w:pPr>
    </w:p>
    <w:p w14:paraId="77F5B6C7" w14:textId="0F8564B4" w:rsidR="008F2754" w:rsidRPr="008149B4" w:rsidRDefault="008F2754" w:rsidP="003B3D70">
      <w:pPr>
        <w:rPr>
          <w:b/>
          <w:iCs/>
          <w:szCs w:val="24"/>
          <w:lang w:eastAsia="en-US"/>
        </w:rPr>
      </w:pPr>
      <w:r w:rsidRPr="008149B4">
        <w:rPr>
          <w:b/>
          <w:iCs/>
          <w:szCs w:val="24"/>
          <w:lang w:eastAsia="en-US"/>
        </w:rPr>
        <w:t>Ambulatory diagnostic testing items</w:t>
      </w:r>
    </w:p>
    <w:p w14:paraId="116F5D5D" w14:textId="1842C64C" w:rsidR="00BA458E" w:rsidRPr="008149B4" w:rsidRDefault="00BA458E" w:rsidP="00BA458E">
      <w:pPr>
        <w:pStyle w:val="Header"/>
        <w:tabs>
          <w:tab w:val="num" w:pos="1080"/>
        </w:tabs>
        <w:rPr>
          <w:szCs w:val="24"/>
        </w:rPr>
      </w:pPr>
      <w:r w:rsidRPr="008149B4">
        <w:rPr>
          <w:szCs w:val="24"/>
        </w:rPr>
        <w:t xml:space="preserve">The Determination lists 3 items for ambulatory </w:t>
      </w:r>
      <w:r w:rsidR="00D00D17" w:rsidRPr="008149B4">
        <w:rPr>
          <w:szCs w:val="24"/>
        </w:rPr>
        <w:t xml:space="preserve">electrocardiogram </w:t>
      </w:r>
      <w:r w:rsidRPr="008149B4">
        <w:rPr>
          <w:szCs w:val="24"/>
        </w:rPr>
        <w:t>testing:</w:t>
      </w:r>
    </w:p>
    <w:p w14:paraId="785D68A9" w14:textId="7228DD49" w:rsidR="00BA458E" w:rsidRPr="008149B4" w:rsidRDefault="00BA458E" w:rsidP="00BA458E">
      <w:pPr>
        <w:pStyle w:val="Header"/>
        <w:numPr>
          <w:ilvl w:val="0"/>
          <w:numId w:val="4"/>
        </w:numPr>
        <w:rPr>
          <w:szCs w:val="24"/>
        </w:rPr>
      </w:pPr>
      <w:r w:rsidRPr="008149B4">
        <w:rPr>
          <w:szCs w:val="24"/>
        </w:rPr>
        <w:t>Item 11716 for</w:t>
      </w:r>
      <w:r w:rsidR="00D00D17" w:rsidRPr="008149B4">
        <w:rPr>
          <w:szCs w:val="24"/>
        </w:rPr>
        <w:t xml:space="preserve"> a continuously recorded electrocardiogram,</w:t>
      </w:r>
      <w:r w:rsidRPr="008149B4">
        <w:rPr>
          <w:szCs w:val="24"/>
        </w:rPr>
        <w:t xml:space="preserve"> for 12 or more hours</w:t>
      </w:r>
      <w:r w:rsidR="00D00D17" w:rsidRPr="008149B4">
        <w:rPr>
          <w:szCs w:val="24"/>
        </w:rPr>
        <w:t>, performed</w:t>
      </w:r>
      <w:r w:rsidRPr="008149B4">
        <w:rPr>
          <w:szCs w:val="24"/>
        </w:rPr>
        <w:t xml:space="preserve"> by specialist or consultant physician</w:t>
      </w:r>
      <w:r w:rsidR="00E01EB9" w:rsidRPr="008149B4">
        <w:rPr>
          <w:szCs w:val="24"/>
        </w:rPr>
        <w:t>, for certain patients</w:t>
      </w:r>
      <w:r w:rsidRPr="008149B4">
        <w:rPr>
          <w:szCs w:val="24"/>
        </w:rPr>
        <w:t>.</w:t>
      </w:r>
    </w:p>
    <w:p w14:paraId="77178589" w14:textId="6328258A" w:rsidR="009B04A2" w:rsidRPr="008149B4" w:rsidRDefault="005C538F" w:rsidP="005C538F">
      <w:pPr>
        <w:pStyle w:val="Header"/>
        <w:numPr>
          <w:ilvl w:val="0"/>
          <w:numId w:val="4"/>
        </w:numPr>
        <w:rPr>
          <w:szCs w:val="24"/>
        </w:rPr>
      </w:pPr>
      <w:r w:rsidRPr="008149B4">
        <w:rPr>
          <w:szCs w:val="24"/>
        </w:rPr>
        <w:t xml:space="preserve">Items 11717 and 11723 for patient activated ambulatory </w:t>
      </w:r>
      <w:r w:rsidR="00E01EB9" w:rsidRPr="008149B4">
        <w:rPr>
          <w:szCs w:val="24"/>
        </w:rPr>
        <w:t>electrocardiogram</w:t>
      </w:r>
      <w:r w:rsidRPr="008149B4">
        <w:rPr>
          <w:szCs w:val="24"/>
        </w:rPr>
        <w:t xml:space="preserve"> monitoring for patients with unexplained syncope, palpitation or other symptoms where a cardiac rhythm disturbance is suspected and where episodes are infrequent. The services are to be performed by specialist or consultant physician.</w:t>
      </w:r>
      <w:r w:rsidR="00AA2BD5" w:rsidRPr="008149B4">
        <w:rPr>
          <w:szCs w:val="24"/>
        </w:rPr>
        <w:t xml:space="preserve"> Item 11717 is for ambulatory </w:t>
      </w:r>
      <w:r w:rsidR="00E01EB9" w:rsidRPr="008149B4">
        <w:rPr>
          <w:szCs w:val="24"/>
        </w:rPr>
        <w:t>electrocardiogram</w:t>
      </w:r>
      <w:r w:rsidR="00AA2BD5" w:rsidRPr="008149B4">
        <w:rPr>
          <w:szCs w:val="24"/>
        </w:rPr>
        <w:t xml:space="preserve"> monitoring of between 7 and 30 days, item 11723 is for ambulatory </w:t>
      </w:r>
      <w:r w:rsidR="00E01EB9" w:rsidRPr="008149B4">
        <w:rPr>
          <w:szCs w:val="24"/>
        </w:rPr>
        <w:t>electrocardiogram</w:t>
      </w:r>
      <w:r w:rsidR="00AA2BD5" w:rsidRPr="008149B4">
        <w:rPr>
          <w:szCs w:val="24"/>
        </w:rPr>
        <w:t xml:space="preserve"> monitoring of up to 7 days.</w:t>
      </w:r>
    </w:p>
    <w:p w14:paraId="2BD9CEA0" w14:textId="77777777" w:rsidR="009B04A2" w:rsidRPr="008149B4" w:rsidRDefault="009B04A2" w:rsidP="009B04A2">
      <w:pPr>
        <w:pStyle w:val="Header"/>
        <w:rPr>
          <w:szCs w:val="24"/>
        </w:rPr>
      </w:pPr>
    </w:p>
    <w:p w14:paraId="50550000" w14:textId="107F1BF5" w:rsidR="009B04A2" w:rsidRPr="008149B4" w:rsidRDefault="00574B1D" w:rsidP="009B04A2">
      <w:pPr>
        <w:pStyle w:val="Header"/>
        <w:rPr>
          <w:szCs w:val="24"/>
        </w:rPr>
      </w:pPr>
      <w:r w:rsidRPr="008149B4">
        <w:rPr>
          <w:szCs w:val="24"/>
        </w:rPr>
        <w:t>Items 11716, 11717</w:t>
      </w:r>
      <w:r w:rsidR="009B04A2" w:rsidRPr="008149B4">
        <w:rPr>
          <w:szCs w:val="24"/>
        </w:rPr>
        <w:t xml:space="preserve"> and 11723</w:t>
      </w:r>
      <w:r w:rsidR="00D9013F" w:rsidRPr="008149B4">
        <w:rPr>
          <w:szCs w:val="24"/>
        </w:rPr>
        <w:t xml:space="preserve"> do not apply where the patient is an “admitted patient” of a hospital, per subsection 8(1) of the Determination. </w:t>
      </w:r>
    </w:p>
    <w:p w14:paraId="77604C6F" w14:textId="689DEF68" w:rsidR="00574B1D" w:rsidRPr="008149B4" w:rsidRDefault="00574B1D" w:rsidP="009B04A2">
      <w:pPr>
        <w:pStyle w:val="Header"/>
        <w:rPr>
          <w:szCs w:val="24"/>
        </w:rPr>
      </w:pPr>
    </w:p>
    <w:p w14:paraId="23368A7B" w14:textId="3D09F6C5" w:rsidR="009D3DEB" w:rsidRPr="008149B4" w:rsidRDefault="00954B7A" w:rsidP="009D3DEB">
      <w:pPr>
        <w:pStyle w:val="Header"/>
        <w:rPr>
          <w:szCs w:val="24"/>
        </w:rPr>
      </w:pPr>
      <w:r w:rsidRPr="008149B4">
        <w:rPr>
          <w:szCs w:val="24"/>
        </w:rPr>
        <w:t>Subsections 7(1) to (3) provide the condition for how items 11716, 11717 and 11723 are instigated. Subsection 7(1) provides that a service to which an item applies can be requested by a requesting practitioner or referred. Subsection 7(2) specifies a</w:t>
      </w:r>
      <w:r w:rsidR="009D3DEB" w:rsidRPr="008149B4">
        <w:rPr>
          <w:szCs w:val="24"/>
        </w:rPr>
        <w:t xml:space="preserve"> service is taken to be referred if the specialist or consultant physician who renders the service to which items 11716, 11717 or 11723 applies is the patient’s treating practitioner, determines the need for a cardiac investigation that has not otherwise been schedule</w:t>
      </w:r>
      <w:r w:rsidR="00E01EB9" w:rsidRPr="008149B4">
        <w:rPr>
          <w:szCs w:val="24"/>
        </w:rPr>
        <w:t>d</w:t>
      </w:r>
      <w:r w:rsidR="009D3DEB" w:rsidRPr="008149B4">
        <w:rPr>
          <w:szCs w:val="24"/>
        </w:rPr>
        <w:t xml:space="preserve">, or performs a scheduled test but </w:t>
      </w:r>
      <w:r w:rsidRPr="008149B4">
        <w:rPr>
          <w:szCs w:val="24"/>
        </w:rPr>
        <w:t>also provides</w:t>
      </w:r>
      <w:r w:rsidR="009D3DEB" w:rsidRPr="008149B4">
        <w:rPr>
          <w:szCs w:val="24"/>
        </w:rPr>
        <w:t xml:space="preserve"> an attendance </w:t>
      </w:r>
      <w:r w:rsidRPr="008149B4">
        <w:rPr>
          <w:szCs w:val="24"/>
        </w:rPr>
        <w:t>where clinical management decisions are discussed with the patient.  Services in all other circumstances are considered to be requested, per subsection 7(3).</w:t>
      </w:r>
    </w:p>
    <w:p w14:paraId="313A7CC9" w14:textId="2EE73A0C" w:rsidR="00954B7A" w:rsidRPr="008149B4" w:rsidRDefault="00954B7A" w:rsidP="009D3DEB">
      <w:pPr>
        <w:pStyle w:val="Header"/>
        <w:rPr>
          <w:szCs w:val="24"/>
        </w:rPr>
      </w:pPr>
    </w:p>
    <w:p w14:paraId="08498F20" w14:textId="206F0781" w:rsidR="00E17C8C" w:rsidRPr="008149B4" w:rsidRDefault="00AA2BD5" w:rsidP="00AA2BD5">
      <w:pPr>
        <w:pStyle w:val="Header"/>
        <w:rPr>
          <w:szCs w:val="24"/>
        </w:rPr>
      </w:pPr>
      <w:r w:rsidRPr="008149B4">
        <w:rPr>
          <w:szCs w:val="24"/>
        </w:rPr>
        <w:t xml:space="preserve">If a service to which items </w:t>
      </w:r>
      <w:r w:rsidR="00E01EB9" w:rsidRPr="008149B4">
        <w:rPr>
          <w:szCs w:val="24"/>
        </w:rPr>
        <w:t>11716, 11717 or 11723 applies is</w:t>
      </w:r>
      <w:r w:rsidRPr="008149B4">
        <w:rPr>
          <w:szCs w:val="24"/>
        </w:rPr>
        <w:t xml:space="preserve"> instigated by a request, the service does not apply if the rendering specialist or consultant physician has performed an attendance on the same patient on the same day. </w:t>
      </w:r>
      <w:r w:rsidR="00E17C8C" w:rsidRPr="008149B4">
        <w:rPr>
          <w:szCs w:val="24"/>
        </w:rPr>
        <w:t xml:space="preserve">An attendance can be performed in association with a service to which items 11716, 11717 or 11723 applies for </w:t>
      </w:r>
      <w:r w:rsidR="00E01EB9" w:rsidRPr="008149B4">
        <w:rPr>
          <w:szCs w:val="24"/>
        </w:rPr>
        <w:t>a service</w:t>
      </w:r>
      <w:r w:rsidR="00E17C8C" w:rsidRPr="008149B4">
        <w:rPr>
          <w:szCs w:val="24"/>
        </w:rPr>
        <w:t xml:space="preserve"> that </w:t>
      </w:r>
      <w:r w:rsidR="00E01EB9" w:rsidRPr="008149B4">
        <w:rPr>
          <w:szCs w:val="24"/>
        </w:rPr>
        <w:t>is</w:t>
      </w:r>
      <w:r w:rsidR="00E17C8C" w:rsidRPr="008149B4">
        <w:rPr>
          <w:szCs w:val="24"/>
        </w:rPr>
        <w:t xml:space="preserve"> referred, as the rendering specialist or consultant physician has performed additional clinical work beyond the cardiac investigation.</w:t>
      </w:r>
    </w:p>
    <w:p w14:paraId="0AFC574E" w14:textId="77777777" w:rsidR="008F2754" w:rsidRPr="008149B4" w:rsidRDefault="008F2754" w:rsidP="003B3D70">
      <w:pPr>
        <w:rPr>
          <w:b/>
          <w:iCs/>
          <w:szCs w:val="24"/>
          <w:lang w:eastAsia="en-US"/>
        </w:rPr>
      </w:pPr>
    </w:p>
    <w:p w14:paraId="4BBD985A" w14:textId="055FA0CA" w:rsidR="008F2754" w:rsidRPr="008149B4" w:rsidRDefault="008F2754" w:rsidP="003B3D70">
      <w:pPr>
        <w:rPr>
          <w:b/>
          <w:iCs/>
          <w:szCs w:val="24"/>
          <w:lang w:eastAsia="en-US"/>
        </w:rPr>
      </w:pPr>
      <w:r w:rsidRPr="008149B4">
        <w:rPr>
          <w:b/>
          <w:iCs/>
          <w:szCs w:val="24"/>
          <w:lang w:eastAsia="en-US"/>
        </w:rPr>
        <w:t>Electrocardiogram exercise or pharmacology stress test items</w:t>
      </w:r>
    </w:p>
    <w:p w14:paraId="1A9E704E" w14:textId="59F9C5DF" w:rsidR="00FD6C66" w:rsidRPr="008149B4" w:rsidRDefault="00FD6C66" w:rsidP="00FD6C66">
      <w:pPr>
        <w:pStyle w:val="Header"/>
        <w:tabs>
          <w:tab w:val="num" w:pos="1080"/>
        </w:tabs>
        <w:rPr>
          <w:szCs w:val="24"/>
        </w:rPr>
      </w:pPr>
      <w:r w:rsidRPr="008149B4">
        <w:rPr>
          <w:szCs w:val="24"/>
        </w:rPr>
        <w:t>The Determination lists 2 items for exercise or pharmacological electrocardiogram stress testing</w:t>
      </w:r>
      <w:r w:rsidR="008D3BC1" w:rsidRPr="008149B4">
        <w:rPr>
          <w:szCs w:val="24"/>
        </w:rPr>
        <w:t xml:space="preserve"> for patients with suspected cardiac ischemia</w:t>
      </w:r>
      <w:r w:rsidR="00C10C86" w:rsidRPr="008149B4">
        <w:rPr>
          <w:szCs w:val="24"/>
        </w:rPr>
        <w:t>, a family history of (a heritable) arrhythmia, or a known cardiac diseased which may be exacerbated by exercise</w:t>
      </w:r>
      <w:r w:rsidRPr="008149B4">
        <w:rPr>
          <w:szCs w:val="24"/>
        </w:rPr>
        <w:t>:</w:t>
      </w:r>
    </w:p>
    <w:p w14:paraId="3D5FB077" w14:textId="48DEE654" w:rsidR="00BA458E" w:rsidRPr="008149B4" w:rsidRDefault="00FD6C66" w:rsidP="00BA458E">
      <w:pPr>
        <w:pStyle w:val="Header"/>
        <w:numPr>
          <w:ilvl w:val="0"/>
          <w:numId w:val="5"/>
        </w:numPr>
        <w:rPr>
          <w:szCs w:val="24"/>
        </w:rPr>
      </w:pPr>
      <w:r w:rsidRPr="008149B4">
        <w:rPr>
          <w:szCs w:val="24"/>
        </w:rPr>
        <w:t xml:space="preserve">Item </w:t>
      </w:r>
      <w:r w:rsidR="00BA458E" w:rsidRPr="008149B4">
        <w:rPr>
          <w:szCs w:val="24"/>
        </w:rPr>
        <w:t xml:space="preserve">11729 for a multi-channel electrocardiograph exercise </w:t>
      </w:r>
      <w:r w:rsidRPr="008149B4">
        <w:rPr>
          <w:szCs w:val="24"/>
        </w:rPr>
        <w:t xml:space="preserve">or pharmacological induced </w:t>
      </w:r>
      <w:r w:rsidR="00BA458E" w:rsidRPr="008149B4">
        <w:rPr>
          <w:szCs w:val="24"/>
        </w:rPr>
        <w:t>stress test</w:t>
      </w:r>
      <w:r w:rsidRPr="008149B4">
        <w:rPr>
          <w:szCs w:val="24"/>
        </w:rPr>
        <w:t xml:space="preserve"> performed</w:t>
      </w:r>
      <w:r w:rsidR="00BA458E" w:rsidRPr="008149B4">
        <w:rPr>
          <w:szCs w:val="24"/>
        </w:rPr>
        <w:t xml:space="preserve"> by </w:t>
      </w:r>
      <w:r w:rsidRPr="008149B4">
        <w:rPr>
          <w:szCs w:val="24"/>
        </w:rPr>
        <w:t>a</w:t>
      </w:r>
      <w:r w:rsidR="00BA458E" w:rsidRPr="008149B4">
        <w:rPr>
          <w:szCs w:val="24"/>
        </w:rPr>
        <w:t xml:space="preserve"> medical practitioner</w:t>
      </w:r>
      <w:r w:rsidRPr="008149B4">
        <w:rPr>
          <w:szCs w:val="24"/>
        </w:rPr>
        <w:t xml:space="preserve"> on an adult patient</w:t>
      </w:r>
      <w:r w:rsidR="00BA458E" w:rsidRPr="008149B4">
        <w:rPr>
          <w:szCs w:val="24"/>
        </w:rPr>
        <w:t>.</w:t>
      </w:r>
    </w:p>
    <w:p w14:paraId="7D6DAABA" w14:textId="7EB1A925" w:rsidR="00FD6C66" w:rsidRPr="008149B4" w:rsidRDefault="00FD6C66" w:rsidP="00FD6C66">
      <w:pPr>
        <w:pStyle w:val="Header"/>
        <w:numPr>
          <w:ilvl w:val="0"/>
          <w:numId w:val="5"/>
        </w:numPr>
        <w:rPr>
          <w:szCs w:val="24"/>
        </w:rPr>
      </w:pPr>
      <w:r w:rsidRPr="008149B4">
        <w:rPr>
          <w:szCs w:val="24"/>
        </w:rPr>
        <w:t>Item 11730 for a multi-channel electrocardiograph exercise or pharmacological induced stress test performed by a medical practitioner on a paediatric patient aged under 17 years.</w:t>
      </w:r>
    </w:p>
    <w:p w14:paraId="00B2E290" w14:textId="338FB13E" w:rsidR="002974E3" w:rsidRPr="008149B4" w:rsidRDefault="002974E3" w:rsidP="002974E3">
      <w:pPr>
        <w:pStyle w:val="Header"/>
        <w:rPr>
          <w:szCs w:val="24"/>
        </w:rPr>
      </w:pPr>
    </w:p>
    <w:p w14:paraId="2A8F5737" w14:textId="4C55ED37" w:rsidR="002974E3" w:rsidRPr="008149B4" w:rsidRDefault="002974E3" w:rsidP="002974E3">
      <w:pPr>
        <w:pStyle w:val="Header"/>
        <w:rPr>
          <w:szCs w:val="24"/>
        </w:rPr>
      </w:pPr>
      <w:r w:rsidRPr="008149B4">
        <w:rPr>
          <w:szCs w:val="24"/>
        </w:rPr>
        <w:t>The items can be performed as an out-of-hospital service or for admitted hospital patients.</w:t>
      </w:r>
    </w:p>
    <w:p w14:paraId="2762F12C" w14:textId="429DA522" w:rsidR="00BA458E" w:rsidRPr="008149B4" w:rsidRDefault="00BA458E" w:rsidP="00BA458E">
      <w:pPr>
        <w:pStyle w:val="Header"/>
        <w:tabs>
          <w:tab w:val="num" w:pos="1080"/>
        </w:tabs>
        <w:rPr>
          <w:szCs w:val="24"/>
        </w:rPr>
      </w:pPr>
    </w:p>
    <w:p w14:paraId="4D057920" w14:textId="42110C52" w:rsidR="00FD6C66" w:rsidRPr="008149B4" w:rsidRDefault="00FD6C66" w:rsidP="00BA458E">
      <w:pPr>
        <w:pStyle w:val="Header"/>
        <w:tabs>
          <w:tab w:val="num" w:pos="1080"/>
        </w:tabs>
      </w:pPr>
      <w:r w:rsidRPr="008149B4">
        <w:rPr>
          <w:szCs w:val="24"/>
        </w:rPr>
        <w:t xml:space="preserve">The Taskforce recommended a number of changes to the electrocardiogram </w:t>
      </w:r>
      <w:r w:rsidRPr="008149B4">
        <w:rPr>
          <w:iCs/>
          <w:szCs w:val="24"/>
          <w:lang w:eastAsia="en-US"/>
        </w:rPr>
        <w:t xml:space="preserve">stress test </w:t>
      </w:r>
      <w:r w:rsidR="000E418C" w:rsidRPr="008149B4">
        <w:rPr>
          <w:iCs/>
          <w:szCs w:val="24"/>
          <w:lang w:eastAsia="en-US"/>
        </w:rPr>
        <w:t>services to</w:t>
      </w:r>
      <w:r w:rsidRPr="008149B4">
        <w:t xml:space="preserve"> clarify the requirements and frequency for testing</w:t>
      </w:r>
      <w:r w:rsidR="000E418C" w:rsidRPr="008149B4">
        <w:t xml:space="preserve"> to reduce low-value care and encourage best practice</w:t>
      </w:r>
      <w:r w:rsidRPr="008149B4">
        <w:t xml:space="preserve"> safety</w:t>
      </w:r>
      <w:r w:rsidR="000E418C" w:rsidRPr="008149B4">
        <w:t xml:space="preserve"> processes</w:t>
      </w:r>
      <w:r w:rsidRPr="008149B4">
        <w:t>.</w:t>
      </w:r>
    </w:p>
    <w:p w14:paraId="3059380C" w14:textId="1EFA7E7D" w:rsidR="00FD6C66" w:rsidRPr="008149B4" w:rsidRDefault="00FD6C66" w:rsidP="00BA458E">
      <w:pPr>
        <w:pStyle w:val="Header"/>
        <w:tabs>
          <w:tab w:val="num" w:pos="1080"/>
        </w:tabs>
      </w:pPr>
    </w:p>
    <w:p w14:paraId="7650091F" w14:textId="1EC1A268" w:rsidR="008D3BC1" w:rsidRPr="008149B4" w:rsidRDefault="00FD6C66" w:rsidP="00BA458E">
      <w:pPr>
        <w:pStyle w:val="Header"/>
        <w:tabs>
          <w:tab w:val="num" w:pos="1080"/>
        </w:tabs>
        <w:rPr>
          <w:szCs w:val="24"/>
        </w:rPr>
      </w:pPr>
      <w:r w:rsidRPr="008149B4">
        <w:t xml:space="preserve">Subsection 8(3) requires that the items can only be performed if the </w:t>
      </w:r>
      <w:r w:rsidR="0095277A" w:rsidRPr="008149B4">
        <w:t xml:space="preserve">patient is suitable for </w:t>
      </w:r>
      <w:r w:rsidR="0095277A" w:rsidRPr="008149B4">
        <w:rPr>
          <w:szCs w:val="24"/>
        </w:rPr>
        <w:t>exercise or pharmacological induced stress testing. Subsections 8(4) and (5) exclude the performance of items 11729 and 11730 for patients who are asymptomatic and have a normal cardiac examination</w:t>
      </w:r>
      <w:r w:rsidR="000E418C" w:rsidRPr="008149B4">
        <w:rPr>
          <w:szCs w:val="24"/>
        </w:rPr>
        <w:t>,</w:t>
      </w:r>
      <w:r w:rsidR="0095277A" w:rsidRPr="008149B4">
        <w:rPr>
          <w:szCs w:val="24"/>
        </w:rPr>
        <w:t xml:space="preserve"> as stress testing should not be used for screening. Subsection 8(4) also excludes </w:t>
      </w:r>
      <w:r w:rsidR="005F7517" w:rsidRPr="008149B4">
        <w:rPr>
          <w:szCs w:val="24"/>
        </w:rPr>
        <w:t xml:space="preserve">the adult stress testing </w:t>
      </w:r>
      <w:r w:rsidR="0095277A" w:rsidRPr="008149B4">
        <w:rPr>
          <w:szCs w:val="24"/>
        </w:rPr>
        <w:t xml:space="preserve">item </w:t>
      </w:r>
      <w:r w:rsidR="005F7517" w:rsidRPr="008149B4">
        <w:rPr>
          <w:szCs w:val="24"/>
        </w:rPr>
        <w:t>(</w:t>
      </w:r>
      <w:r w:rsidR="0095277A" w:rsidRPr="008149B4">
        <w:rPr>
          <w:szCs w:val="24"/>
        </w:rPr>
        <w:t>11729</w:t>
      </w:r>
      <w:r w:rsidR="005F7517" w:rsidRPr="008149B4">
        <w:rPr>
          <w:szCs w:val="24"/>
        </w:rPr>
        <w:t>)</w:t>
      </w:r>
      <w:r w:rsidR="0095277A" w:rsidRPr="008149B4">
        <w:rPr>
          <w:szCs w:val="24"/>
        </w:rPr>
        <w:t xml:space="preserve"> from being performed for monitoring purposes of a known cardiac disease. </w:t>
      </w:r>
    </w:p>
    <w:p w14:paraId="04752C4F" w14:textId="77777777" w:rsidR="008D3BC1" w:rsidRPr="008149B4" w:rsidRDefault="008D3BC1" w:rsidP="00BA458E">
      <w:pPr>
        <w:pStyle w:val="Header"/>
        <w:tabs>
          <w:tab w:val="num" w:pos="1080"/>
        </w:tabs>
        <w:rPr>
          <w:szCs w:val="24"/>
        </w:rPr>
      </w:pPr>
    </w:p>
    <w:p w14:paraId="4374A33D" w14:textId="21D75568" w:rsidR="005F7517" w:rsidRPr="008149B4" w:rsidRDefault="005F7517" w:rsidP="005F7517">
      <w:pPr>
        <w:pStyle w:val="Header"/>
        <w:tabs>
          <w:tab w:val="num" w:pos="1080"/>
        </w:tabs>
        <w:rPr>
          <w:szCs w:val="24"/>
        </w:rPr>
      </w:pPr>
      <w:r w:rsidRPr="008149B4">
        <w:rPr>
          <w:szCs w:val="24"/>
        </w:rPr>
        <w:t>The Taskforce recommended changes on the frequency of testing and the co-claiming of attendances to reduce low-value care. The descriptors of items 11729 and 11730 limit each service from being performed more than once every two year. Subsection 8(1</w:t>
      </w:r>
      <w:r w:rsidR="000E418C" w:rsidRPr="008149B4">
        <w:rPr>
          <w:szCs w:val="24"/>
        </w:rPr>
        <w:t>0</w:t>
      </w:r>
      <w:r w:rsidRPr="008149B4">
        <w:rPr>
          <w:szCs w:val="24"/>
        </w:rPr>
        <w:t xml:space="preserve">) of the Determination </w:t>
      </w:r>
      <w:r w:rsidR="000E418C" w:rsidRPr="008149B4">
        <w:rPr>
          <w:szCs w:val="24"/>
        </w:rPr>
        <w:t>limits</w:t>
      </w:r>
      <w:r w:rsidRPr="008149B4">
        <w:rPr>
          <w:szCs w:val="24"/>
        </w:rPr>
        <w:t xml:space="preserve"> the adult stress testing item </w:t>
      </w:r>
      <w:r w:rsidR="000E418C" w:rsidRPr="008149B4">
        <w:rPr>
          <w:szCs w:val="24"/>
        </w:rPr>
        <w:t>(11729) from being performed</w:t>
      </w:r>
      <w:r w:rsidRPr="008149B4">
        <w:rPr>
          <w:szCs w:val="24"/>
        </w:rPr>
        <w:t xml:space="preserve"> if the rendering specialist or consultant physician has </w:t>
      </w:r>
      <w:r w:rsidR="000E418C" w:rsidRPr="008149B4">
        <w:rPr>
          <w:szCs w:val="24"/>
        </w:rPr>
        <w:t>provided</w:t>
      </w:r>
      <w:r w:rsidRPr="008149B4">
        <w:rPr>
          <w:szCs w:val="24"/>
        </w:rPr>
        <w:t xml:space="preserve"> an attendance on the same patient on the same day.</w:t>
      </w:r>
    </w:p>
    <w:p w14:paraId="7856D772" w14:textId="77777777" w:rsidR="008D3BC1" w:rsidRPr="008149B4" w:rsidRDefault="008D3BC1" w:rsidP="00BA458E">
      <w:pPr>
        <w:pStyle w:val="Header"/>
        <w:tabs>
          <w:tab w:val="num" w:pos="1080"/>
        </w:tabs>
        <w:rPr>
          <w:szCs w:val="24"/>
        </w:rPr>
      </w:pPr>
    </w:p>
    <w:p w14:paraId="7B0FC3FC" w14:textId="5742C3A7" w:rsidR="00C10C86" w:rsidRPr="008149B4" w:rsidRDefault="00C10C86" w:rsidP="00BA458E">
      <w:pPr>
        <w:pStyle w:val="Header"/>
        <w:tabs>
          <w:tab w:val="num" w:pos="1080"/>
        </w:tabs>
        <w:rPr>
          <w:szCs w:val="24"/>
        </w:rPr>
      </w:pPr>
      <w:r w:rsidRPr="008149B4">
        <w:t>The Taskforce</w:t>
      </w:r>
      <w:r w:rsidR="000E418C" w:rsidRPr="008149B4">
        <w:t xml:space="preserve"> also</w:t>
      </w:r>
      <w:r w:rsidRPr="008149B4">
        <w:t xml:space="preserve"> </w:t>
      </w:r>
      <w:r w:rsidRPr="008149B4">
        <w:rPr>
          <w:szCs w:val="24"/>
        </w:rPr>
        <w:t>recommended changes to the performance of exercise or pharmacological electrocardiogram stress testing for optimal patient safety. For a service to be performed, the person performing the monitoring and recording must be:</w:t>
      </w:r>
    </w:p>
    <w:p w14:paraId="400E1247" w14:textId="52F75A93" w:rsidR="00C10C86" w:rsidRPr="008149B4" w:rsidRDefault="00C10C86" w:rsidP="00C10C86">
      <w:pPr>
        <w:pStyle w:val="Header"/>
        <w:numPr>
          <w:ilvl w:val="0"/>
          <w:numId w:val="9"/>
        </w:numPr>
      </w:pPr>
      <w:r w:rsidRPr="008149B4">
        <w:rPr>
          <w:szCs w:val="24"/>
        </w:rPr>
        <w:t xml:space="preserve">in continuous attendance; and </w:t>
      </w:r>
    </w:p>
    <w:p w14:paraId="4C9C0F07" w14:textId="68F1C115" w:rsidR="00C10C86" w:rsidRPr="008149B4" w:rsidRDefault="00C10C86" w:rsidP="00C10C86">
      <w:pPr>
        <w:pStyle w:val="Header"/>
        <w:numPr>
          <w:ilvl w:val="0"/>
          <w:numId w:val="9"/>
        </w:numPr>
      </w:pPr>
      <w:r w:rsidRPr="008149B4">
        <w:rPr>
          <w:szCs w:val="24"/>
        </w:rPr>
        <w:t xml:space="preserve">trained in “exercise testing” (as defined in section 4 of the Determination) and cardiopulmonary resuscitation. </w:t>
      </w:r>
    </w:p>
    <w:p w14:paraId="1D893D97" w14:textId="1E0D11A8" w:rsidR="00C10C86" w:rsidRPr="008149B4" w:rsidRDefault="00C10C86" w:rsidP="00C10C86">
      <w:pPr>
        <w:pStyle w:val="Header"/>
        <w:rPr>
          <w:szCs w:val="24"/>
        </w:rPr>
      </w:pPr>
    </w:p>
    <w:p w14:paraId="766B1C1D" w14:textId="008726FA" w:rsidR="00C10C86" w:rsidRPr="008149B4" w:rsidRDefault="00C10C86" w:rsidP="00C10C86">
      <w:pPr>
        <w:pStyle w:val="Header"/>
      </w:pPr>
      <w:r w:rsidRPr="008149B4">
        <w:rPr>
          <w:szCs w:val="24"/>
        </w:rPr>
        <w:t xml:space="preserve">A second person trained in cardiopulmonary resuscitation must be located at the premise and available to attend the electrocardiogram stress testing in an emergency. </w:t>
      </w:r>
    </w:p>
    <w:p w14:paraId="05B148DC" w14:textId="77777777" w:rsidR="00BA458E" w:rsidRPr="008149B4" w:rsidRDefault="00BA458E" w:rsidP="003B3D70">
      <w:pPr>
        <w:rPr>
          <w:b/>
          <w:iCs/>
          <w:szCs w:val="24"/>
          <w:lang w:eastAsia="en-US"/>
        </w:rPr>
      </w:pPr>
    </w:p>
    <w:p w14:paraId="1AD641D4" w14:textId="3D3F7835" w:rsidR="008F2754" w:rsidRPr="008149B4" w:rsidRDefault="008F2754" w:rsidP="003B3D70">
      <w:pPr>
        <w:rPr>
          <w:b/>
          <w:iCs/>
          <w:szCs w:val="24"/>
          <w:lang w:eastAsia="en-US"/>
        </w:rPr>
      </w:pPr>
      <w:r w:rsidRPr="008149B4">
        <w:rPr>
          <w:b/>
          <w:iCs/>
          <w:szCs w:val="24"/>
          <w:lang w:eastAsia="en-US"/>
        </w:rPr>
        <w:t>Implanted loop record</w:t>
      </w:r>
    </w:p>
    <w:p w14:paraId="24276044" w14:textId="794E83D4" w:rsidR="00C12564" w:rsidRPr="008149B4" w:rsidRDefault="002974E3" w:rsidP="00C12564">
      <w:pPr>
        <w:pStyle w:val="Header"/>
        <w:tabs>
          <w:tab w:val="num" w:pos="1080"/>
        </w:tabs>
        <w:rPr>
          <w:b/>
          <w:sz w:val="28"/>
          <w:szCs w:val="28"/>
        </w:rPr>
      </w:pPr>
      <w:r w:rsidRPr="008149B4">
        <w:rPr>
          <w:szCs w:val="24"/>
        </w:rPr>
        <w:t>The Determination lists item 11731 for the recording and reporting of data from an implanted electrocardiogra</w:t>
      </w:r>
      <w:r w:rsidR="005F576B" w:rsidRPr="008149B4">
        <w:rPr>
          <w:szCs w:val="24"/>
        </w:rPr>
        <w:t>m</w:t>
      </w:r>
      <w:r w:rsidR="00C12564" w:rsidRPr="008149B4">
        <w:rPr>
          <w:szCs w:val="24"/>
        </w:rPr>
        <w:t xml:space="preserve"> device by a medical practitioner. The service is for reporting of the data and ongoing management of the device, not the implementation of the device which should be performed under item 38285 of the Table. </w:t>
      </w:r>
      <w:r w:rsidR="00C12564" w:rsidRPr="008149B4">
        <w:rPr>
          <w:szCs w:val="24"/>
        </w:rPr>
        <w:br/>
      </w:r>
      <w:r w:rsidR="00C12564" w:rsidRPr="008149B4">
        <w:rPr>
          <w:szCs w:val="24"/>
        </w:rPr>
        <w:br/>
      </w:r>
    </w:p>
    <w:p w14:paraId="24AB1FD8" w14:textId="77777777" w:rsidR="00C12564" w:rsidRPr="008149B4" w:rsidRDefault="00C12564">
      <w:pPr>
        <w:spacing w:after="200" w:line="276" w:lineRule="auto"/>
        <w:rPr>
          <w:b/>
          <w:sz w:val="28"/>
          <w:szCs w:val="28"/>
        </w:rPr>
      </w:pPr>
      <w:r w:rsidRPr="008149B4">
        <w:rPr>
          <w:b/>
          <w:sz w:val="28"/>
          <w:szCs w:val="28"/>
        </w:rPr>
        <w:br w:type="page"/>
      </w:r>
    </w:p>
    <w:p w14:paraId="408A6A3C" w14:textId="77777777" w:rsidR="0011434B" w:rsidRPr="008149B4" w:rsidRDefault="0011434B" w:rsidP="00C12564">
      <w:pPr>
        <w:pStyle w:val="Header"/>
        <w:tabs>
          <w:tab w:val="num" w:pos="1080"/>
        </w:tabs>
        <w:rPr>
          <w:b/>
          <w:sz w:val="28"/>
          <w:szCs w:val="28"/>
        </w:rPr>
      </w:pPr>
    </w:p>
    <w:p w14:paraId="15A4DC9C" w14:textId="77777777" w:rsidR="00A17F2C" w:rsidRPr="008149B4" w:rsidRDefault="00A17F2C" w:rsidP="008D136F">
      <w:pPr>
        <w:pStyle w:val="Header"/>
        <w:tabs>
          <w:tab w:val="num" w:pos="1080"/>
        </w:tabs>
        <w:jc w:val="center"/>
        <w:rPr>
          <w:b/>
          <w:sz w:val="28"/>
          <w:szCs w:val="28"/>
        </w:rPr>
      </w:pPr>
      <w:r w:rsidRPr="008149B4">
        <w:rPr>
          <w:b/>
          <w:sz w:val="28"/>
          <w:szCs w:val="28"/>
        </w:rPr>
        <w:t>Statement of Compatibility with Human Rights</w:t>
      </w:r>
    </w:p>
    <w:p w14:paraId="70B00038" w14:textId="77777777" w:rsidR="00A17F2C" w:rsidRPr="008149B4" w:rsidRDefault="00A17F2C" w:rsidP="000337CB">
      <w:pPr>
        <w:spacing w:before="120" w:after="120"/>
        <w:jc w:val="center"/>
        <w:rPr>
          <w:szCs w:val="24"/>
        </w:rPr>
      </w:pPr>
      <w:r w:rsidRPr="008149B4">
        <w:rPr>
          <w:i/>
          <w:szCs w:val="24"/>
        </w:rPr>
        <w:t>Prepared in accordance with Part 3 of the Human Rights (Parliamentary Scrutiny) Act 2011</w:t>
      </w:r>
    </w:p>
    <w:p w14:paraId="2B056359" w14:textId="77777777" w:rsidR="002A6C77" w:rsidRPr="008149B4" w:rsidRDefault="002A6C77" w:rsidP="000337CB">
      <w:pPr>
        <w:tabs>
          <w:tab w:val="left" w:pos="1418"/>
        </w:tabs>
        <w:ind w:left="851"/>
        <w:jc w:val="center"/>
        <w:rPr>
          <w:b/>
          <w:i/>
          <w:iCs/>
        </w:rPr>
      </w:pPr>
    </w:p>
    <w:p w14:paraId="08C122AE" w14:textId="6209B74E" w:rsidR="007708B3" w:rsidRPr="008149B4" w:rsidRDefault="00BF2F46" w:rsidP="000337CB">
      <w:pPr>
        <w:tabs>
          <w:tab w:val="left" w:pos="1418"/>
        </w:tabs>
        <w:ind w:left="851"/>
        <w:jc w:val="center"/>
        <w:rPr>
          <w:i/>
          <w:iCs/>
        </w:rPr>
      </w:pPr>
      <w:r w:rsidRPr="008149B4">
        <w:rPr>
          <w:i/>
          <w:iCs/>
        </w:rPr>
        <w:t xml:space="preserve">Health Insurance (Section 3C </w:t>
      </w:r>
      <w:r w:rsidR="00F262FE" w:rsidRPr="008149B4">
        <w:rPr>
          <w:i/>
          <w:iCs/>
        </w:rPr>
        <w:t>General Medical</w:t>
      </w:r>
      <w:r w:rsidRPr="008149B4">
        <w:rPr>
          <w:i/>
          <w:iCs/>
        </w:rPr>
        <w:t xml:space="preserve"> Services – Cardiac Services) Determination 2020</w:t>
      </w:r>
    </w:p>
    <w:p w14:paraId="745C1C6A" w14:textId="77777777" w:rsidR="00BF2F46" w:rsidRPr="008149B4" w:rsidRDefault="00BF2F46" w:rsidP="000337CB">
      <w:pPr>
        <w:tabs>
          <w:tab w:val="left" w:pos="1418"/>
        </w:tabs>
        <w:ind w:left="851"/>
        <w:jc w:val="center"/>
        <w:rPr>
          <w:b/>
          <w:i/>
          <w:szCs w:val="24"/>
        </w:rPr>
      </w:pPr>
    </w:p>
    <w:p w14:paraId="0CBAF8FC" w14:textId="77777777" w:rsidR="00A17F2C" w:rsidRPr="008149B4" w:rsidRDefault="00A17F2C" w:rsidP="000337CB">
      <w:pPr>
        <w:jc w:val="center"/>
        <w:rPr>
          <w:szCs w:val="24"/>
        </w:rPr>
      </w:pPr>
      <w:r w:rsidRPr="008149B4">
        <w:rPr>
          <w:szCs w:val="24"/>
        </w:rPr>
        <w:t xml:space="preserve">This </w:t>
      </w:r>
      <w:r w:rsidR="0046022A" w:rsidRPr="008149B4">
        <w:rPr>
          <w:szCs w:val="24"/>
        </w:rPr>
        <w:t>instrument</w:t>
      </w:r>
      <w:r w:rsidRPr="008149B4">
        <w:rPr>
          <w:szCs w:val="24"/>
        </w:rPr>
        <w:t xml:space="preserve"> is compatible with the human rights and freedoms recognised or declared in the international instruments listed in section 3 of the </w:t>
      </w:r>
      <w:r w:rsidRPr="008149B4">
        <w:rPr>
          <w:i/>
          <w:szCs w:val="24"/>
        </w:rPr>
        <w:t>Human Rights (Parliamentary Scrutiny) Act 2011</w:t>
      </w:r>
      <w:r w:rsidRPr="008149B4">
        <w:rPr>
          <w:szCs w:val="24"/>
        </w:rPr>
        <w:t>.</w:t>
      </w:r>
    </w:p>
    <w:p w14:paraId="7BEE935D" w14:textId="77777777" w:rsidR="006E6BBF" w:rsidRPr="008149B4" w:rsidRDefault="006E6BBF" w:rsidP="008734F5">
      <w:pPr>
        <w:spacing w:before="120" w:after="120"/>
        <w:rPr>
          <w:b/>
          <w:szCs w:val="24"/>
        </w:rPr>
      </w:pPr>
      <w:r w:rsidRPr="008149B4">
        <w:rPr>
          <w:b/>
          <w:szCs w:val="24"/>
        </w:rPr>
        <w:t xml:space="preserve">Overview of the </w:t>
      </w:r>
      <w:r w:rsidR="00B86A9F" w:rsidRPr="008149B4">
        <w:rPr>
          <w:b/>
          <w:szCs w:val="24"/>
        </w:rPr>
        <w:t>Determination</w:t>
      </w:r>
    </w:p>
    <w:p w14:paraId="0A98635B" w14:textId="67B2D6B7" w:rsidR="006C0B19" w:rsidRPr="008149B4" w:rsidRDefault="006C0B19" w:rsidP="006C0B19">
      <w:pPr>
        <w:rPr>
          <w:iCs/>
          <w:szCs w:val="24"/>
          <w:lang w:eastAsia="en-US"/>
        </w:rPr>
      </w:pPr>
      <w:r w:rsidRPr="008149B4">
        <w:rPr>
          <w:szCs w:val="24"/>
          <w:lang w:val="en-US" w:eastAsia="en-US"/>
        </w:rPr>
        <w:t xml:space="preserve">The purpose of the </w:t>
      </w:r>
      <w:r w:rsidR="00F262FE" w:rsidRPr="008149B4">
        <w:rPr>
          <w:i/>
          <w:iCs/>
          <w:szCs w:val="24"/>
          <w:lang w:eastAsia="en-US"/>
        </w:rPr>
        <w:t>Health Insurance (Section 3CGeneral Medical</w:t>
      </w:r>
      <w:r w:rsidRPr="008149B4">
        <w:rPr>
          <w:i/>
          <w:iCs/>
          <w:szCs w:val="24"/>
          <w:lang w:eastAsia="en-US"/>
        </w:rPr>
        <w:t xml:space="preserve"> Services – Cardiac Services) Determination 2020 </w:t>
      </w:r>
      <w:r w:rsidRPr="008149B4">
        <w:rPr>
          <w:iCs/>
          <w:szCs w:val="24"/>
          <w:lang w:eastAsia="en-US"/>
        </w:rPr>
        <w:t xml:space="preserve">(the Determination) is to list </w:t>
      </w:r>
      <w:r w:rsidR="00F262FE" w:rsidRPr="008149B4">
        <w:rPr>
          <w:iCs/>
          <w:szCs w:val="24"/>
          <w:lang w:eastAsia="en-US"/>
        </w:rPr>
        <w:t>10</w:t>
      </w:r>
      <w:r w:rsidRPr="008149B4">
        <w:rPr>
          <w:iCs/>
          <w:szCs w:val="24"/>
          <w:lang w:eastAsia="en-US"/>
        </w:rPr>
        <w:t xml:space="preserve"> </w:t>
      </w:r>
      <w:r w:rsidR="00E12D3F" w:rsidRPr="008149B4">
        <w:rPr>
          <w:iCs/>
          <w:szCs w:val="24"/>
          <w:lang w:eastAsia="en-US"/>
        </w:rPr>
        <w:t>replacement</w:t>
      </w:r>
      <w:r w:rsidRPr="008149B4">
        <w:rPr>
          <w:iCs/>
          <w:szCs w:val="24"/>
          <w:lang w:eastAsia="en-US"/>
        </w:rPr>
        <w:t xml:space="preserve"> Medicare Benefits Schedule (MBS) items for cardiac services from 1 August 2020. </w:t>
      </w:r>
    </w:p>
    <w:p w14:paraId="1328443F" w14:textId="77777777" w:rsidR="006C0B19" w:rsidRPr="008149B4" w:rsidRDefault="006C0B19" w:rsidP="006C0B19">
      <w:pPr>
        <w:rPr>
          <w:iCs/>
          <w:szCs w:val="24"/>
          <w:lang w:eastAsia="en-US"/>
        </w:rPr>
      </w:pPr>
    </w:p>
    <w:p w14:paraId="6D7DEE21" w14:textId="77777777" w:rsidR="006C0B19" w:rsidRPr="008149B4" w:rsidRDefault="006C0B19" w:rsidP="006C0B19">
      <w:pPr>
        <w:rPr>
          <w:szCs w:val="24"/>
          <w:lang w:eastAsia="en-US"/>
        </w:rPr>
      </w:pPr>
      <w:r w:rsidRPr="008149B4">
        <w:rPr>
          <w:szCs w:val="24"/>
          <w:lang w:eastAsia="en-US"/>
        </w:rPr>
        <w:t xml:space="preserve">In the 2018-19 Mid-Year Economic and Fiscal Outlook (MYEFO) under the </w:t>
      </w:r>
      <w:r w:rsidRPr="008149B4">
        <w:rPr>
          <w:i/>
          <w:szCs w:val="24"/>
          <w:lang w:eastAsia="en-US"/>
        </w:rPr>
        <w:t>Guaranteeing Medicare – strengthening primary care</w:t>
      </w:r>
      <w:r w:rsidRPr="008149B4">
        <w:rPr>
          <w:szCs w:val="24"/>
          <w:lang w:eastAsia="en-US"/>
        </w:rPr>
        <w:t xml:space="preserve"> measure, the Government agreed to a number of recommendations made by the clinician-led MBS Review Taskforce (the MBS Review Taskforce) to cardiac services.</w:t>
      </w:r>
    </w:p>
    <w:p w14:paraId="132568CB" w14:textId="77777777" w:rsidR="006C0B19" w:rsidRPr="008149B4" w:rsidRDefault="006C0B19" w:rsidP="006C0B19">
      <w:pPr>
        <w:rPr>
          <w:szCs w:val="24"/>
          <w:lang w:eastAsia="en-US"/>
        </w:rPr>
      </w:pPr>
    </w:p>
    <w:p w14:paraId="5FE7D129" w14:textId="77777777" w:rsidR="00F367A4" w:rsidRPr="008149B4" w:rsidRDefault="00F367A4" w:rsidP="00F367A4">
      <w:pPr>
        <w:rPr>
          <w:iCs/>
          <w:szCs w:val="24"/>
          <w:lang w:eastAsia="en-US"/>
        </w:rPr>
      </w:pPr>
      <w:r w:rsidRPr="008149B4">
        <w:t xml:space="preserve">The Determination will list 10 new cardiac diagnostic testing items to </w:t>
      </w:r>
      <w:r w:rsidRPr="008149B4">
        <w:rPr>
          <w:iCs/>
          <w:szCs w:val="24"/>
          <w:lang w:eastAsia="en-US"/>
        </w:rPr>
        <w:t>align with clinical guidelines regarding the types of medical practitioners who can conduct and interpret electrocardiograph testing, and clarify the requirements and frequency for exercise or pharmacological electrocardiogram stress testing for optimal patient safety.</w:t>
      </w:r>
    </w:p>
    <w:p w14:paraId="5B4FEDC1" w14:textId="77777777" w:rsidR="00F367A4" w:rsidRPr="008149B4" w:rsidRDefault="00F367A4" w:rsidP="00F367A4">
      <w:pPr>
        <w:rPr>
          <w:iCs/>
          <w:szCs w:val="24"/>
          <w:lang w:eastAsia="en-US"/>
        </w:rPr>
      </w:pPr>
    </w:p>
    <w:p w14:paraId="2460F97B" w14:textId="77777777" w:rsidR="00F367A4" w:rsidRPr="008149B4" w:rsidRDefault="00F367A4" w:rsidP="00F367A4">
      <w:r w:rsidRPr="008149B4">
        <w:rPr>
          <w:iCs/>
          <w:szCs w:val="24"/>
          <w:lang w:eastAsia="en-US"/>
        </w:rPr>
        <w:t xml:space="preserve">The new items will replace the nine existing MBS </w:t>
      </w:r>
      <w:r w:rsidRPr="008149B4">
        <w:t xml:space="preserve">cardiac </w:t>
      </w:r>
      <w:r w:rsidRPr="008149B4">
        <w:rPr>
          <w:iCs/>
          <w:szCs w:val="24"/>
          <w:lang w:eastAsia="en-US"/>
        </w:rPr>
        <w:t xml:space="preserve">items (11700, 11701, 11702, 11708, 11709, 11710, 11711, 11712 and 11722) which will be removed from the MBS on 1 August 2020 by the </w:t>
      </w:r>
      <w:r w:rsidRPr="008149B4">
        <w:rPr>
          <w:i/>
        </w:rPr>
        <w:t>Health Insurance Legislation Amendment (2020 Measures No. 1) Regulations 2020</w:t>
      </w:r>
      <w:r w:rsidRPr="008149B4">
        <w:t>.</w:t>
      </w:r>
    </w:p>
    <w:p w14:paraId="1FE4B758" w14:textId="77777777" w:rsidR="006C0B19" w:rsidRPr="008149B4" w:rsidRDefault="006C0B19" w:rsidP="006C0B19">
      <w:pPr>
        <w:rPr>
          <w:iCs/>
          <w:szCs w:val="24"/>
          <w:lang w:eastAsia="en-US"/>
        </w:rPr>
      </w:pPr>
    </w:p>
    <w:p w14:paraId="1BA254FE" w14:textId="77777777" w:rsidR="00A17F2C" w:rsidRPr="008149B4" w:rsidRDefault="00A17F2C" w:rsidP="002A6C77">
      <w:pPr>
        <w:ind w:right="-482"/>
        <w:rPr>
          <w:b/>
          <w:szCs w:val="24"/>
        </w:rPr>
      </w:pPr>
      <w:r w:rsidRPr="008149B4">
        <w:rPr>
          <w:b/>
          <w:szCs w:val="24"/>
        </w:rPr>
        <w:t>Human rights implications</w:t>
      </w:r>
    </w:p>
    <w:p w14:paraId="3DA3492C" w14:textId="77777777" w:rsidR="00806020" w:rsidRPr="008149B4" w:rsidRDefault="00806020" w:rsidP="00806020">
      <w:pPr>
        <w:spacing w:before="120" w:after="120"/>
        <w:rPr>
          <w:szCs w:val="24"/>
        </w:rPr>
      </w:pPr>
      <w:r w:rsidRPr="008149B4">
        <w:rPr>
          <w:szCs w:val="24"/>
        </w:rPr>
        <w:t xml:space="preserve">This instrument engages Articles 9 and 12 of the International Covenant on Economic Social and Cultural Rights (ICESCR), specifically the rights to health and social security. </w:t>
      </w:r>
    </w:p>
    <w:p w14:paraId="3C3AFFF7" w14:textId="77777777" w:rsidR="00A17F2C" w:rsidRPr="008149B4" w:rsidRDefault="00A17F2C" w:rsidP="00806020">
      <w:pPr>
        <w:spacing w:before="120" w:after="120"/>
        <w:rPr>
          <w:i/>
          <w:szCs w:val="24"/>
        </w:rPr>
      </w:pPr>
      <w:r w:rsidRPr="008149B4">
        <w:rPr>
          <w:i/>
          <w:szCs w:val="24"/>
        </w:rPr>
        <w:t>The Right to Health</w:t>
      </w:r>
    </w:p>
    <w:p w14:paraId="3E7A7E8C" w14:textId="77777777" w:rsidR="00A17F2C" w:rsidRPr="008149B4" w:rsidRDefault="00A17F2C" w:rsidP="000337CB">
      <w:pPr>
        <w:spacing w:before="120" w:after="120"/>
        <w:rPr>
          <w:szCs w:val="24"/>
        </w:rPr>
      </w:pPr>
      <w:r w:rsidRPr="008149B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7C559633" w14:textId="77777777" w:rsidR="00A17F2C" w:rsidRPr="008149B4" w:rsidRDefault="00A17F2C" w:rsidP="000337CB">
      <w:pPr>
        <w:spacing w:before="120" w:after="120"/>
        <w:rPr>
          <w:szCs w:val="24"/>
        </w:rPr>
      </w:pPr>
      <w:r w:rsidRPr="008149B4">
        <w:rPr>
          <w:szCs w:val="24"/>
        </w:rPr>
        <w:t xml:space="preserve">The Committee reports that the </w:t>
      </w:r>
      <w:r w:rsidRPr="008149B4">
        <w:rPr>
          <w:i/>
          <w:szCs w:val="24"/>
        </w:rPr>
        <w:t>‘highest attainable standard of health’</w:t>
      </w:r>
      <w:r w:rsidRPr="008149B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A701E75" w14:textId="77777777" w:rsidR="00A17F2C" w:rsidRPr="008149B4" w:rsidRDefault="00A17F2C" w:rsidP="000337CB">
      <w:pPr>
        <w:spacing w:before="120" w:after="120"/>
        <w:rPr>
          <w:i/>
          <w:szCs w:val="24"/>
        </w:rPr>
      </w:pPr>
      <w:r w:rsidRPr="008149B4">
        <w:rPr>
          <w:i/>
          <w:szCs w:val="24"/>
        </w:rPr>
        <w:t xml:space="preserve">The Right to Social Security </w:t>
      </w:r>
    </w:p>
    <w:p w14:paraId="3A4D5921" w14:textId="77777777" w:rsidR="00A17F2C" w:rsidRPr="008149B4" w:rsidRDefault="00A17F2C" w:rsidP="000337CB">
      <w:pPr>
        <w:spacing w:before="120" w:after="120"/>
        <w:rPr>
          <w:szCs w:val="24"/>
        </w:rPr>
      </w:pPr>
      <w:r w:rsidRPr="008149B4">
        <w:rPr>
          <w:szCs w:val="24"/>
        </w:rPr>
        <w:t>The right to social security is contained in Article 9 of the ICESCR. It requires that a country must, within its maximum available resources, ensure access to a social security scheme that</w:t>
      </w:r>
      <w:r w:rsidR="00BA69CB" w:rsidRPr="008149B4">
        <w:rPr>
          <w:szCs w:val="24"/>
        </w:rPr>
        <w:t xml:space="preserve"> </w:t>
      </w:r>
      <w:r w:rsidRPr="008149B4">
        <w:rPr>
          <w:szCs w:val="24"/>
        </w:rPr>
        <w:lastRenderedPageBreak/>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4610CBF" w14:textId="77777777" w:rsidR="00735CCC" w:rsidRPr="008149B4" w:rsidRDefault="00A17F2C" w:rsidP="000337CB">
      <w:pPr>
        <w:spacing w:before="120" w:after="120"/>
        <w:rPr>
          <w:szCs w:val="24"/>
        </w:rPr>
      </w:pPr>
      <w:r w:rsidRPr="008149B4">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A32D958" w14:textId="77777777" w:rsidR="00A17F2C" w:rsidRPr="008149B4" w:rsidRDefault="00A17F2C" w:rsidP="000337CB">
      <w:pPr>
        <w:spacing w:before="120" w:after="120"/>
        <w:rPr>
          <w:szCs w:val="24"/>
          <w:u w:val="single"/>
        </w:rPr>
      </w:pPr>
      <w:r w:rsidRPr="008149B4">
        <w:rPr>
          <w:szCs w:val="24"/>
          <w:u w:val="single"/>
        </w:rPr>
        <w:t xml:space="preserve">Analysis </w:t>
      </w:r>
    </w:p>
    <w:p w14:paraId="6BC8FCA0" w14:textId="196083A2" w:rsidR="006C0B19" w:rsidRPr="008149B4" w:rsidRDefault="006C0B19" w:rsidP="00302F5C">
      <w:pPr>
        <w:rPr>
          <w:szCs w:val="24"/>
        </w:rPr>
      </w:pPr>
      <w:r w:rsidRPr="008149B4">
        <w:rPr>
          <w:szCs w:val="24"/>
        </w:rPr>
        <w:t>This instrument advances the right to health and the right to social security by listing new cardiac items which will improve the quality of care, encourage high value care and reflect current best practice. The new services will clarify when</w:t>
      </w:r>
      <w:r w:rsidR="008171CB" w:rsidRPr="008149B4">
        <w:rPr>
          <w:szCs w:val="24"/>
        </w:rPr>
        <w:t xml:space="preserve"> and how</w:t>
      </w:r>
      <w:r w:rsidRPr="008149B4">
        <w:rPr>
          <w:szCs w:val="24"/>
        </w:rPr>
        <w:t xml:space="preserve"> cardiac </w:t>
      </w:r>
      <w:r w:rsidR="008171CB" w:rsidRPr="008149B4">
        <w:rPr>
          <w:szCs w:val="24"/>
        </w:rPr>
        <w:t>services</w:t>
      </w:r>
      <w:r w:rsidRPr="008149B4">
        <w:rPr>
          <w:szCs w:val="24"/>
        </w:rPr>
        <w:t xml:space="preserve"> should be </w:t>
      </w:r>
      <w:r w:rsidR="008171CB" w:rsidRPr="008149B4">
        <w:rPr>
          <w:szCs w:val="24"/>
        </w:rPr>
        <w:t>provided.</w:t>
      </w:r>
    </w:p>
    <w:p w14:paraId="18908967" w14:textId="77777777" w:rsidR="00A17F2C" w:rsidRPr="008149B4" w:rsidRDefault="00A17F2C" w:rsidP="004B7CB9">
      <w:pPr>
        <w:spacing w:before="120" w:after="120" w:line="276" w:lineRule="auto"/>
        <w:rPr>
          <w:rFonts w:eastAsia="Calibri"/>
          <w:b/>
          <w:szCs w:val="24"/>
          <w:lang w:eastAsia="en-US"/>
        </w:rPr>
      </w:pPr>
      <w:r w:rsidRPr="008149B4">
        <w:rPr>
          <w:rFonts w:eastAsia="Calibri"/>
          <w:b/>
          <w:szCs w:val="24"/>
          <w:lang w:eastAsia="en-US"/>
        </w:rPr>
        <w:t xml:space="preserve">Conclusion </w:t>
      </w:r>
    </w:p>
    <w:p w14:paraId="7BF3F0E2" w14:textId="77777777" w:rsidR="00F15284" w:rsidRPr="008149B4" w:rsidRDefault="006E6BBF" w:rsidP="000337CB">
      <w:pPr>
        <w:rPr>
          <w:rFonts w:eastAsia="Calibri"/>
          <w:szCs w:val="24"/>
          <w:lang w:eastAsia="en-US"/>
        </w:rPr>
      </w:pPr>
      <w:r w:rsidRPr="008149B4">
        <w:rPr>
          <w:szCs w:val="24"/>
        </w:rPr>
        <w:t xml:space="preserve">This </w:t>
      </w:r>
      <w:r w:rsidR="0046022A" w:rsidRPr="008149B4">
        <w:rPr>
          <w:szCs w:val="24"/>
        </w:rPr>
        <w:t>instrument</w:t>
      </w:r>
      <w:r w:rsidRPr="008149B4">
        <w:rPr>
          <w:szCs w:val="24"/>
        </w:rPr>
        <w:t xml:space="preserve"> </w:t>
      </w:r>
      <w:r w:rsidR="00F15284" w:rsidRPr="008149B4">
        <w:rPr>
          <w:szCs w:val="24"/>
        </w:rPr>
        <w:t xml:space="preserve">is compatible with human rights as it </w:t>
      </w:r>
      <w:r w:rsidR="007C7403" w:rsidRPr="008149B4">
        <w:rPr>
          <w:szCs w:val="24"/>
        </w:rPr>
        <w:t xml:space="preserve">maintains the </w:t>
      </w:r>
      <w:r w:rsidR="00910EF6" w:rsidRPr="008149B4">
        <w:rPr>
          <w:szCs w:val="24"/>
        </w:rPr>
        <w:t xml:space="preserve">right to health and the right to social security. </w:t>
      </w:r>
    </w:p>
    <w:p w14:paraId="586CFE58" w14:textId="77777777" w:rsidR="00C67BC7" w:rsidRPr="008149B4" w:rsidRDefault="00C67BC7" w:rsidP="000F2948">
      <w:pPr>
        <w:jc w:val="center"/>
        <w:rPr>
          <w:b/>
          <w:bCs/>
        </w:rPr>
      </w:pPr>
    </w:p>
    <w:p w14:paraId="686653B4" w14:textId="75580007" w:rsidR="006C0B19" w:rsidRPr="008149B4" w:rsidRDefault="00F367A4" w:rsidP="001B6095">
      <w:pPr>
        <w:shd w:val="clear" w:color="auto" w:fill="FFFFFF"/>
        <w:spacing w:line="240" w:lineRule="atLeast"/>
        <w:ind w:right="-23"/>
        <w:jc w:val="center"/>
        <w:rPr>
          <w:b/>
          <w:szCs w:val="22"/>
        </w:rPr>
      </w:pPr>
      <w:r w:rsidRPr="008149B4">
        <w:rPr>
          <w:b/>
          <w:szCs w:val="22"/>
        </w:rPr>
        <w:t>Andrew Simpson</w:t>
      </w:r>
      <w:r w:rsidR="006C0B19" w:rsidRPr="008149B4">
        <w:rPr>
          <w:b/>
          <w:szCs w:val="22"/>
        </w:rPr>
        <w:t xml:space="preserve"> </w:t>
      </w:r>
    </w:p>
    <w:p w14:paraId="38A60326" w14:textId="5ED79810" w:rsidR="001B6095" w:rsidRPr="008149B4" w:rsidRDefault="006C0B19" w:rsidP="001B6095">
      <w:pPr>
        <w:shd w:val="clear" w:color="auto" w:fill="FFFFFF"/>
        <w:spacing w:line="240" w:lineRule="atLeast"/>
        <w:ind w:right="-23"/>
        <w:jc w:val="center"/>
        <w:rPr>
          <w:b/>
          <w:szCs w:val="22"/>
        </w:rPr>
      </w:pPr>
      <w:r w:rsidRPr="008149B4">
        <w:rPr>
          <w:b/>
          <w:szCs w:val="22"/>
        </w:rPr>
        <w:t xml:space="preserve">Assistant Secretary </w:t>
      </w:r>
    </w:p>
    <w:p w14:paraId="0FF18E5C" w14:textId="6C186A07" w:rsidR="00F367A4" w:rsidRPr="008149B4" w:rsidRDefault="004F1891" w:rsidP="001B6095">
      <w:pPr>
        <w:shd w:val="clear" w:color="auto" w:fill="FFFFFF"/>
        <w:spacing w:line="240" w:lineRule="atLeast"/>
        <w:ind w:right="-23"/>
        <w:jc w:val="center"/>
        <w:rPr>
          <w:b/>
          <w:szCs w:val="22"/>
        </w:rPr>
      </w:pPr>
      <w:r w:rsidRPr="008149B4">
        <w:rPr>
          <w:b/>
          <w:szCs w:val="22"/>
        </w:rPr>
        <w:t xml:space="preserve">MBS </w:t>
      </w:r>
      <w:r w:rsidR="00F367A4" w:rsidRPr="008149B4">
        <w:rPr>
          <w:b/>
          <w:szCs w:val="22"/>
        </w:rPr>
        <w:t>Reviews Unit</w:t>
      </w:r>
    </w:p>
    <w:p w14:paraId="53D38BB7" w14:textId="77777777" w:rsidR="006C0B19" w:rsidRPr="008149B4" w:rsidRDefault="006C0B19" w:rsidP="001B6095">
      <w:pPr>
        <w:shd w:val="clear" w:color="auto" w:fill="FFFFFF"/>
        <w:spacing w:line="240" w:lineRule="atLeast"/>
        <w:ind w:right="-23"/>
        <w:jc w:val="center"/>
        <w:rPr>
          <w:b/>
          <w:szCs w:val="22"/>
        </w:rPr>
      </w:pPr>
      <w:r w:rsidRPr="008149B4">
        <w:rPr>
          <w:b/>
          <w:szCs w:val="22"/>
        </w:rPr>
        <w:t>Medical Benefits Division</w:t>
      </w:r>
    </w:p>
    <w:p w14:paraId="75A3CD2F" w14:textId="77777777" w:rsidR="001B6095" w:rsidRPr="008149B4" w:rsidRDefault="006C0B19" w:rsidP="001B6095">
      <w:pPr>
        <w:shd w:val="clear" w:color="auto" w:fill="FFFFFF"/>
        <w:spacing w:line="240" w:lineRule="atLeast"/>
        <w:ind w:right="-23"/>
        <w:jc w:val="center"/>
        <w:rPr>
          <w:b/>
          <w:szCs w:val="22"/>
        </w:rPr>
      </w:pPr>
      <w:r w:rsidRPr="008149B4">
        <w:rPr>
          <w:b/>
          <w:szCs w:val="22"/>
        </w:rPr>
        <w:t>Health Financing Group</w:t>
      </w:r>
    </w:p>
    <w:p w14:paraId="28037EE2" w14:textId="13F04FED" w:rsidR="00636C51" w:rsidRDefault="000F2948" w:rsidP="001B6095">
      <w:pPr>
        <w:jc w:val="center"/>
        <w:rPr>
          <w:b/>
          <w:bCs/>
        </w:rPr>
      </w:pPr>
      <w:r w:rsidRPr="008149B4">
        <w:rPr>
          <w:b/>
          <w:bCs/>
        </w:rPr>
        <w:t>Department of Health</w:t>
      </w:r>
      <w:bookmarkStart w:id="0" w:name="_GoBack"/>
      <w:bookmarkEnd w:id="0"/>
    </w:p>
    <w:p w14:paraId="0536E4F5" w14:textId="1B502944" w:rsidR="00157434" w:rsidRDefault="00157434" w:rsidP="001B6095">
      <w:pPr>
        <w:jc w:val="center"/>
        <w:rPr>
          <w:b/>
          <w:bCs/>
        </w:rPr>
      </w:pPr>
    </w:p>
    <w:p w14:paraId="6D4BDD08" w14:textId="10BFFF1B" w:rsidR="00157434" w:rsidRDefault="00157434" w:rsidP="001B6095">
      <w:pPr>
        <w:jc w:val="center"/>
        <w:rPr>
          <w:b/>
          <w:bCs/>
        </w:rPr>
      </w:pPr>
    </w:p>
    <w:p w14:paraId="30AA69EE" w14:textId="24DD23B6" w:rsidR="00157434" w:rsidRDefault="00157434" w:rsidP="001B6095">
      <w:pPr>
        <w:jc w:val="center"/>
        <w:rPr>
          <w:b/>
          <w:bCs/>
        </w:rPr>
      </w:pPr>
    </w:p>
    <w:p w14:paraId="29FDAA8D" w14:textId="77777777" w:rsidR="00157434" w:rsidRDefault="00157434" w:rsidP="00157434">
      <w:pPr>
        <w:rPr>
          <w:iCs/>
          <w:szCs w:val="24"/>
          <w:lang w:eastAsia="en-US"/>
        </w:rPr>
      </w:pPr>
    </w:p>
    <w:p w14:paraId="0384BBB8" w14:textId="77777777" w:rsidR="00157434" w:rsidRDefault="00157434" w:rsidP="00157434"/>
    <w:p w14:paraId="162222D1" w14:textId="77777777" w:rsidR="00157434" w:rsidRPr="00157434" w:rsidRDefault="00157434" w:rsidP="00157434">
      <w:pPr>
        <w:rPr>
          <w:color w:val="FF0000"/>
        </w:rPr>
      </w:pPr>
    </w:p>
    <w:p w14:paraId="52AFBAEF" w14:textId="77777777" w:rsidR="00157434" w:rsidRPr="0020245D" w:rsidRDefault="00157434" w:rsidP="001B6095">
      <w:pPr>
        <w:jc w:val="center"/>
        <w:rPr>
          <w:rFonts w:eastAsia="Calibri"/>
          <w:szCs w:val="24"/>
          <w:lang w:eastAsia="en-US"/>
        </w:rPr>
      </w:pPr>
    </w:p>
    <w:sectPr w:rsidR="00157434"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E5C78" w14:textId="77777777" w:rsidR="00C10C86" w:rsidRDefault="00C10C86">
      <w:r>
        <w:separator/>
      </w:r>
    </w:p>
  </w:endnote>
  <w:endnote w:type="continuationSeparator" w:id="0">
    <w:p w14:paraId="30D24A12" w14:textId="77777777" w:rsidR="00C10C86" w:rsidRDefault="00C1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D1DC5" w14:textId="77777777" w:rsidR="00C10C86" w:rsidRDefault="00C10C86">
      <w:r>
        <w:separator/>
      </w:r>
    </w:p>
  </w:footnote>
  <w:footnote w:type="continuationSeparator" w:id="0">
    <w:p w14:paraId="39C73974" w14:textId="77777777" w:rsidR="00C10C86" w:rsidRDefault="00C1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87CE" w14:textId="275859F1" w:rsidR="00C10C86" w:rsidRDefault="00C10C86" w:rsidP="00C10C86">
    <w:pPr>
      <w:pStyle w:val="Header"/>
      <w:jc w:val="center"/>
    </w:pPr>
    <w:r>
      <w:fldChar w:fldCharType="begin"/>
    </w:r>
    <w:r>
      <w:instrText xml:space="preserve"> PAGE  \* Arabic  \* MERGEFORMAT </w:instrText>
    </w:r>
    <w:r>
      <w:fldChar w:fldCharType="separate"/>
    </w:r>
    <w:r w:rsidR="008149B4">
      <w:rPr>
        <w:noProof/>
      </w:rPr>
      <w:t>2</w:t>
    </w:r>
    <w:r>
      <w:fldChar w:fldCharType="end"/>
    </w:r>
  </w:p>
  <w:p w14:paraId="2E489D63" w14:textId="77777777" w:rsidR="00C10C86" w:rsidRDefault="00C1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8A94" w14:textId="77777777" w:rsidR="00C10C86" w:rsidRDefault="00C10C8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BB1E5D" w14:textId="77777777" w:rsidR="00C10C86" w:rsidRDefault="00C1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0EE29AFA" w14:textId="407B055C" w:rsidR="00C10C86" w:rsidRDefault="00C10C86">
        <w:pPr>
          <w:pStyle w:val="Header"/>
          <w:jc w:val="center"/>
        </w:pPr>
        <w:r>
          <w:fldChar w:fldCharType="begin"/>
        </w:r>
        <w:r>
          <w:instrText xml:space="preserve"> PAGE   \* MERGEFORMAT </w:instrText>
        </w:r>
        <w:r>
          <w:fldChar w:fldCharType="separate"/>
        </w:r>
        <w:r w:rsidR="008149B4">
          <w:rPr>
            <w:noProof/>
          </w:rPr>
          <w:t>8</w:t>
        </w:r>
        <w:r>
          <w:rPr>
            <w:noProof/>
          </w:rPr>
          <w:fldChar w:fldCharType="end"/>
        </w:r>
      </w:p>
    </w:sdtContent>
  </w:sdt>
  <w:p w14:paraId="2660254A" w14:textId="77777777" w:rsidR="00C10C86" w:rsidRDefault="00C10C86"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35E4836D" w14:textId="6CB32289" w:rsidR="00C10C86" w:rsidRDefault="00C10C86">
        <w:pPr>
          <w:pStyle w:val="Header"/>
          <w:jc w:val="center"/>
        </w:pPr>
        <w:r>
          <w:fldChar w:fldCharType="begin"/>
        </w:r>
        <w:r>
          <w:instrText xml:space="preserve"> PAGE   \* MERGEFORMAT </w:instrText>
        </w:r>
        <w:r>
          <w:fldChar w:fldCharType="separate"/>
        </w:r>
        <w:r w:rsidR="008149B4">
          <w:rPr>
            <w:noProof/>
          </w:rPr>
          <w:t>3</w:t>
        </w:r>
        <w:r>
          <w:rPr>
            <w:noProof/>
          </w:rPr>
          <w:fldChar w:fldCharType="end"/>
        </w:r>
      </w:p>
    </w:sdtContent>
  </w:sdt>
  <w:p w14:paraId="1A92C16B" w14:textId="77777777" w:rsidR="00C10C86" w:rsidRDefault="00C10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594"/>
    <w:multiLevelType w:val="hybridMultilevel"/>
    <w:tmpl w:val="3B5C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A25EE"/>
    <w:multiLevelType w:val="hybridMultilevel"/>
    <w:tmpl w:val="9E967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A3C7F"/>
    <w:multiLevelType w:val="hybridMultilevel"/>
    <w:tmpl w:val="446C4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101112"/>
    <w:multiLevelType w:val="hybridMultilevel"/>
    <w:tmpl w:val="FA5C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0C60C2"/>
    <w:multiLevelType w:val="hybridMultilevel"/>
    <w:tmpl w:val="78F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0F076D"/>
    <w:multiLevelType w:val="hybridMultilevel"/>
    <w:tmpl w:val="3B22D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F95056"/>
    <w:multiLevelType w:val="hybridMultilevel"/>
    <w:tmpl w:val="581E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D63789"/>
    <w:multiLevelType w:val="hybridMultilevel"/>
    <w:tmpl w:val="6D90A1FC"/>
    <w:lvl w:ilvl="0" w:tplc="041266B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DB3557"/>
    <w:multiLevelType w:val="hybridMultilevel"/>
    <w:tmpl w:val="2190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3"/>
  </w:num>
  <w:num w:numId="6">
    <w:abstractNumId w:val="0"/>
  </w:num>
  <w:num w:numId="7">
    <w:abstractNumId w:val="6"/>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59EE"/>
    <w:rsid w:val="00007B65"/>
    <w:rsid w:val="00010199"/>
    <w:rsid w:val="00012B9E"/>
    <w:rsid w:val="00014639"/>
    <w:rsid w:val="00014737"/>
    <w:rsid w:val="00014B38"/>
    <w:rsid w:val="00014E40"/>
    <w:rsid w:val="00016774"/>
    <w:rsid w:val="000203B4"/>
    <w:rsid w:val="00021EFA"/>
    <w:rsid w:val="00024158"/>
    <w:rsid w:val="000248F9"/>
    <w:rsid w:val="00024A1D"/>
    <w:rsid w:val="00025F64"/>
    <w:rsid w:val="0002704E"/>
    <w:rsid w:val="0002728B"/>
    <w:rsid w:val="00027830"/>
    <w:rsid w:val="00027974"/>
    <w:rsid w:val="000302C7"/>
    <w:rsid w:val="000319EF"/>
    <w:rsid w:val="00033034"/>
    <w:rsid w:val="000337CB"/>
    <w:rsid w:val="0003591F"/>
    <w:rsid w:val="000372F5"/>
    <w:rsid w:val="00041849"/>
    <w:rsid w:val="0004426E"/>
    <w:rsid w:val="00044A2A"/>
    <w:rsid w:val="00050623"/>
    <w:rsid w:val="000509BA"/>
    <w:rsid w:val="0005224B"/>
    <w:rsid w:val="00054F46"/>
    <w:rsid w:val="0005533C"/>
    <w:rsid w:val="00060AB2"/>
    <w:rsid w:val="00063242"/>
    <w:rsid w:val="000640CF"/>
    <w:rsid w:val="00064BA4"/>
    <w:rsid w:val="000671EC"/>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597A"/>
    <w:rsid w:val="000A6FB3"/>
    <w:rsid w:val="000A7B9B"/>
    <w:rsid w:val="000B208E"/>
    <w:rsid w:val="000B3452"/>
    <w:rsid w:val="000B432B"/>
    <w:rsid w:val="000B5F9D"/>
    <w:rsid w:val="000B684F"/>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18C"/>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1D98"/>
    <w:rsid w:val="00104751"/>
    <w:rsid w:val="0010617D"/>
    <w:rsid w:val="00106763"/>
    <w:rsid w:val="00107F36"/>
    <w:rsid w:val="0011066E"/>
    <w:rsid w:val="00110D12"/>
    <w:rsid w:val="001120DB"/>
    <w:rsid w:val="00113B2E"/>
    <w:rsid w:val="00113CEB"/>
    <w:rsid w:val="0011434B"/>
    <w:rsid w:val="00120766"/>
    <w:rsid w:val="0012106D"/>
    <w:rsid w:val="00121189"/>
    <w:rsid w:val="00121A66"/>
    <w:rsid w:val="00132087"/>
    <w:rsid w:val="00134B27"/>
    <w:rsid w:val="00135D0D"/>
    <w:rsid w:val="001400C4"/>
    <w:rsid w:val="00141323"/>
    <w:rsid w:val="00141E8C"/>
    <w:rsid w:val="00143685"/>
    <w:rsid w:val="00143943"/>
    <w:rsid w:val="001448F2"/>
    <w:rsid w:val="00144D4C"/>
    <w:rsid w:val="00145918"/>
    <w:rsid w:val="00145D25"/>
    <w:rsid w:val="00145DED"/>
    <w:rsid w:val="001519E4"/>
    <w:rsid w:val="00154FC4"/>
    <w:rsid w:val="001551FE"/>
    <w:rsid w:val="0015521F"/>
    <w:rsid w:val="00157434"/>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68B8"/>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B71"/>
    <w:rsid w:val="001D3E51"/>
    <w:rsid w:val="001D6B46"/>
    <w:rsid w:val="001D778A"/>
    <w:rsid w:val="001D7D62"/>
    <w:rsid w:val="001E014D"/>
    <w:rsid w:val="001E2D6D"/>
    <w:rsid w:val="001E3B02"/>
    <w:rsid w:val="001E5391"/>
    <w:rsid w:val="001E5787"/>
    <w:rsid w:val="001E57BC"/>
    <w:rsid w:val="001E5DE7"/>
    <w:rsid w:val="001E63F3"/>
    <w:rsid w:val="001E79AA"/>
    <w:rsid w:val="001E7C25"/>
    <w:rsid w:val="001F004A"/>
    <w:rsid w:val="001F0923"/>
    <w:rsid w:val="001F1F27"/>
    <w:rsid w:val="001F643D"/>
    <w:rsid w:val="00200145"/>
    <w:rsid w:val="002003CA"/>
    <w:rsid w:val="002003F7"/>
    <w:rsid w:val="00200971"/>
    <w:rsid w:val="0020245D"/>
    <w:rsid w:val="00203952"/>
    <w:rsid w:val="00203F23"/>
    <w:rsid w:val="00204413"/>
    <w:rsid w:val="00210EE7"/>
    <w:rsid w:val="00213177"/>
    <w:rsid w:val="0021505A"/>
    <w:rsid w:val="00215191"/>
    <w:rsid w:val="00216C44"/>
    <w:rsid w:val="00217EBF"/>
    <w:rsid w:val="0022099E"/>
    <w:rsid w:val="00220EE3"/>
    <w:rsid w:val="00221C4B"/>
    <w:rsid w:val="002227DF"/>
    <w:rsid w:val="0022293A"/>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0E0D"/>
    <w:rsid w:val="00262865"/>
    <w:rsid w:val="00263279"/>
    <w:rsid w:val="002643FC"/>
    <w:rsid w:val="00274073"/>
    <w:rsid w:val="00274CF9"/>
    <w:rsid w:val="0027545F"/>
    <w:rsid w:val="0027610D"/>
    <w:rsid w:val="002806A1"/>
    <w:rsid w:val="00281918"/>
    <w:rsid w:val="002839C1"/>
    <w:rsid w:val="00284483"/>
    <w:rsid w:val="00284749"/>
    <w:rsid w:val="00285256"/>
    <w:rsid w:val="00287AEF"/>
    <w:rsid w:val="00287B08"/>
    <w:rsid w:val="00290B98"/>
    <w:rsid w:val="00291E34"/>
    <w:rsid w:val="002944D4"/>
    <w:rsid w:val="00296763"/>
    <w:rsid w:val="0029737E"/>
    <w:rsid w:val="002974E3"/>
    <w:rsid w:val="00297AD0"/>
    <w:rsid w:val="002A0CC8"/>
    <w:rsid w:val="002A1E2C"/>
    <w:rsid w:val="002A3243"/>
    <w:rsid w:val="002A5CDF"/>
    <w:rsid w:val="002A68B3"/>
    <w:rsid w:val="002A6C77"/>
    <w:rsid w:val="002B2AC5"/>
    <w:rsid w:val="002B2E78"/>
    <w:rsid w:val="002B49DE"/>
    <w:rsid w:val="002B4E4D"/>
    <w:rsid w:val="002B53D3"/>
    <w:rsid w:val="002B5AF4"/>
    <w:rsid w:val="002B7177"/>
    <w:rsid w:val="002C1BFE"/>
    <w:rsid w:val="002C4F5B"/>
    <w:rsid w:val="002C54A1"/>
    <w:rsid w:val="002C5DCD"/>
    <w:rsid w:val="002D03AB"/>
    <w:rsid w:val="002D2A4E"/>
    <w:rsid w:val="002D2CF7"/>
    <w:rsid w:val="002D5294"/>
    <w:rsid w:val="002D59E0"/>
    <w:rsid w:val="002D5DFC"/>
    <w:rsid w:val="002D5E92"/>
    <w:rsid w:val="002D6269"/>
    <w:rsid w:val="002D629A"/>
    <w:rsid w:val="002E12C3"/>
    <w:rsid w:val="002E3493"/>
    <w:rsid w:val="002E35BF"/>
    <w:rsid w:val="002E4DB0"/>
    <w:rsid w:val="002E5708"/>
    <w:rsid w:val="002E5F5C"/>
    <w:rsid w:val="002E6FD5"/>
    <w:rsid w:val="002E7D88"/>
    <w:rsid w:val="002F0434"/>
    <w:rsid w:val="002F1707"/>
    <w:rsid w:val="002F2F33"/>
    <w:rsid w:val="002F3A26"/>
    <w:rsid w:val="002F43D4"/>
    <w:rsid w:val="002F449C"/>
    <w:rsid w:val="002F4CD2"/>
    <w:rsid w:val="002F6069"/>
    <w:rsid w:val="002F70B1"/>
    <w:rsid w:val="002F7549"/>
    <w:rsid w:val="00301D49"/>
    <w:rsid w:val="003025C7"/>
    <w:rsid w:val="00302F5C"/>
    <w:rsid w:val="00304080"/>
    <w:rsid w:val="00310F23"/>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2CC9"/>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80E"/>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3D70"/>
    <w:rsid w:val="003B59A9"/>
    <w:rsid w:val="003B6B63"/>
    <w:rsid w:val="003B7C31"/>
    <w:rsid w:val="003C0042"/>
    <w:rsid w:val="003C02D4"/>
    <w:rsid w:val="003C37E3"/>
    <w:rsid w:val="003C4CBD"/>
    <w:rsid w:val="003C546B"/>
    <w:rsid w:val="003C7719"/>
    <w:rsid w:val="003D0FBD"/>
    <w:rsid w:val="003D1949"/>
    <w:rsid w:val="003D2A6D"/>
    <w:rsid w:val="003E005B"/>
    <w:rsid w:val="003E00EB"/>
    <w:rsid w:val="003E04DA"/>
    <w:rsid w:val="003E1249"/>
    <w:rsid w:val="003E2F86"/>
    <w:rsid w:val="003E3544"/>
    <w:rsid w:val="003E35A8"/>
    <w:rsid w:val="003E4F2D"/>
    <w:rsid w:val="003E57BE"/>
    <w:rsid w:val="003E77CB"/>
    <w:rsid w:val="003F47FD"/>
    <w:rsid w:val="003F4B52"/>
    <w:rsid w:val="003F73BA"/>
    <w:rsid w:val="003F73F0"/>
    <w:rsid w:val="00400F2E"/>
    <w:rsid w:val="00401423"/>
    <w:rsid w:val="00403105"/>
    <w:rsid w:val="00404F11"/>
    <w:rsid w:val="00405890"/>
    <w:rsid w:val="00405EF4"/>
    <w:rsid w:val="00406D7A"/>
    <w:rsid w:val="00411365"/>
    <w:rsid w:val="0041237F"/>
    <w:rsid w:val="004129E0"/>
    <w:rsid w:val="00412B6C"/>
    <w:rsid w:val="00414613"/>
    <w:rsid w:val="00415B19"/>
    <w:rsid w:val="0041767B"/>
    <w:rsid w:val="00420205"/>
    <w:rsid w:val="00421D5F"/>
    <w:rsid w:val="004225D8"/>
    <w:rsid w:val="00422831"/>
    <w:rsid w:val="00424197"/>
    <w:rsid w:val="00425F40"/>
    <w:rsid w:val="004265AA"/>
    <w:rsid w:val="00426A8D"/>
    <w:rsid w:val="0042720C"/>
    <w:rsid w:val="00430861"/>
    <w:rsid w:val="00432D4D"/>
    <w:rsid w:val="00432FCE"/>
    <w:rsid w:val="00433DCE"/>
    <w:rsid w:val="00437B1B"/>
    <w:rsid w:val="004405B8"/>
    <w:rsid w:val="004417A2"/>
    <w:rsid w:val="00442F9D"/>
    <w:rsid w:val="00443878"/>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317"/>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1B3F"/>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1891"/>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25ECC"/>
    <w:rsid w:val="00532CD3"/>
    <w:rsid w:val="005345A9"/>
    <w:rsid w:val="00534D8A"/>
    <w:rsid w:val="005378EB"/>
    <w:rsid w:val="0054004F"/>
    <w:rsid w:val="0054005B"/>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204"/>
    <w:rsid w:val="005567CF"/>
    <w:rsid w:val="005642D9"/>
    <w:rsid w:val="00564C2B"/>
    <w:rsid w:val="00564C37"/>
    <w:rsid w:val="00564D84"/>
    <w:rsid w:val="00570F2B"/>
    <w:rsid w:val="0057258C"/>
    <w:rsid w:val="00573651"/>
    <w:rsid w:val="00574B1D"/>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38F"/>
    <w:rsid w:val="005C5824"/>
    <w:rsid w:val="005C6118"/>
    <w:rsid w:val="005D3575"/>
    <w:rsid w:val="005D3CED"/>
    <w:rsid w:val="005D4630"/>
    <w:rsid w:val="005D538F"/>
    <w:rsid w:val="005D63D9"/>
    <w:rsid w:val="005D68D1"/>
    <w:rsid w:val="005E293A"/>
    <w:rsid w:val="005E44A6"/>
    <w:rsid w:val="005E49E7"/>
    <w:rsid w:val="005E56FE"/>
    <w:rsid w:val="005E62D6"/>
    <w:rsid w:val="005E6A82"/>
    <w:rsid w:val="005E7398"/>
    <w:rsid w:val="005F04DC"/>
    <w:rsid w:val="005F0F6C"/>
    <w:rsid w:val="005F1A7F"/>
    <w:rsid w:val="005F576B"/>
    <w:rsid w:val="005F7517"/>
    <w:rsid w:val="00601165"/>
    <w:rsid w:val="0060632A"/>
    <w:rsid w:val="00607971"/>
    <w:rsid w:val="00611A4E"/>
    <w:rsid w:val="006122C0"/>
    <w:rsid w:val="0061281D"/>
    <w:rsid w:val="00613399"/>
    <w:rsid w:val="00613C46"/>
    <w:rsid w:val="00614085"/>
    <w:rsid w:val="00616889"/>
    <w:rsid w:val="00617F77"/>
    <w:rsid w:val="00623004"/>
    <w:rsid w:val="006237CC"/>
    <w:rsid w:val="00625B76"/>
    <w:rsid w:val="00627C91"/>
    <w:rsid w:val="00631760"/>
    <w:rsid w:val="00635031"/>
    <w:rsid w:val="006369D4"/>
    <w:rsid w:val="00636C51"/>
    <w:rsid w:val="006407FA"/>
    <w:rsid w:val="006424BB"/>
    <w:rsid w:val="00642537"/>
    <w:rsid w:val="006427B2"/>
    <w:rsid w:val="00642BEB"/>
    <w:rsid w:val="00647426"/>
    <w:rsid w:val="00647590"/>
    <w:rsid w:val="006526F5"/>
    <w:rsid w:val="00656275"/>
    <w:rsid w:val="00657702"/>
    <w:rsid w:val="006619F5"/>
    <w:rsid w:val="006629F9"/>
    <w:rsid w:val="006639F0"/>
    <w:rsid w:val="0066562D"/>
    <w:rsid w:val="00666551"/>
    <w:rsid w:val="0066727B"/>
    <w:rsid w:val="00670998"/>
    <w:rsid w:val="00672050"/>
    <w:rsid w:val="00673872"/>
    <w:rsid w:val="00674A34"/>
    <w:rsid w:val="00685515"/>
    <w:rsid w:val="0068642A"/>
    <w:rsid w:val="00692039"/>
    <w:rsid w:val="0069477E"/>
    <w:rsid w:val="00694C76"/>
    <w:rsid w:val="00694F4A"/>
    <w:rsid w:val="006A029B"/>
    <w:rsid w:val="006A17A1"/>
    <w:rsid w:val="006A3F40"/>
    <w:rsid w:val="006A61C5"/>
    <w:rsid w:val="006B0F31"/>
    <w:rsid w:val="006B13BC"/>
    <w:rsid w:val="006B32FE"/>
    <w:rsid w:val="006B3959"/>
    <w:rsid w:val="006B4B58"/>
    <w:rsid w:val="006B6925"/>
    <w:rsid w:val="006C026A"/>
    <w:rsid w:val="006C0B19"/>
    <w:rsid w:val="006C138D"/>
    <w:rsid w:val="006C2A84"/>
    <w:rsid w:val="006C3807"/>
    <w:rsid w:val="006C5C7F"/>
    <w:rsid w:val="006C6821"/>
    <w:rsid w:val="006C7491"/>
    <w:rsid w:val="006C761B"/>
    <w:rsid w:val="006C76B5"/>
    <w:rsid w:val="006D03ED"/>
    <w:rsid w:val="006D2B37"/>
    <w:rsid w:val="006D3541"/>
    <w:rsid w:val="006D3D81"/>
    <w:rsid w:val="006D46A1"/>
    <w:rsid w:val="006D4AA4"/>
    <w:rsid w:val="006D54FB"/>
    <w:rsid w:val="006D5816"/>
    <w:rsid w:val="006D627E"/>
    <w:rsid w:val="006D62D4"/>
    <w:rsid w:val="006E1A62"/>
    <w:rsid w:val="006E320C"/>
    <w:rsid w:val="006E3D84"/>
    <w:rsid w:val="006E527B"/>
    <w:rsid w:val="006E5C6B"/>
    <w:rsid w:val="006E6212"/>
    <w:rsid w:val="006E6377"/>
    <w:rsid w:val="006E6640"/>
    <w:rsid w:val="006E6BBF"/>
    <w:rsid w:val="006E7529"/>
    <w:rsid w:val="006F2E4F"/>
    <w:rsid w:val="006F3C9F"/>
    <w:rsid w:val="006F5CDC"/>
    <w:rsid w:val="006F6EC2"/>
    <w:rsid w:val="006F6F4A"/>
    <w:rsid w:val="0070058D"/>
    <w:rsid w:val="0070230C"/>
    <w:rsid w:val="00702854"/>
    <w:rsid w:val="00703D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5D"/>
    <w:rsid w:val="007452E0"/>
    <w:rsid w:val="00745BD4"/>
    <w:rsid w:val="00750378"/>
    <w:rsid w:val="007505FB"/>
    <w:rsid w:val="007524B0"/>
    <w:rsid w:val="00752997"/>
    <w:rsid w:val="007533EC"/>
    <w:rsid w:val="00756FEA"/>
    <w:rsid w:val="00757618"/>
    <w:rsid w:val="00761430"/>
    <w:rsid w:val="00762606"/>
    <w:rsid w:val="00762B45"/>
    <w:rsid w:val="0076544A"/>
    <w:rsid w:val="007667CC"/>
    <w:rsid w:val="00767402"/>
    <w:rsid w:val="0077044D"/>
    <w:rsid w:val="007708B3"/>
    <w:rsid w:val="007710A8"/>
    <w:rsid w:val="007721B6"/>
    <w:rsid w:val="00774454"/>
    <w:rsid w:val="00774ABF"/>
    <w:rsid w:val="00776E17"/>
    <w:rsid w:val="00780C18"/>
    <w:rsid w:val="00782D07"/>
    <w:rsid w:val="007859F8"/>
    <w:rsid w:val="00791384"/>
    <w:rsid w:val="0079191B"/>
    <w:rsid w:val="00791C27"/>
    <w:rsid w:val="0079239C"/>
    <w:rsid w:val="007934F3"/>
    <w:rsid w:val="00793612"/>
    <w:rsid w:val="00795A80"/>
    <w:rsid w:val="00795F5B"/>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87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07520"/>
    <w:rsid w:val="008100CF"/>
    <w:rsid w:val="008129B1"/>
    <w:rsid w:val="008149B4"/>
    <w:rsid w:val="00816DE3"/>
    <w:rsid w:val="008171CB"/>
    <w:rsid w:val="00817A12"/>
    <w:rsid w:val="00823C29"/>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1D64"/>
    <w:rsid w:val="00852FB1"/>
    <w:rsid w:val="0085475F"/>
    <w:rsid w:val="00855C39"/>
    <w:rsid w:val="00856225"/>
    <w:rsid w:val="0085681C"/>
    <w:rsid w:val="008604B1"/>
    <w:rsid w:val="008609B1"/>
    <w:rsid w:val="008645C4"/>
    <w:rsid w:val="008656BD"/>
    <w:rsid w:val="00867884"/>
    <w:rsid w:val="008734F5"/>
    <w:rsid w:val="00874DE6"/>
    <w:rsid w:val="00875104"/>
    <w:rsid w:val="00875A9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3BC1"/>
    <w:rsid w:val="008D44EB"/>
    <w:rsid w:val="008D6051"/>
    <w:rsid w:val="008D7A4F"/>
    <w:rsid w:val="008E3E1A"/>
    <w:rsid w:val="008E4039"/>
    <w:rsid w:val="008E4435"/>
    <w:rsid w:val="008F1AA9"/>
    <w:rsid w:val="008F25BD"/>
    <w:rsid w:val="008F2754"/>
    <w:rsid w:val="008F7C5B"/>
    <w:rsid w:val="00901C4E"/>
    <w:rsid w:val="00904502"/>
    <w:rsid w:val="009049C0"/>
    <w:rsid w:val="00906257"/>
    <w:rsid w:val="009069D6"/>
    <w:rsid w:val="00910EF6"/>
    <w:rsid w:val="00912380"/>
    <w:rsid w:val="009124F6"/>
    <w:rsid w:val="00912BC1"/>
    <w:rsid w:val="00913B67"/>
    <w:rsid w:val="0091520D"/>
    <w:rsid w:val="00915B08"/>
    <w:rsid w:val="009215F6"/>
    <w:rsid w:val="00921DD1"/>
    <w:rsid w:val="009225FE"/>
    <w:rsid w:val="00923002"/>
    <w:rsid w:val="00923D31"/>
    <w:rsid w:val="00923F94"/>
    <w:rsid w:val="00926DD3"/>
    <w:rsid w:val="00934956"/>
    <w:rsid w:val="00935308"/>
    <w:rsid w:val="009361FD"/>
    <w:rsid w:val="009406D2"/>
    <w:rsid w:val="00940F17"/>
    <w:rsid w:val="009414C5"/>
    <w:rsid w:val="009427F2"/>
    <w:rsid w:val="00943C8D"/>
    <w:rsid w:val="00944F64"/>
    <w:rsid w:val="00945CE1"/>
    <w:rsid w:val="009467A8"/>
    <w:rsid w:val="00950E74"/>
    <w:rsid w:val="00951A0B"/>
    <w:rsid w:val="0095277A"/>
    <w:rsid w:val="009528B3"/>
    <w:rsid w:val="00953383"/>
    <w:rsid w:val="00954B7A"/>
    <w:rsid w:val="009574A8"/>
    <w:rsid w:val="009574C6"/>
    <w:rsid w:val="00961795"/>
    <w:rsid w:val="009632FC"/>
    <w:rsid w:val="009634D8"/>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04A2"/>
    <w:rsid w:val="009B1BCA"/>
    <w:rsid w:val="009B1FD2"/>
    <w:rsid w:val="009B3AEB"/>
    <w:rsid w:val="009B7AE2"/>
    <w:rsid w:val="009C3EB5"/>
    <w:rsid w:val="009C42BD"/>
    <w:rsid w:val="009C444B"/>
    <w:rsid w:val="009D3773"/>
    <w:rsid w:val="009D3DEB"/>
    <w:rsid w:val="009D499D"/>
    <w:rsid w:val="009D7276"/>
    <w:rsid w:val="009D72AA"/>
    <w:rsid w:val="009D7484"/>
    <w:rsid w:val="009E0078"/>
    <w:rsid w:val="009E14BA"/>
    <w:rsid w:val="009E2AEA"/>
    <w:rsid w:val="009E3183"/>
    <w:rsid w:val="009E36E1"/>
    <w:rsid w:val="009E3783"/>
    <w:rsid w:val="009E3EA3"/>
    <w:rsid w:val="009E3ED4"/>
    <w:rsid w:val="009E5CC9"/>
    <w:rsid w:val="009F0715"/>
    <w:rsid w:val="009F1615"/>
    <w:rsid w:val="009F4099"/>
    <w:rsid w:val="009F4352"/>
    <w:rsid w:val="009F45FE"/>
    <w:rsid w:val="009F4E4E"/>
    <w:rsid w:val="009F65B5"/>
    <w:rsid w:val="009F6717"/>
    <w:rsid w:val="00A0056D"/>
    <w:rsid w:val="00A01F6A"/>
    <w:rsid w:val="00A0321B"/>
    <w:rsid w:val="00A045CA"/>
    <w:rsid w:val="00A04DC3"/>
    <w:rsid w:val="00A0597B"/>
    <w:rsid w:val="00A05DAD"/>
    <w:rsid w:val="00A06FB4"/>
    <w:rsid w:val="00A104BE"/>
    <w:rsid w:val="00A14878"/>
    <w:rsid w:val="00A1707B"/>
    <w:rsid w:val="00A1739A"/>
    <w:rsid w:val="00A17694"/>
    <w:rsid w:val="00A17F2C"/>
    <w:rsid w:val="00A232B9"/>
    <w:rsid w:val="00A24F4B"/>
    <w:rsid w:val="00A30C45"/>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154"/>
    <w:rsid w:val="00A66849"/>
    <w:rsid w:val="00A670FB"/>
    <w:rsid w:val="00A672A7"/>
    <w:rsid w:val="00A714DD"/>
    <w:rsid w:val="00A718B6"/>
    <w:rsid w:val="00A73044"/>
    <w:rsid w:val="00A7379C"/>
    <w:rsid w:val="00A73CF1"/>
    <w:rsid w:val="00A75C9A"/>
    <w:rsid w:val="00A75EFE"/>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79FC"/>
    <w:rsid w:val="00AA0F9E"/>
    <w:rsid w:val="00AA2734"/>
    <w:rsid w:val="00AA2BD5"/>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AF7DA9"/>
    <w:rsid w:val="00B00238"/>
    <w:rsid w:val="00B019A9"/>
    <w:rsid w:val="00B03218"/>
    <w:rsid w:val="00B03273"/>
    <w:rsid w:val="00B039EC"/>
    <w:rsid w:val="00B07EFF"/>
    <w:rsid w:val="00B10984"/>
    <w:rsid w:val="00B109B2"/>
    <w:rsid w:val="00B10D67"/>
    <w:rsid w:val="00B110B5"/>
    <w:rsid w:val="00B14C3A"/>
    <w:rsid w:val="00B15781"/>
    <w:rsid w:val="00B167A2"/>
    <w:rsid w:val="00B1701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57C6D"/>
    <w:rsid w:val="00B609E1"/>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0DBB"/>
    <w:rsid w:val="00B81EB1"/>
    <w:rsid w:val="00B832A3"/>
    <w:rsid w:val="00B83AFF"/>
    <w:rsid w:val="00B84886"/>
    <w:rsid w:val="00B84958"/>
    <w:rsid w:val="00B86A9F"/>
    <w:rsid w:val="00B9070F"/>
    <w:rsid w:val="00B909DA"/>
    <w:rsid w:val="00B90E4C"/>
    <w:rsid w:val="00B910E8"/>
    <w:rsid w:val="00B93137"/>
    <w:rsid w:val="00B9328C"/>
    <w:rsid w:val="00B94CD8"/>
    <w:rsid w:val="00B96F16"/>
    <w:rsid w:val="00B97A54"/>
    <w:rsid w:val="00BA0974"/>
    <w:rsid w:val="00BA1526"/>
    <w:rsid w:val="00BA2315"/>
    <w:rsid w:val="00BA3D73"/>
    <w:rsid w:val="00BA458E"/>
    <w:rsid w:val="00BA58AC"/>
    <w:rsid w:val="00BA67DC"/>
    <w:rsid w:val="00BA69CB"/>
    <w:rsid w:val="00BA6EA9"/>
    <w:rsid w:val="00BA7C49"/>
    <w:rsid w:val="00BB00BA"/>
    <w:rsid w:val="00BB112B"/>
    <w:rsid w:val="00BB1B81"/>
    <w:rsid w:val="00BB1CDA"/>
    <w:rsid w:val="00BB25B1"/>
    <w:rsid w:val="00BB2CD8"/>
    <w:rsid w:val="00BB3C8F"/>
    <w:rsid w:val="00BB4114"/>
    <w:rsid w:val="00BB49CB"/>
    <w:rsid w:val="00BB5C58"/>
    <w:rsid w:val="00BB6375"/>
    <w:rsid w:val="00BC2D71"/>
    <w:rsid w:val="00BC459E"/>
    <w:rsid w:val="00BC4AAE"/>
    <w:rsid w:val="00BC5DCD"/>
    <w:rsid w:val="00BC626B"/>
    <w:rsid w:val="00BC7397"/>
    <w:rsid w:val="00BD0628"/>
    <w:rsid w:val="00BD1467"/>
    <w:rsid w:val="00BD304A"/>
    <w:rsid w:val="00BD7FD9"/>
    <w:rsid w:val="00BE1022"/>
    <w:rsid w:val="00BE283F"/>
    <w:rsid w:val="00BE2ECA"/>
    <w:rsid w:val="00BE2EFA"/>
    <w:rsid w:val="00BE597C"/>
    <w:rsid w:val="00BE6870"/>
    <w:rsid w:val="00BE71FD"/>
    <w:rsid w:val="00BE7B19"/>
    <w:rsid w:val="00BF23A6"/>
    <w:rsid w:val="00BF2F46"/>
    <w:rsid w:val="00BF3B3D"/>
    <w:rsid w:val="00BF564D"/>
    <w:rsid w:val="00BF591D"/>
    <w:rsid w:val="00BF5A87"/>
    <w:rsid w:val="00BF6341"/>
    <w:rsid w:val="00C0025A"/>
    <w:rsid w:val="00C0045E"/>
    <w:rsid w:val="00C00FC7"/>
    <w:rsid w:val="00C00FD8"/>
    <w:rsid w:val="00C05E84"/>
    <w:rsid w:val="00C073E4"/>
    <w:rsid w:val="00C07C34"/>
    <w:rsid w:val="00C10C86"/>
    <w:rsid w:val="00C12280"/>
    <w:rsid w:val="00C12564"/>
    <w:rsid w:val="00C13962"/>
    <w:rsid w:val="00C154E6"/>
    <w:rsid w:val="00C158B5"/>
    <w:rsid w:val="00C16E23"/>
    <w:rsid w:val="00C1785F"/>
    <w:rsid w:val="00C17ED8"/>
    <w:rsid w:val="00C2082B"/>
    <w:rsid w:val="00C20DBA"/>
    <w:rsid w:val="00C23920"/>
    <w:rsid w:val="00C33771"/>
    <w:rsid w:val="00C340E3"/>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7D0"/>
    <w:rsid w:val="00C62FDC"/>
    <w:rsid w:val="00C63FDC"/>
    <w:rsid w:val="00C67BC7"/>
    <w:rsid w:val="00C724F5"/>
    <w:rsid w:val="00C73066"/>
    <w:rsid w:val="00C743D2"/>
    <w:rsid w:val="00C77A1F"/>
    <w:rsid w:val="00C80647"/>
    <w:rsid w:val="00C80836"/>
    <w:rsid w:val="00C844DA"/>
    <w:rsid w:val="00C84DDE"/>
    <w:rsid w:val="00C85162"/>
    <w:rsid w:val="00C87864"/>
    <w:rsid w:val="00C90EAC"/>
    <w:rsid w:val="00C917FD"/>
    <w:rsid w:val="00C91930"/>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2C7D"/>
    <w:rsid w:val="00CE3A6F"/>
    <w:rsid w:val="00CE63F9"/>
    <w:rsid w:val="00CF0A31"/>
    <w:rsid w:val="00CF1E87"/>
    <w:rsid w:val="00CF240F"/>
    <w:rsid w:val="00CF34FA"/>
    <w:rsid w:val="00CF4B5F"/>
    <w:rsid w:val="00CF4FAD"/>
    <w:rsid w:val="00CF55D0"/>
    <w:rsid w:val="00CF5C15"/>
    <w:rsid w:val="00CF6201"/>
    <w:rsid w:val="00CF6B2F"/>
    <w:rsid w:val="00D00D17"/>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8774A"/>
    <w:rsid w:val="00D9013F"/>
    <w:rsid w:val="00D91513"/>
    <w:rsid w:val="00D92717"/>
    <w:rsid w:val="00D93E05"/>
    <w:rsid w:val="00D9515D"/>
    <w:rsid w:val="00DA3A08"/>
    <w:rsid w:val="00DA4715"/>
    <w:rsid w:val="00DA62DF"/>
    <w:rsid w:val="00DA7439"/>
    <w:rsid w:val="00DB01C3"/>
    <w:rsid w:val="00DB0DA9"/>
    <w:rsid w:val="00DB108A"/>
    <w:rsid w:val="00DC1776"/>
    <w:rsid w:val="00DC33A5"/>
    <w:rsid w:val="00DC4340"/>
    <w:rsid w:val="00DC6365"/>
    <w:rsid w:val="00DC7898"/>
    <w:rsid w:val="00DD19F8"/>
    <w:rsid w:val="00DD1C70"/>
    <w:rsid w:val="00DD3239"/>
    <w:rsid w:val="00DE07E4"/>
    <w:rsid w:val="00DE0877"/>
    <w:rsid w:val="00DE0FF8"/>
    <w:rsid w:val="00DE3EBF"/>
    <w:rsid w:val="00DE51A1"/>
    <w:rsid w:val="00DE6D39"/>
    <w:rsid w:val="00DE7345"/>
    <w:rsid w:val="00DE76EB"/>
    <w:rsid w:val="00DF51CA"/>
    <w:rsid w:val="00DF5581"/>
    <w:rsid w:val="00DF7501"/>
    <w:rsid w:val="00DF7936"/>
    <w:rsid w:val="00E004EF"/>
    <w:rsid w:val="00E01EB9"/>
    <w:rsid w:val="00E04B6F"/>
    <w:rsid w:val="00E12D3F"/>
    <w:rsid w:val="00E13833"/>
    <w:rsid w:val="00E17001"/>
    <w:rsid w:val="00E17406"/>
    <w:rsid w:val="00E17C8C"/>
    <w:rsid w:val="00E20AE5"/>
    <w:rsid w:val="00E20F00"/>
    <w:rsid w:val="00E21297"/>
    <w:rsid w:val="00E23A38"/>
    <w:rsid w:val="00E23B6B"/>
    <w:rsid w:val="00E24721"/>
    <w:rsid w:val="00E25139"/>
    <w:rsid w:val="00E265A0"/>
    <w:rsid w:val="00E266DE"/>
    <w:rsid w:val="00E311F5"/>
    <w:rsid w:val="00E34BF8"/>
    <w:rsid w:val="00E3553C"/>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FE2"/>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3A3"/>
    <w:rsid w:val="00EA5A32"/>
    <w:rsid w:val="00EA7060"/>
    <w:rsid w:val="00EB2F51"/>
    <w:rsid w:val="00EB3BF0"/>
    <w:rsid w:val="00EB4DA6"/>
    <w:rsid w:val="00EB601D"/>
    <w:rsid w:val="00EB6CCD"/>
    <w:rsid w:val="00EC0273"/>
    <w:rsid w:val="00EC19AA"/>
    <w:rsid w:val="00EC25BA"/>
    <w:rsid w:val="00EC78BC"/>
    <w:rsid w:val="00ED0AD5"/>
    <w:rsid w:val="00ED1DE2"/>
    <w:rsid w:val="00ED1F31"/>
    <w:rsid w:val="00ED3630"/>
    <w:rsid w:val="00ED7140"/>
    <w:rsid w:val="00ED77E5"/>
    <w:rsid w:val="00EE026E"/>
    <w:rsid w:val="00EE3455"/>
    <w:rsid w:val="00EE3C59"/>
    <w:rsid w:val="00EE5B70"/>
    <w:rsid w:val="00EE66B6"/>
    <w:rsid w:val="00EE7B48"/>
    <w:rsid w:val="00EF0AFA"/>
    <w:rsid w:val="00EF38E5"/>
    <w:rsid w:val="00EF5C33"/>
    <w:rsid w:val="00EF629C"/>
    <w:rsid w:val="00EF6508"/>
    <w:rsid w:val="00EF6AB8"/>
    <w:rsid w:val="00EF7C6E"/>
    <w:rsid w:val="00F012F4"/>
    <w:rsid w:val="00F01632"/>
    <w:rsid w:val="00F04F78"/>
    <w:rsid w:val="00F0546E"/>
    <w:rsid w:val="00F0625D"/>
    <w:rsid w:val="00F0672D"/>
    <w:rsid w:val="00F072E1"/>
    <w:rsid w:val="00F11185"/>
    <w:rsid w:val="00F11DDA"/>
    <w:rsid w:val="00F12313"/>
    <w:rsid w:val="00F1294B"/>
    <w:rsid w:val="00F12E98"/>
    <w:rsid w:val="00F1446A"/>
    <w:rsid w:val="00F14DDA"/>
    <w:rsid w:val="00F15284"/>
    <w:rsid w:val="00F169CB"/>
    <w:rsid w:val="00F207AB"/>
    <w:rsid w:val="00F2161A"/>
    <w:rsid w:val="00F21724"/>
    <w:rsid w:val="00F2198A"/>
    <w:rsid w:val="00F21A81"/>
    <w:rsid w:val="00F21CC1"/>
    <w:rsid w:val="00F22D61"/>
    <w:rsid w:val="00F2324D"/>
    <w:rsid w:val="00F240CF"/>
    <w:rsid w:val="00F2428F"/>
    <w:rsid w:val="00F25075"/>
    <w:rsid w:val="00F262FE"/>
    <w:rsid w:val="00F27444"/>
    <w:rsid w:val="00F27555"/>
    <w:rsid w:val="00F317CA"/>
    <w:rsid w:val="00F319F3"/>
    <w:rsid w:val="00F31BFB"/>
    <w:rsid w:val="00F323E7"/>
    <w:rsid w:val="00F324D2"/>
    <w:rsid w:val="00F32A56"/>
    <w:rsid w:val="00F335E4"/>
    <w:rsid w:val="00F35509"/>
    <w:rsid w:val="00F358C3"/>
    <w:rsid w:val="00F367A4"/>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0565"/>
    <w:rsid w:val="00F83B6F"/>
    <w:rsid w:val="00F84470"/>
    <w:rsid w:val="00F857BC"/>
    <w:rsid w:val="00F878DE"/>
    <w:rsid w:val="00F90273"/>
    <w:rsid w:val="00F90BD0"/>
    <w:rsid w:val="00F90DC3"/>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0341"/>
    <w:rsid w:val="00FC10F6"/>
    <w:rsid w:val="00FC33A2"/>
    <w:rsid w:val="00FC7C25"/>
    <w:rsid w:val="00FD1C2E"/>
    <w:rsid w:val="00FD24FD"/>
    <w:rsid w:val="00FD3574"/>
    <w:rsid w:val="00FD602D"/>
    <w:rsid w:val="00FD60D2"/>
    <w:rsid w:val="00FD6A7D"/>
    <w:rsid w:val="00FD6C66"/>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E7027D"/>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Paragraph2,List Paragraph21,Listeafsnit1,NFP GP Bulleted Lis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54603297">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schemas.microsoft.com/office/2006/documentManagement/type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C85EC-2147-461B-8E72-7C08C69A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cp:revision>
  <cp:lastPrinted>2020-07-13T02:56:00Z</cp:lastPrinted>
  <dcterms:created xsi:type="dcterms:W3CDTF">2020-07-13T05:27:00Z</dcterms:created>
  <dcterms:modified xsi:type="dcterms:W3CDTF">2020-07-15T04:35:00Z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