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37E75" w:rsidRDefault="00537E75" w:rsidP="00537E75">
      <w:pPr>
        <w:pStyle w:val="ShortT"/>
      </w:pPr>
      <w:r w:rsidRPr="00537E75">
        <w:t>Southern Bluefin Tuna Fishery (Overcatch and Undercatch) Determination No. 2 of 2020</w:t>
      </w:r>
    </w:p>
    <w:p w:rsidR="00537E75" w:rsidRPr="00537E75" w:rsidRDefault="00537E75" w:rsidP="00537E75">
      <w:pPr>
        <w:rPr>
          <w:lang w:eastAsia="en-AU"/>
        </w:rPr>
      </w:pPr>
    </w:p>
    <w:p w:rsidR="00F513CB" w:rsidRDefault="00F513CB" w:rsidP="00554826">
      <w:pPr>
        <w:pStyle w:val="SignCoverPageStart"/>
        <w:spacing w:before="240"/>
        <w:ind w:right="91"/>
        <w:rPr>
          <w:szCs w:val="22"/>
        </w:rPr>
      </w:pPr>
    </w:p>
    <w:p w:rsidR="00F513CB" w:rsidRPr="00F513CB" w:rsidRDefault="00F513CB" w:rsidP="00F513CB">
      <w:pPr>
        <w:pStyle w:val="SignCoverPageStart"/>
        <w:spacing w:before="240"/>
        <w:ind w:right="91"/>
        <w:rPr>
          <w:szCs w:val="22"/>
        </w:rPr>
      </w:pPr>
      <w:r w:rsidRPr="00F513CB">
        <w:rPr>
          <w:szCs w:val="22"/>
        </w:rPr>
        <w:t xml:space="preserve">The Australian Fisheries Management Authority makes the following determination in accordance with a decision made by the Commissioners under section 23 of the Fisheries Administration Act 1991. </w:t>
      </w:r>
    </w:p>
    <w:p w:rsidR="00F513CB" w:rsidRDefault="00F513CB" w:rsidP="00F513CB">
      <w:pPr>
        <w:pStyle w:val="SignCoverPageStart"/>
        <w:spacing w:before="240"/>
        <w:ind w:right="91"/>
        <w:rPr>
          <w:szCs w:val="22"/>
        </w:rPr>
      </w:pPr>
    </w:p>
    <w:p w:rsidR="00F513CB" w:rsidRDefault="00F513CB" w:rsidP="00F513CB">
      <w:pPr>
        <w:pStyle w:val="SignCoverPageStart"/>
        <w:spacing w:before="240"/>
        <w:ind w:right="91"/>
        <w:rPr>
          <w:szCs w:val="22"/>
        </w:rPr>
      </w:pPr>
    </w:p>
    <w:p w:rsidR="00F513CB" w:rsidRPr="00F513CB" w:rsidRDefault="00F513CB" w:rsidP="00F513CB">
      <w:pPr>
        <w:pStyle w:val="SignCoverPageStart"/>
        <w:spacing w:before="240"/>
        <w:ind w:right="91"/>
        <w:rPr>
          <w:szCs w:val="22"/>
        </w:rPr>
      </w:pPr>
      <w:r>
        <w:rPr>
          <w:szCs w:val="22"/>
        </w:rPr>
        <w:t xml:space="preserve">Dated      </w:t>
      </w:r>
      <w:r w:rsidR="000D57AD">
        <w:rPr>
          <w:szCs w:val="22"/>
        </w:rPr>
        <w:t>14</w:t>
      </w:r>
      <w:r>
        <w:rPr>
          <w:szCs w:val="22"/>
        </w:rPr>
        <w:t xml:space="preserve"> July 2020</w:t>
      </w:r>
      <w:r w:rsidRPr="00F513CB">
        <w:rPr>
          <w:szCs w:val="22"/>
        </w:rPr>
        <w:t xml:space="preserve">     </w:t>
      </w:r>
    </w:p>
    <w:p w:rsidR="00F513CB" w:rsidRPr="00F513CB" w:rsidRDefault="00F513CB" w:rsidP="00F513CB">
      <w:pPr>
        <w:pStyle w:val="SignCoverPageStart"/>
        <w:spacing w:before="240"/>
        <w:ind w:right="91"/>
        <w:rPr>
          <w:szCs w:val="22"/>
        </w:rPr>
      </w:pPr>
      <w:bookmarkStart w:id="0" w:name="_GoBack"/>
      <w:bookmarkEnd w:id="0"/>
    </w:p>
    <w:p w:rsidR="00F513CB" w:rsidRDefault="00F513CB" w:rsidP="00554826">
      <w:pPr>
        <w:keepNext/>
        <w:spacing w:before="300" w:line="240" w:lineRule="atLeast"/>
        <w:ind w:right="397"/>
        <w:jc w:val="both"/>
        <w:rPr>
          <w:szCs w:val="22"/>
        </w:rPr>
      </w:pPr>
    </w:p>
    <w:p w:rsidR="00554826" w:rsidRPr="00001A63" w:rsidRDefault="00554826" w:rsidP="00554826">
      <w:pPr>
        <w:keepNext/>
        <w:spacing w:before="300" w:line="240" w:lineRule="atLeast"/>
        <w:ind w:right="397"/>
        <w:jc w:val="both"/>
        <w:rPr>
          <w:szCs w:val="22"/>
        </w:rPr>
      </w:pPr>
      <w:r w:rsidRPr="00001A63">
        <w:rPr>
          <w:szCs w:val="22"/>
        </w:rPr>
        <w:tab/>
      </w:r>
      <w:r>
        <w:rPr>
          <w:szCs w:val="22"/>
        </w:rPr>
        <w:tab/>
      </w:r>
      <w:r w:rsidRPr="00001A63">
        <w:rPr>
          <w:szCs w:val="22"/>
        </w:rPr>
        <w:tab/>
      </w:r>
    </w:p>
    <w:p w:rsidR="00F513CB" w:rsidRPr="00F513CB" w:rsidRDefault="00F513CB" w:rsidP="00F513CB">
      <w:pPr>
        <w:shd w:val="clear" w:color="auto" w:fill="FFFFFF"/>
        <w:spacing w:before="1440" w:line="300" w:lineRule="atLeast"/>
        <w:ind w:right="397"/>
        <w:rPr>
          <w:rFonts w:eastAsia="Times New Roman" w:cs="Times New Roman"/>
          <w:color w:val="000000"/>
          <w:szCs w:val="22"/>
          <w:lang w:eastAsia="en-AU"/>
        </w:rPr>
      </w:pPr>
      <w:r w:rsidRPr="00F513CB">
        <w:rPr>
          <w:rFonts w:eastAsia="Times New Roman" w:cs="Times New Roman"/>
          <w:bCs/>
          <w:color w:val="000000"/>
          <w:szCs w:val="22"/>
          <w:lang w:eastAsia="en-AU"/>
        </w:rPr>
        <w:t xml:space="preserve">Sally Weekes </w:t>
      </w:r>
    </w:p>
    <w:p w:rsidR="00F513CB" w:rsidRPr="00F513CB" w:rsidRDefault="00F513CB" w:rsidP="00F513CB">
      <w:pPr>
        <w:shd w:val="clear" w:color="auto" w:fill="FFFFFF"/>
        <w:spacing w:line="300" w:lineRule="atLeast"/>
        <w:ind w:right="397"/>
        <w:rPr>
          <w:rFonts w:eastAsia="Times New Roman" w:cs="Times New Roman"/>
          <w:color w:val="000000"/>
          <w:szCs w:val="22"/>
          <w:lang w:eastAsia="en-AU"/>
        </w:rPr>
      </w:pPr>
      <w:r w:rsidRPr="00F513CB">
        <w:rPr>
          <w:rFonts w:eastAsia="Times New Roman" w:cs="Times New Roman"/>
          <w:color w:val="000000"/>
          <w:szCs w:val="22"/>
          <w:lang w:eastAsia="en-AU"/>
        </w:rPr>
        <w:t>Executive Secretary</w:t>
      </w:r>
    </w:p>
    <w:p w:rsidR="00554826" w:rsidRDefault="00F513CB" w:rsidP="00F513CB">
      <w:pPr>
        <w:shd w:val="clear" w:color="auto" w:fill="FFFFFF"/>
        <w:spacing w:line="300" w:lineRule="atLeast"/>
        <w:rPr>
          <w:b/>
          <w:szCs w:val="22"/>
        </w:rPr>
      </w:pPr>
      <w:r w:rsidRPr="00F513CB">
        <w:rPr>
          <w:rFonts w:eastAsia="Times New Roman" w:cs="Times New Roman"/>
          <w:color w:val="000000"/>
          <w:szCs w:val="22"/>
          <w:lang w:eastAsia="en-AU"/>
        </w:rPr>
        <w:t>for and on behalf of the Commission of the Australian Fisheries Management Authority</w:t>
      </w:r>
      <w:r w:rsidR="00554826" w:rsidRPr="00A75FE9">
        <w:rPr>
          <w:szCs w:val="22"/>
        </w:rPr>
        <w:t xml:space="preserve"> </w:t>
      </w:r>
    </w:p>
    <w:p w:rsidR="00F513CB" w:rsidRDefault="00F513CB" w:rsidP="00F513CB">
      <w:pPr>
        <w:rPr>
          <w:lang w:eastAsia="en-AU"/>
        </w:rPr>
      </w:pPr>
    </w:p>
    <w:p w:rsidR="00F513CB" w:rsidRPr="00F513CB" w:rsidRDefault="00F513CB" w:rsidP="00F513CB">
      <w:pPr>
        <w:rPr>
          <w:lang w:eastAsia="en-AU"/>
        </w:rPr>
      </w:pPr>
    </w:p>
    <w:p w:rsidR="00F513CB" w:rsidRDefault="00F513CB" w:rsidP="00F513CB">
      <w:pPr>
        <w:rPr>
          <w:lang w:eastAsia="en-AU"/>
        </w:rPr>
      </w:pPr>
    </w:p>
    <w:p w:rsidR="00F513CB" w:rsidRDefault="00F513CB" w:rsidP="00F513CB">
      <w:pPr>
        <w:rPr>
          <w:lang w:eastAsia="en-AU"/>
        </w:rPr>
      </w:pPr>
    </w:p>
    <w:p w:rsidR="00F513CB" w:rsidRDefault="00F513CB" w:rsidP="00F513CB">
      <w:pPr>
        <w:rPr>
          <w:lang w:eastAsia="en-AU"/>
        </w:rPr>
      </w:pPr>
    </w:p>
    <w:p w:rsidR="00F513CB" w:rsidRPr="00F513CB" w:rsidRDefault="00F513CB" w:rsidP="00F513CB">
      <w:pPr>
        <w:rPr>
          <w:lang w:eastAsia="en-AU"/>
        </w:rPr>
      </w:pPr>
    </w:p>
    <w:p w:rsidR="00554826" w:rsidRDefault="00554826" w:rsidP="00554826"/>
    <w:p w:rsidR="00554826" w:rsidRPr="00ED79B6" w:rsidRDefault="00554826" w:rsidP="00554826"/>
    <w:p w:rsidR="00F6696E" w:rsidRDefault="00F6696E" w:rsidP="00F6696E"/>
    <w:p w:rsidR="007500C8" w:rsidRDefault="00715914" w:rsidP="00715914">
      <w:pPr>
        <w:outlineLvl w:val="0"/>
        <w:rPr>
          <w:sz w:val="36"/>
        </w:rPr>
      </w:pPr>
      <w:r w:rsidRPr="007A1328">
        <w:rPr>
          <w:sz w:val="36"/>
        </w:rPr>
        <w:lastRenderedPageBreak/>
        <w:t>Contents</w:t>
      </w:r>
    </w:p>
    <w:p w:rsidR="00232639" w:rsidRDefault="00537E7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32639">
        <w:rPr>
          <w:noProof/>
        </w:rPr>
        <w:t>1  Name</w:t>
      </w:r>
      <w:r w:rsidR="00232639">
        <w:rPr>
          <w:noProof/>
        </w:rPr>
        <w:tab/>
      </w:r>
      <w:r w:rsidR="00232639">
        <w:rPr>
          <w:noProof/>
        </w:rPr>
        <w:fldChar w:fldCharType="begin"/>
      </w:r>
      <w:r w:rsidR="00232639">
        <w:rPr>
          <w:noProof/>
        </w:rPr>
        <w:instrText xml:space="preserve"> PAGEREF _Toc45615732 \h </w:instrText>
      </w:r>
      <w:r w:rsidR="00232639">
        <w:rPr>
          <w:noProof/>
        </w:rPr>
      </w:r>
      <w:r w:rsidR="00232639">
        <w:rPr>
          <w:noProof/>
        </w:rPr>
        <w:fldChar w:fldCharType="separate"/>
      </w:r>
      <w:r w:rsidR="00232639">
        <w:rPr>
          <w:noProof/>
        </w:rPr>
        <w:t>1</w:t>
      </w:r>
      <w:r w:rsidR="00232639">
        <w:rPr>
          <w:noProof/>
        </w:rPr>
        <w:fldChar w:fldCharType="end"/>
      </w:r>
    </w:p>
    <w:p w:rsidR="00232639" w:rsidRDefault="0023263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_Toc45615733 \h </w:instrText>
      </w:r>
      <w:r>
        <w:rPr>
          <w:noProof/>
        </w:rPr>
      </w:r>
      <w:r>
        <w:rPr>
          <w:noProof/>
        </w:rPr>
        <w:fldChar w:fldCharType="separate"/>
      </w:r>
      <w:r>
        <w:rPr>
          <w:noProof/>
        </w:rPr>
        <w:t>1</w:t>
      </w:r>
      <w:r>
        <w:rPr>
          <w:noProof/>
        </w:rPr>
        <w:fldChar w:fldCharType="end"/>
      </w:r>
    </w:p>
    <w:p w:rsidR="00232639" w:rsidRDefault="0023263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_Toc45615734 \h </w:instrText>
      </w:r>
      <w:r>
        <w:rPr>
          <w:noProof/>
        </w:rPr>
      </w:r>
      <w:r>
        <w:rPr>
          <w:noProof/>
        </w:rPr>
        <w:fldChar w:fldCharType="separate"/>
      </w:r>
      <w:r>
        <w:rPr>
          <w:noProof/>
        </w:rPr>
        <w:t>1</w:t>
      </w:r>
      <w:r>
        <w:rPr>
          <w:noProof/>
        </w:rPr>
        <w:fldChar w:fldCharType="end"/>
      </w:r>
    </w:p>
    <w:p w:rsidR="00232639" w:rsidRDefault="0023263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_Toc45615735 \h </w:instrText>
      </w:r>
      <w:r>
        <w:rPr>
          <w:noProof/>
        </w:rPr>
      </w:r>
      <w:r>
        <w:rPr>
          <w:noProof/>
        </w:rPr>
        <w:fldChar w:fldCharType="separate"/>
      </w:r>
      <w:r>
        <w:rPr>
          <w:noProof/>
        </w:rPr>
        <w:t>1</w:t>
      </w:r>
      <w:r>
        <w:rPr>
          <w:noProof/>
        </w:rPr>
        <w:fldChar w:fldCharType="end"/>
      </w:r>
    </w:p>
    <w:p w:rsidR="00232639" w:rsidRDefault="00232639">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_Toc45615736 \h </w:instrText>
      </w:r>
      <w:r>
        <w:rPr>
          <w:noProof/>
        </w:rPr>
      </w:r>
      <w:r>
        <w:rPr>
          <w:noProof/>
        </w:rPr>
        <w:fldChar w:fldCharType="separate"/>
      </w:r>
      <w:r>
        <w:rPr>
          <w:noProof/>
        </w:rPr>
        <w:t>1</w:t>
      </w:r>
      <w:r>
        <w:rPr>
          <w:noProof/>
        </w:rPr>
        <w:fldChar w:fldCharType="end"/>
      </w:r>
    </w:p>
    <w:p w:rsidR="00232639" w:rsidRDefault="00232639">
      <w:pPr>
        <w:pStyle w:val="TOC5"/>
        <w:rPr>
          <w:rFonts w:asciiTheme="minorHAnsi" w:eastAsiaTheme="minorEastAsia" w:hAnsiTheme="minorHAnsi" w:cstheme="minorBidi"/>
          <w:noProof/>
          <w:kern w:val="0"/>
          <w:sz w:val="22"/>
          <w:szCs w:val="22"/>
        </w:rPr>
      </w:pPr>
      <w:r>
        <w:rPr>
          <w:noProof/>
        </w:rPr>
        <w:t>6  Revocation</w:t>
      </w:r>
      <w:r>
        <w:rPr>
          <w:noProof/>
        </w:rPr>
        <w:tab/>
      </w:r>
      <w:r>
        <w:rPr>
          <w:noProof/>
        </w:rPr>
        <w:fldChar w:fldCharType="begin"/>
      </w:r>
      <w:r>
        <w:rPr>
          <w:noProof/>
        </w:rPr>
        <w:instrText xml:space="preserve"> PAGEREF _Toc45615737 \h </w:instrText>
      </w:r>
      <w:r>
        <w:rPr>
          <w:noProof/>
        </w:rPr>
      </w:r>
      <w:r>
        <w:rPr>
          <w:noProof/>
        </w:rPr>
        <w:fldChar w:fldCharType="separate"/>
      </w:r>
      <w:r>
        <w:rPr>
          <w:noProof/>
        </w:rPr>
        <w:t>2</w:t>
      </w:r>
      <w:r>
        <w:rPr>
          <w:noProof/>
        </w:rPr>
        <w:fldChar w:fldCharType="end"/>
      </w:r>
    </w:p>
    <w:p w:rsidR="00232639" w:rsidRDefault="00232639">
      <w:pPr>
        <w:pStyle w:val="TOC5"/>
        <w:rPr>
          <w:rFonts w:asciiTheme="minorHAnsi" w:eastAsiaTheme="minorEastAsia" w:hAnsiTheme="minorHAnsi" w:cstheme="minorBidi"/>
          <w:noProof/>
          <w:kern w:val="0"/>
          <w:sz w:val="22"/>
          <w:szCs w:val="22"/>
        </w:rPr>
      </w:pPr>
      <w:r>
        <w:rPr>
          <w:noProof/>
        </w:rPr>
        <w:t>7  Determination of overcatch and undercatch</w:t>
      </w:r>
      <w:r>
        <w:rPr>
          <w:noProof/>
        </w:rPr>
        <w:tab/>
      </w:r>
      <w:r>
        <w:rPr>
          <w:noProof/>
        </w:rPr>
        <w:fldChar w:fldCharType="begin"/>
      </w:r>
      <w:r>
        <w:rPr>
          <w:noProof/>
        </w:rPr>
        <w:instrText xml:space="preserve"> PAGEREF _Toc45615738 \h </w:instrText>
      </w:r>
      <w:r>
        <w:rPr>
          <w:noProof/>
        </w:rPr>
      </w:r>
      <w:r>
        <w:rPr>
          <w:noProof/>
        </w:rPr>
        <w:fldChar w:fldCharType="separate"/>
      </w:r>
      <w:r>
        <w:rPr>
          <w:noProof/>
        </w:rPr>
        <w:t>2</w:t>
      </w:r>
      <w:r>
        <w:rPr>
          <w:noProof/>
        </w:rPr>
        <w:fldChar w:fldCharType="end"/>
      </w:r>
    </w:p>
    <w:p w:rsidR="00232639" w:rsidRDefault="00232639">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_Toc45615739 \h </w:instrText>
      </w:r>
      <w:r>
        <w:rPr>
          <w:noProof/>
        </w:rPr>
      </w:r>
      <w:r>
        <w:rPr>
          <w:noProof/>
        </w:rPr>
        <w:fldChar w:fldCharType="separate"/>
      </w:r>
      <w:r>
        <w:rPr>
          <w:noProof/>
        </w:rPr>
        <w:t>3</w:t>
      </w:r>
      <w:r>
        <w:rPr>
          <w:noProof/>
        </w:rPr>
        <w:fldChar w:fldCharType="end"/>
      </w:r>
    </w:p>
    <w:p w:rsidR="00232639" w:rsidRDefault="00232639">
      <w:pPr>
        <w:pStyle w:val="TOC9"/>
        <w:rPr>
          <w:rFonts w:asciiTheme="minorHAnsi" w:eastAsiaTheme="minorEastAsia" w:hAnsiTheme="minorHAnsi" w:cstheme="minorBidi"/>
          <w:i w:val="0"/>
          <w:noProof/>
          <w:kern w:val="0"/>
          <w:sz w:val="22"/>
          <w:szCs w:val="22"/>
        </w:rPr>
      </w:pPr>
      <w:r>
        <w:rPr>
          <w:noProof/>
        </w:rPr>
        <w:t xml:space="preserve">Southern Bluefin Tuna Fishery (Overcatch and Undercatch) Determination 2020 </w:t>
      </w:r>
      <w:r w:rsidRPr="004B1708">
        <w:rPr>
          <w:i w:val="0"/>
          <w:noProof/>
        </w:rPr>
        <w:t>F2019L01497</w:t>
      </w:r>
      <w:r>
        <w:rPr>
          <w:noProof/>
        </w:rPr>
        <w:tab/>
      </w:r>
      <w:r>
        <w:rPr>
          <w:noProof/>
        </w:rPr>
        <w:fldChar w:fldCharType="begin"/>
      </w:r>
      <w:r>
        <w:rPr>
          <w:noProof/>
        </w:rPr>
        <w:instrText xml:space="preserve"> PAGEREF _Toc45615740 \h </w:instrText>
      </w:r>
      <w:r>
        <w:rPr>
          <w:noProof/>
        </w:rPr>
      </w:r>
      <w:r>
        <w:rPr>
          <w:noProof/>
        </w:rPr>
        <w:fldChar w:fldCharType="separate"/>
      </w:r>
      <w:r>
        <w:rPr>
          <w:noProof/>
        </w:rPr>
        <w:t>3</w:t>
      </w:r>
      <w:r>
        <w:rPr>
          <w:noProof/>
        </w:rPr>
        <w:fldChar w:fldCharType="end"/>
      </w:r>
    </w:p>
    <w:p w:rsidR="00F6696E" w:rsidRDefault="00537E75" w:rsidP="00F6696E">
      <w:pPr>
        <w:outlineLvl w:val="0"/>
      </w:pPr>
      <w:r>
        <w:rPr>
          <w:rFonts w:eastAsia="Times New Roman" w:cs="Times New Roman"/>
          <w:kern w:val="28"/>
          <w:sz w:val="18"/>
          <w:lang w:eastAsia="en-AU"/>
        </w:rPr>
        <w:fldChar w:fldCharType="end"/>
      </w:r>
    </w:p>
    <w:p w:rsidR="00F6696E" w:rsidRPr="00A802BC" w:rsidRDefault="00F6696E" w:rsidP="00F6696E">
      <w:pPr>
        <w:outlineLvl w:val="0"/>
        <w:rPr>
          <w:sz w:val="20"/>
        </w:rPr>
      </w:pPr>
    </w:p>
    <w:p w:rsidR="00F6696E" w:rsidRDefault="00F6696E" w:rsidP="00F6696E">
      <w:pPr>
        <w:sectPr w:rsidR="00F6696E" w:rsidSect="00A87A58">
          <w:headerReference w:type="even" r:id="rId9"/>
          <w:footerReference w:type="even" r:id="rId10"/>
          <w:footerReference w:type="default" r:id="rId11"/>
          <w:headerReference w:type="first" r:id="rId12"/>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1" w:name="_Toc45177379"/>
      <w:bookmarkStart w:id="2" w:name="_Toc45615732"/>
      <w:r w:rsidRPr="00554826">
        <w:lastRenderedPageBreak/>
        <w:t>1  Name</w:t>
      </w:r>
      <w:bookmarkEnd w:id="1"/>
      <w:bookmarkEnd w:id="2"/>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F513CB" w:rsidRPr="00F513CB">
        <w:rPr>
          <w:i/>
        </w:rPr>
        <w:t>Southern Bluefin Tuna Fishery (Overcatch and Undercatch) Determination No. 2 of 2020</w:t>
      </w:r>
      <w:r w:rsidR="00F513CB">
        <w:rPr>
          <w:i/>
        </w:rPr>
        <w:t xml:space="preserve">. </w:t>
      </w:r>
    </w:p>
    <w:p w:rsidR="00554826" w:rsidRPr="00554826" w:rsidRDefault="00554826" w:rsidP="00554826">
      <w:pPr>
        <w:pStyle w:val="ActHead5"/>
      </w:pPr>
      <w:bookmarkStart w:id="4" w:name="_Toc45177380"/>
      <w:bookmarkStart w:id="5" w:name="_Toc45615733"/>
      <w:r w:rsidRPr="00554826">
        <w:t>2  Commencement</w:t>
      </w:r>
      <w:bookmarkEnd w:id="4"/>
      <w:bookmarkEnd w:id="5"/>
    </w:p>
    <w:p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A02135">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A02135">
            <w:pPr>
              <w:pStyle w:val="TableHeading"/>
            </w:pPr>
            <w:r w:rsidRPr="003422B4">
              <w:t>Commencement information</w:t>
            </w:r>
          </w:p>
        </w:tc>
      </w:tr>
      <w:tr w:rsidR="003767E2" w:rsidRPr="003422B4" w:rsidTr="00A02135">
        <w:trPr>
          <w:tblHeader/>
        </w:trPr>
        <w:tc>
          <w:tcPr>
            <w:tcW w:w="2127"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3</w:t>
            </w:r>
          </w:p>
        </w:tc>
      </w:tr>
      <w:tr w:rsidR="003767E2" w:rsidRPr="003422B4" w:rsidTr="00A02135">
        <w:trPr>
          <w:tblHeader/>
        </w:trPr>
        <w:tc>
          <w:tcPr>
            <w:tcW w:w="2127"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Date/Details</w:t>
            </w:r>
          </w:p>
        </w:tc>
      </w:tr>
      <w:tr w:rsidR="003767E2" w:rsidRPr="003422B4" w:rsidTr="00A02135">
        <w:tc>
          <w:tcPr>
            <w:tcW w:w="2127" w:type="dxa"/>
            <w:tcBorders>
              <w:top w:val="single" w:sz="12" w:space="0" w:color="auto"/>
              <w:bottom w:val="single" w:sz="12" w:space="0" w:color="auto"/>
            </w:tcBorders>
            <w:shd w:val="clear" w:color="auto" w:fill="auto"/>
            <w:hideMark/>
          </w:tcPr>
          <w:p w:rsidR="003767E2" w:rsidRPr="003A6229" w:rsidRDefault="003767E2" w:rsidP="00A02135">
            <w:pPr>
              <w:pStyle w:val="Tabletext"/>
              <w:rPr>
                <w:i/>
              </w:rPr>
            </w:pPr>
            <w:r w:rsidRPr="003422B4">
              <w:t xml:space="preserve">1.  </w:t>
            </w:r>
            <w:r w:rsidR="00286640" w:rsidRPr="00286640">
              <w:rPr>
                <w:i/>
              </w:rPr>
              <w:t>The whole of this instrument</w:t>
            </w:r>
          </w:p>
        </w:tc>
        <w:tc>
          <w:tcPr>
            <w:tcW w:w="4394" w:type="dxa"/>
            <w:tcBorders>
              <w:top w:val="single" w:sz="12" w:space="0" w:color="auto"/>
              <w:bottom w:val="single" w:sz="12" w:space="0" w:color="auto"/>
            </w:tcBorders>
            <w:shd w:val="clear" w:color="auto" w:fill="auto"/>
            <w:hideMark/>
          </w:tcPr>
          <w:p w:rsidR="003767E2" w:rsidRPr="003A6229" w:rsidRDefault="00286640" w:rsidP="00A02135">
            <w:pPr>
              <w:pStyle w:val="Tabletext"/>
              <w:rPr>
                <w:i/>
              </w:rPr>
            </w:pPr>
            <w:r>
              <w:rPr>
                <w:i/>
              </w:rPr>
              <w:t>O</w:t>
            </w:r>
            <w:r w:rsidRPr="00286640">
              <w:rPr>
                <w:i/>
              </w:rPr>
              <w:t>n the day after this instrument is registered</w:t>
            </w:r>
            <w:r w:rsidR="003767E2" w:rsidRPr="00286640">
              <w:rPr>
                <w:i/>
              </w:rPr>
              <w:t>.</w:t>
            </w:r>
          </w:p>
        </w:tc>
        <w:tc>
          <w:tcPr>
            <w:tcW w:w="1843" w:type="dxa"/>
            <w:tcBorders>
              <w:top w:val="single" w:sz="12" w:space="0" w:color="auto"/>
              <w:bottom w:val="single" w:sz="12" w:space="0" w:color="auto"/>
            </w:tcBorders>
            <w:shd w:val="clear" w:color="auto" w:fill="auto"/>
          </w:tcPr>
          <w:p w:rsidR="003767E2" w:rsidRPr="00B43C50" w:rsidRDefault="003767E2" w:rsidP="00A02135">
            <w:pPr>
              <w:pStyle w:val="Tabletext"/>
              <w:rPr>
                <w:i/>
              </w:rPr>
            </w:pP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6" w:name="_Toc45177381"/>
      <w:bookmarkStart w:id="7" w:name="_Toc45615734"/>
      <w:r w:rsidRPr="00554826">
        <w:t>3  Authority</w:t>
      </w:r>
      <w:bookmarkEnd w:id="6"/>
      <w:bookmarkEnd w:id="7"/>
    </w:p>
    <w:p w:rsidR="00554826" w:rsidRPr="009C2562" w:rsidRDefault="00554826" w:rsidP="00554826">
      <w:pPr>
        <w:pStyle w:val="subsection"/>
      </w:pPr>
      <w:r w:rsidRPr="009C2562">
        <w:tab/>
      </w:r>
      <w:r w:rsidRPr="009C2562">
        <w:tab/>
      </w:r>
      <w:r w:rsidR="00286640" w:rsidRPr="00286640">
        <w:t xml:space="preserve">This instrument is made pursuant to paragraph 17(6)(aa) of the Act </w:t>
      </w:r>
      <w:r w:rsidR="00286640">
        <w:t>and</w:t>
      </w:r>
      <w:r w:rsidR="00286640" w:rsidRPr="00286640">
        <w:t xml:space="preserve"> clauses 9B and 9C of the Management Plan.</w:t>
      </w:r>
    </w:p>
    <w:p w:rsidR="00554826" w:rsidRPr="00554826" w:rsidRDefault="00554826" w:rsidP="00554826">
      <w:pPr>
        <w:pStyle w:val="ActHead5"/>
      </w:pPr>
      <w:bookmarkStart w:id="8" w:name="_Toc45177382"/>
      <w:bookmarkStart w:id="9" w:name="_Toc45615735"/>
      <w:r w:rsidRPr="00554826">
        <w:t>4  Definitions</w:t>
      </w:r>
      <w:bookmarkEnd w:id="8"/>
      <w:bookmarkEnd w:id="9"/>
    </w:p>
    <w:p w:rsidR="00286640" w:rsidRPr="00286640" w:rsidRDefault="00286640" w:rsidP="00286640">
      <w:pPr>
        <w:shd w:val="clear" w:color="auto" w:fill="FFFFFF"/>
        <w:spacing w:before="180" w:line="240" w:lineRule="auto"/>
        <w:ind w:firstLine="720"/>
        <w:rPr>
          <w:rFonts w:eastAsia="Times New Roman" w:cs="Times New Roman"/>
          <w:color w:val="000000"/>
          <w:szCs w:val="22"/>
          <w:lang w:eastAsia="en-AU"/>
        </w:rPr>
      </w:pPr>
      <w:bookmarkStart w:id="10" w:name="_Toc454781205"/>
      <w:r>
        <w:rPr>
          <w:rFonts w:eastAsia="Times New Roman" w:cs="Times New Roman"/>
          <w:color w:val="000000"/>
          <w:szCs w:val="22"/>
          <w:lang w:eastAsia="en-AU"/>
        </w:rPr>
        <w:t xml:space="preserve"> </w:t>
      </w:r>
      <w:r w:rsidRPr="00286640">
        <w:rPr>
          <w:rFonts w:eastAsia="Times New Roman" w:cs="Times New Roman"/>
          <w:color w:val="000000"/>
          <w:szCs w:val="22"/>
          <w:lang w:eastAsia="en-AU"/>
        </w:rPr>
        <w:t>(1)  In this instrument:</w:t>
      </w:r>
    </w:p>
    <w:p w:rsidR="00286640" w:rsidRPr="00286640" w:rsidRDefault="00286640" w:rsidP="00286640">
      <w:pPr>
        <w:shd w:val="clear" w:color="auto" w:fill="FFFFFF"/>
        <w:spacing w:before="180" w:line="240" w:lineRule="auto"/>
        <w:ind w:left="1134"/>
        <w:rPr>
          <w:rFonts w:eastAsia="Times New Roman" w:cs="Times New Roman"/>
          <w:color w:val="000000"/>
          <w:szCs w:val="22"/>
          <w:lang w:eastAsia="en-AU"/>
        </w:rPr>
      </w:pPr>
      <w:r w:rsidRPr="00286640">
        <w:rPr>
          <w:rFonts w:eastAsia="Times New Roman" w:cs="Times New Roman"/>
          <w:b/>
          <w:bCs/>
          <w:i/>
          <w:iCs/>
          <w:color w:val="000000"/>
          <w:szCs w:val="22"/>
          <w:lang w:eastAsia="en-AU"/>
        </w:rPr>
        <w:t>Act</w:t>
      </w:r>
      <w:r w:rsidRPr="00286640">
        <w:rPr>
          <w:rFonts w:eastAsia="Times New Roman" w:cs="Times New Roman"/>
          <w:color w:val="000000"/>
          <w:szCs w:val="22"/>
          <w:lang w:eastAsia="en-AU"/>
        </w:rPr>
        <w:t> means the </w:t>
      </w:r>
      <w:r w:rsidRPr="00286640">
        <w:rPr>
          <w:rFonts w:eastAsia="Times New Roman" w:cs="Times New Roman"/>
          <w:i/>
          <w:iCs/>
          <w:color w:val="000000"/>
          <w:szCs w:val="22"/>
          <w:lang w:eastAsia="en-AU"/>
        </w:rPr>
        <w:t>Fisheries Management Act 1991</w:t>
      </w:r>
      <w:r w:rsidRPr="00286640">
        <w:rPr>
          <w:rFonts w:eastAsia="Times New Roman" w:cs="Times New Roman"/>
          <w:color w:val="000000"/>
          <w:szCs w:val="22"/>
          <w:lang w:eastAsia="en-AU"/>
        </w:rPr>
        <w:t>.</w:t>
      </w:r>
    </w:p>
    <w:p w:rsidR="00286640" w:rsidRPr="00286640" w:rsidRDefault="00286640" w:rsidP="00286640">
      <w:pPr>
        <w:shd w:val="clear" w:color="auto" w:fill="FFFFFF"/>
        <w:spacing w:before="180" w:line="240" w:lineRule="auto"/>
        <w:ind w:left="1134"/>
        <w:rPr>
          <w:rFonts w:eastAsia="Times New Roman" w:cs="Times New Roman"/>
          <w:color w:val="000000"/>
          <w:szCs w:val="22"/>
          <w:lang w:eastAsia="en-AU"/>
        </w:rPr>
      </w:pPr>
      <w:r w:rsidRPr="00286640">
        <w:rPr>
          <w:rFonts w:eastAsia="Times New Roman" w:cs="Times New Roman"/>
          <w:b/>
          <w:bCs/>
          <w:i/>
          <w:iCs/>
          <w:color w:val="000000"/>
          <w:szCs w:val="22"/>
          <w:lang w:eastAsia="en-AU"/>
        </w:rPr>
        <w:t>Management Plan</w:t>
      </w:r>
      <w:r w:rsidRPr="00286640">
        <w:rPr>
          <w:rFonts w:eastAsia="Times New Roman" w:cs="Times New Roman"/>
          <w:color w:val="000000"/>
          <w:szCs w:val="22"/>
          <w:lang w:eastAsia="en-AU"/>
        </w:rPr>
        <w:t> means the </w:t>
      </w:r>
      <w:r w:rsidRPr="00286640">
        <w:rPr>
          <w:rFonts w:eastAsia="Times New Roman" w:cs="Times New Roman"/>
          <w:i/>
          <w:iCs/>
          <w:color w:val="000000"/>
          <w:szCs w:val="22"/>
          <w:lang w:eastAsia="en-AU"/>
        </w:rPr>
        <w:t>Southern Bluefin Tuna Fishery Management Plan 1995</w:t>
      </w:r>
      <w:r w:rsidRPr="00286640">
        <w:rPr>
          <w:rFonts w:eastAsia="Times New Roman" w:cs="Times New Roman"/>
          <w:color w:val="000000"/>
          <w:szCs w:val="22"/>
          <w:lang w:eastAsia="en-AU"/>
        </w:rPr>
        <w:t>. </w:t>
      </w:r>
    </w:p>
    <w:p w:rsidR="00286640" w:rsidRPr="00286640" w:rsidRDefault="00286640" w:rsidP="00286640">
      <w:pPr>
        <w:shd w:val="clear" w:color="auto" w:fill="FFFFFF"/>
        <w:spacing w:before="180" w:line="240" w:lineRule="auto"/>
        <w:ind w:left="1134" w:hanging="1134"/>
        <w:rPr>
          <w:rFonts w:eastAsia="Times New Roman" w:cs="Times New Roman"/>
          <w:color w:val="000000"/>
          <w:szCs w:val="22"/>
          <w:lang w:eastAsia="en-AU"/>
        </w:rPr>
      </w:pPr>
      <w:r w:rsidRPr="00286640">
        <w:rPr>
          <w:rFonts w:eastAsia="Times New Roman" w:cs="Times New Roman"/>
          <w:color w:val="000000"/>
          <w:szCs w:val="22"/>
          <w:lang w:eastAsia="en-AU"/>
        </w:rPr>
        <w:t>             (2)  A term used in this instrument that is defined for the purposes of the Management Plan has the same meaning in this instrument as it has in that Management Plan.</w:t>
      </w:r>
    </w:p>
    <w:p w:rsidR="00286640" w:rsidRPr="00286640" w:rsidRDefault="00286640" w:rsidP="00286640">
      <w:pPr>
        <w:shd w:val="clear" w:color="auto" w:fill="FFFFFF"/>
        <w:spacing w:before="120" w:after="120" w:line="198" w:lineRule="atLeast"/>
        <w:ind w:left="1985" w:hanging="851"/>
        <w:rPr>
          <w:rFonts w:eastAsia="Times New Roman" w:cs="Times New Roman"/>
          <w:color w:val="000000"/>
          <w:sz w:val="18"/>
          <w:szCs w:val="18"/>
          <w:lang w:eastAsia="en-AU"/>
        </w:rPr>
      </w:pPr>
      <w:r w:rsidRPr="00286640">
        <w:rPr>
          <w:rFonts w:eastAsia="Times New Roman" w:cs="Times New Roman"/>
          <w:color w:val="000000"/>
          <w:sz w:val="18"/>
          <w:szCs w:val="18"/>
          <w:lang w:eastAsia="en-AU"/>
        </w:rPr>
        <w:t>Note:          Terms defined in the </w:t>
      </w:r>
      <w:r w:rsidRPr="00286640">
        <w:rPr>
          <w:rFonts w:eastAsia="Times New Roman" w:cs="Times New Roman"/>
          <w:i/>
          <w:iCs/>
          <w:color w:val="000000"/>
          <w:sz w:val="18"/>
          <w:szCs w:val="18"/>
          <w:lang w:eastAsia="en-AU"/>
        </w:rPr>
        <w:t>Fisheries Management Act 1991 </w:t>
      </w:r>
      <w:r w:rsidRPr="00286640">
        <w:rPr>
          <w:rFonts w:eastAsia="Times New Roman" w:cs="Times New Roman"/>
          <w:color w:val="000000"/>
          <w:sz w:val="18"/>
          <w:szCs w:val="18"/>
          <w:lang w:eastAsia="en-AU"/>
        </w:rPr>
        <w:t>have the same meaning in this instrument (see paragraph 13(1)(b) of the </w:t>
      </w:r>
      <w:r w:rsidRPr="00286640">
        <w:rPr>
          <w:rFonts w:eastAsia="Times New Roman" w:cs="Times New Roman"/>
          <w:i/>
          <w:iCs/>
          <w:color w:val="000000"/>
          <w:sz w:val="18"/>
          <w:szCs w:val="18"/>
          <w:lang w:eastAsia="en-AU"/>
        </w:rPr>
        <w:t>Legislation Act 2003</w:t>
      </w:r>
      <w:r w:rsidRPr="00286640">
        <w:rPr>
          <w:rFonts w:eastAsia="Times New Roman" w:cs="Times New Roman"/>
          <w:color w:val="000000"/>
          <w:sz w:val="18"/>
          <w:szCs w:val="18"/>
          <w:lang w:eastAsia="en-AU"/>
        </w:rPr>
        <w:t>). </w:t>
      </w:r>
    </w:p>
    <w:p w:rsidR="00554826" w:rsidRPr="00554826" w:rsidRDefault="00286640" w:rsidP="00286640">
      <w:pPr>
        <w:pStyle w:val="ActHead5"/>
      </w:pPr>
      <w:r w:rsidRPr="00554826">
        <w:t xml:space="preserve"> </w:t>
      </w:r>
      <w:bookmarkStart w:id="11" w:name="_Toc45177383"/>
      <w:bookmarkStart w:id="12" w:name="_Toc45615736"/>
      <w:r w:rsidR="00554826" w:rsidRPr="00554826">
        <w:t>5  Schedules</w:t>
      </w:r>
      <w:bookmarkEnd w:id="10"/>
      <w:bookmarkEnd w:id="11"/>
      <w:bookmarkEnd w:id="12"/>
    </w:p>
    <w:p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286640" w:rsidRPr="00232639" w:rsidRDefault="00286640" w:rsidP="00232639">
      <w:pPr>
        <w:pStyle w:val="ActHead5"/>
      </w:pPr>
      <w:bookmarkStart w:id="13" w:name="_Toc506206245"/>
      <w:bookmarkStart w:id="14" w:name="_Toc45615737"/>
      <w:r w:rsidRPr="00232639">
        <w:lastRenderedPageBreak/>
        <w:t>6  </w:t>
      </w:r>
      <w:bookmarkEnd w:id="13"/>
      <w:r w:rsidRPr="00232639">
        <w:t>Revocation</w:t>
      </w:r>
      <w:bookmarkEnd w:id="14"/>
    </w:p>
    <w:p w:rsidR="00286640" w:rsidRPr="00286640" w:rsidRDefault="00286640" w:rsidP="00286640">
      <w:pPr>
        <w:shd w:val="clear" w:color="auto" w:fill="FFFFFF"/>
        <w:spacing w:before="180" w:line="240" w:lineRule="auto"/>
        <w:ind w:left="1134" w:hanging="1134"/>
        <w:rPr>
          <w:rFonts w:eastAsia="Times New Roman" w:cs="Times New Roman"/>
          <w:color w:val="000000"/>
          <w:szCs w:val="22"/>
          <w:lang w:eastAsia="en-AU"/>
        </w:rPr>
      </w:pPr>
      <w:r w:rsidRPr="00286640">
        <w:rPr>
          <w:rFonts w:eastAsia="Times New Roman" w:cs="Times New Roman"/>
          <w:color w:val="000000"/>
          <w:szCs w:val="22"/>
          <w:lang w:eastAsia="en-AU"/>
        </w:rPr>
        <w:t>                   This instrument is revoked on 1 December 2020 unless earlier revoked. </w:t>
      </w:r>
    </w:p>
    <w:p w:rsidR="008D3BA5" w:rsidRPr="00232639" w:rsidRDefault="00286640" w:rsidP="00232639">
      <w:pPr>
        <w:pStyle w:val="ActHead5"/>
      </w:pPr>
      <w:bookmarkStart w:id="15" w:name="_Toc45615738"/>
      <w:r w:rsidRPr="00232639">
        <w:t>7</w:t>
      </w:r>
      <w:r w:rsidR="00554826" w:rsidRPr="00232639">
        <w:t xml:space="preserve">  </w:t>
      </w:r>
      <w:r w:rsidR="008D3BA5" w:rsidRPr="00232639">
        <w:t>Determination of overcatch and undercatch</w:t>
      </w:r>
      <w:bookmarkEnd w:id="15"/>
    </w:p>
    <w:p w:rsidR="008D3BA5" w:rsidRPr="00B85F49" w:rsidRDefault="008D3BA5" w:rsidP="008D3BA5">
      <w:pPr>
        <w:tabs>
          <w:tab w:val="left" w:pos="180"/>
        </w:tabs>
        <w:spacing w:before="240"/>
        <w:ind w:left="360" w:right="-51" w:hanging="360"/>
        <w:rPr>
          <w:rFonts w:cs="Times New Roman"/>
          <w:szCs w:val="22"/>
        </w:rPr>
      </w:pPr>
      <w:r>
        <w:rPr>
          <w:rFonts w:cs="Times New Roman"/>
          <w:szCs w:val="22"/>
        </w:rPr>
        <w:tab/>
      </w:r>
      <w:r>
        <w:rPr>
          <w:rFonts w:cs="Times New Roman"/>
          <w:szCs w:val="22"/>
        </w:rPr>
        <w:tab/>
      </w:r>
      <w:r w:rsidRPr="00B85F49">
        <w:rPr>
          <w:rFonts w:cs="Times New Roman"/>
          <w:szCs w:val="22"/>
        </w:rPr>
        <w:t>The determined percentage, determined weight and determined additional weight for the purposes of subclause 9B.1 of the Plan (Overcatch), and the determined percentage for the purposes of subclause 9C.1 of the Plan (Undercatch) for the fishing seas</w:t>
      </w:r>
      <w:r>
        <w:rPr>
          <w:rFonts w:cs="Times New Roman"/>
          <w:szCs w:val="22"/>
        </w:rPr>
        <w:t xml:space="preserve">on commencing on </w:t>
      </w:r>
      <w:r w:rsidRPr="008D3BA5">
        <w:rPr>
          <w:rFonts w:cs="Times New Roman"/>
          <w:szCs w:val="22"/>
        </w:rPr>
        <w:t>1 December 2019 and ending on 30 November 2020</w:t>
      </w:r>
      <w:r w:rsidRPr="00B85F49">
        <w:rPr>
          <w:rFonts w:cs="Times New Roman"/>
          <w:szCs w:val="22"/>
        </w:rPr>
        <w:t xml:space="preserve"> are:</w:t>
      </w:r>
    </w:p>
    <w:p w:rsidR="008D3BA5" w:rsidRPr="00B85F49" w:rsidRDefault="008D3BA5" w:rsidP="008D3BA5">
      <w:pPr>
        <w:pStyle w:val="AFMANormal"/>
        <w:ind w:left="360" w:hanging="360"/>
        <w:jc w:val="left"/>
        <w:rPr>
          <w:sz w:val="22"/>
          <w:szCs w:val="22"/>
        </w:rPr>
      </w:pPr>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3005"/>
      </w:tblGrid>
      <w:tr w:rsidR="008D3BA5" w:rsidRPr="00B85F49" w:rsidTr="00B52E11">
        <w:trPr>
          <w:trHeight w:val="375"/>
          <w:jc w:val="center"/>
        </w:trPr>
        <w:tc>
          <w:tcPr>
            <w:tcW w:w="3205" w:type="dxa"/>
            <w:noWrap/>
            <w:vAlign w:val="center"/>
          </w:tcPr>
          <w:p w:rsidR="008D3BA5" w:rsidRPr="00B85F49" w:rsidRDefault="008D3BA5" w:rsidP="00B52E11">
            <w:pPr>
              <w:rPr>
                <w:rFonts w:cs="Times New Roman"/>
                <w:szCs w:val="22"/>
              </w:rPr>
            </w:pPr>
          </w:p>
        </w:tc>
        <w:tc>
          <w:tcPr>
            <w:tcW w:w="3005" w:type="dxa"/>
            <w:noWrap/>
            <w:vAlign w:val="center"/>
          </w:tcPr>
          <w:p w:rsidR="008D3BA5" w:rsidRPr="00B85F49" w:rsidRDefault="008D3BA5" w:rsidP="00B52E11">
            <w:pPr>
              <w:jc w:val="center"/>
              <w:rPr>
                <w:rFonts w:cs="Times New Roman"/>
                <w:b/>
                <w:szCs w:val="22"/>
              </w:rPr>
            </w:pPr>
            <w:r w:rsidRPr="00B85F49">
              <w:rPr>
                <w:rFonts w:cs="Times New Roman"/>
                <w:b/>
                <w:szCs w:val="22"/>
              </w:rPr>
              <w:t>Amount</w:t>
            </w:r>
          </w:p>
        </w:tc>
      </w:tr>
      <w:tr w:rsidR="008D3BA5" w:rsidRPr="00B85F49" w:rsidTr="00B52E11">
        <w:trPr>
          <w:trHeight w:val="375"/>
          <w:jc w:val="center"/>
        </w:trPr>
        <w:tc>
          <w:tcPr>
            <w:tcW w:w="3205" w:type="dxa"/>
            <w:noWrap/>
            <w:vAlign w:val="center"/>
          </w:tcPr>
          <w:p w:rsidR="008D3BA5" w:rsidRPr="00B85F49" w:rsidRDefault="008D3BA5" w:rsidP="00B52E11">
            <w:pPr>
              <w:rPr>
                <w:rFonts w:cs="Times New Roman"/>
                <w:szCs w:val="22"/>
              </w:rPr>
            </w:pPr>
            <w:r w:rsidRPr="00B85F49">
              <w:rPr>
                <w:rFonts w:cs="Times New Roman"/>
                <w:b/>
                <w:bCs/>
                <w:i/>
                <w:iCs/>
                <w:szCs w:val="22"/>
              </w:rPr>
              <w:t>Determined Percentage (Overcatch – subclause 9B.1(a))</w:t>
            </w:r>
          </w:p>
        </w:tc>
        <w:tc>
          <w:tcPr>
            <w:tcW w:w="3005" w:type="dxa"/>
            <w:noWrap/>
            <w:vAlign w:val="center"/>
          </w:tcPr>
          <w:p w:rsidR="008D3BA5" w:rsidRPr="00B85F49" w:rsidRDefault="008D3BA5" w:rsidP="00B52E11">
            <w:pPr>
              <w:jc w:val="center"/>
              <w:rPr>
                <w:rFonts w:cs="Times New Roman"/>
                <w:szCs w:val="22"/>
              </w:rPr>
            </w:pPr>
            <w:r w:rsidRPr="00B85F49">
              <w:rPr>
                <w:rFonts w:cs="Times New Roman"/>
                <w:szCs w:val="22"/>
              </w:rPr>
              <w:t>5%</w:t>
            </w:r>
          </w:p>
        </w:tc>
      </w:tr>
      <w:tr w:rsidR="008D3BA5" w:rsidRPr="00B85F49" w:rsidTr="00B52E11">
        <w:trPr>
          <w:trHeight w:val="375"/>
          <w:jc w:val="center"/>
        </w:trPr>
        <w:tc>
          <w:tcPr>
            <w:tcW w:w="3205" w:type="dxa"/>
            <w:noWrap/>
            <w:vAlign w:val="center"/>
          </w:tcPr>
          <w:p w:rsidR="008D3BA5" w:rsidRPr="00B85F49" w:rsidRDefault="008D3BA5" w:rsidP="00B52E11">
            <w:pPr>
              <w:rPr>
                <w:rFonts w:cs="Times New Roman"/>
                <w:szCs w:val="22"/>
              </w:rPr>
            </w:pPr>
            <w:r w:rsidRPr="00B85F49">
              <w:rPr>
                <w:rFonts w:cs="Times New Roman"/>
                <w:b/>
                <w:bCs/>
                <w:i/>
                <w:iCs/>
                <w:szCs w:val="22"/>
              </w:rPr>
              <w:t>Determined Amount (Overcatch – subclause 9B.1(b))</w:t>
            </w:r>
          </w:p>
        </w:tc>
        <w:tc>
          <w:tcPr>
            <w:tcW w:w="3005" w:type="dxa"/>
            <w:noWrap/>
            <w:vAlign w:val="center"/>
          </w:tcPr>
          <w:p w:rsidR="008D3BA5" w:rsidRPr="00B85F49" w:rsidRDefault="008D3BA5" w:rsidP="00B52E11">
            <w:pPr>
              <w:jc w:val="center"/>
              <w:rPr>
                <w:rFonts w:cs="Times New Roman"/>
                <w:szCs w:val="22"/>
              </w:rPr>
            </w:pPr>
            <w:r w:rsidRPr="00B85F49">
              <w:rPr>
                <w:rFonts w:cs="Times New Roman"/>
                <w:szCs w:val="22"/>
              </w:rPr>
              <w:t>100 tonnes</w:t>
            </w:r>
          </w:p>
        </w:tc>
      </w:tr>
      <w:tr w:rsidR="008D3BA5" w:rsidRPr="00B85F49" w:rsidTr="00B52E11">
        <w:trPr>
          <w:trHeight w:val="375"/>
          <w:jc w:val="center"/>
        </w:trPr>
        <w:tc>
          <w:tcPr>
            <w:tcW w:w="3205" w:type="dxa"/>
            <w:noWrap/>
            <w:vAlign w:val="center"/>
          </w:tcPr>
          <w:p w:rsidR="008D3BA5" w:rsidRPr="00B85F49" w:rsidRDefault="008D3BA5" w:rsidP="00B52E11">
            <w:pPr>
              <w:rPr>
                <w:rFonts w:cs="Times New Roman"/>
                <w:szCs w:val="22"/>
              </w:rPr>
            </w:pPr>
            <w:r w:rsidRPr="00B85F49">
              <w:rPr>
                <w:rFonts w:cs="Times New Roman"/>
                <w:b/>
                <w:bCs/>
                <w:i/>
                <w:iCs/>
                <w:szCs w:val="22"/>
              </w:rPr>
              <w:t>Determined Additional Weight (Overcatch – subclause 9B.1(c))</w:t>
            </w:r>
          </w:p>
        </w:tc>
        <w:tc>
          <w:tcPr>
            <w:tcW w:w="3005" w:type="dxa"/>
            <w:noWrap/>
            <w:vAlign w:val="center"/>
          </w:tcPr>
          <w:p w:rsidR="008D3BA5" w:rsidRPr="00B85F49" w:rsidRDefault="008D3BA5" w:rsidP="00B52E11">
            <w:pPr>
              <w:jc w:val="center"/>
              <w:rPr>
                <w:rFonts w:cs="Times New Roman"/>
                <w:szCs w:val="22"/>
              </w:rPr>
            </w:pPr>
            <w:r w:rsidRPr="00B85F49">
              <w:rPr>
                <w:rFonts w:cs="Times New Roman"/>
                <w:szCs w:val="22"/>
              </w:rPr>
              <w:t>2 tonnes</w:t>
            </w:r>
          </w:p>
        </w:tc>
      </w:tr>
      <w:tr w:rsidR="008D3BA5" w:rsidRPr="00B85F49" w:rsidTr="00B52E11">
        <w:trPr>
          <w:trHeight w:val="375"/>
          <w:jc w:val="center"/>
        </w:trPr>
        <w:tc>
          <w:tcPr>
            <w:tcW w:w="3205" w:type="dxa"/>
            <w:noWrap/>
            <w:vAlign w:val="center"/>
          </w:tcPr>
          <w:p w:rsidR="008D3BA5" w:rsidRPr="00B85F49" w:rsidRDefault="008D3BA5" w:rsidP="00B52E11">
            <w:pPr>
              <w:rPr>
                <w:rFonts w:cs="Times New Roman"/>
                <w:szCs w:val="22"/>
              </w:rPr>
            </w:pPr>
            <w:r w:rsidRPr="00B85F49">
              <w:rPr>
                <w:rFonts w:cs="Times New Roman"/>
                <w:b/>
                <w:bCs/>
                <w:i/>
                <w:iCs/>
                <w:szCs w:val="22"/>
              </w:rPr>
              <w:t>Determined Percentage (Undercatch – subclause 9C.1)</w:t>
            </w:r>
          </w:p>
        </w:tc>
        <w:tc>
          <w:tcPr>
            <w:tcW w:w="3005" w:type="dxa"/>
            <w:noWrap/>
            <w:vAlign w:val="center"/>
          </w:tcPr>
          <w:p w:rsidR="008D3BA5" w:rsidRPr="00B85F49" w:rsidRDefault="008D3BA5" w:rsidP="00B52E11">
            <w:pPr>
              <w:jc w:val="center"/>
              <w:rPr>
                <w:rFonts w:cs="Times New Roman"/>
                <w:szCs w:val="22"/>
              </w:rPr>
            </w:pPr>
            <w:r>
              <w:rPr>
                <w:rFonts w:cs="Times New Roman"/>
                <w:szCs w:val="22"/>
              </w:rPr>
              <w:t>10</w:t>
            </w:r>
            <w:r w:rsidRPr="00B85F49">
              <w:rPr>
                <w:rFonts w:cs="Times New Roman"/>
                <w:szCs w:val="22"/>
              </w:rPr>
              <w:t>0%</w:t>
            </w:r>
          </w:p>
        </w:tc>
      </w:tr>
    </w:tbl>
    <w:p w:rsidR="008D3BA5" w:rsidRPr="00B85F49" w:rsidRDefault="008D3BA5" w:rsidP="008D3BA5">
      <w:pPr>
        <w:rPr>
          <w:rFonts w:cs="Times New Roman"/>
          <w:szCs w:val="22"/>
        </w:rPr>
      </w:pPr>
    </w:p>
    <w:p w:rsidR="008D3BA5" w:rsidRDefault="008D3BA5" w:rsidP="008D3BA5">
      <w:pPr>
        <w:outlineLvl w:val="0"/>
      </w:pPr>
    </w:p>
    <w:p w:rsidR="00554826" w:rsidRPr="006A154F" w:rsidRDefault="00554826" w:rsidP="00286640">
      <w:pPr>
        <w:pStyle w:val="ActHead5"/>
        <w:ind w:left="0" w:firstLine="0"/>
        <w:rPr>
          <w:highlight w:val="yellow"/>
        </w:rPr>
      </w:pPr>
    </w:p>
    <w:p w:rsidR="00554826" w:rsidRPr="00B25306" w:rsidRDefault="00554826" w:rsidP="008D3BA5">
      <w:pPr>
        <w:pStyle w:val="subsection"/>
      </w:pPr>
      <w:r w:rsidRPr="008D3BA5">
        <w:tab/>
      </w:r>
    </w:p>
    <w:p w:rsidR="00554826" w:rsidRDefault="00554826" w:rsidP="00554826">
      <w:pPr>
        <w:spacing w:line="240" w:lineRule="auto"/>
        <w:rPr>
          <w:rFonts w:eastAsia="Times New Roman" w:cs="Times New Roman"/>
          <w:lang w:eastAsia="en-AU"/>
        </w:rPr>
      </w:pPr>
      <w:r>
        <w:br w:type="page"/>
      </w:r>
    </w:p>
    <w:p w:rsidR="00D6537E" w:rsidRPr="004E1307" w:rsidRDefault="004E1307" w:rsidP="00D6537E">
      <w:pPr>
        <w:pStyle w:val="ActHead6"/>
      </w:pPr>
      <w:bookmarkStart w:id="16" w:name="_Toc45177384"/>
      <w:bookmarkStart w:id="17" w:name="_Toc45615739"/>
      <w:r>
        <w:lastRenderedPageBreak/>
        <w:t xml:space="preserve">Schedule </w:t>
      </w:r>
      <w:r w:rsidR="00D6537E" w:rsidRPr="004E1307">
        <w:t>1—Repeals</w:t>
      </w:r>
      <w:bookmarkEnd w:id="16"/>
      <w:bookmarkEnd w:id="17"/>
    </w:p>
    <w:p w:rsidR="00D6537E" w:rsidRPr="00D6537E" w:rsidRDefault="008D3BA5" w:rsidP="008D3BA5">
      <w:pPr>
        <w:pStyle w:val="ActHead9"/>
        <w:ind w:left="0" w:firstLine="0"/>
      </w:pPr>
      <w:bookmarkStart w:id="18" w:name="_Toc45177385"/>
      <w:bookmarkStart w:id="19" w:name="_Toc45615740"/>
      <w:r w:rsidRPr="008D3BA5">
        <w:t xml:space="preserve">Southern Bluefin Tuna Fishery (Overcatch and Undercatch) Determination 2020 </w:t>
      </w:r>
      <w:r w:rsidRPr="008D3BA5">
        <w:rPr>
          <w:i w:val="0"/>
        </w:rPr>
        <w:t>F2019L01497</w:t>
      </w:r>
      <w:bookmarkEnd w:id="18"/>
      <w:bookmarkEnd w:id="19"/>
    </w:p>
    <w:p w:rsidR="00D6537E" w:rsidRDefault="00D6537E" w:rsidP="00D6537E">
      <w:pPr>
        <w:pStyle w:val="ItemHead"/>
      </w:pPr>
      <w:r w:rsidRPr="00B1728A">
        <w:t xml:space="preserve">1  </w:t>
      </w:r>
      <w:r w:rsidR="00BB1533">
        <w:t>The w</w:t>
      </w:r>
      <w:r>
        <w:t>hole of the instrument</w:t>
      </w:r>
      <w:r w:rsidR="008D3BA5">
        <w:t xml:space="preserve"> </w:t>
      </w:r>
    </w:p>
    <w:p w:rsidR="00A75FE9" w:rsidRDefault="00D6537E" w:rsidP="008D3BA5">
      <w:pPr>
        <w:pStyle w:val="Item"/>
      </w:pPr>
      <w:r>
        <w:t>Repeal the instrument</w:t>
      </w:r>
    </w:p>
    <w:sectPr w:rsidR="00A75FE9" w:rsidSect="008C2EAC">
      <w:headerReference w:type="even" r:id="rId13"/>
      <w:headerReference w:type="default" r:id="rId14"/>
      <w:footerReference w:type="even" r:id="rId15"/>
      <w:footerReference w:type="default" r:id="rId1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F4" w:rsidRDefault="00F855F4" w:rsidP="00715914">
      <w:pPr>
        <w:spacing w:line="240" w:lineRule="auto"/>
      </w:pPr>
      <w:r>
        <w:separator/>
      </w:r>
    </w:p>
  </w:endnote>
  <w:endnote w:type="continuationSeparator" w:id="0">
    <w:p w:rsidR="00F855F4" w:rsidRDefault="00F855F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7AD">
            <w:rPr>
              <w:i/>
              <w:noProof/>
              <w:sz w:val="18"/>
            </w:rPr>
            <w:t>ii</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57AD">
            <w:rPr>
              <w:i/>
              <w:noProof/>
              <w:sz w:val="18"/>
            </w:rPr>
            <w:t>Southern Bluefin Tuna Fishery (Overcatch and Undercatch) Determination No. 2 of 2020</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rsidTr="00A87A58">
      <w:tc>
        <w:tcPr>
          <w:tcW w:w="947" w:type="pct"/>
        </w:tcPr>
        <w:p w:rsidR="00F6696E" w:rsidRDefault="00F6696E" w:rsidP="000850AC">
          <w:pPr>
            <w:spacing w:line="0" w:lineRule="atLeast"/>
            <w:rPr>
              <w:sz w:val="18"/>
            </w:rPr>
          </w:pPr>
        </w:p>
      </w:tc>
      <w:tc>
        <w:tcPr>
          <w:tcW w:w="3688" w:type="pct"/>
        </w:tcPr>
        <w:p w:rsidR="00F6696E" w:rsidRDefault="00537E75" w:rsidP="000850A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D57AD">
            <w:rPr>
              <w:i/>
              <w:noProof/>
              <w:sz w:val="18"/>
            </w:rPr>
            <w:t>Southern Bluefin Tuna Fishery (Overcatch and Undercatch) Determination No. 2 of 2020</w:t>
          </w:r>
          <w:r>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7AD">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7AD">
            <w:rPr>
              <w:i/>
              <w:noProof/>
              <w:sz w:val="18"/>
            </w:rPr>
            <w:t>2</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57AD">
            <w:rPr>
              <w:i/>
              <w:noProof/>
              <w:sz w:val="18"/>
            </w:rPr>
            <w:t>Southern Bluefin Tuna Fishery (Overcatch and Undercatch) Determination No. 2 of 2020</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rsidTr="00A87A58">
      <w:tc>
        <w:tcPr>
          <w:tcW w:w="947" w:type="pct"/>
        </w:tcPr>
        <w:p w:rsidR="008C2EAC" w:rsidRDefault="008C2EAC" w:rsidP="000850AC">
          <w:pPr>
            <w:spacing w:line="0" w:lineRule="atLeast"/>
            <w:rPr>
              <w:sz w:val="18"/>
            </w:rPr>
          </w:pPr>
        </w:p>
      </w:tc>
      <w:tc>
        <w:tcPr>
          <w:tcW w:w="3688" w:type="pct"/>
        </w:tcPr>
        <w:p w:rsidR="008C2EAC" w:rsidRDefault="00537E75" w:rsidP="000850A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D57AD">
            <w:rPr>
              <w:i/>
              <w:noProof/>
              <w:sz w:val="18"/>
            </w:rPr>
            <w:t>Southern Bluefin Tuna Fishery (Overcatch and Undercatch) Determination No. 2 of 2020</w:t>
          </w:r>
          <w:r>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7AD">
            <w:rPr>
              <w:i/>
              <w:noProof/>
              <w:sz w:val="18"/>
            </w:rPr>
            <w:t>3</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F4" w:rsidRDefault="00F855F4" w:rsidP="00715914">
      <w:pPr>
        <w:spacing w:line="240" w:lineRule="auto"/>
      </w:pPr>
      <w:r>
        <w:separator/>
      </w:r>
    </w:p>
  </w:footnote>
  <w:footnote w:type="continuationSeparator" w:id="0">
    <w:p w:rsidR="00F855F4" w:rsidRDefault="00F855F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6442D3">
    <w:pPr>
      <w:pBdr>
        <w:bottom w:val="single" w:sz="6"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F4"/>
    <w:rsid w:val="00004174"/>
    <w:rsid w:val="00004470"/>
    <w:rsid w:val="000136AF"/>
    <w:rsid w:val="000258B1"/>
    <w:rsid w:val="00040A89"/>
    <w:rsid w:val="000437C1"/>
    <w:rsid w:val="0004455A"/>
    <w:rsid w:val="0005365D"/>
    <w:rsid w:val="000614BF"/>
    <w:rsid w:val="0006709C"/>
    <w:rsid w:val="00074376"/>
    <w:rsid w:val="000978F5"/>
    <w:rsid w:val="000A100D"/>
    <w:rsid w:val="000B15CD"/>
    <w:rsid w:val="000B35EB"/>
    <w:rsid w:val="000D05EF"/>
    <w:rsid w:val="000D57AD"/>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27020"/>
    <w:rsid w:val="002321E8"/>
    <w:rsid w:val="00232639"/>
    <w:rsid w:val="00232984"/>
    <w:rsid w:val="0024010F"/>
    <w:rsid w:val="00240749"/>
    <w:rsid w:val="00243018"/>
    <w:rsid w:val="002564A4"/>
    <w:rsid w:val="0026736C"/>
    <w:rsid w:val="00281308"/>
    <w:rsid w:val="00284719"/>
    <w:rsid w:val="00286640"/>
    <w:rsid w:val="00297ECB"/>
    <w:rsid w:val="002A7BCF"/>
    <w:rsid w:val="002C3FD1"/>
    <w:rsid w:val="002D043A"/>
    <w:rsid w:val="002D266B"/>
    <w:rsid w:val="002D6224"/>
    <w:rsid w:val="00304F8B"/>
    <w:rsid w:val="00335BC6"/>
    <w:rsid w:val="003415D3"/>
    <w:rsid w:val="00344338"/>
    <w:rsid w:val="00344701"/>
    <w:rsid w:val="00352B0F"/>
    <w:rsid w:val="00360459"/>
    <w:rsid w:val="003767E2"/>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E75"/>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673"/>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D3BA5"/>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70A74"/>
    <w:rsid w:val="00A75FE9"/>
    <w:rsid w:val="00AD53CC"/>
    <w:rsid w:val="00AD5641"/>
    <w:rsid w:val="00AE5AD6"/>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13CB"/>
    <w:rsid w:val="00F567F7"/>
    <w:rsid w:val="00F6696E"/>
    <w:rsid w:val="00F73BD6"/>
    <w:rsid w:val="00F77B1E"/>
    <w:rsid w:val="00F83989"/>
    <w:rsid w:val="00F85099"/>
    <w:rsid w:val="00F855F4"/>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3B651"/>
  <w15:docId w15:val="{838680BC-BB95-4C8E-8E51-4E776962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AFMANormal">
    <w:name w:val="AFMA Normal"/>
    <w:rsid w:val="008D3BA5"/>
    <w:pPr>
      <w:spacing w:before="240"/>
      <w:jc w:val="both"/>
    </w:pPr>
    <w:rPr>
      <w:rFonts w:eastAsia="Times New Roman" w:cs="Times New Roman"/>
      <w:kern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1360">
      <w:bodyDiv w:val="1"/>
      <w:marLeft w:val="0"/>
      <w:marRight w:val="0"/>
      <w:marTop w:val="0"/>
      <w:marBottom w:val="0"/>
      <w:divBdr>
        <w:top w:val="none" w:sz="0" w:space="0" w:color="auto"/>
        <w:left w:val="none" w:sz="0" w:space="0" w:color="auto"/>
        <w:bottom w:val="none" w:sz="0" w:space="0" w:color="auto"/>
        <w:right w:val="none" w:sz="0" w:space="0" w:color="auto"/>
      </w:divBdr>
      <w:divsChild>
        <w:div w:id="2008361612">
          <w:marLeft w:val="0"/>
          <w:marRight w:val="91"/>
          <w:marTop w:val="0"/>
          <w:marBottom w:val="0"/>
          <w:divBdr>
            <w:top w:val="none" w:sz="0" w:space="0" w:color="auto"/>
            <w:left w:val="none" w:sz="0" w:space="0" w:color="auto"/>
            <w:bottom w:val="single" w:sz="8" w:space="12" w:color="auto"/>
            <w:right w:val="none" w:sz="0" w:space="0" w:color="auto"/>
          </w:divBdr>
        </w:div>
      </w:divsChild>
    </w:div>
    <w:div w:id="1190142447">
      <w:bodyDiv w:val="1"/>
      <w:marLeft w:val="0"/>
      <w:marRight w:val="0"/>
      <w:marTop w:val="0"/>
      <w:marBottom w:val="0"/>
      <w:divBdr>
        <w:top w:val="none" w:sz="0" w:space="0" w:color="auto"/>
        <w:left w:val="none" w:sz="0" w:space="0" w:color="auto"/>
        <w:bottom w:val="none" w:sz="0" w:space="0" w:color="auto"/>
        <w:right w:val="none" w:sz="0" w:space="0" w:color="auto"/>
      </w:divBdr>
    </w:div>
    <w:div w:id="1273049989">
      <w:bodyDiv w:val="1"/>
      <w:marLeft w:val="0"/>
      <w:marRight w:val="0"/>
      <w:marTop w:val="0"/>
      <w:marBottom w:val="0"/>
      <w:divBdr>
        <w:top w:val="none" w:sz="0" w:space="0" w:color="auto"/>
        <w:left w:val="none" w:sz="0" w:space="0" w:color="auto"/>
        <w:bottom w:val="none" w:sz="0" w:space="0" w:color="auto"/>
        <w:right w:val="none" w:sz="0" w:space="0" w:color="auto"/>
      </w:divBdr>
      <w:divsChild>
        <w:div w:id="1268200594">
          <w:marLeft w:val="0"/>
          <w:marRight w:val="91"/>
          <w:marTop w:val="0"/>
          <w:marBottom w:val="0"/>
          <w:divBdr>
            <w:top w:val="none" w:sz="0" w:space="0" w:color="auto"/>
            <w:left w:val="none" w:sz="0" w:space="0" w:color="auto"/>
            <w:bottom w:val="single" w:sz="8" w:space="12" w:color="auto"/>
            <w:right w:val="none" w:sz="0" w:space="0" w:color="auto"/>
          </w:divBdr>
        </w:div>
      </w:divsChild>
    </w:div>
    <w:div w:id="14152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mddp\Downloads\template_-_principal_instrument_0%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F830-4F17-4B4B-B2D2-85130902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(8)</Template>
  <TotalTime>0</TotalTime>
  <Pages>5</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 PIVA, Daniel</dc:creator>
  <cp:lastModifiedBy>DAL PIVA, Daniel</cp:lastModifiedBy>
  <cp:revision>3</cp:revision>
  <dcterms:created xsi:type="dcterms:W3CDTF">2020-07-14T00:42:00Z</dcterms:created>
  <dcterms:modified xsi:type="dcterms:W3CDTF">2020-07-14T02:04:00Z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d32dbbf2-385f-436a-bfbc-c58ea9dd419a</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