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81" w:rsidRDefault="00887C81">
      <w:pPr>
        <w:jc w:val="center"/>
        <w:rPr>
          <w:rFonts w:ascii="Times New Roman" w:hAnsi="Times New Roman"/>
          <w:b/>
          <w:bCs/>
          <w:szCs w:val="24"/>
          <w:u w:val="single"/>
        </w:rPr>
      </w:pPr>
    </w:p>
    <w:p w:rsidR="00116DB6" w:rsidRPr="00382E05" w:rsidRDefault="00A2181D">
      <w:pPr>
        <w:jc w:val="center"/>
        <w:rPr>
          <w:rFonts w:ascii="Times New Roman" w:hAnsi="Times New Roman"/>
          <w:b/>
          <w:bCs/>
          <w:szCs w:val="24"/>
          <w:u w:val="single"/>
        </w:rPr>
      </w:pPr>
      <w:r w:rsidRPr="00382E05">
        <w:rPr>
          <w:rFonts w:ascii="Times New Roman" w:hAnsi="Times New Roman"/>
          <w:b/>
          <w:bCs/>
          <w:szCs w:val="24"/>
          <w:u w:val="single"/>
        </w:rPr>
        <w:t xml:space="preserve">EXPLANATORY </w:t>
      </w:r>
      <w:r w:rsidR="00797500" w:rsidRPr="00382E05">
        <w:rPr>
          <w:rFonts w:ascii="Times New Roman" w:hAnsi="Times New Roman"/>
          <w:b/>
          <w:bCs/>
          <w:szCs w:val="24"/>
          <w:u w:val="single"/>
        </w:rPr>
        <w:t>STATEMENT</w:t>
      </w:r>
    </w:p>
    <w:p w:rsidR="007E7E48" w:rsidRDefault="007E7E48" w:rsidP="00382E05">
      <w:pPr>
        <w:jc w:val="center"/>
        <w:rPr>
          <w:b/>
        </w:rPr>
      </w:pPr>
    </w:p>
    <w:p w:rsidR="00887C81" w:rsidRDefault="00887C81" w:rsidP="00887C81">
      <w:pPr>
        <w:jc w:val="center"/>
        <w:rPr>
          <w:rFonts w:ascii="Times New Roman" w:hAnsi="Times New Roman"/>
          <w:bCs/>
          <w:i/>
          <w:iCs/>
          <w:sz w:val="22"/>
          <w:szCs w:val="22"/>
        </w:rPr>
      </w:pPr>
      <w:r w:rsidRPr="00484D45">
        <w:rPr>
          <w:rFonts w:ascii="Times New Roman" w:hAnsi="Times New Roman"/>
          <w:bCs/>
          <w:i/>
          <w:iCs/>
          <w:sz w:val="22"/>
          <w:szCs w:val="22"/>
        </w:rPr>
        <w:t>Therapeutic Goods Act 1989</w:t>
      </w:r>
    </w:p>
    <w:p w:rsidR="00887C81" w:rsidRPr="00484D45" w:rsidRDefault="00887C81" w:rsidP="00887C81">
      <w:pPr>
        <w:jc w:val="center"/>
        <w:rPr>
          <w:rFonts w:ascii="Times New Roman" w:hAnsi="Times New Roman"/>
          <w:bCs/>
          <w:i/>
          <w:iCs/>
          <w:sz w:val="22"/>
          <w:szCs w:val="22"/>
        </w:rPr>
      </w:pPr>
    </w:p>
    <w:p w:rsidR="00B16CCB" w:rsidRPr="00382E05" w:rsidRDefault="00C061A8" w:rsidP="00B16CCB">
      <w:pPr>
        <w:jc w:val="center"/>
        <w:rPr>
          <w:rFonts w:ascii="Times New Roman" w:hAnsi="Times New Roman"/>
          <w:bCs/>
          <w:i/>
          <w:iCs/>
          <w:sz w:val="22"/>
          <w:szCs w:val="22"/>
        </w:rPr>
      </w:pPr>
      <w:r w:rsidRPr="00382E05">
        <w:rPr>
          <w:rFonts w:ascii="Times New Roman" w:hAnsi="Times New Roman"/>
          <w:bCs/>
          <w:i/>
          <w:iCs/>
          <w:sz w:val="22"/>
          <w:szCs w:val="22"/>
        </w:rPr>
        <w:t>Therapeutic Goods (</w:t>
      </w:r>
      <w:r w:rsidR="00210BD9" w:rsidRPr="00382E05">
        <w:rPr>
          <w:rFonts w:ascii="Times New Roman" w:hAnsi="Times New Roman"/>
          <w:bCs/>
          <w:i/>
          <w:iCs/>
          <w:sz w:val="22"/>
          <w:szCs w:val="22"/>
        </w:rPr>
        <w:t>Manufacturing Principles</w:t>
      </w:r>
      <w:r w:rsidRPr="00382E05">
        <w:rPr>
          <w:rFonts w:ascii="Times New Roman" w:hAnsi="Times New Roman"/>
          <w:bCs/>
          <w:i/>
          <w:iCs/>
          <w:sz w:val="22"/>
          <w:szCs w:val="22"/>
        </w:rPr>
        <w:t>)</w:t>
      </w:r>
      <w:r w:rsidR="00CB3F72" w:rsidRPr="00382E05">
        <w:rPr>
          <w:rFonts w:ascii="Times New Roman" w:hAnsi="Times New Roman"/>
          <w:bCs/>
          <w:i/>
          <w:iCs/>
          <w:sz w:val="22"/>
          <w:szCs w:val="22"/>
        </w:rPr>
        <w:t xml:space="preserve"> </w:t>
      </w:r>
      <w:r w:rsidR="00210BD9" w:rsidRPr="00382E05">
        <w:rPr>
          <w:rFonts w:ascii="Times New Roman" w:hAnsi="Times New Roman"/>
          <w:bCs/>
          <w:i/>
          <w:iCs/>
          <w:sz w:val="22"/>
          <w:szCs w:val="22"/>
        </w:rPr>
        <w:t xml:space="preserve">Determination </w:t>
      </w:r>
      <w:r w:rsidR="00536900" w:rsidRPr="00382E05">
        <w:rPr>
          <w:rFonts w:ascii="Times New Roman" w:hAnsi="Times New Roman"/>
          <w:bCs/>
          <w:i/>
          <w:iCs/>
          <w:sz w:val="22"/>
          <w:szCs w:val="22"/>
        </w:rPr>
        <w:t>2020</w:t>
      </w:r>
    </w:p>
    <w:p w:rsidR="00E7632E" w:rsidRPr="00382E05" w:rsidRDefault="00E7632E" w:rsidP="00E7632E">
      <w:pPr>
        <w:jc w:val="center"/>
        <w:rPr>
          <w:rFonts w:ascii="Times New Roman" w:hAnsi="Times New Roman"/>
          <w:bCs/>
          <w:i/>
          <w:iCs/>
          <w:sz w:val="22"/>
          <w:szCs w:val="22"/>
        </w:rPr>
      </w:pPr>
    </w:p>
    <w:p w:rsidR="00887C81" w:rsidRPr="00F6698B" w:rsidRDefault="00270F5B" w:rsidP="00887C81">
      <w:pPr>
        <w:shd w:val="clear" w:color="auto" w:fill="FFFFFF"/>
        <w:rPr>
          <w:rFonts w:ascii="Times New Roman" w:hAnsi="Times New Roman"/>
          <w:sz w:val="22"/>
          <w:szCs w:val="22"/>
        </w:rPr>
      </w:pPr>
      <w:r w:rsidRPr="00F6698B">
        <w:rPr>
          <w:rFonts w:ascii="Times New Roman" w:hAnsi="Times New Roman"/>
          <w:sz w:val="22"/>
          <w:szCs w:val="22"/>
        </w:rPr>
        <w:t xml:space="preserve">The </w:t>
      </w:r>
      <w:r w:rsidR="00660062" w:rsidRPr="00F6698B">
        <w:rPr>
          <w:rFonts w:ascii="Times New Roman" w:hAnsi="Times New Roman"/>
          <w:i/>
          <w:sz w:val="22"/>
          <w:szCs w:val="22"/>
        </w:rPr>
        <w:t>Therapeutic Goods Act 1989</w:t>
      </w:r>
      <w:r w:rsidR="00660062" w:rsidRPr="00F6698B">
        <w:rPr>
          <w:rFonts w:ascii="Times New Roman" w:hAnsi="Times New Roman"/>
          <w:sz w:val="22"/>
          <w:szCs w:val="22"/>
        </w:rPr>
        <w:t xml:space="preserve"> (</w:t>
      </w:r>
      <w:r w:rsidR="00887C81" w:rsidRPr="00F6698B">
        <w:rPr>
          <w:rFonts w:ascii="Times New Roman" w:hAnsi="Times New Roman"/>
          <w:sz w:val="22"/>
          <w:szCs w:val="22"/>
        </w:rPr>
        <w:t>“</w:t>
      </w:r>
      <w:r w:rsidR="00660062" w:rsidRPr="00F6698B">
        <w:rPr>
          <w:rFonts w:ascii="Times New Roman" w:hAnsi="Times New Roman"/>
          <w:sz w:val="22"/>
          <w:szCs w:val="22"/>
        </w:rPr>
        <w:t>the Act</w:t>
      </w:r>
      <w:r w:rsidR="00887C81" w:rsidRPr="00F6698B">
        <w:rPr>
          <w:rFonts w:ascii="Times New Roman" w:hAnsi="Times New Roman"/>
          <w:sz w:val="22"/>
          <w:szCs w:val="22"/>
        </w:rPr>
        <w:t>”</w:t>
      </w:r>
      <w:r w:rsidR="00660062" w:rsidRPr="00F6698B">
        <w:rPr>
          <w:rFonts w:ascii="Times New Roman" w:hAnsi="Times New Roman"/>
          <w:sz w:val="22"/>
          <w:szCs w:val="22"/>
        </w:rPr>
        <w:t>)</w:t>
      </w:r>
      <w:r w:rsidRPr="00F6698B">
        <w:rPr>
          <w:rFonts w:ascii="Times New Roman" w:hAnsi="Times New Roman"/>
          <w:sz w:val="22"/>
          <w:szCs w:val="22"/>
        </w:rPr>
        <w:t xml:space="preserve"> provides for the establishment and maintenance of a national system of controls for the quality, safety, efficacy and timely availability of therapeutic goods that are used in</w:t>
      </w:r>
      <w:r w:rsidR="00887C81" w:rsidRPr="00F6698B">
        <w:rPr>
          <w:rFonts w:ascii="Times New Roman" w:hAnsi="Times New Roman"/>
          <w:sz w:val="22"/>
          <w:szCs w:val="22"/>
        </w:rPr>
        <w:t>,</w:t>
      </w:r>
      <w:r w:rsidRPr="00F6698B">
        <w:rPr>
          <w:rFonts w:ascii="Times New Roman" w:hAnsi="Times New Roman"/>
          <w:sz w:val="22"/>
          <w:szCs w:val="22"/>
        </w:rPr>
        <w:t xml:space="preserve"> or exported from</w:t>
      </w:r>
      <w:r w:rsidR="00887C81" w:rsidRPr="00F6698B">
        <w:rPr>
          <w:rFonts w:ascii="Times New Roman" w:hAnsi="Times New Roman"/>
          <w:sz w:val="22"/>
          <w:szCs w:val="22"/>
        </w:rPr>
        <w:t>,</w:t>
      </w:r>
      <w:r w:rsidRPr="00F6698B">
        <w:rPr>
          <w:rFonts w:ascii="Times New Roman" w:hAnsi="Times New Roman"/>
          <w:sz w:val="22"/>
          <w:szCs w:val="22"/>
        </w:rPr>
        <w:t xml:space="preserve"> Australia.</w:t>
      </w:r>
      <w:r w:rsidR="00887C81" w:rsidRPr="00F6698B">
        <w:rPr>
          <w:rFonts w:ascii="Times New Roman" w:hAnsi="Times New Roman"/>
          <w:sz w:val="22"/>
          <w:szCs w:val="22"/>
        </w:rPr>
        <w:t xml:space="preserve"> </w:t>
      </w:r>
      <w:r w:rsidR="00467EED" w:rsidRPr="00F6698B">
        <w:rPr>
          <w:rFonts w:ascii="Times New Roman" w:hAnsi="Times New Roman"/>
          <w:sz w:val="22"/>
          <w:szCs w:val="22"/>
        </w:rPr>
        <w:t xml:space="preserve"> </w:t>
      </w:r>
      <w:r w:rsidR="00887C81" w:rsidRPr="00F6698B">
        <w:rPr>
          <w:rFonts w:ascii="Times New Roman" w:hAnsi="Times New Roman"/>
          <w:sz w:val="22"/>
          <w:szCs w:val="22"/>
        </w:rPr>
        <w:t>The Act is administered by the Therapeutic Goods Administration (“the TGA”), within the Department of Health.</w:t>
      </w:r>
    </w:p>
    <w:p w:rsidR="00887C81" w:rsidRPr="003C1CCD" w:rsidRDefault="00887C81" w:rsidP="00887C81">
      <w:pPr>
        <w:shd w:val="clear" w:color="auto" w:fill="FFFFFF"/>
        <w:rPr>
          <w:sz w:val="22"/>
          <w:szCs w:val="22"/>
        </w:rPr>
      </w:pPr>
    </w:p>
    <w:p w:rsidR="00467EED" w:rsidRPr="00F6698B" w:rsidRDefault="00467EED" w:rsidP="00382E05">
      <w:pPr>
        <w:rPr>
          <w:rFonts w:ascii="Times New Roman" w:hAnsi="Times New Roman"/>
          <w:sz w:val="22"/>
          <w:szCs w:val="22"/>
        </w:rPr>
      </w:pPr>
      <w:r w:rsidRPr="00F6698B">
        <w:rPr>
          <w:rFonts w:ascii="Times New Roman" w:hAnsi="Times New Roman"/>
          <w:sz w:val="22"/>
          <w:szCs w:val="22"/>
        </w:rPr>
        <w:t>Subsection 36(1) of the Act provides that the Minister may, from time to time, determine written principles to be observed in the manufacture of therapeutic goods for use in humans.  Subsection 36(4) of the Act provides that such manufacturing principles are legislative instruments.</w:t>
      </w:r>
    </w:p>
    <w:p w:rsidR="00467EED" w:rsidRPr="00F6698B" w:rsidRDefault="00467EED" w:rsidP="00467EED">
      <w:pPr>
        <w:pStyle w:val="ListParagraph"/>
        <w:autoSpaceDE w:val="0"/>
        <w:autoSpaceDN w:val="0"/>
        <w:adjustRightInd w:val="0"/>
        <w:spacing w:after="0"/>
        <w:ind w:left="0"/>
        <w:rPr>
          <w:sz w:val="22"/>
          <w:szCs w:val="22"/>
        </w:rPr>
      </w:pPr>
    </w:p>
    <w:p w:rsidR="005C3073" w:rsidRPr="00EA3D7E" w:rsidRDefault="005C3073" w:rsidP="00467EED">
      <w:pPr>
        <w:pStyle w:val="ListParagraph"/>
        <w:autoSpaceDE w:val="0"/>
        <w:autoSpaceDN w:val="0"/>
        <w:adjustRightInd w:val="0"/>
        <w:spacing w:after="0"/>
        <w:ind w:left="0"/>
        <w:rPr>
          <w:color w:val="000000"/>
          <w:sz w:val="22"/>
          <w:szCs w:val="22"/>
          <w:shd w:val="clear" w:color="auto" w:fill="FFFFFF"/>
        </w:rPr>
      </w:pPr>
      <w:r w:rsidRPr="00EA3D7E">
        <w:rPr>
          <w:color w:val="000000"/>
          <w:sz w:val="22"/>
          <w:szCs w:val="22"/>
          <w:shd w:val="clear" w:color="auto" w:fill="FFFFFF"/>
        </w:rPr>
        <w:t xml:space="preserve">Under subsection 36(2) of the Act, manufacturing principles may relate to any of the matters specified in paragraphs 36(2)(a) to (e), including the standards to be maintained and the equipment to be used at manufacturing premises, procedures for quality assurance and quality control and the manufacturing practices to be </w:t>
      </w:r>
      <w:r w:rsidR="00720A70" w:rsidRPr="00EA3D7E">
        <w:rPr>
          <w:color w:val="000000"/>
          <w:sz w:val="22"/>
          <w:szCs w:val="22"/>
          <w:shd w:val="clear" w:color="auto" w:fill="FFFFFF"/>
        </w:rPr>
        <w:t>employed in the manufacturing of</w:t>
      </w:r>
      <w:r w:rsidRPr="00EA3D7E">
        <w:rPr>
          <w:color w:val="000000"/>
          <w:sz w:val="22"/>
          <w:szCs w:val="22"/>
          <w:shd w:val="clear" w:color="auto" w:fill="FFFFFF"/>
        </w:rPr>
        <w:t xml:space="preserve"> therapeutic goods.</w:t>
      </w:r>
    </w:p>
    <w:p w:rsidR="005C3073" w:rsidRPr="00F6698B" w:rsidRDefault="005C3073" w:rsidP="00467EED">
      <w:pPr>
        <w:pStyle w:val="ListParagraph"/>
        <w:autoSpaceDE w:val="0"/>
        <w:autoSpaceDN w:val="0"/>
        <w:adjustRightInd w:val="0"/>
        <w:spacing w:after="0"/>
        <w:ind w:left="0"/>
        <w:rPr>
          <w:color w:val="000000"/>
          <w:sz w:val="22"/>
          <w:szCs w:val="22"/>
          <w:shd w:val="clear" w:color="auto" w:fill="FFFFFF"/>
        </w:rPr>
      </w:pPr>
    </w:p>
    <w:p w:rsidR="00467EED" w:rsidRPr="00F6698B" w:rsidRDefault="00467EED" w:rsidP="00467EED">
      <w:pPr>
        <w:pStyle w:val="ListParagraph"/>
        <w:autoSpaceDE w:val="0"/>
        <w:autoSpaceDN w:val="0"/>
        <w:adjustRightInd w:val="0"/>
        <w:spacing w:after="0"/>
        <w:ind w:left="0"/>
        <w:rPr>
          <w:sz w:val="22"/>
          <w:szCs w:val="22"/>
        </w:rPr>
      </w:pPr>
      <w:r w:rsidRPr="00F6698B">
        <w:rPr>
          <w:sz w:val="22"/>
          <w:szCs w:val="22"/>
        </w:rPr>
        <w:t xml:space="preserve">The </w:t>
      </w:r>
      <w:r w:rsidRPr="00F6698B">
        <w:rPr>
          <w:i/>
          <w:sz w:val="22"/>
          <w:szCs w:val="22"/>
        </w:rPr>
        <w:t>Therapeutic Goods (Manufacturing Principles)</w:t>
      </w:r>
      <w:r w:rsidRPr="00F6698B">
        <w:rPr>
          <w:sz w:val="22"/>
          <w:szCs w:val="22"/>
        </w:rPr>
        <w:t xml:space="preserve"> </w:t>
      </w:r>
      <w:r w:rsidRPr="00F6698B">
        <w:rPr>
          <w:i/>
          <w:sz w:val="22"/>
          <w:szCs w:val="22"/>
        </w:rPr>
        <w:t xml:space="preserve">Determination 2020 </w:t>
      </w:r>
      <w:r w:rsidRPr="00F6698B">
        <w:rPr>
          <w:sz w:val="22"/>
          <w:szCs w:val="22"/>
        </w:rPr>
        <w:t xml:space="preserve">(“the Determination”) </w:t>
      </w:r>
      <w:r w:rsidR="005C3073" w:rsidRPr="00F6698B">
        <w:rPr>
          <w:sz w:val="22"/>
          <w:szCs w:val="22"/>
        </w:rPr>
        <w:t>is an instrument made by a delegate of the Minister under subsection 36(1) of the Act</w:t>
      </w:r>
      <w:r w:rsidR="008F5BB5" w:rsidRPr="00F6698B">
        <w:rPr>
          <w:sz w:val="22"/>
          <w:szCs w:val="22"/>
        </w:rPr>
        <w:t xml:space="preserve"> for the purpose of determining written principles to be observed in the manufacture of therapeutic goods.</w:t>
      </w:r>
    </w:p>
    <w:p w:rsidR="00467EED" w:rsidRPr="00F6698B" w:rsidRDefault="00467EED" w:rsidP="00467EED">
      <w:pPr>
        <w:pStyle w:val="ListParagraph"/>
        <w:autoSpaceDE w:val="0"/>
        <w:autoSpaceDN w:val="0"/>
        <w:adjustRightInd w:val="0"/>
        <w:spacing w:after="0"/>
        <w:ind w:left="0"/>
        <w:rPr>
          <w:sz w:val="22"/>
          <w:szCs w:val="22"/>
        </w:rPr>
      </w:pPr>
    </w:p>
    <w:p w:rsidR="00601C1A" w:rsidRPr="00F6698B" w:rsidRDefault="002468D8" w:rsidP="00601C1A">
      <w:pPr>
        <w:autoSpaceDE w:val="0"/>
        <w:autoSpaceDN w:val="0"/>
        <w:adjustRightInd w:val="0"/>
        <w:rPr>
          <w:rFonts w:ascii="Times New Roman" w:hAnsi="Times New Roman"/>
          <w:color w:val="000000"/>
          <w:sz w:val="22"/>
          <w:szCs w:val="22"/>
        </w:rPr>
      </w:pPr>
      <w:r w:rsidRPr="00F6698B">
        <w:rPr>
          <w:rFonts w:ascii="Times New Roman" w:hAnsi="Times New Roman"/>
          <w:sz w:val="22"/>
          <w:szCs w:val="22"/>
        </w:rPr>
        <w:t xml:space="preserve">The </w:t>
      </w:r>
      <w:r w:rsidR="008F5BB5" w:rsidRPr="00F6698B">
        <w:rPr>
          <w:rFonts w:ascii="Times New Roman" w:hAnsi="Times New Roman"/>
          <w:sz w:val="22"/>
          <w:szCs w:val="22"/>
        </w:rPr>
        <w:t xml:space="preserve">Determination </w:t>
      </w:r>
      <w:r w:rsidR="00467EED" w:rsidRPr="00F6698B">
        <w:rPr>
          <w:rFonts w:ascii="Times New Roman" w:hAnsi="Times New Roman"/>
          <w:sz w:val="22"/>
          <w:szCs w:val="22"/>
        </w:rPr>
        <w:t>repeal</w:t>
      </w:r>
      <w:r w:rsidR="008F5BB5" w:rsidRPr="00F6698B">
        <w:rPr>
          <w:rFonts w:ascii="Times New Roman" w:hAnsi="Times New Roman"/>
          <w:sz w:val="22"/>
          <w:szCs w:val="22"/>
        </w:rPr>
        <w:t>s</w:t>
      </w:r>
      <w:r w:rsidR="00467EED" w:rsidRPr="00F6698B">
        <w:rPr>
          <w:rFonts w:ascii="Times New Roman" w:hAnsi="Times New Roman"/>
          <w:sz w:val="22"/>
          <w:szCs w:val="22"/>
        </w:rPr>
        <w:t xml:space="preserve"> and</w:t>
      </w:r>
      <w:r w:rsidR="00B90E79" w:rsidRPr="00F6698B">
        <w:rPr>
          <w:rFonts w:ascii="Times New Roman" w:hAnsi="Times New Roman"/>
          <w:color w:val="000000"/>
          <w:sz w:val="22"/>
          <w:szCs w:val="22"/>
        </w:rPr>
        <w:t xml:space="preserve"> replace</w:t>
      </w:r>
      <w:r w:rsidR="008F5BB5" w:rsidRPr="00F6698B">
        <w:rPr>
          <w:rFonts w:ascii="Times New Roman" w:hAnsi="Times New Roman"/>
          <w:color w:val="000000"/>
          <w:sz w:val="22"/>
          <w:szCs w:val="22"/>
        </w:rPr>
        <w:t>s</w:t>
      </w:r>
      <w:r w:rsidR="00B90E79" w:rsidRPr="00F6698B">
        <w:rPr>
          <w:rFonts w:ascii="Times New Roman" w:hAnsi="Times New Roman"/>
          <w:color w:val="000000"/>
          <w:sz w:val="22"/>
          <w:szCs w:val="22"/>
        </w:rPr>
        <w:t xml:space="preserve"> the</w:t>
      </w:r>
      <w:r w:rsidR="00797424" w:rsidRPr="00F6698B">
        <w:rPr>
          <w:rFonts w:ascii="Times New Roman" w:hAnsi="Times New Roman"/>
          <w:color w:val="000000"/>
          <w:sz w:val="22"/>
          <w:szCs w:val="22"/>
        </w:rPr>
        <w:t xml:space="preserve"> Therapeutic Goods (Manufacturing Principles) Determination 2018</w:t>
      </w:r>
      <w:r w:rsidR="00B90E79" w:rsidRPr="00F6698B">
        <w:rPr>
          <w:rFonts w:ascii="Times New Roman" w:hAnsi="Times New Roman"/>
          <w:color w:val="000000"/>
          <w:sz w:val="22"/>
          <w:szCs w:val="22"/>
        </w:rPr>
        <w:t xml:space="preserve"> </w:t>
      </w:r>
      <w:r w:rsidR="00797424" w:rsidRPr="00F6698B">
        <w:rPr>
          <w:rFonts w:ascii="Times New Roman" w:hAnsi="Times New Roman"/>
          <w:color w:val="000000"/>
          <w:sz w:val="22"/>
          <w:szCs w:val="22"/>
        </w:rPr>
        <w:t>(“the former Determination”)</w:t>
      </w:r>
      <w:r w:rsidR="00601C1A" w:rsidRPr="00F6698B">
        <w:rPr>
          <w:rFonts w:ascii="Times New Roman" w:hAnsi="Times New Roman"/>
          <w:color w:val="000000"/>
          <w:sz w:val="22"/>
          <w:szCs w:val="22"/>
        </w:rPr>
        <w:t xml:space="preserve"> and makes a small number of changes to the principles determined under the former Determination.  These changes are primarily:</w:t>
      </w:r>
    </w:p>
    <w:p w:rsidR="00601C1A" w:rsidRPr="00F6698B" w:rsidRDefault="00601C1A" w:rsidP="00601C1A">
      <w:pPr>
        <w:autoSpaceDE w:val="0"/>
        <w:autoSpaceDN w:val="0"/>
        <w:adjustRightInd w:val="0"/>
        <w:rPr>
          <w:rFonts w:ascii="Times New Roman" w:hAnsi="Times New Roman"/>
          <w:color w:val="000000"/>
          <w:sz w:val="22"/>
          <w:szCs w:val="22"/>
        </w:rPr>
      </w:pPr>
    </w:p>
    <w:p w:rsidR="00601C1A" w:rsidRPr="00F6698B" w:rsidRDefault="00601C1A" w:rsidP="00601C1A">
      <w:pPr>
        <w:numPr>
          <w:ilvl w:val="0"/>
          <w:numId w:val="22"/>
        </w:numPr>
        <w:autoSpaceDE w:val="0"/>
        <w:autoSpaceDN w:val="0"/>
        <w:adjustRightInd w:val="0"/>
        <w:rPr>
          <w:rFonts w:ascii="Times New Roman" w:hAnsi="Times New Roman"/>
          <w:color w:val="000000"/>
          <w:sz w:val="22"/>
          <w:szCs w:val="22"/>
        </w:rPr>
      </w:pPr>
      <w:r w:rsidRPr="00F6698B">
        <w:rPr>
          <w:rFonts w:ascii="Times New Roman" w:hAnsi="Times New Roman"/>
          <w:color w:val="000000"/>
          <w:sz w:val="22"/>
          <w:szCs w:val="22"/>
        </w:rPr>
        <w:t xml:space="preserve">to incorporate the most recent version of the </w:t>
      </w:r>
      <w:r w:rsidRPr="00F6698B">
        <w:rPr>
          <w:rFonts w:ascii="Times New Roman" w:hAnsi="Times New Roman"/>
          <w:i/>
          <w:color w:val="000000"/>
          <w:sz w:val="22"/>
          <w:szCs w:val="22"/>
        </w:rPr>
        <w:t>Guide to Good Manufacturing Practice for Medicinal Products</w:t>
      </w:r>
      <w:r w:rsidRPr="00F6698B">
        <w:rPr>
          <w:rFonts w:ascii="Times New Roman" w:hAnsi="Times New Roman"/>
          <w:color w:val="000000"/>
          <w:sz w:val="22"/>
          <w:szCs w:val="22"/>
        </w:rPr>
        <w:t xml:space="preserve"> (PE 009-14) (“PIC/S Guide to Good Manufacturing Practice”) published by the Pharmaceutical Inspection Co-operation Scheme (“PIC/S”) in July 2018; and</w:t>
      </w:r>
    </w:p>
    <w:p w:rsidR="00601C1A" w:rsidRPr="00F6698B" w:rsidRDefault="00601C1A" w:rsidP="00740E1B">
      <w:pPr>
        <w:autoSpaceDE w:val="0"/>
        <w:autoSpaceDN w:val="0"/>
        <w:adjustRightInd w:val="0"/>
        <w:ind w:left="720"/>
        <w:rPr>
          <w:rFonts w:ascii="Times New Roman" w:hAnsi="Times New Roman"/>
          <w:color w:val="000000"/>
          <w:sz w:val="22"/>
          <w:szCs w:val="22"/>
        </w:rPr>
      </w:pPr>
    </w:p>
    <w:p w:rsidR="00601C1A" w:rsidRPr="00F6698B" w:rsidRDefault="00601C1A" w:rsidP="00601C1A">
      <w:pPr>
        <w:numPr>
          <w:ilvl w:val="0"/>
          <w:numId w:val="22"/>
        </w:numPr>
        <w:autoSpaceDE w:val="0"/>
        <w:autoSpaceDN w:val="0"/>
        <w:adjustRightInd w:val="0"/>
        <w:rPr>
          <w:rFonts w:ascii="Times New Roman" w:hAnsi="Times New Roman"/>
          <w:color w:val="000000"/>
          <w:sz w:val="22"/>
          <w:szCs w:val="22"/>
        </w:rPr>
      </w:pPr>
      <w:r w:rsidRPr="00F6698B">
        <w:rPr>
          <w:rFonts w:ascii="Times New Roman" w:hAnsi="Times New Roman"/>
          <w:color w:val="000000"/>
          <w:sz w:val="22"/>
          <w:szCs w:val="22"/>
        </w:rPr>
        <w:t xml:space="preserve">to remove the provisions relating to therapeutic devices, as this category of therapeutic goods is now superseded (goods formerly included in this category are now regulated as other therapeutic goods or medical devices, following the introduction of a specific regulatory regime by the </w:t>
      </w:r>
      <w:r w:rsidRPr="00F6698B">
        <w:rPr>
          <w:rFonts w:ascii="Times New Roman" w:hAnsi="Times New Roman"/>
          <w:i/>
          <w:color w:val="000000"/>
          <w:sz w:val="22"/>
          <w:szCs w:val="22"/>
        </w:rPr>
        <w:t>Therapeutic Goods Amendment (Medical Devices) Act 2002</w:t>
      </w:r>
      <w:r w:rsidRPr="00F6698B">
        <w:rPr>
          <w:rFonts w:ascii="Times New Roman" w:hAnsi="Times New Roman"/>
          <w:color w:val="000000"/>
          <w:sz w:val="22"/>
          <w:szCs w:val="22"/>
        </w:rPr>
        <w:t xml:space="preserve"> and the conclusion of the transitional arrangements under that Act in 2007).</w:t>
      </w:r>
    </w:p>
    <w:p w:rsidR="00601C1A" w:rsidRPr="00F6698B" w:rsidRDefault="00601C1A" w:rsidP="00303B8B">
      <w:pPr>
        <w:autoSpaceDE w:val="0"/>
        <w:autoSpaceDN w:val="0"/>
        <w:adjustRightInd w:val="0"/>
        <w:rPr>
          <w:rFonts w:ascii="Times New Roman" w:hAnsi="Times New Roman"/>
          <w:color w:val="000000"/>
          <w:sz w:val="22"/>
          <w:szCs w:val="22"/>
        </w:rPr>
      </w:pPr>
    </w:p>
    <w:p w:rsidR="006464B2" w:rsidRPr="00F6698B" w:rsidRDefault="0079662B" w:rsidP="008A3FEF">
      <w:pPr>
        <w:autoSpaceDE w:val="0"/>
        <w:autoSpaceDN w:val="0"/>
        <w:adjustRightInd w:val="0"/>
        <w:rPr>
          <w:rFonts w:ascii="Times New Roman" w:hAnsi="Times New Roman"/>
          <w:b/>
          <w:sz w:val="22"/>
          <w:szCs w:val="22"/>
        </w:rPr>
      </w:pPr>
      <w:r w:rsidRPr="00F6698B">
        <w:rPr>
          <w:rFonts w:ascii="Times New Roman" w:hAnsi="Times New Roman"/>
          <w:b/>
          <w:color w:val="000000"/>
          <w:sz w:val="22"/>
          <w:szCs w:val="22"/>
        </w:rPr>
        <w:t>Background</w:t>
      </w:r>
    </w:p>
    <w:p w:rsidR="00E46FD1" w:rsidRPr="00F6698B" w:rsidRDefault="00E46FD1" w:rsidP="0079662B">
      <w:pPr>
        <w:rPr>
          <w:rFonts w:ascii="Times New Roman" w:hAnsi="Times New Roman"/>
          <w:sz w:val="22"/>
          <w:szCs w:val="22"/>
        </w:rPr>
      </w:pPr>
    </w:p>
    <w:p w:rsidR="0079662B" w:rsidRPr="00F6698B" w:rsidRDefault="0079662B" w:rsidP="0079662B">
      <w:pPr>
        <w:rPr>
          <w:rFonts w:ascii="Times New Roman" w:hAnsi="Times New Roman"/>
          <w:sz w:val="22"/>
          <w:szCs w:val="22"/>
        </w:rPr>
      </w:pPr>
      <w:r w:rsidRPr="00F6698B">
        <w:rPr>
          <w:rFonts w:ascii="Times New Roman" w:hAnsi="Times New Roman"/>
          <w:sz w:val="22"/>
          <w:szCs w:val="22"/>
        </w:rPr>
        <w:t>Part 3-3 of the Act sets out requirements relating to the manufacture of therapeutic goods other than medical devices, Class 1 biologicals</w:t>
      </w:r>
      <w:r w:rsidR="007A2C42" w:rsidRPr="00F6698B">
        <w:rPr>
          <w:rFonts w:ascii="Times New Roman" w:hAnsi="Times New Roman"/>
          <w:sz w:val="22"/>
          <w:szCs w:val="22"/>
        </w:rPr>
        <w:t>,</w:t>
      </w:r>
      <w:r w:rsidRPr="00F6698B">
        <w:rPr>
          <w:rFonts w:ascii="Times New Roman" w:hAnsi="Times New Roman"/>
          <w:sz w:val="22"/>
          <w:szCs w:val="22"/>
        </w:rPr>
        <w:t xml:space="preserve"> or </w:t>
      </w:r>
      <w:r w:rsidR="00A067D7" w:rsidRPr="00F6698B">
        <w:rPr>
          <w:rFonts w:ascii="Times New Roman" w:hAnsi="Times New Roman"/>
          <w:sz w:val="22"/>
          <w:szCs w:val="22"/>
        </w:rPr>
        <w:t xml:space="preserve">goods or </w:t>
      </w:r>
      <w:r w:rsidRPr="00F6698B">
        <w:rPr>
          <w:rFonts w:ascii="Times New Roman" w:hAnsi="Times New Roman"/>
          <w:sz w:val="22"/>
          <w:szCs w:val="22"/>
        </w:rPr>
        <w:t>persons</w:t>
      </w:r>
      <w:r w:rsidR="00B62013" w:rsidRPr="00F6698B">
        <w:rPr>
          <w:rFonts w:ascii="Times New Roman" w:hAnsi="Times New Roman"/>
          <w:sz w:val="22"/>
          <w:szCs w:val="22"/>
        </w:rPr>
        <w:t xml:space="preserve"> </w:t>
      </w:r>
      <w:r w:rsidRPr="00F6698B">
        <w:rPr>
          <w:rFonts w:ascii="Times New Roman" w:hAnsi="Times New Roman"/>
          <w:sz w:val="22"/>
          <w:szCs w:val="22"/>
        </w:rPr>
        <w:t xml:space="preserve">exempt from the operation of </w:t>
      </w:r>
      <w:r w:rsidR="00A067D7" w:rsidRPr="00F6698B">
        <w:rPr>
          <w:rFonts w:ascii="Times New Roman" w:hAnsi="Times New Roman"/>
          <w:sz w:val="22"/>
          <w:szCs w:val="22"/>
        </w:rPr>
        <w:t xml:space="preserve">that </w:t>
      </w:r>
      <w:r w:rsidRPr="00F6698B">
        <w:rPr>
          <w:rFonts w:ascii="Times New Roman" w:hAnsi="Times New Roman"/>
          <w:sz w:val="22"/>
          <w:szCs w:val="22"/>
        </w:rPr>
        <w:t>Part by regulations made for the purposes of section 34 of the Act.</w:t>
      </w:r>
    </w:p>
    <w:p w:rsidR="0079662B" w:rsidRPr="00F6698B" w:rsidRDefault="0079662B" w:rsidP="002A36EE">
      <w:pPr>
        <w:pStyle w:val="ListParagraph"/>
        <w:autoSpaceDE w:val="0"/>
        <w:autoSpaceDN w:val="0"/>
        <w:adjustRightInd w:val="0"/>
        <w:spacing w:after="0"/>
        <w:ind w:left="0"/>
        <w:rPr>
          <w:sz w:val="22"/>
          <w:szCs w:val="22"/>
        </w:rPr>
      </w:pPr>
    </w:p>
    <w:p w:rsidR="00A067D7" w:rsidRPr="00F6698B" w:rsidRDefault="003754E0" w:rsidP="00A067D7">
      <w:pPr>
        <w:rPr>
          <w:rFonts w:ascii="Times New Roman" w:hAnsi="Times New Roman"/>
          <w:sz w:val="22"/>
          <w:szCs w:val="22"/>
        </w:rPr>
      </w:pPr>
      <w:r w:rsidRPr="00F6698B">
        <w:rPr>
          <w:rFonts w:ascii="Times New Roman" w:hAnsi="Times New Roman"/>
          <w:sz w:val="22"/>
          <w:szCs w:val="22"/>
        </w:rPr>
        <w:t xml:space="preserve">Part 3-3 contains criminal offences and civil penalty provisions that apply where a person carries out, at premises in Australia, a step in the manufacture of therapeutic goods and the person does not have a licence issued under Part 3-3 </w:t>
      </w:r>
      <w:r w:rsidR="001D6662" w:rsidRPr="00F6698B">
        <w:rPr>
          <w:rFonts w:ascii="Times New Roman" w:hAnsi="Times New Roman"/>
          <w:sz w:val="22"/>
          <w:szCs w:val="22"/>
        </w:rPr>
        <w:t>(</w:t>
      </w:r>
      <w:r w:rsidRPr="00F6698B">
        <w:rPr>
          <w:rFonts w:ascii="Times New Roman" w:hAnsi="Times New Roman"/>
          <w:sz w:val="22"/>
          <w:szCs w:val="22"/>
        </w:rPr>
        <w:t>or the person, or the goods involved, are not exempt from the operation of that Part under section 34 of the Act</w:t>
      </w:r>
      <w:r w:rsidR="001D6662" w:rsidRPr="00F6698B">
        <w:rPr>
          <w:rFonts w:ascii="Times New Roman" w:hAnsi="Times New Roman"/>
          <w:sz w:val="22"/>
          <w:szCs w:val="22"/>
        </w:rPr>
        <w:t>)</w:t>
      </w:r>
      <w:r w:rsidRPr="00F6698B">
        <w:rPr>
          <w:rFonts w:ascii="Times New Roman" w:hAnsi="Times New Roman"/>
          <w:sz w:val="22"/>
          <w:szCs w:val="22"/>
        </w:rPr>
        <w:t>.</w:t>
      </w:r>
    </w:p>
    <w:p w:rsidR="002A36EE" w:rsidRPr="00F6698B" w:rsidRDefault="002A36EE" w:rsidP="002A36EE">
      <w:pPr>
        <w:pStyle w:val="ListParagraph"/>
        <w:autoSpaceDE w:val="0"/>
        <w:autoSpaceDN w:val="0"/>
        <w:adjustRightInd w:val="0"/>
        <w:spacing w:after="0"/>
        <w:ind w:left="0"/>
        <w:rPr>
          <w:sz w:val="22"/>
          <w:szCs w:val="22"/>
        </w:rPr>
      </w:pPr>
    </w:p>
    <w:p w:rsidR="002A36EE" w:rsidRPr="00F6698B" w:rsidRDefault="002A36EE" w:rsidP="002A36EE">
      <w:pPr>
        <w:pStyle w:val="ListParagraph"/>
        <w:autoSpaceDE w:val="0"/>
        <w:autoSpaceDN w:val="0"/>
        <w:adjustRightInd w:val="0"/>
        <w:spacing w:after="0"/>
        <w:ind w:left="0"/>
        <w:rPr>
          <w:sz w:val="22"/>
          <w:szCs w:val="22"/>
        </w:rPr>
      </w:pPr>
      <w:r w:rsidRPr="00F6698B">
        <w:rPr>
          <w:sz w:val="22"/>
          <w:szCs w:val="22"/>
        </w:rPr>
        <w:t xml:space="preserve">It is a condition of each manufacturing licence that </w:t>
      </w:r>
      <w:r w:rsidR="00A067D7" w:rsidRPr="00F6698B">
        <w:rPr>
          <w:sz w:val="22"/>
          <w:szCs w:val="22"/>
        </w:rPr>
        <w:t xml:space="preserve">a </w:t>
      </w:r>
      <w:r w:rsidRPr="00F6698B">
        <w:rPr>
          <w:sz w:val="22"/>
          <w:szCs w:val="22"/>
        </w:rPr>
        <w:t>manufacturer</w:t>
      </w:r>
      <w:r w:rsidR="00293398" w:rsidRPr="00F6698B">
        <w:rPr>
          <w:sz w:val="22"/>
          <w:szCs w:val="22"/>
        </w:rPr>
        <w:t xml:space="preserve"> of therapeutic goods complies</w:t>
      </w:r>
      <w:r w:rsidRPr="00F6698B">
        <w:rPr>
          <w:sz w:val="22"/>
          <w:szCs w:val="22"/>
        </w:rPr>
        <w:t xml:space="preserve"> with the manufacturing principles (subparagraph 40(4</w:t>
      </w:r>
      <w:proofErr w:type="gramStart"/>
      <w:r w:rsidRPr="00F6698B">
        <w:rPr>
          <w:sz w:val="22"/>
          <w:szCs w:val="22"/>
        </w:rPr>
        <w:t>)(</w:t>
      </w:r>
      <w:proofErr w:type="gramEnd"/>
      <w:r w:rsidRPr="00F6698B">
        <w:rPr>
          <w:sz w:val="22"/>
          <w:szCs w:val="22"/>
        </w:rPr>
        <w:t>a)(ii) of the Act</w:t>
      </w:r>
      <w:r w:rsidR="00601C1A" w:rsidRPr="00F6698B">
        <w:rPr>
          <w:sz w:val="22"/>
          <w:szCs w:val="22"/>
        </w:rPr>
        <w:t xml:space="preserve"> refers</w:t>
      </w:r>
      <w:r w:rsidRPr="00F6698B">
        <w:rPr>
          <w:sz w:val="22"/>
          <w:szCs w:val="22"/>
        </w:rPr>
        <w:t>)</w:t>
      </w:r>
      <w:r w:rsidR="001C57F8" w:rsidRPr="00F6698B">
        <w:rPr>
          <w:sz w:val="22"/>
          <w:szCs w:val="22"/>
        </w:rPr>
        <w:t xml:space="preserve">.  If the </w:t>
      </w:r>
      <w:r w:rsidRPr="00F6698B">
        <w:rPr>
          <w:sz w:val="22"/>
          <w:szCs w:val="22"/>
        </w:rPr>
        <w:t>holder of a manufacturing licence breaches this or any other condition</w:t>
      </w:r>
      <w:r w:rsidR="00B62013" w:rsidRPr="00F6698B">
        <w:rPr>
          <w:sz w:val="22"/>
          <w:szCs w:val="22"/>
        </w:rPr>
        <w:t xml:space="preserve"> of the licence,</w:t>
      </w:r>
      <w:r w:rsidRPr="00F6698B">
        <w:rPr>
          <w:sz w:val="22"/>
          <w:szCs w:val="22"/>
        </w:rPr>
        <w:t xml:space="preserve"> the </w:t>
      </w:r>
      <w:r w:rsidR="001C57F8" w:rsidRPr="00F6698B">
        <w:rPr>
          <w:sz w:val="22"/>
          <w:szCs w:val="22"/>
        </w:rPr>
        <w:t xml:space="preserve">Secretary </w:t>
      </w:r>
      <w:r w:rsidR="00B62013" w:rsidRPr="00F6698B">
        <w:rPr>
          <w:sz w:val="22"/>
          <w:szCs w:val="22"/>
        </w:rPr>
        <w:t>may</w:t>
      </w:r>
      <w:r w:rsidR="001C57F8" w:rsidRPr="00F6698B">
        <w:rPr>
          <w:sz w:val="22"/>
          <w:szCs w:val="22"/>
        </w:rPr>
        <w:t xml:space="preserve"> suspend or revoke the </w:t>
      </w:r>
      <w:r w:rsidRPr="00F6698B">
        <w:rPr>
          <w:sz w:val="22"/>
          <w:szCs w:val="22"/>
        </w:rPr>
        <w:t>licence (</w:t>
      </w:r>
      <w:r w:rsidR="001C57F8" w:rsidRPr="00F6698B">
        <w:rPr>
          <w:sz w:val="22"/>
          <w:szCs w:val="22"/>
        </w:rPr>
        <w:t>sub</w:t>
      </w:r>
      <w:r w:rsidRPr="00F6698B">
        <w:rPr>
          <w:sz w:val="22"/>
          <w:szCs w:val="22"/>
        </w:rPr>
        <w:t>paragraph 41(1</w:t>
      </w:r>
      <w:proofErr w:type="gramStart"/>
      <w:r w:rsidRPr="00F6698B">
        <w:rPr>
          <w:sz w:val="22"/>
          <w:szCs w:val="22"/>
        </w:rPr>
        <w:t>)(</w:t>
      </w:r>
      <w:proofErr w:type="gramEnd"/>
      <w:r w:rsidRPr="00F6698B">
        <w:rPr>
          <w:sz w:val="22"/>
          <w:szCs w:val="22"/>
        </w:rPr>
        <w:t>a)(viii) of the Act</w:t>
      </w:r>
      <w:r w:rsidR="00601C1A" w:rsidRPr="00F6698B">
        <w:rPr>
          <w:sz w:val="22"/>
          <w:szCs w:val="22"/>
        </w:rPr>
        <w:t xml:space="preserve"> refers</w:t>
      </w:r>
      <w:r w:rsidRPr="00F6698B">
        <w:rPr>
          <w:sz w:val="22"/>
          <w:szCs w:val="22"/>
        </w:rPr>
        <w:t xml:space="preserve">). </w:t>
      </w:r>
      <w:r w:rsidR="001D6662" w:rsidRPr="00F6698B">
        <w:rPr>
          <w:sz w:val="22"/>
          <w:szCs w:val="22"/>
        </w:rPr>
        <w:t xml:space="preserve"> </w:t>
      </w:r>
      <w:r w:rsidRPr="00F6698B">
        <w:rPr>
          <w:sz w:val="22"/>
          <w:szCs w:val="22"/>
        </w:rPr>
        <w:t xml:space="preserve">The Secretary </w:t>
      </w:r>
      <w:r w:rsidR="001C57F8" w:rsidRPr="00F6698B">
        <w:rPr>
          <w:sz w:val="22"/>
          <w:szCs w:val="22"/>
        </w:rPr>
        <w:t xml:space="preserve">can </w:t>
      </w:r>
      <w:r w:rsidRPr="00F6698B">
        <w:rPr>
          <w:sz w:val="22"/>
          <w:szCs w:val="22"/>
        </w:rPr>
        <w:lastRenderedPageBreak/>
        <w:t>also refuse to grant a manufacturing licence if satisfied that the applicant for the licence will be unable to comply with the manufacturing principles (paragraph 38(1</w:t>
      </w:r>
      <w:proofErr w:type="gramStart"/>
      <w:r w:rsidRPr="00F6698B">
        <w:rPr>
          <w:sz w:val="22"/>
          <w:szCs w:val="22"/>
        </w:rPr>
        <w:t>)(</w:t>
      </w:r>
      <w:proofErr w:type="gramEnd"/>
      <w:r w:rsidRPr="00F6698B">
        <w:rPr>
          <w:sz w:val="22"/>
          <w:szCs w:val="22"/>
        </w:rPr>
        <w:t>e) of the Act</w:t>
      </w:r>
      <w:r w:rsidR="00601C1A" w:rsidRPr="00F6698B">
        <w:rPr>
          <w:sz w:val="22"/>
          <w:szCs w:val="22"/>
        </w:rPr>
        <w:t xml:space="preserve"> refers</w:t>
      </w:r>
      <w:r w:rsidRPr="00F6698B">
        <w:rPr>
          <w:sz w:val="22"/>
          <w:szCs w:val="22"/>
        </w:rPr>
        <w:t>).</w:t>
      </w:r>
    </w:p>
    <w:p w:rsidR="002A36EE" w:rsidRPr="00F6698B" w:rsidRDefault="002A36EE" w:rsidP="002A36EE">
      <w:pPr>
        <w:pStyle w:val="ListParagraph"/>
        <w:autoSpaceDE w:val="0"/>
        <w:autoSpaceDN w:val="0"/>
        <w:adjustRightInd w:val="0"/>
        <w:spacing w:after="0"/>
        <w:ind w:left="0"/>
        <w:rPr>
          <w:sz w:val="22"/>
          <w:szCs w:val="22"/>
        </w:rPr>
      </w:pPr>
    </w:p>
    <w:p w:rsidR="00293398" w:rsidRPr="00F6698B" w:rsidRDefault="003754E0" w:rsidP="00740E1B">
      <w:pPr>
        <w:pStyle w:val="ListParagraph"/>
        <w:autoSpaceDE w:val="0"/>
        <w:autoSpaceDN w:val="0"/>
        <w:adjustRightInd w:val="0"/>
        <w:spacing w:after="0"/>
        <w:ind w:left="0"/>
        <w:rPr>
          <w:sz w:val="22"/>
          <w:szCs w:val="22"/>
        </w:rPr>
      </w:pPr>
      <w:r w:rsidRPr="00F6698B">
        <w:rPr>
          <w:sz w:val="22"/>
          <w:szCs w:val="22"/>
        </w:rPr>
        <w:t xml:space="preserve">The manufacturing principles set out the minimum requirements </w:t>
      </w:r>
      <w:r w:rsidR="00293398" w:rsidRPr="00F6698B">
        <w:rPr>
          <w:sz w:val="22"/>
          <w:szCs w:val="22"/>
        </w:rPr>
        <w:t xml:space="preserve">that are </w:t>
      </w:r>
      <w:r w:rsidRPr="00F6698B">
        <w:rPr>
          <w:sz w:val="22"/>
          <w:szCs w:val="22"/>
        </w:rPr>
        <w:t xml:space="preserve">to be observed in the manufacture of therapeutic goods </w:t>
      </w:r>
      <w:r w:rsidR="00293398" w:rsidRPr="00F6698B">
        <w:rPr>
          <w:sz w:val="22"/>
          <w:szCs w:val="22"/>
        </w:rPr>
        <w:t>(</w:t>
      </w:r>
      <w:r w:rsidRPr="00F6698B">
        <w:rPr>
          <w:sz w:val="22"/>
          <w:szCs w:val="22"/>
        </w:rPr>
        <w:t>other than medical devices</w:t>
      </w:r>
      <w:r w:rsidR="00293398" w:rsidRPr="00F6698B">
        <w:rPr>
          <w:sz w:val="22"/>
          <w:szCs w:val="22"/>
        </w:rPr>
        <w:t>)</w:t>
      </w:r>
      <w:r w:rsidRPr="00F6698B">
        <w:rPr>
          <w:sz w:val="22"/>
          <w:szCs w:val="22"/>
        </w:rPr>
        <w:t>, to ensure that therapeutic goods are produced to a high quality.</w:t>
      </w:r>
      <w:r w:rsidR="00223D5D" w:rsidRPr="00F6698B">
        <w:rPr>
          <w:sz w:val="22"/>
          <w:szCs w:val="22"/>
        </w:rPr>
        <w:t xml:space="preserve">  </w:t>
      </w:r>
      <w:r w:rsidR="003944E1" w:rsidRPr="00F6698B">
        <w:rPr>
          <w:sz w:val="22"/>
          <w:szCs w:val="22"/>
        </w:rPr>
        <w:t>The Determination</w:t>
      </w:r>
      <w:r w:rsidR="00B76E15" w:rsidRPr="00F6698B">
        <w:rPr>
          <w:sz w:val="22"/>
          <w:szCs w:val="22"/>
        </w:rPr>
        <w:t xml:space="preserve"> separately</w:t>
      </w:r>
      <w:r w:rsidR="00B4153C" w:rsidRPr="00F6698B">
        <w:rPr>
          <w:sz w:val="22"/>
          <w:szCs w:val="22"/>
        </w:rPr>
        <w:t xml:space="preserve"> </w:t>
      </w:r>
      <w:r w:rsidR="00293398" w:rsidRPr="00F6698B">
        <w:rPr>
          <w:sz w:val="22"/>
          <w:szCs w:val="22"/>
        </w:rPr>
        <w:t>specifies the principles</w:t>
      </w:r>
      <w:r w:rsidR="00223D5D" w:rsidRPr="00F6698B">
        <w:rPr>
          <w:sz w:val="22"/>
          <w:szCs w:val="22"/>
        </w:rPr>
        <w:t xml:space="preserve"> to be observed</w:t>
      </w:r>
      <w:r w:rsidR="00293398" w:rsidRPr="00F6698B">
        <w:rPr>
          <w:sz w:val="22"/>
          <w:szCs w:val="22"/>
        </w:rPr>
        <w:t xml:space="preserve"> </w:t>
      </w:r>
      <w:r w:rsidR="00223D5D" w:rsidRPr="00F6698B">
        <w:rPr>
          <w:sz w:val="22"/>
          <w:szCs w:val="22"/>
        </w:rPr>
        <w:t xml:space="preserve">in relation to the manufacture of the </w:t>
      </w:r>
      <w:r w:rsidR="00B76E15" w:rsidRPr="00F6698B">
        <w:rPr>
          <w:sz w:val="22"/>
          <w:szCs w:val="22"/>
        </w:rPr>
        <w:t>following</w:t>
      </w:r>
      <w:r w:rsidR="00223D5D" w:rsidRPr="00F6698B">
        <w:rPr>
          <w:sz w:val="22"/>
          <w:szCs w:val="22"/>
        </w:rPr>
        <w:t xml:space="preserve"> </w:t>
      </w:r>
      <w:r w:rsidR="00293398" w:rsidRPr="00F6698B">
        <w:rPr>
          <w:sz w:val="22"/>
          <w:szCs w:val="22"/>
        </w:rPr>
        <w:t>therapeutic goods</w:t>
      </w:r>
      <w:r w:rsidR="00B76E15" w:rsidRPr="00F6698B">
        <w:rPr>
          <w:sz w:val="22"/>
          <w:szCs w:val="22"/>
        </w:rPr>
        <w:t>:</w:t>
      </w:r>
    </w:p>
    <w:p w:rsidR="001E4A9A" w:rsidRPr="00F6698B" w:rsidRDefault="001E4A9A" w:rsidP="00740E1B">
      <w:pPr>
        <w:pStyle w:val="ListParagraph"/>
        <w:autoSpaceDE w:val="0"/>
        <w:autoSpaceDN w:val="0"/>
        <w:adjustRightInd w:val="0"/>
        <w:spacing w:after="0"/>
        <w:ind w:left="0"/>
        <w:rPr>
          <w:sz w:val="22"/>
          <w:szCs w:val="22"/>
        </w:rPr>
      </w:pPr>
    </w:p>
    <w:p w:rsidR="009A27AF" w:rsidRPr="00F6698B" w:rsidRDefault="00CB38C8" w:rsidP="00740E1B">
      <w:pPr>
        <w:numPr>
          <w:ilvl w:val="0"/>
          <w:numId w:val="22"/>
        </w:numPr>
        <w:autoSpaceDE w:val="0"/>
        <w:autoSpaceDN w:val="0"/>
        <w:adjustRightInd w:val="0"/>
        <w:rPr>
          <w:rFonts w:ascii="Times New Roman" w:hAnsi="Times New Roman"/>
          <w:color w:val="000000"/>
          <w:sz w:val="22"/>
          <w:szCs w:val="22"/>
        </w:rPr>
      </w:pPr>
      <w:r w:rsidRPr="00F6698B">
        <w:rPr>
          <w:rFonts w:ascii="Times New Roman" w:hAnsi="Times New Roman"/>
          <w:color w:val="000000"/>
          <w:sz w:val="22"/>
          <w:szCs w:val="22"/>
        </w:rPr>
        <w:t xml:space="preserve">registered </w:t>
      </w:r>
      <w:r w:rsidR="00B76E15" w:rsidRPr="00F6698B">
        <w:rPr>
          <w:rFonts w:ascii="Times New Roman" w:hAnsi="Times New Roman"/>
          <w:color w:val="000000"/>
          <w:sz w:val="22"/>
          <w:szCs w:val="22"/>
        </w:rPr>
        <w:t>and</w:t>
      </w:r>
      <w:r w:rsidRPr="00F6698B">
        <w:rPr>
          <w:rFonts w:ascii="Times New Roman" w:hAnsi="Times New Roman"/>
          <w:color w:val="000000"/>
          <w:sz w:val="22"/>
          <w:szCs w:val="22"/>
        </w:rPr>
        <w:t xml:space="preserve"> listed </w:t>
      </w:r>
      <w:r w:rsidR="00B4153C" w:rsidRPr="00F6698B">
        <w:rPr>
          <w:rFonts w:ascii="Times New Roman" w:hAnsi="Times New Roman"/>
          <w:color w:val="000000"/>
          <w:sz w:val="22"/>
          <w:szCs w:val="22"/>
        </w:rPr>
        <w:t>therapeutic goods</w:t>
      </w:r>
      <w:r w:rsidR="009A27AF" w:rsidRPr="00F6698B">
        <w:rPr>
          <w:rFonts w:ascii="Times New Roman" w:hAnsi="Times New Roman"/>
          <w:color w:val="000000"/>
          <w:sz w:val="22"/>
          <w:szCs w:val="22"/>
        </w:rPr>
        <w:t xml:space="preserve"> (principally, these are medicines</w:t>
      </w:r>
      <w:r w:rsidR="009C7639" w:rsidRPr="00F6698B">
        <w:rPr>
          <w:rFonts w:ascii="Times New Roman" w:hAnsi="Times New Roman"/>
          <w:color w:val="000000"/>
          <w:sz w:val="22"/>
          <w:szCs w:val="22"/>
        </w:rPr>
        <w:t>, active pharmaceutical ingredients and sunscreens</w:t>
      </w:r>
      <w:r w:rsidR="009A27AF" w:rsidRPr="00F6698B">
        <w:rPr>
          <w:rFonts w:ascii="Times New Roman" w:hAnsi="Times New Roman"/>
          <w:color w:val="000000"/>
          <w:sz w:val="22"/>
          <w:szCs w:val="22"/>
        </w:rPr>
        <w:t>), and biologicals that comprise or contain live animal cells, tissues or organs;</w:t>
      </w:r>
    </w:p>
    <w:p w:rsidR="001E4A9A" w:rsidRPr="00F6698B" w:rsidRDefault="001E4A9A" w:rsidP="00740E1B">
      <w:pPr>
        <w:autoSpaceDE w:val="0"/>
        <w:autoSpaceDN w:val="0"/>
        <w:adjustRightInd w:val="0"/>
        <w:ind w:left="720"/>
        <w:rPr>
          <w:rFonts w:ascii="Times New Roman" w:hAnsi="Times New Roman"/>
          <w:color w:val="000000"/>
          <w:sz w:val="22"/>
          <w:szCs w:val="22"/>
        </w:rPr>
      </w:pPr>
    </w:p>
    <w:p w:rsidR="009A27AF" w:rsidRPr="00F6698B" w:rsidRDefault="009A27AF" w:rsidP="00740E1B">
      <w:pPr>
        <w:numPr>
          <w:ilvl w:val="0"/>
          <w:numId w:val="22"/>
        </w:numPr>
        <w:autoSpaceDE w:val="0"/>
        <w:autoSpaceDN w:val="0"/>
        <w:adjustRightInd w:val="0"/>
        <w:rPr>
          <w:rFonts w:ascii="Times New Roman" w:hAnsi="Times New Roman"/>
          <w:color w:val="000000"/>
          <w:sz w:val="22"/>
          <w:szCs w:val="22"/>
        </w:rPr>
      </w:pPr>
      <w:proofErr w:type="gramStart"/>
      <w:r w:rsidRPr="00F6698B">
        <w:rPr>
          <w:rFonts w:ascii="Times New Roman" w:hAnsi="Times New Roman"/>
          <w:color w:val="000000"/>
          <w:sz w:val="22"/>
          <w:szCs w:val="22"/>
        </w:rPr>
        <w:t>b</w:t>
      </w:r>
      <w:r w:rsidR="00B4153C" w:rsidRPr="00F6698B">
        <w:rPr>
          <w:rFonts w:ascii="Times New Roman" w:hAnsi="Times New Roman"/>
          <w:color w:val="000000"/>
          <w:sz w:val="22"/>
          <w:szCs w:val="22"/>
        </w:rPr>
        <w:t>lood</w:t>
      </w:r>
      <w:proofErr w:type="gramEnd"/>
      <w:r w:rsidR="00B4153C" w:rsidRPr="00F6698B">
        <w:rPr>
          <w:rFonts w:ascii="Times New Roman" w:hAnsi="Times New Roman"/>
          <w:color w:val="000000"/>
          <w:sz w:val="22"/>
          <w:szCs w:val="22"/>
        </w:rPr>
        <w:t xml:space="preserve">, </w:t>
      </w:r>
      <w:r w:rsidRPr="00F6698B">
        <w:rPr>
          <w:rFonts w:ascii="Times New Roman" w:hAnsi="Times New Roman"/>
          <w:color w:val="000000"/>
          <w:sz w:val="22"/>
          <w:szCs w:val="22"/>
        </w:rPr>
        <w:t>b</w:t>
      </w:r>
      <w:r w:rsidR="00B4153C" w:rsidRPr="00F6698B">
        <w:rPr>
          <w:rFonts w:ascii="Times New Roman" w:hAnsi="Times New Roman"/>
          <w:color w:val="000000"/>
          <w:sz w:val="22"/>
          <w:szCs w:val="22"/>
        </w:rPr>
        <w:t xml:space="preserve">lood </w:t>
      </w:r>
      <w:r w:rsidRPr="00F6698B">
        <w:rPr>
          <w:rFonts w:ascii="Times New Roman" w:hAnsi="Times New Roman"/>
          <w:color w:val="000000"/>
          <w:sz w:val="22"/>
          <w:szCs w:val="22"/>
        </w:rPr>
        <w:t>c</w:t>
      </w:r>
      <w:r w:rsidR="00B4153C" w:rsidRPr="00F6698B">
        <w:rPr>
          <w:rFonts w:ascii="Times New Roman" w:hAnsi="Times New Roman"/>
          <w:color w:val="000000"/>
          <w:sz w:val="22"/>
          <w:szCs w:val="22"/>
        </w:rPr>
        <w:t xml:space="preserve">omponents, </w:t>
      </w:r>
      <w:r w:rsidRPr="00F6698B">
        <w:rPr>
          <w:rFonts w:ascii="Times New Roman" w:hAnsi="Times New Roman"/>
          <w:color w:val="000000"/>
          <w:sz w:val="22"/>
          <w:szCs w:val="22"/>
        </w:rPr>
        <w:t>h</w:t>
      </w:r>
      <w:r w:rsidR="00B4153C" w:rsidRPr="00F6698B">
        <w:rPr>
          <w:rFonts w:ascii="Times New Roman" w:hAnsi="Times New Roman"/>
          <w:color w:val="000000"/>
          <w:sz w:val="22"/>
          <w:szCs w:val="22"/>
        </w:rPr>
        <w:t xml:space="preserve">aematopoietic </w:t>
      </w:r>
      <w:r w:rsidRPr="00F6698B">
        <w:rPr>
          <w:rFonts w:ascii="Times New Roman" w:hAnsi="Times New Roman"/>
          <w:color w:val="000000"/>
          <w:sz w:val="22"/>
          <w:szCs w:val="22"/>
        </w:rPr>
        <w:t>p</w:t>
      </w:r>
      <w:r w:rsidR="00B4153C" w:rsidRPr="00F6698B">
        <w:rPr>
          <w:rFonts w:ascii="Times New Roman" w:hAnsi="Times New Roman"/>
          <w:color w:val="000000"/>
          <w:sz w:val="22"/>
          <w:szCs w:val="22"/>
        </w:rPr>
        <w:t xml:space="preserve">rogenitor </w:t>
      </w:r>
      <w:r w:rsidRPr="00F6698B">
        <w:rPr>
          <w:rFonts w:ascii="Times New Roman" w:hAnsi="Times New Roman"/>
          <w:color w:val="000000"/>
          <w:sz w:val="22"/>
          <w:szCs w:val="22"/>
        </w:rPr>
        <w:t>c</w:t>
      </w:r>
      <w:r w:rsidR="00B4153C" w:rsidRPr="00F6698B">
        <w:rPr>
          <w:rFonts w:ascii="Times New Roman" w:hAnsi="Times New Roman"/>
          <w:color w:val="000000"/>
          <w:sz w:val="22"/>
          <w:szCs w:val="22"/>
        </w:rPr>
        <w:t xml:space="preserve">ells and </w:t>
      </w:r>
      <w:r w:rsidRPr="00F6698B">
        <w:rPr>
          <w:rFonts w:ascii="Times New Roman" w:hAnsi="Times New Roman"/>
          <w:color w:val="000000"/>
          <w:sz w:val="22"/>
          <w:szCs w:val="22"/>
        </w:rPr>
        <w:t>b</w:t>
      </w:r>
      <w:r w:rsidR="00B4153C" w:rsidRPr="00F6698B">
        <w:rPr>
          <w:rFonts w:ascii="Times New Roman" w:hAnsi="Times New Roman"/>
          <w:color w:val="000000"/>
          <w:sz w:val="22"/>
          <w:szCs w:val="22"/>
        </w:rPr>
        <w:t xml:space="preserve">iologicals </w:t>
      </w:r>
      <w:r w:rsidRPr="00F6698B">
        <w:rPr>
          <w:rFonts w:ascii="Times New Roman" w:hAnsi="Times New Roman"/>
          <w:color w:val="000000"/>
          <w:sz w:val="22"/>
          <w:szCs w:val="22"/>
        </w:rPr>
        <w:t>(</w:t>
      </w:r>
      <w:r w:rsidR="00B76E15" w:rsidRPr="00F6698B">
        <w:rPr>
          <w:rFonts w:ascii="Times New Roman" w:hAnsi="Times New Roman"/>
          <w:color w:val="000000"/>
          <w:sz w:val="22"/>
          <w:szCs w:val="22"/>
        </w:rPr>
        <w:t>other than biologicals that</w:t>
      </w:r>
      <w:r w:rsidR="00B4153C" w:rsidRPr="00F6698B">
        <w:rPr>
          <w:rFonts w:ascii="Times New Roman" w:hAnsi="Times New Roman"/>
          <w:color w:val="000000"/>
          <w:sz w:val="22"/>
          <w:szCs w:val="22"/>
        </w:rPr>
        <w:t xml:space="preserve"> comprise or contain live animal cells, </w:t>
      </w:r>
      <w:r w:rsidR="00B76E15" w:rsidRPr="00F6698B">
        <w:rPr>
          <w:rFonts w:ascii="Times New Roman" w:hAnsi="Times New Roman"/>
          <w:color w:val="000000"/>
          <w:sz w:val="22"/>
          <w:szCs w:val="22"/>
        </w:rPr>
        <w:t xml:space="preserve">tissues or </w:t>
      </w:r>
      <w:r w:rsidR="00B4153C" w:rsidRPr="00F6698B">
        <w:rPr>
          <w:rFonts w:ascii="Times New Roman" w:hAnsi="Times New Roman"/>
          <w:color w:val="000000"/>
          <w:sz w:val="22"/>
          <w:szCs w:val="22"/>
        </w:rPr>
        <w:t>organs</w:t>
      </w:r>
      <w:r w:rsidR="00B76E15" w:rsidRPr="00F6698B">
        <w:rPr>
          <w:rFonts w:ascii="Times New Roman" w:hAnsi="Times New Roman"/>
          <w:color w:val="000000"/>
          <w:sz w:val="22"/>
          <w:szCs w:val="22"/>
        </w:rPr>
        <w:t>).</w:t>
      </w:r>
    </w:p>
    <w:p w:rsidR="001D6662" w:rsidRPr="00F6698B" w:rsidRDefault="001D6662" w:rsidP="001D6662">
      <w:pPr>
        <w:pStyle w:val="ListParagraph"/>
        <w:autoSpaceDE w:val="0"/>
        <w:autoSpaceDN w:val="0"/>
        <w:adjustRightInd w:val="0"/>
        <w:spacing w:after="0"/>
        <w:ind w:left="0"/>
        <w:rPr>
          <w:sz w:val="22"/>
          <w:szCs w:val="22"/>
        </w:rPr>
      </w:pPr>
    </w:p>
    <w:p w:rsidR="00F75AA8" w:rsidRPr="00F6698B" w:rsidRDefault="001D6662" w:rsidP="001D6662">
      <w:pPr>
        <w:pStyle w:val="ListParagraph"/>
        <w:autoSpaceDE w:val="0"/>
        <w:autoSpaceDN w:val="0"/>
        <w:adjustRightInd w:val="0"/>
        <w:spacing w:after="0"/>
        <w:ind w:left="0"/>
        <w:rPr>
          <w:sz w:val="22"/>
          <w:szCs w:val="22"/>
        </w:rPr>
      </w:pPr>
      <w:r w:rsidRPr="00F6698B">
        <w:rPr>
          <w:sz w:val="22"/>
          <w:szCs w:val="22"/>
        </w:rPr>
        <w:t xml:space="preserve">The Determination also </w:t>
      </w:r>
      <w:r w:rsidR="00F75AA8" w:rsidRPr="00F6698B">
        <w:rPr>
          <w:sz w:val="22"/>
          <w:szCs w:val="22"/>
        </w:rPr>
        <w:t>reflect</w:t>
      </w:r>
      <w:r w:rsidRPr="00F6698B">
        <w:rPr>
          <w:sz w:val="22"/>
          <w:szCs w:val="22"/>
        </w:rPr>
        <w:t>s</w:t>
      </w:r>
      <w:r w:rsidR="00F75AA8" w:rsidRPr="00F6698B">
        <w:rPr>
          <w:sz w:val="22"/>
          <w:szCs w:val="22"/>
        </w:rPr>
        <w:t xml:space="preserve"> contemporary drafting standards and practices on matters relating to style and form, such as the use of plain English and compliance with the Office of Parliamentary Counsel’s Drafting Directions.  As such, the Determination improves readability, accessibility and presentation for stakeholders, without making </w:t>
      </w:r>
      <w:r w:rsidRPr="00F6698B">
        <w:rPr>
          <w:sz w:val="22"/>
          <w:szCs w:val="22"/>
        </w:rPr>
        <w:t xml:space="preserve">any other </w:t>
      </w:r>
      <w:r w:rsidR="00F75AA8" w:rsidRPr="00F6698B">
        <w:rPr>
          <w:sz w:val="22"/>
          <w:szCs w:val="22"/>
        </w:rPr>
        <w:t>substantive changes to the manufacturing principles that are the subject of the former Determination.</w:t>
      </w:r>
    </w:p>
    <w:p w:rsidR="001D6662" w:rsidRPr="00F6698B" w:rsidRDefault="001D6662" w:rsidP="001D6662">
      <w:pPr>
        <w:pStyle w:val="ListParagraph"/>
        <w:autoSpaceDE w:val="0"/>
        <w:autoSpaceDN w:val="0"/>
        <w:adjustRightInd w:val="0"/>
        <w:spacing w:after="0"/>
        <w:ind w:left="0"/>
        <w:rPr>
          <w:sz w:val="22"/>
          <w:szCs w:val="22"/>
        </w:rPr>
      </w:pPr>
    </w:p>
    <w:p w:rsidR="0006424A" w:rsidRPr="005E4372" w:rsidRDefault="0006424A" w:rsidP="005E4372">
      <w:pPr>
        <w:pStyle w:val="ListParagraph"/>
        <w:autoSpaceDE w:val="0"/>
        <w:autoSpaceDN w:val="0"/>
        <w:adjustRightInd w:val="0"/>
        <w:spacing w:after="0"/>
        <w:ind w:left="0"/>
        <w:rPr>
          <w:sz w:val="22"/>
          <w:szCs w:val="22"/>
        </w:rPr>
      </w:pPr>
      <w:r w:rsidRPr="005E4372">
        <w:rPr>
          <w:sz w:val="22"/>
          <w:szCs w:val="22"/>
        </w:rPr>
        <w:t xml:space="preserve">The TGA uses internationally harmonised manufacturing standards to allow manufacturers to operate in an international environment.  The TGA maintains </w:t>
      </w:r>
      <w:r w:rsidR="00B07C01" w:rsidRPr="005E4372">
        <w:rPr>
          <w:sz w:val="22"/>
          <w:szCs w:val="22"/>
        </w:rPr>
        <w:t xml:space="preserve">Good Manufacturing Practice (“GMP”) </w:t>
      </w:r>
      <w:r w:rsidRPr="005E4372">
        <w:rPr>
          <w:sz w:val="22"/>
          <w:szCs w:val="22"/>
        </w:rPr>
        <w:t>requirements in line with updates issued through PIC/S.  Updates are necessary in order to maintain mutual confidence with regulators overseas, and to promote quality assurance of inspections and the harmonisation of technical standards and procedures with international inspection standards for the production and testing of medicinal products.</w:t>
      </w:r>
    </w:p>
    <w:p w:rsidR="0006424A" w:rsidRPr="00F6698B" w:rsidRDefault="0006424A" w:rsidP="00197472">
      <w:pPr>
        <w:shd w:val="clear" w:color="auto" w:fill="FFFFFF"/>
        <w:rPr>
          <w:rFonts w:ascii="Times New Roman" w:hAnsi="Times New Roman"/>
          <w:color w:val="000000"/>
          <w:sz w:val="22"/>
          <w:szCs w:val="22"/>
        </w:rPr>
      </w:pPr>
    </w:p>
    <w:p w:rsidR="0030338C" w:rsidRPr="00F6698B" w:rsidRDefault="0006424A" w:rsidP="00197472">
      <w:pPr>
        <w:shd w:val="clear" w:color="auto" w:fill="FFFFFF"/>
        <w:rPr>
          <w:rFonts w:ascii="Times New Roman" w:hAnsi="Times New Roman"/>
          <w:color w:val="000000"/>
          <w:sz w:val="22"/>
          <w:szCs w:val="22"/>
        </w:rPr>
      </w:pPr>
      <w:r w:rsidRPr="00F6698B">
        <w:rPr>
          <w:rFonts w:ascii="Times New Roman" w:hAnsi="Times New Roman"/>
          <w:color w:val="000000"/>
          <w:sz w:val="22"/>
          <w:szCs w:val="22"/>
        </w:rPr>
        <w:t xml:space="preserve">PIC/S is </w:t>
      </w:r>
      <w:r w:rsidRPr="00F6698B">
        <w:rPr>
          <w:rFonts w:ascii="Times New Roman" w:hAnsi="Times New Roman"/>
          <w:color w:val="000000"/>
          <w:sz w:val="22"/>
          <w:szCs w:val="22"/>
          <w:lang w:val="en"/>
        </w:rPr>
        <w:t>a non-binding, informal co-operative arrangement between regulatory authorities in the field of GMP of medicinal products for human or veterinary use.</w:t>
      </w:r>
      <w:r w:rsidRPr="00F6698B">
        <w:rPr>
          <w:rFonts w:ascii="Times New Roman" w:hAnsi="Times New Roman"/>
          <w:color w:val="000000"/>
          <w:sz w:val="22"/>
          <w:szCs w:val="22"/>
        </w:rPr>
        <w:t xml:space="preserve"> </w:t>
      </w:r>
      <w:r w:rsidR="00B07C01" w:rsidRPr="00F6698B">
        <w:rPr>
          <w:rFonts w:ascii="Times New Roman" w:hAnsi="Times New Roman"/>
          <w:color w:val="000000"/>
          <w:sz w:val="22"/>
          <w:szCs w:val="22"/>
        </w:rPr>
        <w:t xml:space="preserve"> </w:t>
      </w:r>
      <w:r w:rsidRPr="00F6698B">
        <w:rPr>
          <w:rFonts w:ascii="Times New Roman" w:hAnsi="Times New Roman"/>
          <w:color w:val="000000"/>
          <w:sz w:val="22"/>
          <w:szCs w:val="22"/>
        </w:rPr>
        <w:t xml:space="preserve">PIC/S leads the international development, implementation and maintenance of harmonised GMP standards and quality systems of inspectorates.  </w:t>
      </w:r>
      <w:r w:rsidR="0030338C" w:rsidRPr="00F6698B">
        <w:rPr>
          <w:rFonts w:ascii="Times New Roman" w:hAnsi="Times New Roman"/>
          <w:color w:val="000000"/>
          <w:sz w:val="22"/>
          <w:szCs w:val="22"/>
        </w:rPr>
        <w:t>The PIC/S Guide to Good Manufacturing Practice</w:t>
      </w:r>
      <w:r w:rsidR="00610913" w:rsidRPr="00F6698B">
        <w:rPr>
          <w:rFonts w:ascii="Times New Roman" w:hAnsi="Times New Roman"/>
          <w:color w:val="000000"/>
          <w:sz w:val="22"/>
          <w:szCs w:val="22"/>
        </w:rPr>
        <w:t xml:space="preserve"> (PE 009-14) </w:t>
      </w:r>
      <w:r w:rsidR="0030338C" w:rsidRPr="00F6698B">
        <w:rPr>
          <w:rFonts w:ascii="Times New Roman" w:hAnsi="Times New Roman"/>
          <w:color w:val="000000"/>
          <w:sz w:val="22"/>
          <w:szCs w:val="22"/>
        </w:rPr>
        <w:t xml:space="preserve">introduces a number of new measures as compared to the </w:t>
      </w:r>
      <w:r w:rsidR="00081B12" w:rsidRPr="00F6698B">
        <w:rPr>
          <w:rFonts w:ascii="Times New Roman" w:hAnsi="Times New Roman"/>
          <w:color w:val="000000"/>
          <w:sz w:val="22"/>
          <w:szCs w:val="22"/>
        </w:rPr>
        <w:t xml:space="preserve">version </w:t>
      </w:r>
      <w:r w:rsidR="00B30C7A" w:rsidRPr="00F6698B">
        <w:rPr>
          <w:rFonts w:ascii="Times New Roman" w:hAnsi="Times New Roman"/>
          <w:color w:val="000000"/>
          <w:sz w:val="22"/>
          <w:szCs w:val="22"/>
        </w:rPr>
        <w:t xml:space="preserve">published </w:t>
      </w:r>
      <w:r w:rsidR="00081B12" w:rsidRPr="00F6698B">
        <w:rPr>
          <w:rFonts w:ascii="Times New Roman" w:hAnsi="Times New Roman"/>
          <w:color w:val="000000"/>
          <w:sz w:val="22"/>
          <w:szCs w:val="22"/>
        </w:rPr>
        <w:t xml:space="preserve">on </w:t>
      </w:r>
      <w:r w:rsidR="00B30C7A" w:rsidRPr="00F6698B">
        <w:rPr>
          <w:rFonts w:ascii="Times New Roman" w:hAnsi="Times New Roman"/>
          <w:color w:val="000000"/>
          <w:sz w:val="22"/>
          <w:szCs w:val="22"/>
        </w:rPr>
        <w:t xml:space="preserve">1 January </w:t>
      </w:r>
      <w:r w:rsidR="00536900" w:rsidRPr="00F6698B">
        <w:rPr>
          <w:rFonts w:ascii="Times New Roman" w:hAnsi="Times New Roman"/>
          <w:color w:val="000000"/>
          <w:sz w:val="22"/>
          <w:szCs w:val="22"/>
        </w:rPr>
        <w:t>2017</w:t>
      </w:r>
      <w:r w:rsidR="00081B12" w:rsidRPr="00F6698B">
        <w:rPr>
          <w:rFonts w:ascii="Times New Roman" w:hAnsi="Times New Roman"/>
          <w:color w:val="000000"/>
          <w:sz w:val="22"/>
          <w:szCs w:val="22"/>
        </w:rPr>
        <w:t xml:space="preserve"> (PE009-13)</w:t>
      </w:r>
      <w:r w:rsidR="0030338C" w:rsidRPr="00F6698B">
        <w:rPr>
          <w:rFonts w:ascii="Times New Roman" w:hAnsi="Times New Roman"/>
          <w:color w:val="000000"/>
          <w:sz w:val="22"/>
          <w:szCs w:val="22"/>
        </w:rPr>
        <w:t>, including:</w:t>
      </w:r>
    </w:p>
    <w:p w:rsidR="00536900" w:rsidRPr="00F6698B" w:rsidRDefault="00536900" w:rsidP="00197472">
      <w:pPr>
        <w:pStyle w:val="ListParagraph"/>
        <w:numPr>
          <w:ilvl w:val="0"/>
          <w:numId w:val="13"/>
        </w:numPr>
        <w:spacing w:before="120" w:after="100" w:afterAutospacing="1"/>
        <w:rPr>
          <w:color w:val="000000"/>
          <w:sz w:val="22"/>
          <w:szCs w:val="22"/>
        </w:rPr>
      </w:pPr>
      <w:r w:rsidRPr="00F6698B">
        <w:rPr>
          <w:color w:val="000000"/>
          <w:sz w:val="22"/>
          <w:szCs w:val="22"/>
        </w:rPr>
        <w:t>new guidance in relation to the assessment and control of contamination and cross-contamination risks;</w:t>
      </w:r>
    </w:p>
    <w:p w:rsidR="00B30C7A" w:rsidRPr="00EA3D7E" w:rsidRDefault="00776C54" w:rsidP="00197472">
      <w:pPr>
        <w:pStyle w:val="ListParagraph"/>
        <w:numPr>
          <w:ilvl w:val="0"/>
          <w:numId w:val="13"/>
        </w:numPr>
        <w:spacing w:before="120" w:after="100" w:afterAutospacing="1"/>
        <w:rPr>
          <w:color w:val="000000"/>
          <w:sz w:val="22"/>
          <w:szCs w:val="22"/>
        </w:rPr>
      </w:pPr>
      <w:r w:rsidRPr="00EA3D7E">
        <w:rPr>
          <w:color w:val="000000"/>
          <w:sz w:val="22"/>
          <w:szCs w:val="22"/>
        </w:rPr>
        <w:t>g</w:t>
      </w:r>
      <w:r w:rsidR="00B30C7A" w:rsidRPr="00EA3D7E">
        <w:rPr>
          <w:color w:val="000000"/>
          <w:sz w:val="22"/>
          <w:szCs w:val="22"/>
        </w:rPr>
        <w:t xml:space="preserve">reater oversight and management of </w:t>
      </w:r>
      <w:r w:rsidR="00536900" w:rsidRPr="00EA3D7E">
        <w:rPr>
          <w:color w:val="000000"/>
          <w:sz w:val="22"/>
          <w:szCs w:val="22"/>
        </w:rPr>
        <w:t>th</w:t>
      </w:r>
      <w:r w:rsidR="00610913" w:rsidRPr="00EA3D7E">
        <w:rPr>
          <w:color w:val="000000"/>
          <w:sz w:val="22"/>
          <w:szCs w:val="22"/>
        </w:rPr>
        <w:t>e suppliers of raw materials (a</w:t>
      </w:r>
      <w:r w:rsidR="00536900" w:rsidRPr="00EA3D7E">
        <w:rPr>
          <w:color w:val="000000"/>
          <w:sz w:val="22"/>
          <w:szCs w:val="22"/>
        </w:rPr>
        <w:t>ctive</w:t>
      </w:r>
      <w:r w:rsidR="00610913" w:rsidRPr="00EA3D7E">
        <w:rPr>
          <w:color w:val="000000"/>
          <w:sz w:val="22"/>
          <w:szCs w:val="22"/>
        </w:rPr>
        <w:t xml:space="preserve"> ingredient</w:t>
      </w:r>
      <w:r w:rsidR="00536900" w:rsidRPr="00EA3D7E">
        <w:rPr>
          <w:color w:val="000000"/>
          <w:sz w:val="22"/>
          <w:szCs w:val="22"/>
        </w:rPr>
        <w:t>s and excipients)</w:t>
      </w:r>
      <w:r w:rsidR="00B30C7A" w:rsidRPr="00EA3D7E">
        <w:rPr>
          <w:color w:val="000000"/>
          <w:sz w:val="22"/>
          <w:szCs w:val="22"/>
        </w:rPr>
        <w:t xml:space="preserve"> that may impact on the quality of products manufactured</w:t>
      </w:r>
      <w:r w:rsidRPr="00EA3D7E">
        <w:rPr>
          <w:color w:val="000000"/>
          <w:sz w:val="22"/>
          <w:szCs w:val="22"/>
        </w:rPr>
        <w:t>;</w:t>
      </w:r>
    </w:p>
    <w:p w:rsidR="00536900" w:rsidRPr="00EA3D7E" w:rsidRDefault="00536900" w:rsidP="001D6662">
      <w:pPr>
        <w:pStyle w:val="ListParagraph"/>
        <w:numPr>
          <w:ilvl w:val="0"/>
          <w:numId w:val="13"/>
        </w:numPr>
        <w:spacing w:before="120" w:after="100" w:afterAutospacing="1"/>
        <w:rPr>
          <w:color w:val="000000"/>
          <w:sz w:val="22"/>
          <w:szCs w:val="22"/>
        </w:rPr>
      </w:pPr>
      <w:r w:rsidRPr="00EA3D7E">
        <w:rPr>
          <w:color w:val="000000"/>
          <w:sz w:val="22"/>
          <w:szCs w:val="22"/>
        </w:rPr>
        <w:t>additional guidance in relation to the management and investigation of product complaints and product recalls;</w:t>
      </w:r>
      <w:r w:rsidR="00601C1A" w:rsidRPr="00EA3D7E">
        <w:rPr>
          <w:color w:val="000000"/>
          <w:sz w:val="22"/>
          <w:szCs w:val="22"/>
        </w:rPr>
        <w:t xml:space="preserve"> and</w:t>
      </w:r>
    </w:p>
    <w:p w:rsidR="00B30C7A" w:rsidRPr="00EA3D7E" w:rsidRDefault="00776C54" w:rsidP="001D6662">
      <w:pPr>
        <w:pStyle w:val="ListParagraph"/>
        <w:numPr>
          <w:ilvl w:val="0"/>
          <w:numId w:val="13"/>
        </w:numPr>
        <w:spacing w:before="120" w:after="0"/>
        <w:ind w:left="714" w:hanging="357"/>
        <w:rPr>
          <w:color w:val="000000"/>
          <w:sz w:val="22"/>
          <w:szCs w:val="22"/>
        </w:rPr>
      </w:pPr>
      <w:proofErr w:type="gramStart"/>
      <w:r w:rsidRPr="00EA3D7E">
        <w:rPr>
          <w:color w:val="000000"/>
          <w:sz w:val="22"/>
          <w:szCs w:val="22"/>
        </w:rPr>
        <w:t>a</w:t>
      </w:r>
      <w:r w:rsidR="00B30C7A" w:rsidRPr="00EA3D7E">
        <w:rPr>
          <w:color w:val="000000"/>
          <w:sz w:val="22"/>
          <w:szCs w:val="22"/>
        </w:rPr>
        <w:t>dditional</w:t>
      </w:r>
      <w:proofErr w:type="gramEnd"/>
      <w:r w:rsidR="00B30C7A" w:rsidRPr="00EA3D7E">
        <w:rPr>
          <w:color w:val="000000"/>
          <w:sz w:val="22"/>
          <w:szCs w:val="22"/>
        </w:rPr>
        <w:t xml:space="preserve"> guidance and requirements </w:t>
      </w:r>
      <w:r w:rsidRPr="00EA3D7E">
        <w:rPr>
          <w:color w:val="000000"/>
          <w:sz w:val="22"/>
          <w:szCs w:val="22"/>
        </w:rPr>
        <w:t xml:space="preserve">in relation to </w:t>
      </w:r>
      <w:r w:rsidR="00B30C7A" w:rsidRPr="00EA3D7E">
        <w:rPr>
          <w:color w:val="000000"/>
          <w:sz w:val="22"/>
          <w:szCs w:val="22"/>
        </w:rPr>
        <w:t xml:space="preserve">the </w:t>
      </w:r>
      <w:r w:rsidR="00536900" w:rsidRPr="00EA3D7E">
        <w:rPr>
          <w:color w:val="000000"/>
          <w:sz w:val="22"/>
          <w:szCs w:val="22"/>
        </w:rPr>
        <w:t>application of real-time-release-testing and parametric release of medicinal products.</w:t>
      </w:r>
    </w:p>
    <w:p w:rsidR="001D6662" w:rsidRPr="00F6698B" w:rsidRDefault="001D6662" w:rsidP="00197472">
      <w:pPr>
        <w:shd w:val="clear" w:color="auto" w:fill="FFFFFF"/>
        <w:rPr>
          <w:rFonts w:ascii="Times New Roman" w:hAnsi="Times New Roman"/>
          <w:color w:val="000000"/>
          <w:sz w:val="22"/>
          <w:szCs w:val="22"/>
        </w:rPr>
      </w:pPr>
    </w:p>
    <w:p w:rsidR="002B2F63" w:rsidRPr="00F6698B" w:rsidRDefault="002B2F63" w:rsidP="00197472">
      <w:pPr>
        <w:shd w:val="clear" w:color="auto" w:fill="FFFFFF"/>
        <w:rPr>
          <w:rFonts w:ascii="Times New Roman" w:hAnsi="Times New Roman"/>
          <w:color w:val="000000"/>
          <w:sz w:val="22"/>
          <w:szCs w:val="22"/>
        </w:rPr>
      </w:pPr>
      <w:r w:rsidRPr="00F6698B">
        <w:rPr>
          <w:rFonts w:ascii="Times New Roman" w:hAnsi="Times New Roman"/>
          <w:color w:val="000000"/>
          <w:sz w:val="22"/>
          <w:szCs w:val="22"/>
        </w:rPr>
        <w:t xml:space="preserve">The </w:t>
      </w:r>
      <w:r w:rsidR="0006424A" w:rsidRPr="00F6698B">
        <w:rPr>
          <w:rFonts w:ascii="Times New Roman" w:hAnsi="Times New Roman"/>
          <w:color w:val="000000"/>
          <w:sz w:val="22"/>
          <w:szCs w:val="22"/>
        </w:rPr>
        <w:t xml:space="preserve">incorporation of the most recent version </w:t>
      </w:r>
      <w:r w:rsidRPr="00F6698B">
        <w:rPr>
          <w:rFonts w:ascii="Times New Roman" w:hAnsi="Times New Roman"/>
          <w:color w:val="000000"/>
          <w:sz w:val="22"/>
          <w:szCs w:val="22"/>
        </w:rPr>
        <w:t>of the PIC/S Guide to Good Manufacturing Practice</w:t>
      </w:r>
      <w:r w:rsidR="0092257A" w:rsidRPr="00F6698B">
        <w:rPr>
          <w:rFonts w:ascii="Times New Roman" w:hAnsi="Times New Roman"/>
          <w:color w:val="000000"/>
          <w:sz w:val="22"/>
          <w:szCs w:val="22"/>
        </w:rPr>
        <w:t xml:space="preserve"> </w:t>
      </w:r>
      <w:r w:rsidR="0006424A" w:rsidRPr="00F6698B">
        <w:rPr>
          <w:rFonts w:ascii="Times New Roman" w:hAnsi="Times New Roman"/>
          <w:color w:val="000000"/>
          <w:sz w:val="22"/>
          <w:szCs w:val="22"/>
        </w:rPr>
        <w:t xml:space="preserve">in the Determination </w:t>
      </w:r>
      <w:r w:rsidRPr="00F6698B">
        <w:rPr>
          <w:rFonts w:ascii="Times New Roman" w:hAnsi="Times New Roman"/>
          <w:color w:val="000000"/>
          <w:sz w:val="22"/>
          <w:szCs w:val="22"/>
        </w:rPr>
        <w:t>ensure</w:t>
      </w:r>
      <w:r w:rsidR="00601C1A" w:rsidRPr="00F6698B">
        <w:rPr>
          <w:rFonts w:ascii="Times New Roman" w:hAnsi="Times New Roman"/>
          <w:color w:val="000000"/>
          <w:sz w:val="22"/>
          <w:szCs w:val="22"/>
        </w:rPr>
        <w:t>s</w:t>
      </w:r>
      <w:r w:rsidRPr="00F6698B">
        <w:rPr>
          <w:rFonts w:ascii="Times New Roman" w:hAnsi="Times New Roman"/>
          <w:color w:val="000000"/>
          <w:sz w:val="22"/>
          <w:szCs w:val="22"/>
        </w:rPr>
        <w:t xml:space="preserve"> that an appropriate level of </w:t>
      </w:r>
      <w:r w:rsidR="00B07C01" w:rsidRPr="00F6698B">
        <w:rPr>
          <w:rFonts w:ascii="Times New Roman" w:hAnsi="Times New Roman"/>
          <w:color w:val="000000"/>
          <w:sz w:val="22"/>
          <w:szCs w:val="22"/>
        </w:rPr>
        <w:t>GMP</w:t>
      </w:r>
      <w:r w:rsidR="00610913" w:rsidRPr="00F6698B">
        <w:rPr>
          <w:rFonts w:ascii="Times New Roman" w:hAnsi="Times New Roman"/>
          <w:color w:val="000000"/>
          <w:sz w:val="22"/>
          <w:szCs w:val="22"/>
        </w:rPr>
        <w:t xml:space="preserve"> </w:t>
      </w:r>
      <w:r w:rsidRPr="00F6698B">
        <w:rPr>
          <w:rFonts w:ascii="Times New Roman" w:hAnsi="Times New Roman"/>
          <w:color w:val="000000"/>
          <w:sz w:val="22"/>
          <w:szCs w:val="22"/>
        </w:rPr>
        <w:t xml:space="preserve">applies to the manufacture of therapeutic goods in Australia. </w:t>
      </w:r>
      <w:r w:rsidR="00F75AA8" w:rsidRPr="00F6698B">
        <w:rPr>
          <w:rFonts w:ascii="Times New Roman" w:hAnsi="Times New Roman"/>
          <w:color w:val="000000"/>
          <w:sz w:val="22"/>
          <w:szCs w:val="22"/>
        </w:rPr>
        <w:t xml:space="preserve"> </w:t>
      </w:r>
      <w:r w:rsidR="0006424A" w:rsidRPr="00F6698B">
        <w:rPr>
          <w:rFonts w:ascii="Times New Roman" w:hAnsi="Times New Roman"/>
          <w:color w:val="000000"/>
          <w:sz w:val="22"/>
          <w:szCs w:val="22"/>
        </w:rPr>
        <w:t xml:space="preserve">These changes reflect </w:t>
      </w:r>
      <w:r w:rsidRPr="00F6698B">
        <w:rPr>
          <w:rFonts w:ascii="Times New Roman" w:hAnsi="Times New Roman"/>
          <w:color w:val="000000"/>
          <w:sz w:val="22"/>
          <w:szCs w:val="22"/>
        </w:rPr>
        <w:t>the need to provide guidance on the management of new technologies,</w:t>
      </w:r>
      <w:r w:rsidR="00F75AA8" w:rsidRPr="00F6698B">
        <w:rPr>
          <w:rFonts w:ascii="Times New Roman" w:hAnsi="Times New Roman"/>
          <w:color w:val="000000"/>
          <w:sz w:val="22"/>
          <w:szCs w:val="22"/>
        </w:rPr>
        <w:t xml:space="preserve"> to</w:t>
      </w:r>
      <w:r w:rsidRPr="00F6698B">
        <w:rPr>
          <w:rFonts w:ascii="Times New Roman" w:hAnsi="Times New Roman"/>
          <w:color w:val="000000"/>
          <w:sz w:val="22"/>
          <w:szCs w:val="22"/>
        </w:rPr>
        <w:t xml:space="preserve"> address gaps in existing requirements, </w:t>
      </w:r>
      <w:r w:rsidR="00F75AA8" w:rsidRPr="00F6698B">
        <w:rPr>
          <w:rFonts w:ascii="Times New Roman" w:hAnsi="Times New Roman"/>
          <w:color w:val="000000"/>
          <w:sz w:val="22"/>
          <w:szCs w:val="22"/>
        </w:rPr>
        <w:t xml:space="preserve">to </w:t>
      </w:r>
      <w:r w:rsidRPr="00F6698B">
        <w:rPr>
          <w:rFonts w:ascii="Times New Roman" w:hAnsi="Times New Roman"/>
          <w:color w:val="000000"/>
          <w:sz w:val="22"/>
          <w:szCs w:val="22"/>
        </w:rPr>
        <w:t xml:space="preserve">manage risks identified through inspections of manufacturing premises and </w:t>
      </w:r>
      <w:r w:rsidR="00601C1A" w:rsidRPr="00F6698B">
        <w:rPr>
          <w:rFonts w:ascii="Times New Roman" w:hAnsi="Times New Roman"/>
          <w:color w:val="000000"/>
          <w:sz w:val="22"/>
          <w:szCs w:val="22"/>
        </w:rPr>
        <w:t xml:space="preserve">to </w:t>
      </w:r>
      <w:r w:rsidRPr="00F6698B">
        <w:rPr>
          <w:rFonts w:ascii="Times New Roman" w:hAnsi="Times New Roman"/>
          <w:color w:val="000000"/>
          <w:sz w:val="22"/>
          <w:szCs w:val="22"/>
        </w:rPr>
        <w:t>ensure continuous improvements in the way goods are manufactured.</w:t>
      </w:r>
    </w:p>
    <w:p w:rsidR="0092257A" w:rsidRPr="00F6698B" w:rsidRDefault="0092257A" w:rsidP="00197472">
      <w:pPr>
        <w:autoSpaceDE w:val="0"/>
        <w:autoSpaceDN w:val="0"/>
        <w:adjustRightInd w:val="0"/>
        <w:rPr>
          <w:rFonts w:ascii="Times New Roman" w:hAnsi="Times New Roman"/>
          <w:color w:val="000000"/>
          <w:sz w:val="22"/>
          <w:szCs w:val="22"/>
        </w:rPr>
      </w:pPr>
    </w:p>
    <w:p w:rsidR="002B2F63" w:rsidRPr="00F6698B" w:rsidRDefault="002B2F63" w:rsidP="00197472">
      <w:pPr>
        <w:autoSpaceDE w:val="0"/>
        <w:autoSpaceDN w:val="0"/>
        <w:adjustRightInd w:val="0"/>
        <w:spacing w:after="120"/>
        <w:contextualSpacing/>
        <w:rPr>
          <w:rFonts w:ascii="Times New Roman" w:hAnsi="Times New Roman"/>
          <w:color w:val="000000"/>
          <w:sz w:val="22"/>
          <w:szCs w:val="22"/>
        </w:rPr>
      </w:pPr>
      <w:r w:rsidRPr="00F6698B">
        <w:rPr>
          <w:rFonts w:ascii="Times New Roman" w:hAnsi="Times New Roman"/>
          <w:color w:val="000000"/>
          <w:sz w:val="22"/>
          <w:szCs w:val="22"/>
        </w:rPr>
        <w:t>Australian manufacturers benefit from reduced regulatory burden where the TGA is able to adopt harmonised international standards and establish mutual recognition agreements and cooperation arrangements with comparable overseas regulatory authorities.</w:t>
      </w:r>
    </w:p>
    <w:p w:rsidR="00F75AA8" w:rsidRPr="00F6698B" w:rsidRDefault="00F75AA8" w:rsidP="00F75AA8">
      <w:pPr>
        <w:autoSpaceDE w:val="0"/>
        <w:autoSpaceDN w:val="0"/>
        <w:adjustRightInd w:val="0"/>
        <w:rPr>
          <w:rFonts w:ascii="Times New Roman" w:hAnsi="Times New Roman"/>
          <w:sz w:val="22"/>
          <w:szCs w:val="22"/>
        </w:rPr>
      </w:pPr>
    </w:p>
    <w:p w:rsidR="007B0AF8" w:rsidRPr="00F6698B" w:rsidRDefault="007B0AF8" w:rsidP="00F6698B">
      <w:pPr>
        <w:keepNext/>
        <w:rPr>
          <w:rFonts w:ascii="Times New Roman" w:hAnsi="Times New Roman"/>
          <w:b/>
          <w:bCs/>
          <w:sz w:val="22"/>
          <w:szCs w:val="22"/>
        </w:rPr>
      </w:pPr>
      <w:r w:rsidRPr="00F6698B">
        <w:rPr>
          <w:rFonts w:ascii="Times New Roman" w:hAnsi="Times New Roman"/>
          <w:b/>
          <w:bCs/>
          <w:sz w:val="22"/>
          <w:szCs w:val="22"/>
        </w:rPr>
        <w:lastRenderedPageBreak/>
        <w:t>Incorporation by reference</w:t>
      </w:r>
    </w:p>
    <w:p w:rsidR="007B0AF8" w:rsidRPr="00EA3D7E" w:rsidRDefault="007B0AF8" w:rsidP="00F6698B">
      <w:pPr>
        <w:keepNext/>
        <w:rPr>
          <w:rFonts w:ascii="Times New Roman" w:hAnsi="Times New Roman"/>
          <w:b/>
          <w:sz w:val="22"/>
          <w:szCs w:val="22"/>
        </w:rPr>
      </w:pPr>
    </w:p>
    <w:p w:rsidR="007B0AF8" w:rsidRPr="00F6698B" w:rsidRDefault="007B0AF8" w:rsidP="007B0AF8">
      <w:pPr>
        <w:rPr>
          <w:rFonts w:ascii="Times New Roman" w:hAnsi="Times New Roman"/>
          <w:sz w:val="22"/>
          <w:szCs w:val="22"/>
        </w:rPr>
      </w:pPr>
      <w:r w:rsidRPr="00EA3D7E">
        <w:rPr>
          <w:rFonts w:ascii="Times New Roman" w:hAnsi="Times New Roman"/>
          <w:sz w:val="22"/>
          <w:szCs w:val="22"/>
        </w:rPr>
        <w:t xml:space="preserve">The Determination incorporates </w:t>
      </w:r>
      <w:r w:rsidRPr="00EA3D7E">
        <w:rPr>
          <w:rFonts w:ascii="Times New Roman" w:hAnsi="Times New Roman"/>
          <w:bCs/>
          <w:sz w:val="22"/>
          <w:szCs w:val="22"/>
        </w:rPr>
        <w:t>the</w:t>
      </w:r>
      <w:r w:rsidRPr="00F6698B">
        <w:rPr>
          <w:rFonts w:ascii="Times New Roman" w:hAnsi="Times New Roman"/>
          <w:sz w:val="22"/>
          <w:szCs w:val="22"/>
        </w:rPr>
        <w:t xml:space="preserve"> following documents</w:t>
      </w:r>
      <w:r w:rsidR="0006424A" w:rsidRPr="00F6698B">
        <w:rPr>
          <w:rFonts w:ascii="Times New Roman" w:hAnsi="Times New Roman"/>
          <w:sz w:val="22"/>
          <w:szCs w:val="22"/>
        </w:rPr>
        <w:t xml:space="preserve"> by reference</w:t>
      </w:r>
      <w:r w:rsidRPr="00F6698B">
        <w:rPr>
          <w:rFonts w:ascii="Times New Roman" w:hAnsi="Times New Roman"/>
          <w:sz w:val="22"/>
          <w:szCs w:val="22"/>
        </w:rPr>
        <w:t>:</w:t>
      </w:r>
    </w:p>
    <w:p w:rsidR="007B0AF8" w:rsidRPr="00F6698B" w:rsidRDefault="007B0AF8" w:rsidP="007B0AF8">
      <w:pPr>
        <w:rPr>
          <w:rFonts w:ascii="Times New Roman" w:hAnsi="Times New Roman"/>
          <w:sz w:val="22"/>
          <w:szCs w:val="22"/>
        </w:rPr>
      </w:pPr>
    </w:p>
    <w:p w:rsidR="007B0AF8" w:rsidRPr="00EA3D7E" w:rsidRDefault="007B0AF8" w:rsidP="003C1CCD">
      <w:pPr>
        <w:pStyle w:val="ListParagraph"/>
        <w:numPr>
          <w:ilvl w:val="0"/>
          <w:numId w:val="19"/>
        </w:numPr>
        <w:rPr>
          <w:bCs/>
          <w:sz w:val="22"/>
          <w:szCs w:val="22"/>
        </w:rPr>
      </w:pPr>
      <w:r w:rsidRPr="00F6698B">
        <w:rPr>
          <w:bCs/>
          <w:i/>
          <w:sz w:val="22"/>
          <w:szCs w:val="22"/>
        </w:rPr>
        <w:t>Australian Code of Good Manufacturing Practice for human blood and blood components, human tissues and human cellular therapy products</w:t>
      </w:r>
      <w:r w:rsidR="006F66D2" w:rsidRPr="00EA3D7E">
        <w:rPr>
          <w:bCs/>
          <w:sz w:val="22"/>
          <w:szCs w:val="22"/>
        </w:rPr>
        <w:t xml:space="preserve"> (Version 1.0, April 2013)</w:t>
      </w:r>
      <w:r w:rsidR="00B20076" w:rsidRPr="00EA3D7E">
        <w:rPr>
          <w:bCs/>
          <w:sz w:val="22"/>
          <w:szCs w:val="22"/>
        </w:rPr>
        <w:t>,</w:t>
      </w:r>
      <w:r w:rsidR="006F66D2" w:rsidRPr="00EA3D7E">
        <w:rPr>
          <w:bCs/>
          <w:sz w:val="22"/>
          <w:szCs w:val="22"/>
        </w:rPr>
        <w:t xml:space="preserve"> </w:t>
      </w:r>
      <w:r w:rsidRPr="00EA3D7E">
        <w:rPr>
          <w:bCs/>
          <w:sz w:val="22"/>
          <w:szCs w:val="22"/>
        </w:rPr>
        <w:t>which</w:t>
      </w:r>
      <w:r w:rsidR="001A06BA" w:rsidRPr="00EA3D7E">
        <w:rPr>
          <w:bCs/>
          <w:sz w:val="22"/>
          <w:szCs w:val="22"/>
        </w:rPr>
        <w:t xml:space="preserve"> set</w:t>
      </w:r>
      <w:r w:rsidR="00C33EB7" w:rsidRPr="00EA3D7E">
        <w:rPr>
          <w:bCs/>
          <w:sz w:val="22"/>
          <w:szCs w:val="22"/>
        </w:rPr>
        <w:t>s</w:t>
      </w:r>
      <w:r w:rsidR="001A06BA" w:rsidRPr="00EA3D7E">
        <w:rPr>
          <w:bCs/>
          <w:sz w:val="22"/>
          <w:szCs w:val="22"/>
        </w:rPr>
        <w:t xml:space="preserve"> out manufacturing practices that manufacturers </w:t>
      </w:r>
      <w:r w:rsidR="00C33EB7" w:rsidRPr="00EA3D7E">
        <w:rPr>
          <w:bCs/>
          <w:sz w:val="22"/>
          <w:szCs w:val="22"/>
        </w:rPr>
        <w:t>o</w:t>
      </w:r>
      <w:r w:rsidR="001A06BA" w:rsidRPr="00EA3D7E">
        <w:rPr>
          <w:bCs/>
          <w:sz w:val="22"/>
          <w:szCs w:val="22"/>
        </w:rPr>
        <w:t>f blood, tissue and cellular therapy products must comply with as a condition of their manufacturing licence</w:t>
      </w:r>
      <w:r w:rsidR="001C07DF" w:rsidRPr="00EA3D7E">
        <w:rPr>
          <w:bCs/>
          <w:sz w:val="22"/>
          <w:szCs w:val="22"/>
        </w:rPr>
        <w:t xml:space="preserve"> under the Act</w:t>
      </w:r>
      <w:r w:rsidR="001A06BA" w:rsidRPr="00EA3D7E">
        <w:rPr>
          <w:bCs/>
          <w:sz w:val="22"/>
          <w:szCs w:val="22"/>
        </w:rPr>
        <w:t xml:space="preserve">. </w:t>
      </w:r>
      <w:r w:rsidRPr="00EA3D7E">
        <w:rPr>
          <w:bCs/>
          <w:sz w:val="22"/>
          <w:szCs w:val="22"/>
        </w:rPr>
        <w:t xml:space="preserve"> This document is available for free from the </w:t>
      </w:r>
      <w:r w:rsidR="001A06BA" w:rsidRPr="00EA3D7E">
        <w:rPr>
          <w:bCs/>
          <w:sz w:val="22"/>
          <w:szCs w:val="22"/>
        </w:rPr>
        <w:t xml:space="preserve">TGA </w:t>
      </w:r>
      <w:r w:rsidRPr="00EA3D7E">
        <w:rPr>
          <w:bCs/>
          <w:sz w:val="22"/>
          <w:szCs w:val="22"/>
        </w:rPr>
        <w:t>website (</w:t>
      </w:r>
      <w:r w:rsidR="000F5FED" w:rsidRPr="00F6698B">
        <w:rPr>
          <w:sz w:val="22"/>
          <w:szCs w:val="22"/>
        </w:rPr>
        <w:t>www.tga.gov.au</w:t>
      </w:r>
      <w:r w:rsidRPr="00F6698B">
        <w:rPr>
          <w:bCs/>
          <w:sz w:val="22"/>
          <w:szCs w:val="22"/>
        </w:rPr>
        <w:t>)</w:t>
      </w:r>
      <w:r w:rsidR="000F5FED" w:rsidRPr="00F6698B">
        <w:rPr>
          <w:bCs/>
          <w:sz w:val="22"/>
          <w:szCs w:val="22"/>
        </w:rPr>
        <w:t>.  The same version of this document was incorporated by reference in the former Determination</w:t>
      </w:r>
      <w:r w:rsidRPr="00EA3D7E">
        <w:rPr>
          <w:bCs/>
          <w:sz w:val="22"/>
          <w:szCs w:val="22"/>
        </w:rPr>
        <w:t>;</w:t>
      </w:r>
    </w:p>
    <w:p w:rsidR="00C33EB7" w:rsidRPr="00EA3D7E" w:rsidRDefault="007B0AF8" w:rsidP="007B0AF8">
      <w:pPr>
        <w:pStyle w:val="Definition"/>
        <w:numPr>
          <w:ilvl w:val="0"/>
          <w:numId w:val="19"/>
        </w:numPr>
      </w:pPr>
      <w:r w:rsidRPr="00EA3D7E">
        <w:rPr>
          <w:i/>
        </w:rPr>
        <w:t xml:space="preserve">Guide to Good Manufacturing Practice for Medicinal Products </w:t>
      </w:r>
      <w:r w:rsidRPr="00EA3D7E">
        <w:t>(PE 009-14, 1 July 2018)</w:t>
      </w:r>
      <w:r w:rsidR="00C33EB7" w:rsidRPr="00EA3D7E">
        <w:t>, which sets out standards that apply to the manufacture of medicines and similar products intended for human use.  This documen</w:t>
      </w:r>
      <w:r w:rsidR="00B17D4A" w:rsidRPr="00EA3D7E">
        <w:t>t is</w:t>
      </w:r>
      <w:r w:rsidR="006F66D2" w:rsidRPr="00EA3D7E">
        <w:t xml:space="preserve"> </w:t>
      </w:r>
      <w:r w:rsidR="00B17D4A" w:rsidRPr="00EA3D7E">
        <w:t>available for free from t</w:t>
      </w:r>
      <w:r w:rsidR="00066D01" w:rsidRPr="00EA3D7E">
        <w:t>he</w:t>
      </w:r>
      <w:r w:rsidR="00810D0E" w:rsidRPr="00EA3D7E">
        <w:t xml:space="preserve"> PIC/S website (https://picscheme.org)</w:t>
      </w:r>
      <w:r w:rsidR="00066D01" w:rsidRPr="00EA3D7E">
        <w:t xml:space="preserve"> </w:t>
      </w:r>
      <w:r w:rsidR="00B13ABA" w:rsidRPr="00EA3D7E">
        <w:t xml:space="preserve">and is reproduced on the </w:t>
      </w:r>
      <w:r w:rsidR="00066D01" w:rsidRPr="00EA3D7E">
        <w:t>TGA we</w:t>
      </w:r>
      <w:r w:rsidR="00C33EB7" w:rsidRPr="00EA3D7E">
        <w:rPr>
          <w:rFonts w:eastAsia="MS Mincho"/>
          <w:lang w:eastAsia="ja-JP"/>
        </w:rPr>
        <w:t>bsite (</w:t>
      </w:r>
      <w:r w:rsidR="000F5FED" w:rsidRPr="00EA3D7E">
        <w:t>www.tga.gov.au</w:t>
      </w:r>
      <w:r w:rsidR="00C33EB7" w:rsidRPr="00EA3D7E">
        <w:t>)</w:t>
      </w:r>
      <w:r w:rsidR="000F5FED" w:rsidRPr="00EA3D7E">
        <w:t>.  As above, the incorporation of this document is updated to reflect the most recent version available at the time of the commencement of the Determination</w:t>
      </w:r>
      <w:r w:rsidR="003C1CCD" w:rsidRPr="00EA3D7E">
        <w:t>;</w:t>
      </w:r>
    </w:p>
    <w:p w:rsidR="000D3B57" w:rsidRPr="00EA3D7E" w:rsidRDefault="001C07DF" w:rsidP="000D3B57">
      <w:pPr>
        <w:pStyle w:val="Definition"/>
        <w:numPr>
          <w:ilvl w:val="0"/>
          <w:numId w:val="19"/>
        </w:numPr>
      </w:pPr>
      <w:r w:rsidRPr="00EA3D7E">
        <w:rPr>
          <w:i/>
        </w:rPr>
        <w:t>Guideline on the Scientific Data Requirements for a Plasma Master File (PMF)</w:t>
      </w:r>
      <w:r w:rsidRPr="00EA3D7E">
        <w:t xml:space="preserve"> Revision 1 (2006) (Doc. Ref. EMEA/CHMP/BWP/3794/03 Rev.1), which provides guidance on the structure and requirements for presentation of data on starting material in a plasma master file.  This document is available for free from the European Medicines Agency website </w:t>
      </w:r>
      <w:r w:rsidR="0036084F" w:rsidRPr="00EA3D7E">
        <w:t>(</w:t>
      </w:r>
      <w:r w:rsidR="000F5FED" w:rsidRPr="00EA3D7E">
        <w:t>www.ema.europa.eu</w:t>
      </w:r>
      <w:r w:rsidRPr="00EA3D7E">
        <w:t>)</w:t>
      </w:r>
      <w:r w:rsidR="000F5FED" w:rsidRPr="00EA3D7E">
        <w:t xml:space="preserve">.  </w:t>
      </w:r>
      <w:r w:rsidR="000F5FED" w:rsidRPr="00EA3D7E">
        <w:rPr>
          <w:bCs/>
        </w:rPr>
        <w:t>The same version of this document was incorporated by reference in the former Determination</w:t>
      </w:r>
      <w:r w:rsidR="000D3B57" w:rsidRPr="00EA3D7E">
        <w:t>;</w:t>
      </w:r>
    </w:p>
    <w:p w:rsidR="00404DA3" w:rsidRPr="00EA3D7E" w:rsidRDefault="000D3B57" w:rsidP="000D3B57">
      <w:pPr>
        <w:pStyle w:val="Definition"/>
        <w:numPr>
          <w:ilvl w:val="0"/>
          <w:numId w:val="19"/>
        </w:numPr>
      </w:pPr>
      <w:r w:rsidRPr="00EA3D7E">
        <w:rPr>
          <w:i/>
        </w:rPr>
        <w:t>Guideline for the Preparation of Technical Master Files for Blood, Blood Components and Haematopoietic Progenitor Cells</w:t>
      </w:r>
      <w:r w:rsidRPr="00EA3D7E">
        <w:t xml:space="preserve"> (Third Edition, 2008), which provides guidance to manufacturers in </w:t>
      </w:r>
      <w:r w:rsidR="00314953" w:rsidRPr="00EA3D7E">
        <w:t>relation to the development of t</w:t>
      </w:r>
      <w:r w:rsidRPr="00EA3D7E">
        <w:t>echnical master files (TMF) relevant to blood, blood components and haematopoietic progenitor cells.</w:t>
      </w:r>
      <w:r w:rsidRPr="00EA3D7E">
        <w:rPr>
          <w:bCs/>
        </w:rPr>
        <w:t xml:space="preserve"> </w:t>
      </w:r>
      <w:r w:rsidR="00314953" w:rsidRPr="00EA3D7E">
        <w:rPr>
          <w:bCs/>
        </w:rPr>
        <w:t xml:space="preserve"> </w:t>
      </w:r>
      <w:r w:rsidRPr="00EA3D7E">
        <w:rPr>
          <w:bCs/>
        </w:rPr>
        <w:t>This document is available for free from the TGA website (</w:t>
      </w:r>
      <w:r w:rsidR="000F5FED" w:rsidRPr="00EA3D7E">
        <w:t>www.tga.gov.au</w:t>
      </w:r>
      <w:r w:rsidRPr="00EA3D7E">
        <w:rPr>
          <w:bCs/>
        </w:rPr>
        <w:t>)</w:t>
      </w:r>
      <w:r w:rsidR="000F5FED" w:rsidRPr="00EA3D7E">
        <w:rPr>
          <w:bCs/>
        </w:rPr>
        <w:t>.  The same version of this document was incorporated by reference in the former Determination</w:t>
      </w:r>
      <w:r w:rsidR="00404DA3" w:rsidRPr="00EA3D7E">
        <w:rPr>
          <w:bCs/>
        </w:rPr>
        <w:t>;</w:t>
      </w:r>
    </w:p>
    <w:p w:rsidR="000D3B57" w:rsidRPr="00EA3D7E" w:rsidRDefault="00404DA3" w:rsidP="000D3B57">
      <w:pPr>
        <w:pStyle w:val="Definition"/>
        <w:numPr>
          <w:ilvl w:val="0"/>
          <w:numId w:val="19"/>
        </w:numPr>
      </w:pPr>
      <w:r w:rsidRPr="00EA3D7E">
        <w:rPr>
          <w:i/>
        </w:rPr>
        <w:t>Transition to new GMP requirements for medicinal products: A notice about the implications of adopting the PIC/S Guide to GMP PE009-14</w:t>
      </w:r>
      <w:r w:rsidRPr="00EA3D7E">
        <w:t>, which is a notice to assist Australian sponsors and manufacturers of medicines and active pharmaceutical ingredients supplied in Australia with the transition to the current version of the PIC/S Guide to G</w:t>
      </w:r>
      <w:r w:rsidR="00314953" w:rsidRPr="00EA3D7E">
        <w:t xml:space="preserve">ood </w:t>
      </w:r>
      <w:r w:rsidRPr="00EA3D7E">
        <w:t>M</w:t>
      </w:r>
      <w:r w:rsidR="00314953" w:rsidRPr="00EA3D7E">
        <w:t xml:space="preserve">anufacturing </w:t>
      </w:r>
      <w:r w:rsidRPr="00EA3D7E">
        <w:t>P</w:t>
      </w:r>
      <w:r w:rsidR="00314953" w:rsidRPr="00EA3D7E">
        <w:t>ractice</w:t>
      </w:r>
      <w:r w:rsidR="000D3B57" w:rsidRPr="00EA3D7E">
        <w:rPr>
          <w:bCs/>
        </w:rPr>
        <w:t>.</w:t>
      </w:r>
      <w:r w:rsidR="00CD4989" w:rsidRPr="00EA3D7E">
        <w:rPr>
          <w:bCs/>
        </w:rPr>
        <w:t xml:space="preserve"> </w:t>
      </w:r>
      <w:r w:rsidR="00314953" w:rsidRPr="00EA3D7E">
        <w:rPr>
          <w:bCs/>
        </w:rPr>
        <w:t xml:space="preserve"> </w:t>
      </w:r>
      <w:r w:rsidR="00CD4989" w:rsidRPr="00EA3D7E">
        <w:rPr>
          <w:bCs/>
        </w:rPr>
        <w:t>This document is available for free from the TGA website (</w:t>
      </w:r>
      <w:r w:rsidR="000F5FED" w:rsidRPr="00EA3D7E">
        <w:t>www.tga.gov.au</w:t>
      </w:r>
      <w:r w:rsidR="00CD4989" w:rsidRPr="00EA3D7E">
        <w:rPr>
          <w:bCs/>
        </w:rPr>
        <w:t>).</w:t>
      </w:r>
      <w:r w:rsidR="000F5FED" w:rsidRPr="00EA3D7E">
        <w:rPr>
          <w:bCs/>
        </w:rPr>
        <w:t xml:space="preserve">  It is a new document that is incorporated by reference for the first time in this Determination.</w:t>
      </w:r>
    </w:p>
    <w:p w:rsidR="000D3B57" w:rsidRPr="00EA3D7E" w:rsidRDefault="000D3B57" w:rsidP="007B0AF8">
      <w:pPr>
        <w:rPr>
          <w:rFonts w:ascii="Times New Roman" w:hAnsi="Times New Roman"/>
          <w:bCs/>
          <w:sz w:val="22"/>
          <w:szCs w:val="22"/>
        </w:rPr>
      </w:pPr>
    </w:p>
    <w:p w:rsidR="007B0AF8" w:rsidRPr="00EA3D7E" w:rsidRDefault="007B0AF8" w:rsidP="007B0AF8">
      <w:pPr>
        <w:rPr>
          <w:rFonts w:ascii="Times New Roman" w:hAnsi="Times New Roman"/>
          <w:bCs/>
          <w:sz w:val="22"/>
          <w:szCs w:val="22"/>
        </w:rPr>
      </w:pPr>
      <w:r w:rsidRPr="00EA3D7E">
        <w:rPr>
          <w:rFonts w:ascii="Times New Roman" w:hAnsi="Times New Roman"/>
          <w:bCs/>
          <w:sz w:val="22"/>
          <w:szCs w:val="22"/>
        </w:rPr>
        <w:t xml:space="preserve">Each of these documents is incorporated </w:t>
      </w:r>
      <w:r w:rsidR="003C1CCD" w:rsidRPr="00EA3D7E">
        <w:rPr>
          <w:rFonts w:ascii="Times New Roman" w:hAnsi="Times New Roman"/>
          <w:bCs/>
          <w:sz w:val="22"/>
          <w:szCs w:val="22"/>
        </w:rPr>
        <w:t>as in force or existing at the time the Determination commences in accordance with paragraph 14(1</w:t>
      </w:r>
      <w:proofErr w:type="gramStart"/>
      <w:r w:rsidR="003C1CCD" w:rsidRPr="00EA3D7E">
        <w:rPr>
          <w:rFonts w:ascii="Times New Roman" w:hAnsi="Times New Roman"/>
          <w:bCs/>
          <w:sz w:val="22"/>
          <w:szCs w:val="22"/>
        </w:rPr>
        <w:t>)(</w:t>
      </w:r>
      <w:proofErr w:type="gramEnd"/>
      <w:r w:rsidR="003C1CCD" w:rsidRPr="00EA3D7E">
        <w:rPr>
          <w:rFonts w:ascii="Times New Roman" w:hAnsi="Times New Roman"/>
          <w:bCs/>
          <w:sz w:val="22"/>
          <w:szCs w:val="22"/>
        </w:rPr>
        <w:t xml:space="preserve">b) of the </w:t>
      </w:r>
      <w:r w:rsidR="003C1CCD" w:rsidRPr="00EA3D7E">
        <w:rPr>
          <w:rFonts w:ascii="Times New Roman" w:hAnsi="Times New Roman"/>
          <w:bCs/>
          <w:i/>
          <w:sz w:val="22"/>
          <w:szCs w:val="22"/>
        </w:rPr>
        <w:t>Legislation Act 2003</w:t>
      </w:r>
      <w:r w:rsidR="003C1CCD" w:rsidRPr="00EA3D7E">
        <w:rPr>
          <w:rFonts w:ascii="Times New Roman" w:hAnsi="Times New Roman"/>
          <w:bCs/>
          <w:sz w:val="22"/>
          <w:szCs w:val="22"/>
        </w:rPr>
        <w:t>.</w:t>
      </w:r>
      <w:r w:rsidR="000F5FED" w:rsidRPr="00EA3D7E">
        <w:rPr>
          <w:rFonts w:ascii="Times New Roman" w:hAnsi="Times New Roman"/>
          <w:bCs/>
          <w:sz w:val="22"/>
          <w:szCs w:val="22"/>
        </w:rPr>
        <w:t xml:space="preserve">  </w:t>
      </w:r>
    </w:p>
    <w:p w:rsidR="007B0AF8" w:rsidRPr="00EA3D7E" w:rsidRDefault="007B0AF8" w:rsidP="007B0AF8">
      <w:pPr>
        <w:rPr>
          <w:rFonts w:ascii="Times New Roman" w:hAnsi="Times New Roman"/>
          <w:bCs/>
          <w:sz w:val="22"/>
          <w:szCs w:val="22"/>
        </w:rPr>
      </w:pPr>
    </w:p>
    <w:p w:rsidR="000D3B57" w:rsidRPr="00EA3D7E" w:rsidRDefault="000D3B57" w:rsidP="007B0AF8">
      <w:pPr>
        <w:rPr>
          <w:rFonts w:ascii="Times New Roman" w:hAnsi="Times New Roman"/>
          <w:bCs/>
          <w:sz w:val="22"/>
          <w:szCs w:val="22"/>
        </w:rPr>
      </w:pPr>
      <w:r w:rsidRPr="00EA3D7E">
        <w:rPr>
          <w:rFonts w:ascii="Times New Roman" w:hAnsi="Times New Roman"/>
          <w:bCs/>
          <w:sz w:val="22"/>
          <w:szCs w:val="22"/>
        </w:rPr>
        <w:t>The Determination also incorporates the fo</w:t>
      </w:r>
      <w:r w:rsidR="00B13ABA" w:rsidRPr="00EA3D7E">
        <w:rPr>
          <w:rFonts w:ascii="Times New Roman" w:hAnsi="Times New Roman"/>
          <w:bCs/>
          <w:sz w:val="22"/>
          <w:szCs w:val="22"/>
        </w:rPr>
        <w:t>llowing legislative instruments</w:t>
      </w:r>
      <w:r w:rsidR="00013854" w:rsidRPr="00EA3D7E">
        <w:rPr>
          <w:rFonts w:ascii="Times New Roman" w:hAnsi="Times New Roman"/>
          <w:bCs/>
          <w:sz w:val="22"/>
          <w:szCs w:val="22"/>
        </w:rPr>
        <w:t>,</w:t>
      </w:r>
      <w:r w:rsidR="00B13ABA" w:rsidRPr="00EA3D7E">
        <w:rPr>
          <w:rFonts w:ascii="Times New Roman" w:hAnsi="Times New Roman"/>
          <w:bCs/>
          <w:sz w:val="22"/>
          <w:szCs w:val="22"/>
        </w:rPr>
        <w:t xml:space="preserve"> which constitute standards for the purposes of se</w:t>
      </w:r>
      <w:r w:rsidR="00C36603" w:rsidRPr="00EA3D7E">
        <w:rPr>
          <w:rFonts w:ascii="Times New Roman" w:hAnsi="Times New Roman"/>
          <w:bCs/>
          <w:sz w:val="22"/>
          <w:szCs w:val="22"/>
        </w:rPr>
        <w:t>ction 10 of</w:t>
      </w:r>
      <w:r w:rsidRPr="00EA3D7E">
        <w:rPr>
          <w:rFonts w:ascii="Times New Roman" w:hAnsi="Times New Roman"/>
          <w:bCs/>
          <w:sz w:val="22"/>
          <w:szCs w:val="22"/>
        </w:rPr>
        <w:t xml:space="preserve"> the Act:</w:t>
      </w:r>
    </w:p>
    <w:p w:rsidR="000D3B57" w:rsidRPr="00EA3D7E" w:rsidRDefault="000D3B57" w:rsidP="000D3B57">
      <w:pPr>
        <w:pStyle w:val="Definition"/>
        <w:numPr>
          <w:ilvl w:val="0"/>
          <w:numId w:val="19"/>
        </w:numPr>
      </w:pPr>
      <w:r w:rsidRPr="00EA3D7E">
        <w:rPr>
          <w:i/>
        </w:rPr>
        <w:t>Therapeutic Goods Order No. 88</w:t>
      </w:r>
      <w:r w:rsidR="0013628A" w:rsidRPr="00EA3D7E">
        <w:rPr>
          <w:i/>
        </w:rPr>
        <w:t xml:space="preserve"> </w:t>
      </w:r>
      <w:r w:rsidRPr="00EA3D7E">
        <w:rPr>
          <w:i/>
        </w:rPr>
        <w:t xml:space="preserve"> Standards for donor selection, testing, and minimising infectious disease transmission via therapeutic goods that are human blood and blood components, human tissues and human cellular therapy products, </w:t>
      </w:r>
      <w:r w:rsidRPr="00EA3D7E">
        <w:t>which</w:t>
      </w:r>
      <w:r w:rsidR="00066D01" w:rsidRPr="00EA3D7E">
        <w:t xml:space="preserve"> </w:t>
      </w:r>
      <w:r w:rsidR="00B13ABA" w:rsidRPr="00EA3D7E">
        <w:t>specifies minimum technical requirements in relation to</w:t>
      </w:r>
      <w:r w:rsidR="006856E3" w:rsidRPr="00EA3D7E">
        <w:t xml:space="preserve"> </w:t>
      </w:r>
      <w:r w:rsidR="00B13ABA" w:rsidRPr="00EA3D7E">
        <w:t xml:space="preserve">donor selection, donor testing and </w:t>
      </w:r>
      <w:r w:rsidR="00013854" w:rsidRPr="00EA3D7E">
        <w:t xml:space="preserve">the </w:t>
      </w:r>
      <w:r w:rsidR="00B13ABA" w:rsidRPr="00EA3D7E">
        <w:t>manufacture of human blood, blood components, tissues and cellular therapy products;</w:t>
      </w:r>
    </w:p>
    <w:p w:rsidR="000F5FED" w:rsidRPr="00EA3D7E" w:rsidRDefault="000F5FED" w:rsidP="000F5FED">
      <w:pPr>
        <w:pStyle w:val="Definition"/>
        <w:numPr>
          <w:ilvl w:val="0"/>
          <w:numId w:val="19"/>
        </w:numPr>
        <w:rPr>
          <w:iCs/>
        </w:rPr>
      </w:pPr>
      <w:r w:rsidRPr="00EA3D7E">
        <w:rPr>
          <w:i/>
        </w:rPr>
        <w:t>Therapeutic Goods Order No. 94 (Standard for Haematopoietic Progenitor Cells derived from Cord Blood) 2017</w:t>
      </w:r>
      <w:r w:rsidRPr="00EA3D7E">
        <w:t xml:space="preserve">, which specifies technical requirements in relation to </w:t>
      </w:r>
      <w:r w:rsidRPr="00EA3D7E">
        <w:rPr>
          <w:iCs/>
        </w:rPr>
        <w:t>therapeutic goods that are haematopoietic progenitor cells derived from cord blood</w:t>
      </w:r>
      <w:r w:rsidR="00B07C01" w:rsidRPr="00EA3D7E">
        <w:rPr>
          <w:iCs/>
        </w:rPr>
        <w:t>;</w:t>
      </w:r>
    </w:p>
    <w:p w:rsidR="000D3B57" w:rsidRPr="00EA3D7E" w:rsidRDefault="000D3B57" w:rsidP="00B71D63">
      <w:pPr>
        <w:pStyle w:val="Definition"/>
        <w:numPr>
          <w:ilvl w:val="0"/>
          <w:numId w:val="19"/>
        </w:numPr>
        <w:rPr>
          <w:bCs/>
        </w:rPr>
      </w:pPr>
      <w:r w:rsidRPr="00EA3D7E">
        <w:rPr>
          <w:i/>
        </w:rPr>
        <w:lastRenderedPageBreak/>
        <w:t>Therapeutic Goods (Standard for Blood and Blood Components) (TGO 102) Order 2019</w:t>
      </w:r>
      <w:r w:rsidR="006856E3" w:rsidRPr="00EA3D7E">
        <w:t xml:space="preserve">, which </w:t>
      </w:r>
      <w:r w:rsidR="00B13ABA" w:rsidRPr="00EA3D7E">
        <w:t xml:space="preserve">specifies </w:t>
      </w:r>
      <w:r w:rsidR="00013854" w:rsidRPr="00EA3D7E">
        <w:t>requirements in relation to</w:t>
      </w:r>
      <w:r w:rsidR="00B13ABA" w:rsidRPr="00EA3D7E">
        <w:t xml:space="preserve"> </w:t>
      </w:r>
      <w:r w:rsidR="00013854" w:rsidRPr="00EA3D7E">
        <w:t xml:space="preserve">therapeutic goods that are </w:t>
      </w:r>
      <w:r w:rsidR="00B13ABA" w:rsidRPr="00EA3D7E">
        <w:t>blood and blood components</w:t>
      </w:r>
      <w:r w:rsidR="006856E3" w:rsidRPr="00EA3D7E">
        <w:t>.</w:t>
      </w:r>
    </w:p>
    <w:p w:rsidR="004540DF" w:rsidRPr="00EA3D7E" w:rsidRDefault="004540DF" w:rsidP="000D3B57">
      <w:pPr>
        <w:rPr>
          <w:rFonts w:ascii="Times New Roman" w:hAnsi="Times New Roman"/>
          <w:bCs/>
          <w:sz w:val="22"/>
          <w:szCs w:val="22"/>
        </w:rPr>
      </w:pPr>
    </w:p>
    <w:p w:rsidR="000D3B57" w:rsidRPr="00EA3D7E" w:rsidRDefault="00244A91" w:rsidP="000D3B57">
      <w:pPr>
        <w:rPr>
          <w:rFonts w:ascii="Times New Roman" w:hAnsi="Times New Roman"/>
          <w:bCs/>
          <w:sz w:val="22"/>
          <w:szCs w:val="22"/>
        </w:rPr>
      </w:pPr>
      <w:r w:rsidRPr="00EA3D7E">
        <w:rPr>
          <w:rFonts w:ascii="Times New Roman" w:hAnsi="Times New Roman"/>
          <w:bCs/>
          <w:sz w:val="22"/>
          <w:szCs w:val="22"/>
        </w:rPr>
        <w:t>Each of these documents is incorporated as in force from time to time</w:t>
      </w:r>
      <w:r w:rsidR="00C2435A" w:rsidRPr="00EA3D7E">
        <w:rPr>
          <w:rFonts w:ascii="Times New Roman" w:hAnsi="Times New Roman"/>
          <w:bCs/>
          <w:sz w:val="22"/>
          <w:szCs w:val="22"/>
        </w:rPr>
        <w:t>,</w:t>
      </w:r>
      <w:r w:rsidRPr="00EA3D7E">
        <w:rPr>
          <w:rFonts w:ascii="Times New Roman" w:hAnsi="Times New Roman"/>
          <w:bCs/>
          <w:sz w:val="22"/>
          <w:szCs w:val="22"/>
        </w:rPr>
        <w:t xml:space="preserve"> in accordance with paragraph 14(1</w:t>
      </w:r>
      <w:proofErr w:type="gramStart"/>
      <w:r w:rsidRPr="00EA3D7E">
        <w:rPr>
          <w:rFonts w:ascii="Times New Roman" w:hAnsi="Times New Roman"/>
          <w:bCs/>
          <w:sz w:val="22"/>
          <w:szCs w:val="22"/>
        </w:rPr>
        <w:t>)(</w:t>
      </w:r>
      <w:proofErr w:type="gramEnd"/>
      <w:r w:rsidRPr="00EA3D7E">
        <w:rPr>
          <w:rFonts w:ascii="Times New Roman" w:hAnsi="Times New Roman"/>
          <w:bCs/>
          <w:sz w:val="22"/>
          <w:szCs w:val="22"/>
        </w:rPr>
        <w:t xml:space="preserve">a) of the </w:t>
      </w:r>
      <w:r w:rsidRPr="00EA3D7E">
        <w:rPr>
          <w:rFonts w:ascii="Times New Roman" w:hAnsi="Times New Roman"/>
          <w:bCs/>
          <w:i/>
          <w:sz w:val="22"/>
          <w:szCs w:val="22"/>
        </w:rPr>
        <w:t>Legislation Act 2003</w:t>
      </w:r>
      <w:r w:rsidRPr="00EA3D7E">
        <w:rPr>
          <w:rFonts w:ascii="Times New Roman" w:hAnsi="Times New Roman"/>
          <w:bCs/>
          <w:sz w:val="22"/>
          <w:szCs w:val="22"/>
        </w:rPr>
        <w:t>.</w:t>
      </w:r>
      <w:r w:rsidR="004148DC" w:rsidRPr="00EA3D7E">
        <w:rPr>
          <w:rFonts w:ascii="Times New Roman" w:hAnsi="Times New Roman"/>
          <w:bCs/>
          <w:sz w:val="22"/>
          <w:szCs w:val="22"/>
        </w:rPr>
        <w:t xml:space="preserve"> </w:t>
      </w:r>
      <w:r w:rsidR="00621F10" w:rsidRPr="00EA3D7E">
        <w:rPr>
          <w:rFonts w:ascii="Times New Roman" w:hAnsi="Times New Roman"/>
          <w:bCs/>
          <w:sz w:val="22"/>
          <w:szCs w:val="22"/>
        </w:rPr>
        <w:t xml:space="preserve"> </w:t>
      </w:r>
      <w:r w:rsidR="004148DC" w:rsidRPr="00EA3D7E">
        <w:rPr>
          <w:rFonts w:ascii="Times New Roman" w:hAnsi="Times New Roman"/>
          <w:bCs/>
          <w:sz w:val="22"/>
          <w:szCs w:val="22"/>
        </w:rPr>
        <w:t>T</w:t>
      </w:r>
      <w:r w:rsidR="000D3B57" w:rsidRPr="00EA3D7E">
        <w:rPr>
          <w:rFonts w:ascii="Times New Roman" w:hAnsi="Times New Roman"/>
          <w:bCs/>
          <w:sz w:val="22"/>
          <w:szCs w:val="22"/>
        </w:rPr>
        <w:t>hese instruments are available for free from the Federal Register of Legislation (</w:t>
      </w:r>
      <w:r w:rsidR="0036084F" w:rsidRPr="00EA3D7E">
        <w:rPr>
          <w:rFonts w:ascii="Times New Roman" w:hAnsi="Times New Roman"/>
          <w:bCs/>
          <w:sz w:val="22"/>
          <w:szCs w:val="22"/>
        </w:rPr>
        <w:t>www.</w:t>
      </w:r>
      <w:r w:rsidR="000D3B57" w:rsidRPr="00EA3D7E">
        <w:rPr>
          <w:rFonts w:ascii="Times New Roman" w:hAnsi="Times New Roman"/>
          <w:bCs/>
          <w:sz w:val="22"/>
          <w:szCs w:val="22"/>
        </w:rPr>
        <w:t>legislation.gov.au)</w:t>
      </w:r>
      <w:r w:rsidR="00066D01" w:rsidRPr="00EA3D7E">
        <w:rPr>
          <w:rFonts w:ascii="Times New Roman" w:hAnsi="Times New Roman"/>
          <w:bCs/>
          <w:sz w:val="22"/>
          <w:szCs w:val="22"/>
        </w:rPr>
        <w:t>.</w:t>
      </w:r>
    </w:p>
    <w:p w:rsidR="000D3B57" w:rsidRPr="00EA3D7E" w:rsidRDefault="000D3B57" w:rsidP="007B0AF8">
      <w:pPr>
        <w:rPr>
          <w:rFonts w:ascii="Times New Roman" w:hAnsi="Times New Roman"/>
          <w:bCs/>
          <w:sz w:val="22"/>
          <w:szCs w:val="22"/>
        </w:rPr>
      </w:pPr>
    </w:p>
    <w:p w:rsidR="00804792" w:rsidRPr="00EA3D7E" w:rsidRDefault="007B0AF8" w:rsidP="00621F10">
      <w:pPr>
        <w:keepNext/>
        <w:ind w:right="-96"/>
        <w:rPr>
          <w:rFonts w:ascii="Times New Roman" w:hAnsi="Times New Roman"/>
          <w:b/>
          <w:sz w:val="22"/>
          <w:szCs w:val="22"/>
        </w:rPr>
      </w:pPr>
      <w:r w:rsidRPr="00EA3D7E">
        <w:rPr>
          <w:rFonts w:ascii="Times New Roman" w:hAnsi="Times New Roman"/>
          <w:b/>
          <w:sz w:val="22"/>
          <w:szCs w:val="22"/>
        </w:rPr>
        <w:t>Consultation</w:t>
      </w:r>
    </w:p>
    <w:p w:rsidR="00767767" w:rsidRPr="00EA3D7E" w:rsidRDefault="00767767" w:rsidP="00621F10">
      <w:pPr>
        <w:keepNext/>
        <w:ind w:right="-96"/>
        <w:rPr>
          <w:rFonts w:ascii="Times New Roman" w:hAnsi="Times New Roman"/>
          <w:sz w:val="22"/>
          <w:szCs w:val="22"/>
        </w:rPr>
      </w:pPr>
    </w:p>
    <w:p w:rsidR="001E4A9A" w:rsidRPr="00F6698B" w:rsidRDefault="001E4A9A" w:rsidP="003E176D">
      <w:pPr>
        <w:rPr>
          <w:rFonts w:ascii="Times New Roman" w:hAnsi="Times New Roman"/>
          <w:color w:val="000000"/>
          <w:sz w:val="22"/>
          <w:szCs w:val="22"/>
          <w:shd w:val="clear" w:color="auto" w:fill="FFFFFF"/>
        </w:rPr>
      </w:pPr>
      <w:r w:rsidRPr="00F6698B">
        <w:rPr>
          <w:rFonts w:ascii="Times New Roman" w:hAnsi="Times New Roman"/>
          <w:color w:val="000000"/>
          <w:sz w:val="22"/>
          <w:szCs w:val="22"/>
          <w:shd w:val="clear" w:color="auto" w:fill="FFFFFF"/>
        </w:rPr>
        <w:t xml:space="preserve">The TGA undertook </w:t>
      </w:r>
      <w:r w:rsidR="007B007B">
        <w:rPr>
          <w:rFonts w:ascii="Times New Roman" w:hAnsi="Times New Roman"/>
          <w:color w:val="000000"/>
          <w:sz w:val="22"/>
          <w:szCs w:val="22"/>
          <w:shd w:val="clear" w:color="auto" w:fill="FFFFFF"/>
        </w:rPr>
        <w:t xml:space="preserve">targeted </w:t>
      </w:r>
      <w:r w:rsidRPr="00F6698B">
        <w:rPr>
          <w:rFonts w:ascii="Times New Roman" w:hAnsi="Times New Roman"/>
          <w:color w:val="000000"/>
          <w:sz w:val="22"/>
          <w:szCs w:val="22"/>
          <w:shd w:val="clear" w:color="auto" w:fill="FFFFFF"/>
        </w:rPr>
        <w:t xml:space="preserve">consultation in relation to the incorporation of the most recent version of the PIC/S Guides to Good Manufacturing Practice.  </w:t>
      </w:r>
      <w:r w:rsidR="005A4ABA" w:rsidRPr="00F6698B">
        <w:rPr>
          <w:rFonts w:ascii="Times New Roman" w:hAnsi="Times New Roman"/>
          <w:color w:val="000000"/>
          <w:sz w:val="22"/>
          <w:szCs w:val="22"/>
          <w:shd w:val="clear" w:color="auto" w:fill="FFFFFF"/>
        </w:rPr>
        <w:t xml:space="preserve">A gap-analysis of the differences between </w:t>
      </w:r>
      <w:r w:rsidR="008370FA" w:rsidRPr="00F6698B">
        <w:rPr>
          <w:rFonts w:ascii="Times New Roman" w:hAnsi="Times New Roman"/>
          <w:color w:val="000000"/>
          <w:sz w:val="22"/>
          <w:szCs w:val="22"/>
          <w:shd w:val="clear" w:color="auto" w:fill="FFFFFF"/>
        </w:rPr>
        <w:t xml:space="preserve">the </w:t>
      </w:r>
      <w:r w:rsidR="000F5FED" w:rsidRPr="00F6698B">
        <w:rPr>
          <w:rFonts w:ascii="Times New Roman" w:hAnsi="Times New Roman"/>
          <w:color w:val="000000"/>
          <w:sz w:val="22"/>
          <w:szCs w:val="22"/>
          <w:shd w:val="clear" w:color="auto" w:fill="FFFFFF"/>
        </w:rPr>
        <w:t xml:space="preserve">two versions of the </w:t>
      </w:r>
      <w:r w:rsidR="005A4ABA" w:rsidRPr="00F6698B">
        <w:rPr>
          <w:rFonts w:ascii="Times New Roman" w:hAnsi="Times New Roman"/>
          <w:color w:val="000000"/>
          <w:sz w:val="22"/>
          <w:szCs w:val="22"/>
          <w:shd w:val="clear" w:color="auto" w:fill="FFFFFF"/>
        </w:rPr>
        <w:t>PIC/S Guides to G</w:t>
      </w:r>
      <w:r w:rsidR="00B07C01" w:rsidRPr="00F6698B">
        <w:rPr>
          <w:rFonts w:ascii="Times New Roman" w:hAnsi="Times New Roman"/>
          <w:color w:val="000000"/>
          <w:sz w:val="22"/>
          <w:szCs w:val="22"/>
          <w:shd w:val="clear" w:color="auto" w:fill="FFFFFF"/>
        </w:rPr>
        <w:t xml:space="preserve">ood </w:t>
      </w:r>
      <w:r w:rsidR="005A4ABA" w:rsidRPr="00F6698B">
        <w:rPr>
          <w:rFonts w:ascii="Times New Roman" w:hAnsi="Times New Roman"/>
          <w:color w:val="000000"/>
          <w:sz w:val="22"/>
          <w:szCs w:val="22"/>
          <w:shd w:val="clear" w:color="auto" w:fill="FFFFFF"/>
        </w:rPr>
        <w:t>M</w:t>
      </w:r>
      <w:r w:rsidR="00B07C01" w:rsidRPr="00F6698B">
        <w:rPr>
          <w:rFonts w:ascii="Times New Roman" w:hAnsi="Times New Roman"/>
          <w:color w:val="000000"/>
          <w:sz w:val="22"/>
          <w:szCs w:val="22"/>
          <w:shd w:val="clear" w:color="auto" w:fill="FFFFFF"/>
        </w:rPr>
        <w:t xml:space="preserve">anufacturing </w:t>
      </w:r>
      <w:r w:rsidR="005A4ABA" w:rsidRPr="00F6698B">
        <w:rPr>
          <w:rFonts w:ascii="Times New Roman" w:hAnsi="Times New Roman"/>
          <w:color w:val="000000"/>
          <w:sz w:val="22"/>
          <w:szCs w:val="22"/>
          <w:shd w:val="clear" w:color="auto" w:fill="FFFFFF"/>
        </w:rPr>
        <w:t>P</w:t>
      </w:r>
      <w:r w:rsidR="00B07C01" w:rsidRPr="00F6698B">
        <w:rPr>
          <w:rFonts w:ascii="Times New Roman" w:hAnsi="Times New Roman"/>
          <w:color w:val="000000"/>
          <w:sz w:val="22"/>
          <w:szCs w:val="22"/>
          <w:shd w:val="clear" w:color="auto" w:fill="FFFFFF"/>
        </w:rPr>
        <w:t>ractice</w:t>
      </w:r>
      <w:r w:rsidR="005A4ABA" w:rsidRPr="00F6698B">
        <w:rPr>
          <w:rFonts w:ascii="Times New Roman" w:hAnsi="Times New Roman"/>
          <w:color w:val="000000"/>
          <w:sz w:val="22"/>
          <w:szCs w:val="22"/>
          <w:shd w:val="clear" w:color="auto" w:fill="FFFFFF"/>
        </w:rPr>
        <w:t xml:space="preserve"> </w:t>
      </w:r>
      <w:r w:rsidR="000F5FED" w:rsidRPr="00F6698B">
        <w:rPr>
          <w:rFonts w:ascii="Times New Roman" w:hAnsi="Times New Roman"/>
          <w:color w:val="000000"/>
          <w:sz w:val="22"/>
          <w:szCs w:val="22"/>
          <w:shd w:val="clear" w:color="auto" w:fill="FFFFFF"/>
        </w:rPr>
        <w:t xml:space="preserve">published in 2017 and 2018 </w:t>
      </w:r>
      <w:r w:rsidR="008370FA" w:rsidRPr="00F6698B">
        <w:rPr>
          <w:rFonts w:ascii="Times New Roman" w:hAnsi="Times New Roman"/>
          <w:color w:val="000000"/>
          <w:sz w:val="22"/>
          <w:szCs w:val="22"/>
          <w:shd w:val="clear" w:color="auto" w:fill="FFFFFF"/>
        </w:rPr>
        <w:t xml:space="preserve">(as adopted by </w:t>
      </w:r>
      <w:r w:rsidR="000F5FED" w:rsidRPr="00F6698B">
        <w:rPr>
          <w:rFonts w:ascii="Times New Roman" w:hAnsi="Times New Roman"/>
          <w:color w:val="000000"/>
          <w:sz w:val="22"/>
          <w:szCs w:val="22"/>
        </w:rPr>
        <w:t xml:space="preserve">the former Determination </w:t>
      </w:r>
      <w:r w:rsidR="00A41F85" w:rsidRPr="00F6698B">
        <w:rPr>
          <w:rFonts w:ascii="Times New Roman" w:hAnsi="Times New Roman"/>
          <w:color w:val="000000"/>
          <w:sz w:val="22"/>
          <w:szCs w:val="22"/>
        </w:rPr>
        <w:t xml:space="preserve">and the Determination respectively) </w:t>
      </w:r>
      <w:r w:rsidR="005A4ABA" w:rsidRPr="00F6698B">
        <w:rPr>
          <w:rFonts w:ascii="Times New Roman" w:hAnsi="Times New Roman"/>
          <w:color w:val="000000"/>
          <w:sz w:val="22"/>
          <w:szCs w:val="22"/>
          <w:shd w:val="clear" w:color="auto" w:fill="FFFFFF"/>
        </w:rPr>
        <w:t>was made available by the TGA for consultation with the Technical Industry Working Group on GMP (</w:t>
      </w:r>
      <w:r w:rsidR="000F5FED" w:rsidRPr="00F6698B">
        <w:rPr>
          <w:rFonts w:ascii="Times New Roman" w:hAnsi="Times New Roman"/>
          <w:color w:val="000000"/>
          <w:sz w:val="22"/>
          <w:szCs w:val="22"/>
          <w:shd w:val="clear" w:color="auto" w:fill="FFFFFF"/>
        </w:rPr>
        <w:t>“</w:t>
      </w:r>
      <w:r w:rsidR="005A4ABA" w:rsidRPr="00F6698B">
        <w:rPr>
          <w:rFonts w:ascii="Times New Roman" w:hAnsi="Times New Roman"/>
          <w:color w:val="000000"/>
          <w:sz w:val="22"/>
          <w:szCs w:val="22"/>
          <w:shd w:val="clear" w:color="auto" w:fill="FFFFFF"/>
        </w:rPr>
        <w:t>TIWGG</w:t>
      </w:r>
      <w:r w:rsidR="000F5FED" w:rsidRPr="00F6698B">
        <w:rPr>
          <w:rFonts w:ascii="Times New Roman" w:hAnsi="Times New Roman"/>
          <w:color w:val="000000"/>
          <w:sz w:val="22"/>
          <w:szCs w:val="22"/>
          <w:shd w:val="clear" w:color="auto" w:fill="FFFFFF"/>
        </w:rPr>
        <w:t>”</w:t>
      </w:r>
      <w:r w:rsidR="005A4ABA" w:rsidRPr="00F6698B">
        <w:rPr>
          <w:rFonts w:ascii="Times New Roman" w:hAnsi="Times New Roman"/>
          <w:color w:val="000000"/>
          <w:sz w:val="22"/>
          <w:szCs w:val="22"/>
          <w:shd w:val="clear" w:color="auto" w:fill="FFFFFF"/>
        </w:rPr>
        <w:t xml:space="preserve">) in </w:t>
      </w:r>
      <w:r w:rsidR="00536900" w:rsidRPr="00F6698B">
        <w:rPr>
          <w:rFonts w:ascii="Times New Roman" w:hAnsi="Times New Roman"/>
          <w:color w:val="000000"/>
          <w:sz w:val="22"/>
          <w:szCs w:val="22"/>
          <w:shd w:val="clear" w:color="auto" w:fill="FFFFFF"/>
        </w:rPr>
        <w:t>April 2019</w:t>
      </w:r>
      <w:r w:rsidR="005A4ABA" w:rsidRPr="00F6698B">
        <w:rPr>
          <w:rFonts w:ascii="Times New Roman" w:hAnsi="Times New Roman"/>
          <w:color w:val="000000"/>
          <w:sz w:val="22"/>
          <w:szCs w:val="22"/>
          <w:shd w:val="clear" w:color="auto" w:fill="FFFFFF"/>
        </w:rPr>
        <w:t>.</w:t>
      </w:r>
    </w:p>
    <w:p w:rsidR="001E4A9A" w:rsidRPr="00F6698B" w:rsidRDefault="001E4A9A" w:rsidP="003E176D">
      <w:pPr>
        <w:rPr>
          <w:rFonts w:ascii="Times New Roman" w:hAnsi="Times New Roman"/>
          <w:color w:val="000000"/>
          <w:sz w:val="22"/>
          <w:szCs w:val="22"/>
          <w:shd w:val="clear" w:color="auto" w:fill="FFFFFF"/>
        </w:rPr>
      </w:pPr>
    </w:p>
    <w:p w:rsidR="003E176D" w:rsidRPr="00F6698B" w:rsidRDefault="005A4ABA" w:rsidP="003E176D">
      <w:pPr>
        <w:rPr>
          <w:rFonts w:ascii="Times New Roman" w:hAnsi="Times New Roman"/>
          <w:sz w:val="22"/>
          <w:szCs w:val="22"/>
        </w:rPr>
      </w:pPr>
      <w:r w:rsidRPr="00F6698B">
        <w:rPr>
          <w:rFonts w:ascii="Times New Roman" w:hAnsi="Times New Roman"/>
          <w:color w:val="000000"/>
          <w:sz w:val="22"/>
          <w:szCs w:val="22"/>
          <w:shd w:val="clear" w:color="auto" w:fill="FFFFFF"/>
        </w:rPr>
        <w:t xml:space="preserve">The TIWGG is a stakeholder representational group comprising members nominated by </w:t>
      </w:r>
      <w:r w:rsidR="00A41F85" w:rsidRPr="00F6698B">
        <w:rPr>
          <w:rFonts w:ascii="Times New Roman" w:hAnsi="Times New Roman"/>
          <w:color w:val="000000"/>
          <w:sz w:val="22"/>
          <w:szCs w:val="22"/>
          <w:shd w:val="clear" w:color="auto" w:fill="FFFFFF"/>
        </w:rPr>
        <w:t xml:space="preserve">key </w:t>
      </w:r>
      <w:r w:rsidRPr="00F6698B">
        <w:rPr>
          <w:rFonts w:ascii="Times New Roman" w:hAnsi="Times New Roman"/>
          <w:color w:val="000000"/>
          <w:sz w:val="22"/>
          <w:szCs w:val="22"/>
          <w:shd w:val="clear" w:color="auto" w:fill="FFFFFF"/>
        </w:rPr>
        <w:t>peak industry associations</w:t>
      </w:r>
      <w:r w:rsidR="00A41F85" w:rsidRPr="00F6698B">
        <w:rPr>
          <w:rFonts w:ascii="Times New Roman" w:hAnsi="Times New Roman"/>
          <w:color w:val="000000"/>
          <w:sz w:val="22"/>
          <w:szCs w:val="22"/>
          <w:shd w:val="clear" w:color="auto" w:fill="FFFFFF"/>
        </w:rPr>
        <w:t xml:space="preserve"> Accord, the Australia New Zealand Industrial Gas Association, the Active Pharmaceutical Ingredients Manufacturers’ Association of Australia, Complementary Medicines Australia, </w:t>
      </w:r>
      <w:r w:rsidR="00536900" w:rsidRPr="00F6698B">
        <w:rPr>
          <w:rFonts w:ascii="Times New Roman" w:hAnsi="Times New Roman"/>
          <w:color w:val="000000"/>
          <w:sz w:val="22"/>
          <w:szCs w:val="22"/>
          <w:shd w:val="clear" w:color="auto" w:fill="FFFFFF"/>
        </w:rPr>
        <w:t xml:space="preserve">Consumer Healthcare Products Australia and </w:t>
      </w:r>
      <w:r w:rsidR="00A41F85" w:rsidRPr="00F6698B">
        <w:rPr>
          <w:rFonts w:ascii="Times New Roman" w:hAnsi="Times New Roman"/>
          <w:color w:val="000000"/>
          <w:sz w:val="22"/>
          <w:szCs w:val="22"/>
          <w:shd w:val="clear" w:color="auto" w:fill="FFFFFF"/>
        </w:rPr>
        <w:t>the Generic and Biosimilar Medicines Association and Medicines Australia.</w:t>
      </w:r>
      <w:r w:rsidR="00192405" w:rsidRPr="00F6698B">
        <w:rPr>
          <w:rFonts w:ascii="Times New Roman" w:hAnsi="Times New Roman"/>
          <w:color w:val="000000"/>
          <w:sz w:val="22"/>
          <w:szCs w:val="22"/>
          <w:shd w:val="clear" w:color="auto" w:fill="FFFFFF"/>
        </w:rPr>
        <w:t xml:space="preserve"> </w:t>
      </w:r>
      <w:r w:rsidR="000625E3" w:rsidRPr="00F6698B">
        <w:rPr>
          <w:rFonts w:ascii="Times New Roman" w:hAnsi="Times New Roman"/>
          <w:color w:val="000000"/>
          <w:sz w:val="22"/>
          <w:szCs w:val="22"/>
          <w:shd w:val="clear" w:color="auto" w:fill="FFFFFF"/>
        </w:rPr>
        <w:t xml:space="preserve"> </w:t>
      </w:r>
      <w:r w:rsidR="00192405" w:rsidRPr="00F6698B">
        <w:rPr>
          <w:rFonts w:ascii="Times New Roman" w:hAnsi="Times New Roman"/>
          <w:color w:val="000000"/>
          <w:sz w:val="22"/>
          <w:szCs w:val="22"/>
          <w:shd w:val="clear" w:color="auto" w:fill="FFFFFF"/>
        </w:rPr>
        <w:t xml:space="preserve">Feedback from the key industry associations </w:t>
      </w:r>
      <w:r w:rsidR="000625E3" w:rsidRPr="00F6698B">
        <w:rPr>
          <w:rFonts w:ascii="Times New Roman" w:hAnsi="Times New Roman"/>
          <w:color w:val="000000"/>
          <w:sz w:val="22"/>
          <w:szCs w:val="22"/>
          <w:shd w:val="clear" w:color="auto" w:fill="FFFFFF"/>
        </w:rPr>
        <w:t xml:space="preserve">regarding the gap analysis </w:t>
      </w:r>
      <w:r w:rsidR="00192405" w:rsidRPr="00F6698B">
        <w:rPr>
          <w:rFonts w:ascii="Times New Roman" w:hAnsi="Times New Roman"/>
          <w:color w:val="000000"/>
          <w:sz w:val="22"/>
          <w:szCs w:val="22"/>
          <w:shd w:val="clear" w:color="auto" w:fill="FFFFFF"/>
        </w:rPr>
        <w:t xml:space="preserve">was generally positive and </w:t>
      </w:r>
      <w:r w:rsidR="007C22B4" w:rsidRPr="00F6698B">
        <w:rPr>
          <w:rFonts w:ascii="Times New Roman" w:hAnsi="Times New Roman"/>
          <w:color w:val="000000"/>
          <w:sz w:val="22"/>
          <w:szCs w:val="22"/>
          <w:shd w:val="clear" w:color="auto" w:fill="FFFFFF"/>
        </w:rPr>
        <w:t xml:space="preserve">the associations supported the </w:t>
      </w:r>
      <w:r w:rsidR="00192405" w:rsidRPr="00F6698B">
        <w:rPr>
          <w:rFonts w:ascii="Times New Roman" w:hAnsi="Times New Roman"/>
          <w:color w:val="000000"/>
          <w:sz w:val="22"/>
          <w:szCs w:val="22"/>
          <w:shd w:val="clear" w:color="auto" w:fill="FFFFFF"/>
        </w:rPr>
        <w:t xml:space="preserve">adoption of the </w:t>
      </w:r>
      <w:r w:rsidR="000625E3" w:rsidRPr="00F6698B">
        <w:rPr>
          <w:rFonts w:ascii="Times New Roman" w:hAnsi="Times New Roman"/>
          <w:color w:val="000000"/>
          <w:sz w:val="22"/>
          <w:szCs w:val="22"/>
          <w:shd w:val="clear" w:color="auto" w:fill="FFFFFF"/>
        </w:rPr>
        <w:t>most recent version of the PIC/S Guide to Good Manufacturing Practice</w:t>
      </w:r>
      <w:r w:rsidR="001E4A9A" w:rsidRPr="00F6698B">
        <w:rPr>
          <w:rFonts w:ascii="Times New Roman" w:hAnsi="Times New Roman"/>
          <w:color w:val="000000"/>
          <w:sz w:val="22"/>
          <w:szCs w:val="22"/>
          <w:shd w:val="clear" w:color="auto" w:fill="FFFFFF"/>
        </w:rPr>
        <w:t>.</w:t>
      </w:r>
    </w:p>
    <w:p w:rsidR="00984735" w:rsidRPr="00F6698B" w:rsidRDefault="00984735" w:rsidP="005A4ABA">
      <w:pPr>
        <w:shd w:val="clear" w:color="auto" w:fill="FFFFFF"/>
        <w:rPr>
          <w:rFonts w:ascii="Times New Roman" w:hAnsi="Times New Roman"/>
          <w:b/>
          <w:bCs/>
          <w:color w:val="000000"/>
          <w:sz w:val="22"/>
          <w:szCs w:val="22"/>
        </w:rPr>
      </w:pPr>
    </w:p>
    <w:p w:rsidR="008E4693" w:rsidRPr="00EA3D7E" w:rsidRDefault="00A41F85" w:rsidP="0052587F">
      <w:pPr>
        <w:rPr>
          <w:rFonts w:ascii="Times New Roman" w:hAnsi="Times New Roman"/>
          <w:color w:val="000000"/>
          <w:sz w:val="22"/>
          <w:szCs w:val="22"/>
          <w:shd w:val="clear" w:color="auto" w:fill="FFFFFF"/>
        </w:rPr>
      </w:pPr>
      <w:r w:rsidRPr="00EA3D7E">
        <w:rPr>
          <w:rFonts w:ascii="Times New Roman" w:hAnsi="Times New Roman"/>
          <w:color w:val="000000"/>
          <w:sz w:val="22"/>
          <w:szCs w:val="22"/>
          <w:shd w:val="clear" w:color="auto" w:fill="FFFFFF"/>
        </w:rPr>
        <w:t xml:space="preserve">The Office of Best Practice Regulation advised that a regulation impact statement </w:t>
      </w:r>
      <w:r w:rsidR="001E4A9A" w:rsidRPr="00EA3D7E">
        <w:rPr>
          <w:rFonts w:ascii="Times New Roman" w:hAnsi="Times New Roman"/>
          <w:color w:val="000000"/>
          <w:sz w:val="22"/>
          <w:szCs w:val="22"/>
          <w:shd w:val="clear" w:color="auto" w:fill="FFFFFF"/>
        </w:rPr>
        <w:t>was</w:t>
      </w:r>
      <w:r w:rsidRPr="00EA3D7E">
        <w:rPr>
          <w:rFonts w:ascii="Times New Roman" w:hAnsi="Times New Roman"/>
          <w:color w:val="000000"/>
          <w:sz w:val="22"/>
          <w:szCs w:val="22"/>
          <w:shd w:val="clear" w:color="auto" w:fill="FFFFFF"/>
        </w:rPr>
        <w:t xml:space="preserve"> not required in relation to the making of the Determination (OBPR reference </w:t>
      </w:r>
      <w:r w:rsidR="0083594E" w:rsidRPr="00EA3D7E">
        <w:rPr>
          <w:rFonts w:ascii="Times New Roman" w:hAnsi="Times New Roman"/>
          <w:color w:val="000000"/>
          <w:sz w:val="22"/>
          <w:szCs w:val="22"/>
          <w:shd w:val="clear" w:color="auto" w:fill="FFFFFF"/>
        </w:rPr>
        <w:t>42644</w:t>
      </w:r>
      <w:r w:rsidR="008E4693" w:rsidRPr="00EA3D7E">
        <w:rPr>
          <w:rFonts w:ascii="Times New Roman" w:hAnsi="Times New Roman"/>
          <w:color w:val="000000"/>
          <w:sz w:val="22"/>
          <w:szCs w:val="22"/>
          <w:shd w:val="clear" w:color="auto" w:fill="FFFFFF"/>
        </w:rPr>
        <w:t>)</w:t>
      </w:r>
      <w:r w:rsidR="008E4693" w:rsidRPr="00EA3D7E">
        <w:rPr>
          <w:rFonts w:ascii="Times New Roman" w:hAnsi="Times New Roman"/>
          <w:sz w:val="22"/>
          <w:szCs w:val="22"/>
        </w:rPr>
        <w:t>.</w:t>
      </w:r>
    </w:p>
    <w:p w:rsidR="007B0AF8" w:rsidRPr="00EA3D7E" w:rsidRDefault="007B0AF8" w:rsidP="007B0AF8">
      <w:pPr>
        <w:rPr>
          <w:rFonts w:ascii="Times New Roman" w:hAnsi="Times New Roman"/>
          <w:sz w:val="22"/>
          <w:szCs w:val="22"/>
        </w:rPr>
      </w:pPr>
    </w:p>
    <w:p w:rsidR="007B0AF8" w:rsidRPr="00EA3D7E" w:rsidRDefault="007B0AF8" w:rsidP="007B0AF8">
      <w:pPr>
        <w:rPr>
          <w:rFonts w:ascii="Times New Roman" w:hAnsi="Times New Roman"/>
          <w:sz w:val="22"/>
          <w:szCs w:val="22"/>
        </w:rPr>
      </w:pPr>
      <w:r w:rsidRPr="00EA3D7E">
        <w:rPr>
          <w:rFonts w:ascii="Times New Roman" w:hAnsi="Times New Roman"/>
          <w:sz w:val="22"/>
          <w:szCs w:val="22"/>
        </w:rPr>
        <w:t xml:space="preserve">Details of the Determination are set out in </w:t>
      </w:r>
      <w:r w:rsidRPr="00EA3D7E">
        <w:rPr>
          <w:rFonts w:ascii="Times New Roman" w:hAnsi="Times New Roman"/>
          <w:b/>
          <w:sz w:val="22"/>
          <w:szCs w:val="22"/>
        </w:rPr>
        <w:t>Attachment A</w:t>
      </w:r>
      <w:r w:rsidRPr="00EA3D7E">
        <w:rPr>
          <w:rFonts w:ascii="Times New Roman" w:hAnsi="Times New Roman"/>
          <w:sz w:val="22"/>
          <w:szCs w:val="22"/>
        </w:rPr>
        <w:t>.</w:t>
      </w:r>
    </w:p>
    <w:p w:rsidR="007B0AF8" w:rsidRPr="00EA3D7E" w:rsidRDefault="007B0AF8" w:rsidP="007B0AF8">
      <w:pPr>
        <w:rPr>
          <w:rFonts w:ascii="Times New Roman" w:hAnsi="Times New Roman"/>
          <w:sz w:val="22"/>
          <w:szCs w:val="22"/>
        </w:rPr>
      </w:pPr>
    </w:p>
    <w:p w:rsidR="007B0AF8" w:rsidRPr="00F6698B" w:rsidRDefault="007B0AF8" w:rsidP="007B0AF8">
      <w:pPr>
        <w:rPr>
          <w:rFonts w:ascii="Times New Roman" w:hAnsi="Times New Roman"/>
          <w:sz w:val="22"/>
          <w:szCs w:val="22"/>
        </w:rPr>
      </w:pPr>
      <w:r w:rsidRPr="00EA3D7E">
        <w:rPr>
          <w:rFonts w:ascii="Times New Roman" w:hAnsi="Times New Roman"/>
          <w:sz w:val="22"/>
          <w:szCs w:val="22"/>
        </w:rPr>
        <w:t xml:space="preserve">The Determination is compatible with the human rights and freedoms recognised or declared under section 3 of the </w:t>
      </w:r>
      <w:r w:rsidRPr="00EA3D7E">
        <w:rPr>
          <w:rFonts w:ascii="Times New Roman" w:hAnsi="Times New Roman"/>
          <w:i/>
          <w:sz w:val="22"/>
          <w:szCs w:val="22"/>
        </w:rPr>
        <w:t>Human Rights (Parliamentary Scrutiny) Act 2011</w:t>
      </w:r>
      <w:r w:rsidRPr="00EA3D7E">
        <w:rPr>
          <w:rFonts w:ascii="Times New Roman" w:hAnsi="Times New Roman"/>
          <w:sz w:val="22"/>
          <w:szCs w:val="22"/>
        </w:rPr>
        <w:t>.  A full statement</w:t>
      </w:r>
      <w:r w:rsidRPr="00F6698B">
        <w:rPr>
          <w:rFonts w:ascii="Times New Roman" w:hAnsi="Times New Roman"/>
          <w:sz w:val="22"/>
          <w:szCs w:val="22"/>
        </w:rPr>
        <w:t xml:space="preserve"> of compatibility is set out in </w:t>
      </w:r>
      <w:r w:rsidRPr="00F6698B">
        <w:rPr>
          <w:rFonts w:ascii="Times New Roman" w:hAnsi="Times New Roman"/>
          <w:b/>
          <w:sz w:val="22"/>
          <w:szCs w:val="22"/>
        </w:rPr>
        <w:t>Attachment B</w:t>
      </w:r>
      <w:r w:rsidRPr="00F6698B">
        <w:rPr>
          <w:rFonts w:ascii="Times New Roman" w:hAnsi="Times New Roman"/>
          <w:sz w:val="22"/>
          <w:szCs w:val="22"/>
        </w:rPr>
        <w:t>.</w:t>
      </w:r>
    </w:p>
    <w:p w:rsidR="007B0AF8" w:rsidRPr="00F6698B" w:rsidRDefault="007B0AF8" w:rsidP="007B0AF8">
      <w:pPr>
        <w:rPr>
          <w:rFonts w:ascii="Times New Roman" w:hAnsi="Times New Roman"/>
          <w:sz w:val="22"/>
          <w:szCs w:val="22"/>
        </w:rPr>
      </w:pPr>
    </w:p>
    <w:p w:rsidR="007B0AF8" w:rsidRPr="00F6698B" w:rsidRDefault="007B0AF8" w:rsidP="007B0AF8">
      <w:pPr>
        <w:rPr>
          <w:rFonts w:ascii="Times New Roman" w:hAnsi="Times New Roman"/>
          <w:sz w:val="22"/>
          <w:szCs w:val="22"/>
        </w:rPr>
      </w:pPr>
      <w:r w:rsidRPr="00F6698B">
        <w:rPr>
          <w:rFonts w:ascii="Times New Roman" w:hAnsi="Times New Roman"/>
          <w:sz w:val="22"/>
          <w:szCs w:val="22"/>
        </w:rPr>
        <w:t>The Determination is a disallowable legislative instrument</w:t>
      </w:r>
      <w:r w:rsidR="003C1CCD" w:rsidRPr="00F6698B">
        <w:rPr>
          <w:rFonts w:ascii="Times New Roman" w:hAnsi="Times New Roman"/>
          <w:sz w:val="22"/>
          <w:szCs w:val="22"/>
        </w:rPr>
        <w:t xml:space="preserve"> for the purposes of the </w:t>
      </w:r>
      <w:r w:rsidR="003C1CCD" w:rsidRPr="00F6698B">
        <w:rPr>
          <w:rFonts w:ascii="Times New Roman" w:hAnsi="Times New Roman"/>
          <w:i/>
          <w:sz w:val="22"/>
          <w:szCs w:val="22"/>
        </w:rPr>
        <w:t>Legislation Act 2003</w:t>
      </w:r>
      <w:r w:rsidRPr="00F6698B">
        <w:rPr>
          <w:rFonts w:ascii="Times New Roman" w:hAnsi="Times New Roman"/>
          <w:sz w:val="22"/>
          <w:szCs w:val="22"/>
        </w:rPr>
        <w:t xml:space="preserve">, and commences on the day </w:t>
      </w:r>
      <w:r w:rsidR="003C1CCD" w:rsidRPr="00F6698B">
        <w:rPr>
          <w:rFonts w:ascii="Times New Roman" w:hAnsi="Times New Roman"/>
          <w:sz w:val="22"/>
          <w:szCs w:val="22"/>
        </w:rPr>
        <w:t xml:space="preserve">after registration </w:t>
      </w:r>
      <w:r w:rsidRPr="00F6698B">
        <w:rPr>
          <w:rFonts w:ascii="Times New Roman" w:hAnsi="Times New Roman"/>
          <w:sz w:val="22"/>
          <w:szCs w:val="22"/>
        </w:rPr>
        <w:t>on the Federal Register of Legislation.</w:t>
      </w:r>
    </w:p>
    <w:p w:rsidR="007B0AF8" w:rsidRPr="00F6698B" w:rsidRDefault="007B0AF8" w:rsidP="007B0AF8">
      <w:pPr>
        <w:rPr>
          <w:rFonts w:ascii="Times New Roman" w:hAnsi="Times New Roman"/>
          <w:sz w:val="22"/>
          <w:szCs w:val="22"/>
        </w:rPr>
      </w:pPr>
    </w:p>
    <w:p w:rsidR="00A41F85" w:rsidRDefault="00A41F85">
      <w:pPr>
        <w:rPr>
          <w:color w:val="000000"/>
          <w:sz w:val="22"/>
          <w:szCs w:val="22"/>
          <w:shd w:val="clear" w:color="auto" w:fill="FFFFFF"/>
        </w:rPr>
      </w:pPr>
      <w:r w:rsidRPr="00F6698B">
        <w:rPr>
          <w:rFonts w:ascii="Times New Roman" w:hAnsi="Times New Roman"/>
          <w:color w:val="000000"/>
          <w:sz w:val="22"/>
          <w:szCs w:val="22"/>
          <w:shd w:val="clear" w:color="auto" w:fill="FFFFFF"/>
        </w:rPr>
        <w:br w:type="page"/>
      </w:r>
    </w:p>
    <w:p w:rsidR="00382E05" w:rsidRPr="00EA3D7E" w:rsidRDefault="00382E05" w:rsidP="00382E05">
      <w:pPr>
        <w:pStyle w:val="Header"/>
        <w:tabs>
          <w:tab w:val="clear" w:pos="4153"/>
          <w:tab w:val="clear" w:pos="8306"/>
        </w:tabs>
        <w:ind w:left="284"/>
        <w:jc w:val="right"/>
        <w:rPr>
          <w:rFonts w:ascii="Times New Roman" w:hAnsi="Times New Roman"/>
          <w:b/>
          <w:sz w:val="22"/>
          <w:szCs w:val="22"/>
        </w:rPr>
      </w:pPr>
      <w:bookmarkStart w:id="0" w:name="_Toc199566624"/>
      <w:r w:rsidRPr="00EA3D7E">
        <w:rPr>
          <w:rFonts w:ascii="Times New Roman" w:hAnsi="Times New Roman"/>
          <w:b/>
          <w:sz w:val="22"/>
          <w:szCs w:val="22"/>
        </w:rPr>
        <w:lastRenderedPageBreak/>
        <w:t>Attachment A</w:t>
      </w:r>
    </w:p>
    <w:p w:rsidR="00AC38AB" w:rsidRPr="00EA3D7E" w:rsidRDefault="00AC38AB" w:rsidP="00AC38AB">
      <w:pPr>
        <w:rPr>
          <w:rFonts w:ascii="Times New Roman" w:hAnsi="Times New Roman"/>
          <w:b/>
          <w:sz w:val="22"/>
          <w:szCs w:val="22"/>
        </w:rPr>
      </w:pPr>
    </w:p>
    <w:p w:rsidR="007B0AF8" w:rsidRPr="00EA3D7E" w:rsidRDefault="007B0AF8" w:rsidP="00AC38AB">
      <w:pPr>
        <w:rPr>
          <w:rFonts w:ascii="Times New Roman" w:hAnsi="Times New Roman"/>
          <w:b/>
          <w:i/>
          <w:sz w:val="22"/>
          <w:szCs w:val="22"/>
        </w:rPr>
      </w:pPr>
      <w:r w:rsidRPr="00EA3D7E">
        <w:rPr>
          <w:rFonts w:ascii="Times New Roman" w:hAnsi="Times New Roman"/>
          <w:b/>
          <w:sz w:val="22"/>
          <w:szCs w:val="22"/>
        </w:rPr>
        <w:t xml:space="preserve">Details of the </w:t>
      </w:r>
      <w:r w:rsidRPr="00EA3D7E">
        <w:rPr>
          <w:rFonts w:ascii="Times New Roman" w:hAnsi="Times New Roman"/>
          <w:b/>
          <w:i/>
          <w:sz w:val="22"/>
          <w:szCs w:val="22"/>
        </w:rPr>
        <w:t>Therapeutic Goods (</w:t>
      </w:r>
      <w:r w:rsidR="00AC38AB" w:rsidRPr="00EA3D7E">
        <w:rPr>
          <w:rFonts w:ascii="Times New Roman" w:hAnsi="Times New Roman"/>
          <w:b/>
          <w:i/>
          <w:sz w:val="22"/>
          <w:szCs w:val="22"/>
        </w:rPr>
        <w:t>Manufacturing Principles</w:t>
      </w:r>
      <w:r w:rsidRPr="00EA3D7E">
        <w:rPr>
          <w:rFonts w:ascii="Times New Roman" w:hAnsi="Times New Roman"/>
          <w:b/>
          <w:i/>
          <w:sz w:val="22"/>
          <w:szCs w:val="22"/>
        </w:rPr>
        <w:t xml:space="preserve">) </w:t>
      </w:r>
      <w:r w:rsidR="007E03D1" w:rsidRPr="00EA3D7E">
        <w:rPr>
          <w:rFonts w:ascii="Times New Roman" w:hAnsi="Times New Roman"/>
          <w:b/>
          <w:i/>
          <w:sz w:val="22"/>
          <w:szCs w:val="22"/>
        </w:rPr>
        <w:t>Determination</w:t>
      </w:r>
      <w:r w:rsidRPr="00EA3D7E">
        <w:rPr>
          <w:rFonts w:ascii="Times New Roman" w:hAnsi="Times New Roman"/>
          <w:b/>
          <w:i/>
          <w:sz w:val="22"/>
          <w:szCs w:val="22"/>
        </w:rPr>
        <w:t xml:space="preserve"> 2020</w:t>
      </w:r>
    </w:p>
    <w:p w:rsidR="00AC38AB" w:rsidRPr="00EA3D7E" w:rsidRDefault="00AC38AB" w:rsidP="00AC38AB">
      <w:pPr>
        <w:rPr>
          <w:rFonts w:ascii="Times New Roman" w:hAnsi="Times New Roman"/>
          <w:b/>
          <w:i/>
          <w:sz w:val="22"/>
          <w:szCs w:val="22"/>
        </w:rPr>
      </w:pPr>
    </w:p>
    <w:p w:rsidR="00621F10" w:rsidRPr="00EA3D7E" w:rsidRDefault="00621F10" w:rsidP="00621F10">
      <w:pPr>
        <w:autoSpaceDE w:val="0"/>
        <w:autoSpaceDN w:val="0"/>
        <w:adjustRightInd w:val="0"/>
        <w:outlineLvl w:val="1"/>
        <w:rPr>
          <w:rFonts w:ascii="Times New Roman" w:hAnsi="Times New Roman"/>
          <w:b/>
          <w:bCs/>
          <w:sz w:val="22"/>
          <w:szCs w:val="22"/>
        </w:rPr>
      </w:pPr>
      <w:r w:rsidRPr="00EA3D7E">
        <w:rPr>
          <w:rFonts w:ascii="Times New Roman" w:hAnsi="Times New Roman"/>
          <w:b/>
          <w:bCs/>
          <w:sz w:val="22"/>
          <w:szCs w:val="22"/>
        </w:rPr>
        <w:t>Part 1 – Preliminary</w:t>
      </w:r>
    </w:p>
    <w:p w:rsidR="00621F10" w:rsidRPr="00EA3D7E" w:rsidRDefault="00621F10" w:rsidP="00621F10">
      <w:pPr>
        <w:autoSpaceDE w:val="0"/>
        <w:autoSpaceDN w:val="0"/>
        <w:adjustRightInd w:val="0"/>
        <w:outlineLvl w:val="1"/>
        <w:rPr>
          <w:rFonts w:ascii="Times New Roman" w:hAnsi="Times New Roman"/>
          <w:sz w:val="22"/>
          <w:szCs w:val="22"/>
          <w:lang w:val="en-US"/>
        </w:rPr>
      </w:pPr>
    </w:p>
    <w:p w:rsidR="00621F10" w:rsidRPr="00EA3D7E" w:rsidRDefault="00621F10" w:rsidP="00621F10">
      <w:pPr>
        <w:rPr>
          <w:rFonts w:ascii="Times New Roman" w:hAnsi="Times New Roman"/>
          <w:sz w:val="22"/>
          <w:szCs w:val="22"/>
        </w:rPr>
      </w:pPr>
      <w:r w:rsidRPr="00EA3D7E">
        <w:rPr>
          <w:rFonts w:ascii="Times New Roman" w:hAnsi="Times New Roman"/>
          <w:sz w:val="22"/>
          <w:szCs w:val="22"/>
        </w:rPr>
        <w:t xml:space="preserve">This Part provides for the name of the </w:t>
      </w:r>
      <w:r w:rsidR="007C348D" w:rsidRPr="00EA3D7E">
        <w:rPr>
          <w:rFonts w:ascii="Times New Roman" w:hAnsi="Times New Roman"/>
          <w:i/>
          <w:sz w:val="22"/>
          <w:szCs w:val="22"/>
        </w:rPr>
        <w:t>Therapeutic Goods (Manufacturing Principles) Determination 2020</w:t>
      </w:r>
      <w:r w:rsidR="007C348D" w:rsidRPr="00EA3D7E">
        <w:rPr>
          <w:rFonts w:ascii="Times New Roman" w:hAnsi="Times New Roman"/>
          <w:sz w:val="22"/>
          <w:szCs w:val="22"/>
        </w:rPr>
        <w:t xml:space="preserve"> (“the </w:t>
      </w:r>
      <w:r w:rsidRPr="00EA3D7E">
        <w:rPr>
          <w:rFonts w:ascii="Times New Roman" w:hAnsi="Times New Roman"/>
          <w:sz w:val="22"/>
          <w:szCs w:val="22"/>
        </w:rPr>
        <w:t>Determination</w:t>
      </w:r>
      <w:r w:rsidR="007C348D" w:rsidRPr="00EA3D7E">
        <w:rPr>
          <w:rFonts w:ascii="Times New Roman" w:hAnsi="Times New Roman"/>
          <w:sz w:val="22"/>
          <w:szCs w:val="22"/>
        </w:rPr>
        <w:t>”)</w:t>
      </w:r>
      <w:r w:rsidRPr="00EA3D7E">
        <w:rPr>
          <w:rFonts w:ascii="Times New Roman" w:hAnsi="Times New Roman"/>
          <w:sz w:val="22"/>
          <w:szCs w:val="22"/>
        </w:rPr>
        <w:t>, its commencement and authority, and a small number of other matters including, for example, setting out definitions for key terms used in the Determination.</w:t>
      </w:r>
    </w:p>
    <w:p w:rsidR="00621F10" w:rsidRPr="00EA3D7E" w:rsidRDefault="00621F10" w:rsidP="00AC38AB">
      <w:pPr>
        <w:autoSpaceDE w:val="0"/>
        <w:autoSpaceDN w:val="0"/>
        <w:adjustRightInd w:val="0"/>
        <w:outlineLvl w:val="1"/>
        <w:rPr>
          <w:rFonts w:ascii="Times New Roman" w:hAnsi="Times New Roman"/>
          <w:b/>
          <w:sz w:val="22"/>
          <w:szCs w:val="22"/>
        </w:rPr>
      </w:pPr>
    </w:p>
    <w:p w:rsidR="007B0AF8" w:rsidRPr="00EA3D7E" w:rsidRDefault="007B0AF8" w:rsidP="00AC38AB">
      <w:pPr>
        <w:autoSpaceDE w:val="0"/>
        <w:autoSpaceDN w:val="0"/>
        <w:adjustRightInd w:val="0"/>
        <w:outlineLvl w:val="1"/>
        <w:rPr>
          <w:rFonts w:ascii="Times New Roman" w:hAnsi="Times New Roman"/>
          <w:b/>
          <w:sz w:val="22"/>
          <w:szCs w:val="22"/>
        </w:rPr>
      </w:pPr>
      <w:r w:rsidRPr="00EA3D7E">
        <w:rPr>
          <w:rFonts w:ascii="Times New Roman" w:hAnsi="Times New Roman"/>
          <w:b/>
          <w:sz w:val="22"/>
          <w:szCs w:val="22"/>
        </w:rPr>
        <w:t>Section 1</w:t>
      </w:r>
      <w:r w:rsidRPr="00EA3D7E">
        <w:rPr>
          <w:rFonts w:ascii="Times New Roman" w:hAnsi="Times New Roman"/>
          <w:sz w:val="22"/>
          <w:szCs w:val="22"/>
        </w:rPr>
        <w:t xml:space="preserve"> </w:t>
      </w:r>
      <w:r w:rsidR="00AC38AB" w:rsidRPr="00EA3D7E">
        <w:rPr>
          <w:rFonts w:ascii="Times New Roman" w:hAnsi="Times New Roman"/>
          <w:b/>
          <w:bCs/>
          <w:sz w:val="22"/>
          <w:szCs w:val="22"/>
        </w:rPr>
        <w:t xml:space="preserve">– </w:t>
      </w:r>
      <w:r w:rsidRPr="00EA3D7E">
        <w:rPr>
          <w:rFonts w:ascii="Times New Roman" w:hAnsi="Times New Roman"/>
          <w:b/>
          <w:sz w:val="22"/>
          <w:szCs w:val="22"/>
        </w:rPr>
        <w:t>Name</w:t>
      </w:r>
    </w:p>
    <w:p w:rsidR="00AC38AB" w:rsidRPr="00EA3D7E" w:rsidRDefault="00AC38AB" w:rsidP="00AC38AB">
      <w:pPr>
        <w:autoSpaceDE w:val="0"/>
        <w:autoSpaceDN w:val="0"/>
        <w:adjustRightInd w:val="0"/>
        <w:outlineLvl w:val="1"/>
        <w:rPr>
          <w:rFonts w:ascii="Times New Roman" w:hAnsi="Times New Roman"/>
          <w:sz w:val="22"/>
          <w:szCs w:val="22"/>
        </w:rPr>
      </w:pPr>
    </w:p>
    <w:p w:rsidR="007B0AF8" w:rsidRPr="00EA3D7E" w:rsidRDefault="007B0AF8" w:rsidP="00AC38AB">
      <w:pPr>
        <w:rPr>
          <w:rFonts w:ascii="Times New Roman" w:hAnsi="Times New Roman"/>
          <w:sz w:val="22"/>
          <w:szCs w:val="22"/>
        </w:rPr>
      </w:pPr>
      <w:r w:rsidRPr="00EA3D7E">
        <w:rPr>
          <w:rFonts w:ascii="Times New Roman" w:hAnsi="Times New Roman"/>
          <w:sz w:val="22"/>
          <w:szCs w:val="22"/>
        </w:rPr>
        <w:t xml:space="preserve">This section provides that the name of the instrument is </w:t>
      </w:r>
      <w:bookmarkEnd w:id="0"/>
      <w:r w:rsidRPr="00EA3D7E">
        <w:rPr>
          <w:rFonts w:ascii="Times New Roman" w:hAnsi="Times New Roman"/>
          <w:sz w:val="22"/>
          <w:szCs w:val="22"/>
        </w:rPr>
        <w:t xml:space="preserve">the </w:t>
      </w:r>
      <w:r w:rsidRPr="00EA3D7E">
        <w:rPr>
          <w:rFonts w:ascii="Times New Roman" w:hAnsi="Times New Roman"/>
          <w:i/>
          <w:sz w:val="22"/>
          <w:szCs w:val="22"/>
        </w:rPr>
        <w:t>Therapeutic Goods (</w:t>
      </w:r>
      <w:r w:rsidR="00B9012E" w:rsidRPr="00EA3D7E">
        <w:rPr>
          <w:rFonts w:ascii="Times New Roman" w:hAnsi="Times New Roman"/>
          <w:i/>
          <w:sz w:val="22"/>
          <w:szCs w:val="22"/>
        </w:rPr>
        <w:t>Manufacturing Principles</w:t>
      </w:r>
      <w:r w:rsidRPr="00EA3D7E">
        <w:rPr>
          <w:rFonts w:ascii="Times New Roman" w:hAnsi="Times New Roman"/>
          <w:i/>
          <w:sz w:val="22"/>
          <w:szCs w:val="22"/>
        </w:rPr>
        <w:t xml:space="preserve">) </w:t>
      </w:r>
      <w:r w:rsidR="00B9012E" w:rsidRPr="00EA3D7E">
        <w:rPr>
          <w:rFonts w:ascii="Times New Roman" w:hAnsi="Times New Roman"/>
          <w:i/>
          <w:sz w:val="22"/>
          <w:szCs w:val="22"/>
        </w:rPr>
        <w:t>Determination</w:t>
      </w:r>
      <w:r w:rsidRPr="00EA3D7E">
        <w:rPr>
          <w:rFonts w:ascii="Times New Roman" w:hAnsi="Times New Roman"/>
          <w:i/>
          <w:sz w:val="22"/>
          <w:szCs w:val="22"/>
        </w:rPr>
        <w:t xml:space="preserve"> 2020</w:t>
      </w:r>
      <w:r w:rsidRPr="00EA3D7E">
        <w:rPr>
          <w:rFonts w:ascii="Times New Roman" w:hAnsi="Times New Roman"/>
          <w:sz w:val="22"/>
          <w:szCs w:val="22"/>
        </w:rPr>
        <w:t>.</w:t>
      </w:r>
    </w:p>
    <w:p w:rsidR="00AC38AB" w:rsidRPr="00EA3D7E" w:rsidRDefault="00AC38AB" w:rsidP="00AC38AB">
      <w:pPr>
        <w:rPr>
          <w:rFonts w:ascii="Times New Roman" w:hAnsi="Times New Roman"/>
          <w:bCs/>
          <w:sz w:val="22"/>
          <w:szCs w:val="22"/>
        </w:rPr>
      </w:pPr>
    </w:p>
    <w:p w:rsidR="007B0AF8" w:rsidRPr="00EA3D7E" w:rsidRDefault="007B0AF8" w:rsidP="00AC38AB">
      <w:pPr>
        <w:tabs>
          <w:tab w:val="left" w:pos="851"/>
        </w:tabs>
        <w:outlineLvl w:val="0"/>
        <w:rPr>
          <w:rFonts w:ascii="Times New Roman" w:hAnsi="Times New Roman"/>
          <w:b/>
          <w:sz w:val="22"/>
          <w:szCs w:val="22"/>
        </w:rPr>
      </w:pPr>
      <w:bookmarkStart w:id="1" w:name="_Toc199566625"/>
      <w:r w:rsidRPr="00EA3D7E">
        <w:rPr>
          <w:rFonts w:ascii="Times New Roman" w:hAnsi="Times New Roman"/>
          <w:b/>
          <w:sz w:val="22"/>
          <w:szCs w:val="22"/>
        </w:rPr>
        <w:t xml:space="preserve">Section 2 </w:t>
      </w:r>
      <w:r w:rsidR="00AC38AB" w:rsidRPr="00EA3D7E">
        <w:rPr>
          <w:rFonts w:ascii="Times New Roman" w:hAnsi="Times New Roman"/>
          <w:b/>
          <w:bCs/>
          <w:sz w:val="22"/>
          <w:szCs w:val="22"/>
        </w:rPr>
        <w:t>–</w:t>
      </w:r>
      <w:r w:rsidRPr="00EA3D7E">
        <w:rPr>
          <w:rFonts w:ascii="Times New Roman" w:hAnsi="Times New Roman"/>
          <w:b/>
          <w:sz w:val="22"/>
          <w:szCs w:val="22"/>
        </w:rPr>
        <w:t xml:space="preserve"> Commencement</w:t>
      </w:r>
    </w:p>
    <w:p w:rsidR="00AC38AB" w:rsidRPr="00EA3D7E" w:rsidRDefault="00AC38AB" w:rsidP="00AC38AB">
      <w:pPr>
        <w:tabs>
          <w:tab w:val="left" w:pos="851"/>
        </w:tabs>
        <w:outlineLvl w:val="0"/>
        <w:rPr>
          <w:rFonts w:ascii="Times New Roman" w:hAnsi="Times New Roman"/>
          <w:sz w:val="22"/>
          <w:szCs w:val="22"/>
        </w:rPr>
      </w:pPr>
    </w:p>
    <w:p w:rsidR="007B0AF8" w:rsidRPr="00EA3D7E" w:rsidRDefault="007B0AF8" w:rsidP="00AC38AB">
      <w:pPr>
        <w:tabs>
          <w:tab w:val="left" w:pos="851"/>
        </w:tabs>
        <w:outlineLvl w:val="0"/>
        <w:rPr>
          <w:rFonts w:ascii="Times New Roman" w:hAnsi="Times New Roman"/>
          <w:sz w:val="22"/>
          <w:szCs w:val="22"/>
        </w:rPr>
      </w:pPr>
      <w:r w:rsidRPr="00EA3D7E">
        <w:rPr>
          <w:rFonts w:ascii="Times New Roman" w:hAnsi="Times New Roman"/>
          <w:sz w:val="22"/>
          <w:szCs w:val="22"/>
        </w:rPr>
        <w:t>This section provides that</w:t>
      </w:r>
      <w:bookmarkEnd w:id="1"/>
      <w:r w:rsidRPr="00EA3D7E">
        <w:rPr>
          <w:rFonts w:ascii="Times New Roman" w:hAnsi="Times New Roman"/>
          <w:sz w:val="22"/>
          <w:szCs w:val="22"/>
        </w:rPr>
        <w:t xml:space="preserve"> the </w:t>
      </w:r>
      <w:r w:rsidR="007E03D1" w:rsidRPr="00EA3D7E">
        <w:rPr>
          <w:rFonts w:ascii="Times New Roman" w:hAnsi="Times New Roman"/>
          <w:sz w:val="22"/>
          <w:szCs w:val="22"/>
        </w:rPr>
        <w:t>Determination</w:t>
      </w:r>
      <w:r w:rsidRPr="00EA3D7E">
        <w:rPr>
          <w:rFonts w:ascii="Times New Roman" w:hAnsi="Times New Roman"/>
          <w:sz w:val="22"/>
          <w:szCs w:val="22"/>
        </w:rPr>
        <w:t xml:space="preserve"> commences on </w:t>
      </w:r>
      <w:r w:rsidR="0013628A" w:rsidRPr="00EA3D7E">
        <w:rPr>
          <w:rFonts w:ascii="Times New Roman" w:hAnsi="Times New Roman"/>
          <w:sz w:val="22"/>
          <w:szCs w:val="22"/>
        </w:rPr>
        <w:t>the day after registration on the Federal Register of Legislation</w:t>
      </w:r>
      <w:r w:rsidRPr="00EA3D7E">
        <w:rPr>
          <w:rFonts w:ascii="Times New Roman" w:hAnsi="Times New Roman"/>
          <w:sz w:val="22"/>
          <w:szCs w:val="22"/>
        </w:rPr>
        <w:t>.</w:t>
      </w:r>
    </w:p>
    <w:p w:rsidR="00AC38AB" w:rsidRPr="00EA3D7E" w:rsidRDefault="00AC38AB" w:rsidP="00AC38AB">
      <w:pPr>
        <w:tabs>
          <w:tab w:val="left" w:pos="851"/>
        </w:tabs>
        <w:outlineLvl w:val="0"/>
        <w:rPr>
          <w:rFonts w:ascii="Times New Roman" w:hAnsi="Times New Roman"/>
          <w:sz w:val="22"/>
          <w:szCs w:val="22"/>
        </w:rPr>
      </w:pPr>
    </w:p>
    <w:p w:rsidR="007B0AF8" w:rsidRDefault="007B0AF8" w:rsidP="00AC38AB">
      <w:pPr>
        <w:tabs>
          <w:tab w:val="left" w:pos="851"/>
        </w:tabs>
        <w:outlineLvl w:val="0"/>
        <w:rPr>
          <w:rFonts w:ascii="Times New Roman" w:hAnsi="Times New Roman"/>
          <w:b/>
          <w:sz w:val="22"/>
          <w:szCs w:val="22"/>
        </w:rPr>
      </w:pPr>
      <w:bookmarkStart w:id="2" w:name="_Toc199566627"/>
      <w:r w:rsidRPr="00EA3D7E">
        <w:rPr>
          <w:rFonts w:ascii="Times New Roman" w:hAnsi="Times New Roman"/>
          <w:b/>
          <w:sz w:val="22"/>
          <w:szCs w:val="22"/>
        </w:rPr>
        <w:t>Section 3</w:t>
      </w:r>
      <w:bookmarkEnd w:id="2"/>
      <w:r w:rsidRPr="00EA3D7E">
        <w:rPr>
          <w:rFonts w:ascii="Times New Roman" w:hAnsi="Times New Roman"/>
          <w:sz w:val="22"/>
          <w:szCs w:val="22"/>
        </w:rPr>
        <w:t xml:space="preserve"> </w:t>
      </w:r>
      <w:r w:rsidR="00AC38AB" w:rsidRPr="00EA3D7E">
        <w:rPr>
          <w:rFonts w:ascii="Times New Roman" w:hAnsi="Times New Roman"/>
          <w:b/>
          <w:bCs/>
          <w:sz w:val="22"/>
          <w:szCs w:val="22"/>
        </w:rPr>
        <w:t xml:space="preserve">– </w:t>
      </w:r>
      <w:r w:rsidRPr="00EA3D7E">
        <w:rPr>
          <w:rFonts w:ascii="Times New Roman" w:hAnsi="Times New Roman"/>
          <w:b/>
          <w:sz w:val="22"/>
          <w:szCs w:val="22"/>
        </w:rPr>
        <w:t>Authority</w:t>
      </w:r>
    </w:p>
    <w:p w:rsidR="004F5600" w:rsidRPr="00EA3D7E" w:rsidRDefault="004F5600" w:rsidP="00AC38AB">
      <w:pPr>
        <w:tabs>
          <w:tab w:val="left" w:pos="851"/>
        </w:tabs>
        <w:outlineLvl w:val="0"/>
        <w:rPr>
          <w:rFonts w:ascii="Times New Roman" w:hAnsi="Times New Roman"/>
          <w:b/>
          <w:sz w:val="22"/>
          <w:szCs w:val="22"/>
        </w:rPr>
      </w:pPr>
    </w:p>
    <w:p w:rsidR="007B0AF8" w:rsidRPr="00EA3D7E" w:rsidRDefault="007B0AF8" w:rsidP="00AC38AB">
      <w:pPr>
        <w:tabs>
          <w:tab w:val="left" w:pos="851"/>
        </w:tabs>
        <w:outlineLvl w:val="0"/>
        <w:rPr>
          <w:rFonts w:ascii="Times New Roman" w:hAnsi="Times New Roman"/>
          <w:sz w:val="22"/>
          <w:szCs w:val="22"/>
        </w:rPr>
      </w:pPr>
      <w:r w:rsidRPr="00EA3D7E">
        <w:rPr>
          <w:rFonts w:ascii="Times New Roman" w:hAnsi="Times New Roman"/>
          <w:sz w:val="22"/>
          <w:szCs w:val="22"/>
        </w:rPr>
        <w:t xml:space="preserve">This section provides that the legislative authority for making the </w:t>
      </w:r>
      <w:r w:rsidR="007E03D1" w:rsidRPr="00EA3D7E">
        <w:rPr>
          <w:rFonts w:ascii="Times New Roman" w:hAnsi="Times New Roman"/>
          <w:sz w:val="22"/>
          <w:szCs w:val="22"/>
        </w:rPr>
        <w:t xml:space="preserve">Determination is section 36 </w:t>
      </w:r>
      <w:r w:rsidRPr="00EA3D7E">
        <w:rPr>
          <w:rFonts w:ascii="Times New Roman" w:hAnsi="Times New Roman"/>
          <w:sz w:val="22"/>
          <w:szCs w:val="22"/>
        </w:rPr>
        <w:t xml:space="preserve">of the </w:t>
      </w:r>
      <w:r w:rsidRPr="00EA3D7E">
        <w:rPr>
          <w:rFonts w:ascii="Times New Roman" w:hAnsi="Times New Roman"/>
          <w:i/>
          <w:sz w:val="22"/>
          <w:szCs w:val="22"/>
        </w:rPr>
        <w:t>Therapeutic Goods Act 1989</w:t>
      </w:r>
      <w:r w:rsidR="007E03D1" w:rsidRPr="00EA3D7E">
        <w:rPr>
          <w:rFonts w:ascii="Times New Roman" w:hAnsi="Times New Roman"/>
          <w:i/>
          <w:sz w:val="22"/>
          <w:szCs w:val="22"/>
        </w:rPr>
        <w:t xml:space="preserve"> </w:t>
      </w:r>
      <w:r w:rsidR="007E03D1" w:rsidRPr="00EA3D7E">
        <w:rPr>
          <w:rFonts w:ascii="Times New Roman" w:hAnsi="Times New Roman"/>
          <w:sz w:val="22"/>
          <w:szCs w:val="22"/>
        </w:rPr>
        <w:t>(“the Act”)</w:t>
      </w:r>
      <w:r w:rsidRPr="00EA3D7E">
        <w:rPr>
          <w:rFonts w:ascii="Times New Roman" w:hAnsi="Times New Roman"/>
          <w:sz w:val="22"/>
          <w:szCs w:val="22"/>
        </w:rPr>
        <w:t>.</w:t>
      </w:r>
    </w:p>
    <w:p w:rsidR="00AC38AB" w:rsidRPr="00EA3D7E" w:rsidRDefault="00AC38AB" w:rsidP="00AC38AB">
      <w:pPr>
        <w:tabs>
          <w:tab w:val="left" w:pos="851"/>
        </w:tabs>
        <w:outlineLvl w:val="0"/>
        <w:rPr>
          <w:rFonts w:ascii="Times New Roman" w:hAnsi="Times New Roman"/>
          <w:sz w:val="22"/>
          <w:szCs w:val="22"/>
        </w:rPr>
      </w:pPr>
    </w:p>
    <w:p w:rsidR="007B0AF8" w:rsidRPr="00EA3D7E" w:rsidRDefault="007B0AF8" w:rsidP="00AC38AB">
      <w:pPr>
        <w:tabs>
          <w:tab w:val="left" w:pos="851"/>
        </w:tabs>
        <w:outlineLvl w:val="0"/>
        <w:rPr>
          <w:rFonts w:ascii="Times New Roman" w:hAnsi="Times New Roman"/>
          <w:b/>
          <w:sz w:val="22"/>
          <w:szCs w:val="22"/>
        </w:rPr>
      </w:pPr>
      <w:bookmarkStart w:id="3" w:name="_Toc199566628"/>
      <w:r w:rsidRPr="00EA3D7E">
        <w:rPr>
          <w:rFonts w:ascii="Times New Roman" w:hAnsi="Times New Roman"/>
          <w:b/>
          <w:sz w:val="22"/>
          <w:szCs w:val="22"/>
        </w:rPr>
        <w:t xml:space="preserve">Section 4 </w:t>
      </w:r>
      <w:r w:rsidR="00AC38AB" w:rsidRPr="00EA3D7E">
        <w:rPr>
          <w:rFonts w:ascii="Times New Roman" w:hAnsi="Times New Roman"/>
          <w:b/>
          <w:bCs/>
          <w:sz w:val="22"/>
          <w:szCs w:val="22"/>
        </w:rPr>
        <w:t xml:space="preserve">– </w:t>
      </w:r>
      <w:r w:rsidRPr="00EA3D7E">
        <w:rPr>
          <w:rFonts w:ascii="Times New Roman" w:hAnsi="Times New Roman"/>
          <w:b/>
          <w:sz w:val="22"/>
          <w:szCs w:val="22"/>
        </w:rPr>
        <w:t>Definitions</w:t>
      </w:r>
    </w:p>
    <w:p w:rsidR="00AC38AB" w:rsidRPr="00EA3D7E" w:rsidRDefault="00AC38AB" w:rsidP="00AC38AB">
      <w:pPr>
        <w:tabs>
          <w:tab w:val="left" w:pos="851"/>
        </w:tabs>
        <w:outlineLvl w:val="0"/>
        <w:rPr>
          <w:rFonts w:ascii="Times New Roman" w:hAnsi="Times New Roman"/>
          <w:b/>
          <w:sz w:val="22"/>
          <w:szCs w:val="22"/>
        </w:rPr>
      </w:pPr>
    </w:p>
    <w:p w:rsidR="007E03D1" w:rsidRPr="00EA3D7E" w:rsidRDefault="007E03D1" w:rsidP="007E03D1">
      <w:pPr>
        <w:pStyle w:val="Definition"/>
        <w:spacing w:before="0"/>
        <w:ind w:left="0"/>
      </w:pPr>
      <w:r w:rsidRPr="00EA3D7E">
        <w:rPr>
          <w:bCs/>
        </w:rPr>
        <w:t>This section provides the definitions of certain terms used in the Determination.  In particular, this section</w:t>
      </w:r>
      <w:r w:rsidRPr="00EA3D7E" w:rsidDel="00177BEC">
        <w:rPr>
          <w:bCs/>
        </w:rPr>
        <w:t xml:space="preserve"> </w:t>
      </w:r>
      <w:r w:rsidR="00D03605" w:rsidRPr="00EA3D7E">
        <w:rPr>
          <w:bCs/>
        </w:rPr>
        <w:t xml:space="preserve">defines </w:t>
      </w:r>
      <w:r w:rsidRPr="00EA3D7E">
        <w:t>‘blood components’</w:t>
      </w:r>
      <w:r w:rsidR="00D03605" w:rsidRPr="00EA3D7E">
        <w:t>,</w:t>
      </w:r>
      <w:r w:rsidRPr="00EA3D7E">
        <w:t xml:space="preserve"> ‘haematopoietic progenitor cells’</w:t>
      </w:r>
      <w:r w:rsidR="00621F10" w:rsidRPr="00EA3D7E">
        <w:t>, ‘relevant officer’</w:t>
      </w:r>
      <w:r w:rsidR="00D03605" w:rsidRPr="00EA3D7E">
        <w:t xml:space="preserve"> and ‘technical master file’</w:t>
      </w:r>
      <w:r w:rsidRPr="00EA3D7E">
        <w:t>.  The section</w:t>
      </w:r>
      <w:r w:rsidRPr="00EA3D7E" w:rsidDel="00177BEC">
        <w:t xml:space="preserve"> </w:t>
      </w:r>
      <w:r w:rsidRPr="00EA3D7E">
        <w:t>also notes that a number of terms have the meaning given in s</w:t>
      </w:r>
      <w:r w:rsidR="00D76C7D" w:rsidRPr="00EA3D7E">
        <w:t>ubs</w:t>
      </w:r>
      <w:r w:rsidRPr="00EA3D7E">
        <w:t>ection 3</w:t>
      </w:r>
      <w:r w:rsidR="00D76C7D" w:rsidRPr="00EA3D7E">
        <w:t>(1)</w:t>
      </w:r>
      <w:r w:rsidRPr="00EA3D7E">
        <w:t xml:space="preserve"> of the Act, including ‘biological’, </w:t>
      </w:r>
      <w:r w:rsidR="00D03605" w:rsidRPr="00EA3D7E">
        <w:t xml:space="preserve">‘licence’ and </w:t>
      </w:r>
      <w:r w:rsidRPr="00EA3D7E">
        <w:t>‘manufacture’.</w:t>
      </w:r>
    </w:p>
    <w:p w:rsidR="007E03D1" w:rsidRPr="00EA3D7E" w:rsidRDefault="007E03D1" w:rsidP="007E03D1">
      <w:pPr>
        <w:pStyle w:val="Definition"/>
        <w:spacing w:before="0"/>
        <w:ind w:left="0"/>
      </w:pPr>
    </w:p>
    <w:p w:rsidR="00621F10" w:rsidRPr="00EA3D7E" w:rsidRDefault="00621F10" w:rsidP="00621F10">
      <w:pPr>
        <w:keepNext/>
        <w:tabs>
          <w:tab w:val="left" w:pos="851"/>
        </w:tabs>
        <w:outlineLvl w:val="0"/>
        <w:rPr>
          <w:rFonts w:ascii="Times New Roman" w:hAnsi="Times New Roman"/>
          <w:b/>
          <w:sz w:val="22"/>
          <w:szCs w:val="22"/>
        </w:rPr>
      </w:pPr>
      <w:r w:rsidRPr="00EA3D7E">
        <w:rPr>
          <w:rFonts w:ascii="Times New Roman" w:hAnsi="Times New Roman"/>
          <w:b/>
          <w:sz w:val="22"/>
          <w:szCs w:val="22"/>
        </w:rPr>
        <w:t xml:space="preserve">Section </w:t>
      </w:r>
      <w:r w:rsidR="000B3D7E" w:rsidRPr="00EA3D7E">
        <w:rPr>
          <w:rFonts w:ascii="Times New Roman" w:hAnsi="Times New Roman"/>
          <w:b/>
          <w:sz w:val="22"/>
          <w:szCs w:val="22"/>
        </w:rPr>
        <w:t>5</w:t>
      </w:r>
      <w:r w:rsidRPr="00EA3D7E">
        <w:rPr>
          <w:rFonts w:ascii="Times New Roman" w:hAnsi="Times New Roman"/>
          <w:sz w:val="22"/>
          <w:szCs w:val="22"/>
        </w:rPr>
        <w:t xml:space="preserve"> </w:t>
      </w:r>
      <w:r w:rsidRPr="00EA3D7E">
        <w:rPr>
          <w:rFonts w:ascii="Times New Roman" w:hAnsi="Times New Roman"/>
          <w:b/>
          <w:bCs/>
          <w:sz w:val="22"/>
          <w:szCs w:val="22"/>
        </w:rPr>
        <w:t xml:space="preserve">– </w:t>
      </w:r>
      <w:r w:rsidR="00740E1B" w:rsidRPr="00EA3D7E">
        <w:rPr>
          <w:rFonts w:ascii="Times New Roman" w:hAnsi="Times New Roman"/>
          <w:b/>
          <w:bCs/>
          <w:sz w:val="22"/>
          <w:szCs w:val="22"/>
        </w:rPr>
        <w:t>Repeals</w:t>
      </w:r>
    </w:p>
    <w:p w:rsidR="00621F10" w:rsidRPr="00EA3D7E" w:rsidRDefault="00621F10" w:rsidP="00621F10">
      <w:pPr>
        <w:pStyle w:val="Definition"/>
        <w:spacing w:before="0"/>
        <w:ind w:left="0"/>
      </w:pPr>
    </w:p>
    <w:p w:rsidR="00621F10" w:rsidRPr="00EA3D7E" w:rsidRDefault="00621F10" w:rsidP="00621F10">
      <w:pPr>
        <w:pStyle w:val="Definition"/>
        <w:spacing w:before="0"/>
        <w:ind w:left="0"/>
      </w:pPr>
      <w:r w:rsidRPr="00EA3D7E">
        <w:t xml:space="preserve">This section provides that each instrument that is specified in Schedule </w:t>
      </w:r>
      <w:r w:rsidR="000625E3" w:rsidRPr="00EA3D7E">
        <w:t xml:space="preserve">2 </w:t>
      </w:r>
      <w:r w:rsidRPr="00EA3D7E">
        <w:t>to the Determination is repealed as set out in the applicable items in that Schedule.</w:t>
      </w:r>
    </w:p>
    <w:p w:rsidR="00621F10" w:rsidRPr="00EA3D7E" w:rsidRDefault="00621F10" w:rsidP="00AC38AB">
      <w:pPr>
        <w:tabs>
          <w:tab w:val="left" w:pos="851"/>
        </w:tabs>
        <w:outlineLvl w:val="0"/>
        <w:rPr>
          <w:rFonts w:ascii="Times New Roman" w:hAnsi="Times New Roman"/>
          <w:b/>
          <w:sz w:val="22"/>
          <w:szCs w:val="22"/>
        </w:rPr>
      </w:pPr>
    </w:p>
    <w:p w:rsidR="000B3D7E" w:rsidRPr="00EA3D7E" w:rsidRDefault="000B3D7E" w:rsidP="000B3D7E">
      <w:pPr>
        <w:autoSpaceDE w:val="0"/>
        <w:autoSpaceDN w:val="0"/>
        <w:adjustRightInd w:val="0"/>
        <w:outlineLvl w:val="1"/>
        <w:rPr>
          <w:rFonts w:ascii="Times New Roman" w:hAnsi="Times New Roman"/>
          <w:b/>
          <w:bCs/>
          <w:sz w:val="22"/>
          <w:szCs w:val="22"/>
        </w:rPr>
      </w:pPr>
      <w:r w:rsidRPr="00EA3D7E">
        <w:rPr>
          <w:rFonts w:ascii="Times New Roman" w:hAnsi="Times New Roman"/>
          <w:b/>
          <w:bCs/>
          <w:sz w:val="22"/>
          <w:szCs w:val="22"/>
        </w:rPr>
        <w:t>Part 2 – Manufacturing principles</w:t>
      </w:r>
    </w:p>
    <w:p w:rsidR="000B3D7E" w:rsidRPr="00EA3D7E" w:rsidRDefault="000B3D7E" w:rsidP="000B3D7E">
      <w:pPr>
        <w:autoSpaceDE w:val="0"/>
        <w:autoSpaceDN w:val="0"/>
        <w:adjustRightInd w:val="0"/>
        <w:outlineLvl w:val="1"/>
        <w:rPr>
          <w:rFonts w:ascii="Times New Roman" w:hAnsi="Times New Roman"/>
          <w:sz w:val="22"/>
          <w:szCs w:val="22"/>
          <w:lang w:val="en-US"/>
        </w:rPr>
      </w:pPr>
    </w:p>
    <w:p w:rsidR="000B3D7E" w:rsidRPr="00EA3D7E" w:rsidRDefault="000B3D7E" w:rsidP="00740E1B">
      <w:pPr>
        <w:pStyle w:val="Definition"/>
        <w:spacing w:before="0"/>
        <w:ind w:left="0"/>
      </w:pPr>
      <w:r w:rsidRPr="00EA3D7E">
        <w:t>This Part determines the manufacturing principles</w:t>
      </w:r>
      <w:r w:rsidR="00844CBA" w:rsidRPr="00EA3D7E">
        <w:t xml:space="preserve"> that are</w:t>
      </w:r>
      <w:r w:rsidRPr="00EA3D7E">
        <w:t xml:space="preserve"> to be observed in the manufacture of therapeutic goods for the purposes of section 36 of the Act.</w:t>
      </w:r>
    </w:p>
    <w:p w:rsidR="000B3D7E" w:rsidRPr="00EA3D7E" w:rsidRDefault="000B3D7E" w:rsidP="00740E1B">
      <w:pPr>
        <w:pStyle w:val="Definition"/>
        <w:spacing w:before="0"/>
        <w:ind w:left="0"/>
      </w:pPr>
    </w:p>
    <w:p w:rsidR="007B0AF8" w:rsidRPr="00EA3D7E" w:rsidRDefault="007B0AF8" w:rsidP="00AC38AB">
      <w:pPr>
        <w:tabs>
          <w:tab w:val="left" w:pos="851"/>
        </w:tabs>
        <w:outlineLvl w:val="0"/>
        <w:rPr>
          <w:rFonts w:ascii="Times New Roman" w:hAnsi="Times New Roman"/>
          <w:b/>
          <w:sz w:val="22"/>
          <w:szCs w:val="22"/>
        </w:rPr>
      </w:pPr>
      <w:r w:rsidRPr="00EA3D7E">
        <w:rPr>
          <w:rFonts w:ascii="Times New Roman" w:hAnsi="Times New Roman"/>
          <w:b/>
          <w:sz w:val="22"/>
          <w:szCs w:val="22"/>
        </w:rPr>
        <w:t xml:space="preserve">Section </w:t>
      </w:r>
      <w:r w:rsidR="00CD42DA" w:rsidRPr="00EA3D7E">
        <w:rPr>
          <w:rFonts w:ascii="Times New Roman" w:hAnsi="Times New Roman"/>
          <w:b/>
          <w:sz w:val="22"/>
          <w:szCs w:val="22"/>
        </w:rPr>
        <w:t>6</w:t>
      </w:r>
      <w:r w:rsidRPr="00EA3D7E">
        <w:rPr>
          <w:rFonts w:ascii="Times New Roman" w:hAnsi="Times New Roman"/>
          <w:b/>
          <w:sz w:val="22"/>
          <w:szCs w:val="22"/>
        </w:rPr>
        <w:t xml:space="preserve"> </w:t>
      </w:r>
      <w:r w:rsidR="00AC38AB" w:rsidRPr="00EA3D7E">
        <w:rPr>
          <w:rFonts w:ascii="Times New Roman" w:hAnsi="Times New Roman"/>
          <w:b/>
          <w:bCs/>
          <w:sz w:val="22"/>
          <w:szCs w:val="22"/>
        </w:rPr>
        <w:t xml:space="preserve">– </w:t>
      </w:r>
      <w:r w:rsidR="00D76C7D" w:rsidRPr="00EA3D7E">
        <w:rPr>
          <w:rFonts w:ascii="Times New Roman" w:hAnsi="Times New Roman"/>
          <w:b/>
          <w:sz w:val="22"/>
          <w:szCs w:val="22"/>
        </w:rPr>
        <w:t xml:space="preserve">Manufacturing principles—therapeutic goods other than blood, blood components, haematopoietic progenitor cells </w:t>
      </w:r>
      <w:r w:rsidR="00D03605" w:rsidRPr="00EA3D7E">
        <w:rPr>
          <w:rFonts w:ascii="Times New Roman" w:hAnsi="Times New Roman"/>
          <w:b/>
          <w:sz w:val="22"/>
          <w:szCs w:val="22"/>
        </w:rPr>
        <w:t>etc.</w:t>
      </w:r>
    </w:p>
    <w:p w:rsidR="00AC38AB" w:rsidRPr="00EA3D7E" w:rsidRDefault="00AC38AB" w:rsidP="00AC38AB">
      <w:pPr>
        <w:tabs>
          <w:tab w:val="left" w:pos="851"/>
        </w:tabs>
        <w:outlineLvl w:val="0"/>
        <w:rPr>
          <w:rFonts w:ascii="Times New Roman" w:hAnsi="Times New Roman"/>
          <w:b/>
          <w:sz w:val="22"/>
          <w:szCs w:val="22"/>
        </w:rPr>
      </w:pPr>
    </w:p>
    <w:p w:rsidR="007B0AF8" w:rsidRPr="00EA3D7E" w:rsidRDefault="007B0AF8" w:rsidP="00740E1B">
      <w:pPr>
        <w:pStyle w:val="Definition"/>
        <w:spacing w:before="0"/>
        <w:ind w:left="0"/>
      </w:pPr>
      <w:r w:rsidRPr="00EA3D7E">
        <w:t xml:space="preserve">This section </w:t>
      </w:r>
      <w:r w:rsidR="00D76C7D" w:rsidRPr="00EA3D7E">
        <w:t>determines that the manufacturing principles set out in Part 1 of Schedule 1 to the Determination are to be observed in the manufacture of therapeutic goods (including active pharmaceutical ingredients and sunscreens) for use in humans, other than the therapeutic goods</w:t>
      </w:r>
      <w:r w:rsidRPr="00EA3D7E">
        <w:t xml:space="preserve"> </w:t>
      </w:r>
      <w:r w:rsidR="00D76C7D" w:rsidRPr="00EA3D7E">
        <w:t xml:space="preserve">mentioned in paragraphs </w:t>
      </w:r>
      <w:r w:rsidR="00CD42DA" w:rsidRPr="00EA3D7E">
        <w:t>7</w:t>
      </w:r>
      <w:r w:rsidR="00D76C7D" w:rsidRPr="00EA3D7E">
        <w:t>(a) to (d) of the Determination</w:t>
      </w:r>
      <w:r w:rsidR="00CD42DA" w:rsidRPr="00EA3D7E">
        <w:t xml:space="preserve"> (that is, blood, blood components, haematopoietic progenitor cells and biologicals that do not contain live animal cells, tissues or organs)</w:t>
      </w:r>
      <w:r w:rsidRPr="00EA3D7E">
        <w:t>.</w:t>
      </w:r>
    </w:p>
    <w:p w:rsidR="00AC38AB" w:rsidRPr="00EA3D7E" w:rsidRDefault="00AC38AB" w:rsidP="00740E1B">
      <w:pPr>
        <w:pStyle w:val="Definition"/>
        <w:spacing w:before="0"/>
        <w:ind w:left="0"/>
      </w:pPr>
    </w:p>
    <w:p w:rsidR="007B0AF8" w:rsidRPr="00EA3D7E" w:rsidRDefault="007B0AF8" w:rsidP="0013628A">
      <w:pPr>
        <w:keepNext/>
        <w:tabs>
          <w:tab w:val="left" w:pos="851"/>
        </w:tabs>
        <w:outlineLvl w:val="0"/>
        <w:rPr>
          <w:rFonts w:ascii="Times New Roman" w:hAnsi="Times New Roman"/>
          <w:b/>
          <w:sz w:val="22"/>
          <w:szCs w:val="22"/>
        </w:rPr>
      </w:pPr>
      <w:r w:rsidRPr="00EA3D7E">
        <w:rPr>
          <w:rFonts w:ascii="Times New Roman" w:hAnsi="Times New Roman"/>
          <w:b/>
          <w:sz w:val="22"/>
          <w:szCs w:val="22"/>
        </w:rPr>
        <w:lastRenderedPageBreak/>
        <w:t xml:space="preserve">Section </w:t>
      </w:r>
      <w:r w:rsidR="00CD42DA" w:rsidRPr="00EA3D7E">
        <w:rPr>
          <w:rFonts w:ascii="Times New Roman" w:hAnsi="Times New Roman"/>
          <w:b/>
          <w:sz w:val="22"/>
          <w:szCs w:val="22"/>
        </w:rPr>
        <w:t>7</w:t>
      </w:r>
      <w:r w:rsidRPr="00EA3D7E">
        <w:rPr>
          <w:rFonts w:ascii="Times New Roman" w:hAnsi="Times New Roman"/>
          <w:b/>
          <w:sz w:val="22"/>
          <w:szCs w:val="22"/>
        </w:rPr>
        <w:t xml:space="preserve"> </w:t>
      </w:r>
      <w:r w:rsidR="00AC38AB" w:rsidRPr="00EA3D7E">
        <w:rPr>
          <w:rFonts w:ascii="Times New Roman" w:hAnsi="Times New Roman"/>
          <w:b/>
          <w:bCs/>
          <w:sz w:val="22"/>
          <w:szCs w:val="22"/>
        </w:rPr>
        <w:t xml:space="preserve">– </w:t>
      </w:r>
      <w:r w:rsidR="00D76C7D" w:rsidRPr="00EA3D7E">
        <w:rPr>
          <w:rFonts w:ascii="Times New Roman" w:hAnsi="Times New Roman"/>
          <w:b/>
          <w:sz w:val="22"/>
          <w:szCs w:val="22"/>
        </w:rPr>
        <w:t>Manufacturing principles—therapeutic goods that are blood, blood components, haematopoietic progenitor cells and biologicals that do not contain live animal cells, tissues or organs</w:t>
      </w:r>
    </w:p>
    <w:p w:rsidR="00AC38AB" w:rsidRPr="00EA3D7E" w:rsidRDefault="00AC38AB" w:rsidP="0013628A">
      <w:pPr>
        <w:keepNext/>
        <w:tabs>
          <w:tab w:val="left" w:pos="851"/>
        </w:tabs>
        <w:outlineLvl w:val="0"/>
        <w:rPr>
          <w:rFonts w:ascii="Times New Roman" w:hAnsi="Times New Roman"/>
          <w:b/>
          <w:sz w:val="22"/>
          <w:szCs w:val="22"/>
        </w:rPr>
      </w:pPr>
    </w:p>
    <w:p w:rsidR="00D76C7D" w:rsidRPr="00EA3D7E" w:rsidRDefault="00D76C7D" w:rsidP="00740E1B">
      <w:pPr>
        <w:pStyle w:val="Definition"/>
        <w:spacing w:before="0"/>
        <w:ind w:left="0"/>
      </w:pPr>
      <w:r w:rsidRPr="00EA3D7E">
        <w:t>This section determines that the manufacturing principles set out in Part 2 of Schedule 1 to the Determination are to be observed in the manufacture of therapeutic goods that are blood, blood components, haematopoietic progenitor cells and biologicals that do not contain live animal cells, tissues or organs.</w:t>
      </w:r>
    </w:p>
    <w:p w:rsidR="00AC38AB" w:rsidRPr="00EA3D7E" w:rsidRDefault="00AC38AB" w:rsidP="00740E1B">
      <w:pPr>
        <w:pStyle w:val="Definition"/>
        <w:spacing w:before="0"/>
        <w:ind w:left="0"/>
      </w:pPr>
    </w:p>
    <w:p w:rsidR="00CD42DA" w:rsidRPr="00EA3D7E" w:rsidRDefault="00CD42DA" w:rsidP="00CD42DA">
      <w:pPr>
        <w:autoSpaceDE w:val="0"/>
        <w:autoSpaceDN w:val="0"/>
        <w:adjustRightInd w:val="0"/>
        <w:outlineLvl w:val="1"/>
        <w:rPr>
          <w:rFonts w:ascii="Times New Roman" w:hAnsi="Times New Roman"/>
          <w:b/>
          <w:bCs/>
          <w:sz w:val="22"/>
          <w:szCs w:val="22"/>
        </w:rPr>
      </w:pPr>
      <w:r w:rsidRPr="00EA3D7E">
        <w:rPr>
          <w:rFonts w:ascii="Times New Roman" w:hAnsi="Times New Roman"/>
          <w:b/>
          <w:bCs/>
          <w:sz w:val="22"/>
          <w:szCs w:val="22"/>
        </w:rPr>
        <w:t>Part 3 – Transitional</w:t>
      </w:r>
    </w:p>
    <w:p w:rsidR="00CD42DA" w:rsidRPr="00EA3D7E" w:rsidRDefault="00CD42DA" w:rsidP="00CD42DA">
      <w:pPr>
        <w:autoSpaceDE w:val="0"/>
        <w:autoSpaceDN w:val="0"/>
        <w:adjustRightInd w:val="0"/>
        <w:outlineLvl w:val="1"/>
        <w:rPr>
          <w:rFonts w:ascii="Times New Roman" w:hAnsi="Times New Roman"/>
          <w:sz w:val="22"/>
          <w:szCs w:val="22"/>
          <w:lang w:val="en-US"/>
        </w:rPr>
      </w:pPr>
    </w:p>
    <w:p w:rsidR="00CD42DA" w:rsidRPr="00EA3D7E" w:rsidRDefault="00CD42DA" w:rsidP="00740E1B">
      <w:pPr>
        <w:pStyle w:val="Definition"/>
        <w:spacing w:before="0"/>
        <w:ind w:left="0"/>
      </w:pPr>
      <w:r w:rsidRPr="00EA3D7E">
        <w:t>This Part sets out the transitional arrangements that apply in relation to the Determination.</w:t>
      </w:r>
    </w:p>
    <w:p w:rsidR="00CD42DA" w:rsidRPr="00EA3D7E" w:rsidRDefault="00CD42DA" w:rsidP="00CD42DA">
      <w:pPr>
        <w:rPr>
          <w:rFonts w:ascii="Times New Roman" w:hAnsi="Times New Roman"/>
          <w:sz w:val="22"/>
          <w:szCs w:val="22"/>
        </w:rPr>
      </w:pPr>
    </w:p>
    <w:p w:rsidR="00720DE6" w:rsidRPr="00EA3D7E" w:rsidRDefault="00720DE6" w:rsidP="00720DE6">
      <w:pPr>
        <w:tabs>
          <w:tab w:val="left" w:pos="851"/>
        </w:tabs>
        <w:outlineLvl w:val="0"/>
        <w:rPr>
          <w:rFonts w:ascii="Times New Roman" w:hAnsi="Times New Roman"/>
          <w:b/>
          <w:sz w:val="22"/>
          <w:szCs w:val="22"/>
        </w:rPr>
      </w:pPr>
      <w:r w:rsidRPr="00EA3D7E">
        <w:rPr>
          <w:rFonts w:ascii="Times New Roman" w:hAnsi="Times New Roman"/>
          <w:b/>
          <w:sz w:val="22"/>
          <w:szCs w:val="22"/>
        </w:rPr>
        <w:t xml:space="preserve">Section 8 </w:t>
      </w:r>
      <w:r w:rsidRPr="00EA3D7E">
        <w:rPr>
          <w:rFonts w:ascii="Times New Roman" w:hAnsi="Times New Roman"/>
          <w:b/>
          <w:bCs/>
          <w:sz w:val="22"/>
          <w:szCs w:val="22"/>
        </w:rPr>
        <w:t>–</w:t>
      </w:r>
      <w:r w:rsidRPr="00EA3D7E">
        <w:rPr>
          <w:rFonts w:ascii="Times New Roman" w:hAnsi="Times New Roman"/>
          <w:b/>
          <w:sz w:val="22"/>
          <w:szCs w:val="22"/>
        </w:rPr>
        <w:t xml:space="preserve"> Transitional provision</w:t>
      </w:r>
    </w:p>
    <w:p w:rsidR="00720DE6" w:rsidRPr="00EA3D7E" w:rsidRDefault="00720DE6" w:rsidP="00720DE6">
      <w:pPr>
        <w:rPr>
          <w:rFonts w:ascii="Times New Roman" w:hAnsi="Times New Roman"/>
          <w:b/>
          <w:sz w:val="22"/>
          <w:szCs w:val="22"/>
        </w:rPr>
      </w:pPr>
    </w:p>
    <w:p w:rsidR="00720DE6" w:rsidRPr="00EA3D7E" w:rsidRDefault="00720DE6" w:rsidP="00740E1B">
      <w:pPr>
        <w:pStyle w:val="Definition"/>
        <w:spacing w:before="0"/>
        <w:ind w:left="0"/>
      </w:pPr>
      <w:r w:rsidRPr="00EA3D7E">
        <w:t>This section defines certain terms for the purposes of this Part.  These terms are ‘former instrument’, ‘Transition Notice’ and ‘transition period’.</w:t>
      </w:r>
    </w:p>
    <w:p w:rsidR="00720DE6" w:rsidRPr="00EA3D7E" w:rsidRDefault="00720DE6" w:rsidP="00740E1B">
      <w:pPr>
        <w:pStyle w:val="Definition"/>
        <w:spacing w:before="0"/>
        <w:ind w:left="0"/>
      </w:pPr>
    </w:p>
    <w:p w:rsidR="00720DE6" w:rsidRPr="00EA3D7E" w:rsidRDefault="00720DE6" w:rsidP="00720DE6">
      <w:pPr>
        <w:tabs>
          <w:tab w:val="left" w:pos="851"/>
        </w:tabs>
        <w:outlineLvl w:val="0"/>
        <w:rPr>
          <w:rFonts w:ascii="Times New Roman" w:hAnsi="Times New Roman"/>
          <w:b/>
          <w:sz w:val="22"/>
          <w:szCs w:val="22"/>
        </w:rPr>
      </w:pPr>
      <w:r w:rsidRPr="00EA3D7E">
        <w:rPr>
          <w:rFonts w:ascii="Times New Roman" w:hAnsi="Times New Roman"/>
          <w:b/>
          <w:sz w:val="22"/>
          <w:szCs w:val="22"/>
        </w:rPr>
        <w:t xml:space="preserve">Section 9 </w:t>
      </w:r>
      <w:r w:rsidRPr="00EA3D7E">
        <w:rPr>
          <w:rFonts w:ascii="Times New Roman" w:hAnsi="Times New Roman"/>
          <w:b/>
          <w:bCs/>
          <w:sz w:val="22"/>
          <w:szCs w:val="22"/>
        </w:rPr>
        <w:t>–</w:t>
      </w:r>
      <w:r w:rsidR="00D85814" w:rsidRPr="00EA3D7E">
        <w:rPr>
          <w:rFonts w:ascii="Times New Roman" w:hAnsi="Times New Roman"/>
          <w:b/>
          <w:sz w:val="22"/>
          <w:szCs w:val="22"/>
        </w:rPr>
        <w:t xml:space="preserve"> Transitional</w:t>
      </w:r>
    </w:p>
    <w:p w:rsidR="00720DE6" w:rsidRPr="00EA3D7E" w:rsidRDefault="00720DE6" w:rsidP="00720DE6">
      <w:pPr>
        <w:rPr>
          <w:rFonts w:ascii="Times New Roman" w:hAnsi="Times New Roman"/>
          <w:b/>
          <w:sz w:val="22"/>
          <w:szCs w:val="22"/>
        </w:rPr>
      </w:pPr>
    </w:p>
    <w:p w:rsidR="00720DE6" w:rsidRPr="00EA3D7E" w:rsidRDefault="00720DE6" w:rsidP="00740E1B">
      <w:pPr>
        <w:pStyle w:val="Definition"/>
        <w:spacing w:before="0"/>
        <w:ind w:left="0"/>
      </w:pPr>
      <w:r w:rsidRPr="00EA3D7E">
        <w:t xml:space="preserve">This section provides that between the commencement of the Determination and 30 June 2021 (“the transition period”), the manufacturing principles determined under the Therapeutic Goods (Manufacturing Principles) Determination 2018 </w:t>
      </w:r>
      <w:r w:rsidR="00532C9E" w:rsidRPr="00EA3D7E">
        <w:t xml:space="preserve">(“the former instrument”) </w:t>
      </w:r>
      <w:r w:rsidRPr="00EA3D7E">
        <w:t>may be observed by a manufacturer in relation to the manufacture of goods that are mentioned in section 6 of the Determination for that period.</w:t>
      </w:r>
    </w:p>
    <w:p w:rsidR="009951A8" w:rsidRPr="00EA3D7E" w:rsidRDefault="009951A8" w:rsidP="00740E1B">
      <w:pPr>
        <w:pStyle w:val="Definition"/>
        <w:spacing w:before="0"/>
        <w:ind w:left="0"/>
      </w:pPr>
    </w:p>
    <w:p w:rsidR="000625E3" w:rsidRPr="00EA3D7E" w:rsidRDefault="00133B85" w:rsidP="00740E1B">
      <w:pPr>
        <w:pStyle w:val="Definition"/>
        <w:spacing w:before="0"/>
        <w:ind w:left="0"/>
      </w:pPr>
      <w:r w:rsidRPr="00EA3D7E">
        <w:t xml:space="preserve">In accordance with the definition of </w:t>
      </w:r>
      <w:r w:rsidR="004E054C">
        <w:t>‘</w:t>
      </w:r>
      <w:r w:rsidR="009951A8" w:rsidRPr="00EA3D7E">
        <w:t>tra</w:t>
      </w:r>
      <w:r w:rsidRPr="00EA3D7E">
        <w:t>nsition period</w:t>
      </w:r>
      <w:r w:rsidR="004E054C">
        <w:t>’</w:t>
      </w:r>
      <w:r w:rsidR="00720DE6" w:rsidRPr="00EA3D7E">
        <w:t xml:space="preserve"> in section 8</w:t>
      </w:r>
      <w:r w:rsidR="003C5CB7" w:rsidRPr="00EA3D7E">
        <w:t xml:space="preserve">, </w:t>
      </w:r>
      <w:r w:rsidRPr="00EA3D7E">
        <w:t>the manufacturer must transition to the manufacturing principles determined under the Determination in accordance with the T</w:t>
      </w:r>
      <w:r w:rsidR="000625E3" w:rsidRPr="00EA3D7E">
        <w:t>ransition Notice</w:t>
      </w:r>
      <w:r w:rsidR="00720DE6" w:rsidRPr="00EA3D7E">
        <w:t>.</w:t>
      </w:r>
    </w:p>
    <w:p w:rsidR="00133B85" w:rsidRPr="00EA3D7E" w:rsidRDefault="00133B85" w:rsidP="00AC38AB">
      <w:pPr>
        <w:tabs>
          <w:tab w:val="left" w:pos="851"/>
        </w:tabs>
        <w:outlineLvl w:val="0"/>
        <w:rPr>
          <w:rFonts w:ascii="Times New Roman" w:eastAsia="Cambria" w:hAnsi="Times New Roman"/>
          <w:sz w:val="22"/>
          <w:szCs w:val="22"/>
        </w:rPr>
      </w:pPr>
    </w:p>
    <w:bookmarkEnd w:id="3"/>
    <w:p w:rsidR="004B45EF" w:rsidRPr="00EA3D7E" w:rsidRDefault="004B45EF" w:rsidP="00382E05">
      <w:pPr>
        <w:pStyle w:val="Definition"/>
        <w:keepNext/>
        <w:spacing w:before="0"/>
        <w:ind w:left="0"/>
        <w:rPr>
          <w:b/>
        </w:rPr>
      </w:pPr>
      <w:r w:rsidRPr="00EA3D7E">
        <w:rPr>
          <w:b/>
        </w:rPr>
        <w:t xml:space="preserve">Schedule 1 – </w:t>
      </w:r>
      <w:r w:rsidR="00233039" w:rsidRPr="00EA3D7E">
        <w:rPr>
          <w:b/>
        </w:rPr>
        <w:t>Manufacturing principle</w:t>
      </w:r>
      <w:r w:rsidRPr="00EA3D7E">
        <w:rPr>
          <w:b/>
        </w:rPr>
        <w:t>s</w:t>
      </w:r>
    </w:p>
    <w:p w:rsidR="00382E05" w:rsidRPr="00EA3D7E" w:rsidRDefault="00382E05" w:rsidP="00382E05">
      <w:pPr>
        <w:pStyle w:val="Definition"/>
        <w:keepNext/>
        <w:spacing w:before="0"/>
        <w:ind w:left="0"/>
        <w:rPr>
          <w:b/>
        </w:rPr>
      </w:pPr>
    </w:p>
    <w:p w:rsidR="00AB4007" w:rsidRPr="00EA3D7E" w:rsidRDefault="004B45EF" w:rsidP="00382E05">
      <w:pPr>
        <w:pStyle w:val="Definition"/>
        <w:spacing w:before="0"/>
        <w:ind w:left="0"/>
      </w:pPr>
      <w:r w:rsidRPr="00EA3D7E">
        <w:t xml:space="preserve">This Schedule </w:t>
      </w:r>
      <w:r w:rsidR="00304341" w:rsidRPr="00EA3D7E">
        <w:t xml:space="preserve">sets out the manufacturing principles that are to be observed for the purposes of </w:t>
      </w:r>
      <w:r w:rsidR="00B05D3C" w:rsidRPr="00EA3D7E">
        <w:t>section 36 of the Act</w:t>
      </w:r>
      <w:r w:rsidR="00AB4007" w:rsidRPr="00EA3D7E">
        <w:t xml:space="preserve"> as follows:</w:t>
      </w:r>
    </w:p>
    <w:p w:rsidR="00AB4007" w:rsidRPr="00EA3D7E" w:rsidRDefault="00B05D3C" w:rsidP="00AB4007">
      <w:pPr>
        <w:pStyle w:val="Definition"/>
        <w:numPr>
          <w:ilvl w:val="0"/>
          <w:numId w:val="19"/>
        </w:numPr>
        <w:rPr>
          <w:bCs/>
        </w:rPr>
      </w:pPr>
      <w:r w:rsidRPr="00EA3D7E">
        <w:t xml:space="preserve">Part 1 </w:t>
      </w:r>
      <w:r w:rsidR="00233039" w:rsidRPr="00EA3D7E">
        <w:t>sets out</w:t>
      </w:r>
      <w:r w:rsidRPr="00EA3D7E">
        <w:t xml:space="preserve"> the manufacturing principles to be observed in relation to the manufacture of therapeutic goods mentioned in </w:t>
      </w:r>
      <w:r w:rsidR="00304341" w:rsidRPr="00EA3D7E">
        <w:t xml:space="preserve">section </w:t>
      </w:r>
      <w:r w:rsidRPr="00EA3D7E">
        <w:t>6 of the Determination</w:t>
      </w:r>
      <w:r w:rsidR="00AB4007" w:rsidRPr="00EA3D7E">
        <w:t>;</w:t>
      </w:r>
      <w:r w:rsidR="00304341" w:rsidRPr="00EA3D7E">
        <w:t xml:space="preserve"> and</w:t>
      </w:r>
    </w:p>
    <w:p w:rsidR="00AB4007" w:rsidRPr="00EA3D7E" w:rsidRDefault="00B05D3C" w:rsidP="00AB4007">
      <w:pPr>
        <w:pStyle w:val="Definition"/>
        <w:numPr>
          <w:ilvl w:val="0"/>
          <w:numId w:val="19"/>
        </w:numPr>
        <w:rPr>
          <w:bCs/>
        </w:rPr>
      </w:pPr>
      <w:r w:rsidRPr="00EA3D7E">
        <w:t xml:space="preserve">Part 2 </w:t>
      </w:r>
      <w:r w:rsidR="00AB4007" w:rsidRPr="00EA3D7E">
        <w:t xml:space="preserve">sets out the manufacturing principles to be observed in relation to the manufacture of therapeutic goods mentioned in </w:t>
      </w:r>
      <w:r w:rsidR="00233039" w:rsidRPr="00EA3D7E">
        <w:t xml:space="preserve">section </w:t>
      </w:r>
      <w:r w:rsidRPr="00EA3D7E">
        <w:t>7</w:t>
      </w:r>
      <w:r w:rsidR="00304341" w:rsidRPr="00EA3D7E">
        <w:t xml:space="preserve"> of the Determination</w:t>
      </w:r>
      <w:r w:rsidR="004B45EF" w:rsidRPr="00EA3D7E">
        <w:t>.</w:t>
      </w:r>
    </w:p>
    <w:p w:rsidR="004B45EF" w:rsidRPr="00EA3D7E" w:rsidRDefault="004B45EF" w:rsidP="00382E05">
      <w:pPr>
        <w:pStyle w:val="Definition"/>
        <w:spacing w:before="0"/>
        <w:ind w:left="0"/>
      </w:pPr>
    </w:p>
    <w:p w:rsidR="004B45EF" w:rsidRPr="00EA3D7E" w:rsidRDefault="004B45EF" w:rsidP="00382E05">
      <w:pPr>
        <w:pStyle w:val="Definition"/>
        <w:spacing w:before="0"/>
        <w:ind w:left="0"/>
        <w:rPr>
          <w:b/>
        </w:rPr>
      </w:pPr>
      <w:r w:rsidRPr="00EA3D7E">
        <w:rPr>
          <w:b/>
        </w:rPr>
        <w:t>Schedule 2 – Repeals</w:t>
      </w:r>
    </w:p>
    <w:p w:rsidR="000E0FA6" w:rsidRPr="00EA3D7E" w:rsidRDefault="000E0FA6" w:rsidP="00382E05">
      <w:pPr>
        <w:pStyle w:val="Definition"/>
        <w:spacing w:before="0"/>
        <w:ind w:left="0"/>
        <w:rPr>
          <w:b/>
        </w:rPr>
      </w:pPr>
    </w:p>
    <w:p w:rsidR="004B45EF" w:rsidRPr="00EA3D7E" w:rsidRDefault="004B45EF" w:rsidP="00382E05">
      <w:pPr>
        <w:pStyle w:val="Definition"/>
        <w:spacing w:before="0"/>
        <w:ind w:left="0"/>
      </w:pPr>
      <w:r w:rsidRPr="00EA3D7E">
        <w:t xml:space="preserve">This Schedule repeals the </w:t>
      </w:r>
      <w:r w:rsidR="00AB4007" w:rsidRPr="00EA3D7E">
        <w:t>former instrument</w:t>
      </w:r>
      <w:r w:rsidRPr="00EA3D7E">
        <w:t>.</w:t>
      </w:r>
    </w:p>
    <w:p w:rsidR="007B0AF8" w:rsidRPr="00EA3D7E" w:rsidRDefault="007B0AF8" w:rsidP="007B0AF8">
      <w:pPr>
        <w:rPr>
          <w:rFonts w:ascii="Times New Roman" w:hAnsi="Times New Roman"/>
          <w:color w:val="000000"/>
          <w:sz w:val="22"/>
          <w:szCs w:val="22"/>
          <w:shd w:val="clear" w:color="auto" w:fill="FFFFFF"/>
        </w:rPr>
      </w:pPr>
      <w:r w:rsidRPr="00EA3D7E">
        <w:rPr>
          <w:rFonts w:ascii="Times New Roman" w:hAnsi="Times New Roman"/>
          <w:sz w:val="22"/>
          <w:szCs w:val="22"/>
        </w:rPr>
        <w:br w:type="page"/>
      </w:r>
    </w:p>
    <w:p w:rsidR="00382E05" w:rsidRPr="00EA3D7E" w:rsidRDefault="00382E05" w:rsidP="00382E05">
      <w:pPr>
        <w:pStyle w:val="Header"/>
        <w:tabs>
          <w:tab w:val="clear" w:pos="4153"/>
          <w:tab w:val="clear" w:pos="8306"/>
        </w:tabs>
        <w:ind w:left="284"/>
        <w:jc w:val="right"/>
        <w:rPr>
          <w:rFonts w:ascii="Times New Roman" w:hAnsi="Times New Roman"/>
          <w:b/>
          <w:sz w:val="22"/>
          <w:szCs w:val="22"/>
        </w:rPr>
      </w:pPr>
      <w:r w:rsidRPr="00EA3D7E">
        <w:rPr>
          <w:rFonts w:ascii="Times New Roman" w:hAnsi="Times New Roman"/>
          <w:b/>
          <w:sz w:val="22"/>
          <w:szCs w:val="22"/>
        </w:rPr>
        <w:lastRenderedPageBreak/>
        <w:t>Attachment B</w:t>
      </w:r>
    </w:p>
    <w:p w:rsidR="00382E05" w:rsidRPr="00EA3D7E" w:rsidRDefault="00382E05" w:rsidP="00382E05">
      <w:pPr>
        <w:rPr>
          <w:rFonts w:ascii="Times New Roman" w:hAnsi="Times New Roman"/>
          <w:sz w:val="22"/>
          <w:szCs w:val="22"/>
        </w:rPr>
      </w:pPr>
    </w:p>
    <w:p w:rsidR="00382E05" w:rsidRPr="00EA3D7E" w:rsidRDefault="00382E05" w:rsidP="00382E05">
      <w:pPr>
        <w:jc w:val="center"/>
        <w:rPr>
          <w:rFonts w:ascii="Times New Roman" w:hAnsi="Times New Roman"/>
          <w:b/>
          <w:sz w:val="22"/>
          <w:szCs w:val="22"/>
          <w:lang w:val="en-US"/>
        </w:rPr>
      </w:pPr>
      <w:r w:rsidRPr="00EA3D7E">
        <w:rPr>
          <w:rFonts w:ascii="Times New Roman" w:hAnsi="Times New Roman"/>
          <w:b/>
          <w:sz w:val="22"/>
          <w:szCs w:val="22"/>
        </w:rPr>
        <w:t>Statement of Compatibility with Human Rights</w:t>
      </w:r>
    </w:p>
    <w:p w:rsidR="00382E05" w:rsidRPr="00EA3D7E" w:rsidRDefault="00382E05" w:rsidP="00382E05">
      <w:pPr>
        <w:rPr>
          <w:rFonts w:ascii="Times New Roman" w:hAnsi="Times New Roman"/>
          <w:sz w:val="22"/>
          <w:szCs w:val="22"/>
        </w:rPr>
      </w:pPr>
    </w:p>
    <w:p w:rsidR="00382E05" w:rsidRPr="00EA3D7E" w:rsidRDefault="00382E05" w:rsidP="00382E05">
      <w:pPr>
        <w:ind w:right="-142"/>
        <w:jc w:val="center"/>
        <w:rPr>
          <w:rFonts w:ascii="Times New Roman" w:hAnsi="Times New Roman"/>
          <w:i/>
          <w:sz w:val="22"/>
          <w:szCs w:val="22"/>
        </w:rPr>
      </w:pPr>
      <w:r w:rsidRPr="00EA3D7E">
        <w:rPr>
          <w:rFonts w:ascii="Times New Roman" w:hAnsi="Times New Roman"/>
          <w:i/>
          <w:sz w:val="22"/>
          <w:szCs w:val="22"/>
        </w:rPr>
        <w:t>Prepared in accordance with Part 3 of the</w:t>
      </w:r>
      <w:r w:rsidRPr="00EA3D7E">
        <w:rPr>
          <w:rFonts w:ascii="Times New Roman" w:hAnsi="Times New Roman"/>
          <w:i/>
          <w:iCs/>
          <w:sz w:val="22"/>
          <w:szCs w:val="22"/>
        </w:rPr>
        <w:t xml:space="preserve"> Human Rights (Parliamentary Scrutiny) Act 2011</w:t>
      </w:r>
      <w:r w:rsidR="00967FE7" w:rsidRPr="00EA3D7E">
        <w:rPr>
          <w:rFonts w:ascii="Times New Roman" w:hAnsi="Times New Roman"/>
          <w:i/>
          <w:iCs/>
          <w:sz w:val="22"/>
          <w:szCs w:val="22"/>
        </w:rPr>
        <w:t>.</w:t>
      </w:r>
    </w:p>
    <w:p w:rsidR="00382E05" w:rsidRPr="00EA3D7E" w:rsidRDefault="00382E05" w:rsidP="00382E05">
      <w:pPr>
        <w:rPr>
          <w:rFonts w:ascii="Times New Roman" w:hAnsi="Times New Roman"/>
          <w:sz w:val="22"/>
          <w:szCs w:val="22"/>
          <w:lang w:val="en-US"/>
        </w:rPr>
      </w:pPr>
    </w:p>
    <w:p w:rsidR="00382E05" w:rsidRPr="00EA3D7E" w:rsidRDefault="00382E05" w:rsidP="00382E05">
      <w:pPr>
        <w:jc w:val="center"/>
        <w:rPr>
          <w:rFonts w:ascii="Times New Roman" w:hAnsi="Times New Roman"/>
          <w:b/>
          <w:sz w:val="22"/>
          <w:szCs w:val="22"/>
        </w:rPr>
      </w:pPr>
      <w:r w:rsidRPr="00EA3D7E">
        <w:rPr>
          <w:rFonts w:ascii="Times New Roman" w:hAnsi="Times New Roman"/>
          <w:b/>
          <w:i/>
          <w:sz w:val="22"/>
          <w:szCs w:val="22"/>
        </w:rPr>
        <w:t>Therapeutic Goods (Manufacturing Principles) Determination 2020</w:t>
      </w:r>
    </w:p>
    <w:p w:rsidR="00382E05" w:rsidRPr="00EA3D7E" w:rsidRDefault="00382E05" w:rsidP="00382E05">
      <w:pPr>
        <w:rPr>
          <w:rFonts w:ascii="Times New Roman" w:hAnsi="Times New Roman"/>
          <w:sz w:val="22"/>
          <w:szCs w:val="22"/>
        </w:rPr>
      </w:pPr>
    </w:p>
    <w:p w:rsidR="00382E05" w:rsidRPr="00EA3D7E" w:rsidRDefault="00382E05" w:rsidP="00382E05">
      <w:pPr>
        <w:rPr>
          <w:rFonts w:ascii="Times New Roman" w:hAnsi="Times New Roman"/>
          <w:sz w:val="22"/>
          <w:szCs w:val="22"/>
        </w:rPr>
      </w:pPr>
      <w:r w:rsidRPr="00EA3D7E">
        <w:rPr>
          <w:rFonts w:ascii="Times New Roman" w:hAnsi="Times New Roman"/>
          <w:sz w:val="22"/>
          <w:szCs w:val="22"/>
        </w:rPr>
        <w:t xml:space="preserve">This disallowable legislative instrument is compatible with the human rights and freedoms recognised or declared in the international instruments listed in section 3 of the </w:t>
      </w:r>
      <w:r w:rsidRPr="00EA3D7E">
        <w:rPr>
          <w:rFonts w:ascii="Times New Roman" w:hAnsi="Times New Roman"/>
          <w:i/>
          <w:sz w:val="22"/>
          <w:szCs w:val="22"/>
        </w:rPr>
        <w:t>Human Rights (Parliamentary Scrutiny) Act 2011</w:t>
      </w:r>
      <w:r w:rsidRPr="00EA3D7E">
        <w:rPr>
          <w:rFonts w:ascii="Times New Roman" w:hAnsi="Times New Roman"/>
          <w:sz w:val="22"/>
          <w:szCs w:val="22"/>
        </w:rPr>
        <w:t>.</w:t>
      </w:r>
    </w:p>
    <w:p w:rsidR="00382E05" w:rsidRPr="00EA3D7E" w:rsidRDefault="00382E05" w:rsidP="00382E05">
      <w:pPr>
        <w:rPr>
          <w:rFonts w:ascii="Times New Roman" w:hAnsi="Times New Roman"/>
          <w:sz w:val="22"/>
          <w:szCs w:val="22"/>
        </w:rPr>
      </w:pPr>
    </w:p>
    <w:p w:rsidR="00382E05" w:rsidRPr="00EA3D7E" w:rsidRDefault="00382E05" w:rsidP="00382E05">
      <w:pPr>
        <w:rPr>
          <w:rFonts w:ascii="Times New Roman" w:hAnsi="Times New Roman"/>
          <w:b/>
          <w:sz w:val="22"/>
          <w:szCs w:val="22"/>
        </w:rPr>
      </w:pPr>
      <w:r w:rsidRPr="00EA3D7E">
        <w:rPr>
          <w:rFonts w:ascii="Times New Roman" w:hAnsi="Times New Roman"/>
          <w:b/>
          <w:sz w:val="22"/>
          <w:szCs w:val="22"/>
        </w:rPr>
        <w:t>Overview of legislative instrument</w:t>
      </w:r>
    </w:p>
    <w:p w:rsidR="00382E05" w:rsidRPr="00EA3D7E" w:rsidRDefault="00382E05" w:rsidP="00382E05">
      <w:pPr>
        <w:rPr>
          <w:rFonts w:ascii="Times New Roman" w:hAnsi="Times New Roman"/>
          <w:b/>
          <w:sz w:val="22"/>
          <w:szCs w:val="22"/>
        </w:rPr>
      </w:pPr>
    </w:p>
    <w:p w:rsidR="00382E05" w:rsidRPr="00EA3D7E" w:rsidRDefault="00F32C6B" w:rsidP="0092257A">
      <w:pPr>
        <w:autoSpaceDE w:val="0"/>
        <w:autoSpaceDN w:val="0"/>
        <w:adjustRightInd w:val="0"/>
        <w:rPr>
          <w:rFonts w:ascii="Times New Roman" w:hAnsi="Times New Roman"/>
          <w:i/>
          <w:sz w:val="22"/>
          <w:szCs w:val="22"/>
        </w:rPr>
      </w:pPr>
      <w:r w:rsidRPr="00EA3D7E">
        <w:rPr>
          <w:rFonts w:ascii="Times New Roman" w:hAnsi="Times New Roman"/>
          <w:sz w:val="22"/>
          <w:szCs w:val="22"/>
        </w:rPr>
        <w:t xml:space="preserve">The </w:t>
      </w:r>
      <w:r w:rsidR="00053315" w:rsidRPr="00EA3D7E">
        <w:rPr>
          <w:rFonts w:ascii="Times New Roman" w:hAnsi="Times New Roman"/>
          <w:i/>
          <w:sz w:val="22"/>
          <w:szCs w:val="22"/>
        </w:rPr>
        <w:t>Therapeutic Goods (</w:t>
      </w:r>
      <w:r w:rsidR="000F16C2" w:rsidRPr="00EA3D7E">
        <w:rPr>
          <w:rFonts w:ascii="Times New Roman" w:hAnsi="Times New Roman"/>
          <w:i/>
          <w:sz w:val="22"/>
          <w:szCs w:val="22"/>
        </w:rPr>
        <w:t>Manufacturing Principles</w:t>
      </w:r>
      <w:r w:rsidR="00053315" w:rsidRPr="00EA3D7E">
        <w:rPr>
          <w:rFonts w:ascii="Times New Roman" w:hAnsi="Times New Roman"/>
          <w:i/>
          <w:sz w:val="22"/>
          <w:szCs w:val="22"/>
        </w:rPr>
        <w:t xml:space="preserve">) </w:t>
      </w:r>
      <w:r w:rsidR="000F16C2" w:rsidRPr="00EA3D7E">
        <w:rPr>
          <w:rFonts w:ascii="Times New Roman" w:hAnsi="Times New Roman"/>
          <w:i/>
          <w:sz w:val="22"/>
          <w:szCs w:val="22"/>
        </w:rPr>
        <w:t xml:space="preserve">Determination </w:t>
      </w:r>
      <w:r w:rsidR="00536900" w:rsidRPr="00EA3D7E">
        <w:rPr>
          <w:rFonts w:ascii="Times New Roman" w:hAnsi="Times New Roman"/>
          <w:i/>
          <w:sz w:val="22"/>
          <w:szCs w:val="22"/>
        </w:rPr>
        <w:t>2020</w:t>
      </w:r>
      <w:r w:rsidR="00536900" w:rsidRPr="00EA3D7E">
        <w:rPr>
          <w:rFonts w:ascii="Times New Roman" w:hAnsi="Times New Roman"/>
          <w:sz w:val="22"/>
          <w:szCs w:val="22"/>
        </w:rPr>
        <w:t xml:space="preserve"> </w:t>
      </w:r>
      <w:r w:rsidR="00382E05" w:rsidRPr="00EA3D7E">
        <w:rPr>
          <w:rFonts w:ascii="Times New Roman" w:hAnsi="Times New Roman"/>
          <w:sz w:val="22"/>
          <w:szCs w:val="22"/>
        </w:rPr>
        <w:t xml:space="preserve">(“the instrument”) </w:t>
      </w:r>
      <w:r w:rsidRPr="00EA3D7E">
        <w:rPr>
          <w:rFonts w:ascii="Times New Roman" w:hAnsi="Times New Roman"/>
          <w:sz w:val="22"/>
          <w:szCs w:val="22"/>
        </w:rPr>
        <w:t xml:space="preserve">is made by the </w:t>
      </w:r>
      <w:r w:rsidR="00E9081A" w:rsidRPr="00EA3D7E">
        <w:rPr>
          <w:rFonts w:ascii="Times New Roman" w:hAnsi="Times New Roman"/>
          <w:sz w:val="22"/>
          <w:szCs w:val="22"/>
        </w:rPr>
        <w:t xml:space="preserve">Minister </w:t>
      </w:r>
      <w:r w:rsidRPr="00EA3D7E">
        <w:rPr>
          <w:rFonts w:ascii="Times New Roman" w:hAnsi="Times New Roman"/>
          <w:sz w:val="22"/>
          <w:szCs w:val="22"/>
        </w:rPr>
        <w:t>under s</w:t>
      </w:r>
      <w:r w:rsidR="00AF352B" w:rsidRPr="00EA3D7E">
        <w:rPr>
          <w:rFonts w:ascii="Times New Roman" w:hAnsi="Times New Roman"/>
          <w:sz w:val="22"/>
          <w:szCs w:val="22"/>
        </w:rPr>
        <w:t xml:space="preserve">ubsection </w:t>
      </w:r>
      <w:r w:rsidRPr="00EA3D7E">
        <w:rPr>
          <w:rFonts w:ascii="Times New Roman" w:hAnsi="Times New Roman"/>
          <w:sz w:val="22"/>
          <w:szCs w:val="22"/>
        </w:rPr>
        <w:t>3</w:t>
      </w:r>
      <w:r w:rsidR="00E9081A" w:rsidRPr="00EA3D7E">
        <w:rPr>
          <w:rFonts w:ascii="Times New Roman" w:hAnsi="Times New Roman"/>
          <w:sz w:val="22"/>
          <w:szCs w:val="22"/>
        </w:rPr>
        <w:t>6</w:t>
      </w:r>
      <w:r w:rsidRPr="00EA3D7E">
        <w:rPr>
          <w:rFonts w:ascii="Times New Roman" w:hAnsi="Times New Roman"/>
          <w:sz w:val="22"/>
          <w:szCs w:val="22"/>
        </w:rPr>
        <w:t>(</w:t>
      </w:r>
      <w:r w:rsidR="00E9081A" w:rsidRPr="00EA3D7E">
        <w:rPr>
          <w:rFonts w:ascii="Times New Roman" w:hAnsi="Times New Roman"/>
          <w:sz w:val="22"/>
          <w:szCs w:val="22"/>
        </w:rPr>
        <w:t>1</w:t>
      </w:r>
      <w:r w:rsidRPr="00EA3D7E">
        <w:rPr>
          <w:rFonts w:ascii="Times New Roman" w:hAnsi="Times New Roman"/>
          <w:sz w:val="22"/>
          <w:szCs w:val="22"/>
        </w:rPr>
        <w:t xml:space="preserve">) of the </w:t>
      </w:r>
      <w:r w:rsidRPr="00EA3D7E">
        <w:rPr>
          <w:rFonts w:ascii="Times New Roman" w:hAnsi="Times New Roman"/>
          <w:i/>
          <w:sz w:val="22"/>
          <w:szCs w:val="22"/>
        </w:rPr>
        <w:t>Therapeutic Goods Act 1989</w:t>
      </w:r>
      <w:r w:rsidR="00382E05" w:rsidRPr="00EA3D7E">
        <w:rPr>
          <w:rFonts w:ascii="Times New Roman" w:hAnsi="Times New Roman"/>
          <w:i/>
          <w:sz w:val="22"/>
          <w:szCs w:val="22"/>
        </w:rPr>
        <w:t xml:space="preserve"> </w:t>
      </w:r>
      <w:r w:rsidR="00382E05" w:rsidRPr="00EA3D7E">
        <w:rPr>
          <w:rFonts w:ascii="Times New Roman" w:hAnsi="Times New Roman"/>
          <w:sz w:val="22"/>
          <w:szCs w:val="22"/>
        </w:rPr>
        <w:t>(“the Act”).</w:t>
      </w:r>
    </w:p>
    <w:p w:rsidR="00382E05" w:rsidRPr="00EA3D7E" w:rsidRDefault="00382E05" w:rsidP="0092257A">
      <w:pPr>
        <w:autoSpaceDE w:val="0"/>
        <w:autoSpaceDN w:val="0"/>
        <w:adjustRightInd w:val="0"/>
        <w:rPr>
          <w:rFonts w:ascii="Times New Roman" w:hAnsi="Times New Roman"/>
          <w:i/>
          <w:sz w:val="22"/>
          <w:szCs w:val="22"/>
        </w:rPr>
      </w:pPr>
    </w:p>
    <w:p w:rsidR="001363A5" w:rsidRPr="00EA3D7E" w:rsidRDefault="001363A5" w:rsidP="001363A5">
      <w:pPr>
        <w:rPr>
          <w:rFonts w:ascii="Times New Roman" w:hAnsi="Times New Roman"/>
          <w:sz w:val="22"/>
          <w:szCs w:val="22"/>
        </w:rPr>
      </w:pPr>
      <w:r w:rsidRPr="00EA3D7E">
        <w:rPr>
          <w:rFonts w:ascii="Times New Roman" w:hAnsi="Times New Roman"/>
          <w:sz w:val="22"/>
          <w:szCs w:val="22"/>
        </w:rPr>
        <w:t>Subsection 36(1) of the Act provides that the Minister may, from time to time, determine written principles to be observed in the manufacture of therapeutic goods for use in humans</w:t>
      </w:r>
      <w:r w:rsidR="00AB012C" w:rsidRPr="00EA3D7E">
        <w:rPr>
          <w:rFonts w:ascii="Times New Roman" w:hAnsi="Times New Roman"/>
          <w:sz w:val="22"/>
          <w:szCs w:val="22"/>
        </w:rPr>
        <w:t xml:space="preserve">.  These manufacturing principles set out the minimum requirements that are to be observed in the manufacture of therapeutic goods (other than medical devices), to ensure that therapeutic goods are produced to a high quality.  </w:t>
      </w:r>
      <w:r w:rsidRPr="00EA3D7E">
        <w:rPr>
          <w:rFonts w:ascii="Times New Roman" w:hAnsi="Times New Roman"/>
          <w:sz w:val="22"/>
          <w:szCs w:val="22"/>
        </w:rPr>
        <w:t>The purpose of the instrument is to determine such principles</w:t>
      </w:r>
      <w:r w:rsidR="00AB012C" w:rsidRPr="00EA3D7E">
        <w:rPr>
          <w:rFonts w:ascii="Times New Roman" w:hAnsi="Times New Roman"/>
          <w:sz w:val="22"/>
          <w:szCs w:val="22"/>
        </w:rPr>
        <w:t>.</w:t>
      </w:r>
    </w:p>
    <w:p w:rsidR="001363A5" w:rsidRPr="00EA3D7E" w:rsidRDefault="001363A5" w:rsidP="001363A5">
      <w:pPr>
        <w:rPr>
          <w:rFonts w:ascii="Times New Roman" w:hAnsi="Times New Roman"/>
          <w:sz w:val="22"/>
          <w:szCs w:val="22"/>
        </w:rPr>
      </w:pPr>
    </w:p>
    <w:p w:rsidR="001363A5" w:rsidRPr="00EA3D7E" w:rsidRDefault="001363A5" w:rsidP="001363A5">
      <w:pPr>
        <w:rPr>
          <w:rFonts w:ascii="Times New Roman" w:hAnsi="Times New Roman"/>
          <w:sz w:val="22"/>
          <w:szCs w:val="22"/>
        </w:rPr>
      </w:pPr>
      <w:r w:rsidRPr="00EA3D7E">
        <w:rPr>
          <w:rFonts w:ascii="Times New Roman" w:hAnsi="Times New Roman"/>
          <w:sz w:val="22"/>
          <w:szCs w:val="22"/>
        </w:rPr>
        <w:t>Part 3-3 of the Act sets out requirements relating to the manufacture of therapeutic go</w:t>
      </w:r>
      <w:r w:rsidR="00AB012C" w:rsidRPr="00EA3D7E">
        <w:rPr>
          <w:rFonts w:ascii="Times New Roman" w:hAnsi="Times New Roman"/>
          <w:sz w:val="22"/>
          <w:szCs w:val="22"/>
        </w:rPr>
        <w:t xml:space="preserve">ods other than medical devices, </w:t>
      </w:r>
      <w:r w:rsidRPr="00EA3D7E">
        <w:rPr>
          <w:rFonts w:ascii="Times New Roman" w:hAnsi="Times New Roman"/>
          <w:sz w:val="22"/>
          <w:szCs w:val="22"/>
        </w:rPr>
        <w:t>Class 1 biologicals</w:t>
      </w:r>
      <w:r w:rsidR="004E054C">
        <w:rPr>
          <w:rFonts w:ascii="Times New Roman" w:hAnsi="Times New Roman"/>
          <w:sz w:val="22"/>
          <w:szCs w:val="22"/>
        </w:rPr>
        <w:t>,</w:t>
      </w:r>
      <w:bookmarkStart w:id="4" w:name="_GoBack"/>
      <w:bookmarkEnd w:id="4"/>
      <w:r w:rsidRPr="00EA3D7E">
        <w:rPr>
          <w:rFonts w:ascii="Times New Roman" w:hAnsi="Times New Roman"/>
          <w:sz w:val="22"/>
          <w:szCs w:val="22"/>
        </w:rPr>
        <w:t xml:space="preserve"> or goods or persons exempt from the operation of that Part by regulations made for the purposes of section 34 of the Act. That Part contains criminal offences and civil penalty provisions that apply where a person carries out, at premises in Australia, a step in the manufacture of therapeutic goods and the person does not have a licence issued under Part 3-3.</w:t>
      </w:r>
    </w:p>
    <w:p w:rsidR="001363A5" w:rsidRPr="00EA3D7E" w:rsidRDefault="001363A5" w:rsidP="001363A5">
      <w:pPr>
        <w:rPr>
          <w:rFonts w:ascii="Times New Roman" w:hAnsi="Times New Roman"/>
          <w:sz w:val="22"/>
          <w:szCs w:val="22"/>
        </w:rPr>
      </w:pPr>
    </w:p>
    <w:p w:rsidR="001363A5" w:rsidRPr="00EA3D7E" w:rsidRDefault="001363A5" w:rsidP="001363A5">
      <w:pPr>
        <w:pStyle w:val="ListParagraph"/>
        <w:autoSpaceDE w:val="0"/>
        <w:autoSpaceDN w:val="0"/>
        <w:adjustRightInd w:val="0"/>
        <w:spacing w:after="0"/>
        <w:ind w:left="0"/>
        <w:rPr>
          <w:sz w:val="22"/>
          <w:szCs w:val="22"/>
        </w:rPr>
      </w:pPr>
      <w:r w:rsidRPr="00EA3D7E">
        <w:rPr>
          <w:sz w:val="22"/>
          <w:szCs w:val="22"/>
        </w:rPr>
        <w:t>It is a condition of each manufacturing licence that a manufacturer of therapeutic goods complies with the manufacturing principles (subparagraph 40(4</w:t>
      </w:r>
      <w:proofErr w:type="gramStart"/>
      <w:r w:rsidRPr="00EA3D7E">
        <w:rPr>
          <w:sz w:val="22"/>
          <w:szCs w:val="22"/>
        </w:rPr>
        <w:t>)(</w:t>
      </w:r>
      <w:proofErr w:type="gramEnd"/>
      <w:r w:rsidRPr="00EA3D7E">
        <w:rPr>
          <w:sz w:val="22"/>
          <w:szCs w:val="22"/>
        </w:rPr>
        <w:t>a)(ii) of the Act</w:t>
      </w:r>
      <w:r w:rsidR="001E4A9A" w:rsidRPr="00EA3D7E">
        <w:rPr>
          <w:sz w:val="22"/>
          <w:szCs w:val="22"/>
        </w:rPr>
        <w:t xml:space="preserve"> refers</w:t>
      </w:r>
      <w:r w:rsidRPr="00EA3D7E">
        <w:rPr>
          <w:sz w:val="22"/>
          <w:szCs w:val="22"/>
        </w:rPr>
        <w:t>).  If the holder of a manufacturing licence breaches this (or any other) condition of the licence, the Secretary may suspend or revoke the licence (subparagraph 41(1</w:t>
      </w:r>
      <w:proofErr w:type="gramStart"/>
      <w:r w:rsidRPr="00EA3D7E">
        <w:rPr>
          <w:sz w:val="22"/>
          <w:szCs w:val="22"/>
        </w:rPr>
        <w:t>)(</w:t>
      </w:r>
      <w:proofErr w:type="gramEnd"/>
      <w:r w:rsidRPr="00EA3D7E">
        <w:rPr>
          <w:sz w:val="22"/>
          <w:szCs w:val="22"/>
        </w:rPr>
        <w:t>a)(viii) of the Act</w:t>
      </w:r>
      <w:r w:rsidR="001E4A9A" w:rsidRPr="00EA3D7E">
        <w:rPr>
          <w:sz w:val="22"/>
          <w:szCs w:val="22"/>
        </w:rPr>
        <w:t xml:space="preserve"> refers</w:t>
      </w:r>
      <w:r w:rsidRPr="00EA3D7E">
        <w:rPr>
          <w:sz w:val="22"/>
          <w:szCs w:val="22"/>
        </w:rPr>
        <w:t>).  The Secretary can also refuse to grant a manufacturing licence if satisfied that the applicant for the licence will be unable to comply with the manufacturing principles (paragraph 38(1</w:t>
      </w:r>
      <w:proofErr w:type="gramStart"/>
      <w:r w:rsidRPr="00EA3D7E">
        <w:rPr>
          <w:sz w:val="22"/>
          <w:szCs w:val="22"/>
        </w:rPr>
        <w:t>)(</w:t>
      </w:r>
      <w:proofErr w:type="gramEnd"/>
      <w:r w:rsidRPr="00EA3D7E">
        <w:rPr>
          <w:sz w:val="22"/>
          <w:szCs w:val="22"/>
        </w:rPr>
        <w:t>e) of the Act</w:t>
      </w:r>
      <w:r w:rsidR="001E4A9A" w:rsidRPr="00EA3D7E">
        <w:rPr>
          <w:sz w:val="22"/>
          <w:szCs w:val="22"/>
        </w:rPr>
        <w:t xml:space="preserve"> refers</w:t>
      </w:r>
      <w:r w:rsidRPr="00EA3D7E">
        <w:rPr>
          <w:sz w:val="22"/>
          <w:szCs w:val="22"/>
        </w:rPr>
        <w:t>).</w:t>
      </w:r>
    </w:p>
    <w:p w:rsidR="001363A5" w:rsidRPr="00EA3D7E" w:rsidRDefault="001363A5" w:rsidP="00A03299">
      <w:pPr>
        <w:autoSpaceDE w:val="0"/>
        <w:autoSpaceDN w:val="0"/>
        <w:adjustRightInd w:val="0"/>
        <w:rPr>
          <w:rFonts w:ascii="Times New Roman" w:hAnsi="Times New Roman"/>
          <w:sz w:val="22"/>
          <w:szCs w:val="22"/>
        </w:rPr>
      </w:pPr>
    </w:p>
    <w:p w:rsidR="00652A78" w:rsidRPr="00EA3D7E" w:rsidRDefault="00463D13" w:rsidP="00A03299">
      <w:pPr>
        <w:autoSpaceDE w:val="0"/>
        <w:autoSpaceDN w:val="0"/>
        <w:adjustRightInd w:val="0"/>
        <w:rPr>
          <w:rFonts w:ascii="Times New Roman" w:hAnsi="Times New Roman"/>
          <w:color w:val="000000"/>
          <w:sz w:val="22"/>
          <w:szCs w:val="22"/>
        </w:rPr>
      </w:pPr>
      <w:r w:rsidRPr="00EA3D7E">
        <w:rPr>
          <w:rFonts w:ascii="Times New Roman" w:hAnsi="Times New Roman"/>
          <w:sz w:val="22"/>
          <w:szCs w:val="22"/>
        </w:rPr>
        <w:t xml:space="preserve">The </w:t>
      </w:r>
      <w:r w:rsidR="00D41E0C" w:rsidRPr="00EA3D7E">
        <w:rPr>
          <w:rFonts w:ascii="Times New Roman" w:hAnsi="Times New Roman"/>
          <w:sz w:val="22"/>
          <w:szCs w:val="22"/>
        </w:rPr>
        <w:t>instrument</w:t>
      </w:r>
      <w:r w:rsidRPr="00EA3D7E">
        <w:rPr>
          <w:rFonts w:ascii="Times New Roman" w:hAnsi="Times New Roman"/>
          <w:sz w:val="22"/>
          <w:szCs w:val="22"/>
        </w:rPr>
        <w:t xml:space="preserve"> repeals and</w:t>
      </w:r>
      <w:r w:rsidRPr="00EA3D7E">
        <w:rPr>
          <w:rFonts w:ascii="Times New Roman" w:hAnsi="Times New Roman"/>
          <w:color w:val="000000"/>
          <w:sz w:val="22"/>
          <w:szCs w:val="22"/>
        </w:rPr>
        <w:t xml:space="preserve"> replaces the Therapeutic Goods (Manufacturing Principles) Determination 2018 (“the former </w:t>
      </w:r>
      <w:r w:rsidR="004E6030" w:rsidRPr="00EA3D7E">
        <w:rPr>
          <w:rFonts w:ascii="Times New Roman" w:hAnsi="Times New Roman"/>
          <w:color w:val="000000"/>
          <w:sz w:val="22"/>
          <w:szCs w:val="22"/>
        </w:rPr>
        <w:t>instrument</w:t>
      </w:r>
      <w:r w:rsidRPr="00EA3D7E">
        <w:rPr>
          <w:rFonts w:ascii="Times New Roman" w:hAnsi="Times New Roman"/>
          <w:color w:val="000000"/>
          <w:sz w:val="22"/>
          <w:szCs w:val="22"/>
        </w:rPr>
        <w:t xml:space="preserve">”). </w:t>
      </w:r>
      <w:r w:rsidR="001363A5" w:rsidRPr="00EA3D7E">
        <w:rPr>
          <w:rFonts w:ascii="Times New Roman" w:hAnsi="Times New Roman"/>
          <w:color w:val="000000"/>
          <w:sz w:val="22"/>
          <w:szCs w:val="22"/>
        </w:rPr>
        <w:t xml:space="preserve"> </w:t>
      </w:r>
      <w:r w:rsidRPr="00EA3D7E">
        <w:rPr>
          <w:rFonts w:ascii="Times New Roman" w:hAnsi="Times New Roman"/>
          <w:color w:val="000000"/>
          <w:sz w:val="22"/>
          <w:szCs w:val="22"/>
        </w:rPr>
        <w:t xml:space="preserve">The </w:t>
      </w:r>
      <w:r w:rsidR="004E6030" w:rsidRPr="00EA3D7E">
        <w:rPr>
          <w:rFonts w:ascii="Times New Roman" w:hAnsi="Times New Roman"/>
          <w:color w:val="000000"/>
          <w:sz w:val="22"/>
          <w:szCs w:val="22"/>
        </w:rPr>
        <w:t>instrument</w:t>
      </w:r>
      <w:r w:rsidRPr="00EA3D7E">
        <w:rPr>
          <w:rFonts w:ascii="Times New Roman" w:hAnsi="Times New Roman"/>
          <w:color w:val="000000"/>
          <w:sz w:val="22"/>
          <w:szCs w:val="22"/>
        </w:rPr>
        <w:t xml:space="preserve"> incorporates a small number of changes to </w:t>
      </w:r>
      <w:r w:rsidR="001E4A9A" w:rsidRPr="00EA3D7E">
        <w:rPr>
          <w:rFonts w:ascii="Times New Roman" w:hAnsi="Times New Roman"/>
          <w:color w:val="000000"/>
          <w:sz w:val="22"/>
          <w:szCs w:val="22"/>
        </w:rPr>
        <w:t xml:space="preserve">manufacturing principles determined under </w:t>
      </w:r>
      <w:r w:rsidRPr="00EA3D7E">
        <w:rPr>
          <w:rFonts w:ascii="Times New Roman" w:hAnsi="Times New Roman"/>
          <w:color w:val="000000"/>
          <w:sz w:val="22"/>
          <w:szCs w:val="22"/>
        </w:rPr>
        <w:t xml:space="preserve">the former </w:t>
      </w:r>
      <w:r w:rsidR="004E6030" w:rsidRPr="00EA3D7E">
        <w:rPr>
          <w:rFonts w:ascii="Times New Roman" w:hAnsi="Times New Roman"/>
          <w:color w:val="000000"/>
          <w:sz w:val="22"/>
          <w:szCs w:val="22"/>
        </w:rPr>
        <w:t>instrument</w:t>
      </w:r>
      <w:r w:rsidR="00652A78" w:rsidRPr="00EA3D7E">
        <w:rPr>
          <w:rFonts w:ascii="Times New Roman" w:hAnsi="Times New Roman"/>
          <w:color w:val="000000"/>
          <w:sz w:val="22"/>
          <w:szCs w:val="22"/>
        </w:rPr>
        <w:t>, principally to:</w:t>
      </w:r>
    </w:p>
    <w:p w:rsidR="00652A78" w:rsidRPr="00EA3D7E" w:rsidRDefault="001E4A9A" w:rsidP="00652A78">
      <w:pPr>
        <w:pStyle w:val="ListParagraph"/>
        <w:numPr>
          <w:ilvl w:val="0"/>
          <w:numId w:val="22"/>
        </w:numPr>
        <w:spacing w:before="120"/>
        <w:ind w:left="714" w:hanging="357"/>
        <w:rPr>
          <w:color w:val="000000"/>
          <w:sz w:val="22"/>
          <w:szCs w:val="22"/>
        </w:rPr>
      </w:pPr>
      <w:r w:rsidRPr="00EA3D7E">
        <w:rPr>
          <w:color w:val="000000"/>
          <w:sz w:val="22"/>
          <w:szCs w:val="22"/>
        </w:rPr>
        <w:t xml:space="preserve">to </w:t>
      </w:r>
      <w:r w:rsidR="00652A78" w:rsidRPr="00EA3D7E">
        <w:rPr>
          <w:color w:val="000000"/>
          <w:sz w:val="22"/>
          <w:szCs w:val="22"/>
        </w:rPr>
        <w:t xml:space="preserve">incorporate the most recent version of the </w:t>
      </w:r>
      <w:r w:rsidR="00652A78" w:rsidRPr="00EA3D7E">
        <w:rPr>
          <w:i/>
          <w:color w:val="000000"/>
          <w:sz w:val="22"/>
          <w:szCs w:val="22"/>
        </w:rPr>
        <w:t>Guide to Good Manufacturing Practice for Medicinal Products</w:t>
      </w:r>
      <w:r w:rsidR="00652A78" w:rsidRPr="00EA3D7E">
        <w:rPr>
          <w:color w:val="000000"/>
          <w:sz w:val="22"/>
          <w:szCs w:val="22"/>
        </w:rPr>
        <w:t xml:space="preserve"> (PE 009-14) (“PIC/S Guide to Good Manufacturing Practice”) published by the Pharmaceutical Inspection Co-operation Scheme (“PIC/S”) in July 2018; and</w:t>
      </w:r>
    </w:p>
    <w:p w:rsidR="00A53157" w:rsidRPr="00EA3D7E" w:rsidRDefault="00A53157" w:rsidP="00A53157">
      <w:pPr>
        <w:numPr>
          <w:ilvl w:val="0"/>
          <w:numId w:val="22"/>
        </w:numPr>
        <w:autoSpaceDE w:val="0"/>
        <w:autoSpaceDN w:val="0"/>
        <w:adjustRightInd w:val="0"/>
        <w:rPr>
          <w:rFonts w:ascii="Times New Roman" w:hAnsi="Times New Roman"/>
          <w:color w:val="000000"/>
          <w:sz w:val="22"/>
          <w:szCs w:val="22"/>
        </w:rPr>
      </w:pPr>
      <w:r w:rsidRPr="00EA3D7E">
        <w:rPr>
          <w:rFonts w:ascii="Times New Roman" w:hAnsi="Times New Roman"/>
          <w:color w:val="000000"/>
          <w:sz w:val="22"/>
          <w:szCs w:val="22"/>
        </w:rPr>
        <w:t xml:space="preserve">to remove the provisions relating to therapeutic devices, as this category of therapeutic goods is now superseded (goods formerly included in this category are now regulated as other therapeutic goods or medical devices, following the introduction of a specific regulatory regime by the </w:t>
      </w:r>
      <w:r w:rsidRPr="00EA3D7E">
        <w:rPr>
          <w:rFonts w:ascii="Times New Roman" w:hAnsi="Times New Roman"/>
          <w:i/>
          <w:color w:val="000000"/>
          <w:sz w:val="22"/>
          <w:szCs w:val="22"/>
        </w:rPr>
        <w:t>Therapeutic Goods Amendment (Medical Devices) Act 2002</w:t>
      </w:r>
      <w:r w:rsidRPr="00EA3D7E">
        <w:rPr>
          <w:rFonts w:ascii="Times New Roman" w:hAnsi="Times New Roman"/>
          <w:color w:val="000000"/>
          <w:sz w:val="22"/>
          <w:szCs w:val="22"/>
        </w:rPr>
        <w:t xml:space="preserve"> and the conclusion of the transitional arrangements under that Act in 2007).</w:t>
      </w:r>
    </w:p>
    <w:p w:rsidR="00A53157" w:rsidRPr="00EA3D7E" w:rsidRDefault="00A53157" w:rsidP="00652A78">
      <w:pPr>
        <w:autoSpaceDE w:val="0"/>
        <w:autoSpaceDN w:val="0"/>
        <w:adjustRightInd w:val="0"/>
        <w:rPr>
          <w:rFonts w:ascii="Times New Roman" w:hAnsi="Times New Roman"/>
          <w:color w:val="000000"/>
          <w:sz w:val="22"/>
          <w:szCs w:val="22"/>
        </w:rPr>
      </w:pPr>
    </w:p>
    <w:p w:rsidR="00652A78" w:rsidRPr="00EA3D7E" w:rsidRDefault="00652A78" w:rsidP="00652A78">
      <w:pPr>
        <w:autoSpaceDE w:val="0"/>
        <w:autoSpaceDN w:val="0"/>
        <w:adjustRightInd w:val="0"/>
        <w:rPr>
          <w:rFonts w:ascii="Times New Roman" w:hAnsi="Times New Roman"/>
          <w:sz w:val="22"/>
          <w:szCs w:val="22"/>
        </w:rPr>
      </w:pPr>
      <w:r w:rsidRPr="00EA3D7E">
        <w:rPr>
          <w:rFonts w:ascii="Times New Roman" w:hAnsi="Times New Roman"/>
          <w:sz w:val="22"/>
          <w:szCs w:val="22"/>
        </w:rPr>
        <w:t xml:space="preserve">The </w:t>
      </w:r>
      <w:r w:rsidR="00A03299" w:rsidRPr="00EA3D7E">
        <w:rPr>
          <w:rFonts w:ascii="Times New Roman" w:hAnsi="Times New Roman"/>
          <w:sz w:val="22"/>
          <w:szCs w:val="22"/>
        </w:rPr>
        <w:t>instrument</w:t>
      </w:r>
      <w:r w:rsidRPr="00EA3D7E">
        <w:rPr>
          <w:rFonts w:ascii="Times New Roman" w:hAnsi="Times New Roman"/>
          <w:sz w:val="22"/>
          <w:szCs w:val="22"/>
        </w:rPr>
        <w:t xml:space="preserve"> also reflects contemporary drafting standards and practices on matters relating to style and form, such as the use of plain English and compliance with the Office of Parliamentary Counsel’s Drafting Directions.  As such, the </w:t>
      </w:r>
      <w:r w:rsidR="00A03299" w:rsidRPr="00EA3D7E">
        <w:rPr>
          <w:rFonts w:ascii="Times New Roman" w:hAnsi="Times New Roman"/>
          <w:sz w:val="22"/>
          <w:szCs w:val="22"/>
        </w:rPr>
        <w:t>instrument</w:t>
      </w:r>
      <w:r w:rsidRPr="00EA3D7E">
        <w:rPr>
          <w:rFonts w:ascii="Times New Roman" w:hAnsi="Times New Roman"/>
          <w:sz w:val="22"/>
          <w:szCs w:val="22"/>
        </w:rPr>
        <w:t xml:space="preserve"> improves readability, accessibility and presentation for stakeholders, without making any other substantive changes to the manufacturing principles that are the subject of the former </w:t>
      </w:r>
      <w:r w:rsidR="00A03299" w:rsidRPr="00EA3D7E">
        <w:rPr>
          <w:rFonts w:ascii="Times New Roman" w:hAnsi="Times New Roman"/>
          <w:sz w:val="22"/>
          <w:szCs w:val="22"/>
        </w:rPr>
        <w:t>instrument</w:t>
      </w:r>
      <w:r w:rsidRPr="00EA3D7E">
        <w:rPr>
          <w:rFonts w:ascii="Times New Roman" w:hAnsi="Times New Roman"/>
          <w:sz w:val="22"/>
          <w:szCs w:val="22"/>
        </w:rPr>
        <w:t>.</w:t>
      </w:r>
    </w:p>
    <w:p w:rsidR="00652A78" w:rsidRPr="00EA3D7E" w:rsidRDefault="00652A78" w:rsidP="00463D13">
      <w:pPr>
        <w:autoSpaceDE w:val="0"/>
        <w:autoSpaceDN w:val="0"/>
        <w:adjustRightInd w:val="0"/>
        <w:rPr>
          <w:rFonts w:ascii="Times New Roman" w:hAnsi="Times New Roman"/>
          <w:color w:val="000000"/>
          <w:sz w:val="22"/>
          <w:szCs w:val="22"/>
        </w:rPr>
      </w:pPr>
    </w:p>
    <w:p w:rsidR="001E4A9A" w:rsidRPr="00EA3D7E" w:rsidRDefault="001E4A9A" w:rsidP="001E4A9A">
      <w:pPr>
        <w:shd w:val="clear" w:color="auto" w:fill="FFFFFF"/>
        <w:rPr>
          <w:rFonts w:ascii="Times New Roman" w:hAnsi="Times New Roman"/>
          <w:color w:val="000000"/>
          <w:sz w:val="22"/>
          <w:szCs w:val="22"/>
        </w:rPr>
      </w:pPr>
      <w:r w:rsidRPr="00EA3D7E">
        <w:rPr>
          <w:rFonts w:ascii="Times New Roman" w:hAnsi="Times New Roman"/>
          <w:color w:val="000000"/>
          <w:sz w:val="22"/>
          <w:szCs w:val="22"/>
        </w:rPr>
        <w:lastRenderedPageBreak/>
        <w:t>The incorporation of the most recent version of the PIC/S Guide to Good Manufacturing Practice in the Determination ensures that an appropriate level of Good Manufacturing Practice (“GMP”) applies to the manufacture of therapeutic goods manufactured or supplied in Australia.  These changes reflect the need to provide guidance on the management of new technologies, to address gaps in existing requirements, to manage risks identified through inspections of manufacturing premises and to ensure continuous improvements in the way goods are manufactured.</w:t>
      </w:r>
    </w:p>
    <w:p w:rsidR="001E4A9A" w:rsidRPr="00EA3D7E" w:rsidRDefault="001E4A9A" w:rsidP="001E4A9A">
      <w:pPr>
        <w:shd w:val="clear" w:color="auto" w:fill="FFFFFF"/>
        <w:rPr>
          <w:rFonts w:ascii="Times New Roman" w:hAnsi="Times New Roman"/>
          <w:color w:val="000000"/>
          <w:sz w:val="22"/>
          <w:szCs w:val="22"/>
        </w:rPr>
      </w:pPr>
    </w:p>
    <w:p w:rsidR="00330D82" w:rsidRPr="00EA3D7E" w:rsidRDefault="00330D82" w:rsidP="00A03299">
      <w:pPr>
        <w:keepNext/>
        <w:rPr>
          <w:rFonts w:ascii="Times New Roman" w:hAnsi="Times New Roman"/>
          <w:b/>
          <w:sz w:val="22"/>
          <w:szCs w:val="22"/>
        </w:rPr>
      </w:pPr>
      <w:r w:rsidRPr="00EA3D7E">
        <w:rPr>
          <w:rFonts w:ascii="Times New Roman" w:hAnsi="Times New Roman"/>
          <w:b/>
          <w:sz w:val="22"/>
          <w:szCs w:val="22"/>
        </w:rPr>
        <w:t>Human rights implications</w:t>
      </w:r>
    </w:p>
    <w:p w:rsidR="00330D82" w:rsidRPr="00EA3D7E" w:rsidRDefault="00330D82" w:rsidP="00330D82">
      <w:pPr>
        <w:rPr>
          <w:rFonts w:ascii="Times New Roman" w:hAnsi="Times New Roman"/>
          <w:sz w:val="22"/>
          <w:szCs w:val="22"/>
        </w:rPr>
      </w:pPr>
    </w:p>
    <w:p w:rsidR="00330D82" w:rsidRPr="00EA3D7E" w:rsidRDefault="00330D82" w:rsidP="00740E1B">
      <w:pPr>
        <w:shd w:val="clear" w:color="auto" w:fill="FFFFFF"/>
        <w:rPr>
          <w:rFonts w:ascii="Times New Roman" w:hAnsi="Times New Roman"/>
          <w:color w:val="000000"/>
          <w:sz w:val="22"/>
          <w:szCs w:val="22"/>
        </w:rPr>
      </w:pPr>
      <w:r w:rsidRPr="00EA3D7E">
        <w:rPr>
          <w:rFonts w:ascii="Times New Roman" w:hAnsi="Times New Roman"/>
          <w:color w:val="000000"/>
          <w:sz w:val="22"/>
          <w:szCs w:val="22"/>
        </w:rPr>
        <w:t>The instrument engages the right to health in Article 12 of the International Covenant on Economic, Social and Cultural rights (“ICESCR”).  Article 12 of the ICESCR promotes the right of all individuals to enjoy the highest attainable standards of physical and mental health.</w:t>
      </w:r>
    </w:p>
    <w:p w:rsidR="00330D82" w:rsidRPr="00EA3D7E" w:rsidRDefault="00330D82" w:rsidP="00740E1B">
      <w:pPr>
        <w:shd w:val="clear" w:color="auto" w:fill="FFFFFF"/>
        <w:rPr>
          <w:rFonts w:ascii="Times New Roman" w:hAnsi="Times New Roman"/>
          <w:color w:val="000000"/>
          <w:sz w:val="22"/>
          <w:szCs w:val="22"/>
        </w:rPr>
      </w:pPr>
    </w:p>
    <w:p w:rsidR="00330D82" w:rsidRPr="00EA3D7E" w:rsidRDefault="00330D82" w:rsidP="00740E1B">
      <w:pPr>
        <w:shd w:val="clear" w:color="auto" w:fill="FFFFFF"/>
        <w:rPr>
          <w:rFonts w:ascii="Times New Roman" w:hAnsi="Times New Roman"/>
          <w:color w:val="000000"/>
          <w:sz w:val="22"/>
          <w:szCs w:val="22"/>
        </w:rPr>
      </w:pPr>
      <w:r w:rsidRPr="00EA3D7E">
        <w:rPr>
          <w:rFonts w:ascii="Times New Roman" w:hAnsi="Times New Roman"/>
          <w:color w:val="000000"/>
          <w:sz w:val="22"/>
          <w:szCs w:val="22"/>
        </w:rPr>
        <w:t xml:space="preserve">In </w:t>
      </w:r>
      <w:r w:rsidRPr="00EA3D7E">
        <w:rPr>
          <w:rFonts w:ascii="Times New Roman" w:hAnsi="Times New Roman"/>
          <w:i/>
          <w:color w:val="000000"/>
          <w:sz w:val="22"/>
          <w:szCs w:val="22"/>
        </w:rPr>
        <w:t>General Comment No. 14: The Right to the Highest Attainable Standard of Health (Art. 12)</w:t>
      </w:r>
      <w:r w:rsidRPr="00EA3D7E">
        <w:rPr>
          <w:rFonts w:ascii="Times New Roman" w:hAnsi="Times New Roman"/>
          <w:color w:val="000000"/>
          <w:sz w:val="22"/>
          <w:szCs w:val="22"/>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rsidR="00330D82" w:rsidRPr="00EA3D7E" w:rsidRDefault="00330D82" w:rsidP="00740E1B">
      <w:pPr>
        <w:shd w:val="clear" w:color="auto" w:fill="FFFFFF"/>
        <w:rPr>
          <w:rFonts w:ascii="Times New Roman" w:hAnsi="Times New Roman"/>
          <w:color w:val="000000"/>
          <w:sz w:val="22"/>
          <w:szCs w:val="22"/>
        </w:rPr>
      </w:pPr>
    </w:p>
    <w:p w:rsidR="00330D82" w:rsidRPr="00EA3D7E" w:rsidRDefault="00330D82" w:rsidP="00740E1B">
      <w:pPr>
        <w:shd w:val="clear" w:color="auto" w:fill="FFFFFF"/>
        <w:rPr>
          <w:rFonts w:ascii="Times New Roman" w:hAnsi="Times New Roman"/>
          <w:color w:val="000000"/>
          <w:sz w:val="22"/>
          <w:szCs w:val="22"/>
        </w:rPr>
      </w:pPr>
      <w:r w:rsidRPr="00EA3D7E">
        <w:rPr>
          <w:rFonts w:ascii="Times New Roman" w:hAnsi="Times New Roman"/>
          <w:color w:val="000000"/>
          <w:sz w:val="22"/>
          <w:szCs w:val="22"/>
        </w:rPr>
        <w:t xml:space="preserve">The instrument takes positive steps to promote the right to health by ensuring </w:t>
      </w:r>
      <w:r w:rsidR="00A03299" w:rsidRPr="00EA3D7E">
        <w:rPr>
          <w:rFonts w:ascii="Times New Roman" w:hAnsi="Times New Roman"/>
          <w:color w:val="000000"/>
          <w:sz w:val="22"/>
          <w:szCs w:val="22"/>
        </w:rPr>
        <w:t xml:space="preserve">that </w:t>
      </w:r>
      <w:r w:rsidR="001A75E8" w:rsidRPr="00EA3D7E">
        <w:rPr>
          <w:rFonts w:ascii="Times New Roman" w:hAnsi="Times New Roman"/>
          <w:color w:val="000000"/>
          <w:sz w:val="22"/>
          <w:szCs w:val="22"/>
        </w:rPr>
        <w:t>therapeutic goods</w:t>
      </w:r>
      <w:r w:rsidR="00A03299" w:rsidRPr="00EA3D7E">
        <w:rPr>
          <w:rFonts w:ascii="Times New Roman" w:hAnsi="Times New Roman"/>
          <w:color w:val="000000"/>
          <w:sz w:val="22"/>
          <w:szCs w:val="22"/>
        </w:rPr>
        <w:t xml:space="preserve"> manufacture</w:t>
      </w:r>
      <w:r w:rsidR="001A75E8" w:rsidRPr="00EA3D7E">
        <w:rPr>
          <w:rFonts w:ascii="Times New Roman" w:hAnsi="Times New Roman"/>
          <w:color w:val="000000"/>
          <w:sz w:val="22"/>
          <w:szCs w:val="22"/>
        </w:rPr>
        <w:t xml:space="preserve">d in Australia continue to be subject to an appropriate level of </w:t>
      </w:r>
      <w:r w:rsidR="00DE12F8">
        <w:rPr>
          <w:rFonts w:ascii="Times New Roman" w:hAnsi="Times New Roman"/>
          <w:color w:val="000000"/>
          <w:sz w:val="22"/>
          <w:szCs w:val="22"/>
        </w:rPr>
        <w:t>GMP</w:t>
      </w:r>
      <w:r w:rsidR="001A75E8" w:rsidRPr="00EA3D7E">
        <w:rPr>
          <w:rFonts w:ascii="Times New Roman" w:hAnsi="Times New Roman"/>
          <w:color w:val="000000"/>
          <w:sz w:val="22"/>
          <w:szCs w:val="22"/>
        </w:rPr>
        <w:t>, and are of a high quality.</w:t>
      </w:r>
    </w:p>
    <w:p w:rsidR="001A75E8" w:rsidRPr="00EA3D7E" w:rsidRDefault="001A75E8" w:rsidP="00740E1B">
      <w:pPr>
        <w:shd w:val="clear" w:color="auto" w:fill="FFFFFF"/>
        <w:rPr>
          <w:rFonts w:ascii="Times New Roman" w:hAnsi="Times New Roman"/>
          <w:color w:val="000000"/>
          <w:sz w:val="22"/>
          <w:szCs w:val="22"/>
        </w:rPr>
      </w:pPr>
    </w:p>
    <w:p w:rsidR="001A75E8" w:rsidRPr="00EA3D7E" w:rsidRDefault="001A75E8" w:rsidP="001A75E8">
      <w:pPr>
        <w:shd w:val="clear" w:color="auto" w:fill="FFFFFF"/>
        <w:rPr>
          <w:rFonts w:ascii="Times New Roman" w:hAnsi="Times New Roman"/>
          <w:color w:val="000000"/>
          <w:sz w:val="22"/>
          <w:szCs w:val="22"/>
        </w:rPr>
      </w:pPr>
      <w:r w:rsidRPr="00EA3D7E">
        <w:rPr>
          <w:rFonts w:ascii="Times New Roman" w:hAnsi="Times New Roman"/>
          <w:color w:val="000000"/>
          <w:sz w:val="22"/>
          <w:szCs w:val="22"/>
        </w:rPr>
        <w:t>Accordingly, these measures will assist to protect the safety of consumers who use therapeutic goods that are manufactured under licence in Australia.</w:t>
      </w:r>
    </w:p>
    <w:p w:rsidR="001A75E8" w:rsidRPr="00EA3D7E" w:rsidRDefault="001A75E8" w:rsidP="001A75E8">
      <w:pPr>
        <w:shd w:val="clear" w:color="auto" w:fill="FFFFFF"/>
        <w:rPr>
          <w:rFonts w:ascii="Times New Roman" w:hAnsi="Times New Roman"/>
          <w:color w:val="000000"/>
          <w:sz w:val="22"/>
          <w:szCs w:val="22"/>
        </w:rPr>
      </w:pPr>
    </w:p>
    <w:p w:rsidR="00330D82" w:rsidRPr="00EA3D7E" w:rsidRDefault="00330D82" w:rsidP="00330D82">
      <w:pPr>
        <w:rPr>
          <w:rFonts w:ascii="Times New Roman" w:hAnsi="Times New Roman"/>
          <w:b/>
          <w:sz w:val="22"/>
          <w:szCs w:val="22"/>
        </w:rPr>
      </w:pPr>
      <w:r w:rsidRPr="00EA3D7E">
        <w:rPr>
          <w:rFonts w:ascii="Times New Roman" w:hAnsi="Times New Roman"/>
          <w:b/>
          <w:sz w:val="22"/>
          <w:szCs w:val="22"/>
        </w:rPr>
        <w:t>Conclusion</w:t>
      </w:r>
    </w:p>
    <w:p w:rsidR="00330D82" w:rsidRPr="00EA3D7E" w:rsidRDefault="00330D82" w:rsidP="00330D82">
      <w:pPr>
        <w:rPr>
          <w:rFonts w:ascii="Times New Roman" w:hAnsi="Times New Roman"/>
          <w:sz w:val="22"/>
          <w:szCs w:val="22"/>
        </w:rPr>
      </w:pPr>
    </w:p>
    <w:p w:rsidR="00330D82" w:rsidRPr="00EA3D7E" w:rsidRDefault="00330D82" w:rsidP="00740E1B">
      <w:pPr>
        <w:shd w:val="clear" w:color="auto" w:fill="FFFFFF"/>
        <w:rPr>
          <w:rFonts w:ascii="Times New Roman" w:hAnsi="Times New Roman"/>
          <w:color w:val="000000"/>
          <w:sz w:val="22"/>
          <w:szCs w:val="22"/>
        </w:rPr>
      </w:pPr>
      <w:r w:rsidRPr="00EA3D7E">
        <w:rPr>
          <w:rFonts w:ascii="Times New Roman" w:hAnsi="Times New Roman"/>
          <w:color w:val="000000"/>
          <w:sz w:val="22"/>
          <w:szCs w:val="22"/>
        </w:rPr>
        <w:t>This legislative instrument is compatible with human rights because it promotes the right to health in Article 12 of the ICESCR and does not raise any other human rights issues.</w:t>
      </w:r>
    </w:p>
    <w:p w:rsidR="00330D82" w:rsidRPr="00740E1B" w:rsidRDefault="00330D82" w:rsidP="00740E1B">
      <w:pPr>
        <w:shd w:val="clear" w:color="auto" w:fill="FFFFFF"/>
        <w:rPr>
          <w:color w:val="000000"/>
          <w:sz w:val="22"/>
          <w:szCs w:val="22"/>
        </w:rPr>
      </w:pPr>
    </w:p>
    <w:sectPr w:rsidR="00330D82" w:rsidRPr="00740E1B" w:rsidSect="007B007B">
      <w:headerReference w:type="even" r:id="rId8"/>
      <w:headerReference w:type="default" r:id="rId9"/>
      <w:footerReference w:type="even" r:id="rId10"/>
      <w:footerReference w:type="default" r:id="rId11"/>
      <w:headerReference w:type="first" r:id="rId12"/>
      <w:footerReference w:type="first" r:id="rId13"/>
      <w:pgSz w:w="11907" w:h="16840" w:code="9"/>
      <w:pgMar w:top="1134" w:right="1474" w:bottom="993"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30A" w:rsidRDefault="0006630A">
      <w:r>
        <w:separator/>
      </w:r>
    </w:p>
  </w:endnote>
  <w:endnote w:type="continuationSeparator" w:id="0">
    <w:p w:rsidR="0006630A" w:rsidRDefault="0006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238511"/>
      <w:docPartObj>
        <w:docPartGallery w:val="Page Numbers (Bottom of Page)"/>
        <w:docPartUnique/>
      </w:docPartObj>
    </w:sdtPr>
    <w:sdtEndPr>
      <w:rPr>
        <w:noProof/>
      </w:rPr>
    </w:sdtEndPr>
    <w:sdtContent>
      <w:p w:rsidR="007B007B" w:rsidRDefault="007B007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7B007B" w:rsidRDefault="007B0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337344"/>
      <w:docPartObj>
        <w:docPartGallery w:val="Page Numbers (Bottom of Page)"/>
        <w:docPartUnique/>
      </w:docPartObj>
    </w:sdtPr>
    <w:sdtEndPr>
      <w:rPr>
        <w:rFonts w:ascii="Times New Roman" w:hAnsi="Times New Roman"/>
        <w:noProof/>
        <w:sz w:val="22"/>
        <w:szCs w:val="22"/>
      </w:rPr>
    </w:sdtEndPr>
    <w:sdtContent>
      <w:p w:rsidR="007B007B" w:rsidRPr="007B007B" w:rsidRDefault="007B007B">
        <w:pPr>
          <w:pStyle w:val="Footer"/>
          <w:jc w:val="right"/>
          <w:rPr>
            <w:rFonts w:ascii="Times New Roman" w:hAnsi="Times New Roman"/>
            <w:sz w:val="22"/>
            <w:szCs w:val="22"/>
          </w:rPr>
        </w:pPr>
        <w:r w:rsidRPr="007B007B">
          <w:rPr>
            <w:rFonts w:ascii="Times New Roman" w:hAnsi="Times New Roman"/>
            <w:sz w:val="22"/>
            <w:szCs w:val="22"/>
          </w:rPr>
          <w:fldChar w:fldCharType="begin"/>
        </w:r>
        <w:r w:rsidRPr="007B007B">
          <w:rPr>
            <w:rFonts w:ascii="Times New Roman" w:hAnsi="Times New Roman"/>
            <w:sz w:val="22"/>
            <w:szCs w:val="22"/>
          </w:rPr>
          <w:instrText xml:space="preserve"> PAGE   \* MERGEFORMAT </w:instrText>
        </w:r>
        <w:r w:rsidRPr="007B007B">
          <w:rPr>
            <w:rFonts w:ascii="Times New Roman" w:hAnsi="Times New Roman"/>
            <w:sz w:val="22"/>
            <w:szCs w:val="22"/>
          </w:rPr>
          <w:fldChar w:fldCharType="separate"/>
        </w:r>
        <w:r w:rsidR="004E054C">
          <w:rPr>
            <w:rFonts w:ascii="Times New Roman" w:hAnsi="Times New Roman"/>
            <w:noProof/>
            <w:sz w:val="22"/>
            <w:szCs w:val="22"/>
          </w:rPr>
          <w:t>8</w:t>
        </w:r>
        <w:r w:rsidRPr="007B007B">
          <w:rPr>
            <w:rFonts w:ascii="Times New Roman" w:hAnsi="Times New Roman"/>
            <w:noProof/>
            <w:sz w:val="22"/>
            <w:szCs w:val="22"/>
          </w:rPr>
          <w:fldChar w:fldCharType="end"/>
        </w:r>
      </w:p>
    </w:sdtContent>
  </w:sdt>
  <w:p w:rsidR="00385121" w:rsidRPr="00BD3496" w:rsidRDefault="00385121" w:rsidP="00BD3496">
    <w:pPr>
      <w:pStyle w:val="Footer"/>
      <w:jc w:val="right"/>
      <w:rPr>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121" w:rsidRDefault="00385121" w:rsidP="00457E4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30A" w:rsidRDefault="0006630A">
      <w:r>
        <w:separator/>
      </w:r>
    </w:p>
  </w:footnote>
  <w:footnote w:type="continuationSeparator" w:id="0">
    <w:p w:rsidR="0006630A" w:rsidRDefault="00066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07B" w:rsidRDefault="007B0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07B" w:rsidRDefault="007B0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07B" w:rsidRDefault="007B0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0FABE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250653"/>
    <w:multiLevelType w:val="hybridMultilevel"/>
    <w:tmpl w:val="6B0885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5D3F37"/>
    <w:multiLevelType w:val="hybridMultilevel"/>
    <w:tmpl w:val="58E24028"/>
    <w:lvl w:ilvl="0" w:tplc="CB12AA96">
      <w:start w:val="1"/>
      <w:numFmt w:val="lowerLetter"/>
      <w:lvlText w:val="%1."/>
      <w:lvlJc w:val="left"/>
      <w:pPr>
        <w:tabs>
          <w:tab w:val="num" w:pos="1440"/>
        </w:tabs>
        <w:ind w:left="1440" w:hanging="360"/>
      </w:pPr>
      <w:rPr>
        <w:color w:val="auto"/>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3" w15:restartNumberingAfterBreak="0">
    <w:nsid w:val="14692268"/>
    <w:multiLevelType w:val="hybridMultilevel"/>
    <w:tmpl w:val="518CDC18"/>
    <w:lvl w:ilvl="0" w:tplc="0F5EF868">
      <w:numFmt w:val="bullet"/>
      <w:lvlText w:val="•"/>
      <w:lvlJc w:val="left"/>
      <w:pPr>
        <w:ind w:left="1494" w:hanging="360"/>
      </w:pPr>
      <w:rPr>
        <w:rFonts w:ascii="Verdana" w:eastAsia="Times New Roman" w:hAnsi="Verdana" w:cs="Helvetica" w:hint="default"/>
        <w:u w:val="none"/>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 w15:restartNumberingAfterBreak="0">
    <w:nsid w:val="19480C61"/>
    <w:multiLevelType w:val="hybridMultilevel"/>
    <w:tmpl w:val="FF4A8400"/>
    <w:lvl w:ilvl="0" w:tplc="C902E404">
      <w:start w:val="2"/>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C9246C7"/>
    <w:multiLevelType w:val="hybridMultilevel"/>
    <w:tmpl w:val="08587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DD1DC0"/>
    <w:multiLevelType w:val="hybridMultilevel"/>
    <w:tmpl w:val="57F6D546"/>
    <w:lvl w:ilvl="0" w:tplc="F822E43C">
      <w:start w:val="2"/>
      <w:numFmt w:val="bullet"/>
      <w:lvlText w:val="-"/>
      <w:lvlJc w:val="left"/>
      <w:pPr>
        <w:ind w:left="1144" w:hanging="360"/>
      </w:pPr>
      <w:rPr>
        <w:rFonts w:ascii="Tms Rmn" w:eastAsia="Times New Roman" w:hAnsi="Tms Rmn" w:cs="Times New Roman" w:hint="default"/>
      </w:rPr>
    </w:lvl>
    <w:lvl w:ilvl="1" w:tplc="0C090003" w:tentative="1">
      <w:start w:val="1"/>
      <w:numFmt w:val="bullet"/>
      <w:lvlText w:val="o"/>
      <w:lvlJc w:val="left"/>
      <w:pPr>
        <w:ind w:left="1864" w:hanging="360"/>
      </w:pPr>
      <w:rPr>
        <w:rFonts w:ascii="Courier New" w:hAnsi="Courier New" w:cs="Courier New" w:hint="default"/>
      </w:rPr>
    </w:lvl>
    <w:lvl w:ilvl="2" w:tplc="0C090005" w:tentative="1">
      <w:start w:val="1"/>
      <w:numFmt w:val="bullet"/>
      <w:lvlText w:val=""/>
      <w:lvlJc w:val="left"/>
      <w:pPr>
        <w:ind w:left="2584" w:hanging="360"/>
      </w:pPr>
      <w:rPr>
        <w:rFonts w:ascii="Wingdings" w:hAnsi="Wingdings" w:hint="default"/>
      </w:rPr>
    </w:lvl>
    <w:lvl w:ilvl="3" w:tplc="0C090001" w:tentative="1">
      <w:start w:val="1"/>
      <w:numFmt w:val="bullet"/>
      <w:lvlText w:val=""/>
      <w:lvlJc w:val="left"/>
      <w:pPr>
        <w:ind w:left="3304" w:hanging="360"/>
      </w:pPr>
      <w:rPr>
        <w:rFonts w:ascii="Symbol" w:hAnsi="Symbol" w:hint="default"/>
      </w:rPr>
    </w:lvl>
    <w:lvl w:ilvl="4" w:tplc="0C090003" w:tentative="1">
      <w:start w:val="1"/>
      <w:numFmt w:val="bullet"/>
      <w:lvlText w:val="o"/>
      <w:lvlJc w:val="left"/>
      <w:pPr>
        <w:ind w:left="4024" w:hanging="360"/>
      </w:pPr>
      <w:rPr>
        <w:rFonts w:ascii="Courier New" w:hAnsi="Courier New" w:cs="Courier New" w:hint="default"/>
      </w:rPr>
    </w:lvl>
    <w:lvl w:ilvl="5" w:tplc="0C090005" w:tentative="1">
      <w:start w:val="1"/>
      <w:numFmt w:val="bullet"/>
      <w:lvlText w:val=""/>
      <w:lvlJc w:val="left"/>
      <w:pPr>
        <w:ind w:left="4744" w:hanging="360"/>
      </w:pPr>
      <w:rPr>
        <w:rFonts w:ascii="Wingdings" w:hAnsi="Wingdings" w:hint="default"/>
      </w:rPr>
    </w:lvl>
    <w:lvl w:ilvl="6" w:tplc="0C090001" w:tentative="1">
      <w:start w:val="1"/>
      <w:numFmt w:val="bullet"/>
      <w:lvlText w:val=""/>
      <w:lvlJc w:val="left"/>
      <w:pPr>
        <w:ind w:left="5464" w:hanging="360"/>
      </w:pPr>
      <w:rPr>
        <w:rFonts w:ascii="Symbol" w:hAnsi="Symbol" w:hint="default"/>
      </w:rPr>
    </w:lvl>
    <w:lvl w:ilvl="7" w:tplc="0C090003" w:tentative="1">
      <w:start w:val="1"/>
      <w:numFmt w:val="bullet"/>
      <w:lvlText w:val="o"/>
      <w:lvlJc w:val="left"/>
      <w:pPr>
        <w:ind w:left="6184" w:hanging="360"/>
      </w:pPr>
      <w:rPr>
        <w:rFonts w:ascii="Courier New" w:hAnsi="Courier New" w:cs="Courier New" w:hint="default"/>
      </w:rPr>
    </w:lvl>
    <w:lvl w:ilvl="8" w:tplc="0C090005" w:tentative="1">
      <w:start w:val="1"/>
      <w:numFmt w:val="bullet"/>
      <w:lvlText w:val=""/>
      <w:lvlJc w:val="left"/>
      <w:pPr>
        <w:ind w:left="6904" w:hanging="360"/>
      </w:pPr>
      <w:rPr>
        <w:rFonts w:ascii="Wingdings" w:hAnsi="Wingdings" w:hint="default"/>
      </w:rPr>
    </w:lvl>
  </w:abstractNum>
  <w:abstractNum w:abstractNumId="7" w15:restartNumberingAfterBreak="0">
    <w:nsid w:val="26780F93"/>
    <w:multiLevelType w:val="multilevel"/>
    <w:tmpl w:val="3E58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A4B4A"/>
    <w:multiLevelType w:val="hybridMultilevel"/>
    <w:tmpl w:val="4AB0B6DC"/>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9" w15:restartNumberingAfterBreak="0">
    <w:nsid w:val="2C7239EE"/>
    <w:multiLevelType w:val="hybridMultilevel"/>
    <w:tmpl w:val="1CAAE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BB327D"/>
    <w:multiLevelType w:val="hybridMultilevel"/>
    <w:tmpl w:val="316A3F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4B6A56"/>
    <w:multiLevelType w:val="hybridMultilevel"/>
    <w:tmpl w:val="47A019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2" w15:restartNumberingAfterBreak="0">
    <w:nsid w:val="3F6E122D"/>
    <w:multiLevelType w:val="multilevel"/>
    <w:tmpl w:val="087A9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860101"/>
    <w:multiLevelType w:val="hybridMultilevel"/>
    <w:tmpl w:val="6930D9B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47F42712"/>
    <w:multiLevelType w:val="hybridMultilevel"/>
    <w:tmpl w:val="31026AA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4B7C133C"/>
    <w:multiLevelType w:val="hybridMultilevel"/>
    <w:tmpl w:val="1994B9E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4D1033BD"/>
    <w:multiLevelType w:val="hybridMultilevel"/>
    <w:tmpl w:val="08A85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011A52"/>
    <w:multiLevelType w:val="hybridMultilevel"/>
    <w:tmpl w:val="C4F09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882C75"/>
    <w:multiLevelType w:val="hybridMultilevel"/>
    <w:tmpl w:val="8370E2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753B4B"/>
    <w:multiLevelType w:val="hybridMultilevel"/>
    <w:tmpl w:val="EE8289D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15:restartNumberingAfterBreak="0">
    <w:nsid w:val="72AB60F7"/>
    <w:multiLevelType w:val="hybridMultilevel"/>
    <w:tmpl w:val="4ED4A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7F4E19"/>
    <w:multiLevelType w:val="hybridMultilevel"/>
    <w:tmpl w:val="AA66A06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7C686876"/>
    <w:multiLevelType w:val="hybridMultilevel"/>
    <w:tmpl w:val="A2D43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BF5B20"/>
    <w:multiLevelType w:val="multilevel"/>
    <w:tmpl w:val="68F8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19"/>
  </w:num>
  <w:num w:numId="4">
    <w:abstractNumId w:val="12"/>
  </w:num>
  <w:num w:numId="5">
    <w:abstractNumId w:val="1"/>
  </w:num>
  <w:num w:numId="6">
    <w:abstractNumId w:val="23"/>
  </w:num>
  <w:num w:numId="7">
    <w:abstractNumId w:val="11"/>
  </w:num>
  <w:num w:numId="8">
    <w:abstractNumId w:val="6"/>
  </w:num>
  <w:num w:numId="9">
    <w:abstractNumId w:val="15"/>
  </w:num>
  <w:num w:numId="10">
    <w:abstractNumId w:val="13"/>
  </w:num>
  <w:num w:numId="11">
    <w:abstractNumId w:val="5"/>
  </w:num>
  <w:num w:numId="12">
    <w:abstractNumId w:val="2"/>
  </w:num>
  <w:num w:numId="13">
    <w:abstractNumId w:val="9"/>
  </w:num>
  <w:num w:numId="14">
    <w:abstractNumId w:val="14"/>
  </w:num>
  <w:num w:numId="15">
    <w:abstractNumId w:val="3"/>
  </w:num>
  <w:num w:numId="16">
    <w:abstractNumId w:val="7"/>
  </w:num>
  <w:num w:numId="17">
    <w:abstractNumId w:val="8"/>
  </w:num>
  <w:num w:numId="18">
    <w:abstractNumId w:val="16"/>
  </w:num>
  <w:num w:numId="19">
    <w:abstractNumId w:val="17"/>
  </w:num>
  <w:num w:numId="20">
    <w:abstractNumId w:val="22"/>
  </w:num>
  <w:num w:numId="21">
    <w:abstractNumId w:val="21"/>
  </w:num>
  <w:num w:numId="22">
    <w:abstractNumId w:val="20"/>
  </w:num>
  <w:num w:numId="23">
    <w:abstractNumId w:val="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500"/>
    <w:rsid w:val="00001643"/>
    <w:rsid w:val="0000255C"/>
    <w:rsid w:val="00007E3B"/>
    <w:rsid w:val="00007F76"/>
    <w:rsid w:val="00013854"/>
    <w:rsid w:val="000206E9"/>
    <w:rsid w:val="000224DD"/>
    <w:rsid w:val="00022A60"/>
    <w:rsid w:val="000247DA"/>
    <w:rsid w:val="00024B06"/>
    <w:rsid w:val="00025FDC"/>
    <w:rsid w:val="000277DB"/>
    <w:rsid w:val="00030C6D"/>
    <w:rsid w:val="000323FF"/>
    <w:rsid w:val="00032E7B"/>
    <w:rsid w:val="0003483E"/>
    <w:rsid w:val="00035023"/>
    <w:rsid w:val="00041194"/>
    <w:rsid w:val="000423C9"/>
    <w:rsid w:val="00042D09"/>
    <w:rsid w:val="00047CA1"/>
    <w:rsid w:val="00050F1C"/>
    <w:rsid w:val="000520AD"/>
    <w:rsid w:val="00052DB9"/>
    <w:rsid w:val="00053315"/>
    <w:rsid w:val="00053515"/>
    <w:rsid w:val="00053891"/>
    <w:rsid w:val="0005408E"/>
    <w:rsid w:val="00055C58"/>
    <w:rsid w:val="00056850"/>
    <w:rsid w:val="0005751A"/>
    <w:rsid w:val="000620B8"/>
    <w:rsid w:val="000625E3"/>
    <w:rsid w:val="000628FE"/>
    <w:rsid w:val="0006424A"/>
    <w:rsid w:val="0006630A"/>
    <w:rsid w:val="00066612"/>
    <w:rsid w:val="00066D01"/>
    <w:rsid w:val="0007169C"/>
    <w:rsid w:val="000735B6"/>
    <w:rsid w:val="000776BC"/>
    <w:rsid w:val="00081B12"/>
    <w:rsid w:val="00084A99"/>
    <w:rsid w:val="00087851"/>
    <w:rsid w:val="00091B98"/>
    <w:rsid w:val="000931C4"/>
    <w:rsid w:val="00094D39"/>
    <w:rsid w:val="000959F1"/>
    <w:rsid w:val="000A2008"/>
    <w:rsid w:val="000A256F"/>
    <w:rsid w:val="000A45BF"/>
    <w:rsid w:val="000B234E"/>
    <w:rsid w:val="000B3D7E"/>
    <w:rsid w:val="000B4733"/>
    <w:rsid w:val="000B5684"/>
    <w:rsid w:val="000C4549"/>
    <w:rsid w:val="000C46DE"/>
    <w:rsid w:val="000C4FCB"/>
    <w:rsid w:val="000D0A16"/>
    <w:rsid w:val="000D3B57"/>
    <w:rsid w:val="000E0FA6"/>
    <w:rsid w:val="000E1BD7"/>
    <w:rsid w:val="000E5C91"/>
    <w:rsid w:val="000F16C2"/>
    <w:rsid w:val="000F2F24"/>
    <w:rsid w:val="000F427F"/>
    <w:rsid w:val="000F4945"/>
    <w:rsid w:val="000F49DE"/>
    <w:rsid w:val="000F5B89"/>
    <w:rsid w:val="000F5FED"/>
    <w:rsid w:val="000F719D"/>
    <w:rsid w:val="000F7619"/>
    <w:rsid w:val="0010358C"/>
    <w:rsid w:val="00103A25"/>
    <w:rsid w:val="001051B8"/>
    <w:rsid w:val="001115C4"/>
    <w:rsid w:val="001122BC"/>
    <w:rsid w:val="00114FEE"/>
    <w:rsid w:val="00116036"/>
    <w:rsid w:val="00116318"/>
    <w:rsid w:val="00116DB6"/>
    <w:rsid w:val="0012024D"/>
    <w:rsid w:val="00121B98"/>
    <w:rsid w:val="00122121"/>
    <w:rsid w:val="00133B85"/>
    <w:rsid w:val="001358A2"/>
    <w:rsid w:val="0013628A"/>
    <w:rsid w:val="001363A5"/>
    <w:rsid w:val="00142657"/>
    <w:rsid w:val="00160372"/>
    <w:rsid w:val="00161367"/>
    <w:rsid w:val="00164176"/>
    <w:rsid w:val="00165922"/>
    <w:rsid w:val="00167CB8"/>
    <w:rsid w:val="0017129A"/>
    <w:rsid w:val="001738BC"/>
    <w:rsid w:val="00176D12"/>
    <w:rsid w:val="00180F5A"/>
    <w:rsid w:val="001810C8"/>
    <w:rsid w:val="00182AC1"/>
    <w:rsid w:val="00182D10"/>
    <w:rsid w:val="001838D0"/>
    <w:rsid w:val="001845E0"/>
    <w:rsid w:val="00190F4C"/>
    <w:rsid w:val="00191EC7"/>
    <w:rsid w:val="001922CE"/>
    <w:rsid w:val="00192405"/>
    <w:rsid w:val="001926DB"/>
    <w:rsid w:val="001927C9"/>
    <w:rsid w:val="00193C43"/>
    <w:rsid w:val="001966FD"/>
    <w:rsid w:val="00197472"/>
    <w:rsid w:val="001A06BA"/>
    <w:rsid w:val="001A11C9"/>
    <w:rsid w:val="001A2D58"/>
    <w:rsid w:val="001A2EF3"/>
    <w:rsid w:val="001A3B7C"/>
    <w:rsid w:val="001A75E8"/>
    <w:rsid w:val="001B3F24"/>
    <w:rsid w:val="001B584F"/>
    <w:rsid w:val="001B6591"/>
    <w:rsid w:val="001C07DF"/>
    <w:rsid w:val="001C10B1"/>
    <w:rsid w:val="001C17AD"/>
    <w:rsid w:val="001C57F8"/>
    <w:rsid w:val="001C6904"/>
    <w:rsid w:val="001D0C9A"/>
    <w:rsid w:val="001D2725"/>
    <w:rsid w:val="001D27B4"/>
    <w:rsid w:val="001D437B"/>
    <w:rsid w:val="001D6662"/>
    <w:rsid w:val="001E0E76"/>
    <w:rsid w:val="001E2835"/>
    <w:rsid w:val="001E4916"/>
    <w:rsid w:val="001E4A9A"/>
    <w:rsid w:val="001F6C11"/>
    <w:rsid w:val="00201E92"/>
    <w:rsid w:val="00203B2A"/>
    <w:rsid w:val="00205575"/>
    <w:rsid w:val="00210BD9"/>
    <w:rsid w:val="002111AD"/>
    <w:rsid w:val="00222F3A"/>
    <w:rsid w:val="00223D5D"/>
    <w:rsid w:val="00227214"/>
    <w:rsid w:val="00233039"/>
    <w:rsid w:val="00233D67"/>
    <w:rsid w:val="00234EB4"/>
    <w:rsid w:val="00234F36"/>
    <w:rsid w:val="00235915"/>
    <w:rsid w:val="00242F7B"/>
    <w:rsid w:val="0024367D"/>
    <w:rsid w:val="00244A91"/>
    <w:rsid w:val="00245A11"/>
    <w:rsid w:val="002468D8"/>
    <w:rsid w:val="0024691D"/>
    <w:rsid w:val="0024789B"/>
    <w:rsid w:val="00250A24"/>
    <w:rsid w:val="002511A9"/>
    <w:rsid w:val="00252624"/>
    <w:rsid w:val="0025431F"/>
    <w:rsid w:val="00256821"/>
    <w:rsid w:val="00261245"/>
    <w:rsid w:val="00263822"/>
    <w:rsid w:val="0026685D"/>
    <w:rsid w:val="002705B7"/>
    <w:rsid w:val="00270F5B"/>
    <w:rsid w:val="00271318"/>
    <w:rsid w:val="00271D1C"/>
    <w:rsid w:val="00271F07"/>
    <w:rsid w:val="002747BE"/>
    <w:rsid w:val="0028175C"/>
    <w:rsid w:val="00281DD2"/>
    <w:rsid w:val="00282B87"/>
    <w:rsid w:val="002854B0"/>
    <w:rsid w:val="00285A9D"/>
    <w:rsid w:val="002865E4"/>
    <w:rsid w:val="00286CC8"/>
    <w:rsid w:val="00287858"/>
    <w:rsid w:val="00287FB8"/>
    <w:rsid w:val="002903D1"/>
    <w:rsid w:val="00292825"/>
    <w:rsid w:val="0029310D"/>
    <w:rsid w:val="00293398"/>
    <w:rsid w:val="002937AF"/>
    <w:rsid w:val="00294434"/>
    <w:rsid w:val="00296766"/>
    <w:rsid w:val="002A36EE"/>
    <w:rsid w:val="002A7326"/>
    <w:rsid w:val="002B2AA8"/>
    <w:rsid w:val="002B2F63"/>
    <w:rsid w:val="002B3B72"/>
    <w:rsid w:val="002B7BC8"/>
    <w:rsid w:val="002C5253"/>
    <w:rsid w:val="002C58D3"/>
    <w:rsid w:val="002D55D7"/>
    <w:rsid w:val="002E1FEF"/>
    <w:rsid w:val="002E23EC"/>
    <w:rsid w:val="002E4D38"/>
    <w:rsid w:val="002E5553"/>
    <w:rsid w:val="002E5D2F"/>
    <w:rsid w:val="002F1DFB"/>
    <w:rsid w:val="002F2F95"/>
    <w:rsid w:val="002F68E0"/>
    <w:rsid w:val="002F6EAD"/>
    <w:rsid w:val="00300118"/>
    <w:rsid w:val="0030338C"/>
    <w:rsid w:val="00303B8B"/>
    <w:rsid w:val="003042B8"/>
    <w:rsid w:val="00304341"/>
    <w:rsid w:val="00305809"/>
    <w:rsid w:val="00310F35"/>
    <w:rsid w:val="00312343"/>
    <w:rsid w:val="003144E5"/>
    <w:rsid w:val="00314953"/>
    <w:rsid w:val="003153A7"/>
    <w:rsid w:val="003160C6"/>
    <w:rsid w:val="00316F37"/>
    <w:rsid w:val="00317A45"/>
    <w:rsid w:val="0032525B"/>
    <w:rsid w:val="00325D8A"/>
    <w:rsid w:val="00330D82"/>
    <w:rsid w:val="003310C4"/>
    <w:rsid w:val="0033633C"/>
    <w:rsid w:val="00337333"/>
    <w:rsid w:val="00337FC0"/>
    <w:rsid w:val="00340137"/>
    <w:rsid w:val="003411FD"/>
    <w:rsid w:val="00344E3E"/>
    <w:rsid w:val="00345470"/>
    <w:rsid w:val="00347661"/>
    <w:rsid w:val="0036057C"/>
    <w:rsid w:val="0036084F"/>
    <w:rsid w:val="00360C3B"/>
    <w:rsid w:val="00361A4E"/>
    <w:rsid w:val="0036716E"/>
    <w:rsid w:val="00371C37"/>
    <w:rsid w:val="003754E0"/>
    <w:rsid w:val="00376F28"/>
    <w:rsid w:val="00382E05"/>
    <w:rsid w:val="00385121"/>
    <w:rsid w:val="00385F57"/>
    <w:rsid w:val="00390C68"/>
    <w:rsid w:val="00394407"/>
    <w:rsid w:val="003944E1"/>
    <w:rsid w:val="003965FC"/>
    <w:rsid w:val="003967F1"/>
    <w:rsid w:val="003968A2"/>
    <w:rsid w:val="00396D3A"/>
    <w:rsid w:val="003A133E"/>
    <w:rsid w:val="003A2BCB"/>
    <w:rsid w:val="003A5C75"/>
    <w:rsid w:val="003B2AE9"/>
    <w:rsid w:val="003B5C3B"/>
    <w:rsid w:val="003C082C"/>
    <w:rsid w:val="003C1CCD"/>
    <w:rsid w:val="003C207F"/>
    <w:rsid w:val="003C38AA"/>
    <w:rsid w:val="003C5CB7"/>
    <w:rsid w:val="003D2F8B"/>
    <w:rsid w:val="003D38F1"/>
    <w:rsid w:val="003E176D"/>
    <w:rsid w:val="003E246D"/>
    <w:rsid w:val="003E3CDE"/>
    <w:rsid w:val="003E54F0"/>
    <w:rsid w:val="003F1B8E"/>
    <w:rsid w:val="003F6BD6"/>
    <w:rsid w:val="00401515"/>
    <w:rsid w:val="00403D71"/>
    <w:rsid w:val="00404DA3"/>
    <w:rsid w:val="004115B7"/>
    <w:rsid w:val="004148DC"/>
    <w:rsid w:val="00416990"/>
    <w:rsid w:val="00417837"/>
    <w:rsid w:val="004202CB"/>
    <w:rsid w:val="0042386A"/>
    <w:rsid w:val="00430F81"/>
    <w:rsid w:val="00435776"/>
    <w:rsid w:val="00442753"/>
    <w:rsid w:val="00443637"/>
    <w:rsid w:val="004442C2"/>
    <w:rsid w:val="004454D5"/>
    <w:rsid w:val="0045006A"/>
    <w:rsid w:val="004501FA"/>
    <w:rsid w:val="00450349"/>
    <w:rsid w:val="004509AD"/>
    <w:rsid w:val="004527AB"/>
    <w:rsid w:val="004540DF"/>
    <w:rsid w:val="00457A49"/>
    <w:rsid w:val="00457B38"/>
    <w:rsid w:val="00457D99"/>
    <w:rsid w:val="00457E4A"/>
    <w:rsid w:val="00462233"/>
    <w:rsid w:val="004625F2"/>
    <w:rsid w:val="00463D13"/>
    <w:rsid w:val="0046598F"/>
    <w:rsid w:val="00467EED"/>
    <w:rsid w:val="00467F28"/>
    <w:rsid w:val="0047062F"/>
    <w:rsid w:val="00475275"/>
    <w:rsid w:val="0048142F"/>
    <w:rsid w:val="00482D78"/>
    <w:rsid w:val="004A1091"/>
    <w:rsid w:val="004A196B"/>
    <w:rsid w:val="004A3F70"/>
    <w:rsid w:val="004B02BA"/>
    <w:rsid w:val="004B07A0"/>
    <w:rsid w:val="004B0AE7"/>
    <w:rsid w:val="004B45EF"/>
    <w:rsid w:val="004B49A2"/>
    <w:rsid w:val="004B6705"/>
    <w:rsid w:val="004B725B"/>
    <w:rsid w:val="004B72F1"/>
    <w:rsid w:val="004C01C8"/>
    <w:rsid w:val="004C10BD"/>
    <w:rsid w:val="004C1A8B"/>
    <w:rsid w:val="004C1D30"/>
    <w:rsid w:val="004C2647"/>
    <w:rsid w:val="004C5180"/>
    <w:rsid w:val="004C64CC"/>
    <w:rsid w:val="004D237A"/>
    <w:rsid w:val="004D2632"/>
    <w:rsid w:val="004D3ECD"/>
    <w:rsid w:val="004D43FE"/>
    <w:rsid w:val="004D4D47"/>
    <w:rsid w:val="004D5FBE"/>
    <w:rsid w:val="004D5FCD"/>
    <w:rsid w:val="004D6281"/>
    <w:rsid w:val="004E054C"/>
    <w:rsid w:val="004E22B9"/>
    <w:rsid w:val="004E47DF"/>
    <w:rsid w:val="004E6030"/>
    <w:rsid w:val="004F5600"/>
    <w:rsid w:val="00501A93"/>
    <w:rsid w:val="00501D89"/>
    <w:rsid w:val="0050567B"/>
    <w:rsid w:val="00505F26"/>
    <w:rsid w:val="00506B1D"/>
    <w:rsid w:val="00512B66"/>
    <w:rsid w:val="00516A58"/>
    <w:rsid w:val="0052587F"/>
    <w:rsid w:val="005265A3"/>
    <w:rsid w:val="00532C9E"/>
    <w:rsid w:val="00536900"/>
    <w:rsid w:val="00536D03"/>
    <w:rsid w:val="005453A3"/>
    <w:rsid w:val="00545926"/>
    <w:rsid w:val="00547DA8"/>
    <w:rsid w:val="00552B36"/>
    <w:rsid w:val="005553EE"/>
    <w:rsid w:val="00562651"/>
    <w:rsid w:val="00565460"/>
    <w:rsid w:val="0057127E"/>
    <w:rsid w:val="0058054A"/>
    <w:rsid w:val="00580F39"/>
    <w:rsid w:val="00582AB2"/>
    <w:rsid w:val="00583F2D"/>
    <w:rsid w:val="00584BDA"/>
    <w:rsid w:val="005865AF"/>
    <w:rsid w:val="00586B77"/>
    <w:rsid w:val="00590250"/>
    <w:rsid w:val="00590CBC"/>
    <w:rsid w:val="0059331E"/>
    <w:rsid w:val="00593DCE"/>
    <w:rsid w:val="00593F09"/>
    <w:rsid w:val="00593F25"/>
    <w:rsid w:val="00596F43"/>
    <w:rsid w:val="005A0173"/>
    <w:rsid w:val="005A0A50"/>
    <w:rsid w:val="005A1C30"/>
    <w:rsid w:val="005A4ABA"/>
    <w:rsid w:val="005A6907"/>
    <w:rsid w:val="005B548D"/>
    <w:rsid w:val="005B6A78"/>
    <w:rsid w:val="005C3073"/>
    <w:rsid w:val="005C4BB4"/>
    <w:rsid w:val="005C5F7B"/>
    <w:rsid w:val="005D3272"/>
    <w:rsid w:val="005D69F3"/>
    <w:rsid w:val="005E2709"/>
    <w:rsid w:val="005E3F1B"/>
    <w:rsid w:val="005E4372"/>
    <w:rsid w:val="005E4E39"/>
    <w:rsid w:val="005F06C6"/>
    <w:rsid w:val="005F28F3"/>
    <w:rsid w:val="00601C1A"/>
    <w:rsid w:val="00610913"/>
    <w:rsid w:val="00613EC7"/>
    <w:rsid w:val="00617085"/>
    <w:rsid w:val="00617887"/>
    <w:rsid w:val="00621F10"/>
    <w:rsid w:val="006253A4"/>
    <w:rsid w:val="00625B1D"/>
    <w:rsid w:val="00626172"/>
    <w:rsid w:val="00626C1C"/>
    <w:rsid w:val="00631315"/>
    <w:rsid w:val="0063790F"/>
    <w:rsid w:val="00641F21"/>
    <w:rsid w:val="00642E23"/>
    <w:rsid w:val="00642E5D"/>
    <w:rsid w:val="006464B2"/>
    <w:rsid w:val="00650861"/>
    <w:rsid w:val="0065144F"/>
    <w:rsid w:val="00652A78"/>
    <w:rsid w:val="006554D9"/>
    <w:rsid w:val="00660062"/>
    <w:rsid w:val="00661C1F"/>
    <w:rsid w:val="00667A1C"/>
    <w:rsid w:val="00667A70"/>
    <w:rsid w:val="00670631"/>
    <w:rsid w:val="00670955"/>
    <w:rsid w:val="00670DE6"/>
    <w:rsid w:val="00674307"/>
    <w:rsid w:val="006751B1"/>
    <w:rsid w:val="00675EB9"/>
    <w:rsid w:val="00675EE5"/>
    <w:rsid w:val="00684D45"/>
    <w:rsid w:val="006856E3"/>
    <w:rsid w:val="0069020B"/>
    <w:rsid w:val="00691D38"/>
    <w:rsid w:val="00694074"/>
    <w:rsid w:val="00696977"/>
    <w:rsid w:val="00696FD3"/>
    <w:rsid w:val="006A1CCD"/>
    <w:rsid w:val="006A2CDF"/>
    <w:rsid w:val="006A6991"/>
    <w:rsid w:val="006C0292"/>
    <w:rsid w:val="006C04F1"/>
    <w:rsid w:val="006C20B8"/>
    <w:rsid w:val="006C3CEA"/>
    <w:rsid w:val="006D4F74"/>
    <w:rsid w:val="006D746C"/>
    <w:rsid w:val="006E0FEA"/>
    <w:rsid w:val="006E1C15"/>
    <w:rsid w:val="006E2450"/>
    <w:rsid w:val="006E3AAB"/>
    <w:rsid w:val="006E3F38"/>
    <w:rsid w:val="006E4C0A"/>
    <w:rsid w:val="006F1150"/>
    <w:rsid w:val="006F2DDD"/>
    <w:rsid w:val="006F4CEE"/>
    <w:rsid w:val="006F66D2"/>
    <w:rsid w:val="006F7E73"/>
    <w:rsid w:val="00700CCC"/>
    <w:rsid w:val="0070182B"/>
    <w:rsid w:val="00702740"/>
    <w:rsid w:val="00704644"/>
    <w:rsid w:val="0070635F"/>
    <w:rsid w:val="00713099"/>
    <w:rsid w:val="0071796A"/>
    <w:rsid w:val="00720A70"/>
    <w:rsid w:val="00720DE6"/>
    <w:rsid w:val="007225AE"/>
    <w:rsid w:val="00724EDC"/>
    <w:rsid w:val="00726562"/>
    <w:rsid w:val="007300AB"/>
    <w:rsid w:val="007336A4"/>
    <w:rsid w:val="0073580B"/>
    <w:rsid w:val="00740631"/>
    <w:rsid w:val="00740E1B"/>
    <w:rsid w:val="007410DD"/>
    <w:rsid w:val="00744A35"/>
    <w:rsid w:val="007469DE"/>
    <w:rsid w:val="00747938"/>
    <w:rsid w:val="00761A7E"/>
    <w:rsid w:val="00763359"/>
    <w:rsid w:val="00764B01"/>
    <w:rsid w:val="00767767"/>
    <w:rsid w:val="00771C58"/>
    <w:rsid w:val="00774A1E"/>
    <w:rsid w:val="007758B2"/>
    <w:rsid w:val="00776C54"/>
    <w:rsid w:val="00787D41"/>
    <w:rsid w:val="00792650"/>
    <w:rsid w:val="00793441"/>
    <w:rsid w:val="00793BFC"/>
    <w:rsid w:val="00795FA1"/>
    <w:rsid w:val="0079662B"/>
    <w:rsid w:val="00796B78"/>
    <w:rsid w:val="00797424"/>
    <w:rsid w:val="00797500"/>
    <w:rsid w:val="007A2C42"/>
    <w:rsid w:val="007A374E"/>
    <w:rsid w:val="007A53AD"/>
    <w:rsid w:val="007A7DD4"/>
    <w:rsid w:val="007B007B"/>
    <w:rsid w:val="007B0AF8"/>
    <w:rsid w:val="007B28BE"/>
    <w:rsid w:val="007C06DC"/>
    <w:rsid w:val="007C22B4"/>
    <w:rsid w:val="007C2547"/>
    <w:rsid w:val="007C348D"/>
    <w:rsid w:val="007C4AA7"/>
    <w:rsid w:val="007C5176"/>
    <w:rsid w:val="007D1694"/>
    <w:rsid w:val="007D3C2C"/>
    <w:rsid w:val="007D6FD2"/>
    <w:rsid w:val="007D744B"/>
    <w:rsid w:val="007E03D1"/>
    <w:rsid w:val="007E22C9"/>
    <w:rsid w:val="007E277B"/>
    <w:rsid w:val="007E27FA"/>
    <w:rsid w:val="007E3D3B"/>
    <w:rsid w:val="007E5592"/>
    <w:rsid w:val="007E61DD"/>
    <w:rsid w:val="007E64B2"/>
    <w:rsid w:val="007E7E48"/>
    <w:rsid w:val="007F1AE8"/>
    <w:rsid w:val="00804792"/>
    <w:rsid w:val="00805206"/>
    <w:rsid w:val="008057CF"/>
    <w:rsid w:val="008065A1"/>
    <w:rsid w:val="00810D0E"/>
    <w:rsid w:val="0081111D"/>
    <w:rsid w:val="008112AF"/>
    <w:rsid w:val="008112F1"/>
    <w:rsid w:val="00812647"/>
    <w:rsid w:val="0082080E"/>
    <w:rsid w:val="008209B5"/>
    <w:rsid w:val="0082226A"/>
    <w:rsid w:val="00822D64"/>
    <w:rsid w:val="00822F9A"/>
    <w:rsid w:val="00833836"/>
    <w:rsid w:val="00834441"/>
    <w:rsid w:val="0083525F"/>
    <w:rsid w:val="0083594E"/>
    <w:rsid w:val="008370FA"/>
    <w:rsid w:val="008414D2"/>
    <w:rsid w:val="00843521"/>
    <w:rsid w:val="00844CBA"/>
    <w:rsid w:val="00851EC7"/>
    <w:rsid w:val="00851ECD"/>
    <w:rsid w:val="00852255"/>
    <w:rsid w:val="00857E0B"/>
    <w:rsid w:val="008613F1"/>
    <w:rsid w:val="00862462"/>
    <w:rsid w:val="008638D6"/>
    <w:rsid w:val="00865662"/>
    <w:rsid w:val="0086742F"/>
    <w:rsid w:val="00867E77"/>
    <w:rsid w:val="00871728"/>
    <w:rsid w:val="00873A64"/>
    <w:rsid w:val="00873B66"/>
    <w:rsid w:val="00887C81"/>
    <w:rsid w:val="00892240"/>
    <w:rsid w:val="00892C1D"/>
    <w:rsid w:val="008A1261"/>
    <w:rsid w:val="008A27CE"/>
    <w:rsid w:val="008A3FEF"/>
    <w:rsid w:val="008A625B"/>
    <w:rsid w:val="008B06D1"/>
    <w:rsid w:val="008B077E"/>
    <w:rsid w:val="008B1381"/>
    <w:rsid w:val="008B3D10"/>
    <w:rsid w:val="008B551D"/>
    <w:rsid w:val="008B62FF"/>
    <w:rsid w:val="008B75D3"/>
    <w:rsid w:val="008C089F"/>
    <w:rsid w:val="008C0C2A"/>
    <w:rsid w:val="008C1C24"/>
    <w:rsid w:val="008C240E"/>
    <w:rsid w:val="008C6744"/>
    <w:rsid w:val="008D0530"/>
    <w:rsid w:val="008D2DB6"/>
    <w:rsid w:val="008D403C"/>
    <w:rsid w:val="008E12EF"/>
    <w:rsid w:val="008E322B"/>
    <w:rsid w:val="008E3C53"/>
    <w:rsid w:val="008E424D"/>
    <w:rsid w:val="008E4693"/>
    <w:rsid w:val="008E5F2C"/>
    <w:rsid w:val="008F250B"/>
    <w:rsid w:val="008F3FC3"/>
    <w:rsid w:val="008F3FE7"/>
    <w:rsid w:val="008F5BB5"/>
    <w:rsid w:val="0090480B"/>
    <w:rsid w:val="00906920"/>
    <w:rsid w:val="00907B04"/>
    <w:rsid w:val="00910A28"/>
    <w:rsid w:val="00912612"/>
    <w:rsid w:val="0091325C"/>
    <w:rsid w:val="00917A51"/>
    <w:rsid w:val="00920E79"/>
    <w:rsid w:val="00921D37"/>
    <w:rsid w:val="0092257A"/>
    <w:rsid w:val="00926D2A"/>
    <w:rsid w:val="00932B8C"/>
    <w:rsid w:val="00933EDE"/>
    <w:rsid w:val="00941C84"/>
    <w:rsid w:val="00943173"/>
    <w:rsid w:val="00943361"/>
    <w:rsid w:val="00944494"/>
    <w:rsid w:val="00944D7B"/>
    <w:rsid w:val="00945430"/>
    <w:rsid w:val="00947C7B"/>
    <w:rsid w:val="00953043"/>
    <w:rsid w:val="0095693D"/>
    <w:rsid w:val="00967DDF"/>
    <w:rsid w:val="00967FE7"/>
    <w:rsid w:val="0097298F"/>
    <w:rsid w:val="0097630E"/>
    <w:rsid w:val="00976646"/>
    <w:rsid w:val="00981D5B"/>
    <w:rsid w:val="0098221F"/>
    <w:rsid w:val="0098439D"/>
    <w:rsid w:val="00984735"/>
    <w:rsid w:val="00987A48"/>
    <w:rsid w:val="009914A1"/>
    <w:rsid w:val="00995140"/>
    <w:rsid w:val="009951A8"/>
    <w:rsid w:val="00995F22"/>
    <w:rsid w:val="0099706C"/>
    <w:rsid w:val="009A27AF"/>
    <w:rsid w:val="009A47D1"/>
    <w:rsid w:val="009A6128"/>
    <w:rsid w:val="009B1EEF"/>
    <w:rsid w:val="009B3DB7"/>
    <w:rsid w:val="009B6DEE"/>
    <w:rsid w:val="009C20AC"/>
    <w:rsid w:val="009C3327"/>
    <w:rsid w:val="009C384C"/>
    <w:rsid w:val="009C7639"/>
    <w:rsid w:val="009C7AA3"/>
    <w:rsid w:val="009C7B1D"/>
    <w:rsid w:val="009D5BA5"/>
    <w:rsid w:val="009E29CC"/>
    <w:rsid w:val="009E531C"/>
    <w:rsid w:val="009F26FE"/>
    <w:rsid w:val="009F290F"/>
    <w:rsid w:val="009F7EA8"/>
    <w:rsid w:val="00A006C5"/>
    <w:rsid w:val="00A00F58"/>
    <w:rsid w:val="00A02A08"/>
    <w:rsid w:val="00A02E17"/>
    <w:rsid w:val="00A02EED"/>
    <w:rsid w:val="00A03299"/>
    <w:rsid w:val="00A03977"/>
    <w:rsid w:val="00A04C56"/>
    <w:rsid w:val="00A067D7"/>
    <w:rsid w:val="00A075BE"/>
    <w:rsid w:val="00A11AA3"/>
    <w:rsid w:val="00A152E3"/>
    <w:rsid w:val="00A17212"/>
    <w:rsid w:val="00A2181D"/>
    <w:rsid w:val="00A3472D"/>
    <w:rsid w:val="00A34B32"/>
    <w:rsid w:val="00A3765B"/>
    <w:rsid w:val="00A41F85"/>
    <w:rsid w:val="00A42180"/>
    <w:rsid w:val="00A53157"/>
    <w:rsid w:val="00A55B36"/>
    <w:rsid w:val="00A56947"/>
    <w:rsid w:val="00A574E6"/>
    <w:rsid w:val="00A575F2"/>
    <w:rsid w:val="00A6209B"/>
    <w:rsid w:val="00A62F10"/>
    <w:rsid w:val="00A64BEF"/>
    <w:rsid w:val="00A67247"/>
    <w:rsid w:val="00A7063B"/>
    <w:rsid w:val="00A713F8"/>
    <w:rsid w:val="00A74A79"/>
    <w:rsid w:val="00A767EF"/>
    <w:rsid w:val="00A80576"/>
    <w:rsid w:val="00A805AC"/>
    <w:rsid w:val="00A8137D"/>
    <w:rsid w:val="00A81B70"/>
    <w:rsid w:val="00A81EB8"/>
    <w:rsid w:val="00A86495"/>
    <w:rsid w:val="00A90A5C"/>
    <w:rsid w:val="00A91CCD"/>
    <w:rsid w:val="00A95430"/>
    <w:rsid w:val="00A9693D"/>
    <w:rsid w:val="00A96B4F"/>
    <w:rsid w:val="00A96D63"/>
    <w:rsid w:val="00A97318"/>
    <w:rsid w:val="00AA2FA0"/>
    <w:rsid w:val="00AA4B3E"/>
    <w:rsid w:val="00AA5933"/>
    <w:rsid w:val="00AA7276"/>
    <w:rsid w:val="00AB012C"/>
    <w:rsid w:val="00AB07A4"/>
    <w:rsid w:val="00AB25ED"/>
    <w:rsid w:val="00AB4007"/>
    <w:rsid w:val="00AB46CB"/>
    <w:rsid w:val="00AB5526"/>
    <w:rsid w:val="00AC06CB"/>
    <w:rsid w:val="00AC20F3"/>
    <w:rsid w:val="00AC38AB"/>
    <w:rsid w:val="00AC38DA"/>
    <w:rsid w:val="00AC46AD"/>
    <w:rsid w:val="00AC5855"/>
    <w:rsid w:val="00AC5BC5"/>
    <w:rsid w:val="00AD1045"/>
    <w:rsid w:val="00AD16CC"/>
    <w:rsid w:val="00AD2ED2"/>
    <w:rsid w:val="00AD3FBC"/>
    <w:rsid w:val="00AD4BF6"/>
    <w:rsid w:val="00AD5DEA"/>
    <w:rsid w:val="00AE7627"/>
    <w:rsid w:val="00AE7C9B"/>
    <w:rsid w:val="00AE7FE1"/>
    <w:rsid w:val="00AF0039"/>
    <w:rsid w:val="00AF08EA"/>
    <w:rsid w:val="00AF125A"/>
    <w:rsid w:val="00AF17D9"/>
    <w:rsid w:val="00AF352B"/>
    <w:rsid w:val="00AF3EF7"/>
    <w:rsid w:val="00AF615D"/>
    <w:rsid w:val="00AF69D0"/>
    <w:rsid w:val="00B05342"/>
    <w:rsid w:val="00B05D3C"/>
    <w:rsid w:val="00B07C01"/>
    <w:rsid w:val="00B103C8"/>
    <w:rsid w:val="00B10FCE"/>
    <w:rsid w:val="00B11251"/>
    <w:rsid w:val="00B13ABA"/>
    <w:rsid w:val="00B148B3"/>
    <w:rsid w:val="00B16CCB"/>
    <w:rsid w:val="00B17D4A"/>
    <w:rsid w:val="00B20076"/>
    <w:rsid w:val="00B215C1"/>
    <w:rsid w:val="00B240C1"/>
    <w:rsid w:val="00B244B9"/>
    <w:rsid w:val="00B24E0B"/>
    <w:rsid w:val="00B26B52"/>
    <w:rsid w:val="00B26BEB"/>
    <w:rsid w:val="00B305CD"/>
    <w:rsid w:val="00B30C7A"/>
    <w:rsid w:val="00B3144C"/>
    <w:rsid w:val="00B31840"/>
    <w:rsid w:val="00B3212C"/>
    <w:rsid w:val="00B37B5A"/>
    <w:rsid w:val="00B4153C"/>
    <w:rsid w:val="00B41B54"/>
    <w:rsid w:val="00B430B5"/>
    <w:rsid w:val="00B43F6F"/>
    <w:rsid w:val="00B451CA"/>
    <w:rsid w:val="00B5180A"/>
    <w:rsid w:val="00B51882"/>
    <w:rsid w:val="00B51AD7"/>
    <w:rsid w:val="00B52C87"/>
    <w:rsid w:val="00B52F65"/>
    <w:rsid w:val="00B614E6"/>
    <w:rsid w:val="00B62013"/>
    <w:rsid w:val="00B63AC3"/>
    <w:rsid w:val="00B6627B"/>
    <w:rsid w:val="00B70299"/>
    <w:rsid w:val="00B71451"/>
    <w:rsid w:val="00B71996"/>
    <w:rsid w:val="00B73534"/>
    <w:rsid w:val="00B75FD0"/>
    <w:rsid w:val="00B76E15"/>
    <w:rsid w:val="00B80B9B"/>
    <w:rsid w:val="00B815DD"/>
    <w:rsid w:val="00B8527D"/>
    <w:rsid w:val="00B865C1"/>
    <w:rsid w:val="00B86F56"/>
    <w:rsid w:val="00B9012E"/>
    <w:rsid w:val="00B90E79"/>
    <w:rsid w:val="00B92CD7"/>
    <w:rsid w:val="00B93296"/>
    <w:rsid w:val="00B93546"/>
    <w:rsid w:val="00B97C9B"/>
    <w:rsid w:val="00BA1E4A"/>
    <w:rsid w:val="00BB0DE3"/>
    <w:rsid w:val="00BB4B70"/>
    <w:rsid w:val="00BC1776"/>
    <w:rsid w:val="00BC345F"/>
    <w:rsid w:val="00BC3767"/>
    <w:rsid w:val="00BC3D2B"/>
    <w:rsid w:val="00BC6F8B"/>
    <w:rsid w:val="00BD079C"/>
    <w:rsid w:val="00BD1A23"/>
    <w:rsid w:val="00BD3496"/>
    <w:rsid w:val="00BD7313"/>
    <w:rsid w:val="00BE60FF"/>
    <w:rsid w:val="00BE66BA"/>
    <w:rsid w:val="00BE73AE"/>
    <w:rsid w:val="00BF0C97"/>
    <w:rsid w:val="00BF5B68"/>
    <w:rsid w:val="00BF6B81"/>
    <w:rsid w:val="00C04F8C"/>
    <w:rsid w:val="00C061A8"/>
    <w:rsid w:val="00C1096B"/>
    <w:rsid w:val="00C12779"/>
    <w:rsid w:val="00C12B27"/>
    <w:rsid w:val="00C13BAC"/>
    <w:rsid w:val="00C14B25"/>
    <w:rsid w:val="00C16B28"/>
    <w:rsid w:val="00C23D49"/>
    <w:rsid w:val="00C2435A"/>
    <w:rsid w:val="00C25DD3"/>
    <w:rsid w:val="00C30C8A"/>
    <w:rsid w:val="00C31E90"/>
    <w:rsid w:val="00C33EB7"/>
    <w:rsid w:val="00C36603"/>
    <w:rsid w:val="00C4057F"/>
    <w:rsid w:val="00C410E1"/>
    <w:rsid w:val="00C43D79"/>
    <w:rsid w:val="00C451B3"/>
    <w:rsid w:val="00C45C95"/>
    <w:rsid w:val="00C52234"/>
    <w:rsid w:val="00C539E3"/>
    <w:rsid w:val="00C53F8B"/>
    <w:rsid w:val="00C56BD9"/>
    <w:rsid w:val="00C577B4"/>
    <w:rsid w:val="00C60B2D"/>
    <w:rsid w:val="00C60DC2"/>
    <w:rsid w:val="00C610B3"/>
    <w:rsid w:val="00C656F8"/>
    <w:rsid w:val="00C65AB1"/>
    <w:rsid w:val="00C67BCF"/>
    <w:rsid w:val="00C71303"/>
    <w:rsid w:val="00C74327"/>
    <w:rsid w:val="00C7455E"/>
    <w:rsid w:val="00C75C03"/>
    <w:rsid w:val="00C77127"/>
    <w:rsid w:val="00C8264B"/>
    <w:rsid w:val="00C834A5"/>
    <w:rsid w:val="00C87066"/>
    <w:rsid w:val="00C91F45"/>
    <w:rsid w:val="00C97773"/>
    <w:rsid w:val="00CA1F13"/>
    <w:rsid w:val="00CA3594"/>
    <w:rsid w:val="00CB319B"/>
    <w:rsid w:val="00CB347D"/>
    <w:rsid w:val="00CB38C8"/>
    <w:rsid w:val="00CB3D3A"/>
    <w:rsid w:val="00CB3F72"/>
    <w:rsid w:val="00CC4A5E"/>
    <w:rsid w:val="00CC7BA6"/>
    <w:rsid w:val="00CD42DA"/>
    <w:rsid w:val="00CD4989"/>
    <w:rsid w:val="00CE02F0"/>
    <w:rsid w:val="00CE0445"/>
    <w:rsid w:val="00CE1435"/>
    <w:rsid w:val="00CE156D"/>
    <w:rsid w:val="00CE34CE"/>
    <w:rsid w:val="00CE5756"/>
    <w:rsid w:val="00CF1B4D"/>
    <w:rsid w:val="00CF30A1"/>
    <w:rsid w:val="00D0064F"/>
    <w:rsid w:val="00D01499"/>
    <w:rsid w:val="00D03605"/>
    <w:rsid w:val="00D03BC8"/>
    <w:rsid w:val="00D05457"/>
    <w:rsid w:val="00D1002F"/>
    <w:rsid w:val="00D15078"/>
    <w:rsid w:val="00D15F29"/>
    <w:rsid w:val="00D16B1D"/>
    <w:rsid w:val="00D20BBD"/>
    <w:rsid w:val="00D20D17"/>
    <w:rsid w:val="00D2111F"/>
    <w:rsid w:val="00D23922"/>
    <w:rsid w:val="00D23F89"/>
    <w:rsid w:val="00D25623"/>
    <w:rsid w:val="00D27467"/>
    <w:rsid w:val="00D30A69"/>
    <w:rsid w:val="00D30FCB"/>
    <w:rsid w:val="00D33C45"/>
    <w:rsid w:val="00D34CDD"/>
    <w:rsid w:val="00D36633"/>
    <w:rsid w:val="00D403E6"/>
    <w:rsid w:val="00D41E0C"/>
    <w:rsid w:val="00D42323"/>
    <w:rsid w:val="00D4404B"/>
    <w:rsid w:val="00D448AC"/>
    <w:rsid w:val="00D45213"/>
    <w:rsid w:val="00D46EE1"/>
    <w:rsid w:val="00D50133"/>
    <w:rsid w:val="00D53B81"/>
    <w:rsid w:val="00D54570"/>
    <w:rsid w:val="00D6145E"/>
    <w:rsid w:val="00D63EF8"/>
    <w:rsid w:val="00D65A44"/>
    <w:rsid w:val="00D74ED4"/>
    <w:rsid w:val="00D756A1"/>
    <w:rsid w:val="00D75848"/>
    <w:rsid w:val="00D76C7D"/>
    <w:rsid w:val="00D85814"/>
    <w:rsid w:val="00D91DBA"/>
    <w:rsid w:val="00D921E9"/>
    <w:rsid w:val="00D96A38"/>
    <w:rsid w:val="00DA141E"/>
    <w:rsid w:val="00DB0CE3"/>
    <w:rsid w:val="00DB5CCB"/>
    <w:rsid w:val="00DC1A0E"/>
    <w:rsid w:val="00DC2EBE"/>
    <w:rsid w:val="00DC3B5B"/>
    <w:rsid w:val="00DD3BCB"/>
    <w:rsid w:val="00DD469B"/>
    <w:rsid w:val="00DD47BB"/>
    <w:rsid w:val="00DD6733"/>
    <w:rsid w:val="00DE0122"/>
    <w:rsid w:val="00DE12F8"/>
    <w:rsid w:val="00DE168A"/>
    <w:rsid w:val="00DE2B26"/>
    <w:rsid w:val="00DE5003"/>
    <w:rsid w:val="00DE5808"/>
    <w:rsid w:val="00DE6872"/>
    <w:rsid w:val="00DE6E24"/>
    <w:rsid w:val="00DF0425"/>
    <w:rsid w:val="00DF0DC9"/>
    <w:rsid w:val="00DF27C4"/>
    <w:rsid w:val="00DF58F2"/>
    <w:rsid w:val="00DF6103"/>
    <w:rsid w:val="00E02F3E"/>
    <w:rsid w:val="00E16D5A"/>
    <w:rsid w:val="00E2091E"/>
    <w:rsid w:val="00E22C34"/>
    <w:rsid w:val="00E258FB"/>
    <w:rsid w:val="00E27ADA"/>
    <w:rsid w:val="00E27F93"/>
    <w:rsid w:val="00E3003C"/>
    <w:rsid w:val="00E301C4"/>
    <w:rsid w:val="00E31EF3"/>
    <w:rsid w:val="00E41DE9"/>
    <w:rsid w:val="00E46FD1"/>
    <w:rsid w:val="00E5346A"/>
    <w:rsid w:val="00E61043"/>
    <w:rsid w:val="00E67555"/>
    <w:rsid w:val="00E71BA6"/>
    <w:rsid w:val="00E7632E"/>
    <w:rsid w:val="00E817B1"/>
    <w:rsid w:val="00E86AEF"/>
    <w:rsid w:val="00E9081A"/>
    <w:rsid w:val="00E92B5E"/>
    <w:rsid w:val="00E95922"/>
    <w:rsid w:val="00E95CF6"/>
    <w:rsid w:val="00E97349"/>
    <w:rsid w:val="00EA32B7"/>
    <w:rsid w:val="00EA355A"/>
    <w:rsid w:val="00EA3D7E"/>
    <w:rsid w:val="00EB148D"/>
    <w:rsid w:val="00EB2004"/>
    <w:rsid w:val="00EC4C17"/>
    <w:rsid w:val="00ED0BA5"/>
    <w:rsid w:val="00ED1018"/>
    <w:rsid w:val="00ED1D35"/>
    <w:rsid w:val="00ED24B2"/>
    <w:rsid w:val="00ED394E"/>
    <w:rsid w:val="00ED6A32"/>
    <w:rsid w:val="00ED713B"/>
    <w:rsid w:val="00EE01A4"/>
    <w:rsid w:val="00EE1E79"/>
    <w:rsid w:val="00EE2F6D"/>
    <w:rsid w:val="00EE38E0"/>
    <w:rsid w:val="00EE52D6"/>
    <w:rsid w:val="00EE6014"/>
    <w:rsid w:val="00EF0BE1"/>
    <w:rsid w:val="00EF2A83"/>
    <w:rsid w:val="00EF4227"/>
    <w:rsid w:val="00EF4277"/>
    <w:rsid w:val="00EF73DE"/>
    <w:rsid w:val="00F00AFB"/>
    <w:rsid w:val="00F01F78"/>
    <w:rsid w:val="00F02642"/>
    <w:rsid w:val="00F043FE"/>
    <w:rsid w:val="00F07B95"/>
    <w:rsid w:val="00F11349"/>
    <w:rsid w:val="00F12EFD"/>
    <w:rsid w:val="00F1467A"/>
    <w:rsid w:val="00F154EC"/>
    <w:rsid w:val="00F201ED"/>
    <w:rsid w:val="00F2024A"/>
    <w:rsid w:val="00F22343"/>
    <w:rsid w:val="00F24FAD"/>
    <w:rsid w:val="00F32C6B"/>
    <w:rsid w:val="00F37826"/>
    <w:rsid w:val="00F37E01"/>
    <w:rsid w:val="00F54A9E"/>
    <w:rsid w:val="00F56D10"/>
    <w:rsid w:val="00F60E59"/>
    <w:rsid w:val="00F64BBD"/>
    <w:rsid w:val="00F65928"/>
    <w:rsid w:val="00F6698B"/>
    <w:rsid w:val="00F71160"/>
    <w:rsid w:val="00F72926"/>
    <w:rsid w:val="00F7399A"/>
    <w:rsid w:val="00F75AA8"/>
    <w:rsid w:val="00F75C7E"/>
    <w:rsid w:val="00F76DB3"/>
    <w:rsid w:val="00F77197"/>
    <w:rsid w:val="00F81147"/>
    <w:rsid w:val="00F81520"/>
    <w:rsid w:val="00F87F60"/>
    <w:rsid w:val="00F9304C"/>
    <w:rsid w:val="00F93260"/>
    <w:rsid w:val="00FA0743"/>
    <w:rsid w:val="00FA0A07"/>
    <w:rsid w:val="00FA1480"/>
    <w:rsid w:val="00FA26B2"/>
    <w:rsid w:val="00FA619F"/>
    <w:rsid w:val="00FA664A"/>
    <w:rsid w:val="00FA6A19"/>
    <w:rsid w:val="00FA6F2F"/>
    <w:rsid w:val="00FB0802"/>
    <w:rsid w:val="00FB2C29"/>
    <w:rsid w:val="00FB4C36"/>
    <w:rsid w:val="00FB6232"/>
    <w:rsid w:val="00FB63DC"/>
    <w:rsid w:val="00FC1FDF"/>
    <w:rsid w:val="00FC4BE2"/>
    <w:rsid w:val="00FC4DE7"/>
    <w:rsid w:val="00FC6F58"/>
    <w:rsid w:val="00FD2B5A"/>
    <w:rsid w:val="00FD2F54"/>
    <w:rsid w:val="00FD409E"/>
    <w:rsid w:val="00FD46F5"/>
    <w:rsid w:val="00FD59B8"/>
    <w:rsid w:val="00FD701B"/>
    <w:rsid w:val="00FE2BF2"/>
    <w:rsid w:val="00FF2B6A"/>
    <w:rsid w:val="00FF5B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F5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ms Rmn" w:hAnsi="Tms Rmn"/>
      <w:sz w:val="24"/>
    </w:rPr>
  </w:style>
  <w:style w:type="paragraph" w:styleId="Heading1">
    <w:name w:val="heading 1"/>
    <w:basedOn w:val="Normal"/>
    <w:next w:val="Normal"/>
    <w:qFormat/>
    <w:rsid w:val="00457E4A"/>
    <w:pPr>
      <w:keepNext/>
      <w:outlineLvl w:val="0"/>
    </w:pPr>
    <w:rPr>
      <w:rFonts w:ascii="Times New Roman" w:hAnsi="Times New Roman"/>
      <w:b/>
      <w:bCs/>
      <w:szCs w:val="24"/>
      <w:lang w:val="en-GB" w:eastAsia="en-US"/>
    </w:rPr>
  </w:style>
  <w:style w:type="paragraph" w:styleId="Heading3">
    <w:name w:val="heading 3"/>
    <w:basedOn w:val="Normal"/>
    <w:next w:val="Normal"/>
    <w:link w:val="Heading3Char"/>
    <w:uiPriority w:val="9"/>
    <w:semiHidden/>
    <w:unhideWhenUsed/>
    <w:qFormat/>
    <w:rsid w:val="007B0AF8"/>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1358A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para">
    <w:name w:val="numberpara"/>
    <w:basedOn w:val="Footer"/>
    <w:pPr>
      <w:tabs>
        <w:tab w:val="clear" w:pos="4153"/>
        <w:tab w:val="clear" w:pos="8306"/>
        <w:tab w:val="left" w:pos="360"/>
        <w:tab w:val="left" w:pos="567"/>
      </w:tabs>
      <w:spacing w:before="120" w:line="360" w:lineRule="auto"/>
    </w:pPr>
    <w:rPr>
      <w:rFonts w:ascii="Times New Roman" w:hAnsi="Times New Roman"/>
      <w:lang w:val="en-US"/>
    </w:rPr>
  </w:style>
  <w:style w:type="paragraph" w:customStyle="1" w:styleId="legcohead3">
    <w:name w:val="legcohead3"/>
    <w:basedOn w:val="Normal"/>
    <w:pPr>
      <w:keepNext/>
    </w:pPr>
    <w:rPr>
      <w:rFonts w:ascii="Times New Roman" w:hAnsi="Times New Roman"/>
      <w:b/>
      <w:kern w:val="28"/>
      <w:lang w:val="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rsid w:val="00457E4A"/>
  </w:style>
  <w:style w:type="paragraph" w:customStyle="1" w:styleId="a">
    <w:basedOn w:val="Normal"/>
    <w:rsid w:val="00457E4A"/>
    <w:pPr>
      <w:spacing w:after="160" w:line="240" w:lineRule="exact"/>
    </w:pPr>
    <w:rPr>
      <w:rFonts w:ascii="Verdana" w:hAnsi="Verdana" w:cs="Verdana"/>
      <w:sz w:val="20"/>
      <w:lang w:val="en-US" w:eastAsia="en-US"/>
    </w:rPr>
  </w:style>
  <w:style w:type="paragraph" w:styleId="BalloonText">
    <w:name w:val="Balloon Text"/>
    <w:basedOn w:val="Normal"/>
    <w:semiHidden/>
    <w:rsid w:val="00FD46F5"/>
    <w:rPr>
      <w:rFonts w:ascii="Tahoma" w:hAnsi="Tahoma" w:cs="Tahoma"/>
      <w:sz w:val="16"/>
      <w:szCs w:val="16"/>
    </w:rPr>
  </w:style>
  <w:style w:type="paragraph" w:customStyle="1" w:styleId="CharCharCharChar">
    <w:name w:val="Char Char Char Char"/>
    <w:basedOn w:val="Normal"/>
    <w:rsid w:val="00F56D10"/>
    <w:rPr>
      <w:rFonts w:ascii="Arial" w:hAnsi="Arial" w:cs="Arial"/>
      <w:sz w:val="22"/>
      <w:szCs w:val="22"/>
      <w:lang w:eastAsia="en-US"/>
    </w:rPr>
  </w:style>
  <w:style w:type="paragraph" w:customStyle="1" w:styleId="CharCharChar">
    <w:name w:val="Char Char Char"/>
    <w:basedOn w:val="Normal"/>
    <w:rsid w:val="00C60DC2"/>
    <w:pPr>
      <w:spacing w:after="160" w:line="240" w:lineRule="exact"/>
    </w:pPr>
    <w:rPr>
      <w:rFonts w:ascii="Verdana" w:hAnsi="Verdana" w:cs="Verdana"/>
      <w:sz w:val="20"/>
      <w:lang w:val="en-US" w:eastAsia="en-US"/>
    </w:rPr>
  </w:style>
  <w:style w:type="table" w:styleId="TableGrid">
    <w:name w:val="Table Grid"/>
    <w:basedOn w:val="TableNormal"/>
    <w:rsid w:val="00C60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C74327"/>
    <w:rPr>
      <w:sz w:val="16"/>
      <w:szCs w:val="16"/>
    </w:rPr>
  </w:style>
  <w:style w:type="paragraph" w:styleId="CommentText">
    <w:name w:val="annotation text"/>
    <w:basedOn w:val="Normal"/>
    <w:link w:val="CommentTextChar"/>
    <w:uiPriority w:val="99"/>
    <w:rsid w:val="00C74327"/>
    <w:rPr>
      <w:sz w:val="20"/>
    </w:rPr>
  </w:style>
  <w:style w:type="paragraph" w:styleId="CommentSubject">
    <w:name w:val="annotation subject"/>
    <w:basedOn w:val="CommentText"/>
    <w:next w:val="CommentText"/>
    <w:semiHidden/>
    <w:rsid w:val="00C74327"/>
    <w:rPr>
      <w:b/>
      <w:bCs/>
    </w:rPr>
  </w:style>
  <w:style w:type="character" w:styleId="Hyperlink">
    <w:name w:val="Hyperlink"/>
    <w:rsid w:val="00E301C4"/>
    <w:rPr>
      <w:color w:val="0000FF"/>
      <w:u w:val="single"/>
    </w:rPr>
  </w:style>
  <w:style w:type="paragraph" w:customStyle="1" w:styleId="subsection">
    <w:name w:val="subsection"/>
    <w:aliases w:val="ss"/>
    <w:rsid w:val="00B16CCB"/>
    <w:pPr>
      <w:tabs>
        <w:tab w:val="right" w:pos="1021"/>
      </w:tabs>
      <w:spacing w:before="180"/>
      <w:ind w:left="1134" w:hanging="1134"/>
    </w:pPr>
    <w:rPr>
      <w:sz w:val="22"/>
      <w:szCs w:val="24"/>
    </w:rPr>
  </w:style>
  <w:style w:type="paragraph" w:styleId="ListParagraph">
    <w:name w:val="List Paragraph"/>
    <w:basedOn w:val="Normal"/>
    <w:uiPriority w:val="34"/>
    <w:qFormat/>
    <w:rsid w:val="00D23F89"/>
    <w:pPr>
      <w:spacing w:after="120"/>
      <w:ind w:left="720"/>
    </w:pPr>
    <w:rPr>
      <w:rFonts w:ascii="Times New Roman" w:hAnsi="Times New Roman"/>
      <w:lang w:eastAsia="en-US"/>
    </w:rPr>
  </w:style>
  <w:style w:type="character" w:customStyle="1" w:styleId="Heading6Char">
    <w:name w:val="Heading 6 Char"/>
    <w:link w:val="Heading6"/>
    <w:uiPriority w:val="9"/>
    <w:semiHidden/>
    <w:rsid w:val="001358A2"/>
    <w:rPr>
      <w:rFonts w:ascii="Calibri" w:eastAsia="Times New Roman" w:hAnsi="Calibri" w:cs="Times New Roman"/>
      <w:b/>
      <w:bCs/>
      <w:sz w:val="22"/>
      <w:szCs w:val="22"/>
    </w:rPr>
  </w:style>
  <w:style w:type="paragraph" w:styleId="NormalWeb">
    <w:name w:val="Normal (Web)"/>
    <w:basedOn w:val="Normal"/>
    <w:uiPriority w:val="99"/>
    <w:unhideWhenUsed/>
    <w:rsid w:val="001358A2"/>
    <w:pPr>
      <w:spacing w:before="100" w:beforeAutospacing="1" w:after="100" w:afterAutospacing="1"/>
    </w:pPr>
    <w:rPr>
      <w:rFonts w:ascii="Times New Roman" w:hAnsi="Times New Roman"/>
      <w:szCs w:val="24"/>
    </w:rPr>
  </w:style>
  <w:style w:type="character" w:styleId="Strong">
    <w:name w:val="Strong"/>
    <w:uiPriority w:val="22"/>
    <w:qFormat/>
    <w:rsid w:val="001358A2"/>
    <w:rPr>
      <w:b/>
      <w:bCs/>
    </w:rPr>
  </w:style>
  <w:style w:type="character" w:styleId="Emphasis">
    <w:name w:val="Emphasis"/>
    <w:uiPriority w:val="20"/>
    <w:qFormat/>
    <w:rsid w:val="001358A2"/>
    <w:rPr>
      <w:b/>
      <w:bCs/>
      <w:i/>
      <w:iCs/>
      <w:spacing w:val="10"/>
      <w:bdr w:val="none" w:sz="0" w:space="0" w:color="auto"/>
      <w:shd w:val="clear" w:color="auto" w:fill="auto"/>
    </w:rPr>
  </w:style>
  <w:style w:type="character" w:customStyle="1" w:styleId="pubtitle">
    <w:name w:val="pubtitle"/>
    <w:basedOn w:val="DefaultParagraphFont"/>
    <w:rsid w:val="001358A2"/>
  </w:style>
  <w:style w:type="paragraph" w:styleId="FootnoteText">
    <w:name w:val="footnote text"/>
    <w:basedOn w:val="Normal"/>
    <w:link w:val="FootnoteTextChar"/>
    <w:uiPriority w:val="99"/>
    <w:unhideWhenUsed/>
    <w:rsid w:val="001358A2"/>
    <w:rPr>
      <w:rFonts w:ascii="Cambria" w:eastAsia="Calibri" w:hAnsi="Cambria"/>
      <w:sz w:val="20"/>
      <w:lang w:eastAsia="en-US"/>
    </w:rPr>
  </w:style>
  <w:style w:type="character" w:customStyle="1" w:styleId="FootnoteTextChar">
    <w:name w:val="Footnote Text Char"/>
    <w:link w:val="FootnoteText"/>
    <w:uiPriority w:val="99"/>
    <w:rsid w:val="001358A2"/>
    <w:rPr>
      <w:rFonts w:ascii="Cambria" w:eastAsia="Calibri" w:hAnsi="Cambria" w:cs="Times New Roman"/>
      <w:lang w:eastAsia="en-US"/>
    </w:rPr>
  </w:style>
  <w:style w:type="paragraph" w:styleId="EndnoteText">
    <w:name w:val="endnote text"/>
    <w:basedOn w:val="Normal"/>
    <w:link w:val="EndnoteTextChar"/>
    <w:uiPriority w:val="99"/>
    <w:semiHidden/>
    <w:unhideWhenUsed/>
    <w:rsid w:val="001358A2"/>
    <w:rPr>
      <w:rFonts w:ascii="Cambria" w:eastAsia="Calibri" w:hAnsi="Cambria"/>
      <w:sz w:val="20"/>
      <w:lang w:eastAsia="en-US"/>
    </w:rPr>
  </w:style>
  <w:style w:type="character" w:customStyle="1" w:styleId="EndnoteTextChar">
    <w:name w:val="Endnote Text Char"/>
    <w:link w:val="EndnoteText"/>
    <w:uiPriority w:val="99"/>
    <w:semiHidden/>
    <w:rsid w:val="001358A2"/>
    <w:rPr>
      <w:rFonts w:ascii="Cambria" w:eastAsia="Calibri" w:hAnsi="Cambria" w:cs="Times New Roman"/>
      <w:lang w:eastAsia="en-US"/>
    </w:rPr>
  </w:style>
  <w:style w:type="character" w:styleId="EndnoteReference">
    <w:name w:val="endnote reference"/>
    <w:uiPriority w:val="99"/>
    <w:semiHidden/>
    <w:unhideWhenUsed/>
    <w:rsid w:val="001358A2"/>
    <w:rPr>
      <w:vertAlign w:val="superscript"/>
    </w:rPr>
  </w:style>
  <w:style w:type="paragraph" w:styleId="Revision">
    <w:name w:val="Revision"/>
    <w:hidden/>
    <w:uiPriority w:val="99"/>
    <w:semiHidden/>
    <w:rsid w:val="0005751A"/>
    <w:rPr>
      <w:rFonts w:ascii="Tms Rmn" w:hAnsi="Tms Rmn"/>
      <w:sz w:val="24"/>
    </w:rPr>
  </w:style>
  <w:style w:type="character" w:styleId="FollowedHyperlink">
    <w:name w:val="FollowedHyperlink"/>
    <w:uiPriority w:val="99"/>
    <w:semiHidden/>
    <w:unhideWhenUsed/>
    <w:rsid w:val="00C656F8"/>
    <w:rPr>
      <w:color w:val="800080"/>
      <w:u w:val="single"/>
    </w:rPr>
  </w:style>
  <w:style w:type="character" w:customStyle="1" w:styleId="apple-converted-space">
    <w:name w:val="apple-converted-space"/>
    <w:basedOn w:val="DefaultParagraphFont"/>
    <w:rsid w:val="00234EB4"/>
  </w:style>
  <w:style w:type="character" w:customStyle="1" w:styleId="Heading3Char">
    <w:name w:val="Heading 3 Char"/>
    <w:basedOn w:val="DefaultParagraphFont"/>
    <w:link w:val="Heading3"/>
    <w:uiPriority w:val="9"/>
    <w:semiHidden/>
    <w:rsid w:val="007B0AF8"/>
    <w:rPr>
      <w:rFonts w:asciiTheme="majorHAnsi" w:eastAsiaTheme="majorEastAsia" w:hAnsiTheme="majorHAnsi" w:cstheme="majorBidi"/>
      <w:color w:val="243F60" w:themeColor="accent1" w:themeShade="7F"/>
      <w:sz w:val="24"/>
      <w:szCs w:val="24"/>
    </w:rPr>
  </w:style>
  <w:style w:type="paragraph" w:customStyle="1" w:styleId="Definition">
    <w:name w:val="Definition"/>
    <w:aliases w:val="dd"/>
    <w:basedOn w:val="Normal"/>
    <w:rsid w:val="007B0AF8"/>
    <w:pPr>
      <w:autoSpaceDE w:val="0"/>
      <w:autoSpaceDN w:val="0"/>
      <w:spacing w:before="180" w:line="260" w:lineRule="atLeast"/>
      <w:ind w:left="1134"/>
    </w:pPr>
    <w:rPr>
      <w:rFonts w:ascii="Times New Roman" w:hAnsi="Times New Roman"/>
      <w:sz w:val="22"/>
      <w:szCs w:val="22"/>
    </w:rPr>
  </w:style>
  <w:style w:type="paragraph" w:customStyle="1" w:styleId="paragraph">
    <w:name w:val="paragraph"/>
    <w:aliases w:val="a"/>
    <w:basedOn w:val="Normal"/>
    <w:link w:val="paragraphChar"/>
    <w:rsid w:val="007B0AF8"/>
    <w:pPr>
      <w:tabs>
        <w:tab w:val="right" w:pos="1531"/>
      </w:tabs>
      <w:spacing w:before="40"/>
      <w:ind w:left="1644" w:hanging="1644"/>
    </w:pPr>
    <w:rPr>
      <w:rFonts w:ascii="Times New Roman" w:hAnsi="Times New Roman"/>
      <w:sz w:val="22"/>
    </w:rPr>
  </w:style>
  <w:style w:type="character" w:customStyle="1" w:styleId="paragraphChar">
    <w:name w:val="paragraph Char"/>
    <w:aliases w:val="a Char"/>
    <w:basedOn w:val="DefaultParagraphFont"/>
    <w:link w:val="paragraph"/>
    <w:rsid w:val="007B0AF8"/>
    <w:rPr>
      <w:sz w:val="22"/>
    </w:rPr>
  </w:style>
  <w:style w:type="character" w:customStyle="1" w:styleId="CommentTextChar">
    <w:name w:val="Comment Text Char"/>
    <w:basedOn w:val="DefaultParagraphFont"/>
    <w:link w:val="CommentText"/>
    <w:uiPriority w:val="99"/>
    <w:rsid w:val="007B0AF8"/>
    <w:rPr>
      <w:rFonts w:ascii="Tms Rmn" w:hAnsi="Tms Rmn"/>
    </w:rPr>
  </w:style>
  <w:style w:type="paragraph" w:customStyle="1" w:styleId="notetext">
    <w:name w:val="note(text)"/>
    <w:aliases w:val="n"/>
    <w:basedOn w:val="Normal"/>
    <w:link w:val="notetextChar"/>
    <w:rsid w:val="001C07DF"/>
    <w:pPr>
      <w:spacing w:before="122" w:line="198" w:lineRule="exact"/>
      <w:ind w:left="1985" w:hanging="851"/>
    </w:pPr>
    <w:rPr>
      <w:rFonts w:ascii="Times New Roman" w:hAnsi="Times New Roman"/>
      <w:sz w:val="18"/>
    </w:rPr>
  </w:style>
  <w:style w:type="character" w:customStyle="1" w:styleId="notetextChar">
    <w:name w:val="note(text) Char"/>
    <w:aliases w:val="n Char"/>
    <w:basedOn w:val="DefaultParagraphFont"/>
    <w:link w:val="notetext"/>
    <w:rsid w:val="001C07DF"/>
    <w:rPr>
      <w:sz w:val="18"/>
    </w:rPr>
  </w:style>
  <w:style w:type="paragraph" w:styleId="ListBullet">
    <w:name w:val="List Bullet"/>
    <w:basedOn w:val="Normal"/>
    <w:uiPriority w:val="99"/>
    <w:qFormat/>
    <w:rsid w:val="003C5CB7"/>
    <w:pPr>
      <w:numPr>
        <w:numId w:val="23"/>
      </w:numPr>
      <w:tabs>
        <w:tab w:val="left" w:pos="397"/>
      </w:tabs>
      <w:spacing w:after="120"/>
    </w:pPr>
    <w:rPr>
      <w:rFonts w:ascii="Times New Roman" w:hAnsi="Times New Roman"/>
      <w:lang w:eastAsia="en-US"/>
    </w:rPr>
  </w:style>
  <w:style w:type="character" w:customStyle="1" w:styleId="FooterChar">
    <w:name w:val="Footer Char"/>
    <w:basedOn w:val="DefaultParagraphFont"/>
    <w:link w:val="Footer"/>
    <w:uiPriority w:val="99"/>
    <w:rsid w:val="007B007B"/>
    <w:rPr>
      <w:rFonts w:ascii="Tms Rmn" w:hAnsi="Tms Rm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6938">
      <w:bodyDiv w:val="1"/>
      <w:marLeft w:val="0"/>
      <w:marRight w:val="0"/>
      <w:marTop w:val="0"/>
      <w:marBottom w:val="0"/>
      <w:divBdr>
        <w:top w:val="none" w:sz="0" w:space="0" w:color="auto"/>
        <w:left w:val="none" w:sz="0" w:space="0" w:color="auto"/>
        <w:bottom w:val="none" w:sz="0" w:space="0" w:color="auto"/>
        <w:right w:val="none" w:sz="0" w:space="0" w:color="auto"/>
      </w:divBdr>
    </w:div>
    <w:div w:id="626740452">
      <w:bodyDiv w:val="1"/>
      <w:marLeft w:val="0"/>
      <w:marRight w:val="0"/>
      <w:marTop w:val="0"/>
      <w:marBottom w:val="0"/>
      <w:divBdr>
        <w:top w:val="none" w:sz="0" w:space="0" w:color="auto"/>
        <w:left w:val="none" w:sz="0" w:space="0" w:color="auto"/>
        <w:bottom w:val="none" w:sz="0" w:space="0" w:color="auto"/>
        <w:right w:val="none" w:sz="0" w:space="0" w:color="auto"/>
      </w:divBdr>
      <w:divsChild>
        <w:div w:id="709963283">
          <w:marLeft w:val="0"/>
          <w:marRight w:val="0"/>
          <w:marTop w:val="0"/>
          <w:marBottom w:val="0"/>
          <w:divBdr>
            <w:top w:val="none" w:sz="0" w:space="0" w:color="auto"/>
            <w:left w:val="none" w:sz="0" w:space="0" w:color="auto"/>
            <w:bottom w:val="none" w:sz="0" w:space="0" w:color="auto"/>
            <w:right w:val="none" w:sz="0" w:space="0" w:color="auto"/>
          </w:divBdr>
          <w:divsChild>
            <w:div w:id="15972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8579">
      <w:bodyDiv w:val="1"/>
      <w:marLeft w:val="0"/>
      <w:marRight w:val="0"/>
      <w:marTop w:val="0"/>
      <w:marBottom w:val="0"/>
      <w:divBdr>
        <w:top w:val="none" w:sz="0" w:space="0" w:color="auto"/>
        <w:left w:val="none" w:sz="0" w:space="0" w:color="auto"/>
        <w:bottom w:val="none" w:sz="0" w:space="0" w:color="auto"/>
        <w:right w:val="none" w:sz="0" w:space="0" w:color="auto"/>
      </w:divBdr>
    </w:div>
    <w:div w:id="1071267576">
      <w:bodyDiv w:val="1"/>
      <w:marLeft w:val="0"/>
      <w:marRight w:val="0"/>
      <w:marTop w:val="0"/>
      <w:marBottom w:val="0"/>
      <w:divBdr>
        <w:top w:val="none" w:sz="0" w:space="0" w:color="auto"/>
        <w:left w:val="none" w:sz="0" w:space="0" w:color="auto"/>
        <w:bottom w:val="none" w:sz="0" w:space="0" w:color="auto"/>
        <w:right w:val="none" w:sz="0" w:space="0" w:color="auto"/>
      </w:divBdr>
    </w:div>
    <w:div w:id="1077359567">
      <w:bodyDiv w:val="1"/>
      <w:marLeft w:val="0"/>
      <w:marRight w:val="0"/>
      <w:marTop w:val="0"/>
      <w:marBottom w:val="0"/>
      <w:divBdr>
        <w:top w:val="none" w:sz="0" w:space="0" w:color="auto"/>
        <w:left w:val="none" w:sz="0" w:space="0" w:color="auto"/>
        <w:bottom w:val="none" w:sz="0" w:space="0" w:color="auto"/>
        <w:right w:val="none" w:sz="0" w:space="0" w:color="auto"/>
      </w:divBdr>
      <w:divsChild>
        <w:div w:id="1181315382">
          <w:marLeft w:val="0"/>
          <w:marRight w:val="0"/>
          <w:marTop w:val="0"/>
          <w:marBottom w:val="0"/>
          <w:divBdr>
            <w:top w:val="none" w:sz="0" w:space="0" w:color="auto"/>
            <w:left w:val="none" w:sz="0" w:space="0" w:color="auto"/>
            <w:bottom w:val="none" w:sz="0" w:space="0" w:color="auto"/>
            <w:right w:val="none" w:sz="0" w:space="0" w:color="auto"/>
          </w:divBdr>
          <w:divsChild>
            <w:div w:id="2077313912">
              <w:marLeft w:val="0"/>
              <w:marRight w:val="0"/>
              <w:marTop w:val="0"/>
              <w:marBottom w:val="0"/>
              <w:divBdr>
                <w:top w:val="none" w:sz="0" w:space="0" w:color="auto"/>
                <w:left w:val="none" w:sz="0" w:space="0" w:color="auto"/>
                <w:bottom w:val="none" w:sz="0" w:space="0" w:color="auto"/>
                <w:right w:val="none" w:sz="0" w:space="0" w:color="auto"/>
              </w:divBdr>
              <w:divsChild>
                <w:div w:id="179701437">
                  <w:marLeft w:val="0"/>
                  <w:marRight w:val="0"/>
                  <w:marTop w:val="0"/>
                  <w:marBottom w:val="0"/>
                  <w:divBdr>
                    <w:top w:val="none" w:sz="0" w:space="0" w:color="auto"/>
                    <w:left w:val="none" w:sz="0" w:space="0" w:color="auto"/>
                    <w:bottom w:val="none" w:sz="0" w:space="0" w:color="auto"/>
                    <w:right w:val="none" w:sz="0" w:space="0" w:color="auto"/>
                  </w:divBdr>
                  <w:divsChild>
                    <w:div w:id="926620891">
                      <w:marLeft w:val="0"/>
                      <w:marRight w:val="0"/>
                      <w:marTop w:val="0"/>
                      <w:marBottom w:val="0"/>
                      <w:divBdr>
                        <w:top w:val="none" w:sz="0" w:space="0" w:color="auto"/>
                        <w:left w:val="none" w:sz="0" w:space="0" w:color="auto"/>
                        <w:bottom w:val="none" w:sz="0" w:space="0" w:color="auto"/>
                        <w:right w:val="none" w:sz="0" w:space="0" w:color="auto"/>
                      </w:divBdr>
                      <w:divsChild>
                        <w:div w:id="46414093">
                          <w:marLeft w:val="0"/>
                          <w:marRight w:val="0"/>
                          <w:marTop w:val="0"/>
                          <w:marBottom w:val="0"/>
                          <w:divBdr>
                            <w:top w:val="none" w:sz="0" w:space="0" w:color="auto"/>
                            <w:left w:val="none" w:sz="0" w:space="0" w:color="auto"/>
                            <w:bottom w:val="none" w:sz="0" w:space="0" w:color="auto"/>
                            <w:right w:val="none" w:sz="0" w:space="0" w:color="auto"/>
                          </w:divBdr>
                          <w:divsChild>
                            <w:div w:id="1595553245">
                              <w:marLeft w:val="0"/>
                              <w:marRight w:val="0"/>
                              <w:marTop w:val="0"/>
                              <w:marBottom w:val="0"/>
                              <w:divBdr>
                                <w:top w:val="none" w:sz="0" w:space="0" w:color="auto"/>
                                <w:left w:val="none" w:sz="0" w:space="0" w:color="auto"/>
                                <w:bottom w:val="none" w:sz="0" w:space="0" w:color="auto"/>
                                <w:right w:val="none" w:sz="0" w:space="0" w:color="auto"/>
                              </w:divBdr>
                              <w:divsChild>
                                <w:div w:id="1164390709">
                                  <w:marLeft w:val="0"/>
                                  <w:marRight w:val="0"/>
                                  <w:marTop w:val="0"/>
                                  <w:marBottom w:val="0"/>
                                  <w:divBdr>
                                    <w:top w:val="none" w:sz="0" w:space="0" w:color="auto"/>
                                    <w:left w:val="none" w:sz="0" w:space="0" w:color="auto"/>
                                    <w:bottom w:val="none" w:sz="0" w:space="0" w:color="auto"/>
                                    <w:right w:val="none" w:sz="0" w:space="0" w:color="auto"/>
                                  </w:divBdr>
                                  <w:divsChild>
                                    <w:div w:id="450906602">
                                      <w:marLeft w:val="0"/>
                                      <w:marRight w:val="0"/>
                                      <w:marTop w:val="0"/>
                                      <w:marBottom w:val="0"/>
                                      <w:divBdr>
                                        <w:top w:val="none" w:sz="0" w:space="0" w:color="auto"/>
                                        <w:left w:val="none" w:sz="0" w:space="0" w:color="auto"/>
                                        <w:bottom w:val="none" w:sz="0" w:space="0" w:color="auto"/>
                                        <w:right w:val="none" w:sz="0" w:space="0" w:color="auto"/>
                                      </w:divBdr>
                                      <w:divsChild>
                                        <w:div w:id="917179617">
                                          <w:marLeft w:val="0"/>
                                          <w:marRight w:val="0"/>
                                          <w:marTop w:val="0"/>
                                          <w:marBottom w:val="0"/>
                                          <w:divBdr>
                                            <w:top w:val="none" w:sz="0" w:space="0" w:color="auto"/>
                                            <w:left w:val="none" w:sz="0" w:space="0" w:color="auto"/>
                                            <w:bottom w:val="none" w:sz="0" w:space="0" w:color="auto"/>
                                            <w:right w:val="none" w:sz="0" w:space="0" w:color="auto"/>
                                          </w:divBdr>
                                          <w:divsChild>
                                            <w:div w:id="1999918824">
                                              <w:marLeft w:val="0"/>
                                              <w:marRight w:val="0"/>
                                              <w:marTop w:val="0"/>
                                              <w:marBottom w:val="0"/>
                                              <w:divBdr>
                                                <w:top w:val="none" w:sz="0" w:space="0" w:color="auto"/>
                                                <w:left w:val="none" w:sz="0" w:space="0" w:color="auto"/>
                                                <w:bottom w:val="none" w:sz="0" w:space="0" w:color="auto"/>
                                                <w:right w:val="none" w:sz="0" w:space="0" w:color="auto"/>
                                              </w:divBdr>
                                              <w:divsChild>
                                                <w:div w:id="792215059">
                                                  <w:marLeft w:val="0"/>
                                                  <w:marRight w:val="0"/>
                                                  <w:marTop w:val="0"/>
                                                  <w:marBottom w:val="0"/>
                                                  <w:divBdr>
                                                    <w:top w:val="none" w:sz="0" w:space="0" w:color="auto"/>
                                                    <w:left w:val="none" w:sz="0" w:space="0" w:color="auto"/>
                                                    <w:bottom w:val="none" w:sz="0" w:space="0" w:color="auto"/>
                                                    <w:right w:val="none" w:sz="0" w:space="0" w:color="auto"/>
                                                  </w:divBdr>
                                                  <w:divsChild>
                                                    <w:div w:id="1540896503">
                                                      <w:marLeft w:val="0"/>
                                                      <w:marRight w:val="0"/>
                                                      <w:marTop w:val="0"/>
                                                      <w:marBottom w:val="0"/>
                                                      <w:divBdr>
                                                        <w:top w:val="none" w:sz="0" w:space="0" w:color="auto"/>
                                                        <w:left w:val="none" w:sz="0" w:space="0" w:color="auto"/>
                                                        <w:bottom w:val="none" w:sz="0" w:space="0" w:color="auto"/>
                                                        <w:right w:val="none" w:sz="0" w:space="0" w:color="auto"/>
                                                      </w:divBdr>
                                                      <w:divsChild>
                                                        <w:div w:id="2829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9447780">
      <w:bodyDiv w:val="1"/>
      <w:marLeft w:val="0"/>
      <w:marRight w:val="0"/>
      <w:marTop w:val="0"/>
      <w:marBottom w:val="0"/>
      <w:divBdr>
        <w:top w:val="none" w:sz="0" w:space="0" w:color="auto"/>
        <w:left w:val="none" w:sz="0" w:space="0" w:color="auto"/>
        <w:bottom w:val="none" w:sz="0" w:space="0" w:color="auto"/>
        <w:right w:val="none" w:sz="0" w:space="0" w:color="auto"/>
      </w:divBdr>
    </w:div>
    <w:div w:id="202925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0F8E9-F4CF-488A-B32F-1451ECE5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3279</Words>
  <Characters>19340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3</vt:lpstr>
    </vt:vector>
  </TitlesOfParts>
  <LinksUpToDate>false</LinksUpToDate>
  <CharactersWithSpaces>22574</CharactersWithSpaces>
  <SharedDoc>false</SharedDoc>
  <HLinks>
    <vt:vector size="24" baseType="variant">
      <vt:variant>
        <vt:i4>4587537</vt:i4>
      </vt:variant>
      <vt:variant>
        <vt:i4>9</vt:i4>
      </vt:variant>
      <vt:variant>
        <vt:i4>0</vt:i4>
      </vt:variant>
      <vt:variant>
        <vt:i4>5</vt:i4>
      </vt:variant>
      <vt:variant>
        <vt:lpwstr>http://www.tga.gov.au/newsroom/consult-otc-closed.htm</vt:lpwstr>
      </vt:variant>
      <vt:variant>
        <vt:lpwstr/>
      </vt:variant>
      <vt:variant>
        <vt:i4>1114116</vt:i4>
      </vt:variant>
      <vt:variant>
        <vt:i4>6</vt:i4>
      </vt:variant>
      <vt:variant>
        <vt:i4>0</vt:i4>
      </vt:variant>
      <vt:variant>
        <vt:i4>5</vt:i4>
      </vt:variant>
      <vt:variant>
        <vt:lpwstr>http://www.tga.gov.au/newsroom/consult-otc-cough-and-cold-120208.htm</vt:lpwstr>
      </vt:variant>
      <vt:variant>
        <vt:lpwstr/>
      </vt:variant>
      <vt:variant>
        <vt:i4>6357037</vt:i4>
      </vt:variant>
      <vt:variant>
        <vt:i4>3</vt:i4>
      </vt:variant>
      <vt:variant>
        <vt:i4>0</vt:i4>
      </vt:variant>
      <vt:variant>
        <vt:i4>5</vt:i4>
      </vt:variant>
      <vt:variant>
        <vt:lpwstr>http://www.tga.gov.au/</vt:lpwstr>
      </vt:variant>
      <vt:variant>
        <vt:lpwstr/>
      </vt:variant>
      <vt:variant>
        <vt:i4>4325401</vt:i4>
      </vt:variant>
      <vt:variant>
        <vt:i4>0</vt:i4>
      </vt:variant>
      <vt:variant>
        <vt:i4>0</vt:i4>
      </vt:variant>
      <vt:variant>
        <vt:i4>5</vt:i4>
      </vt:variant>
      <vt:variant>
        <vt:lpwstr>http://www.tga.gov.au/pdf/archive/consult-labelling-cough-cold-091022-review.pdf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
  <cp:lastModifiedBy/>
  <cp:revision>1</cp:revision>
  <cp:lastPrinted>2009-11-05T05:54:00Z</cp:lastPrinted>
  <dcterms:created xsi:type="dcterms:W3CDTF">2020-06-30T05:07:00Z</dcterms:created>
  <dcterms:modified xsi:type="dcterms:W3CDTF">2020-06-30T05:31:00Z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