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A069" w14:textId="77777777" w:rsidR="005E317F" w:rsidRPr="00F64CB1" w:rsidRDefault="005E317F" w:rsidP="005E317F">
      <w:pPr>
        <w:rPr>
          <w:sz w:val="28"/>
        </w:rPr>
      </w:pPr>
      <w:r w:rsidRPr="00F64CB1">
        <w:rPr>
          <w:noProof/>
          <w:lang w:eastAsia="en-AU"/>
        </w:rPr>
        <w:drawing>
          <wp:inline distT="0" distB="0" distL="0" distR="0" wp14:anchorId="4D62DB93" wp14:editId="648E77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A44D" w14:textId="77777777" w:rsidR="005E317F" w:rsidRPr="00F64CB1" w:rsidRDefault="005E317F" w:rsidP="005E317F">
      <w:pPr>
        <w:rPr>
          <w:sz w:val="19"/>
        </w:rPr>
      </w:pPr>
    </w:p>
    <w:p w14:paraId="2341F4BE" w14:textId="069F8A7B" w:rsidR="005E317F" w:rsidRPr="00F64CB1" w:rsidRDefault="00720A19" w:rsidP="005E317F">
      <w:pPr>
        <w:pStyle w:val="ShortT"/>
      </w:pPr>
      <w:r w:rsidRPr="00F64CB1">
        <w:t>Private Health Insurance Legislation</w:t>
      </w:r>
      <w:r w:rsidR="005E317F" w:rsidRPr="00F64CB1">
        <w:t xml:space="preserve"> Amendment </w:t>
      </w:r>
      <w:r w:rsidR="00413D90" w:rsidRPr="00F64CB1">
        <w:t xml:space="preserve">Rules </w:t>
      </w:r>
      <w:r w:rsidR="005E317F" w:rsidRPr="00F64CB1">
        <w:t>(</w:t>
      </w:r>
      <w:r w:rsidRPr="00F64CB1">
        <w:t>No. 4</w:t>
      </w:r>
      <w:r w:rsidR="005E317F" w:rsidRPr="00F64CB1">
        <w:t xml:space="preserve">) </w:t>
      </w:r>
      <w:r w:rsidRPr="00F64CB1">
        <w:t>2020</w:t>
      </w:r>
    </w:p>
    <w:p w14:paraId="3456DD8A" w14:textId="2BEA5BF1" w:rsidR="005E317F" w:rsidRPr="00F64CB1" w:rsidRDefault="005E317F" w:rsidP="005E317F">
      <w:pPr>
        <w:pStyle w:val="SignCoverPageStart"/>
        <w:spacing w:before="240"/>
        <w:ind w:right="91"/>
        <w:rPr>
          <w:szCs w:val="22"/>
        </w:rPr>
      </w:pPr>
      <w:r w:rsidRPr="00F64CB1">
        <w:rPr>
          <w:szCs w:val="22"/>
        </w:rPr>
        <w:t xml:space="preserve">I, </w:t>
      </w:r>
      <w:r w:rsidR="00192928" w:rsidRPr="00F64CB1">
        <w:rPr>
          <w:szCs w:val="22"/>
        </w:rPr>
        <w:t>Greta Cranston</w:t>
      </w:r>
      <w:r w:rsidRPr="00F64CB1">
        <w:rPr>
          <w:szCs w:val="22"/>
        </w:rPr>
        <w:t xml:space="preserve">, </w:t>
      </w:r>
      <w:r w:rsidR="000D6861" w:rsidRPr="00F64CB1">
        <w:rPr>
          <w:szCs w:val="22"/>
        </w:rPr>
        <w:t>delegate of the Minister for Health</w:t>
      </w:r>
      <w:r w:rsidRPr="00F64CB1">
        <w:rPr>
          <w:szCs w:val="22"/>
        </w:rPr>
        <w:t xml:space="preserve">, make the following </w:t>
      </w:r>
      <w:r w:rsidR="00720A19" w:rsidRPr="00F64CB1">
        <w:rPr>
          <w:szCs w:val="22"/>
        </w:rPr>
        <w:t>Rules</w:t>
      </w:r>
      <w:r w:rsidRPr="00F64CB1">
        <w:rPr>
          <w:szCs w:val="22"/>
        </w:rPr>
        <w:t>.</w:t>
      </w:r>
    </w:p>
    <w:p w14:paraId="037DB9AC" w14:textId="7CDB8BCE" w:rsidR="005E317F" w:rsidRPr="00F64CB1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64CB1">
        <w:rPr>
          <w:szCs w:val="22"/>
        </w:rPr>
        <w:t>Dated</w:t>
      </w:r>
      <w:r w:rsidR="00F64CB1" w:rsidRPr="00F64CB1">
        <w:rPr>
          <w:szCs w:val="22"/>
        </w:rPr>
        <w:tab/>
        <w:t xml:space="preserve">29 </w:t>
      </w:r>
      <w:r w:rsidR="00720A19" w:rsidRPr="00F64CB1">
        <w:rPr>
          <w:szCs w:val="22"/>
        </w:rPr>
        <w:t>June 2020</w:t>
      </w:r>
    </w:p>
    <w:p w14:paraId="0948BA5A" w14:textId="5BACAF5C" w:rsidR="00B5603C" w:rsidRPr="00F64CB1" w:rsidRDefault="00192928" w:rsidP="00B560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64CB1">
        <w:rPr>
          <w:szCs w:val="22"/>
        </w:rPr>
        <w:t>Greta Cranston</w:t>
      </w:r>
      <w:r w:rsidR="0041693D" w:rsidRPr="00F64CB1">
        <w:rPr>
          <w:szCs w:val="22"/>
        </w:rPr>
        <w:tab/>
      </w:r>
    </w:p>
    <w:p w14:paraId="4621D162" w14:textId="6F3812C5" w:rsidR="00B5603C" w:rsidRPr="00F64CB1" w:rsidRDefault="00192928" w:rsidP="00B5603C">
      <w:pPr>
        <w:rPr>
          <w:lang w:eastAsia="en-AU"/>
        </w:rPr>
      </w:pPr>
      <w:r w:rsidRPr="00F64CB1">
        <w:t xml:space="preserve">A/g </w:t>
      </w:r>
      <w:r w:rsidR="00B5603C" w:rsidRPr="00F64CB1">
        <w:t>Assistant Secretary</w:t>
      </w:r>
      <w:r w:rsidR="00B5603C" w:rsidRPr="00F64CB1">
        <w:rPr>
          <w:lang w:eastAsia="en-AU"/>
        </w:rPr>
        <w:t xml:space="preserve"> </w:t>
      </w:r>
    </w:p>
    <w:p w14:paraId="1A6A6968" w14:textId="77777777" w:rsidR="00B5603C" w:rsidRPr="00F64CB1" w:rsidRDefault="00B5603C" w:rsidP="00B5603C">
      <w:pPr>
        <w:rPr>
          <w:lang w:eastAsia="en-AU"/>
        </w:rPr>
      </w:pPr>
      <w:r w:rsidRPr="00F64CB1">
        <w:rPr>
          <w:lang w:eastAsia="en-AU"/>
        </w:rPr>
        <w:t>Private Health Insurance Branch</w:t>
      </w:r>
    </w:p>
    <w:p w14:paraId="7F5A7539" w14:textId="77777777" w:rsidR="00B5603C" w:rsidRPr="00F64CB1" w:rsidRDefault="00B5603C" w:rsidP="00B5603C">
      <w:pPr>
        <w:rPr>
          <w:lang w:eastAsia="en-AU"/>
        </w:rPr>
      </w:pPr>
      <w:r w:rsidRPr="00F64CB1">
        <w:rPr>
          <w:lang w:eastAsia="en-AU"/>
        </w:rPr>
        <w:t>Medical Benefits Division</w:t>
      </w:r>
      <w:r w:rsidR="00DF363B" w:rsidRPr="00F64CB1">
        <w:rPr>
          <w:lang w:eastAsia="en-AU"/>
        </w:rPr>
        <w:br/>
      </w:r>
      <w:r w:rsidR="00DF363B" w:rsidRPr="00F64CB1">
        <w:rPr>
          <w:rFonts w:eastAsia="Times New Roman" w:cs="Arial"/>
          <w:snapToGrid w:val="0"/>
        </w:rPr>
        <w:t>Health Financing Group</w:t>
      </w:r>
    </w:p>
    <w:p w14:paraId="4C4FFF9F" w14:textId="77777777" w:rsidR="00B5603C" w:rsidRPr="00F64CB1" w:rsidRDefault="00B5603C" w:rsidP="00B5603C">
      <w:pPr>
        <w:rPr>
          <w:lang w:eastAsia="en-AU"/>
        </w:rPr>
      </w:pPr>
      <w:r w:rsidRPr="00F64CB1">
        <w:rPr>
          <w:lang w:eastAsia="en-AU"/>
        </w:rPr>
        <w:t>Department of Health</w:t>
      </w:r>
    </w:p>
    <w:p w14:paraId="340E509A" w14:textId="77777777" w:rsidR="00B5603C" w:rsidRPr="00F64CB1" w:rsidRDefault="00B5603C" w:rsidP="00B5603C">
      <w:pPr>
        <w:pStyle w:val="SignCoverPageEnd"/>
        <w:ind w:right="91"/>
        <w:rPr>
          <w:sz w:val="22"/>
        </w:rPr>
      </w:pPr>
    </w:p>
    <w:p w14:paraId="2436F59F" w14:textId="77777777" w:rsidR="00B20990" w:rsidRPr="00F64CB1" w:rsidRDefault="00B20990" w:rsidP="00B20990">
      <w:pPr>
        <w:sectPr w:rsidR="00B20990" w:rsidRPr="00F64CB1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7987C9" w14:textId="77777777" w:rsidR="00B20990" w:rsidRPr="00F64CB1" w:rsidRDefault="00B20990" w:rsidP="00B20990">
      <w:pPr>
        <w:outlineLvl w:val="0"/>
        <w:rPr>
          <w:sz w:val="36"/>
        </w:rPr>
      </w:pPr>
      <w:r w:rsidRPr="00F64CB1">
        <w:rPr>
          <w:sz w:val="36"/>
        </w:rPr>
        <w:lastRenderedPageBreak/>
        <w:t>Contents</w:t>
      </w:r>
    </w:p>
    <w:bookmarkStart w:id="0" w:name="BKCheck15B_2"/>
    <w:bookmarkEnd w:id="0"/>
    <w:p w14:paraId="4A831EF0" w14:textId="564B1936" w:rsidR="007B4693" w:rsidRPr="00F64CB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CB1">
        <w:fldChar w:fldCharType="begin" w:fldLock="1"/>
      </w:r>
      <w:r w:rsidRPr="00F64CB1">
        <w:instrText xml:space="preserve"> TOC \o "1-9" </w:instrText>
      </w:r>
      <w:r w:rsidRPr="00F64CB1">
        <w:fldChar w:fldCharType="separate"/>
      </w:r>
      <w:r w:rsidR="007B4693" w:rsidRPr="00F64CB1">
        <w:rPr>
          <w:noProof/>
        </w:rPr>
        <w:t>1  Name</w:t>
      </w:r>
      <w:r w:rsidR="007B4693" w:rsidRPr="00F64CB1">
        <w:rPr>
          <w:noProof/>
        </w:rPr>
        <w:tab/>
      </w:r>
      <w:r w:rsidR="007B4693" w:rsidRPr="00F64CB1">
        <w:rPr>
          <w:noProof/>
        </w:rPr>
        <w:fldChar w:fldCharType="begin" w:fldLock="1"/>
      </w:r>
      <w:r w:rsidR="007B4693" w:rsidRPr="00F64CB1">
        <w:rPr>
          <w:noProof/>
        </w:rPr>
        <w:instrText xml:space="preserve"> PAGEREF _Toc44081507 \h </w:instrText>
      </w:r>
      <w:r w:rsidR="007B4693" w:rsidRPr="00F64CB1">
        <w:rPr>
          <w:noProof/>
        </w:rPr>
      </w:r>
      <w:r w:rsidR="007B4693" w:rsidRPr="00F64CB1">
        <w:rPr>
          <w:noProof/>
        </w:rPr>
        <w:fldChar w:fldCharType="separate"/>
      </w:r>
      <w:r w:rsidR="00F84FB8" w:rsidRPr="00F64CB1">
        <w:rPr>
          <w:noProof/>
        </w:rPr>
        <w:t>1</w:t>
      </w:r>
      <w:r w:rsidR="007B4693" w:rsidRPr="00F64CB1">
        <w:rPr>
          <w:noProof/>
        </w:rPr>
        <w:fldChar w:fldCharType="end"/>
      </w:r>
    </w:p>
    <w:p w14:paraId="2346B3A8" w14:textId="68FC7061" w:rsidR="007B4693" w:rsidRPr="00F64CB1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CB1">
        <w:rPr>
          <w:noProof/>
        </w:rPr>
        <w:t>2  Commencement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_Toc44081508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1</w:t>
      </w:r>
      <w:r w:rsidRPr="00F64CB1">
        <w:rPr>
          <w:noProof/>
        </w:rPr>
        <w:fldChar w:fldCharType="end"/>
      </w:r>
    </w:p>
    <w:p w14:paraId="6A66FF08" w14:textId="62E06931" w:rsidR="007B4693" w:rsidRPr="00F64CB1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CB1">
        <w:rPr>
          <w:noProof/>
        </w:rPr>
        <w:t>3  Authority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_Toc44081509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1</w:t>
      </w:r>
      <w:r w:rsidRPr="00F64CB1">
        <w:rPr>
          <w:noProof/>
        </w:rPr>
        <w:fldChar w:fldCharType="end"/>
      </w:r>
    </w:p>
    <w:p w14:paraId="0C52CF4B" w14:textId="1BBCF21C" w:rsidR="007B4693" w:rsidRPr="00F64CB1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4CB1">
        <w:rPr>
          <w:noProof/>
        </w:rPr>
        <w:t>4  Schedules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_Toc44081510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1</w:t>
      </w:r>
      <w:r w:rsidRPr="00F64CB1">
        <w:rPr>
          <w:noProof/>
        </w:rPr>
        <w:fldChar w:fldCharType="end"/>
      </w:r>
    </w:p>
    <w:p w14:paraId="5FE72D9C" w14:textId="474219DB" w:rsidR="007B4693" w:rsidRPr="00F64CB1" w:rsidRDefault="007B46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4CB1">
        <w:rPr>
          <w:noProof/>
        </w:rPr>
        <w:t>Schedule 1—Amendments—Minimum accommodation benefits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_Toc44081511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2</w:t>
      </w:r>
      <w:r w:rsidRPr="00F64CB1">
        <w:rPr>
          <w:noProof/>
        </w:rPr>
        <w:fldChar w:fldCharType="end"/>
      </w:r>
    </w:p>
    <w:p w14:paraId="42CDB0CF" w14:textId="26FFEB48" w:rsidR="007B4693" w:rsidRPr="00F64CB1" w:rsidRDefault="007B46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4CB1">
        <w:rPr>
          <w:noProof/>
        </w:rPr>
        <w:t>Private Health Insurance (Benefit Requirement) Rules 2011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_Toc44081512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2</w:t>
      </w:r>
      <w:r w:rsidRPr="00F64CB1">
        <w:rPr>
          <w:noProof/>
        </w:rPr>
        <w:fldChar w:fldCharType="end"/>
      </w:r>
    </w:p>
    <w:p w14:paraId="6804C7B1" w14:textId="57E893A3" w:rsidR="007B4693" w:rsidRPr="00F64CB1" w:rsidRDefault="007B46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4CB1">
        <w:rPr>
          <w:noProof/>
        </w:rPr>
        <w:t>Schedule 2—Amendments—Nursing-home type patient contribution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_Toc44081513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7</w:t>
      </w:r>
      <w:r w:rsidRPr="00F64CB1">
        <w:rPr>
          <w:noProof/>
        </w:rPr>
        <w:fldChar w:fldCharType="end"/>
      </w:r>
    </w:p>
    <w:p w14:paraId="1A6DD0FB" w14:textId="69798768" w:rsidR="007B4693" w:rsidRPr="00F64CB1" w:rsidRDefault="007B46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4CB1">
        <w:rPr>
          <w:noProof/>
        </w:rPr>
        <w:t>Private Health Insurance (Complying Products) Rules 2015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_Toc44081514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7</w:t>
      </w:r>
      <w:r w:rsidRPr="00F64CB1">
        <w:rPr>
          <w:noProof/>
        </w:rPr>
        <w:fldChar w:fldCharType="end"/>
      </w:r>
    </w:p>
    <w:p w14:paraId="01F6F472" w14:textId="7466F99D" w:rsidR="007B4693" w:rsidRPr="00F64CB1" w:rsidRDefault="007B4693">
      <w:pPr>
        <w:pStyle w:val="TOC6"/>
        <w:rPr>
          <w:noProof/>
        </w:rPr>
      </w:pPr>
      <w:r w:rsidRPr="00F64CB1">
        <w:rPr>
          <w:noProof/>
        </w:rPr>
        <w:t>Schedule 3—Amendments—Information provided to the Ombudsman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_Toc44081515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8</w:t>
      </w:r>
      <w:r w:rsidRPr="00F64CB1">
        <w:rPr>
          <w:noProof/>
        </w:rPr>
        <w:fldChar w:fldCharType="end"/>
      </w:r>
    </w:p>
    <w:p w14:paraId="2DD20F84" w14:textId="2BBE85B3" w:rsidR="00064667" w:rsidRPr="00F64CB1" w:rsidRDefault="00064667" w:rsidP="000646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4CB1">
        <w:rPr>
          <w:noProof/>
        </w:rPr>
        <w:t>Private Health Insurance (Complying Products) Rules 2015</w:t>
      </w:r>
      <w:r w:rsidR="00312E3A" w:rsidRPr="00F64CB1">
        <w:rPr>
          <w:noProof/>
        </w:rPr>
        <w:tab/>
        <w:t>8</w:t>
      </w:r>
    </w:p>
    <w:p w14:paraId="7A0C62EC" w14:textId="130299B5" w:rsidR="007B4693" w:rsidRPr="00F64CB1" w:rsidRDefault="007B46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4CB1">
        <w:rPr>
          <w:noProof/>
        </w:rPr>
        <w:t>Schedule 4—Amendments—Second-tier application fee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_Toc44081516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9</w:t>
      </w:r>
      <w:r w:rsidRPr="00F64CB1">
        <w:rPr>
          <w:noProof/>
        </w:rPr>
        <w:fldChar w:fldCharType="end"/>
      </w:r>
    </w:p>
    <w:p w14:paraId="483BE9B4" w14:textId="607F955F" w:rsidR="007B4693" w:rsidRPr="00F64CB1" w:rsidRDefault="007B46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4CB1">
        <w:rPr>
          <w:noProof/>
        </w:rPr>
        <w:t>Private Health Insurance (Health Insurance Business) Rules 2018</w:t>
      </w:r>
      <w:r w:rsidRPr="00F64CB1">
        <w:rPr>
          <w:noProof/>
        </w:rPr>
        <w:tab/>
      </w:r>
      <w:r w:rsidRPr="00F64CB1">
        <w:rPr>
          <w:noProof/>
        </w:rPr>
        <w:fldChar w:fldCharType="begin" w:fldLock="1"/>
      </w:r>
      <w:r w:rsidRPr="00F64CB1">
        <w:rPr>
          <w:noProof/>
        </w:rPr>
        <w:instrText xml:space="preserve"> PAGEREF _Toc44081517 \h </w:instrText>
      </w:r>
      <w:r w:rsidRPr="00F64CB1">
        <w:rPr>
          <w:noProof/>
        </w:rPr>
      </w:r>
      <w:r w:rsidRPr="00F64CB1">
        <w:rPr>
          <w:noProof/>
        </w:rPr>
        <w:fldChar w:fldCharType="separate"/>
      </w:r>
      <w:r w:rsidR="00F84FB8" w:rsidRPr="00F64CB1">
        <w:rPr>
          <w:noProof/>
        </w:rPr>
        <w:t>9</w:t>
      </w:r>
      <w:r w:rsidRPr="00F64CB1">
        <w:rPr>
          <w:noProof/>
        </w:rPr>
        <w:fldChar w:fldCharType="end"/>
      </w:r>
    </w:p>
    <w:p w14:paraId="2C84E70C" w14:textId="77777777" w:rsidR="00B20990" w:rsidRPr="00F64CB1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F64CB1" w:rsidSect="004E42F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F64CB1">
        <w:rPr>
          <w:sz w:val="20"/>
        </w:rPr>
        <w:fldChar w:fldCharType="end"/>
      </w:r>
    </w:p>
    <w:p w14:paraId="01A076C1" w14:textId="77777777" w:rsidR="005E317F" w:rsidRPr="00F64CB1" w:rsidRDefault="005E317F" w:rsidP="005E317F">
      <w:pPr>
        <w:pStyle w:val="ActHead5"/>
      </w:pPr>
      <w:bookmarkStart w:id="1" w:name="_Toc44081507"/>
      <w:r w:rsidRPr="00F64CB1">
        <w:rPr>
          <w:rStyle w:val="CharSectno"/>
        </w:rPr>
        <w:lastRenderedPageBreak/>
        <w:t>1</w:t>
      </w:r>
      <w:r w:rsidRPr="00F64CB1">
        <w:t xml:space="preserve">  Name</w:t>
      </w:r>
      <w:bookmarkEnd w:id="1"/>
    </w:p>
    <w:p w14:paraId="03F870DB" w14:textId="335D57E0" w:rsidR="005E317F" w:rsidRPr="00F64CB1" w:rsidRDefault="005E317F" w:rsidP="005E317F">
      <w:pPr>
        <w:pStyle w:val="subsection"/>
      </w:pPr>
      <w:r w:rsidRPr="00F64CB1">
        <w:tab/>
      </w:r>
      <w:r w:rsidRPr="00F64CB1">
        <w:tab/>
        <w:t xml:space="preserve">This instrument is the </w:t>
      </w:r>
      <w:bookmarkStart w:id="2" w:name="BKCheck15B_3"/>
      <w:bookmarkEnd w:id="2"/>
      <w:r w:rsidR="00B2123C" w:rsidRPr="00F64CB1">
        <w:rPr>
          <w:i/>
        </w:rPr>
        <w:t>Private Health Insurance Legislation Amendment</w:t>
      </w:r>
      <w:r w:rsidR="00AD56DF" w:rsidRPr="00F64CB1">
        <w:rPr>
          <w:i/>
        </w:rPr>
        <w:t xml:space="preserve"> Rules</w:t>
      </w:r>
      <w:r w:rsidR="00B2123C" w:rsidRPr="00F64CB1">
        <w:rPr>
          <w:i/>
        </w:rPr>
        <w:t xml:space="preserve"> (No. 4) 2020</w:t>
      </w:r>
      <w:r w:rsidRPr="00F64CB1">
        <w:t>.</w:t>
      </w:r>
    </w:p>
    <w:p w14:paraId="6D0E3183" w14:textId="77777777" w:rsidR="005E317F" w:rsidRPr="00F64CB1" w:rsidRDefault="005E317F" w:rsidP="005E317F">
      <w:pPr>
        <w:pStyle w:val="ActHead5"/>
      </w:pPr>
      <w:bookmarkStart w:id="3" w:name="_Toc44081508"/>
      <w:r w:rsidRPr="00F64CB1">
        <w:rPr>
          <w:rStyle w:val="CharSectno"/>
        </w:rPr>
        <w:t>2</w:t>
      </w:r>
      <w:r w:rsidRPr="00F64CB1">
        <w:t xml:space="preserve">  Commencement</w:t>
      </w:r>
      <w:bookmarkEnd w:id="3"/>
    </w:p>
    <w:p w14:paraId="548E5D84" w14:textId="77777777" w:rsidR="00002BCC" w:rsidRPr="00F64CB1" w:rsidRDefault="00002BCC" w:rsidP="00002BCC">
      <w:pPr>
        <w:pStyle w:val="subsection"/>
      </w:pPr>
      <w:r w:rsidRPr="00F64CB1">
        <w:tab/>
        <w:t>(1)</w:t>
      </w:r>
      <w:r w:rsidRPr="00F64CB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4A67355" w14:textId="77777777" w:rsidR="00002BCC" w:rsidRPr="00F64CB1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64CB1" w14:paraId="09266CCD" w14:textId="77777777" w:rsidTr="004E42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0A370AD" w14:textId="77777777" w:rsidR="00002BCC" w:rsidRPr="00F64CB1" w:rsidRDefault="00002BCC" w:rsidP="004E42F1">
            <w:pPr>
              <w:pStyle w:val="TableHeading"/>
            </w:pPr>
            <w:r w:rsidRPr="00F64CB1">
              <w:t>Commencement information</w:t>
            </w:r>
          </w:p>
        </w:tc>
      </w:tr>
      <w:tr w:rsidR="00002BCC" w:rsidRPr="00F64CB1" w14:paraId="558CF7AD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28A0AF" w14:textId="77777777" w:rsidR="00002BCC" w:rsidRPr="00F64CB1" w:rsidRDefault="00002BCC" w:rsidP="004E42F1">
            <w:pPr>
              <w:pStyle w:val="TableHeading"/>
            </w:pPr>
            <w:r w:rsidRPr="00F64CB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A9137F" w14:textId="77777777" w:rsidR="00002BCC" w:rsidRPr="00F64CB1" w:rsidRDefault="00002BCC" w:rsidP="004E42F1">
            <w:pPr>
              <w:pStyle w:val="TableHeading"/>
            </w:pPr>
            <w:r w:rsidRPr="00F64CB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5DB245" w14:textId="77777777" w:rsidR="00002BCC" w:rsidRPr="00F64CB1" w:rsidRDefault="00002BCC" w:rsidP="004E42F1">
            <w:pPr>
              <w:pStyle w:val="TableHeading"/>
            </w:pPr>
            <w:r w:rsidRPr="00F64CB1">
              <w:t>Column 3</w:t>
            </w:r>
          </w:p>
        </w:tc>
      </w:tr>
      <w:tr w:rsidR="00002BCC" w:rsidRPr="00F64CB1" w14:paraId="29F5BC01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06965F" w14:textId="77777777" w:rsidR="00002BCC" w:rsidRPr="00F64CB1" w:rsidRDefault="00002BCC" w:rsidP="004E42F1">
            <w:pPr>
              <w:pStyle w:val="TableHeading"/>
            </w:pPr>
            <w:r w:rsidRPr="00F64CB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C36AEA" w14:textId="77777777" w:rsidR="00002BCC" w:rsidRPr="00F64CB1" w:rsidRDefault="00002BCC" w:rsidP="004E42F1">
            <w:pPr>
              <w:pStyle w:val="TableHeading"/>
            </w:pPr>
            <w:r w:rsidRPr="00F64CB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E979E3" w14:textId="77777777" w:rsidR="00002BCC" w:rsidRPr="00F64CB1" w:rsidRDefault="00002BCC" w:rsidP="004E42F1">
            <w:pPr>
              <w:pStyle w:val="TableHeading"/>
            </w:pPr>
            <w:r w:rsidRPr="00F64CB1">
              <w:t>Date/Details</w:t>
            </w:r>
          </w:p>
        </w:tc>
      </w:tr>
      <w:tr w:rsidR="00002BCC" w:rsidRPr="00F64CB1" w14:paraId="1D648FB2" w14:textId="77777777" w:rsidTr="004E42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3A313A" w14:textId="1F00FC8D" w:rsidR="00002BCC" w:rsidRPr="00F64CB1" w:rsidRDefault="00002BCC" w:rsidP="00890DC6">
            <w:pPr>
              <w:pStyle w:val="Tabletext"/>
            </w:pPr>
            <w:r w:rsidRPr="00F64CB1">
              <w:t xml:space="preserve">1.  </w:t>
            </w:r>
            <w:r w:rsidR="00890DC6" w:rsidRPr="00F64CB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7F671E" w14:textId="77777777" w:rsidR="00002BCC" w:rsidRPr="00F64CB1" w:rsidRDefault="003019B4" w:rsidP="004E42F1">
            <w:pPr>
              <w:pStyle w:val="Tabletext"/>
            </w:pPr>
            <w:r w:rsidRPr="00F64CB1">
              <w:t>1 July 2020</w:t>
            </w:r>
            <w:r w:rsidR="00002BCC" w:rsidRPr="00F64CB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A3DD11" w14:textId="77777777" w:rsidR="00002BCC" w:rsidRPr="00F64CB1" w:rsidRDefault="003019B4" w:rsidP="004E42F1">
            <w:pPr>
              <w:pStyle w:val="Tabletext"/>
            </w:pPr>
            <w:r w:rsidRPr="00F64CB1">
              <w:t>1 July 2020</w:t>
            </w:r>
          </w:p>
        </w:tc>
      </w:tr>
    </w:tbl>
    <w:p w14:paraId="35E9742F" w14:textId="77777777" w:rsidR="00002BCC" w:rsidRPr="00F64CB1" w:rsidRDefault="00002BCC" w:rsidP="00002BCC">
      <w:pPr>
        <w:pStyle w:val="notetext"/>
      </w:pPr>
      <w:r w:rsidRPr="00F64CB1">
        <w:rPr>
          <w:snapToGrid w:val="0"/>
          <w:lang w:eastAsia="en-US"/>
        </w:rPr>
        <w:t>Note:</w:t>
      </w:r>
      <w:r w:rsidRPr="00F64CB1">
        <w:rPr>
          <w:snapToGrid w:val="0"/>
          <w:lang w:eastAsia="en-US"/>
        </w:rPr>
        <w:tab/>
        <w:t>This table relates only to the provisions of this instrument</w:t>
      </w:r>
      <w:r w:rsidRPr="00F64CB1">
        <w:t xml:space="preserve"> </w:t>
      </w:r>
      <w:r w:rsidRPr="00F64CB1">
        <w:rPr>
          <w:snapToGrid w:val="0"/>
          <w:lang w:eastAsia="en-US"/>
        </w:rPr>
        <w:t>as originally made. It will not be amended to deal with any later amendments of this instrument.</w:t>
      </w:r>
    </w:p>
    <w:p w14:paraId="581B04B7" w14:textId="77777777" w:rsidR="00002BCC" w:rsidRPr="00F64CB1" w:rsidRDefault="00002BCC" w:rsidP="00002BCC">
      <w:pPr>
        <w:pStyle w:val="subsection"/>
      </w:pPr>
      <w:r w:rsidRPr="00F64CB1">
        <w:tab/>
        <w:t>(2)</w:t>
      </w:r>
      <w:r w:rsidRPr="00F64CB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90D1ED" w14:textId="5B5ED3F6" w:rsidR="005E317F" w:rsidRPr="00F64CB1" w:rsidRDefault="005E317F" w:rsidP="005E317F">
      <w:pPr>
        <w:pStyle w:val="ActHead5"/>
      </w:pPr>
      <w:bookmarkStart w:id="4" w:name="_Toc44081509"/>
      <w:r w:rsidRPr="00F64CB1">
        <w:rPr>
          <w:rStyle w:val="CharSectno"/>
        </w:rPr>
        <w:t>3</w:t>
      </w:r>
      <w:r w:rsidRPr="00F64CB1">
        <w:t xml:space="preserve">  Authority</w:t>
      </w:r>
      <w:bookmarkEnd w:id="4"/>
    </w:p>
    <w:p w14:paraId="11D224BA" w14:textId="03E56E57" w:rsidR="005E317F" w:rsidRPr="00F64CB1" w:rsidRDefault="005E317F" w:rsidP="005E317F">
      <w:pPr>
        <w:pStyle w:val="subsection"/>
      </w:pPr>
      <w:r w:rsidRPr="00F64CB1">
        <w:tab/>
      </w:r>
      <w:r w:rsidRPr="00F64CB1">
        <w:tab/>
        <w:t xml:space="preserve">This instrument is made under </w:t>
      </w:r>
      <w:r w:rsidR="008D43D2" w:rsidRPr="00F64CB1">
        <w:t xml:space="preserve">section 333-20 of the </w:t>
      </w:r>
      <w:r w:rsidR="008D43D2" w:rsidRPr="00F64CB1">
        <w:rPr>
          <w:i/>
        </w:rPr>
        <w:t>Private Health Insurance Act 2007</w:t>
      </w:r>
      <w:r w:rsidR="008D43D2" w:rsidRPr="00F64CB1">
        <w:t>.</w:t>
      </w:r>
    </w:p>
    <w:p w14:paraId="45D7ACD1" w14:textId="77777777" w:rsidR="005E317F" w:rsidRPr="00F64CB1" w:rsidRDefault="005E317F" w:rsidP="005E317F">
      <w:pPr>
        <w:pStyle w:val="ActHead5"/>
      </w:pPr>
      <w:bookmarkStart w:id="5" w:name="_Toc44081510"/>
      <w:r w:rsidRPr="00F64CB1">
        <w:t>4  Schedules</w:t>
      </w:r>
      <w:bookmarkEnd w:id="5"/>
    </w:p>
    <w:p w14:paraId="7E0D9F12" w14:textId="77777777" w:rsidR="005E317F" w:rsidRPr="00F64CB1" w:rsidRDefault="005E317F" w:rsidP="005E317F">
      <w:pPr>
        <w:pStyle w:val="subsection"/>
      </w:pPr>
      <w:r w:rsidRPr="00F64CB1">
        <w:tab/>
      </w:r>
      <w:r w:rsidRPr="00F64CB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9C6AE0" w14:textId="77777777" w:rsidR="005E317F" w:rsidRPr="00F64CB1" w:rsidRDefault="005E317F" w:rsidP="005E317F">
      <w:pPr>
        <w:pStyle w:val="ActHead6"/>
        <w:pageBreakBefore/>
      </w:pPr>
      <w:bookmarkStart w:id="6" w:name="_Toc44081511"/>
      <w:r w:rsidRPr="00F64CB1">
        <w:rPr>
          <w:rStyle w:val="CharAmSchNo"/>
        </w:rPr>
        <w:lastRenderedPageBreak/>
        <w:t>Schedule 1</w:t>
      </w:r>
      <w:r w:rsidRPr="00F64CB1">
        <w:t>—</w:t>
      </w:r>
      <w:r w:rsidRPr="00F64CB1">
        <w:rPr>
          <w:rStyle w:val="CharAmSchText"/>
        </w:rPr>
        <w:t>Amendments</w:t>
      </w:r>
      <w:r w:rsidR="001A2F17" w:rsidRPr="00F64CB1">
        <w:t>—</w:t>
      </w:r>
      <w:r w:rsidR="00612089" w:rsidRPr="00F64CB1">
        <w:t>Minimum accommodation benefits</w:t>
      </w:r>
      <w:bookmarkEnd w:id="6"/>
    </w:p>
    <w:p w14:paraId="6ABCFE98" w14:textId="77777777" w:rsidR="005E317F" w:rsidRPr="00F64CB1" w:rsidRDefault="006E203E" w:rsidP="005E317F">
      <w:pPr>
        <w:pStyle w:val="ActHead9"/>
      </w:pPr>
      <w:bookmarkStart w:id="7" w:name="_Toc44081512"/>
      <w:r w:rsidRPr="00F64CB1">
        <w:t>Private Health Insurance (Benefit Requirement) Rules 2011</w:t>
      </w:r>
      <w:bookmarkEnd w:id="7"/>
    </w:p>
    <w:p w14:paraId="6F800AB9" w14:textId="13C6AD2A" w:rsidR="001F53EA" w:rsidRPr="00F64CB1" w:rsidRDefault="009E28C7" w:rsidP="006314D4">
      <w:pPr>
        <w:pStyle w:val="ItemHead"/>
      </w:pPr>
      <w:r w:rsidRPr="00F64CB1">
        <w:t xml:space="preserve">1  </w:t>
      </w:r>
      <w:r w:rsidR="006314D4" w:rsidRPr="00F64CB1">
        <w:t>Clause 2 of Schedule 1 (Table 1)</w:t>
      </w:r>
    </w:p>
    <w:p w14:paraId="1E283E90" w14:textId="77777777" w:rsidR="001F53EA" w:rsidRPr="00F64CB1" w:rsidRDefault="001F53EA" w:rsidP="001F53EA">
      <w:pPr>
        <w:pStyle w:val="Item"/>
        <w:rPr>
          <w:szCs w:val="22"/>
          <w:shd w:val="clear" w:color="auto" w:fill="FFFFFF"/>
        </w:rPr>
      </w:pPr>
      <w:r w:rsidRPr="00F64CB1">
        <w:rPr>
          <w:szCs w:val="22"/>
          <w:shd w:val="clear" w:color="auto" w:fill="FFFFFF"/>
        </w:rPr>
        <w:t>Repeal the table</w:t>
      </w:r>
      <w:r w:rsidR="00541450" w:rsidRPr="00F64CB1">
        <w:rPr>
          <w:szCs w:val="22"/>
          <w:shd w:val="clear" w:color="auto" w:fill="FFFFFF"/>
        </w:rPr>
        <w:t xml:space="preserve"> (including the heading)</w:t>
      </w:r>
      <w:r w:rsidRPr="00F64CB1">
        <w:rPr>
          <w:szCs w:val="22"/>
          <w:shd w:val="clear" w:color="auto" w:fill="FFFFFF"/>
        </w:rPr>
        <w:t xml:space="preserve">, substitute: </w:t>
      </w:r>
    </w:p>
    <w:p w14:paraId="08F4EEC3" w14:textId="77777777" w:rsidR="006614CE" w:rsidRPr="00F64CB1" w:rsidRDefault="006614CE" w:rsidP="006614CE">
      <w:pPr>
        <w:ind w:left="567"/>
        <w:rPr>
          <w:rFonts w:ascii="Arial" w:hAnsi="Arial" w:cs="Arial"/>
          <w:b/>
        </w:rPr>
      </w:pPr>
    </w:p>
    <w:p w14:paraId="37785727" w14:textId="47EDE884" w:rsidR="006614CE" w:rsidRPr="00F64CB1" w:rsidRDefault="006614CE" w:rsidP="006614CE">
      <w:pPr>
        <w:ind w:left="567"/>
        <w:rPr>
          <w:rFonts w:ascii="Arial" w:hAnsi="Arial" w:cs="Arial"/>
          <w:b/>
        </w:rPr>
      </w:pPr>
      <w:r w:rsidRPr="00F64CB1">
        <w:rPr>
          <w:rFonts w:ascii="Arial" w:hAnsi="Arial" w:cs="Arial"/>
          <w:b/>
        </w:rPr>
        <w:t xml:space="preserve">Table 1 – </w:t>
      </w:r>
      <w:r w:rsidR="00CB13ED" w:rsidRPr="00F64CB1">
        <w:rPr>
          <w:rFonts w:ascii="Arial" w:hAnsi="Arial" w:cs="Arial"/>
          <w:b/>
        </w:rPr>
        <w:t>O</w:t>
      </w:r>
      <w:r w:rsidR="007D3BDC" w:rsidRPr="00F64CB1">
        <w:rPr>
          <w:rFonts w:ascii="Arial" w:hAnsi="Arial" w:cs="Arial"/>
          <w:b/>
        </w:rPr>
        <w:t>vernight a</w:t>
      </w:r>
      <w:r w:rsidR="00CB13ED" w:rsidRPr="00F64CB1">
        <w:rPr>
          <w:rFonts w:ascii="Arial" w:hAnsi="Arial" w:cs="Arial"/>
          <w:b/>
        </w:rPr>
        <w:t xml:space="preserve">ccommodation </w:t>
      </w:r>
      <w:r w:rsidR="00E907E9" w:rsidRPr="00F64CB1">
        <w:rPr>
          <w:rFonts w:ascii="Arial" w:hAnsi="Arial" w:cs="Arial"/>
          <w:b/>
        </w:rPr>
        <w:t>for</w:t>
      </w:r>
      <w:r w:rsidR="00CB13ED" w:rsidRPr="00F64CB1">
        <w:rPr>
          <w:rFonts w:ascii="Arial" w:hAnsi="Arial" w:cs="Arial"/>
          <w:b/>
        </w:rPr>
        <w:t xml:space="preserve"> </w:t>
      </w:r>
      <w:r w:rsidR="00CB5433" w:rsidRPr="00F64CB1">
        <w:rPr>
          <w:rFonts w:ascii="Arial" w:hAnsi="Arial" w:cs="Arial"/>
          <w:b/>
        </w:rPr>
        <w:t xml:space="preserve">private patients </w:t>
      </w:r>
      <w:r w:rsidRPr="00F64CB1">
        <w:rPr>
          <w:rFonts w:ascii="Arial" w:hAnsi="Arial" w:cs="Arial"/>
          <w:b/>
        </w:rPr>
        <w:t>at private hospitals in all States/Territories</w:t>
      </w:r>
    </w:p>
    <w:p w14:paraId="1EB4425F" w14:textId="77777777" w:rsidR="006614CE" w:rsidRPr="00F64CB1" w:rsidRDefault="006614CE" w:rsidP="006614CE">
      <w:pPr>
        <w:ind w:left="567"/>
        <w:rPr>
          <w:rFonts w:ascii="Arial" w:hAnsi="Arial" w:cs="Arial"/>
          <w:b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EB7515" w:rsidRPr="00F64CB1" w14:paraId="082DCFDA" w14:textId="77777777" w:rsidTr="004E42F1">
        <w:tc>
          <w:tcPr>
            <w:tcW w:w="4556" w:type="dxa"/>
            <w:hideMark/>
          </w:tcPr>
          <w:p w14:paraId="0462E9C4" w14:textId="77777777" w:rsidR="006614CE" w:rsidRPr="00F64CB1" w:rsidRDefault="006614CE" w:rsidP="004E42F1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61AEC0F8" w14:textId="5140627F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Minimum</w:t>
            </w:r>
            <w:r w:rsidR="00040410" w:rsidRPr="00F64CB1">
              <w:rPr>
                <w:b/>
                <w:bCs/>
              </w:rPr>
              <w:t xml:space="preserve"> </w:t>
            </w:r>
            <w:r w:rsidRPr="00F64CB1">
              <w:rPr>
                <w:b/>
                <w:bCs/>
              </w:rPr>
              <w:t>benefit payable per night</w:t>
            </w:r>
          </w:p>
        </w:tc>
      </w:tr>
      <w:tr w:rsidR="00307C9C" w:rsidRPr="00F64CB1" w14:paraId="7E879781" w14:textId="77777777" w:rsidTr="004E42F1">
        <w:tc>
          <w:tcPr>
            <w:tcW w:w="4556" w:type="dxa"/>
            <w:hideMark/>
          </w:tcPr>
          <w:p w14:paraId="608B84EE" w14:textId="77777777" w:rsidR="006614CE" w:rsidRPr="00F64CB1" w:rsidRDefault="006614CE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63779B24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6614CE" w:rsidRPr="00F64CB1" w14:paraId="589172E2" w14:textId="77777777" w:rsidTr="004E42F1">
        <w:tc>
          <w:tcPr>
            <w:tcW w:w="4556" w:type="dxa"/>
            <w:hideMark/>
          </w:tcPr>
          <w:p w14:paraId="32CC317E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5E936B8A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$448</w:t>
            </w:r>
          </w:p>
        </w:tc>
      </w:tr>
      <w:tr w:rsidR="006614CE" w:rsidRPr="00F64CB1" w14:paraId="411796B4" w14:textId="77777777" w:rsidTr="004E42F1">
        <w:tc>
          <w:tcPr>
            <w:tcW w:w="4556" w:type="dxa"/>
            <w:hideMark/>
          </w:tcPr>
          <w:p w14:paraId="5EF13B91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6786FFFE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6614CE" w:rsidRPr="00F64CB1" w14:paraId="52F0BF1F" w14:textId="77777777" w:rsidTr="004E42F1">
        <w:tc>
          <w:tcPr>
            <w:tcW w:w="4556" w:type="dxa"/>
            <w:hideMark/>
          </w:tcPr>
          <w:p w14:paraId="40FD52A7" w14:textId="77777777" w:rsidR="006614CE" w:rsidRPr="00F64CB1" w:rsidRDefault="006614CE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5158B3A6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6614CE" w:rsidRPr="00F64CB1" w14:paraId="20387400" w14:textId="77777777" w:rsidTr="004E42F1">
        <w:tc>
          <w:tcPr>
            <w:tcW w:w="4556" w:type="dxa"/>
            <w:hideMark/>
          </w:tcPr>
          <w:p w14:paraId="78E0DD9A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65A258E0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6614CE" w:rsidRPr="00F64CB1" w14:paraId="41E55118" w14:textId="77777777" w:rsidTr="004E42F1">
        <w:tc>
          <w:tcPr>
            <w:tcW w:w="4556" w:type="dxa"/>
            <w:hideMark/>
          </w:tcPr>
          <w:p w14:paraId="30C6E9AF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59FFB591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6614CE" w:rsidRPr="00F64CB1" w14:paraId="33AC8B37" w14:textId="77777777" w:rsidTr="004E42F1">
        <w:tc>
          <w:tcPr>
            <w:tcW w:w="4556" w:type="dxa"/>
            <w:hideMark/>
          </w:tcPr>
          <w:p w14:paraId="1564E242" w14:textId="77777777" w:rsidR="006614CE" w:rsidRPr="00F64CB1" w:rsidRDefault="006614CE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5A48BDF7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6614CE" w:rsidRPr="00F64CB1" w14:paraId="307F5919" w14:textId="77777777" w:rsidTr="004E42F1">
        <w:tc>
          <w:tcPr>
            <w:tcW w:w="4556" w:type="dxa"/>
            <w:hideMark/>
          </w:tcPr>
          <w:p w14:paraId="7D6598B0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42 days</w:t>
            </w:r>
          </w:p>
        </w:tc>
        <w:tc>
          <w:tcPr>
            <w:tcW w:w="4624" w:type="dxa"/>
            <w:hideMark/>
          </w:tcPr>
          <w:p w14:paraId="3D9FA4BA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6614CE" w:rsidRPr="00F64CB1" w14:paraId="792FA648" w14:textId="77777777" w:rsidTr="004E42F1">
        <w:tc>
          <w:tcPr>
            <w:tcW w:w="4556" w:type="dxa"/>
            <w:hideMark/>
          </w:tcPr>
          <w:p w14:paraId="2089F2A5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43 – 65 days</w:t>
            </w:r>
          </w:p>
        </w:tc>
        <w:tc>
          <w:tcPr>
            <w:tcW w:w="4624" w:type="dxa"/>
            <w:hideMark/>
          </w:tcPr>
          <w:p w14:paraId="672E6042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6614CE" w:rsidRPr="00F64CB1" w14:paraId="3B5BDF77" w14:textId="77777777" w:rsidTr="004E42F1">
        <w:tc>
          <w:tcPr>
            <w:tcW w:w="4556" w:type="dxa"/>
            <w:hideMark/>
          </w:tcPr>
          <w:p w14:paraId="340AFDFC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24BE80B1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6614CE" w:rsidRPr="00F64CB1" w14:paraId="1611EA7B" w14:textId="77777777" w:rsidTr="004E42F1">
        <w:tc>
          <w:tcPr>
            <w:tcW w:w="4556" w:type="dxa"/>
            <w:hideMark/>
          </w:tcPr>
          <w:p w14:paraId="4E98B7EA" w14:textId="77777777" w:rsidR="006614CE" w:rsidRPr="00F64CB1" w:rsidRDefault="006614CE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53D4641F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6614CE" w:rsidRPr="00F64CB1" w14:paraId="6CE26A5E" w14:textId="77777777" w:rsidTr="004E42F1">
        <w:tc>
          <w:tcPr>
            <w:tcW w:w="4556" w:type="dxa"/>
            <w:hideMark/>
          </w:tcPr>
          <w:p w14:paraId="485D35C4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49 days</w:t>
            </w:r>
          </w:p>
        </w:tc>
        <w:tc>
          <w:tcPr>
            <w:tcW w:w="4624" w:type="dxa"/>
            <w:hideMark/>
          </w:tcPr>
          <w:p w14:paraId="3AE48C2D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6614CE" w:rsidRPr="00F64CB1" w14:paraId="34E4D5D9" w14:textId="77777777" w:rsidTr="004E42F1">
        <w:tc>
          <w:tcPr>
            <w:tcW w:w="4556" w:type="dxa"/>
            <w:hideMark/>
          </w:tcPr>
          <w:p w14:paraId="4517980D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50 </w:t>
            </w:r>
            <w:r w:rsidRPr="00F64CB1">
              <w:noBreakHyphen/>
              <w:t xml:space="preserve"> 65 days</w:t>
            </w:r>
          </w:p>
        </w:tc>
        <w:tc>
          <w:tcPr>
            <w:tcW w:w="4624" w:type="dxa"/>
            <w:hideMark/>
          </w:tcPr>
          <w:p w14:paraId="353106F6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6614CE" w:rsidRPr="00F64CB1" w14:paraId="7449E411" w14:textId="77777777" w:rsidTr="004E42F1">
        <w:tc>
          <w:tcPr>
            <w:tcW w:w="4556" w:type="dxa"/>
            <w:hideMark/>
          </w:tcPr>
          <w:p w14:paraId="49ECAE70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17ECD8E7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6614CE" w:rsidRPr="00F64CB1" w14:paraId="11595A81" w14:textId="77777777" w:rsidTr="004E42F1">
        <w:tc>
          <w:tcPr>
            <w:tcW w:w="4556" w:type="dxa"/>
            <w:hideMark/>
          </w:tcPr>
          <w:p w14:paraId="51BF4B53" w14:textId="77777777" w:rsidR="006614CE" w:rsidRPr="00F64CB1" w:rsidRDefault="006614CE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32B97F67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6614CE" w:rsidRPr="00F64CB1" w14:paraId="4E3FA8D5" w14:textId="77777777" w:rsidTr="004E42F1">
        <w:tc>
          <w:tcPr>
            <w:tcW w:w="4556" w:type="dxa"/>
            <w:hideMark/>
          </w:tcPr>
          <w:p w14:paraId="2BF1B04D" w14:textId="77777777" w:rsidR="006614CE" w:rsidRPr="00F64CB1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72053E9B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6614CE" w:rsidRPr="00F64CB1" w14:paraId="57DEC020" w14:textId="77777777" w:rsidTr="004E42F1">
        <w:tc>
          <w:tcPr>
            <w:tcW w:w="4556" w:type="dxa"/>
            <w:hideMark/>
          </w:tcPr>
          <w:p w14:paraId="7B3CDC33" w14:textId="77777777" w:rsidR="006614CE" w:rsidRPr="00F64CB1" w:rsidRDefault="006614CE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68D89526" w14:textId="77777777" w:rsidR="006614CE" w:rsidRPr="00F64CB1" w:rsidRDefault="00FF164B" w:rsidP="004E42F1">
            <w:pPr>
              <w:adjustRightInd w:val="0"/>
              <w:ind w:left="567" w:right="108"/>
            </w:pPr>
            <w:r w:rsidRPr="00F64CB1">
              <w:t>$312</w:t>
            </w:r>
          </w:p>
        </w:tc>
      </w:tr>
    </w:tbl>
    <w:p w14:paraId="177D65FE" w14:textId="77777777" w:rsidR="004E42F1" w:rsidRPr="00F64CB1" w:rsidRDefault="004E42F1" w:rsidP="001F53EA">
      <w:pPr>
        <w:ind w:left="567"/>
        <w:rPr>
          <w:rFonts w:ascii="Arial" w:hAnsi="Arial" w:cs="Arial"/>
          <w:b/>
        </w:rPr>
      </w:pPr>
    </w:p>
    <w:p w14:paraId="40BE76FF" w14:textId="77777777" w:rsidR="004E42F1" w:rsidRPr="00F64CB1" w:rsidRDefault="004E42F1">
      <w:pPr>
        <w:spacing w:line="240" w:lineRule="auto"/>
        <w:rPr>
          <w:rFonts w:ascii="Arial" w:hAnsi="Arial" w:cs="Arial"/>
          <w:b/>
        </w:rPr>
      </w:pPr>
      <w:r w:rsidRPr="00F64CB1">
        <w:rPr>
          <w:rFonts w:ascii="Arial" w:hAnsi="Arial" w:cs="Arial"/>
          <w:b/>
        </w:rPr>
        <w:br w:type="page"/>
      </w:r>
    </w:p>
    <w:p w14:paraId="65E7F78A" w14:textId="77777777" w:rsidR="001F53EA" w:rsidRPr="00F64CB1" w:rsidRDefault="001F53EA" w:rsidP="001F53EA">
      <w:pPr>
        <w:ind w:left="567"/>
        <w:rPr>
          <w:rFonts w:ascii="Arial" w:hAnsi="Arial" w:cs="Arial"/>
          <w:b/>
        </w:rPr>
      </w:pPr>
    </w:p>
    <w:p w14:paraId="0F106059" w14:textId="0CFDFC01" w:rsidR="00DB4190" w:rsidRPr="00F64CB1" w:rsidRDefault="009E28C7" w:rsidP="00933717">
      <w:pPr>
        <w:pStyle w:val="ItemHead"/>
      </w:pPr>
      <w:r w:rsidRPr="00F64CB1">
        <w:t xml:space="preserve">2  </w:t>
      </w:r>
      <w:r w:rsidR="00933717" w:rsidRPr="00F64CB1">
        <w:t>Clause 2 of Schedule 1 (Table 2)</w:t>
      </w:r>
    </w:p>
    <w:p w14:paraId="024CE970" w14:textId="77777777" w:rsidR="00DB4190" w:rsidRPr="00F64CB1" w:rsidRDefault="00DB4190" w:rsidP="00DB4190">
      <w:pPr>
        <w:pStyle w:val="Item"/>
        <w:rPr>
          <w:szCs w:val="22"/>
          <w:shd w:val="clear" w:color="auto" w:fill="FFFFFF"/>
        </w:rPr>
      </w:pPr>
      <w:r w:rsidRPr="00F64CB1">
        <w:rPr>
          <w:szCs w:val="22"/>
          <w:shd w:val="clear" w:color="auto" w:fill="FFFFFF"/>
        </w:rPr>
        <w:t>Repeal the table</w:t>
      </w:r>
      <w:r w:rsidR="00F61FFF" w:rsidRPr="00F64CB1">
        <w:rPr>
          <w:szCs w:val="22"/>
          <w:shd w:val="clear" w:color="auto" w:fill="FFFFFF"/>
        </w:rPr>
        <w:t xml:space="preserve"> (including the heading)</w:t>
      </w:r>
      <w:r w:rsidRPr="00F64CB1">
        <w:rPr>
          <w:szCs w:val="22"/>
          <w:shd w:val="clear" w:color="auto" w:fill="FFFFFF"/>
        </w:rPr>
        <w:t>, substitute:</w:t>
      </w:r>
    </w:p>
    <w:p w14:paraId="5BA41C84" w14:textId="79D2AD42" w:rsidR="00EB594E" w:rsidRPr="00F64CB1" w:rsidRDefault="0012066B" w:rsidP="00EB594E">
      <w:pPr>
        <w:keepNext/>
        <w:tabs>
          <w:tab w:val="left" w:pos="426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F64CB1">
        <w:rPr>
          <w:rFonts w:ascii="Arial" w:hAnsi="Arial" w:cs="Arial"/>
          <w:b/>
          <w:bCs/>
          <w:sz w:val="24"/>
          <w:szCs w:val="24"/>
        </w:rPr>
        <w:t xml:space="preserve">Table 2 – Victoria </w:t>
      </w:r>
      <w:r w:rsidR="009D01AC" w:rsidRPr="00F64CB1">
        <w:rPr>
          <w:rFonts w:ascii="Arial" w:hAnsi="Arial" w:cs="Arial"/>
          <w:b/>
          <w:bCs/>
          <w:sz w:val="24"/>
          <w:szCs w:val="24"/>
        </w:rPr>
        <w:t xml:space="preserve">- </w:t>
      </w:r>
      <w:r w:rsidR="007D3BDC" w:rsidRPr="00F64CB1">
        <w:rPr>
          <w:rFonts w:ascii="Arial" w:hAnsi="Arial" w:cs="Arial"/>
          <w:b/>
          <w:bCs/>
          <w:sz w:val="24"/>
          <w:szCs w:val="24"/>
        </w:rPr>
        <w:t>overnight</w:t>
      </w:r>
      <w:r w:rsidR="00EB594E" w:rsidRPr="00F64CB1">
        <w:rPr>
          <w:rFonts w:ascii="Arial" w:hAnsi="Arial" w:cs="Arial"/>
          <w:b/>
          <w:bCs/>
          <w:sz w:val="24"/>
          <w:szCs w:val="24"/>
        </w:rPr>
        <w:t xml:space="preserve"> shared ward accommodation </w:t>
      </w:r>
      <w:r w:rsidRPr="00F64CB1">
        <w:rPr>
          <w:rFonts w:ascii="Arial" w:hAnsi="Arial" w:cs="Arial"/>
          <w:b/>
          <w:bCs/>
          <w:sz w:val="24"/>
          <w:szCs w:val="24"/>
        </w:rPr>
        <w:t xml:space="preserve">for private patients </w:t>
      </w:r>
      <w:r w:rsidR="00EB594E" w:rsidRPr="00F64CB1">
        <w:rPr>
          <w:rFonts w:ascii="Arial" w:hAnsi="Arial" w:cs="Arial"/>
          <w:b/>
          <w:bCs/>
          <w:sz w:val="24"/>
          <w:szCs w:val="24"/>
        </w:rPr>
        <w:t>at public hospital</w:t>
      </w:r>
      <w:r w:rsidR="00E907E9" w:rsidRPr="00F64CB1">
        <w:rPr>
          <w:rFonts w:ascii="Arial" w:hAnsi="Arial" w:cs="Arial"/>
          <w:b/>
          <w:bCs/>
          <w:sz w:val="24"/>
          <w:szCs w:val="24"/>
        </w:rPr>
        <w:t>s</w:t>
      </w:r>
    </w:p>
    <w:p w14:paraId="41E6E1F3" w14:textId="77777777" w:rsidR="005D7630" w:rsidRPr="00F64CB1" w:rsidRDefault="005D7630" w:rsidP="005D7630">
      <w:pPr>
        <w:pStyle w:val="Item"/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53202A" w:rsidRPr="00F64CB1" w14:paraId="48681B8B" w14:textId="77777777" w:rsidTr="00CF4D5E">
        <w:tc>
          <w:tcPr>
            <w:tcW w:w="4556" w:type="dxa"/>
            <w:hideMark/>
          </w:tcPr>
          <w:p w14:paraId="51770AA2" w14:textId="77777777" w:rsidR="0053202A" w:rsidRPr="00F64CB1" w:rsidRDefault="0053202A" w:rsidP="00CF4D5E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5EDFBD25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Minimum benefit payable per night</w:t>
            </w:r>
          </w:p>
        </w:tc>
      </w:tr>
      <w:tr w:rsidR="0053202A" w:rsidRPr="00F64CB1" w14:paraId="787936E5" w14:textId="77777777" w:rsidTr="00CF4D5E">
        <w:tc>
          <w:tcPr>
            <w:tcW w:w="4556" w:type="dxa"/>
            <w:hideMark/>
          </w:tcPr>
          <w:p w14:paraId="5CF57AF0" w14:textId="77777777" w:rsidR="0053202A" w:rsidRPr="00F64CB1" w:rsidRDefault="0053202A" w:rsidP="00CF4D5E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507A220D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53202A" w:rsidRPr="00F64CB1" w14:paraId="2E57C89E" w14:textId="77777777" w:rsidTr="00CF4D5E">
        <w:tc>
          <w:tcPr>
            <w:tcW w:w="4556" w:type="dxa"/>
            <w:hideMark/>
          </w:tcPr>
          <w:p w14:paraId="5D3BD7CA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5BD25019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$448</w:t>
            </w:r>
          </w:p>
        </w:tc>
      </w:tr>
      <w:tr w:rsidR="0053202A" w:rsidRPr="00F64CB1" w14:paraId="77786DFA" w14:textId="77777777" w:rsidTr="00CF4D5E">
        <w:tc>
          <w:tcPr>
            <w:tcW w:w="4556" w:type="dxa"/>
            <w:hideMark/>
          </w:tcPr>
          <w:p w14:paraId="78B820B3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4ACB61EC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53202A" w:rsidRPr="00F64CB1" w14:paraId="1D8D885F" w14:textId="77777777" w:rsidTr="00CF4D5E">
        <w:tc>
          <w:tcPr>
            <w:tcW w:w="4556" w:type="dxa"/>
            <w:hideMark/>
          </w:tcPr>
          <w:p w14:paraId="62200874" w14:textId="77777777" w:rsidR="0053202A" w:rsidRPr="00F64CB1" w:rsidRDefault="0053202A" w:rsidP="00CF4D5E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01F13511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53202A" w:rsidRPr="00F64CB1" w14:paraId="2B3EF40C" w14:textId="77777777" w:rsidTr="00CF4D5E">
        <w:tc>
          <w:tcPr>
            <w:tcW w:w="4556" w:type="dxa"/>
            <w:hideMark/>
          </w:tcPr>
          <w:p w14:paraId="59B56B05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1FD78CBD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53202A" w:rsidRPr="00F64CB1" w14:paraId="6A2ADEBE" w14:textId="77777777" w:rsidTr="00CF4D5E">
        <w:tc>
          <w:tcPr>
            <w:tcW w:w="4556" w:type="dxa"/>
            <w:hideMark/>
          </w:tcPr>
          <w:p w14:paraId="29252B7B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1201CD3A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53202A" w:rsidRPr="00F64CB1" w14:paraId="4541F294" w14:textId="77777777" w:rsidTr="00CF4D5E">
        <w:tc>
          <w:tcPr>
            <w:tcW w:w="4556" w:type="dxa"/>
            <w:hideMark/>
          </w:tcPr>
          <w:p w14:paraId="09B01377" w14:textId="77777777" w:rsidR="0053202A" w:rsidRPr="00F64CB1" w:rsidRDefault="0053202A" w:rsidP="00CF4D5E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42E77A0C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53202A" w:rsidRPr="00F64CB1" w14:paraId="390C6D64" w14:textId="77777777" w:rsidTr="00CF4D5E">
        <w:tc>
          <w:tcPr>
            <w:tcW w:w="4556" w:type="dxa"/>
            <w:hideMark/>
          </w:tcPr>
          <w:p w14:paraId="0E03F7E7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42 days</w:t>
            </w:r>
          </w:p>
        </w:tc>
        <w:tc>
          <w:tcPr>
            <w:tcW w:w="4624" w:type="dxa"/>
            <w:hideMark/>
          </w:tcPr>
          <w:p w14:paraId="494A0E1E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53202A" w:rsidRPr="00F64CB1" w14:paraId="105869A5" w14:textId="77777777" w:rsidTr="00CF4D5E">
        <w:tc>
          <w:tcPr>
            <w:tcW w:w="4556" w:type="dxa"/>
            <w:hideMark/>
          </w:tcPr>
          <w:p w14:paraId="2CCD5CA9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43 – 65 days</w:t>
            </w:r>
          </w:p>
        </w:tc>
        <w:tc>
          <w:tcPr>
            <w:tcW w:w="4624" w:type="dxa"/>
            <w:hideMark/>
          </w:tcPr>
          <w:p w14:paraId="5D68963C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53202A" w:rsidRPr="00F64CB1" w14:paraId="54BEE5EC" w14:textId="77777777" w:rsidTr="00CF4D5E">
        <w:tc>
          <w:tcPr>
            <w:tcW w:w="4556" w:type="dxa"/>
            <w:hideMark/>
          </w:tcPr>
          <w:p w14:paraId="2AD99D5C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797691A8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53202A" w:rsidRPr="00F64CB1" w14:paraId="38A1A84C" w14:textId="77777777" w:rsidTr="00CF4D5E">
        <w:tc>
          <w:tcPr>
            <w:tcW w:w="4556" w:type="dxa"/>
            <w:hideMark/>
          </w:tcPr>
          <w:p w14:paraId="3A876D5F" w14:textId="77777777" w:rsidR="0053202A" w:rsidRPr="00F64CB1" w:rsidRDefault="0053202A" w:rsidP="00CF4D5E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787B98CB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53202A" w:rsidRPr="00F64CB1" w14:paraId="6C44DCFF" w14:textId="77777777" w:rsidTr="00CF4D5E">
        <w:tc>
          <w:tcPr>
            <w:tcW w:w="4556" w:type="dxa"/>
            <w:hideMark/>
          </w:tcPr>
          <w:p w14:paraId="2CC22B86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49 days</w:t>
            </w:r>
          </w:p>
        </w:tc>
        <w:tc>
          <w:tcPr>
            <w:tcW w:w="4624" w:type="dxa"/>
            <w:hideMark/>
          </w:tcPr>
          <w:p w14:paraId="300C8B32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$415</w:t>
            </w:r>
          </w:p>
        </w:tc>
      </w:tr>
      <w:tr w:rsidR="0053202A" w:rsidRPr="00F64CB1" w14:paraId="05300696" w14:textId="77777777" w:rsidTr="00CF4D5E">
        <w:tc>
          <w:tcPr>
            <w:tcW w:w="4556" w:type="dxa"/>
            <w:hideMark/>
          </w:tcPr>
          <w:p w14:paraId="28DF08B1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50 </w:t>
            </w:r>
            <w:r w:rsidRPr="00F64CB1">
              <w:noBreakHyphen/>
              <w:t xml:space="preserve"> 65 days</w:t>
            </w:r>
          </w:p>
        </w:tc>
        <w:tc>
          <w:tcPr>
            <w:tcW w:w="4624" w:type="dxa"/>
            <w:hideMark/>
          </w:tcPr>
          <w:p w14:paraId="0F5D3111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53202A" w:rsidRPr="00F64CB1" w14:paraId="307F9270" w14:textId="77777777" w:rsidTr="00CF4D5E">
        <w:tc>
          <w:tcPr>
            <w:tcW w:w="4556" w:type="dxa"/>
            <w:hideMark/>
          </w:tcPr>
          <w:p w14:paraId="1E795ED1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313745DA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$312</w:t>
            </w:r>
          </w:p>
        </w:tc>
      </w:tr>
      <w:tr w:rsidR="0053202A" w:rsidRPr="00F64CB1" w14:paraId="6CFE280A" w14:textId="77777777" w:rsidTr="00CF4D5E">
        <w:tc>
          <w:tcPr>
            <w:tcW w:w="4556" w:type="dxa"/>
            <w:hideMark/>
          </w:tcPr>
          <w:p w14:paraId="2921AF27" w14:textId="77777777" w:rsidR="0053202A" w:rsidRPr="00F64CB1" w:rsidRDefault="0053202A" w:rsidP="00CF4D5E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0C492431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53202A" w:rsidRPr="00F64CB1" w14:paraId="1CFBD7A9" w14:textId="77777777" w:rsidTr="00CF4D5E">
        <w:tc>
          <w:tcPr>
            <w:tcW w:w="4556" w:type="dxa"/>
            <w:hideMark/>
          </w:tcPr>
          <w:p w14:paraId="6D530955" w14:textId="77777777" w:rsidR="0053202A" w:rsidRPr="00F64CB1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2599EBE8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$360</w:t>
            </w:r>
          </w:p>
        </w:tc>
      </w:tr>
      <w:tr w:rsidR="0053202A" w:rsidRPr="00F64CB1" w14:paraId="6859BFD2" w14:textId="77777777" w:rsidTr="00CF4D5E">
        <w:tc>
          <w:tcPr>
            <w:tcW w:w="4556" w:type="dxa"/>
            <w:hideMark/>
          </w:tcPr>
          <w:p w14:paraId="048D209A" w14:textId="77777777" w:rsidR="0053202A" w:rsidRPr="00F64CB1" w:rsidRDefault="0053202A" w:rsidP="00CF4D5E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35285BE2" w14:textId="77777777" w:rsidR="0053202A" w:rsidRPr="00F64CB1" w:rsidRDefault="0053202A" w:rsidP="00CF4D5E">
            <w:pPr>
              <w:adjustRightInd w:val="0"/>
              <w:ind w:left="567" w:right="108"/>
            </w:pPr>
            <w:r w:rsidRPr="00F64CB1">
              <w:t>$312</w:t>
            </w:r>
          </w:p>
        </w:tc>
      </w:tr>
    </w:tbl>
    <w:p w14:paraId="5620C982" w14:textId="77777777" w:rsidR="0060780D" w:rsidRPr="00F64CB1" w:rsidRDefault="0060780D" w:rsidP="0053202A">
      <w:pPr>
        <w:pStyle w:val="ItemHead"/>
        <w:ind w:left="0" w:firstLine="0"/>
      </w:pPr>
    </w:p>
    <w:p w14:paraId="42DF617C" w14:textId="77777777" w:rsidR="0060780D" w:rsidRPr="00F64CB1" w:rsidRDefault="0060780D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F64CB1">
        <w:br w:type="page"/>
      </w:r>
    </w:p>
    <w:p w14:paraId="0EABA30C" w14:textId="77777777" w:rsidR="0053202A" w:rsidRPr="00F64CB1" w:rsidRDefault="0053202A" w:rsidP="0053202A">
      <w:pPr>
        <w:pStyle w:val="ItemHead"/>
        <w:ind w:left="0" w:firstLine="0"/>
      </w:pPr>
    </w:p>
    <w:p w14:paraId="699AC465" w14:textId="06B962FF" w:rsidR="005D7630" w:rsidRPr="00F64CB1" w:rsidRDefault="009E28C7" w:rsidP="005D7630">
      <w:pPr>
        <w:pStyle w:val="ItemHead"/>
      </w:pPr>
      <w:r w:rsidRPr="00F64CB1">
        <w:t xml:space="preserve">3  </w:t>
      </w:r>
      <w:r w:rsidR="009B70C8" w:rsidRPr="00F64CB1">
        <w:t>C</w:t>
      </w:r>
      <w:r w:rsidR="005D7630" w:rsidRPr="00F64CB1">
        <w:t xml:space="preserve">lause 2 </w:t>
      </w:r>
      <w:r w:rsidR="009B70C8" w:rsidRPr="00F64CB1">
        <w:t>of Schedule 1 (T</w:t>
      </w:r>
      <w:r w:rsidR="005D7630" w:rsidRPr="00F64CB1">
        <w:t>able 3)</w:t>
      </w:r>
    </w:p>
    <w:p w14:paraId="716D4A01" w14:textId="77777777" w:rsidR="005E317F" w:rsidRPr="00F64CB1" w:rsidRDefault="005D7630" w:rsidP="005D7630">
      <w:pPr>
        <w:pStyle w:val="Item"/>
        <w:rPr>
          <w:szCs w:val="22"/>
          <w:shd w:val="clear" w:color="auto" w:fill="FFFFFF"/>
        </w:rPr>
      </w:pPr>
      <w:r w:rsidRPr="00F64CB1">
        <w:rPr>
          <w:szCs w:val="22"/>
          <w:shd w:val="clear" w:color="auto" w:fill="FFFFFF"/>
        </w:rPr>
        <w:t>Repeal the table</w:t>
      </w:r>
      <w:r w:rsidR="00F61FFF" w:rsidRPr="00F64CB1">
        <w:rPr>
          <w:szCs w:val="22"/>
          <w:shd w:val="clear" w:color="auto" w:fill="FFFFFF"/>
        </w:rPr>
        <w:t xml:space="preserve"> (including the heading)</w:t>
      </w:r>
      <w:r w:rsidRPr="00F64CB1">
        <w:rPr>
          <w:szCs w:val="22"/>
          <w:shd w:val="clear" w:color="auto" w:fill="FFFFFF"/>
        </w:rPr>
        <w:t>, substitute:</w:t>
      </w:r>
    </w:p>
    <w:p w14:paraId="08BCF71C" w14:textId="2FD25565" w:rsidR="00A97DBB" w:rsidRPr="00F64CB1" w:rsidRDefault="000B1E66" w:rsidP="00A97DBB">
      <w:pPr>
        <w:keepNext/>
        <w:tabs>
          <w:tab w:val="left" w:pos="426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F64CB1">
        <w:rPr>
          <w:rFonts w:ascii="Arial" w:hAnsi="Arial" w:cs="Arial"/>
          <w:b/>
          <w:bCs/>
          <w:sz w:val="24"/>
          <w:szCs w:val="24"/>
        </w:rPr>
        <w:t xml:space="preserve">Table 3 – Tasmania </w:t>
      </w:r>
      <w:r w:rsidR="007C61B9" w:rsidRPr="00F64CB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64CB1">
        <w:rPr>
          <w:rFonts w:ascii="Arial" w:hAnsi="Arial" w:cs="Arial"/>
          <w:b/>
          <w:bCs/>
          <w:sz w:val="24"/>
          <w:szCs w:val="24"/>
        </w:rPr>
        <w:t>o</w:t>
      </w:r>
      <w:r w:rsidR="007D3BDC" w:rsidRPr="00F64CB1">
        <w:rPr>
          <w:rFonts w:ascii="Arial" w:hAnsi="Arial" w:cs="Arial"/>
          <w:b/>
          <w:bCs/>
          <w:sz w:val="24"/>
          <w:szCs w:val="24"/>
        </w:rPr>
        <w:t xml:space="preserve">vernight </w:t>
      </w:r>
      <w:r w:rsidR="00A97DBB" w:rsidRPr="00F64CB1">
        <w:rPr>
          <w:rFonts w:ascii="Arial" w:hAnsi="Arial" w:cs="Arial"/>
          <w:b/>
          <w:bCs/>
          <w:sz w:val="24"/>
          <w:szCs w:val="24"/>
        </w:rPr>
        <w:t xml:space="preserve">shared ward accommodation </w:t>
      </w:r>
      <w:r w:rsidR="00480AD7" w:rsidRPr="00F64CB1"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F64CB1">
        <w:rPr>
          <w:rFonts w:ascii="Arial" w:hAnsi="Arial" w:cs="Arial"/>
          <w:b/>
          <w:bCs/>
          <w:sz w:val="24"/>
          <w:szCs w:val="24"/>
        </w:rPr>
        <w:t xml:space="preserve">private patients </w:t>
      </w:r>
      <w:r w:rsidR="00A97DBB" w:rsidRPr="00F64CB1">
        <w:rPr>
          <w:rFonts w:ascii="Arial" w:hAnsi="Arial" w:cs="Arial"/>
          <w:b/>
          <w:bCs/>
          <w:sz w:val="24"/>
          <w:szCs w:val="24"/>
        </w:rPr>
        <w:t>at public hospital</w:t>
      </w:r>
      <w:r w:rsidR="00E907E9" w:rsidRPr="00F64CB1">
        <w:rPr>
          <w:rFonts w:ascii="Arial" w:hAnsi="Arial" w:cs="Arial"/>
          <w:b/>
          <w:bCs/>
          <w:sz w:val="24"/>
          <w:szCs w:val="24"/>
        </w:rPr>
        <w:t>s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F1297D" w:rsidRPr="00F64CB1" w14:paraId="682A82F7" w14:textId="77777777" w:rsidTr="004E42F1">
        <w:tc>
          <w:tcPr>
            <w:tcW w:w="4556" w:type="dxa"/>
            <w:hideMark/>
          </w:tcPr>
          <w:p w14:paraId="5460B2A1" w14:textId="77777777" w:rsidR="00A97DBB" w:rsidRPr="00F64CB1" w:rsidRDefault="00A97DBB" w:rsidP="004E42F1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1CB1B2F1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Minimum benefit payable per night</w:t>
            </w:r>
          </w:p>
        </w:tc>
      </w:tr>
      <w:tr w:rsidR="00F1297D" w:rsidRPr="00F64CB1" w14:paraId="277D503B" w14:textId="77777777" w:rsidTr="004E42F1">
        <w:tc>
          <w:tcPr>
            <w:tcW w:w="4556" w:type="dxa"/>
            <w:hideMark/>
          </w:tcPr>
          <w:p w14:paraId="41EF3F82" w14:textId="77777777" w:rsidR="00A97DBB" w:rsidRPr="00F64CB1" w:rsidRDefault="00A97DBB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126428C9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F1297D" w:rsidRPr="00F64CB1" w14:paraId="51294C4D" w14:textId="77777777" w:rsidTr="004E42F1">
        <w:tc>
          <w:tcPr>
            <w:tcW w:w="4556" w:type="dxa"/>
            <w:hideMark/>
          </w:tcPr>
          <w:p w14:paraId="0D7BBD88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</w:tcPr>
          <w:p w14:paraId="5F22B291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$438</w:t>
            </w:r>
          </w:p>
        </w:tc>
      </w:tr>
      <w:tr w:rsidR="00F1297D" w:rsidRPr="00F64CB1" w14:paraId="3A78397D" w14:textId="77777777" w:rsidTr="004E42F1">
        <w:tc>
          <w:tcPr>
            <w:tcW w:w="4556" w:type="dxa"/>
            <w:hideMark/>
          </w:tcPr>
          <w:p w14:paraId="386107D4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</w:tcPr>
          <w:p w14:paraId="7D763265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$305</w:t>
            </w:r>
          </w:p>
        </w:tc>
      </w:tr>
      <w:tr w:rsidR="00F1297D" w:rsidRPr="00F64CB1" w14:paraId="3D237F8F" w14:textId="77777777" w:rsidTr="004E42F1">
        <w:tc>
          <w:tcPr>
            <w:tcW w:w="4556" w:type="dxa"/>
            <w:hideMark/>
          </w:tcPr>
          <w:p w14:paraId="3142405C" w14:textId="77777777" w:rsidR="00A97DBB" w:rsidRPr="00F64CB1" w:rsidRDefault="00A97DBB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F64CB1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55ABDBFE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F1297D" w:rsidRPr="00F64CB1" w14:paraId="0907329C" w14:textId="77777777" w:rsidTr="004E42F1">
        <w:tc>
          <w:tcPr>
            <w:tcW w:w="4556" w:type="dxa"/>
            <w:hideMark/>
          </w:tcPr>
          <w:p w14:paraId="15E15416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</w:tcPr>
          <w:p w14:paraId="0063A03F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$406</w:t>
            </w:r>
          </w:p>
        </w:tc>
      </w:tr>
      <w:tr w:rsidR="00F1297D" w:rsidRPr="00F64CB1" w14:paraId="59E284AB" w14:textId="77777777" w:rsidTr="004E42F1">
        <w:tc>
          <w:tcPr>
            <w:tcW w:w="4556" w:type="dxa"/>
            <w:hideMark/>
          </w:tcPr>
          <w:p w14:paraId="742D341B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</w:tcPr>
          <w:p w14:paraId="0534E930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$305</w:t>
            </w:r>
          </w:p>
        </w:tc>
      </w:tr>
      <w:tr w:rsidR="00F1297D" w:rsidRPr="00F64CB1" w14:paraId="5058CEFA" w14:textId="77777777" w:rsidTr="004E42F1">
        <w:tc>
          <w:tcPr>
            <w:tcW w:w="4556" w:type="dxa"/>
            <w:hideMark/>
          </w:tcPr>
          <w:p w14:paraId="620870BB" w14:textId="77777777" w:rsidR="00A97DBB" w:rsidRPr="00F64CB1" w:rsidRDefault="00A97DBB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78D9A340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F1297D" w:rsidRPr="00F64CB1" w14:paraId="5672E937" w14:textId="77777777" w:rsidTr="004E42F1">
        <w:tc>
          <w:tcPr>
            <w:tcW w:w="4556" w:type="dxa"/>
            <w:hideMark/>
          </w:tcPr>
          <w:p w14:paraId="7A09290E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42 days</w:t>
            </w:r>
          </w:p>
        </w:tc>
        <w:tc>
          <w:tcPr>
            <w:tcW w:w="4624" w:type="dxa"/>
          </w:tcPr>
          <w:p w14:paraId="4C78EEED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$406</w:t>
            </w:r>
          </w:p>
        </w:tc>
      </w:tr>
      <w:tr w:rsidR="00F1297D" w:rsidRPr="00F64CB1" w14:paraId="5377D8DF" w14:textId="77777777" w:rsidTr="004E42F1">
        <w:tc>
          <w:tcPr>
            <w:tcW w:w="4556" w:type="dxa"/>
            <w:hideMark/>
          </w:tcPr>
          <w:p w14:paraId="1169CB22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43 – 65 days</w:t>
            </w:r>
          </w:p>
        </w:tc>
        <w:tc>
          <w:tcPr>
            <w:tcW w:w="4624" w:type="dxa"/>
          </w:tcPr>
          <w:p w14:paraId="22A29D43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$352</w:t>
            </w:r>
          </w:p>
        </w:tc>
      </w:tr>
      <w:tr w:rsidR="00F1297D" w:rsidRPr="00F64CB1" w14:paraId="4FF1E68C" w14:textId="77777777" w:rsidTr="004E42F1">
        <w:tc>
          <w:tcPr>
            <w:tcW w:w="4556" w:type="dxa"/>
            <w:hideMark/>
          </w:tcPr>
          <w:p w14:paraId="37C7D26E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</w:tcPr>
          <w:p w14:paraId="07E0A3A0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$305</w:t>
            </w:r>
          </w:p>
        </w:tc>
      </w:tr>
      <w:tr w:rsidR="00F1297D" w:rsidRPr="00F64CB1" w14:paraId="592D27E1" w14:textId="77777777" w:rsidTr="004E42F1">
        <w:tc>
          <w:tcPr>
            <w:tcW w:w="4556" w:type="dxa"/>
            <w:hideMark/>
          </w:tcPr>
          <w:p w14:paraId="0E267642" w14:textId="77777777" w:rsidR="00A97DBB" w:rsidRPr="00F64CB1" w:rsidRDefault="00A97DBB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74937CF1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F1297D" w:rsidRPr="00F64CB1" w14:paraId="5CD9D315" w14:textId="77777777" w:rsidTr="004E42F1">
        <w:tc>
          <w:tcPr>
            <w:tcW w:w="4556" w:type="dxa"/>
            <w:hideMark/>
          </w:tcPr>
          <w:p w14:paraId="345FC62B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49 days</w:t>
            </w:r>
          </w:p>
        </w:tc>
        <w:tc>
          <w:tcPr>
            <w:tcW w:w="4624" w:type="dxa"/>
          </w:tcPr>
          <w:p w14:paraId="59423AE2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$406</w:t>
            </w:r>
          </w:p>
        </w:tc>
      </w:tr>
      <w:tr w:rsidR="00F1297D" w:rsidRPr="00F64CB1" w14:paraId="1C33AE0C" w14:textId="77777777" w:rsidTr="004E42F1">
        <w:tc>
          <w:tcPr>
            <w:tcW w:w="4556" w:type="dxa"/>
            <w:hideMark/>
          </w:tcPr>
          <w:p w14:paraId="2B83A472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50 </w:t>
            </w:r>
            <w:r w:rsidRPr="00F64CB1">
              <w:noBreakHyphen/>
              <w:t xml:space="preserve"> 65 days</w:t>
            </w:r>
          </w:p>
        </w:tc>
        <w:tc>
          <w:tcPr>
            <w:tcW w:w="4624" w:type="dxa"/>
          </w:tcPr>
          <w:p w14:paraId="74487EC1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$352</w:t>
            </w:r>
          </w:p>
        </w:tc>
      </w:tr>
      <w:tr w:rsidR="00F1297D" w:rsidRPr="00F64CB1" w14:paraId="2BD0F768" w14:textId="77777777" w:rsidTr="004E42F1">
        <w:tc>
          <w:tcPr>
            <w:tcW w:w="4556" w:type="dxa"/>
            <w:hideMark/>
          </w:tcPr>
          <w:p w14:paraId="05A8C69F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over 65 days</w:t>
            </w:r>
          </w:p>
        </w:tc>
        <w:tc>
          <w:tcPr>
            <w:tcW w:w="4624" w:type="dxa"/>
          </w:tcPr>
          <w:p w14:paraId="36D88772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$305</w:t>
            </w:r>
          </w:p>
        </w:tc>
      </w:tr>
      <w:tr w:rsidR="00F1297D" w:rsidRPr="00F64CB1" w14:paraId="4703FF2A" w14:textId="77777777" w:rsidTr="004E42F1">
        <w:tc>
          <w:tcPr>
            <w:tcW w:w="4556" w:type="dxa"/>
            <w:hideMark/>
          </w:tcPr>
          <w:p w14:paraId="0AB02634" w14:textId="77777777" w:rsidR="00A97DBB" w:rsidRPr="00F64CB1" w:rsidRDefault="00A97DBB" w:rsidP="004E42F1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22B64F11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</w:p>
        </w:tc>
      </w:tr>
      <w:tr w:rsidR="00F1297D" w:rsidRPr="00F64CB1" w14:paraId="4940C2B9" w14:textId="77777777" w:rsidTr="004E42F1">
        <w:tc>
          <w:tcPr>
            <w:tcW w:w="4556" w:type="dxa"/>
            <w:hideMark/>
          </w:tcPr>
          <w:p w14:paraId="7F60CCBD" w14:textId="77777777" w:rsidR="00A97DBB" w:rsidRPr="00F64CB1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F64CB1">
              <w:noBreakHyphen/>
              <w:t xml:space="preserve"> first 14 days</w:t>
            </w:r>
          </w:p>
        </w:tc>
        <w:tc>
          <w:tcPr>
            <w:tcW w:w="4624" w:type="dxa"/>
          </w:tcPr>
          <w:p w14:paraId="3F9B70BC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$352</w:t>
            </w:r>
          </w:p>
        </w:tc>
      </w:tr>
      <w:tr w:rsidR="00F1297D" w:rsidRPr="00F64CB1" w14:paraId="3FA9C459" w14:textId="77777777" w:rsidTr="004E42F1">
        <w:tc>
          <w:tcPr>
            <w:tcW w:w="4556" w:type="dxa"/>
            <w:hideMark/>
          </w:tcPr>
          <w:p w14:paraId="547B18A9" w14:textId="77777777" w:rsidR="00A97DBB" w:rsidRPr="00F64CB1" w:rsidRDefault="00A97DBB" w:rsidP="004E42F1">
            <w:pPr>
              <w:adjustRightInd w:val="0"/>
              <w:ind w:left="567"/>
            </w:pPr>
            <w:r w:rsidRPr="00F64CB1">
              <w:noBreakHyphen/>
              <w:t xml:space="preserve"> over 14 days</w:t>
            </w:r>
          </w:p>
        </w:tc>
        <w:tc>
          <w:tcPr>
            <w:tcW w:w="4624" w:type="dxa"/>
          </w:tcPr>
          <w:p w14:paraId="116DE2FD" w14:textId="77777777" w:rsidR="00A97DBB" w:rsidRPr="00F64CB1" w:rsidRDefault="00A97DBB" w:rsidP="004E42F1">
            <w:pPr>
              <w:adjustRightInd w:val="0"/>
              <w:ind w:left="567" w:right="108"/>
            </w:pPr>
            <w:r w:rsidRPr="00F64CB1">
              <w:t>$305</w:t>
            </w:r>
          </w:p>
        </w:tc>
      </w:tr>
    </w:tbl>
    <w:p w14:paraId="6EDE6C43" w14:textId="77777777" w:rsidR="006C00E9" w:rsidRPr="00F64CB1" w:rsidRDefault="006C00E9" w:rsidP="009E28C7">
      <w:pPr>
        <w:pStyle w:val="ItemHead"/>
        <w:ind w:left="0" w:firstLine="0"/>
      </w:pPr>
    </w:p>
    <w:p w14:paraId="65EC2FB0" w14:textId="0829FC35" w:rsidR="003323F3" w:rsidRPr="00F64CB1" w:rsidRDefault="009E28C7" w:rsidP="003323F3">
      <w:pPr>
        <w:pStyle w:val="ItemHead"/>
      </w:pPr>
      <w:r w:rsidRPr="00F64CB1">
        <w:t xml:space="preserve">4  </w:t>
      </w:r>
      <w:r w:rsidR="00E21648" w:rsidRPr="00F64CB1">
        <w:t>Subclause 4(3)</w:t>
      </w:r>
      <w:r w:rsidR="00EC1AAC" w:rsidRPr="00F64CB1">
        <w:t xml:space="preserve"> </w:t>
      </w:r>
      <w:r w:rsidR="00E21648" w:rsidRPr="00F64CB1">
        <w:t xml:space="preserve">of </w:t>
      </w:r>
      <w:r w:rsidR="003323F3" w:rsidRPr="00F64CB1">
        <w:t>S</w:t>
      </w:r>
      <w:r w:rsidR="00E21648" w:rsidRPr="00F64CB1">
        <w:t xml:space="preserve">chedule 1 </w:t>
      </w:r>
    </w:p>
    <w:p w14:paraId="30EE5BC3" w14:textId="77777777" w:rsidR="003323F3" w:rsidRPr="00F64CB1" w:rsidRDefault="003323F3" w:rsidP="003323F3">
      <w:pPr>
        <w:pStyle w:val="Item"/>
      </w:pPr>
      <w:r w:rsidRPr="00F64CB1">
        <w:t>Omit “$866.60”, substitute “</w:t>
      </w:r>
      <w:r w:rsidR="00784F95" w:rsidRPr="00F64CB1">
        <w:t>$879.60</w:t>
      </w:r>
      <w:r w:rsidRPr="00F64CB1">
        <w:t>”.</w:t>
      </w:r>
    </w:p>
    <w:p w14:paraId="4343261A" w14:textId="53BF35F7" w:rsidR="003323F3" w:rsidRPr="00F64CB1" w:rsidRDefault="009E28C7" w:rsidP="003323F3">
      <w:pPr>
        <w:pStyle w:val="ItemHead"/>
        <w:ind w:left="0" w:firstLine="0"/>
      </w:pPr>
      <w:r w:rsidRPr="00F64CB1">
        <w:t xml:space="preserve">5  </w:t>
      </w:r>
      <w:r w:rsidR="00256267" w:rsidRPr="00F64CB1">
        <w:t>S</w:t>
      </w:r>
      <w:r w:rsidR="003323F3" w:rsidRPr="00F64CB1">
        <w:t>ubclause 6(3)</w:t>
      </w:r>
      <w:r w:rsidR="00256267" w:rsidRPr="00F64CB1">
        <w:t xml:space="preserve"> of Schedule 1 </w:t>
      </w:r>
    </w:p>
    <w:p w14:paraId="45CD4FF7" w14:textId="58BA1AFA" w:rsidR="00816F5A" w:rsidRPr="00F64CB1" w:rsidRDefault="003323F3" w:rsidP="00577B2E">
      <w:pPr>
        <w:pStyle w:val="Item"/>
      </w:pPr>
      <w:r w:rsidRPr="00F64CB1">
        <w:t>Omit “$258.05 to $866.60”, substitute “$</w:t>
      </w:r>
      <w:r w:rsidR="00784F95" w:rsidRPr="00F64CB1">
        <w:t xml:space="preserve">261.90 to </w:t>
      </w:r>
      <w:r w:rsidR="00F61FFF" w:rsidRPr="00F64CB1">
        <w:t>$</w:t>
      </w:r>
      <w:r w:rsidR="00784F95" w:rsidRPr="00F64CB1">
        <w:t>879.60</w:t>
      </w:r>
      <w:r w:rsidRPr="00F64CB1">
        <w:t>”.</w:t>
      </w:r>
    </w:p>
    <w:p w14:paraId="4FE27483" w14:textId="5FF88AC8" w:rsidR="00960B39" w:rsidRPr="00F64CB1" w:rsidRDefault="00960B39" w:rsidP="00960B39">
      <w:pPr>
        <w:pStyle w:val="ItemHead"/>
      </w:pPr>
      <w:r w:rsidRPr="00F64CB1">
        <w:t>6  Schedule 2 (heading)</w:t>
      </w:r>
    </w:p>
    <w:p w14:paraId="02FC87D8" w14:textId="48E7CC38" w:rsidR="006E0753" w:rsidRPr="00F64CB1" w:rsidRDefault="006E0753" w:rsidP="006E0753">
      <w:pPr>
        <w:pStyle w:val="Item"/>
      </w:pPr>
      <w:r w:rsidRPr="00F64CB1">
        <w:t>Repeal the heading, substitute:</w:t>
      </w:r>
    </w:p>
    <w:p w14:paraId="4522D909" w14:textId="610BD657" w:rsidR="00577B2E" w:rsidRPr="00F64CB1" w:rsidRDefault="006E0753" w:rsidP="006E0753">
      <w:pPr>
        <w:pStyle w:val="Item"/>
      </w:pPr>
      <w:r w:rsidRPr="00F64CB1">
        <w:t>Schedule 2</w:t>
      </w:r>
      <w:r w:rsidR="008D54AA" w:rsidRPr="00F64CB1">
        <w:t xml:space="preserve"> </w:t>
      </w:r>
      <w:r w:rsidRPr="00F64CB1">
        <w:t>-</w:t>
      </w:r>
      <w:r w:rsidR="008D54AA" w:rsidRPr="00F64CB1">
        <w:t xml:space="preserve"> </w:t>
      </w:r>
      <w:r w:rsidRPr="00F64CB1">
        <w:t xml:space="preserve">Overnight shared ward accommodation for private patients at public hospitals in the </w:t>
      </w:r>
      <w:r w:rsidR="00B41D19" w:rsidRPr="00F64CB1">
        <w:t>Australian Capital Territory</w:t>
      </w:r>
      <w:r w:rsidRPr="00F64CB1">
        <w:t xml:space="preserve">, </w:t>
      </w:r>
      <w:r w:rsidR="00B41D19" w:rsidRPr="00F64CB1">
        <w:t>New South Wales</w:t>
      </w:r>
      <w:r w:rsidRPr="00F64CB1">
        <w:t>, Northern Territory, Queensland, South Australia and Western Australia</w:t>
      </w:r>
    </w:p>
    <w:p w14:paraId="1E2AB108" w14:textId="77777777" w:rsidR="00577B2E" w:rsidRPr="00F64CB1" w:rsidRDefault="00577B2E">
      <w:pPr>
        <w:spacing w:line="240" w:lineRule="auto"/>
        <w:rPr>
          <w:rFonts w:eastAsia="Times New Roman" w:cs="Times New Roman"/>
          <w:lang w:eastAsia="en-AU"/>
        </w:rPr>
      </w:pPr>
      <w:r w:rsidRPr="00F64CB1">
        <w:br w:type="page"/>
      </w:r>
    </w:p>
    <w:p w14:paraId="14717E6D" w14:textId="77777777" w:rsidR="006E0753" w:rsidRPr="00F64CB1" w:rsidRDefault="006E0753" w:rsidP="006E0753">
      <w:pPr>
        <w:pStyle w:val="Item"/>
      </w:pPr>
    </w:p>
    <w:p w14:paraId="70818986" w14:textId="5817CF22" w:rsidR="003B6139" w:rsidRPr="00F64CB1" w:rsidRDefault="00960B39" w:rsidP="002C2A6B">
      <w:pPr>
        <w:pStyle w:val="ItemHead"/>
      </w:pPr>
      <w:r w:rsidRPr="00F64CB1">
        <w:t>7</w:t>
      </w:r>
      <w:r w:rsidR="009E28C7" w:rsidRPr="00F64CB1">
        <w:t xml:space="preserve">  </w:t>
      </w:r>
      <w:r w:rsidR="009629E6" w:rsidRPr="00F64CB1">
        <w:t>Clause</w:t>
      </w:r>
      <w:r w:rsidR="003B6139" w:rsidRPr="00F64CB1">
        <w:t xml:space="preserve"> 2 of Schedule 2 (Table</w:t>
      </w:r>
      <w:r w:rsidR="00D6253F" w:rsidRPr="00F64CB1">
        <w:t>)</w:t>
      </w:r>
    </w:p>
    <w:p w14:paraId="0C5DF7CA" w14:textId="77777777" w:rsidR="00B766C3" w:rsidRPr="00F64CB1" w:rsidRDefault="00B766C3" w:rsidP="007B4693">
      <w:pPr>
        <w:pStyle w:val="Item"/>
        <w:rPr>
          <w:szCs w:val="22"/>
          <w:shd w:val="clear" w:color="auto" w:fill="FFFFFF"/>
        </w:rPr>
      </w:pPr>
      <w:r w:rsidRPr="00F64CB1">
        <w:t>Repeal</w:t>
      </w:r>
      <w:r w:rsidRPr="00F64CB1">
        <w:rPr>
          <w:szCs w:val="22"/>
          <w:shd w:val="clear" w:color="auto" w:fill="FFFFFF"/>
        </w:rPr>
        <w:t xml:space="preserve"> the table</w:t>
      </w:r>
      <w:r w:rsidR="0029330B" w:rsidRPr="00F64CB1">
        <w:rPr>
          <w:szCs w:val="22"/>
          <w:shd w:val="clear" w:color="auto" w:fill="FFFFFF"/>
        </w:rPr>
        <w:t xml:space="preserve"> (including the heading)</w:t>
      </w:r>
      <w:r w:rsidRPr="00F64CB1">
        <w:rPr>
          <w:szCs w:val="22"/>
          <w:shd w:val="clear" w:color="auto" w:fill="FFFFFF"/>
        </w:rPr>
        <w:t>, substitute:</w:t>
      </w:r>
    </w:p>
    <w:p w14:paraId="0BF7AB65" w14:textId="77777777" w:rsidR="00B766C3" w:rsidRPr="00F64CB1" w:rsidRDefault="00B766C3" w:rsidP="00B766C3">
      <w:pPr>
        <w:ind w:firstLine="563"/>
        <w:rPr>
          <w:szCs w:val="22"/>
          <w:shd w:val="clear" w:color="auto" w:fill="FFFFFF"/>
        </w:rPr>
      </w:pPr>
    </w:p>
    <w:p w14:paraId="3776FF35" w14:textId="6CBA8CA8" w:rsidR="00B766C3" w:rsidRPr="00F64CB1" w:rsidRDefault="00B766C3" w:rsidP="00DF26A2">
      <w:pPr>
        <w:ind w:left="563"/>
        <w:rPr>
          <w:rFonts w:ascii="Arial" w:hAnsi="Arial" w:cs="Arial"/>
          <w:b/>
          <w:bCs/>
        </w:rPr>
      </w:pPr>
      <w:r w:rsidRPr="00F64CB1">
        <w:rPr>
          <w:rFonts w:ascii="Arial" w:hAnsi="Arial" w:cs="Arial"/>
          <w:b/>
          <w:bCs/>
        </w:rPr>
        <w:t xml:space="preserve">Table </w:t>
      </w:r>
      <w:r w:rsidR="0061292C" w:rsidRPr="00F64CB1">
        <w:rPr>
          <w:rFonts w:ascii="Arial" w:hAnsi="Arial" w:cs="Arial"/>
          <w:b/>
          <w:bCs/>
        </w:rPr>
        <w:t>1</w:t>
      </w:r>
      <w:r w:rsidR="006A614C" w:rsidRPr="00F64CB1">
        <w:rPr>
          <w:rFonts w:ascii="Arial" w:hAnsi="Arial" w:cs="Arial"/>
          <w:b/>
          <w:bCs/>
        </w:rPr>
        <w:t xml:space="preserve"> </w:t>
      </w:r>
      <w:r w:rsidR="00832BE9" w:rsidRPr="00F64CB1">
        <w:rPr>
          <w:rFonts w:ascii="Arial" w:hAnsi="Arial" w:cs="Arial"/>
          <w:b/>
          <w:bCs/>
        </w:rPr>
        <w:t xml:space="preserve">- </w:t>
      </w:r>
      <w:r w:rsidR="006A614C" w:rsidRPr="00F64CB1">
        <w:rPr>
          <w:rFonts w:ascii="Arial" w:hAnsi="Arial" w:cs="Arial"/>
          <w:b/>
          <w:bCs/>
        </w:rPr>
        <w:t xml:space="preserve">Overnight </w:t>
      </w:r>
      <w:r w:rsidR="00E907E9" w:rsidRPr="00F64CB1">
        <w:rPr>
          <w:rFonts w:ascii="Arial" w:hAnsi="Arial" w:cs="Arial"/>
          <w:b/>
          <w:bCs/>
        </w:rPr>
        <w:t xml:space="preserve">shared ward </w:t>
      </w:r>
      <w:r w:rsidR="006A614C" w:rsidRPr="00F64CB1">
        <w:rPr>
          <w:rFonts w:ascii="Arial" w:hAnsi="Arial" w:cs="Arial"/>
          <w:b/>
          <w:bCs/>
        </w:rPr>
        <w:t>accommodation</w:t>
      </w:r>
      <w:r w:rsidR="00E907E9" w:rsidRPr="00F64CB1">
        <w:rPr>
          <w:rFonts w:ascii="Arial" w:hAnsi="Arial" w:cs="Arial"/>
          <w:b/>
          <w:bCs/>
        </w:rPr>
        <w:t xml:space="preserve"> for</w:t>
      </w:r>
      <w:r w:rsidR="006A614C" w:rsidRPr="00F64CB1">
        <w:rPr>
          <w:rFonts w:ascii="Arial" w:hAnsi="Arial" w:cs="Arial"/>
          <w:b/>
          <w:bCs/>
        </w:rPr>
        <w:t xml:space="preserve"> </w:t>
      </w:r>
      <w:r w:rsidR="00F20E0C" w:rsidRPr="00F64CB1">
        <w:rPr>
          <w:rFonts w:ascii="Arial" w:hAnsi="Arial" w:cs="Arial"/>
          <w:b/>
          <w:bCs/>
        </w:rPr>
        <w:t xml:space="preserve">private patients </w:t>
      </w:r>
      <w:r w:rsidR="00832BE9" w:rsidRPr="00F64CB1">
        <w:rPr>
          <w:rFonts w:ascii="Arial" w:hAnsi="Arial" w:cs="Arial"/>
          <w:b/>
          <w:bCs/>
        </w:rPr>
        <w:t xml:space="preserve">at </w:t>
      </w:r>
      <w:r w:rsidR="006A614C" w:rsidRPr="00F64CB1">
        <w:rPr>
          <w:rFonts w:ascii="Arial" w:hAnsi="Arial" w:cs="Arial"/>
          <w:b/>
          <w:bCs/>
        </w:rPr>
        <w:t>public hospitals</w:t>
      </w:r>
      <w:r w:rsidR="00CC08CF" w:rsidRPr="00F64CB1">
        <w:rPr>
          <w:rFonts w:ascii="Arial" w:hAnsi="Arial" w:cs="Arial"/>
          <w:b/>
          <w:bCs/>
        </w:rPr>
        <w:t xml:space="preserve"> in the Australian Capital Territory, New South Wales, Northern Territory, Queensland, South Australia and Western Australia</w:t>
      </w:r>
    </w:p>
    <w:p w14:paraId="6B2972F6" w14:textId="77777777" w:rsidR="00B766C3" w:rsidRPr="00F64CB1" w:rsidRDefault="00B766C3" w:rsidP="00B766C3">
      <w:pPr>
        <w:ind w:firstLine="563"/>
        <w:rPr>
          <w:b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B72854" w:rsidRPr="00F64CB1" w14:paraId="002A5F20" w14:textId="77777777" w:rsidTr="004E42F1">
        <w:tc>
          <w:tcPr>
            <w:tcW w:w="4556" w:type="dxa"/>
            <w:hideMark/>
          </w:tcPr>
          <w:p w14:paraId="302C37FC" w14:textId="77777777" w:rsidR="00B766C3" w:rsidRPr="00F64CB1" w:rsidRDefault="00B766C3" w:rsidP="004E42F1">
            <w:pPr>
              <w:adjustRightInd w:val="0"/>
              <w:ind w:left="108" w:right="108" w:firstLine="419"/>
              <w:rPr>
                <w:b/>
                <w:bCs/>
              </w:rPr>
            </w:pPr>
            <w:r w:rsidRPr="00F64CB1">
              <w:rPr>
                <w:b/>
                <w:bCs/>
              </w:rPr>
              <w:t>State/Territory</w:t>
            </w:r>
          </w:p>
        </w:tc>
        <w:tc>
          <w:tcPr>
            <w:tcW w:w="4624" w:type="dxa"/>
            <w:hideMark/>
          </w:tcPr>
          <w:p w14:paraId="2B6C98B0" w14:textId="5A60762E" w:rsidR="00B766C3" w:rsidRPr="00F64CB1" w:rsidRDefault="00B766C3" w:rsidP="00117F8D">
            <w:pPr>
              <w:adjustRightInd w:val="0"/>
              <w:ind w:left="108" w:right="108" w:firstLine="563"/>
              <w:jc w:val="center"/>
              <w:rPr>
                <w:b/>
                <w:bCs/>
              </w:rPr>
            </w:pPr>
            <w:r w:rsidRPr="00F64CB1">
              <w:rPr>
                <w:b/>
                <w:bCs/>
              </w:rPr>
              <w:t>Minimum benefit payable per night</w:t>
            </w:r>
          </w:p>
        </w:tc>
      </w:tr>
      <w:tr w:rsidR="00886189" w:rsidRPr="00F64CB1" w14:paraId="65AFF862" w14:textId="77777777" w:rsidTr="004E42F1">
        <w:tc>
          <w:tcPr>
            <w:tcW w:w="4556" w:type="dxa"/>
            <w:hideMark/>
          </w:tcPr>
          <w:p w14:paraId="748FF12A" w14:textId="77777777" w:rsidR="00B766C3" w:rsidRPr="00F64CB1" w:rsidRDefault="004A1474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Australian Capital Territory</w:t>
            </w:r>
          </w:p>
        </w:tc>
        <w:tc>
          <w:tcPr>
            <w:tcW w:w="4624" w:type="dxa"/>
          </w:tcPr>
          <w:p w14:paraId="5123CE58" w14:textId="77777777" w:rsidR="00B766C3" w:rsidRPr="00F64CB1" w:rsidRDefault="00886189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$370</w:t>
            </w:r>
          </w:p>
        </w:tc>
      </w:tr>
      <w:tr w:rsidR="00B766C3" w:rsidRPr="00F64CB1" w14:paraId="1EDA1527" w14:textId="77777777" w:rsidTr="004E42F1">
        <w:tc>
          <w:tcPr>
            <w:tcW w:w="4556" w:type="dxa"/>
            <w:hideMark/>
          </w:tcPr>
          <w:p w14:paraId="2AD8AF74" w14:textId="77777777" w:rsidR="00B766C3" w:rsidRPr="00F64CB1" w:rsidRDefault="004A1474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New South Wales</w:t>
            </w:r>
          </w:p>
        </w:tc>
        <w:tc>
          <w:tcPr>
            <w:tcW w:w="4624" w:type="dxa"/>
          </w:tcPr>
          <w:p w14:paraId="55CFC58A" w14:textId="77777777" w:rsidR="00B766C3" w:rsidRPr="00F64CB1" w:rsidRDefault="005F7A87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$370</w:t>
            </w:r>
          </w:p>
        </w:tc>
      </w:tr>
      <w:tr w:rsidR="005C26A3" w:rsidRPr="00F64CB1" w14:paraId="6CF9461F" w14:textId="77777777" w:rsidTr="004E42F1">
        <w:tc>
          <w:tcPr>
            <w:tcW w:w="4556" w:type="dxa"/>
            <w:hideMark/>
          </w:tcPr>
          <w:p w14:paraId="2F6A40BA" w14:textId="77777777" w:rsidR="00B766C3" w:rsidRPr="00F64CB1" w:rsidRDefault="00B766C3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Northern Territory</w:t>
            </w:r>
          </w:p>
        </w:tc>
        <w:tc>
          <w:tcPr>
            <w:tcW w:w="4624" w:type="dxa"/>
          </w:tcPr>
          <w:p w14:paraId="1A41E4F5" w14:textId="77777777" w:rsidR="00B766C3" w:rsidRPr="00F64CB1" w:rsidRDefault="005C26A3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$370</w:t>
            </w:r>
          </w:p>
        </w:tc>
      </w:tr>
      <w:tr w:rsidR="00E5314C" w:rsidRPr="00F64CB1" w14:paraId="43A480AF" w14:textId="77777777" w:rsidTr="004E42F1">
        <w:tc>
          <w:tcPr>
            <w:tcW w:w="4556" w:type="dxa"/>
            <w:hideMark/>
          </w:tcPr>
          <w:p w14:paraId="3203F92A" w14:textId="77777777" w:rsidR="00B766C3" w:rsidRPr="00F64CB1" w:rsidRDefault="00B766C3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Queensland</w:t>
            </w:r>
          </w:p>
        </w:tc>
        <w:tc>
          <w:tcPr>
            <w:tcW w:w="4624" w:type="dxa"/>
          </w:tcPr>
          <w:p w14:paraId="5D7A9B4B" w14:textId="77777777" w:rsidR="00B766C3" w:rsidRPr="00F64CB1" w:rsidRDefault="00E5314C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$379</w:t>
            </w:r>
          </w:p>
        </w:tc>
      </w:tr>
      <w:tr w:rsidR="00B766C3" w:rsidRPr="00F64CB1" w14:paraId="5719A203" w14:textId="77777777" w:rsidTr="004E42F1">
        <w:tc>
          <w:tcPr>
            <w:tcW w:w="4556" w:type="dxa"/>
            <w:hideMark/>
          </w:tcPr>
          <w:p w14:paraId="18E99DC2" w14:textId="77777777" w:rsidR="00B766C3" w:rsidRPr="00F64CB1" w:rsidRDefault="00B766C3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South Australia</w:t>
            </w:r>
          </w:p>
        </w:tc>
        <w:tc>
          <w:tcPr>
            <w:tcW w:w="4624" w:type="dxa"/>
            <w:hideMark/>
          </w:tcPr>
          <w:p w14:paraId="5555C955" w14:textId="77777777" w:rsidR="00B766C3" w:rsidRPr="00F64CB1" w:rsidRDefault="00BC4A47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$370</w:t>
            </w:r>
          </w:p>
        </w:tc>
      </w:tr>
      <w:tr w:rsidR="00F62DE0" w:rsidRPr="00F64CB1" w14:paraId="1907573B" w14:textId="77777777" w:rsidTr="004E42F1">
        <w:tc>
          <w:tcPr>
            <w:tcW w:w="4556" w:type="dxa"/>
            <w:hideMark/>
          </w:tcPr>
          <w:p w14:paraId="0D6928A8" w14:textId="77777777" w:rsidR="00B766C3" w:rsidRPr="00F64CB1" w:rsidRDefault="00B766C3" w:rsidP="004E42F1">
            <w:pPr>
              <w:adjustRightInd w:val="0"/>
              <w:spacing w:line="240" w:lineRule="atLeast"/>
              <w:ind w:left="108" w:firstLine="419"/>
            </w:pPr>
            <w:r w:rsidRPr="00F64CB1">
              <w:t>Western Australia</w:t>
            </w:r>
          </w:p>
        </w:tc>
        <w:tc>
          <w:tcPr>
            <w:tcW w:w="4624" w:type="dxa"/>
            <w:hideMark/>
          </w:tcPr>
          <w:p w14:paraId="16496729" w14:textId="77777777" w:rsidR="00B766C3" w:rsidRPr="00F64CB1" w:rsidRDefault="00F62DE0" w:rsidP="004E42F1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F64CB1">
              <w:t>$370</w:t>
            </w:r>
          </w:p>
        </w:tc>
      </w:tr>
    </w:tbl>
    <w:p w14:paraId="49AA22E9" w14:textId="77777777" w:rsidR="00612089" w:rsidRPr="00F64CB1" w:rsidRDefault="00612089" w:rsidP="00DA0A12">
      <w:pPr>
        <w:pStyle w:val="ItemHead"/>
      </w:pPr>
    </w:p>
    <w:p w14:paraId="653FCA30" w14:textId="78E56E64" w:rsidR="00DA0A12" w:rsidRPr="00F64CB1" w:rsidRDefault="00064667" w:rsidP="00DA0A12">
      <w:pPr>
        <w:pStyle w:val="ItemHead"/>
      </w:pPr>
      <w:r w:rsidRPr="00F64CB1">
        <w:t>8</w:t>
      </w:r>
      <w:r w:rsidR="009E28C7" w:rsidRPr="00F64CB1">
        <w:t xml:space="preserve">  </w:t>
      </w:r>
      <w:r w:rsidR="0061292C" w:rsidRPr="00F64CB1">
        <w:t>C</w:t>
      </w:r>
      <w:r w:rsidR="00DA0A12" w:rsidRPr="00F64CB1">
        <w:t xml:space="preserve">lause 2 </w:t>
      </w:r>
      <w:r w:rsidR="0061292C" w:rsidRPr="00F64CB1">
        <w:t>of Schedule 3 (T</w:t>
      </w:r>
      <w:r w:rsidR="00DA0A12" w:rsidRPr="00F64CB1">
        <w:t>able 1)</w:t>
      </w:r>
    </w:p>
    <w:p w14:paraId="5B3C790A" w14:textId="77777777" w:rsidR="00DA0A12" w:rsidRPr="00F64CB1" w:rsidRDefault="00DA0A12" w:rsidP="00DA0A12">
      <w:pPr>
        <w:pStyle w:val="Item"/>
      </w:pPr>
      <w:r w:rsidRPr="00F64CB1">
        <w:t>Repeal the table</w:t>
      </w:r>
      <w:r w:rsidR="003205D4" w:rsidRPr="00F64CB1">
        <w:t xml:space="preserve"> (including the heading)</w:t>
      </w:r>
      <w:r w:rsidRPr="00F64CB1">
        <w:t>, substitute:</w:t>
      </w:r>
    </w:p>
    <w:p w14:paraId="39FC5A29" w14:textId="5AA8D39C" w:rsidR="00DA0A12" w:rsidRPr="00F64CB1" w:rsidRDefault="00DA0A12" w:rsidP="00AE240F">
      <w:pPr>
        <w:keepNext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3"/>
        <w:rPr>
          <w:rFonts w:ascii="Arial" w:hAnsi="Arial" w:cs="Arial"/>
          <w:b/>
          <w:bCs/>
        </w:rPr>
      </w:pPr>
      <w:r w:rsidRPr="00F64CB1">
        <w:rPr>
          <w:rFonts w:ascii="Arial" w:hAnsi="Arial" w:cs="Arial"/>
          <w:b/>
          <w:bCs/>
        </w:rPr>
        <w:t>Table 1</w:t>
      </w:r>
      <w:r w:rsidR="000855BE" w:rsidRPr="00F64CB1">
        <w:rPr>
          <w:rFonts w:ascii="Arial" w:hAnsi="Arial" w:cs="Arial"/>
          <w:b/>
          <w:bCs/>
        </w:rPr>
        <w:t xml:space="preserve"> </w:t>
      </w:r>
      <w:r w:rsidR="003205D4" w:rsidRPr="00F64CB1">
        <w:rPr>
          <w:rFonts w:ascii="Arial" w:hAnsi="Arial" w:cs="Arial"/>
          <w:b/>
          <w:bCs/>
        </w:rPr>
        <w:t xml:space="preserve">- </w:t>
      </w:r>
      <w:r w:rsidR="000855BE" w:rsidRPr="00F64CB1">
        <w:rPr>
          <w:rFonts w:ascii="Arial" w:hAnsi="Arial" w:cs="Arial"/>
          <w:b/>
          <w:bCs/>
        </w:rPr>
        <w:t>Same-day accommodation</w:t>
      </w:r>
      <w:r w:rsidR="00D6043D" w:rsidRPr="00F64CB1">
        <w:rPr>
          <w:rFonts w:ascii="Arial" w:hAnsi="Arial" w:cs="Arial"/>
          <w:b/>
          <w:bCs/>
        </w:rPr>
        <w:t xml:space="preserve"> for</w:t>
      </w:r>
      <w:r w:rsidR="003D0C02" w:rsidRPr="00F64CB1">
        <w:rPr>
          <w:rFonts w:ascii="Arial" w:hAnsi="Arial" w:cs="Arial"/>
          <w:b/>
          <w:bCs/>
        </w:rPr>
        <w:t xml:space="preserve"> private patients </w:t>
      </w:r>
      <w:r w:rsidR="00D6043D" w:rsidRPr="00F64CB1">
        <w:rPr>
          <w:rFonts w:ascii="Arial" w:hAnsi="Arial" w:cs="Arial"/>
          <w:b/>
          <w:bCs/>
        </w:rPr>
        <w:t>at</w:t>
      </w:r>
      <w:r w:rsidR="00AA3E80" w:rsidRPr="00F64CB1">
        <w:rPr>
          <w:rFonts w:ascii="Arial" w:hAnsi="Arial" w:cs="Arial"/>
          <w:b/>
          <w:bCs/>
        </w:rPr>
        <w:t xml:space="preserve"> public hospitals</w:t>
      </w:r>
      <w:r w:rsidR="00304927" w:rsidRPr="00F64CB1">
        <w:rPr>
          <w:rFonts w:ascii="Arial" w:hAnsi="Arial" w:cs="Arial"/>
          <w:b/>
          <w:bCs/>
        </w:rPr>
        <w:t xml:space="preserve"> in all States/Territories</w:t>
      </w:r>
    </w:p>
    <w:tbl>
      <w:tblPr>
        <w:tblW w:w="8265" w:type="dxa"/>
        <w:tblInd w:w="56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3"/>
        <w:gridCol w:w="1418"/>
        <w:gridCol w:w="1418"/>
        <w:gridCol w:w="1418"/>
        <w:gridCol w:w="1418"/>
      </w:tblGrid>
      <w:tr w:rsidR="00CF5612" w:rsidRPr="00F64CB1" w14:paraId="06BDFA08" w14:textId="77777777" w:rsidTr="004E42F1">
        <w:tc>
          <w:tcPr>
            <w:tcW w:w="2592" w:type="dxa"/>
            <w:hideMark/>
          </w:tcPr>
          <w:p w14:paraId="211BB575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Public hospitals</w:t>
            </w:r>
          </w:p>
        </w:tc>
        <w:tc>
          <w:tcPr>
            <w:tcW w:w="1418" w:type="dxa"/>
            <w:hideMark/>
          </w:tcPr>
          <w:p w14:paraId="3F0D05D2" w14:textId="77777777" w:rsidR="00DA0A12" w:rsidRPr="00F64CB1" w:rsidRDefault="00DA0A12" w:rsidP="004E42F1">
            <w:pPr>
              <w:adjustRightInd w:val="0"/>
              <w:ind w:right="108"/>
              <w:jc w:val="both"/>
              <w:rPr>
                <w:b/>
                <w:bCs/>
              </w:rPr>
            </w:pPr>
            <w:r w:rsidRPr="00F64CB1">
              <w:rPr>
                <w:b/>
                <w:bCs/>
              </w:rPr>
              <w:t>Band 1</w:t>
            </w:r>
          </w:p>
        </w:tc>
        <w:tc>
          <w:tcPr>
            <w:tcW w:w="1418" w:type="dxa"/>
            <w:hideMark/>
          </w:tcPr>
          <w:p w14:paraId="71A52B98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2</w:t>
            </w:r>
          </w:p>
        </w:tc>
        <w:tc>
          <w:tcPr>
            <w:tcW w:w="1418" w:type="dxa"/>
            <w:hideMark/>
          </w:tcPr>
          <w:p w14:paraId="68864C0B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3</w:t>
            </w:r>
          </w:p>
        </w:tc>
        <w:tc>
          <w:tcPr>
            <w:tcW w:w="1418" w:type="dxa"/>
            <w:hideMark/>
          </w:tcPr>
          <w:p w14:paraId="03203C82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4</w:t>
            </w:r>
          </w:p>
        </w:tc>
      </w:tr>
      <w:tr w:rsidR="00CF5612" w:rsidRPr="00F64CB1" w14:paraId="2CAD8FB8" w14:textId="77777777" w:rsidTr="004E42F1">
        <w:tc>
          <w:tcPr>
            <w:tcW w:w="2592" w:type="dxa"/>
          </w:tcPr>
          <w:p w14:paraId="412DBE3B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1418" w:type="dxa"/>
          </w:tcPr>
          <w:p w14:paraId="12E7A62F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1418" w:type="dxa"/>
          </w:tcPr>
          <w:p w14:paraId="5BDF0B93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1418" w:type="dxa"/>
          </w:tcPr>
          <w:p w14:paraId="16CBF094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1418" w:type="dxa"/>
          </w:tcPr>
          <w:p w14:paraId="28D92001" w14:textId="77777777" w:rsidR="00DA0A12" w:rsidRPr="00F64CB1" w:rsidRDefault="00DA0A12" w:rsidP="004E42F1">
            <w:pPr>
              <w:adjustRightInd w:val="0"/>
              <w:ind w:right="108"/>
              <w:rPr>
                <w:b/>
                <w:bCs/>
              </w:rPr>
            </w:pPr>
          </w:p>
        </w:tc>
      </w:tr>
      <w:tr w:rsidR="00CF5612" w:rsidRPr="00F64CB1" w14:paraId="0020D936" w14:textId="77777777" w:rsidTr="004E42F1">
        <w:tc>
          <w:tcPr>
            <w:tcW w:w="2592" w:type="dxa"/>
            <w:hideMark/>
          </w:tcPr>
          <w:p w14:paraId="196F5904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NSW</w:t>
            </w:r>
          </w:p>
        </w:tc>
        <w:tc>
          <w:tcPr>
            <w:tcW w:w="1418" w:type="dxa"/>
            <w:vAlign w:val="center"/>
          </w:tcPr>
          <w:p w14:paraId="5FB6B9C1" w14:textId="77777777" w:rsidR="00DA0A12" w:rsidRPr="00F64CB1" w:rsidRDefault="00F2737F" w:rsidP="004E42F1">
            <w:pPr>
              <w:adjustRightInd w:val="0"/>
              <w:spacing w:line="240" w:lineRule="atLeast"/>
              <w:ind w:right="108"/>
            </w:pPr>
            <w:r w:rsidRPr="00F64CB1">
              <w:t>$268</w:t>
            </w:r>
          </w:p>
        </w:tc>
        <w:tc>
          <w:tcPr>
            <w:tcW w:w="1418" w:type="dxa"/>
            <w:vAlign w:val="center"/>
          </w:tcPr>
          <w:p w14:paraId="00011003" w14:textId="77777777" w:rsidR="00DA0A12" w:rsidRPr="00F64CB1" w:rsidRDefault="00F2737F" w:rsidP="004E42F1">
            <w:pPr>
              <w:adjustRightInd w:val="0"/>
              <w:spacing w:line="240" w:lineRule="atLeast"/>
              <w:ind w:right="108"/>
            </w:pPr>
            <w:r w:rsidRPr="00F64CB1">
              <w:t>$300</w:t>
            </w:r>
          </w:p>
        </w:tc>
        <w:tc>
          <w:tcPr>
            <w:tcW w:w="1418" w:type="dxa"/>
            <w:vAlign w:val="center"/>
          </w:tcPr>
          <w:p w14:paraId="43CFEFF9" w14:textId="77777777" w:rsidR="00DA0A12" w:rsidRPr="00F64CB1" w:rsidRDefault="00F2737F" w:rsidP="004E42F1">
            <w:pPr>
              <w:adjustRightInd w:val="0"/>
              <w:spacing w:line="240" w:lineRule="atLeast"/>
              <w:ind w:right="108"/>
            </w:pPr>
            <w:r w:rsidRPr="00F64CB1">
              <w:t>$329</w:t>
            </w:r>
          </w:p>
        </w:tc>
        <w:tc>
          <w:tcPr>
            <w:tcW w:w="1418" w:type="dxa"/>
            <w:vAlign w:val="center"/>
          </w:tcPr>
          <w:p w14:paraId="1B35F5BB" w14:textId="77777777" w:rsidR="00DA0A12" w:rsidRPr="00F64CB1" w:rsidRDefault="00F2737F" w:rsidP="004E42F1">
            <w:pPr>
              <w:adjustRightInd w:val="0"/>
              <w:spacing w:line="240" w:lineRule="atLeast"/>
              <w:ind w:right="108"/>
            </w:pPr>
            <w:r w:rsidRPr="00F64CB1">
              <w:t>$370</w:t>
            </w:r>
          </w:p>
        </w:tc>
      </w:tr>
      <w:tr w:rsidR="00CF5612" w:rsidRPr="00F64CB1" w14:paraId="64D0412D" w14:textId="77777777" w:rsidTr="004E42F1">
        <w:tc>
          <w:tcPr>
            <w:tcW w:w="2592" w:type="dxa"/>
            <w:hideMark/>
          </w:tcPr>
          <w:p w14:paraId="07398AAB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ACT</w:t>
            </w:r>
          </w:p>
        </w:tc>
        <w:tc>
          <w:tcPr>
            <w:tcW w:w="1418" w:type="dxa"/>
            <w:vAlign w:val="center"/>
          </w:tcPr>
          <w:p w14:paraId="45896F61" w14:textId="77777777" w:rsidR="00DA0A12" w:rsidRPr="00F64CB1" w:rsidRDefault="00C57A48" w:rsidP="004E42F1">
            <w:pPr>
              <w:adjustRightInd w:val="0"/>
              <w:spacing w:line="240" w:lineRule="atLeast"/>
              <w:ind w:right="108"/>
            </w:pPr>
            <w:r w:rsidRPr="00F64CB1">
              <w:t>$268</w:t>
            </w:r>
          </w:p>
        </w:tc>
        <w:tc>
          <w:tcPr>
            <w:tcW w:w="1418" w:type="dxa"/>
            <w:vAlign w:val="center"/>
          </w:tcPr>
          <w:p w14:paraId="4482B95D" w14:textId="77777777" w:rsidR="00DA0A12" w:rsidRPr="00F64CB1" w:rsidRDefault="00C57A48" w:rsidP="004E42F1">
            <w:pPr>
              <w:adjustRightInd w:val="0"/>
              <w:spacing w:line="240" w:lineRule="atLeast"/>
              <w:ind w:right="108"/>
            </w:pPr>
            <w:r w:rsidRPr="00F64CB1">
              <w:t>$300</w:t>
            </w:r>
          </w:p>
        </w:tc>
        <w:tc>
          <w:tcPr>
            <w:tcW w:w="1418" w:type="dxa"/>
            <w:vAlign w:val="center"/>
          </w:tcPr>
          <w:p w14:paraId="660E0D3C" w14:textId="77777777" w:rsidR="00DA0A12" w:rsidRPr="00F64CB1" w:rsidRDefault="00C57A48" w:rsidP="004E42F1">
            <w:pPr>
              <w:adjustRightInd w:val="0"/>
              <w:spacing w:line="240" w:lineRule="atLeast"/>
              <w:ind w:right="108"/>
            </w:pPr>
            <w:r w:rsidRPr="00F64CB1">
              <w:t>$329</w:t>
            </w:r>
          </w:p>
        </w:tc>
        <w:tc>
          <w:tcPr>
            <w:tcW w:w="1418" w:type="dxa"/>
            <w:vAlign w:val="center"/>
          </w:tcPr>
          <w:p w14:paraId="441E9894" w14:textId="77777777" w:rsidR="00DA0A12" w:rsidRPr="00F64CB1" w:rsidRDefault="00C57A48" w:rsidP="004E42F1">
            <w:pPr>
              <w:adjustRightInd w:val="0"/>
              <w:spacing w:line="240" w:lineRule="atLeast"/>
              <w:ind w:right="108"/>
            </w:pPr>
            <w:r w:rsidRPr="00F64CB1">
              <w:t>$370</w:t>
            </w:r>
          </w:p>
        </w:tc>
      </w:tr>
      <w:tr w:rsidR="00CF5612" w:rsidRPr="00F64CB1" w14:paraId="6011F1A0" w14:textId="77777777" w:rsidTr="004E42F1">
        <w:tc>
          <w:tcPr>
            <w:tcW w:w="2592" w:type="dxa"/>
            <w:hideMark/>
          </w:tcPr>
          <w:p w14:paraId="24614C44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Northern Territory</w:t>
            </w:r>
          </w:p>
        </w:tc>
        <w:tc>
          <w:tcPr>
            <w:tcW w:w="1418" w:type="dxa"/>
            <w:vAlign w:val="center"/>
          </w:tcPr>
          <w:p w14:paraId="43B79C47" w14:textId="77777777" w:rsidR="00DA0A12" w:rsidRPr="00F64CB1" w:rsidRDefault="005362AE" w:rsidP="004E42F1">
            <w:pPr>
              <w:adjustRightInd w:val="0"/>
              <w:spacing w:line="240" w:lineRule="atLeast"/>
              <w:ind w:right="108"/>
            </w:pPr>
            <w:r w:rsidRPr="00F64CB1">
              <w:t>$268</w:t>
            </w:r>
          </w:p>
        </w:tc>
        <w:tc>
          <w:tcPr>
            <w:tcW w:w="1418" w:type="dxa"/>
            <w:vAlign w:val="center"/>
          </w:tcPr>
          <w:p w14:paraId="75F325E2" w14:textId="77777777" w:rsidR="00DA0A12" w:rsidRPr="00F64CB1" w:rsidRDefault="005362AE" w:rsidP="004E42F1">
            <w:pPr>
              <w:adjustRightInd w:val="0"/>
              <w:spacing w:line="240" w:lineRule="atLeast"/>
              <w:ind w:right="108"/>
            </w:pPr>
            <w:r w:rsidRPr="00F64CB1">
              <w:t>$308</w:t>
            </w:r>
          </w:p>
        </w:tc>
        <w:tc>
          <w:tcPr>
            <w:tcW w:w="1418" w:type="dxa"/>
            <w:vAlign w:val="center"/>
          </w:tcPr>
          <w:p w14:paraId="0C0143FE" w14:textId="77777777" w:rsidR="00DA0A12" w:rsidRPr="00F64CB1" w:rsidRDefault="005362AE" w:rsidP="004E42F1">
            <w:pPr>
              <w:adjustRightInd w:val="0"/>
              <w:spacing w:line="240" w:lineRule="atLeast"/>
              <w:ind w:right="108"/>
            </w:pPr>
            <w:r w:rsidRPr="00F64CB1">
              <w:t>$355</w:t>
            </w:r>
          </w:p>
        </w:tc>
        <w:tc>
          <w:tcPr>
            <w:tcW w:w="1418" w:type="dxa"/>
            <w:vAlign w:val="center"/>
          </w:tcPr>
          <w:p w14:paraId="279A288A" w14:textId="77777777" w:rsidR="00DA0A12" w:rsidRPr="00F64CB1" w:rsidRDefault="005362AE" w:rsidP="004E42F1">
            <w:pPr>
              <w:adjustRightInd w:val="0"/>
              <w:spacing w:line="240" w:lineRule="atLeast"/>
              <w:ind w:right="108"/>
            </w:pPr>
            <w:r w:rsidRPr="00F64CB1">
              <w:t>$370</w:t>
            </w:r>
          </w:p>
        </w:tc>
      </w:tr>
      <w:tr w:rsidR="00CF5612" w:rsidRPr="00F64CB1" w14:paraId="296332C5" w14:textId="77777777" w:rsidTr="004E42F1">
        <w:tc>
          <w:tcPr>
            <w:tcW w:w="2592" w:type="dxa"/>
            <w:hideMark/>
          </w:tcPr>
          <w:p w14:paraId="2B6F6982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Queensland</w:t>
            </w:r>
          </w:p>
        </w:tc>
        <w:tc>
          <w:tcPr>
            <w:tcW w:w="1418" w:type="dxa"/>
            <w:vAlign w:val="center"/>
          </w:tcPr>
          <w:p w14:paraId="6C2F66A8" w14:textId="77777777" w:rsidR="00DA0A12" w:rsidRPr="00F64CB1" w:rsidRDefault="00BE1B80" w:rsidP="004E42F1">
            <w:pPr>
              <w:adjustRightInd w:val="0"/>
              <w:spacing w:line="240" w:lineRule="atLeast"/>
              <w:ind w:right="108"/>
            </w:pPr>
            <w:r w:rsidRPr="00F64CB1">
              <w:t>$274</w:t>
            </w:r>
          </w:p>
        </w:tc>
        <w:tc>
          <w:tcPr>
            <w:tcW w:w="1418" w:type="dxa"/>
            <w:vAlign w:val="center"/>
          </w:tcPr>
          <w:p w14:paraId="71823157" w14:textId="77777777" w:rsidR="00DA0A12" w:rsidRPr="00F64CB1" w:rsidRDefault="00BE1B80" w:rsidP="004E42F1">
            <w:pPr>
              <w:adjustRightInd w:val="0"/>
              <w:spacing w:line="240" w:lineRule="atLeast"/>
              <w:ind w:right="108"/>
            </w:pPr>
            <w:r w:rsidRPr="00F64CB1">
              <w:t>$310</w:t>
            </w:r>
          </w:p>
        </w:tc>
        <w:tc>
          <w:tcPr>
            <w:tcW w:w="1418" w:type="dxa"/>
            <w:vAlign w:val="center"/>
          </w:tcPr>
          <w:p w14:paraId="2AABCF9E" w14:textId="77777777" w:rsidR="00DA0A12" w:rsidRPr="00F64CB1" w:rsidRDefault="00BE1B80" w:rsidP="004E42F1">
            <w:pPr>
              <w:adjustRightInd w:val="0"/>
              <w:spacing w:line="240" w:lineRule="atLeast"/>
              <w:ind w:right="108"/>
            </w:pPr>
            <w:r w:rsidRPr="00F64CB1">
              <w:t>$339</w:t>
            </w:r>
          </w:p>
        </w:tc>
        <w:tc>
          <w:tcPr>
            <w:tcW w:w="1418" w:type="dxa"/>
            <w:vAlign w:val="center"/>
          </w:tcPr>
          <w:p w14:paraId="1C48A15D" w14:textId="77777777" w:rsidR="00DA0A12" w:rsidRPr="00F64CB1" w:rsidRDefault="00BE1B80" w:rsidP="004E42F1">
            <w:pPr>
              <w:adjustRightInd w:val="0"/>
              <w:spacing w:line="240" w:lineRule="atLeast"/>
              <w:ind w:right="108"/>
            </w:pPr>
            <w:r w:rsidRPr="00F64CB1">
              <w:t>$379</w:t>
            </w:r>
          </w:p>
        </w:tc>
      </w:tr>
      <w:tr w:rsidR="00CF5612" w:rsidRPr="00F64CB1" w14:paraId="288C1354" w14:textId="77777777" w:rsidTr="004E42F1">
        <w:tc>
          <w:tcPr>
            <w:tcW w:w="2592" w:type="dxa"/>
            <w:hideMark/>
          </w:tcPr>
          <w:p w14:paraId="5D9F7C11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South Australia</w:t>
            </w:r>
          </w:p>
        </w:tc>
        <w:tc>
          <w:tcPr>
            <w:tcW w:w="1418" w:type="dxa"/>
            <w:vAlign w:val="center"/>
          </w:tcPr>
          <w:p w14:paraId="4A678379" w14:textId="77777777" w:rsidR="00DA0A12" w:rsidRPr="00F64CB1" w:rsidRDefault="00733304" w:rsidP="004E42F1">
            <w:pPr>
              <w:adjustRightInd w:val="0"/>
              <w:spacing w:line="240" w:lineRule="atLeast"/>
              <w:ind w:right="108"/>
            </w:pPr>
            <w:r w:rsidRPr="00F64CB1">
              <w:t>$268</w:t>
            </w:r>
          </w:p>
        </w:tc>
        <w:tc>
          <w:tcPr>
            <w:tcW w:w="1418" w:type="dxa"/>
            <w:vAlign w:val="center"/>
          </w:tcPr>
          <w:p w14:paraId="002B96FF" w14:textId="77777777" w:rsidR="00DA0A12" w:rsidRPr="00F64CB1" w:rsidRDefault="00733304" w:rsidP="004E42F1">
            <w:pPr>
              <w:adjustRightInd w:val="0"/>
              <w:spacing w:line="240" w:lineRule="atLeast"/>
              <w:ind w:right="108"/>
            </w:pPr>
            <w:r w:rsidRPr="00F64CB1">
              <w:t>$308</w:t>
            </w:r>
          </w:p>
        </w:tc>
        <w:tc>
          <w:tcPr>
            <w:tcW w:w="1418" w:type="dxa"/>
            <w:vAlign w:val="center"/>
          </w:tcPr>
          <w:p w14:paraId="234C668B" w14:textId="77777777" w:rsidR="00DA0A12" w:rsidRPr="00F64CB1" w:rsidRDefault="00733304" w:rsidP="004E42F1">
            <w:pPr>
              <w:adjustRightInd w:val="0"/>
              <w:spacing w:line="240" w:lineRule="atLeast"/>
              <w:ind w:right="108"/>
            </w:pPr>
            <w:r w:rsidRPr="00F64CB1">
              <w:t>$338</w:t>
            </w:r>
          </w:p>
        </w:tc>
        <w:tc>
          <w:tcPr>
            <w:tcW w:w="1418" w:type="dxa"/>
            <w:vAlign w:val="center"/>
          </w:tcPr>
          <w:p w14:paraId="450694ED" w14:textId="77777777" w:rsidR="00DA0A12" w:rsidRPr="00F64CB1" w:rsidRDefault="00733304" w:rsidP="004E42F1">
            <w:pPr>
              <w:adjustRightInd w:val="0"/>
              <w:spacing w:line="240" w:lineRule="atLeast"/>
              <w:ind w:right="108"/>
            </w:pPr>
            <w:r w:rsidRPr="00F64CB1">
              <w:t>$370</w:t>
            </w:r>
          </w:p>
        </w:tc>
      </w:tr>
      <w:tr w:rsidR="00CF5612" w:rsidRPr="00F64CB1" w14:paraId="1DF6FA91" w14:textId="77777777" w:rsidTr="004E42F1">
        <w:tc>
          <w:tcPr>
            <w:tcW w:w="2592" w:type="dxa"/>
            <w:hideMark/>
          </w:tcPr>
          <w:p w14:paraId="20CE3F15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Tasmania</w:t>
            </w:r>
          </w:p>
        </w:tc>
        <w:tc>
          <w:tcPr>
            <w:tcW w:w="1418" w:type="dxa"/>
            <w:vAlign w:val="center"/>
          </w:tcPr>
          <w:p w14:paraId="2356B9A2" w14:textId="77777777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$255</w:t>
            </w:r>
          </w:p>
        </w:tc>
        <w:tc>
          <w:tcPr>
            <w:tcW w:w="1418" w:type="dxa"/>
            <w:vAlign w:val="center"/>
          </w:tcPr>
          <w:p w14:paraId="511C4DBF" w14:textId="77777777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$304</w:t>
            </w:r>
          </w:p>
        </w:tc>
        <w:tc>
          <w:tcPr>
            <w:tcW w:w="1418" w:type="dxa"/>
            <w:vAlign w:val="center"/>
          </w:tcPr>
          <w:p w14:paraId="45DF86AE" w14:textId="77777777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$350</w:t>
            </w:r>
          </w:p>
        </w:tc>
        <w:tc>
          <w:tcPr>
            <w:tcW w:w="1418" w:type="dxa"/>
            <w:vAlign w:val="center"/>
          </w:tcPr>
          <w:p w14:paraId="2B3EA970" w14:textId="77777777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$406</w:t>
            </w:r>
          </w:p>
        </w:tc>
      </w:tr>
      <w:tr w:rsidR="00CF5612" w:rsidRPr="00F64CB1" w14:paraId="0D74039A" w14:textId="77777777" w:rsidTr="004E42F1">
        <w:tc>
          <w:tcPr>
            <w:tcW w:w="2592" w:type="dxa"/>
            <w:hideMark/>
          </w:tcPr>
          <w:p w14:paraId="26F74E17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Victoria</w:t>
            </w:r>
          </w:p>
        </w:tc>
        <w:tc>
          <w:tcPr>
            <w:tcW w:w="1418" w:type="dxa"/>
            <w:vAlign w:val="center"/>
          </w:tcPr>
          <w:p w14:paraId="787B91C8" w14:textId="5267BA33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$2</w:t>
            </w:r>
            <w:r w:rsidR="00CF5612" w:rsidRPr="00F64CB1">
              <w:t>63</w:t>
            </w:r>
          </w:p>
        </w:tc>
        <w:tc>
          <w:tcPr>
            <w:tcW w:w="1418" w:type="dxa"/>
            <w:vAlign w:val="center"/>
          </w:tcPr>
          <w:p w14:paraId="3794A629" w14:textId="0CDAF71B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$3</w:t>
            </w:r>
            <w:r w:rsidR="00CF5612" w:rsidRPr="00F64CB1">
              <w:t>12</w:t>
            </w:r>
          </w:p>
        </w:tc>
        <w:tc>
          <w:tcPr>
            <w:tcW w:w="1418" w:type="dxa"/>
            <w:vAlign w:val="center"/>
          </w:tcPr>
          <w:p w14:paraId="5CB73A26" w14:textId="74BA209B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$3</w:t>
            </w:r>
            <w:r w:rsidR="00CF5612" w:rsidRPr="00F64CB1">
              <w:t>61</w:t>
            </w:r>
          </w:p>
        </w:tc>
        <w:tc>
          <w:tcPr>
            <w:tcW w:w="1418" w:type="dxa"/>
            <w:vAlign w:val="center"/>
          </w:tcPr>
          <w:p w14:paraId="7C3EBA0A" w14:textId="75639FBD" w:rsidR="00DA0A12" w:rsidRPr="00F64CB1" w:rsidRDefault="00DA0A12" w:rsidP="004E42F1">
            <w:pPr>
              <w:adjustRightInd w:val="0"/>
              <w:spacing w:line="240" w:lineRule="atLeast"/>
              <w:ind w:right="108"/>
            </w:pPr>
            <w:r w:rsidRPr="00F64CB1">
              <w:t>$</w:t>
            </w:r>
            <w:r w:rsidR="00CF5612" w:rsidRPr="00F64CB1">
              <w:t>415</w:t>
            </w:r>
          </w:p>
        </w:tc>
      </w:tr>
      <w:tr w:rsidR="00CF5612" w:rsidRPr="00F64CB1" w14:paraId="05DA0B73" w14:textId="77777777" w:rsidTr="004E42F1">
        <w:tc>
          <w:tcPr>
            <w:tcW w:w="2592" w:type="dxa"/>
            <w:hideMark/>
          </w:tcPr>
          <w:p w14:paraId="36BAE910" w14:textId="77777777" w:rsidR="00DA0A12" w:rsidRPr="00F64CB1" w:rsidRDefault="00DA0A12" w:rsidP="004E42F1">
            <w:pPr>
              <w:adjustRightInd w:val="0"/>
              <w:spacing w:line="240" w:lineRule="atLeast"/>
            </w:pPr>
            <w:r w:rsidRPr="00F64CB1">
              <w:t>Western Australia</w:t>
            </w:r>
          </w:p>
        </w:tc>
        <w:tc>
          <w:tcPr>
            <w:tcW w:w="1418" w:type="dxa"/>
            <w:vAlign w:val="center"/>
          </w:tcPr>
          <w:p w14:paraId="3B8BD48B" w14:textId="77777777" w:rsidR="00DA0A12" w:rsidRPr="00F64CB1" w:rsidRDefault="00F03E12" w:rsidP="004E42F1">
            <w:pPr>
              <w:adjustRightInd w:val="0"/>
              <w:spacing w:line="240" w:lineRule="atLeast"/>
              <w:ind w:right="108"/>
            </w:pPr>
            <w:r w:rsidRPr="00F64CB1">
              <w:t>$305</w:t>
            </w:r>
          </w:p>
        </w:tc>
        <w:tc>
          <w:tcPr>
            <w:tcW w:w="1418" w:type="dxa"/>
            <w:vAlign w:val="center"/>
          </w:tcPr>
          <w:p w14:paraId="7E65A824" w14:textId="77777777" w:rsidR="00DA0A12" w:rsidRPr="00F64CB1" w:rsidRDefault="00F03E12" w:rsidP="004E42F1">
            <w:pPr>
              <w:adjustRightInd w:val="0"/>
              <w:spacing w:line="240" w:lineRule="atLeast"/>
              <w:ind w:right="108"/>
            </w:pPr>
            <w:r w:rsidRPr="00F64CB1">
              <w:t>$305</w:t>
            </w:r>
          </w:p>
        </w:tc>
        <w:tc>
          <w:tcPr>
            <w:tcW w:w="1418" w:type="dxa"/>
            <w:vAlign w:val="center"/>
          </w:tcPr>
          <w:p w14:paraId="1CF07081" w14:textId="77777777" w:rsidR="00DA0A12" w:rsidRPr="00F64CB1" w:rsidRDefault="00F03E12" w:rsidP="004E42F1">
            <w:pPr>
              <w:adjustRightInd w:val="0"/>
              <w:spacing w:line="240" w:lineRule="atLeast"/>
              <w:ind w:right="108"/>
            </w:pPr>
            <w:r w:rsidRPr="00F64CB1">
              <w:t>$305</w:t>
            </w:r>
          </w:p>
        </w:tc>
        <w:tc>
          <w:tcPr>
            <w:tcW w:w="1418" w:type="dxa"/>
            <w:vAlign w:val="center"/>
          </w:tcPr>
          <w:p w14:paraId="4F18CF6B" w14:textId="77777777" w:rsidR="00DA0A12" w:rsidRPr="00F64CB1" w:rsidRDefault="00F03E12" w:rsidP="004E42F1">
            <w:pPr>
              <w:adjustRightInd w:val="0"/>
              <w:spacing w:line="240" w:lineRule="atLeast"/>
              <w:ind w:right="108"/>
            </w:pPr>
            <w:r w:rsidRPr="00F64CB1">
              <w:t>$305</w:t>
            </w:r>
          </w:p>
        </w:tc>
      </w:tr>
    </w:tbl>
    <w:p w14:paraId="2A5441E8" w14:textId="77777777" w:rsidR="00064667" w:rsidRPr="00F64CB1" w:rsidRDefault="00064667" w:rsidP="00DA0A12">
      <w:pPr>
        <w:pStyle w:val="ItemHead"/>
      </w:pPr>
    </w:p>
    <w:p w14:paraId="18F5EA82" w14:textId="7C38CE6E" w:rsidR="00DA0A12" w:rsidRPr="00F64CB1" w:rsidRDefault="00064667" w:rsidP="00DA0A12">
      <w:pPr>
        <w:pStyle w:val="ItemHead"/>
      </w:pPr>
      <w:r w:rsidRPr="00F64CB1">
        <w:t>9</w:t>
      </w:r>
      <w:r w:rsidR="009E28C7" w:rsidRPr="00F64CB1">
        <w:t xml:space="preserve">  </w:t>
      </w:r>
      <w:r w:rsidR="00C35917" w:rsidRPr="00F64CB1">
        <w:t>C</w:t>
      </w:r>
      <w:r w:rsidR="00DA0A12" w:rsidRPr="00F64CB1">
        <w:t xml:space="preserve">lause 2 </w:t>
      </w:r>
      <w:r w:rsidR="00C35917" w:rsidRPr="00F64CB1">
        <w:t>of Schedule 3 (T</w:t>
      </w:r>
      <w:r w:rsidR="00DA0A12" w:rsidRPr="00F64CB1">
        <w:t>able 2)</w:t>
      </w:r>
    </w:p>
    <w:p w14:paraId="2D324BC1" w14:textId="77777777" w:rsidR="00DA0A12" w:rsidRPr="00F64CB1" w:rsidRDefault="00DA0A12" w:rsidP="00DA0A12">
      <w:pPr>
        <w:pStyle w:val="Item"/>
      </w:pPr>
      <w:r w:rsidRPr="00F64CB1">
        <w:t>Repeal the table</w:t>
      </w:r>
      <w:r w:rsidR="003205D4" w:rsidRPr="00F64CB1">
        <w:t xml:space="preserve"> (including the heading)</w:t>
      </w:r>
      <w:r w:rsidRPr="00F64CB1">
        <w:t>, substitute:</w:t>
      </w:r>
    </w:p>
    <w:p w14:paraId="7D90EC5F" w14:textId="0C44AAB5" w:rsidR="00DA0A12" w:rsidRPr="00F64CB1" w:rsidRDefault="00DA0A12" w:rsidP="00DA0A12">
      <w:pPr>
        <w:keepNext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</w:rPr>
      </w:pPr>
      <w:r w:rsidRPr="00F64CB1">
        <w:rPr>
          <w:rFonts w:ascii="Arial" w:hAnsi="Arial" w:cs="Arial"/>
          <w:b/>
          <w:bCs/>
        </w:rPr>
        <w:t>Table 2</w:t>
      </w:r>
      <w:r w:rsidR="00C81116" w:rsidRPr="00F64CB1">
        <w:rPr>
          <w:rFonts w:ascii="Arial" w:hAnsi="Arial" w:cs="Arial"/>
          <w:b/>
          <w:bCs/>
        </w:rPr>
        <w:t xml:space="preserve"> </w:t>
      </w:r>
      <w:r w:rsidR="003205D4" w:rsidRPr="00F64CB1">
        <w:rPr>
          <w:rFonts w:ascii="Arial" w:hAnsi="Arial" w:cs="Arial"/>
          <w:b/>
          <w:bCs/>
        </w:rPr>
        <w:t xml:space="preserve">- </w:t>
      </w:r>
      <w:r w:rsidR="00C81116" w:rsidRPr="00F64CB1">
        <w:rPr>
          <w:rFonts w:ascii="Arial" w:hAnsi="Arial" w:cs="Arial"/>
          <w:b/>
          <w:bCs/>
        </w:rPr>
        <w:t>Same-day accommodation</w:t>
      </w:r>
      <w:r w:rsidR="00D6043D" w:rsidRPr="00F64CB1">
        <w:rPr>
          <w:rFonts w:ascii="Arial" w:hAnsi="Arial" w:cs="Arial"/>
          <w:b/>
          <w:bCs/>
        </w:rPr>
        <w:t xml:space="preserve"> for</w:t>
      </w:r>
      <w:r w:rsidR="00905230" w:rsidRPr="00F64CB1">
        <w:rPr>
          <w:rFonts w:ascii="Arial" w:hAnsi="Arial" w:cs="Arial"/>
          <w:b/>
          <w:bCs/>
        </w:rPr>
        <w:t xml:space="preserve"> </w:t>
      </w:r>
      <w:r w:rsidR="00C81116" w:rsidRPr="00F64CB1">
        <w:rPr>
          <w:rFonts w:ascii="Arial" w:hAnsi="Arial" w:cs="Arial"/>
          <w:b/>
          <w:bCs/>
        </w:rPr>
        <w:t xml:space="preserve">private </w:t>
      </w:r>
      <w:r w:rsidR="00F46F98" w:rsidRPr="00F64CB1">
        <w:rPr>
          <w:rFonts w:ascii="Arial" w:hAnsi="Arial" w:cs="Arial"/>
          <w:b/>
          <w:bCs/>
        </w:rPr>
        <w:t xml:space="preserve">patients </w:t>
      </w:r>
      <w:r w:rsidR="00D6043D" w:rsidRPr="00F64CB1">
        <w:rPr>
          <w:rFonts w:ascii="Arial" w:hAnsi="Arial" w:cs="Arial"/>
          <w:b/>
          <w:bCs/>
        </w:rPr>
        <w:t>at</w:t>
      </w:r>
      <w:r w:rsidR="00F46F98" w:rsidRPr="00F64CB1">
        <w:rPr>
          <w:rFonts w:ascii="Arial" w:hAnsi="Arial" w:cs="Arial"/>
          <w:b/>
          <w:bCs/>
        </w:rPr>
        <w:t xml:space="preserve"> private </w:t>
      </w:r>
      <w:r w:rsidR="00C81116" w:rsidRPr="00F64CB1">
        <w:rPr>
          <w:rFonts w:ascii="Arial" w:hAnsi="Arial" w:cs="Arial"/>
          <w:b/>
          <w:bCs/>
        </w:rPr>
        <w:t>hospitals</w:t>
      </w:r>
      <w:r w:rsidR="003205D4" w:rsidRPr="00F64CB1">
        <w:rPr>
          <w:rFonts w:ascii="Arial" w:hAnsi="Arial" w:cs="Arial"/>
          <w:b/>
          <w:bCs/>
        </w:rPr>
        <w:t xml:space="preserve"> in all States/Territories</w:t>
      </w:r>
      <w:r w:rsidR="00C81116" w:rsidRPr="00F64CB1">
        <w:rPr>
          <w:rFonts w:ascii="Arial" w:hAnsi="Arial" w:cs="Arial"/>
          <w:b/>
          <w:bCs/>
        </w:rPr>
        <w:t xml:space="preserve"> </w:t>
      </w:r>
    </w:p>
    <w:tbl>
      <w:tblPr>
        <w:tblW w:w="8265" w:type="dxa"/>
        <w:tblInd w:w="56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3"/>
        <w:gridCol w:w="1418"/>
        <w:gridCol w:w="1418"/>
        <w:gridCol w:w="1418"/>
        <w:gridCol w:w="1418"/>
      </w:tblGrid>
      <w:tr w:rsidR="00D274FF" w:rsidRPr="00F64CB1" w14:paraId="20724027" w14:textId="77777777" w:rsidTr="004E42F1">
        <w:tc>
          <w:tcPr>
            <w:tcW w:w="2593" w:type="dxa"/>
          </w:tcPr>
          <w:p w14:paraId="3BC900BB" w14:textId="77777777" w:rsidR="00DA0A12" w:rsidRPr="00F64CB1" w:rsidRDefault="00DA0A12" w:rsidP="004E42F1">
            <w:pPr>
              <w:adjustRightInd w:val="0"/>
              <w:spacing w:line="240" w:lineRule="atLeast"/>
              <w:ind w:left="15"/>
            </w:pPr>
          </w:p>
        </w:tc>
        <w:tc>
          <w:tcPr>
            <w:tcW w:w="1418" w:type="dxa"/>
            <w:hideMark/>
          </w:tcPr>
          <w:p w14:paraId="292DE877" w14:textId="77777777" w:rsidR="00DA0A12" w:rsidRPr="00F64CB1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1</w:t>
            </w:r>
          </w:p>
        </w:tc>
        <w:tc>
          <w:tcPr>
            <w:tcW w:w="1418" w:type="dxa"/>
            <w:hideMark/>
          </w:tcPr>
          <w:p w14:paraId="613BF199" w14:textId="77777777" w:rsidR="00DA0A12" w:rsidRPr="00F64CB1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2</w:t>
            </w:r>
          </w:p>
        </w:tc>
        <w:tc>
          <w:tcPr>
            <w:tcW w:w="1418" w:type="dxa"/>
            <w:hideMark/>
          </w:tcPr>
          <w:p w14:paraId="53B068A7" w14:textId="77777777" w:rsidR="00DA0A12" w:rsidRPr="00F64CB1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3</w:t>
            </w:r>
          </w:p>
        </w:tc>
        <w:tc>
          <w:tcPr>
            <w:tcW w:w="1418" w:type="dxa"/>
            <w:hideMark/>
          </w:tcPr>
          <w:p w14:paraId="31ABA1FD" w14:textId="77777777" w:rsidR="00DA0A12" w:rsidRPr="00F64CB1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F64CB1">
              <w:rPr>
                <w:b/>
                <w:bCs/>
              </w:rPr>
              <w:t>Band 4</w:t>
            </w:r>
          </w:p>
        </w:tc>
      </w:tr>
      <w:tr w:rsidR="00D274FF" w:rsidRPr="00F64CB1" w14:paraId="76B439A1" w14:textId="77777777" w:rsidTr="004E42F1">
        <w:tc>
          <w:tcPr>
            <w:tcW w:w="2593" w:type="dxa"/>
            <w:hideMark/>
          </w:tcPr>
          <w:p w14:paraId="5A13D875" w14:textId="77777777" w:rsidR="00DA0A12" w:rsidRPr="00F64CB1" w:rsidRDefault="00DA0A12" w:rsidP="004E42F1">
            <w:pPr>
              <w:adjustRightInd w:val="0"/>
              <w:spacing w:line="240" w:lineRule="atLeast"/>
              <w:ind w:left="15"/>
            </w:pPr>
            <w:r w:rsidRPr="00F64CB1">
              <w:t>Private Hospitals</w:t>
            </w:r>
          </w:p>
        </w:tc>
        <w:tc>
          <w:tcPr>
            <w:tcW w:w="1418" w:type="dxa"/>
          </w:tcPr>
          <w:p w14:paraId="4663D480" w14:textId="7AF3A904" w:rsidR="00DA0A12" w:rsidRPr="00F64CB1" w:rsidRDefault="00DA0A12" w:rsidP="004E42F1">
            <w:pPr>
              <w:adjustRightInd w:val="0"/>
              <w:spacing w:line="240" w:lineRule="atLeast"/>
              <w:ind w:left="108" w:right="108"/>
            </w:pPr>
            <w:r w:rsidRPr="00F64CB1">
              <w:t>$</w:t>
            </w:r>
            <w:r w:rsidR="00D274FF" w:rsidRPr="00F64CB1">
              <w:t>232</w:t>
            </w:r>
          </w:p>
        </w:tc>
        <w:tc>
          <w:tcPr>
            <w:tcW w:w="1418" w:type="dxa"/>
          </w:tcPr>
          <w:p w14:paraId="7EDBFDB9" w14:textId="74ED46B7" w:rsidR="00DA0A12" w:rsidRPr="00F64CB1" w:rsidRDefault="00DA0A12" w:rsidP="004E42F1">
            <w:pPr>
              <w:adjustRightInd w:val="0"/>
              <w:spacing w:line="240" w:lineRule="atLeast"/>
              <w:ind w:left="108" w:right="108"/>
            </w:pPr>
            <w:r w:rsidRPr="00F64CB1">
              <w:t>$2</w:t>
            </w:r>
            <w:r w:rsidR="00D274FF" w:rsidRPr="00F64CB1">
              <w:t>92</w:t>
            </w:r>
          </w:p>
        </w:tc>
        <w:tc>
          <w:tcPr>
            <w:tcW w:w="1418" w:type="dxa"/>
          </w:tcPr>
          <w:p w14:paraId="58A1B07F" w14:textId="297CEF80" w:rsidR="00DA0A12" w:rsidRPr="00F64CB1" w:rsidRDefault="00DA0A12" w:rsidP="004E42F1">
            <w:pPr>
              <w:adjustRightInd w:val="0"/>
              <w:spacing w:line="240" w:lineRule="atLeast"/>
              <w:ind w:left="108" w:right="108"/>
            </w:pPr>
            <w:r w:rsidRPr="00F64CB1">
              <w:t>$3</w:t>
            </w:r>
            <w:r w:rsidR="00D274FF" w:rsidRPr="00F64CB1">
              <w:t>55</w:t>
            </w:r>
          </w:p>
        </w:tc>
        <w:tc>
          <w:tcPr>
            <w:tcW w:w="1418" w:type="dxa"/>
          </w:tcPr>
          <w:p w14:paraId="4DFCCF94" w14:textId="569A143C" w:rsidR="00DA0A12" w:rsidRPr="00F64CB1" w:rsidRDefault="00DA0A12" w:rsidP="004E42F1">
            <w:pPr>
              <w:adjustRightInd w:val="0"/>
              <w:spacing w:line="240" w:lineRule="atLeast"/>
              <w:ind w:left="108" w:right="108"/>
            </w:pPr>
            <w:r w:rsidRPr="00F64CB1">
              <w:t>$4</w:t>
            </w:r>
            <w:r w:rsidR="00D274FF" w:rsidRPr="00F64CB1">
              <w:t>15</w:t>
            </w:r>
          </w:p>
        </w:tc>
      </w:tr>
    </w:tbl>
    <w:p w14:paraId="7B13BFA9" w14:textId="77777777" w:rsidR="00FE08BF" w:rsidRPr="00F64CB1" w:rsidRDefault="00FE08BF" w:rsidP="00FE08BF">
      <w:pPr>
        <w:pStyle w:val="ItemHead"/>
      </w:pPr>
    </w:p>
    <w:p w14:paraId="3FAC9F12" w14:textId="4E748200" w:rsidR="00E31968" w:rsidRPr="00F64CB1" w:rsidRDefault="00064667" w:rsidP="00EC6022">
      <w:pPr>
        <w:pStyle w:val="ItemHead"/>
        <w:rPr>
          <w:rFonts w:eastAsiaTheme="minorHAnsi" w:cs="Arial"/>
          <w:kern w:val="0"/>
          <w:szCs w:val="24"/>
          <w:lang w:eastAsia="en-US"/>
        </w:rPr>
      </w:pPr>
      <w:r w:rsidRPr="00F64CB1">
        <w:t>10</w:t>
      </w:r>
      <w:r w:rsidR="009E28C7" w:rsidRPr="00F64CB1">
        <w:t xml:space="preserve">  </w:t>
      </w:r>
      <w:r w:rsidR="00B47E62" w:rsidRPr="00F64CB1">
        <w:t>Clause 6 of Schedule 4 (Table 1</w:t>
      </w:r>
      <w:r w:rsidR="00B47E62" w:rsidRPr="00F64CB1">
        <w:rPr>
          <w:rFonts w:cs="Arial"/>
          <w:szCs w:val="24"/>
        </w:rPr>
        <w:t xml:space="preserve">, table </w:t>
      </w:r>
      <w:r w:rsidR="008F3AAE" w:rsidRPr="00F64CB1">
        <w:rPr>
          <w:rFonts w:cs="Arial"/>
          <w:szCs w:val="24"/>
        </w:rPr>
        <w:t xml:space="preserve">item </w:t>
      </w:r>
      <w:r w:rsidR="00B47E62" w:rsidRPr="00F64CB1">
        <w:rPr>
          <w:rFonts w:cs="Arial"/>
          <w:szCs w:val="24"/>
        </w:rPr>
        <w:t>dealing with Australian Capital Territory, column headed “Minimum benefit per night”</w:t>
      </w:r>
      <w:r w:rsidR="00B47E62" w:rsidRPr="00F64CB1">
        <w:rPr>
          <w:rStyle w:val="CommentReference"/>
          <w:rFonts w:eastAsiaTheme="minorHAnsi" w:cs="Arial"/>
          <w:kern w:val="0"/>
          <w:sz w:val="24"/>
          <w:szCs w:val="24"/>
          <w:lang w:eastAsia="en-US"/>
        </w:rPr>
        <w:t>)</w:t>
      </w:r>
    </w:p>
    <w:p w14:paraId="5C5F45F0" w14:textId="77777777" w:rsidR="00A23CD6" w:rsidRPr="00F64CB1" w:rsidRDefault="00B47E62" w:rsidP="00D22FA7">
      <w:pPr>
        <w:pStyle w:val="Item"/>
      </w:pPr>
      <w:r w:rsidRPr="00F64CB1">
        <w:t>Omit “$128.15”, substitute “$130.70”.</w:t>
      </w:r>
    </w:p>
    <w:p w14:paraId="4E0ADE34" w14:textId="20D4D43A" w:rsidR="00E31968" w:rsidRPr="00F64CB1" w:rsidRDefault="00064667" w:rsidP="00E31968">
      <w:pPr>
        <w:pStyle w:val="ItemHead"/>
      </w:pPr>
      <w:r w:rsidRPr="00F64CB1">
        <w:t>11</w:t>
      </w:r>
      <w:r w:rsidR="00E31968" w:rsidRPr="00F64CB1">
        <w:t xml:space="preserve">  Clause 6 of Schedule 4 (Table 1</w:t>
      </w:r>
      <w:r w:rsidR="00E31968" w:rsidRPr="00F64CB1">
        <w:rPr>
          <w:rFonts w:cs="Arial"/>
          <w:szCs w:val="24"/>
        </w:rPr>
        <w:t>, table item dealing with South Australia, column headed “Minimum benefit per night”</w:t>
      </w:r>
      <w:r w:rsidR="00E31968" w:rsidRPr="00F64CB1">
        <w:rPr>
          <w:rStyle w:val="CommentReference"/>
          <w:rFonts w:eastAsiaTheme="minorHAnsi" w:cs="Arial"/>
          <w:kern w:val="0"/>
          <w:sz w:val="24"/>
          <w:szCs w:val="24"/>
          <w:lang w:eastAsia="en-US"/>
        </w:rPr>
        <w:t>)</w:t>
      </w:r>
    </w:p>
    <w:p w14:paraId="11FB5ED0" w14:textId="77777777" w:rsidR="00E31968" w:rsidRPr="00F64CB1" w:rsidRDefault="008F3AAE" w:rsidP="00E31968">
      <w:pPr>
        <w:pStyle w:val="Item"/>
      </w:pPr>
      <w:r w:rsidRPr="00F64CB1">
        <w:t>Omit “$122.00”, substitute “$125</w:t>
      </w:r>
      <w:r w:rsidR="00CB37D3" w:rsidRPr="00F64CB1">
        <w:t>.00</w:t>
      </w:r>
      <w:r w:rsidR="00E31968" w:rsidRPr="00F64CB1">
        <w:t>”.</w:t>
      </w:r>
    </w:p>
    <w:p w14:paraId="4AA4B8EF" w14:textId="11CCCBF6" w:rsidR="00E31968" w:rsidRPr="00F64CB1" w:rsidRDefault="00F73A04" w:rsidP="00F73A04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F64CB1">
        <w:br w:type="page"/>
      </w:r>
    </w:p>
    <w:p w14:paraId="548A2365" w14:textId="77777777" w:rsidR="00DB64FC" w:rsidRPr="00F64CB1" w:rsidRDefault="00DB64FC" w:rsidP="00AC767C">
      <w:pPr>
        <w:pStyle w:val="ActHead6"/>
        <w:pageBreakBefore/>
      </w:pPr>
      <w:bookmarkStart w:id="8" w:name="_Toc44081513"/>
      <w:r w:rsidRPr="00F64CB1">
        <w:rPr>
          <w:rStyle w:val="CharAmSchNo"/>
        </w:rPr>
        <w:lastRenderedPageBreak/>
        <w:t>Schedule 2</w:t>
      </w:r>
      <w:r w:rsidRPr="00F64CB1">
        <w:t>—</w:t>
      </w:r>
      <w:r w:rsidR="00095633" w:rsidRPr="00F64CB1">
        <w:rPr>
          <w:rStyle w:val="CharAmSchText"/>
        </w:rPr>
        <w:t>Amendments</w:t>
      </w:r>
      <w:r w:rsidR="001A2F17" w:rsidRPr="00F64CB1">
        <w:t>—</w:t>
      </w:r>
      <w:r w:rsidR="005454B3" w:rsidRPr="00F64CB1">
        <w:t>Nursing-home type patient contribution</w:t>
      </w:r>
      <w:bookmarkEnd w:id="8"/>
    </w:p>
    <w:p w14:paraId="527CBFAB" w14:textId="77777777" w:rsidR="00DB64FC" w:rsidRPr="00F64CB1" w:rsidRDefault="00095633" w:rsidP="007E32B6">
      <w:pPr>
        <w:pStyle w:val="ActHead9"/>
      </w:pPr>
      <w:bookmarkStart w:id="9" w:name="_Toc44081514"/>
      <w:r w:rsidRPr="00F64CB1">
        <w:t>Private Health Insurance (Complying Products) Rules 2015</w:t>
      </w:r>
      <w:bookmarkEnd w:id="9"/>
    </w:p>
    <w:p w14:paraId="16D1E521" w14:textId="3DAD72D8" w:rsidR="008956B1" w:rsidRPr="00F64CB1" w:rsidRDefault="008956B1" w:rsidP="00FD1FE2">
      <w:pPr>
        <w:pStyle w:val="ItemHead"/>
      </w:pPr>
      <w:r w:rsidRPr="00F64CB1">
        <w:t>1  Subrule 8A(3) (paragraph (a) of the definition of </w:t>
      </w:r>
      <w:r w:rsidRPr="00F64CB1">
        <w:rPr>
          <w:i/>
          <w:iCs/>
        </w:rPr>
        <w:t>patient contribution</w:t>
      </w:r>
      <w:r w:rsidRPr="00F64CB1">
        <w:t>)</w:t>
      </w:r>
    </w:p>
    <w:p w14:paraId="0D4FECF2" w14:textId="77777777" w:rsidR="008956B1" w:rsidRPr="00F64CB1" w:rsidRDefault="008956B1" w:rsidP="008956B1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Repeal the paragraph, substitute:</w:t>
      </w:r>
    </w:p>
    <w:p w14:paraId="4E41BE1B" w14:textId="421B9F9C" w:rsidR="008956B1" w:rsidRPr="00F64CB1" w:rsidRDefault="008956B1" w:rsidP="008956B1">
      <w:pPr>
        <w:shd w:val="clear" w:color="auto" w:fill="FFFFFF"/>
        <w:spacing w:before="60" w:line="240" w:lineRule="auto"/>
        <w:ind w:left="1210" w:hanging="360"/>
        <w:rPr>
          <w:rFonts w:eastAsia="Times New Roman" w:cs="Times New Roman"/>
          <w:color w:val="000000"/>
          <w:szCs w:val="22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(a) in relation to a nursing</w:t>
      </w:r>
      <w:r w:rsidRPr="00F64CB1">
        <w:rPr>
          <w:rFonts w:eastAsia="Times New Roman" w:cs="Times New Roman"/>
          <w:color w:val="000000"/>
          <w:szCs w:val="22"/>
          <w:lang w:eastAsia="en-AU"/>
        </w:rPr>
        <w:noBreakHyphen/>
        <w:t>home type patient at a public hospital, the following amount for the State or Territory in which the hospital is located:</w:t>
      </w:r>
    </w:p>
    <w:p w14:paraId="4B26E282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(i)           Australian Capital Territory - $</w:t>
      </w:r>
      <w:r w:rsidR="00A0272D" w:rsidRPr="00F64CB1">
        <w:rPr>
          <w:rFonts w:eastAsia="Times New Roman" w:cs="Times New Roman"/>
          <w:color w:val="000000"/>
          <w:szCs w:val="22"/>
          <w:lang w:eastAsia="en-AU"/>
        </w:rPr>
        <w:t>62.50</w:t>
      </w:r>
      <w:r w:rsidRPr="00F64CB1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2DCC60C1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(ii)          New South Wales - $62.50;</w:t>
      </w:r>
    </w:p>
    <w:p w14:paraId="14A8A98D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(iii)         Northern Territory - $62.50;</w:t>
      </w:r>
    </w:p>
    <w:p w14:paraId="257D4D1B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(iv)         Queensland - $62.50;</w:t>
      </w:r>
    </w:p>
    <w:p w14:paraId="5303D834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(v)          South Australia - $62.50;</w:t>
      </w:r>
    </w:p>
    <w:p w14:paraId="558A2319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(vi)         Tasmania - $62.50;</w:t>
      </w:r>
    </w:p>
    <w:p w14:paraId="2F71589D" w14:textId="77777777" w:rsidR="008956B1" w:rsidRPr="00F64CB1" w:rsidRDefault="008956B1" w:rsidP="008956B1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 (vii)        Victoria - $62.50; and</w:t>
      </w:r>
    </w:p>
    <w:p w14:paraId="2A615368" w14:textId="77777777" w:rsidR="00451E69" w:rsidRPr="00F64CB1" w:rsidRDefault="008956B1" w:rsidP="00FF7984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>              (viii)       Western Australia - $62.50</w:t>
      </w:r>
      <w:r w:rsidR="002878CA" w:rsidRPr="00F64CB1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72C9847C" w14:textId="77777777" w:rsidR="00451E69" w:rsidRPr="00F64CB1" w:rsidRDefault="00451E69">
      <w:pPr>
        <w:spacing w:line="240" w:lineRule="auto"/>
      </w:pPr>
    </w:p>
    <w:p w14:paraId="37EC82BB" w14:textId="77777777" w:rsidR="003879A8" w:rsidRPr="00F64CB1" w:rsidRDefault="003879A8">
      <w:pPr>
        <w:spacing w:line="240" w:lineRule="auto"/>
      </w:pPr>
    </w:p>
    <w:p w14:paraId="0760192D" w14:textId="77777777" w:rsidR="003879A8" w:rsidRPr="00F64CB1" w:rsidRDefault="003879A8">
      <w:pPr>
        <w:spacing w:line="240" w:lineRule="auto"/>
      </w:pPr>
      <w:r w:rsidRPr="00F64CB1">
        <w:br w:type="page"/>
      </w:r>
    </w:p>
    <w:p w14:paraId="0CB293A4" w14:textId="77777777" w:rsidR="003879A8" w:rsidRPr="00F64CB1" w:rsidRDefault="003879A8" w:rsidP="003879A8">
      <w:pPr>
        <w:pStyle w:val="ActHead6"/>
        <w:pageBreakBefore/>
      </w:pPr>
      <w:bookmarkStart w:id="10" w:name="_Toc44081515"/>
      <w:r w:rsidRPr="00F64CB1">
        <w:rPr>
          <w:rStyle w:val="CharAmSchNo"/>
        </w:rPr>
        <w:lastRenderedPageBreak/>
        <w:t>Schedule 3</w:t>
      </w:r>
      <w:r w:rsidRPr="00F64CB1">
        <w:t>—</w:t>
      </w:r>
      <w:r w:rsidRPr="00F64CB1">
        <w:rPr>
          <w:rStyle w:val="CharAmSchText"/>
        </w:rPr>
        <w:t>Amendments</w:t>
      </w:r>
      <w:r w:rsidRPr="00F64CB1">
        <w:t>—</w:t>
      </w:r>
      <w:r w:rsidR="00600332" w:rsidRPr="00F64CB1">
        <w:t>I</w:t>
      </w:r>
      <w:r w:rsidRPr="00F64CB1">
        <w:t>nformation provided to the Ombudsman</w:t>
      </w:r>
      <w:bookmarkEnd w:id="10"/>
    </w:p>
    <w:p w14:paraId="4D1B58DB" w14:textId="54F6E053" w:rsidR="00122A66" w:rsidRPr="00F64CB1" w:rsidRDefault="00CE58E0" w:rsidP="00122A66">
      <w:pPr>
        <w:pStyle w:val="ItemHead"/>
        <w:rPr>
          <w:i/>
        </w:rPr>
      </w:pPr>
      <w:r w:rsidRPr="00F64CB1">
        <w:rPr>
          <w:i/>
        </w:rPr>
        <w:t>Private Health Insurance (Complying Products) Rules 2015</w:t>
      </w:r>
    </w:p>
    <w:p w14:paraId="7AFFEAD8" w14:textId="30368E5C" w:rsidR="00075D66" w:rsidRPr="00F64CB1" w:rsidRDefault="003879A8" w:rsidP="00075D66">
      <w:pPr>
        <w:pStyle w:val="ItemHead"/>
      </w:pPr>
      <w:r w:rsidRPr="00F64CB1">
        <w:t>1</w:t>
      </w:r>
      <w:r w:rsidR="00075D66" w:rsidRPr="00F64CB1">
        <w:t xml:space="preserve">  </w:t>
      </w:r>
      <w:r w:rsidR="00AB1BBC" w:rsidRPr="00F64CB1">
        <w:t>Subr</w:t>
      </w:r>
      <w:r w:rsidR="00F455C9" w:rsidRPr="00F64CB1">
        <w:t>ule 14</w:t>
      </w:r>
      <w:r w:rsidR="006421D7" w:rsidRPr="00F64CB1">
        <w:t>(4)</w:t>
      </w:r>
    </w:p>
    <w:p w14:paraId="46E14865" w14:textId="326446DD" w:rsidR="007E1B16" w:rsidRPr="00F64CB1" w:rsidRDefault="007E1B16" w:rsidP="007E1B16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F64CB1">
        <w:rPr>
          <w:rFonts w:eastAsia="Times New Roman" w:cs="Times New Roman"/>
          <w:color w:val="000000"/>
          <w:szCs w:val="22"/>
          <w:lang w:eastAsia="en-AU"/>
        </w:rPr>
        <w:t xml:space="preserve">Repeal the </w:t>
      </w:r>
      <w:r w:rsidR="006421D7" w:rsidRPr="00F64CB1">
        <w:rPr>
          <w:rFonts w:eastAsia="Times New Roman" w:cs="Times New Roman"/>
          <w:color w:val="000000"/>
          <w:szCs w:val="22"/>
          <w:lang w:eastAsia="en-AU"/>
        </w:rPr>
        <w:t>sub</w:t>
      </w:r>
      <w:r w:rsidR="00AB1BBC" w:rsidRPr="00F64CB1">
        <w:rPr>
          <w:rFonts w:eastAsia="Times New Roman" w:cs="Times New Roman"/>
          <w:color w:val="000000"/>
          <w:szCs w:val="22"/>
          <w:lang w:eastAsia="en-AU"/>
        </w:rPr>
        <w:t>rule</w:t>
      </w:r>
      <w:r w:rsidRPr="00F64CB1">
        <w:rPr>
          <w:rFonts w:eastAsia="Times New Roman" w:cs="Times New Roman"/>
          <w:color w:val="000000"/>
          <w:szCs w:val="22"/>
          <w:lang w:eastAsia="en-AU"/>
        </w:rPr>
        <w:t>, substitute:</w:t>
      </w:r>
    </w:p>
    <w:p w14:paraId="008978AE" w14:textId="41A141DF" w:rsidR="00C80841" w:rsidRPr="00F64CB1" w:rsidRDefault="007E1B16" w:rsidP="00C80841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F64CB1">
        <w:rPr>
          <w:iCs/>
        </w:rPr>
        <w:t>(4)    The insurer must give this information to the Ombudsman b</w:t>
      </w:r>
      <w:r w:rsidR="00FB117D" w:rsidRPr="00F64CB1">
        <w:rPr>
          <w:iCs/>
        </w:rPr>
        <w:t xml:space="preserve">efore the end of the day that is </w:t>
      </w:r>
      <w:r w:rsidRPr="00F64CB1">
        <w:rPr>
          <w:iCs/>
        </w:rPr>
        <w:t>the later of:</w:t>
      </w:r>
    </w:p>
    <w:p w14:paraId="4C614B37" w14:textId="0CCA6E0E" w:rsidR="007E1B16" w:rsidRPr="00F64CB1" w:rsidRDefault="007E1B16" w:rsidP="00C80841">
      <w:pPr>
        <w:ind w:left="720"/>
      </w:pPr>
      <w:r w:rsidRPr="00F64CB1">
        <w:rPr>
          <w:iCs/>
        </w:rPr>
        <w:t xml:space="preserve">(a)          1 February </w:t>
      </w:r>
      <w:r w:rsidR="00FB117D" w:rsidRPr="00F64CB1">
        <w:rPr>
          <w:iCs/>
        </w:rPr>
        <w:t xml:space="preserve">immediately following </w:t>
      </w:r>
      <w:r w:rsidRPr="00F64CB1">
        <w:rPr>
          <w:iCs/>
        </w:rPr>
        <w:t>the</w:t>
      </w:r>
      <w:r w:rsidR="00AB1BBC" w:rsidRPr="00F64CB1">
        <w:rPr>
          <w:iCs/>
        </w:rPr>
        <w:t xml:space="preserve"> day the</w:t>
      </w:r>
      <w:r w:rsidRPr="00F64CB1">
        <w:rPr>
          <w:iCs/>
        </w:rPr>
        <w:t xml:space="preserve"> Minister approv</w:t>
      </w:r>
      <w:r w:rsidR="00FB117D" w:rsidRPr="00F64CB1">
        <w:rPr>
          <w:iCs/>
        </w:rPr>
        <w:t>ed</w:t>
      </w:r>
      <w:r w:rsidRPr="00F64CB1">
        <w:rPr>
          <w:iCs/>
        </w:rPr>
        <w:t xml:space="preserve"> the change; or</w:t>
      </w:r>
    </w:p>
    <w:p w14:paraId="4B8F6727" w14:textId="4CECCCE7" w:rsidR="00451E69" w:rsidRPr="00F64CB1" w:rsidRDefault="007E1B16" w:rsidP="007E1B16">
      <w:pPr>
        <w:ind w:left="720"/>
      </w:pPr>
      <w:r w:rsidRPr="00F64CB1">
        <w:rPr>
          <w:iCs/>
        </w:rPr>
        <w:t>(b)         20 business days after the da</w:t>
      </w:r>
      <w:r w:rsidR="00AB1BBC" w:rsidRPr="00F64CB1">
        <w:rPr>
          <w:iCs/>
        </w:rPr>
        <w:t xml:space="preserve">y </w:t>
      </w:r>
      <w:r w:rsidRPr="00F64CB1">
        <w:rPr>
          <w:iCs/>
        </w:rPr>
        <w:t>the Minister approved the change.</w:t>
      </w:r>
    </w:p>
    <w:p w14:paraId="57752BC4" w14:textId="77777777" w:rsidR="00451E69" w:rsidRPr="00F64CB1" w:rsidRDefault="00451E69">
      <w:pPr>
        <w:spacing w:line="240" w:lineRule="auto"/>
      </w:pPr>
    </w:p>
    <w:p w14:paraId="451CEDEC" w14:textId="77777777" w:rsidR="001A2F17" w:rsidRPr="00F64CB1" w:rsidRDefault="001A2F17">
      <w:pPr>
        <w:spacing w:line="240" w:lineRule="auto"/>
        <w:rPr>
          <w:rFonts w:eastAsia="Times New Roman" w:cs="Times New Roman"/>
          <w:lang w:eastAsia="en-AU"/>
        </w:rPr>
      </w:pPr>
      <w:r w:rsidRPr="00F64CB1">
        <w:br w:type="page"/>
      </w:r>
    </w:p>
    <w:p w14:paraId="01E049E9" w14:textId="38C70707" w:rsidR="001A2F17" w:rsidRPr="00F64CB1" w:rsidRDefault="00612089" w:rsidP="001A2F17">
      <w:pPr>
        <w:pStyle w:val="ActHead6"/>
        <w:pageBreakBefore/>
      </w:pPr>
      <w:bookmarkStart w:id="11" w:name="_Toc44081516"/>
      <w:r w:rsidRPr="00F64CB1">
        <w:rPr>
          <w:rStyle w:val="CharAmSchNo"/>
        </w:rPr>
        <w:lastRenderedPageBreak/>
        <w:t>Schedule 4</w:t>
      </w:r>
      <w:r w:rsidR="001A2F17" w:rsidRPr="00F64CB1">
        <w:t>—</w:t>
      </w:r>
      <w:r w:rsidR="001A2F17" w:rsidRPr="00F64CB1">
        <w:rPr>
          <w:rStyle w:val="CharAmSchText"/>
        </w:rPr>
        <w:t>Amendments</w:t>
      </w:r>
      <w:r w:rsidR="001A2F17" w:rsidRPr="00F64CB1">
        <w:t>—</w:t>
      </w:r>
      <w:r w:rsidR="00C44F49" w:rsidRPr="00F64CB1">
        <w:t xml:space="preserve">Second-tier </w:t>
      </w:r>
      <w:r w:rsidR="008621E8" w:rsidRPr="00F64CB1">
        <w:t>a</w:t>
      </w:r>
      <w:r w:rsidR="00C44F49" w:rsidRPr="00F64CB1">
        <w:t>pplication f</w:t>
      </w:r>
      <w:r w:rsidR="005F0C31" w:rsidRPr="00F64CB1">
        <w:t>ee</w:t>
      </w:r>
      <w:bookmarkEnd w:id="11"/>
    </w:p>
    <w:p w14:paraId="14801496" w14:textId="77777777" w:rsidR="001A2F17" w:rsidRPr="00F64CB1" w:rsidRDefault="001A2F17" w:rsidP="001A2F17">
      <w:pPr>
        <w:pStyle w:val="ActHead9"/>
      </w:pPr>
      <w:bookmarkStart w:id="12" w:name="_Toc44081517"/>
      <w:r w:rsidRPr="00F64CB1">
        <w:t>Private Health Insurance (</w:t>
      </w:r>
      <w:r w:rsidR="005F0C31" w:rsidRPr="00F64CB1">
        <w:t>Health Insurance Business) Rules 2018</w:t>
      </w:r>
      <w:bookmarkEnd w:id="12"/>
    </w:p>
    <w:p w14:paraId="10A28707" w14:textId="2625C659" w:rsidR="008D5DCF" w:rsidRPr="00F64CB1" w:rsidRDefault="008D5DCF" w:rsidP="008D5DCF">
      <w:pPr>
        <w:pStyle w:val="ItemHead"/>
      </w:pPr>
      <w:r w:rsidRPr="00F64CB1">
        <w:t xml:space="preserve">1  </w:t>
      </w:r>
      <w:r w:rsidR="00C404F7" w:rsidRPr="00F64CB1">
        <w:t>Subr</w:t>
      </w:r>
      <w:r w:rsidRPr="00F64CB1">
        <w:t>ule 7B</w:t>
      </w:r>
    </w:p>
    <w:p w14:paraId="4622DB6E" w14:textId="12371795" w:rsidR="008D5DCF" w:rsidRPr="00F64CB1" w:rsidRDefault="008D5DCF" w:rsidP="007B4693">
      <w:pPr>
        <w:shd w:val="clear" w:color="auto" w:fill="FFFFFF"/>
        <w:spacing w:before="180"/>
        <w:ind w:left="936" w:hanging="510"/>
      </w:pPr>
      <w:r w:rsidRPr="00F64CB1">
        <w:rPr>
          <w:rFonts w:eastAsia="Times New Roman" w:cs="Times New Roman"/>
          <w:color w:val="000000"/>
          <w:szCs w:val="22"/>
          <w:lang w:eastAsia="en-AU"/>
        </w:rPr>
        <w:t>Repeal</w:t>
      </w:r>
      <w:r w:rsidR="00440C3F" w:rsidRPr="00F64CB1">
        <w:t xml:space="preserve"> the </w:t>
      </w:r>
      <w:r w:rsidR="006421D7" w:rsidRPr="00F64CB1">
        <w:t>sub</w:t>
      </w:r>
      <w:r w:rsidR="00A95B06" w:rsidRPr="00F64CB1">
        <w:t>rule (not including the heading)</w:t>
      </w:r>
      <w:r w:rsidR="00440C3F" w:rsidRPr="00F64CB1">
        <w:t xml:space="preserve">, </w:t>
      </w:r>
      <w:r w:rsidR="00E66C53" w:rsidRPr="00F64CB1">
        <w:t>substitut</w:t>
      </w:r>
      <w:r w:rsidR="00440C3F" w:rsidRPr="00F64CB1">
        <w:t>e:</w:t>
      </w:r>
    </w:p>
    <w:p w14:paraId="4248D42B" w14:textId="4B01530B" w:rsidR="00B21194" w:rsidRPr="00B21194" w:rsidRDefault="00CF5CDA" w:rsidP="009E7052">
      <w:pPr>
        <w:pStyle w:val="Item"/>
      </w:pPr>
      <w:r w:rsidRPr="00F64CB1">
        <w:t>For the purposes of paragraph 121-8(2)(b) of the Act, the application fee is $895 for each hospital that the application seeks to have included in the second-tier eligible hospitals class.</w:t>
      </w:r>
      <w:bookmarkStart w:id="13" w:name="_GoBack"/>
      <w:bookmarkEnd w:id="13"/>
    </w:p>
    <w:p w14:paraId="5ECF2F9F" w14:textId="30AECF70" w:rsidR="003F6F52" w:rsidRPr="00DA182D" w:rsidRDefault="003F6F52" w:rsidP="00D274FF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7A2F" w14:textId="77777777" w:rsidR="006D76AE" w:rsidRDefault="006D76AE" w:rsidP="0048364F">
      <w:pPr>
        <w:spacing w:line="240" w:lineRule="auto"/>
      </w:pPr>
      <w:r>
        <w:separator/>
      </w:r>
    </w:p>
  </w:endnote>
  <w:endnote w:type="continuationSeparator" w:id="0">
    <w:p w14:paraId="01598D19" w14:textId="77777777" w:rsidR="006D76AE" w:rsidRDefault="006D76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41450" w14:paraId="65454874" w14:textId="77777777" w:rsidTr="004E42F1">
      <w:tc>
        <w:tcPr>
          <w:tcW w:w="5000" w:type="pct"/>
        </w:tcPr>
        <w:p w14:paraId="5757FB01" w14:textId="77777777" w:rsidR="00541450" w:rsidRDefault="00541450" w:rsidP="004E42F1">
          <w:pPr>
            <w:rPr>
              <w:sz w:val="18"/>
            </w:rPr>
          </w:pPr>
        </w:p>
      </w:tc>
    </w:tr>
  </w:tbl>
  <w:p w14:paraId="2DF963FB" w14:textId="77777777" w:rsidR="00541450" w:rsidRPr="005F1388" w:rsidRDefault="0054145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41450" w14:paraId="3E094781" w14:textId="77777777" w:rsidTr="004E42F1">
      <w:tc>
        <w:tcPr>
          <w:tcW w:w="5000" w:type="pct"/>
        </w:tcPr>
        <w:p w14:paraId="0CB95BF4" w14:textId="77777777" w:rsidR="00541450" w:rsidRDefault="00541450" w:rsidP="004E42F1">
          <w:pPr>
            <w:rPr>
              <w:sz w:val="18"/>
            </w:rPr>
          </w:pPr>
        </w:p>
      </w:tc>
    </w:tr>
  </w:tbl>
  <w:p w14:paraId="0508EB9F" w14:textId="77777777" w:rsidR="00541450" w:rsidRPr="006D3667" w:rsidRDefault="00541450" w:rsidP="004E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16D47" w14:textId="77777777" w:rsidR="00541450" w:rsidRDefault="00541450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41450" w14:paraId="3BDC8DF0" w14:textId="77777777" w:rsidTr="004E42F1">
      <w:tc>
        <w:tcPr>
          <w:tcW w:w="5000" w:type="pct"/>
        </w:tcPr>
        <w:p w14:paraId="5F4A2E3C" w14:textId="77777777" w:rsidR="00541450" w:rsidRDefault="00541450" w:rsidP="004E42F1">
          <w:pPr>
            <w:rPr>
              <w:sz w:val="18"/>
            </w:rPr>
          </w:pPr>
        </w:p>
      </w:tc>
    </w:tr>
  </w:tbl>
  <w:p w14:paraId="173DF75F" w14:textId="77777777" w:rsidR="00541450" w:rsidRPr="00486382" w:rsidRDefault="0054145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CC78" w14:textId="77777777" w:rsidR="00541450" w:rsidRPr="00E33C1C" w:rsidRDefault="00541450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41450" w14:paraId="0B16E413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5FF722" w14:textId="77777777" w:rsidR="00541450" w:rsidRDefault="00541450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798773F" w14:textId="118D6E1F" w:rsidR="00541450" w:rsidRDefault="00541450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4FB8"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F235F95" w14:textId="77777777" w:rsidR="00541450" w:rsidRDefault="00541450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541450" w14:paraId="73ED90E5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3853A5" w14:textId="77777777" w:rsidR="00541450" w:rsidRDefault="00541450" w:rsidP="004E42F1">
          <w:pPr>
            <w:jc w:val="right"/>
            <w:rPr>
              <w:sz w:val="18"/>
            </w:rPr>
          </w:pPr>
        </w:p>
      </w:tc>
    </w:tr>
  </w:tbl>
  <w:p w14:paraId="7BDC849E" w14:textId="77777777" w:rsidR="00541450" w:rsidRPr="00ED79B6" w:rsidRDefault="00541450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E01A" w14:textId="77777777" w:rsidR="00541450" w:rsidRPr="00E33C1C" w:rsidRDefault="00541450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41450" w14:paraId="696D8DDA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A34678" w14:textId="77777777" w:rsidR="00541450" w:rsidRDefault="00541450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D361B4" w14:textId="3F2397D2" w:rsidR="00541450" w:rsidRPr="00B20990" w:rsidRDefault="00541450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5816BF" w14:textId="0FB5E8D2" w:rsidR="00541450" w:rsidRDefault="00541450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1450" w14:paraId="1B23E665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E7D6B0" w14:textId="77777777" w:rsidR="00541450" w:rsidRDefault="00541450" w:rsidP="004E42F1">
          <w:pPr>
            <w:rPr>
              <w:sz w:val="18"/>
            </w:rPr>
          </w:pPr>
        </w:p>
      </w:tc>
    </w:tr>
  </w:tbl>
  <w:p w14:paraId="4B4A7CF8" w14:textId="77777777" w:rsidR="00541450" w:rsidRPr="00ED79B6" w:rsidRDefault="00541450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AD9A" w14:textId="77777777" w:rsidR="00541450" w:rsidRPr="00E33C1C" w:rsidRDefault="005414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1450" w14:paraId="296E3AA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6FDA6B" w14:textId="41CAAA76" w:rsidR="00541450" w:rsidRDefault="00541450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1AFCCE" w14:textId="1C30467F" w:rsidR="00541450" w:rsidRDefault="0054145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61650B" w14:textId="77777777" w:rsidR="00541450" w:rsidRDefault="00541450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41450" w14:paraId="431ED2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CCE2A0" w14:textId="77777777" w:rsidR="00541450" w:rsidRDefault="00541450" w:rsidP="00EE57E8">
          <w:pPr>
            <w:jc w:val="right"/>
            <w:rPr>
              <w:sz w:val="18"/>
            </w:rPr>
          </w:pPr>
        </w:p>
      </w:tc>
    </w:tr>
  </w:tbl>
  <w:p w14:paraId="10773E20" w14:textId="77777777" w:rsidR="00541450" w:rsidRPr="00ED79B6" w:rsidRDefault="00541450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3E9B" w14:textId="77777777" w:rsidR="00541450" w:rsidRPr="00E33C1C" w:rsidRDefault="005414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41450" w14:paraId="3FD0AB0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DC8731" w14:textId="77777777" w:rsidR="00541450" w:rsidRDefault="00541450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3B3632" w14:textId="2AF20F80" w:rsidR="00541450" w:rsidRDefault="0054145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9AFC5F" w14:textId="4FEBE561" w:rsidR="00541450" w:rsidRDefault="00541450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1450" w14:paraId="538E72D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3E995E" w14:textId="77777777" w:rsidR="00541450" w:rsidRDefault="00541450" w:rsidP="00EE57E8">
          <w:pPr>
            <w:rPr>
              <w:sz w:val="18"/>
            </w:rPr>
          </w:pPr>
        </w:p>
      </w:tc>
    </w:tr>
  </w:tbl>
  <w:p w14:paraId="1AD90EE2" w14:textId="77777777" w:rsidR="00541450" w:rsidRPr="00ED79B6" w:rsidRDefault="00541450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AB79" w14:textId="77777777" w:rsidR="00541450" w:rsidRPr="00E33C1C" w:rsidRDefault="0054145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41450" w14:paraId="3E59B1C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4514F4" w14:textId="77777777" w:rsidR="00541450" w:rsidRDefault="00541450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419FDF" w14:textId="343F4243" w:rsidR="00541450" w:rsidRDefault="00541450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FB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9EEF92" w14:textId="77777777" w:rsidR="00541450" w:rsidRDefault="00541450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1450" w14:paraId="7D88F0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05A49E" w14:textId="19F97A8B" w:rsidR="00541450" w:rsidRDefault="00541450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84FB8">
            <w:rPr>
              <w:i/>
              <w:noProof/>
              <w:sz w:val="18"/>
            </w:rPr>
            <w:t>\\central.health\DfsUserEnv\Users\User_28\Walkes\Documents\Offline Records (A7)\Legislation ~ INSURANCE - Implementation(3)\Private Health Insurance Legislation Amendment Rules (No. 4) 2020_1 July.DOCX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64CB1">
            <w:rPr>
              <w:i/>
              <w:noProof/>
              <w:sz w:val="18"/>
            </w:rPr>
            <w:t>30/6/2020 11:41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8EADE8" w14:textId="77777777" w:rsidR="00541450" w:rsidRPr="00ED79B6" w:rsidRDefault="0054145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2F87" w14:textId="77777777" w:rsidR="006D76AE" w:rsidRDefault="006D76AE" w:rsidP="0048364F">
      <w:pPr>
        <w:spacing w:line="240" w:lineRule="auto"/>
      </w:pPr>
      <w:r>
        <w:separator/>
      </w:r>
    </w:p>
  </w:footnote>
  <w:footnote w:type="continuationSeparator" w:id="0">
    <w:p w14:paraId="2D068F14" w14:textId="77777777" w:rsidR="006D76AE" w:rsidRDefault="006D76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B0AB5" w14:textId="77777777" w:rsidR="00541450" w:rsidRPr="005F1388" w:rsidRDefault="0054145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358D6" w14:textId="77777777" w:rsidR="00541450" w:rsidRPr="005F1388" w:rsidRDefault="0054145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BBC2" w14:textId="77777777" w:rsidR="00541450" w:rsidRPr="005F1388" w:rsidRDefault="0054145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9898" w14:textId="77777777" w:rsidR="00541450" w:rsidRPr="00ED79B6" w:rsidRDefault="00541450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D489" w14:textId="77777777" w:rsidR="00541450" w:rsidRPr="00ED79B6" w:rsidRDefault="00541450" w:rsidP="004E42F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0DB73" w14:textId="77777777" w:rsidR="00541450" w:rsidRPr="00ED79B6" w:rsidRDefault="0054145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D9F1" w14:textId="77777777" w:rsidR="00541450" w:rsidRPr="00A961C4" w:rsidRDefault="00541450" w:rsidP="0048364F">
    <w:pPr>
      <w:rPr>
        <w:b/>
        <w:sz w:val="20"/>
      </w:rPr>
    </w:pPr>
  </w:p>
  <w:p w14:paraId="4F3CC6D8" w14:textId="77777777" w:rsidR="00541450" w:rsidRPr="00A961C4" w:rsidRDefault="00541450" w:rsidP="0048364F">
    <w:pPr>
      <w:rPr>
        <w:b/>
        <w:sz w:val="20"/>
      </w:rPr>
    </w:pPr>
  </w:p>
  <w:p w14:paraId="69A53391" w14:textId="77777777" w:rsidR="00541450" w:rsidRPr="00A961C4" w:rsidRDefault="0054145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2A8D" w14:textId="77777777" w:rsidR="00541450" w:rsidRPr="00A961C4" w:rsidRDefault="00541450" w:rsidP="0048364F">
    <w:pPr>
      <w:jc w:val="right"/>
      <w:rPr>
        <w:sz w:val="20"/>
      </w:rPr>
    </w:pPr>
  </w:p>
  <w:p w14:paraId="7B352708" w14:textId="77777777" w:rsidR="00541450" w:rsidRPr="00A961C4" w:rsidRDefault="00541450" w:rsidP="0048364F">
    <w:pPr>
      <w:jc w:val="right"/>
      <w:rPr>
        <w:b/>
        <w:sz w:val="20"/>
      </w:rPr>
    </w:pPr>
  </w:p>
  <w:p w14:paraId="41275D82" w14:textId="77777777" w:rsidR="00541450" w:rsidRPr="00A961C4" w:rsidRDefault="00541450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C94FBC"/>
    <w:multiLevelType w:val="hybridMultilevel"/>
    <w:tmpl w:val="5BC4D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AE"/>
    <w:rsid w:val="00000263"/>
    <w:rsid w:val="00002BCC"/>
    <w:rsid w:val="00010CF2"/>
    <w:rsid w:val="000113BC"/>
    <w:rsid w:val="000136AF"/>
    <w:rsid w:val="00030212"/>
    <w:rsid w:val="00030C3E"/>
    <w:rsid w:val="00040410"/>
    <w:rsid w:val="0004044E"/>
    <w:rsid w:val="0005120E"/>
    <w:rsid w:val="00053279"/>
    <w:rsid w:val="00054577"/>
    <w:rsid w:val="000614BF"/>
    <w:rsid w:val="00064667"/>
    <w:rsid w:val="0007169C"/>
    <w:rsid w:val="00075D66"/>
    <w:rsid w:val="00076F19"/>
    <w:rsid w:val="00077593"/>
    <w:rsid w:val="0008345D"/>
    <w:rsid w:val="000834A6"/>
    <w:rsid w:val="00083F48"/>
    <w:rsid w:val="000855BE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711A"/>
    <w:rsid w:val="000D05EF"/>
    <w:rsid w:val="000D3FB9"/>
    <w:rsid w:val="000D5485"/>
    <w:rsid w:val="000D6861"/>
    <w:rsid w:val="000E137D"/>
    <w:rsid w:val="000E378A"/>
    <w:rsid w:val="000E598E"/>
    <w:rsid w:val="000E5A3D"/>
    <w:rsid w:val="000F0ADA"/>
    <w:rsid w:val="000F21C1"/>
    <w:rsid w:val="0010745C"/>
    <w:rsid w:val="001122FF"/>
    <w:rsid w:val="00117F8D"/>
    <w:rsid w:val="0012066B"/>
    <w:rsid w:val="00122A66"/>
    <w:rsid w:val="00137534"/>
    <w:rsid w:val="001508DD"/>
    <w:rsid w:val="0015673F"/>
    <w:rsid w:val="0015742A"/>
    <w:rsid w:val="001606FA"/>
    <w:rsid w:val="00160BD7"/>
    <w:rsid w:val="001643C9"/>
    <w:rsid w:val="00165568"/>
    <w:rsid w:val="00166082"/>
    <w:rsid w:val="00166C2F"/>
    <w:rsid w:val="001673A7"/>
    <w:rsid w:val="00167BE8"/>
    <w:rsid w:val="001716C9"/>
    <w:rsid w:val="00184261"/>
    <w:rsid w:val="00192928"/>
    <w:rsid w:val="00193461"/>
    <w:rsid w:val="001939E1"/>
    <w:rsid w:val="0019452E"/>
    <w:rsid w:val="00195382"/>
    <w:rsid w:val="001A2F17"/>
    <w:rsid w:val="001A3B9F"/>
    <w:rsid w:val="001A5520"/>
    <w:rsid w:val="001A65C0"/>
    <w:rsid w:val="001B1016"/>
    <w:rsid w:val="001B5D25"/>
    <w:rsid w:val="001B6CF2"/>
    <w:rsid w:val="001B7A5D"/>
    <w:rsid w:val="001C69C4"/>
    <w:rsid w:val="001E0A8D"/>
    <w:rsid w:val="001E3590"/>
    <w:rsid w:val="001E7407"/>
    <w:rsid w:val="001F1A46"/>
    <w:rsid w:val="001F4BD7"/>
    <w:rsid w:val="001F53EA"/>
    <w:rsid w:val="001F5771"/>
    <w:rsid w:val="00201D27"/>
    <w:rsid w:val="0021153A"/>
    <w:rsid w:val="002132AF"/>
    <w:rsid w:val="00221E1D"/>
    <w:rsid w:val="002245A6"/>
    <w:rsid w:val="002302EA"/>
    <w:rsid w:val="00237614"/>
    <w:rsid w:val="00240749"/>
    <w:rsid w:val="002468D7"/>
    <w:rsid w:val="00247E97"/>
    <w:rsid w:val="00256267"/>
    <w:rsid w:val="00256C81"/>
    <w:rsid w:val="00266207"/>
    <w:rsid w:val="002774BF"/>
    <w:rsid w:val="002822A3"/>
    <w:rsid w:val="00285CDD"/>
    <w:rsid w:val="002878CA"/>
    <w:rsid w:val="00291167"/>
    <w:rsid w:val="0029330B"/>
    <w:rsid w:val="0029489E"/>
    <w:rsid w:val="00297ECB"/>
    <w:rsid w:val="002A29B2"/>
    <w:rsid w:val="002A709F"/>
    <w:rsid w:val="002B185C"/>
    <w:rsid w:val="002C152A"/>
    <w:rsid w:val="002C2A6B"/>
    <w:rsid w:val="002D043A"/>
    <w:rsid w:val="002F3B29"/>
    <w:rsid w:val="002F7161"/>
    <w:rsid w:val="003019B4"/>
    <w:rsid w:val="00304927"/>
    <w:rsid w:val="003056E6"/>
    <w:rsid w:val="00307C9C"/>
    <w:rsid w:val="00312E3A"/>
    <w:rsid w:val="0031713F"/>
    <w:rsid w:val="003205D4"/>
    <w:rsid w:val="003222D1"/>
    <w:rsid w:val="00326784"/>
    <w:rsid w:val="0032750F"/>
    <w:rsid w:val="003323F3"/>
    <w:rsid w:val="003415D3"/>
    <w:rsid w:val="003442F6"/>
    <w:rsid w:val="00346335"/>
    <w:rsid w:val="00352B0F"/>
    <w:rsid w:val="003561B0"/>
    <w:rsid w:val="00380B60"/>
    <w:rsid w:val="003858B9"/>
    <w:rsid w:val="00386474"/>
    <w:rsid w:val="003879A8"/>
    <w:rsid w:val="00397893"/>
    <w:rsid w:val="003A15AC"/>
    <w:rsid w:val="003B0627"/>
    <w:rsid w:val="003B6139"/>
    <w:rsid w:val="003C3356"/>
    <w:rsid w:val="003C5F2B"/>
    <w:rsid w:val="003C7D35"/>
    <w:rsid w:val="003D0BFE"/>
    <w:rsid w:val="003D0C02"/>
    <w:rsid w:val="003D5700"/>
    <w:rsid w:val="003D67D5"/>
    <w:rsid w:val="003E5A94"/>
    <w:rsid w:val="003E5DFC"/>
    <w:rsid w:val="003F0E6C"/>
    <w:rsid w:val="003F219A"/>
    <w:rsid w:val="003F6F52"/>
    <w:rsid w:val="004022CA"/>
    <w:rsid w:val="004116CD"/>
    <w:rsid w:val="00412075"/>
    <w:rsid w:val="00413D90"/>
    <w:rsid w:val="00414ADE"/>
    <w:rsid w:val="0041643B"/>
    <w:rsid w:val="0041693D"/>
    <w:rsid w:val="00422219"/>
    <w:rsid w:val="00424CA9"/>
    <w:rsid w:val="004257BB"/>
    <w:rsid w:val="004316D5"/>
    <w:rsid w:val="0043279F"/>
    <w:rsid w:val="00440C3F"/>
    <w:rsid w:val="0044291A"/>
    <w:rsid w:val="00447C79"/>
    <w:rsid w:val="00451E69"/>
    <w:rsid w:val="004600B0"/>
    <w:rsid w:val="00460499"/>
    <w:rsid w:val="00460FBA"/>
    <w:rsid w:val="00470452"/>
    <w:rsid w:val="00474835"/>
    <w:rsid w:val="00480AD7"/>
    <w:rsid w:val="004819C7"/>
    <w:rsid w:val="00481E88"/>
    <w:rsid w:val="0048364F"/>
    <w:rsid w:val="004877FC"/>
    <w:rsid w:val="00490F2E"/>
    <w:rsid w:val="00496DBF"/>
    <w:rsid w:val="00496F97"/>
    <w:rsid w:val="004A1474"/>
    <w:rsid w:val="004A53EA"/>
    <w:rsid w:val="004B35E7"/>
    <w:rsid w:val="004C441D"/>
    <w:rsid w:val="004D080C"/>
    <w:rsid w:val="004D087A"/>
    <w:rsid w:val="004E42F1"/>
    <w:rsid w:val="004F1FAC"/>
    <w:rsid w:val="004F676E"/>
    <w:rsid w:val="004F6FFD"/>
    <w:rsid w:val="004F71C0"/>
    <w:rsid w:val="00516B8D"/>
    <w:rsid w:val="00521B4B"/>
    <w:rsid w:val="0052756C"/>
    <w:rsid w:val="00530230"/>
    <w:rsid w:val="00530CC9"/>
    <w:rsid w:val="00531B46"/>
    <w:rsid w:val="0053202A"/>
    <w:rsid w:val="005362AE"/>
    <w:rsid w:val="005368C8"/>
    <w:rsid w:val="00537FBC"/>
    <w:rsid w:val="00541450"/>
    <w:rsid w:val="00541D73"/>
    <w:rsid w:val="00543469"/>
    <w:rsid w:val="00543A64"/>
    <w:rsid w:val="00543E32"/>
    <w:rsid w:val="005454B3"/>
    <w:rsid w:val="00545793"/>
    <w:rsid w:val="00546FA3"/>
    <w:rsid w:val="00557C7A"/>
    <w:rsid w:val="005603D8"/>
    <w:rsid w:val="00562971"/>
    <w:rsid w:val="00562A58"/>
    <w:rsid w:val="0056541A"/>
    <w:rsid w:val="00567CAC"/>
    <w:rsid w:val="00575726"/>
    <w:rsid w:val="00577B2E"/>
    <w:rsid w:val="00581211"/>
    <w:rsid w:val="00584811"/>
    <w:rsid w:val="00593AA6"/>
    <w:rsid w:val="00594161"/>
    <w:rsid w:val="00594749"/>
    <w:rsid w:val="00594956"/>
    <w:rsid w:val="005B1555"/>
    <w:rsid w:val="005B4067"/>
    <w:rsid w:val="005C1792"/>
    <w:rsid w:val="005C26A3"/>
    <w:rsid w:val="005C3F41"/>
    <w:rsid w:val="005C4EF0"/>
    <w:rsid w:val="005D5EA1"/>
    <w:rsid w:val="005D7630"/>
    <w:rsid w:val="005E098C"/>
    <w:rsid w:val="005E1F8D"/>
    <w:rsid w:val="005E317F"/>
    <w:rsid w:val="005E61D3"/>
    <w:rsid w:val="005F0C31"/>
    <w:rsid w:val="005F7A87"/>
    <w:rsid w:val="005F7B3D"/>
    <w:rsid w:val="00600219"/>
    <w:rsid w:val="00600332"/>
    <w:rsid w:val="006065DA"/>
    <w:rsid w:val="00606AA4"/>
    <w:rsid w:val="0060780D"/>
    <w:rsid w:val="00612089"/>
    <w:rsid w:val="00612270"/>
    <w:rsid w:val="0061292C"/>
    <w:rsid w:val="00612A04"/>
    <w:rsid w:val="006314D4"/>
    <w:rsid w:val="00640402"/>
    <w:rsid w:val="00640F78"/>
    <w:rsid w:val="006421D7"/>
    <w:rsid w:val="00655D6A"/>
    <w:rsid w:val="00656DE9"/>
    <w:rsid w:val="006614CE"/>
    <w:rsid w:val="00672876"/>
    <w:rsid w:val="00677CC2"/>
    <w:rsid w:val="00685F42"/>
    <w:rsid w:val="0069207B"/>
    <w:rsid w:val="006A304E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203E"/>
    <w:rsid w:val="006F1D17"/>
    <w:rsid w:val="00700B2C"/>
    <w:rsid w:val="00712A87"/>
    <w:rsid w:val="00713084"/>
    <w:rsid w:val="00717463"/>
    <w:rsid w:val="00720A19"/>
    <w:rsid w:val="00720FC2"/>
    <w:rsid w:val="00722E89"/>
    <w:rsid w:val="00727D4B"/>
    <w:rsid w:val="00731E00"/>
    <w:rsid w:val="00733304"/>
    <w:rsid w:val="007339C7"/>
    <w:rsid w:val="00734958"/>
    <w:rsid w:val="007440B7"/>
    <w:rsid w:val="00747993"/>
    <w:rsid w:val="00750BBD"/>
    <w:rsid w:val="007634AD"/>
    <w:rsid w:val="007664AC"/>
    <w:rsid w:val="007715C9"/>
    <w:rsid w:val="00772126"/>
    <w:rsid w:val="00774EDD"/>
    <w:rsid w:val="007757EC"/>
    <w:rsid w:val="00776C64"/>
    <w:rsid w:val="0078104F"/>
    <w:rsid w:val="00784F95"/>
    <w:rsid w:val="00791A48"/>
    <w:rsid w:val="0079619A"/>
    <w:rsid w:val="007A078A"/>
    <w:rsid w:val="007A6863"/>
    <w:rsid w:val="007A7712"/>
    <w:rsid w:val="007B4693"/>
    <w:rsid w:val="007C61B9"/>
    <w:rsid w:val="007C78B4"/>
    <w:rsid w:val="007D17AD"/>
    <w:rsid w:val="007D3BDC"/>
    <w:rsid w:val="007E1B16"/>
    <w:rsid w:val="007E32B6"/>
    <w:rsid w:val="007E486B"/>
    <w:rsid w:val="007E7D4A"/>
    <w:rsid w:val="007F48ED"/>
    <w:rsid w:val="007F5E3F"/>
    <w:rsid w:val="00812F45"/>
    <w:rsid w:val="00816F5A"/>
    <w:rsid w:val="00826066"/>
    <w:rsid w:val="00832BE9"/>
    <w:rsid w:val="00833160"/>
    <w:rsid w:val="00836FE9"/>
    <w:rsid w:val="0084172C"/>
    <w:rsid w:val="0085175E"/>
    <w:rsid w:val="00856A31"/>
    <w:rsid w:val="008603A5"/>
    <w:rsid w:val="008621E8"/>
    <w:rsid w:val="0086675D"/>
    <w:rsid w:val="008754D0"/>
    <w:rsid w:val="00877C69"/>
    <w:rsid w:val="00877D48"/>
    <w:rsid w:val="0088204A"/>
    <w:rsid w:val="0088345B"/>
    <w:rsid w:val="00886189"/>
    <w:rsid w:val="00890DC6"/>
    <w:rsid w:val="00890E22"/>
    <w:rsid w:val="008918CD"/>
    <w:rsid w:val="008956B1"/>
    <w:rsid w:val="008A083A"/>
    <w:rsid w:val="008A16A5"/>
    <w:rsid w:val="008A5C57"/>
    <w:rsid w:val="008B41C4"/>
    <w:rsid w:val="008B51E7"/>
    <w:rsid w:val="008C0629"/>
    <w:rsid w:val="008C0F80"/>
    <w:rsid w:val="008C30B1"/>
    <w:rsid w:val="008C7691"/>
    <w:rsid w:val="008D0EE0"/>
    <w:rsid w:val="008D43D2"/>
    <w:rsid w:val="008D54AA"/>
    <w:rsid w:val="008D5DCF"/>
    <w:rsid w:val="008D7A27"/>
    <w:rsid w:val="008E4702"/>
    <w:rsid w:val="008E69AA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78C1"/>
    <w:rsid w:val="00932377"/>
    <w:rsid w:val="00933717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5B73"/>
    <w:rsid w:val="00976A63"/>
    <w:rsid w:val="009B171C"/>
    <w:rsid w:val="009B2490"/>
    <w:rsid w:val="009B50E5"/>
    <w:rsid w:val="009B70C8"/>
    <w:rsid w:val="009C3431"/>
    <w:rsid w:val="009C5989"/>
    <w:rsid w:val="009C6A32"/>
    <w:rsid w:val="009D01AC"/>
    <w:rsid w:val="009D08DA"/>
    <w:rsid w:val="009D6C60"/>
    <w:rsid w:val="009D7A64"/>
    <w:rsid w:val="009E28C7"/>
    <w:rsid w:val="009E7052"/>
    <w:rsid w:val="00A0272D"/>
    <w:rsid w:val="00A06860"/>
    <w:rsid w:val="00A136F5"/>
    <w:rsid w:val="00A23038"/>
    <w:rsid w:val="00A231E2"/>
    <w:rsid w:val="00A23CD6"/>
    <w:rsid w:val="00A24FCA"/>
    <w:rsid w:val="00A2550D"/>
    <w:rsid w:val="00A271A6"/>
    <w:rsid w:val="00A30FD0"/>
    <w:rsid w:val="00A379BB"/>
    <w:rsid w:val="00A4169B"/>
    <w:rsid w:val="00A44317"/>
    <w:rsid w:val="00A50D55"/>
    <w:rsid w:val="00A52FDA"/>
    <w:rsid w:val="00A53E3E"/>
    <w:rsid w:val="00A55925"/>
    <w:rsid w:val="00A64912"/>
    <w:rsid w:val="00A65C5D"/>
    <w:rsid w:val="00A70A74"/>
    <w:rsid w:val="00A7133A"/>
    <w:rsid w:val="00A767D1"/>
    <w:rsid w:val="00A8444C"/>
    <w:rsid w:val="00A9231A"/>
    <w:rsid w:val="00A95B06"/>
    <w:rsid w:val="00A95BC7"/>
    <w:rsid w:val="00A97D80"/>
    <w:rsid w:val="00A97DBB"/>
    <w:rsid w:val="00AA0343"/>
    <w:rsid w:val="00AA3E80"/>
    <w:rsid w:val="00AA78CE"/>
    <w:rsid w:val="00AA7B26"/>
    <w:rsid w:val="00AB1BBC"/>
    <w:rsid w:val="00AB6256"/>
    <w:rsid w:val="00AC767C"/>
    <w:rsid w:val="00AD3467"/>
    <w:rsid w:val="00AD5641"/>
    <w:rsid w:val="00AD56DF"/>
    <w:rsid w:val="00AE240F"/>
    <w:rsid w:val="00AE739D"/>
    <w:rsid w:val="00AF33DB"/>
    <w:rsid w:val="00AF5671"/>
    <w:rsid w:val="00B032D8"/>
    <w:rsid w:val="00B04E6F"/>
    <w:rsid w:val="00B05D72"/>
    <w:rsid w:val="00B07509"/>
    <w:rsid w:val="00B20990"/>
    <w:rsid w:val="00B21194"/>
    <w:rsid w:val="00B2123C"/>
    <w:rsid w:val="00B21A4D"/>
    <w:rsid w:val="00B23FAF"/>
    <w:rsid w:val="00B33B3C"/>
    <w:rsid w:val="00B40D74"/>
    <w:rsid w:val="00B4111B"/>
    <w:rsid w:val="00B41D19"/>
    <w:rsid w:val="00B42649"/>
    <w:rsid w:val="00B46467"/>
    <w:rsid w:val="00B47E62"/>
    <w:rsid w:val="00B52663"/>
    <w:rsid w:val="00B556F5"/>
    <w:rsid w:val="00B5603C"/>
    <w:rsid w:val="00B56DCB"/>
    <w:rsid w:val="00B61728"/>
    <w:rsid w:val="00B63A3B"/>
    <w:rsid w:val="00B72854"/>
    <w:rsid w:val="00B766C3"/>
    <w:rsid w:val="00B770D2"/>
    <w:rsid w:val="00B9276B"/>
    <w:rsid w:val="00B93516"/>
    <w:rsid w:val="00B94F40"/>
    <w:rsid w:val="00B96776"/>
    <w:rsid w:val="00B96A13"/>
    <w:rsid w:val="00B973E5"/>
    <w:rsid w:val="00BA3E10"/>
    <w:rsid w:val="00BA47A3"/>
    <w:rsid w:val="00BA5026"/>
    <w:rsid w:val="00BA7A52"/>
    <w:rsid w:val="00BA7B5B"/>
    <w:rsid w:val="00BB6E79"/>
    <w:rsid w:val="00BC4A47"/>
    <w:rsid w:val="00BD3068"/>
    <w:rsid w:val="00BE1B80"/>
    <w:rsid w:val="00BE42C5"/>
    <w:rsid w:val="00BE719A"/>
    <w:rsid w:val="00BE720A"/>
    <w:rsid w:val="00BF0723"/>
    <w:rsid w:val="00BF08E1"/>
    <w:rsid w:val="00BF1F35"/>
    <w:rsid w:val="00BF6650"/>
    <w:rsid w:val="00C067E5"/>
    <w:rsid w:val="00C164CA"/>
    <w:rsid w:val="00C20E46"/>
    <w:rsid w:val="00C21FBE"/>
    <w:rsid w:val="00C23C04"/>
    <w:rsid w:val="00C26051"/>
    <w:rsid w:val="00C35917"/>
    <w:rsid w:val="00C36F03"/>
    <w:rsid w:val="00C404F7"/>
    <w:rsid w:val="00C42BF8"/>
    <w:rsid w:val="00C44F49"/>
    <w:rsid w:val="00C460AE"/>
    <w:rsid w:val="00C50043"/>
    <w:rsid w:val="00C5015F"/>
    <w:rsid w:val="00C50A0F"/>
    <w:rsid w:val="00C50F09"/>
    <w:rsid w:val="00C50F4A"/>
    <w:rsid w:val="00C57A48"/>
    <w:rsid w:val="00C61F07"/>
    <w:rsid w:val="00C72D10"/>
    <w:rsid w:val="00C7573B"/>
    <w:rsid w:val="00C76CF3"/>
    <w:rsid w:val="00C80841"/>
    <w:rsid w:val="00C81116"/>
    <w:rsid w:val="00C91210"/>
    <w:rsid w:val="00C92B2C"/>
    <w:rsid w:val="00C93205"/>
    <w:rsid w:val="00C9325F"/>
    <w:rsid w:val="00C945DC"/>
    <w:rsid w:val="00C9619A"/>
    <w:rsid w:val="00CA7844"/>
    <w:rsid w:val="00CB13ED"/>
    <w:rsid w:val="00CB37D3"/>
    <w:rsid w:val="00CB5433"/>
    <w:rsid w:val="00CB58EF"/>
    <w:rsid w:val="00CC08CF"/>
    <w:rsid w:val="00CC4503"/>
    <w:rsid w:val="00CC53A1"/>
    <w:rsid w:val="00CD72B2"/>
    <w:rsid w:val="00CE0A93"/>
    <w:rsid w:val="00CE58E0"/>
    <w:rsid w:val="00CF0BB2"/>
    <w:rsid w:val="00CF4D5E"/>
    <w:rsid w:val="00CF50E8"/>
    <w:rsid w:val="00CF5612"/>
    <w:rsid w:val="00CF5CDA"/>
    <w:rsid w:val="00D0078A"/>
    <w:rsid w:val="00D015F9"/>
    <w:rsid w:val="00D0287C"/>
    <w:rsid w:val="00D12B0D"/>
    <w:rsid w:val="00D13441"/>
    <w:rsid w:val="00D16CBD"/>
    <w:rsid w:val="00D22FA7"/>
    <w:rsid w:val="00D243A3"/>
    <w:rsid w:val="00D25EA0"/>
    <w:rsid w:val="00D274FF"/>
    <w:rsid w:val="00D32A4E"/>
    <w:rsid w:val="00D33440"/>
    <w:rsid w:val="00D363D1"/>
    <w:rsid w:val="00D41AA3"/>
    <w:rsid w:val="00D52EFE"/>
    <w:rsid w:val="00D55E10"/>
    <w:rsid w:val="00D56A0D"/>
    <w:rsid w:val="00D6043D"/>
    <w:rsid w:val="00D60B6F"/>
    <w:rsid w:val="00D6253F"/>
    <w:rsid w:val="00D62B3D"/>
    <w:rsid w:val="00D63EF6"/>
    <w:rsid w:val="00D66518"/>
    <w:rsid w:val="00D70DFB"/>
    <w:rsid w:val="00D71DAC"/>
    <w:rsid w:val="00D71EEA"/>
    <w:rsid w:val="00D735CD"/>
    <w:rsid w:val="00D766DF"/>
    <w:rsid w:val="00D8352C"/>
    <w:rsid w:val="00D90841"/>
    <w:rsid w:val="00DA0A12"/>
    <w:rsid w:val="00DA2439"/>
    <w:rsid w:val="00DA6F05"/>
    <w:rsid w:val="00DB4190"/>
    <w:rsid w:val="00DB64FC"/>
    <w:rsid w:val="00DD6A01"/>
    <w:rsid w:val="00DE149E"/>
    <w:rsid w:val="00DE150F"/>
    <w:rsid w:val="00DF26A2"/>
    <w:rsid w:val="00DF363B"/>
    <w:rsid w:val="00DF7663"/>
    <w:rsid w:val="00DF7B0E"/>
    <w:rsid w:val="00E02A8F"/>
    <w:rsid w:val="00E034DB"/>
    <w:rsid w:val="00E04F76"/>
    <w:rsid w:val="00E05704"/>
    <w:rsid w:val="00E12F1A"/>
    <w:rsid w:val="00E14915"/>
    <w:rsid w:val="00E21648"/>
    <w:rsid w:val="00E22935"/>
    <w:rsid w:val="00E246CA"/>
    <w:rsid w:val="00E31968"/>
    <w:rsid w:val="00E5314C"/>
    <w:rsid w:val="00E54292"/>
    <w:rsid w:val="00E60191"/>
    <w:rsid w:val="00E66C53"/>
    <w:rsid w:val="00E74DC7"/>
    <w:rsid w:val="00E87699"/>
    <w:rsid w:val="00E907E9"/>
    <w:rsid w:val="00E90CD4"/>
    <w:rsid w:val="00E92E27"/>
    <w:rsid w:val="00E94A2F"/>
    <w:rsid w:val="00E9586B"/>
    <w:rsid w:val="00E97334"/>
    <w:rsid w:val="00EA0C98"/>
    <w:rsid w:val="00EB3A99"/>
    <w:rsid w:val="00EB594E"/>
    <w:rsid w:val="00EB65F8"/>
    <w:rsid w:val="00EB7515"/>
    <w:rsid w:val="00EC1AAC"/>
    <w:rsid w:val="00EC2645"/>
    <w:rsid w:val="00EC6022"/>
    <w:rsid w:val="00ED3803"/>
    <w:rsid w:val="00ED4928"/>
    <w:rsid w:val="00ED6704"/>
    <w:rsid w:val="00EE3FFE"/>
    <w:rsid w:val="00EE50BA"/>
    <w:rsid w:val="00EE57E8"/>
    <w:rsid w:val="00EE6190"/>
    <w:rsid w:val="00EF020A"/>
    <w:rsid w:val="00EF2E3A"/>
    <w:rsid w:val="00EF6402"/>
    <w:rsid w:val="00F03E12"/>
    <w:rsid w:val="00F047E2"/>
    <w:rsid w:val="00F04D57"/>
    <w:rsid w:val="00F078DC"/>
    <w:rsid w:val="00F1297D"/>
    <w:rsid w:val="00F13E86"/>
    <w:rsid w:val="00F20B52"/>
    <w:rsid w:val="00F20E0C"/>
    <w:rsid w:val="00F2737F"/>
    <w:rsid w:val="00F27AD6"/>
    <w:rsid w:val="00F32FCB"/>
    <w:rsid w:val="00F33523"/>
    <w:rsid w:val="00F3761F"/>
    <w:rsid w:val="00F4391F"/>
    <w:rsid w:val="00F455C9"/>
    <w:rsid w:val="00F46F98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D43"/>
    <w:rsid w:val="00F8121C"/>
    <w:rsid w:val="00F84CF5"/>
    <w:rsid w:val="00F84FB8"/>
    <w:rsid w:val="00F8612E"/>
    <w:rsid w:val="00F86355"/>
    <w:rsid w:val="00F9250B"/>
    <w:rsid w:val="00F935BA"/>
    <w:rsid w:val="00F94583"/>
    <w:rsid w:val="00FA420B"/>
    <w:rsid w:val="00FA70C0"/>
    <w:rsid w:val="00FB117D"/>
    <w:rsid w:val="00FB6AEE"/>
    <w:rsid w:val="00FB70FE"/>
    <w:rsid w:val="00FC3EAC"/>
    <w:rsid w:val="00FD1FE2"/>
    <w:rsid w:val="00FE08BF"/>
    <w:rsid w:val="00FF164B"/>
    <w:rsid w:val="00FF39D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63471A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NG, Jason</cp:lastModifiedBy>
  <cp:revision>6</cp:revision>
  <cp:lastPrinted>2020-06-29T05:07:00Z</cp:lastPrinted>
  <dcterms:created xsi:type="dcterms:W3CDTF">2020-06-28T14:07:00Z</dcterms:created>
  <dcterms:modified xsi:type="dcterms:W3CDTF">2020-06-30T01:43:00Z</dcterms:modified>
</cp:coreProperties>
</file>