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F4C1" w14:textId="77777777" w:rsidR="00CE04F6" w:rsidRPr="00CE27E3" w:rsidRDefault="00CE04F6" w:rsidP="00CE04F6">
      <w:pPr>
        <w:pStyle w:val="ADRTitle"/>
        <w:tabs>
          <w:tab w:val="left" w:pos="900"/>
        </w:tabs>
        <w:jc w:val="center"/>
        <w:rPr>
          <w:b w:val="0"/>
          <w:sz w:val="36"/>
          <w:u w:val="single"/>
        </w:rPr>
      </w:pPr>
      <w:bookmarkStart w:id="0" w:name="OLE_LINK1"/>
      <w:bookmarkStart w:id="1" w:name="_GoBack"/>
      <w:bookmarkEnd w:id="1"/>
      <w:r w:rsidRPr="00CE27E3">
        <w:rPr>
          <w:b w:val="0"/>
          <w:sz w:val="36"/>
          <w:u w:val="single"/>
        </w:rPr>
        <w:t>Explanatory Statement</w:t>
      </w:r>
    </w:p>
    <w:p w14:paraId="6742A097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60037FE9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7B9DB174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014393AF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4FC233B4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6E94647B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19A96E38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4BE04A3B" w14:textId="444784A6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0BCF4106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3E46BCE4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55A49EC3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614C3985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75B5B658" w14:textId="77777777" w:rsidR="00CE04F6" w:rsidRDefault="00CE04F6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</w:p>
    <w:p w14:paraId="0E7E6D80" w14:textId="6474CAF4" w:rsidR="00BF7A03" w:rsidRPr="00614F97" w:rsidRDefault="00BF7A03" w:rsidP="006D44AB">
      <w:pPr>
        <w:pStyle w:val="Title"/>
        <w:spacing w:before="0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  <w:r w:rsidRPr="00614F97">
        <w:rPr>
          <w:rFonts w:ascii="Times New Roman" w:hAnsi="Times New Roman" w:cs="Times New Roman"/>
          <w:snapToGrid w:val="0"/>
          <w:sz w:val="36"/>
          <w:szCs w:val="36"/>
        </w:rPr>
        <w:t>National Land Transport</w:t>
      </w:r>
      <w:r>
        <w:rPr>
          <w:rFonts w:ascii="Times New Roman" w:hAnsi="Times New Roman" w:cs="Times New Roman"/>
          <w:snapToGrid w:val="0"/>
          <w:sz w:val="36"/>
          <w:szCs w:val="36"/>
        </w:rPr>
        <w:t xml:space="preserve"> Network</w:t>
      </w:r>
      <w:r w:rsidRPr="00614F97">
        <w:rPr>
          <w:rFonts w:ascii="Times New Roman" w:hAnsi="Times New Roman" w:cs="Times New Roman"/>
          <w:snapToGrid w:val="0"/>
          <w:sz w:val="36"/>
          <w:szCs w:val="36"/>
        </w:rPr>
        <w:t xml:space="preserve"> </w:t>
      </w:r>
      <w:r w:rsidR="00927EAB">
        <w:rPr>
          <w:rFonts w:ascii="Times New Roman" w:hAnsi="Times New Roman" w:cs="Times New Roman"/>
          <w:snapToGrid w:val="0"/>
          <w:sz w:val="36"/>
          <w:szCs w:val="36"/>
        </w:rPr>
        <w:t xml:space="preserve">Determination </w:t>
      </w:r>
      <w:bookmarkEnd w:id="0"/>
      <w:r w:rsidR="00656472" w:rsidRPr="00945CBE">
        <w:rPr>
          <w:rFonts w:ascii="Times New Roman" w:hAnsi="Times New Roman" w:cs="Times New Roman"/>
          <w:snapToGrid w:val="0"/>
          <w:sz w:val="36"/>
          <w:szCs w:val="36"/>
        </w:rPr>
        <w:t>2</w:t>
      </w:r>
      <w:r w:rsidR="002025A7">
        <w:rPr>
          <w:rFonts w:ascii="Times New Roman" w:hAnsi="Times New Roman" w:cs="Times New Roman"/>
          <w:snapToGrid w:val="0"/>
          <w:sz w:val="36"/>
          <w:szCs w:val="36"/>
        </w:rPr>
        <w:t>020</w:t>
      </w:r>
    </w:p>
    <w:p w14:paraId="233B920E" w14:textId="77777777" w:rsidR="00B70268" w:rsidRDefault="00B70268" w:rsidP="00B70268">
      <w:pPr>
        <w:tabs>
          <w:tab w:val="left" w:pos="900"/>
        </w:tabs>
      </w:pPr>
    </w:p>
    <w:p w14:paraId="3F5EF2A9" w14:textId="77777777" w:rsidR="00B70268" w:rsidRDefault="00B70268" w:rsidP="00B70268">
      <w:pPr>
        <w:tabs>
          <w:tab w:val="left" w:pos="900"/>
        </w:tabs>
      </w:pPr>
    </w:p>
    <w:p w14:paraId="18216874" w14:textId="77777777" w:rsidR="00B70268" w:rsidRDefault="00B70268" w:rsidP="00B70268">
      <w:pPr>
        <w:tabs>
          <w:tab w:val="left" w:pos="900"/>
        </w:tabs>
      </w:pPr>
    </w:p>
    <w:p w14:paraId="3B9F149A" w14:textId="77777777" w:rsidR="00B70268" w:rsidRDefault="00B70268" w:rsidP="00B70268">
      <w:pPr>
        <w:tabs>
          <w:tab w:val="left" w:pos="900"/>
        </w:tabs>
      </w:pPr>
    </w:p>
    <w:p w14:paraId="60E61E73" w14:textId="77777777" w:rsidR="00B70268" w:rsidRDefault="00B70268" w:rsidP="00B70268">
      <w:pPr>
        <w:tabs>
          <w:tab w:val="left" w:pos="900"/>
        </w:tabs>
      </w:pPr>
    </w:p>
    <w:p w14:paraId="46C1A7DB" w14:textId="77777777" w:rsidR="001E6ADF" w:rsidRDefault="001E6ADF" w:rsidP="001E6ADF">
      <w:pPr>
        <w:pStyle w:val="ADRTitle"/>
        <w:tabs>
          <w:tab w:val="left" w:pos="900"/>
        </w:tabs>
        <w:jc w:val="center"/>
      </w:pPr>
    </w:p>
    <w:p w14:paraId="635502BD" w14:textId="77777777" w:rsidR="001E6ADF" w:rsidRDefault="001E6ADF" w:rsidP="001E6ADF">
      <w:pPr>
        <w:pStyle w:val="ADRTitle"/>
        <w:tabs>
          <w:tab w:val="left" w:pos="900"/>
        </w:tabs>
        <w:jc w:val="center"/>
      </w:pPr>
    </w:p>
    <w:p w14:paraId="2D6E2E48" w14:textId="26606B05" w:rsidR="001E6ADF" w:rsidRPr="00E52193" w:rsidRDefault="00640C55" w:rsidP="001E6ADF">
      <w:pPr>
        <w:pStyle w:val="ADRTitle"/>
        <w:tabs>
          <w:tab w:val="left" w:pos="900"/>
        </w:tabs>
        <w:jc w:val="center"/>
        <w:rPr>
          <w:sz w:val="32"/>
        </w:rPr>
      </w:pPr>
      <w:r>
        <w:rPr>
          <w:sz w:val="32"/>
        </w:rPr>
        <w:t>July</w:t>
      </w:r>
      <w:r w:rsidR="00A44703">
        <w:rPr>
          <w:sz w:val="32"/>
        </w:rPr>
        <w:t xml:space="preserve"> </w:t>
      </w:r>
      <w:r w:rsidR="002025A7">
        <w:rPr>
          <w:sz w:val="32"/>
        </w:rPr>
        <w:t>2020</w:t>
      </w:r>
    </w:p>
    <w:p w14:paraId="772B1F0E" w14:textId="77777777" w:rsidR="00B70268" w:rsidRDefault="00B70268" w:rsidP="00B70268">
      <w:pPr>
        <w:tabs>
          <w:tab w:val="left" w:pos="900"/>
        </w:tabs>
      </w:pPr>
    </w:p>
    <w:p w14:paraId="4C5350E6" w14:textId="69EDD5D8" w:rsidR="00B70268" w:rsidRDefault="00B70268" w:rsidP="00B70268">
      <w:pPr>
        <w:tabs>
          <w:tab w:val="left" w:pos="900"/>
        </w:tabs>
      </w:pPr>
    </w:p>
    <w:p w14:paraId="64319D77" w14:textId="5E72C63B" w:rsidR="001E6ADF" w:rsidRDefault="001E6ADF" w:rsidP="00B70268">
      <w:pPr>
        <w:tabs>
          <w:tab w:val="left" w:pos="900"/>
        </w:tabs>
      </w:pPr>
    </w:p>
    <w:p w14:paraId="742BA3C4" w14:textId="49368A57" w:rsidR="001E6ADF" w:rsidRDefault="001E6ADF" w:rsidP="00B70268">
      <w:pPr>
        <w:tabs>
          <w:tab w:val="left" w:pos="900"/>
        </w:tabs>
      </w:pPr>
    </w:p>
    <w:p w14:paraId="4C661A6D" w14:textId="041093E1" w:rsidR="001E6ADF" w:rsidRDefault="001E6ADF" w:rsidP="00B70268">
      <w:pPr>
        <w:tabs>
          <w:tab w:val="left" w:pos="900"/>
        </w:tabs>
      </w:pPr>
    </w:p>
    <w:p w14:paraId="0B05CEC5" w14:textId="78DA1F99" w:rsidR="001E6ADF" w:rsidRDefault="001E6ADF" w:rsidP="00B70268">
      <w:pPr>
        <w:tabs>
          <w:tab w:val="left" w:pos="900"/>
        </w:tabs>
      </w:pPr>
    </w:p>
    <w:p w14:paraId="62FB2E16" w14:textId="5923E56C" w:rsidR="001E6ADF" w:rsidRDefault="001E6ADF" w:rsidP="00B70268">
      <w:pPr>
        <w:tabs>
          <w:tab w:val="left" w:pos="900"/>
        </w:tabs>
      </w:pPr>
    </w:p>
    <w:p w14:paraId="51253B7F" w14:textId="1C685A1F" w:rsidR="001E6ADF" w:rsidRDefault="001E6ADF" w:rsidP="00B70268">
      <w:pPr>
        <w:tabs>
          <w:tab w:val="left" w:pos="900"/>
        </w:tabs>
      </w:pPr>
    </w:p>
    <w:p w14:paraId="6BE65938" w14:textId="7EF9A3D1" w:rsidR="001E6ADF" w:rsidRDefault="001E6ADF" w:rsidP="00B70268">
      <w:pPr>
        <w:tabs>
          <w:tab w:val="left" w:pos="900"/>
        </w:tabs>
      </w:pPr>
    </w:p>
    <w:p w14:paraId="3353684A" w14:textId="77777777" w:rsidR="00B70268" w:rsidRDefault="00B70268" w:rsidP="00B70268">
      <w:pPr>
        <w:tabs>
          <w:tab w:val="left" w:pos="900"/>
        </w:tabs>
      </w:pPr>
    </w:p>
    <w:p w14:paraId="21D4A578" w14:textId="77777777" w:rsidR="00B70268" w:rsidRDefault="00B70268" w:rsidP="00B70268">
      <w:pPr>
        <w:tabs>
          <w:tab w:val="left" w:pos="900"/>
        </w:tabs>
      </w:pPr>
    </w:p>
    <w:p w14:paraId="75DCA41D" w14:textId="77777777" w:rsidR="00B70268" w:rsidRDefault="00B70268" w:rsidP="00B70268">
      <w:pPr>
        <w:tabs>
          <w:tab w:val="left" w:pos="900"/>
        </w:tabs>
        <w:jc w:val="center"/>
      </w:pPr>
      <w:r>
        <w:t>Issued by the authority of the Minister for Infrastructure</w:t>
      </w:r>
      <w:r w:rsidR="00D62FCE">
        <w:t>, Transport</w:t>
      </w:r>
      <w:r>
        <w:t xml:space="preserve"> and Regional Development</w:t>
      </w:r>
    </w:p>
    <w:p w14:paraId="2C90DD3B" w14:textId="77777777" w:rsidR="00B70268" w:rsidRDefault="00B70268" w:rsidP="00B70268">
      <w:pPr>
        <w:tabs>
          <w:tab w:val="left" w:pos="900"/>
        </w:tabs>
      </w:pPr>
    </w:p>
    <w:p w14:paraId="2893933E" w14:textId="77777777" w:rsidR="00B70268" w:rsidRDefault="00B70268" w:rsidP="00B70268">
      <w:pPr>
        <w:pStyle w:val="MainHeadding"/>
        <w:tabs>
          <w:tab w:val="left" w:pos="900"/>
        </w:tabs>
      </w:pPr>
      <w:bookmarkStart w:id="2" w:name="_Toc203206148"/>
      <w:r>
        <w:lastRenderedPageBreak/>
        <w:t>legislative context</w:t>
      </w:r>
      <w:bookmarkEnd w:id="2"/>
    </w:p>
    <w:p w14:paraId="40846DEA" w14:textId="380CAED5" w:rsidR="00B70268" w:rsidRPr="0016361F" w:rsidRDefault="00B70268" w:rsidP="00B70268">
      <w:pPr>
        <w:spacing w:after="240"/>
        <w:rPr>
          <w:rFonts w:cs="Arial"/>
        </w:rPr>
      </w:pPr>
      <w:r w:rsidRPr="003B66B6">
        <w:rPr>
          <w:rFonts w:cs="Arial"/>
        </w:rPr>
        <w:t xml:space="preserve">Section 5 of the </w:t>
      </w:r>
      <w:r w:rsidR="006D44AB">
        <w:rPr>
          <w:rFonts w:cs="Arial"/>
          <w:i/>
        </w:rPr>
        <w:t>National Land Transport</w:t>
      </w:r>
      <w:r w:rsidR="0009037D">
        <w:rPr>
          <w:rFonts w:cs="Arial"/>
          <w:i/>
        </w:rPr>
        <w:t xml:space="preserve"> Act 2014</w:t>
      </w:r>
      <w:r w:rsidRPr="003B66B6">
        <w:rPr>
          <w:rFonts w:cs="Arial"/>
        </w:rPr>
        <w:t xml:space="preserve"> </w:t>
      </w:r>
      <w:r>
        <w:rPr>
          <w:rFonts w:cs="Arial"/>
        </w:rPr>
        <w:t xml:space="preserve">(the Act) </w:t>
      </w:r>
      <w:r w:rsidRPr="003B66B6">
        <w:rPr>
          <w:rFonts w:cs="Arial"/>
        </w:rPr>
        <w:t xml:space="preserve">requires </w:t>
      </w:r>
      <w:r>
        <w:rPr>
          <w:rFonts w:cs="Arial"/>
        </w:rPr>
        <w:t xml:space="preserve">that </w:t>
      </w:r>
      <w:r w:rsidRPr="003B66B6">
        <w:rPr>
          <w:rFonts w:cs="Arial"/>
        </w:rPr>
        <w:t xml:space="preserve">the Minister for </w:t>
      </w:r>
      <w:r>
        <w:rPr>
          <w:rFonts w:cs="Arial"/>
        </w:rPr>
        <w:t>Infrastructure</w:t>
      </w:r>
      <w:r w:rsidR="00D62FCE">
        <w:rPr>
          <w:rFonts w:cs="Arial"/>
        </w:rPr>
        <w:t>, Transport</w:t>
      </w:r>
      <w:r>
        <w:rPr>
          <w:rFonts w:cs="Arial"/>
        </w:rPr>
        <w:t xml:space="preserve"> and </w:t>
      </w:r>
      <w:r w:rsidRPr="003B66B6">
        <w:rPr>
          <w:rFonts w:cs="Arial"/>
        </w:rPr>
        <w:t xml:space="preserve">Regional </w:t>
      </w:r>
      <w:r>
        <w:rPr>
          <w:rFonts w:cs="Arial"/>
        </w:rPr>
        <w:t xml:space="preserve">Development </w:t>
      </w:r>
      <w:r w:rsidRPr="003B66B6">
        <w:rPr>
          <w:rFonts w:cs="Arial"/>
        </w:rPr>
        <w:t>determine a National Land Transport Network</w:t>
      </w:r>
      <w:r>
        <w:rPr>
          <w:rFonts w:cs="Arial"/>
        </w:rPr>
        <w:t xml:space="preserve"> (Network)</w:t>
      </w:r>
      <w:r w:rsidRPr="003B66B6">
        <w:rPr>
          <w:rFonts w:cs="Arial"/>
        </w:rPr>
        <w:t xml:space="preserve">. The principal purpose of determining the Network is to </w:t>
      </w:r>
      <w:r w:rsidR="00BE7007" w:rsidRPr="00116ECC">
        <w:t xml:space="preserve">support the construction and maintenance of nationally significant </w:t>
      </w:r>
      <w:r w:rsidR="00433CFD">
        <w:t xml:space="preserve">transport corridors. </w:t>
      </w:r>
    </w:p>
    <w:p w14:paraId="5D8C0CD2" w14:textId="6F9D234E" w:rsidR="00433CFD" w:rsidRDefault="00433CFD" w:rsidP="00B70268">
      <w:pPr>
        <w:spacing w:after="240"/>
        <w:rPr>
          <w:rFonts w:cs="Arial"/>
        </w:rPr>
      </w:pPr>
      <w:r>
        <w:rPr>
          <w:rFonts w:cs="Arial"/>
        </w:rPr>
        <w:t>This determination replaces the National Land Transport Network Determination 2014</w:t>
      </w:r>
      <w:r w:rsidR="003C0D6B">
        <w:rPr>
          <w:rFonts w:cs="Arial"/>
        </w:rPr>
        <w:t xml:space="preserve">. </w:t>
      </w:r>
      <w:r w:rsidR="0010033F">
        <w:rPr>
          <w:rFonts w:cs="Arial"/>
        </w:rPr>
        <w:t xml:space="preserve">The </w:t>
      </w:r>
      <w:r w:rsidR="00640C55">
        <w:rPr>
          <w:rFonts w:cs="Arial"/>
        </w:rPr>
        <w:t>updated Determination will come into effect on 1 July 2020.</w:t>
      </w:r>
    </w:p>
    <w:p w14:paraId="4F247CBB" w14:textId="6D4D9376" w:rsidR="00B70268" w:rsidRDefault="00B70268" w:rsidP="00B70268">
      <w:pPr>
        <w:pStyle w:val="MainHeadding"/>
        <w:rPr>
          <w:rFonts w:cs="Arial"/>
        </w:rPr>
      </w:pPr>
      <w:bookmarkStart w:id="3" w:name="_Toc203206149"/>
      <w:r>
        <w:t xml:space="preserve">content </w:t>
      </w:r>
      <w:bookmarkEnd w:id="3"/>
      <w:r w:rsidR="00E27E2F">
        <w:t>and effect of the new determination</w:t>
      </w:r>
      <w:r w:rsidRPr="00D04D2F">
        <w:rPr>
          <w:rFonts w:cs="Arial"/>
        </w:rPr>
        <w:t xml:space="preserve"> </w:t>
      </w:r>
    </w:p>
    <w:p w14:paraId="45D1E09C" w14:textId="77777777" w:rsidR="00B70268" w:rsidRDefault="00B70268" w:rsidP="00B70268">
      <w:pPr>
        <w:pStyle w:val="Subsection"/>
      </w:pPr>
      <w:bookmarkStart w:id="4" w:name="_Toc203206150"/>
      <w:r>
        <w:t xml:space="preserve">Overview of the Network </w:t>
      </w:r>
      <w:bookmarkEnd w:id="4"/>
    </w:p>
    <w:p w14:paraId="1FA28FE0" w14:textId="0AF7D518" w:rsidR="00B70268" w:rsidRPr="00210689" w:rsidRDefault="00B70268" w:rsidP="00E27E2F">
      <w:pPr>
        <w:spacing w:after="240"/>
        <w:rPr>
          <w:rFonts w:cs="Arial"/>
        </w:rPr>
      </w:pPr>
      <w:r>
        <w:rPr>
          <w:rFonts w:cs="Arial"/>
        </w:rPr>
        <w:t xml:space="preserve">The underpinning rationale for </w:t>
      </w:r>
      <w:r w:rsidR="00FE03BE">
        <w:rPr>
          <w:rFonts w:cs="Arial"/>
        </w:rPr>
        <w:t>determining</w:t>
      </w:r>
      <w:r>
        <w:rPr>
          <w:rFonts w:cs="Arial"/>
        </w:rPr>
        <w:t xml:space="preserve"> the Network is connectivity. The criteria outlined in section 5 of the Act emphasise the connectivity between capital cities and/or major centres of commercial </w:t>
      </w:r>
      <w:r w:rsidRPr="00226424">
        <w:rPr>
          <w:rFonts w:cs="Arial"/>
        </w:rPr>
        <w:t xml:space="preserve">activity </w:t>
      </w:r>
      <w:r w:rsidR="00226424" w:rsidRPr="00226424">
        <w:rPr>
          <w:rFonts w:cs="Arial"/>
        </w:rPr>
        <w:t>and</w:t>
      </w:r>
      <w:r w:rsidRPr="00226424">
        <w:rPr>
          <w:rFonts w:cs="Arial"/>
        </w:rPr>
        <w:t xml:space="preserve"> inter</w:t>
      </w:r>
      <w:r>
        <w:rPr>
          <w:rFonts w:cs="Arial"/>
        </w:rPr>
        <w:t>-modal transfer facilit</w:t>
      </w:r>
      <w:r w:rsidR="00B46CBB">
        <w:rPr>
          <w:rFonts w:cs="Arial"/>
        </w:rPr>
        <w:t>ies</w:t>
      </w:r>
      <w:r>
        <w:rPr>
          <w:rFonts w:cs="Arial"/>
        </w:rPr>
        <w:t>.</w:t>
      </w:r>
      <w:r w:rsidRPr="00210689">
        <w:rPr>
          <w:rFonts w:cs="Arial"/>
        </w:rPr>
        <w:t xml:space="preserve"> </w:t>
      </w:r>
    </w:p>
    <w:p w14:paraId="3A7637A0" w14:textId="77777777" w:rsidR="00B70268" w:rsidRPr="00210689" w:rsidRDefault="00B70268" w:rsidP="00B70268">
      <w:pPr>
        <w:spacing w:after="120"/>
        <w:rPr>
          <w:rFonts w:cs="Arial"/>
        </w:rPr>
      </w:pPr>
      <w:r>
        <w:rPr>
          <w:rFonts w:cs="Arial"/>
        </w:rPr>
        <w:t>The Network includes</w:t>
      </w:r>
      <w:r w:rsidRPr="00210689">
        <w:rPr>
          <w:rFonts w:cs="Arial"/>
        </w:rPr>
        <w:t>:</w:t>
      </w:r>
    </w:p>
    <w:p w14:paraId="0A8B6912" w14:textId="37C3E643" w:rsidR="0010033F" w:rsidRPr="00D73152" w:rsidRDefault="00502F62" w:rsidP="00945CBE">
      <w:pPr>
        <w:numPr>
          <w:ilvl w:val="0"/>
          <w:numId w:val="2"/>
        </w:numPr>
        <w:ind w:left="714" w:hanging="357"/>
      </w:pPr>
      <w:r>
        <w:t>I</w:t>
      </w:r>
      <w:r w:rsidR="0010033F">
        <w:t xml:space="preserve">nterstate and </w:t>
      </w:r>
      <w:r w:rsidR="0010033F" w:rsidRPr="00D73152">
        <w:t xml:space="preserve">interregional </w:t>
      </w:r>
      <w:r w:rsidR="006D696E">
        <w:t>road and railway links</w:t>
      </w:r>
      <w:r w:rsidR="0010033F" w:rsidRPr="00D73152">
        <w:t xml:space="preserve"> that are nationally important for </w:t>
      </w:r>
      <w:r w:rsidR="006D696E">
        <w:t>trade and commerce or travel; and</w:t>
      </w:r>
    </w:p>
    <w:p w14:paraId="0AE4E755" w14:textId="5D279161" w:rsidR="0010033F" w:rsidRDefault="00502F62" w:rsidP="00945CBE">
      <w:pPr>
        <w:numPr>
          <w:ilvl w:val="0"/>
          <w:numId w:val="2"/>
        </w:numPr>
        <w:spacing w:after="240"/>
        <w:ind w:left="714" w:hanging="357"/>
      </w:pPr>
      <w:r>
        <w:t>Local</w:t>
      </w:r>
      <w:r w:rsidR="006D696E">
        <w:t xml:space="preserve"> and </w:t>
      </w:r>
      <w:r w:rsidR="006D696E" w:rsidRPr="00D73152">
        <w:t xml:space="preserve">urban </w:t>
      </w:r>
      <w:r w:rsidR="006D696E">
        <w:t>road and rail</w:t>
      </w:r>
      <w:r w:rsidR="00B46CBB">
        <w:t>way</w:t>
      </w:r>
      <w:r w:rsidR="006D696E">
        <w:t xml:space="preserve"> </w:t>
      </w:r>
      <w:r w:rsidR="006D696E" w:rsidRPr="00D73152">
        <w:t>links to ports, airports and other inter</w:t>
      </w:r>
      <w:r w:rsidR="006D696E">
        <w:t>-</w:t>
      </w:r>
      <w:r w:rsidR="006D696E" w:rsidRPr="00D73152">
        <w:t>modal</w:t>
      </w:r>
      <w:r w:rsidR="006D696E">
        <w:t xml:space="preserve"> transfer</w:t>
      </w:r>
      <w:r w:rsidR="006D696E" w:rsidRPr="00D73152">
        <w:t xml:space="preserve"> facilities</w:t>
      </w:r>
      <w:r>
        <w:t xml:space="preserve">, which </w:t>
      </w:r>
      <w:r w:rsidR="006D696E">
        <w:t>also connect to interstate and interregional transport corridors.</w:t>
      </w:r>
    </w:p>
    <w:p w14:paraId="3DF1CA80" w14:textId="3FD20358" w:rsidR="00E62986" w:rsidRPr="00E62986" w:rsidRDefault="00B70268" w:rsidP="00945CBE">
      <w:pPr>
        <w:pStyle w:val="Subsection"/>
        <w:spacing w:after="240"/>
      </w:pPr>
      <w:r>
        <w:t xml:space="preserve">Network Update </w:t>
      </w:r>
    </w:p>
    <w:p w14:paraId="1C3A30FA" w14:textId="4C3A9A20" w:rsidR="00E62986" w:rsidRPr="00945CBE" w:rsidRDefault="00E62986" w:rsidP="00E62986">
      <w:pPr>
        <w:rPr>
          <w:i/>
        </w:rPr>
      </w:pPr>
      <w:r w:rsidRPr="00945CBE">
        <w:rPr>
          <w:i/>
        </w:rPr>
        <w:t>2.2.1.</w:t>
      </w:r>
      <w:r w:rsidRPr="00945CBE">
        <w:rPr>
          <w:i/>
        </w:rPr>
        <w:tab/>
        <w:t xml:space="preserve">  Major Additions  </w:t>
      </w:r>
    </w:p>
    <w:p w14:paraId="44CAF91B" w14:textId="0AC55505" w:rsidR="00B70268" w:rsidRPr="00945CBE" w:rsidRDefault="00B70268" w:rsidP="00B70268">
      <w:pPr>
        <w:pStyle w:val="Header"/>
        <w:spacing w:before="120" w:after="120"/>
        <w:rPr>
          <w:sz w:val="24"/>
        </w:rPr>
      </w:pPr>
      <w:r w:rsidRPr="00945CBE">
        <w:rPr>
          <w:sz w:val="24"/>
        </w:rPr>
        <w:t xml:space="preserve">The Network has been updated to include </w:t>
      </w:r>
      <w:r w:rsidR="00254B25" w:rsidRPr="00945CBE">
        <w:rPr>
          <w:sz w:val="24"/>
        </w:rPr>
        <w:t>major</w:t>
      </w:r>
      <w:r w:rsidRPr="00945CBE">
        <w:rPr>
          <w:sz w:val="24"/>
        </w:rPr>
        <w:t xml:space="preserve"> road</w:t>
      </w:r>
      <w:r w:rsidR="00B46CBB" w:rsidRPr="00945CBE">
        <w:rPr>
          <w:sz w:val="24"/>
        </w:rPr>
        <w:t xml:space="preserve"> and railway</w:t>
      </w:r>
      <w:r w:rsidRPr="00945CBE">
        <w:rPr>
          <w:sz w:val="24"/>
        </w:rPr>
        <w:t xml:space="preserve"> link</w:t>
      </w:r>
      <w:r w:rsidR="00254B25" w:rsidRPr="00945CBE">
        <w:rPr>
          <w:sz w:val="24"/>
        </w:rPr>
        <w:t>s</w:t>
      </w:r>
      <w:r w:rsidR="00B46CBB" w:rsidRPr="00945CBE">
        <w:rPr>
          <w:sz w:val="24"/>
        </w:rPr>
        <w:t>, including projects recently</w:t>
      </w:r>
      <w:r w:rsidRPr="00945CBE">
        <w:rPr>
          <w:sz w:val="24"/>
        </w:rPr>
        <w:t xml:space="preserve"> completed, underway or proposed: </w:t>
      </w:r>
    </w:p>
    <w:p w14:paraId="6F7C2348" w14:textId="77777777" w:rsidR="00254B25" w:rsidRPr="0085645E" w:rsidRDefault="00254B25" w:rsidP="00254B25">
      <w:pPr>
        <w:pStyle w:val="Header"/>
        <w:spacing w:after="120"/>
        <w:rPr>
          <w:sz w:val="24"/>
          <w:u w:val="single"/>
        </w:rPr>
      </w:pPr>
      <w:r w:rsidRPr="0085645E">
        <w:rPr>
          <w:sz w:val="24"/>
          <w:u w:val="single"/>
        </w:rPr>
        <w:t>New South Wales</w:t>
      </w:r>
    </w:p>
    <w:p w14:paraId="26805812" w14:textId="67515378" w:rsidR="00BA6E86" w:rsidRPr="0085645E" w:rsidRDefault="00DF1201" w:rsidP="00BF6FAE">
      <w:pPr>
        <w:pStyle w:val="Header"/>
        <w:spacing w:after="120"/>
        <w:rPr>
          <w:sz w:val="24"/>
        </w:rPr>
      </w:pPr>
      <w:r>
        <w:rPr>
          <w:sz w:val="24"/>
        </w:rPr>
        <w:t>T</w:t>
      </w:r>
      <w:r w:rsidR="00F8207A">
        <w:rPr>
          <w:sz w:val="24"/>
        </w:rPr>
        <w:t>he Northern Road</w:t>
      </w:r>
      <w:r>
        <w:rPr>
          <w:sz w:val="24"/>
        </w:rPr>
        <w:t xml:space="preserve"> connect</w:t>
      </w:r>
      <w:r w:rsidR="00F8207A">
        <w:rPr>
          <w:sz w:val="24"/>
        </w:rPr>
        <w:t>ing</w:t>
      </w:r>
      <w:r>
        <w:rPr>
          <w:sz w:val="24"/>
        </w:rPr>
        <w:t xml:space="preserve"> the proposed Western Sydney Airport; the proposed Sydney Gateway project </w:t>
      </w:r>
      <w:r w:rsidR="00F8207A">
        <w:rPr>
          <w:sz w:val="24"/>
        </w:rPr>
        <w:t>connecting</w:t>
      </w:r>
      <w:r w:rsidR="00DB1F78">
        <w:rPr>
          <w:sz w:val="24"/>
        </w:rPr>
        <w:t xml:space="preserve"> K</w:t>
      </w:r>
      <w:r>
        <w:rPr>
          <w:sz w:val="24"/>
        </w:rPr>
        <w:t>ingsford S</w:t>
      </w:r>
      <w:r w:rsidR="00DB1F78">
        <w:rPr>
          <w:sz w:val="24"/>
        </w:rPr>
        <w:t>mith Airport and</w:t>
      </w:r>
      <w:r>
        <w:rPr>
          <w:sz w:val="24"/>
        </w:rPr>
        <w:t xml:space="preserve"> </w:t>
      </w:r>
      <w:r w:rsidR="00DB1F78">
        <w:rPr>
          <w:sz w:val="24"/>
        </w:rPr>
        <w:t>Westconnex; a</w:t>
      </w:r>
      <w:r>
        <w:rPr>
          <w:sz w:val="24"/>
        </w:rPr>
        <w:t>ccess to Newcastle Port through John Renshaw Dri</w:t>
      </w:r>
      <w:r w:rsidR="00DB1F78">
        <w:rPr>
          <w:sz w:val="24"/>
        </w:rPr>
        <w:t>ve</w:t>
      </w:r>
      <w:r>
        <w:rPr>
          <w:sz w:val="24"/>
        </w:rPr>
        <w:t xml:space="preserve">; and connecting </w:t>
      </w:r>
      <w:r w:rsidR="00F8207A">
        <w:rPr>
          <w:sz w:val="24"/>
        </w:rPr>
        <w:t xml:space="preserve">the Princes Highway to </w:t>
      </w:r>
      <w:r>
        <w:rPr>
          <w:sz w:val="24"/>
        </w:rPr>
        <w:t>Port Kembla</w:t>
      </w:r>
      <w:r w:rsidR="00DB1F78">
        <w:rPr>
          <w:sz w:val="24"/>
        </w:rPr>
        <w:t>.</w:t>
      </w:r>
    </w:p>
    <w:p w14:paraId="1427DE14" w14:textId="77777777" w:rsidR="00EF590C" w:rsidRPr="0085645E" w:rsidRDefault="00EF590C" w:rsidP="00EF590C">
      <w:pPr>
        <w:pStyle w:val="Header"/>
        <w:spacing w:after="120"/>
        <w:rPr>
          <w:sz w:val="24"/>
          <w:u w:val="single"/>
        </w:rPr>
      </w:pPr>
      <w:r w:rsidRPr="0085645E">
        <w:rPr>
          <w:sz w:val="24"/>
          <w:u w:val="single"/>
        </w:rPr>
        <w:t>Victoria</w:t>
      </w:r>
    </w:p>
    <w:p w14:paraId="587F7151" w14:textId="21A56160" w:rsidR="00EF590C" w:rsidRDefault="00EF590C" w:rsidP="00EF590C">
      <w:pPr>
        <w:pStyle w:val="Header"/>
        <w:spacing w:after="120"/>
        <w:rPr>
          <w:sz w:val="24"/>
        </w:rPr>
      </w:pPr>
      <w:r w:rsidRPr="007E1FA7">
        <w:rPr>
          <w:sz w:val="24"/>
        </w:rPr>
        <w:t xml:space="preserve">The West Gate Tunnel; </w:t>
      </w:r>
      <w:r>
        <w:rPr>
          <w:sz w:val="24"/>
        </w:rPr>
        <w:t xml:space="preserve">Eastlink, North East Link, and Metropolitan Ring Road; </w:t>
      </w:r>
      <w:r w:rsidRPr="007E1FA7">
        <w:rPr>
          <w:sz w:val="24"/>
        </w:rPr>
        <w:t xml:space="preserve">connecting the Dynon Intermodal Terminal directly </w:t>
      </w:r>
      <w:r>
        <w:rPr>
          <w:sz w:val="24"/>
        </w:rPr>
        <w:t xml:space="preserve">to the Network; access to Port of Melbourne via Webb Dock Drive; the </w:t>
      </w:r>
      <w:r w:rsidRPr="0024307D">
        <w:rPr>
          <w:sz w:val="24"/>
        </w:rPr>
        <w:t>Princes Highway</w:t>
      </w:r>
      <w:r>
        <w:rPr>
          <w:sz w:val="24"/>
        </w:rPr>
        <w:t xml:space="preserve"> </w:t>
      </w:r>
      <w:r w:rsidR="00640C55">
        <w:rPr>
          <w:sz w:val="24"/>
        </w:rPr>
        <w:t xml:space="preserve">from West of Colac </w:t>
      </w:r>
      <w:r>
        <w:rPr>
          <w:sz w:val="24"/>
        </w:rPr>
        <w:t>to the South Australian borde</w:t>
      </w:r>
      <w:r w:rsidR="00640C55">
        <w:rPr>
          <w:sz w:val="24"/>
        </w:rPr>
        <w:t>r; and the standard gauge railway from Ararat Station to Maryborough Station.</w:t>
      </w:r>
    </w:p>
    <w:p w14:paraId="6DDF4302" w14:textId="77777777" w:rsidR="00EF590C" w:rsidRPr="0085645E" w:rsidRDefault="00EF590C" w:rsidP="00EF590C">
      <w:pPr>
        <w:pStyle w:val="Header"/>
        <w:spacing w:after="120"/>
        <w:rPr>
          <w:sz w:val="24"/>
          <w:u w:val="single"/>
        </w:rPr>
      </w:pPr>
      <w:r w:rsidRPr="0085645E">
        <w:rPr>
          <w:sz w:val="24"/>
          <w:u w:val="single"/>
        </w:rPr>
        <w:t>South Australia</w:t>
      </w:r>
    </w:p>
    <w:p w14:paraId="291A9459" w14:textId="000DA8B1" w:rsidR="00EF590C" w:rsidRDefault="00EF590C" w:rsidP="00EF590C">
      <w:pPr>
        <w:pStyle w:val="Header"/>
        <w:spacing w:after="120"/>
        <w:rPr>
          <w:sz w:val="24"/>
        </w:rPr>
      </w:pPr>
      <w:r>
        <w:rPr>
          <w:sz w:val="24"/>
        </w:rPr>
        <w:t>Connect</w:t>
      </w:r>
      <w:r w:rsidR="000F7DE5">
        <w:rPr>
          <w:sz w:val="24"/>
        </w:rPr>
        <w:t>ing the Port of Whyalla to the N</w:t>
      </w:r>
      <w:r>
        <w:rPr>
          <w:sz w:val="24"/>
        </w:rPr>
        <w:t>etwork via the</w:t>
      </w:r>
      <w:r w:rsidR="00640C55">
        <w:rPr>
          <w:sz w:val="24"/>
        </w:rPr>
        <w:t xml:space="preserve"> Lincoln Highway; and increasing </w:t>
      </w:r>
      <w:r>
        <w:rPr>
          <w:sz w:val="24"/>
        </w:rPr>
        <w:t xml:space="preserve">connectivity between Melbourne and Adelaide by </w:t>
      </w:r>
      <w:r w:rsidR="00640C55">
        <w:rPr>
          <w:sz w:val="24"/>
        </w:rPr>
        <w:t>ad</w:t>
      </w:r>
      <w:r>
        <w:rPr>
          <w:sz w:val="24"/>
        </w:rPr>
        <w:t>ding the Princes Highway</w:t>
      </w:r>
      <w:r w:rsidR="00640C55">
        <w:rPr>
          <w:sz w:val="24"/>
        </w:rPr>
        <w:t xml:space="preserve"> from the Victorian border</w:t>
      </w:r>
      <w:r>
        <w:rPr>
          <w:sz w:val="24"/>
        </w:rPr>
        <w:t xml:space="preserve">. </w:t>
      </w:r>
    </w:p>
    <w:p w14:paraId="11C9DD1E" w14:textId="77777777" w:rsidR="00EF590C" w:rsidRPr="0085645E" w:rsidRDefault="00EF590C" w:rsidP="00EF590C">
      <w:pPr>
        <w:pStyle w:val="Header"/>
        <w:spacing w:after="120"/>
        <w:rPr>
          <w:sz w:val="24"/>
          <w:u w:val="single"/>
        </w:rPr>
      </w:pPr>
      <w:r w:rsidRPr="0085645E">
        <w:rPr>
          <w:sz w:val="24"/>
          <w:u w:val="single"/>
        </w:rPr>
        <w:t>Western Australia</w:t>
      </w:r>
    </w:p>
    <w:p w14:paraId="08348DCF" w14:textId="0448F8AE" w:rsidR="00EF590C" w:rsidRDefault="00EF590C" w:rsidP="00EF590C">
      <w:pPr>
        <w:pStyle w:val="Header"/>
        <w:spacing w:after="120"/>
        <w:rPr>
          <w:sz w:val="24"/>
        </w:rPr>
      </w:pPr>
      <w:r>
        <w:rPr>
          <w:sz w:val="24"/>
        </w:rPr>
        <w:t xml:space="preserve">Greater connectivity from Perth to the Port of Geraldton via the Brand Highway; connecting the Reid and Tonkin Highways in Perth; and </w:t>
      </w:r>
      <w:r w:rsidR="00FA116D">
        <w:rPr>
          <w:sz w:val="24"/>
        </w:rPr>
        <w:t xml:space="preserve">the addition of </w:t>
      </w:r>
      <w:r>
        <w:rPr>
          <w:sz w:val="24"/>
        </w:rPr>
        <w:t>the</w:t>
      </w:r>
      <w:r w:rsidR="00FA116D">
        <w:rPr>
          <w:sz w:val="24"/>
        </w:rPr>
        <w:t xml:space="preserve"> </w:t>
      </w:r>
      <w:r>
        <w:rPr>
          <w:sz w:val="24"/>
        </w:rPr>
        <w:t xml:space="preserve">Bunbury Outer Ring Road. </w:t>
      </w:r>
    </w:p>
    <w:p w14:paraId="70636D33" w14:textId="7B06B543" w:rsidR="00352322" w:rsidRPr="0085645E" w:rsidRDefault="00352322" w:rsidP="00254B25">
      <w:pPr>
        <w:pStyle w:val="Header"/>
        <w:spacing w:after="120"/>
        <w:rPr>
          <w:sz w:val="24"/>
          <w:u w:val="single"/>
        </w:rPr>
      </w:pPr>
      <w:r w:rsidRPr="0085645E">
        <w:rPr>
          <w:sz w:val="24"/>
          <w:u w:val="single"/>
        </w:rPr>
        <w:t>Northern Territory</w:t>
      </w:r>
    </w:p>
    <w:p w14:paraId="36D5D949" w14:textId="50B08875" w:rsidR="00DF1201" w:rsidRPr="0085645E" w:rsidRDefault="00DF1201" w:rsidP="00254B25">
      <w:pPr>
        <w:pStyle w:val="Header"/>
        <w:spacing w:after="120"/>
        <w:rPr>
          <w:sz w:val="24"/>
        </w:rPr>
      </w:pPr>
      <w:r>
        <w:rPr>
          <w:sz w:val="24"/>
        </w:rPr>
        <w:t>Access to Darwin Airport.</w:t>
      </w:r>
    </w:p>
    <w:p w14:paraId="6D6D484C" w14:textId="77777777" w:rsidR="00254B25" w:rsidRPr="0085645E" w:rsidRDefault="00254B25" w:rsidP="00EA5823">
      <w:pPr>
        <w:pStyle w:val="Header"/>
        <w:keepNext/>
        <w:spacing w:after="120"/>
        <w:rPr>
          <w:sz w:val="24"/>
          <w:u w:val="single"/>
        </w:rPr>
      </w:pPr>
      <w:r w:rsidRPr="0085645E">
        <w:rPr>
          <w:sz w:val="24"/>
          <w:u w:val="single"/>
        </w:rPr>
        <w:lastRenderedPageBreak/>
        <w:t xml:space="preserve">Queensland </w:t>
      </w:r>
    </w:p>
    <w:p w14:paraId="7418A9E4" w14:textId="54FF55D7" w:rsidR="00DF1201" w:rsidRDefault="00640C55" w:rsidP="00254B25">
      <w:pPr>
        <w:pStyle w:val="Header"/>
        <w:spacing w:after="120"/>
        <w:rPr>
          <w:sz w:val="24"/>
        </w:rPr>
      </w:pPr>
      <w:r>
        <w:rPr>
          <w:sz w:val="24"/>
        </w:rPr>
        <w:t>T</w:t>
      </w:r>
      <w:r w:rsidR="00EA5823">
        <w:rPr>
          <w:sz w:val="24"/>
        </w:rPr>
        <w:t>he Mount Lindesay Highway to Bromelton Intermodal Terminal and the Cairns Ring Road Stage 1</w:t>
      </w:r>
      <w:r>
        <w:rPr>
          <w:sz w:val="24"/>
        </w:rPr>
        <w:t>;</w:t>
      </w:r>
      <w:r w:rsidR="00EA5823">
        <w:rPr>
          <w:sz w:val="24"/>
        </w:rPr>
        <w:t xml:space="preserve"> </w:t>
      </w:r>
      <w:r>
        <w:rPr>
          <w:sz w:val="24"/>
        </w:rPr>
        <w:t xml:space="preserve">and </w:t>
      </w:r>
      <w:r w:rsidR="00EA5823">
        <w:rPr>
          <w:sz w:val="24"/>
        </w:rPr>
        <w:t>connecti</w:t>
      </w:r>
      <w:r>
        <w:rPr>
          <w:sz w:val="24"/>
        </w:rPr>
        <w:t>ng</w:t>
      </w:r>
      <w:r w:rsidR="00EA5823">
        <w:rPr>
          <w:sz w:val="24"/>
        </w:rPr>
        <w:t xml:space="preserve"> the Bruce Highway to Gladstone and Mackay Ports</w:t>
      </w:r>
      <w:r>
        <w:rPr>
          <w:sz w:val="24"/>
        </w:rPr>
        <w:t>.</w:t>
      </w:r>
    </w:p>
    <w:p w14:paraId="1B3C4F28" w14:textId="5469BE29" w:rsidR="00693B36" w:rsidRPr="0085645E" w:rsidRDefault="00376ED0" w:rsidP="00B70268">
      <w:pPr>
        <w:pStyle w:val="Header"/>
        <w:spacing w:after="120"/>
        <w:rPr>
          <w:sz w:val="24"/>
        </w:rPr>
      </w:pPr>
      <w:r w:rsidRPr="0085645E">
        <w:rPr>
          <w:sz w:val="24"/>
          <w:u w:val="single"/>
        </w:rPr>
        <w:t>Tasmania</w:t>
      </w:r>
      <w:r w:rsidR="00591063">
        <w:rPr>
          <w:sz w:val="24"/>
          <w:u w:val="single"/>
        </w:rPr>
        <w:br/>
      </w:r>
      <w:r w:rsidR="00150FF6">
        <w:rPr>
          <w:sz w:val="24"/>
        </w:rPr>
        <w:t>C</w:t>
      </w:r>
      <w:r w:rsidR="000F7DE5">
        <w:rPr>
          <w:sz w:val="24"/>
        </w:rPr>
        <w:t xml:space="preserve">onnecting the Port of Hobart to the Network via the Brooker Highway. </w:t>
      </w:r>
    </w:p>
    <w:p w14:paraId="2585C0E8" w14:textId="77777777" w:rsidR="00DF1201" w:rsidRDefault="00DF1201" w:rsidP="00945CBE"/>
    <w:p w14:paraId="4A4C9CA3" w14:textId="1FAADE24" w:rsidR="00400170" w:rsidRPr="0085645E" w:rsidRDefault="00E62986" w:rsidP="00945CBE">
      <w:pPr>
        <w:rPr>
          <w:i/>
        </w:rPr>
      </w:pPr>
      <w:r w:rsidRPr="0085645E">
        <w:rPr>
          <w:i/>
        </w:rPr>
        <w:t>2.2.2.</w:t>
      </w:r>
      <w:r w:rsidRPr="0085645E">
        <w:rPr>
          <w:i/>
        </w:rPr>
        <w:tab/>
        <w:t xml:space="preserve">  Major Deletions</w:t>
      </w:r>
      <w:r w:rsidR="004B4BE7">
        <w:rPr>
          <w:i/>
        </w:rPr>
        <w:t xml:space="preserve"> and amendments</w:t>
      </w:r>
      <w:r w:rsidRPr="0085645E">
        <w:rPr>
          <w:i/>
        </w:rPr>
        <w:t xml:space="preserve">  </w:t>
      </w:r>
    </w:p>
    <w:p w14:paraId="73303059" w14:textId="22619C4F" w:rsidR="001C2F87" w:rsidRPr="0085645E" w:rsidRDefault="001C2F87" w:rsidP="001C2F87">
      <w:pPr>
        <w:pStyle w:val="Header"/>
        <w:spacing w:before="120" w:after="120"/>
        <w:rPr>
          <w:sz w:val="24"/>
        </w:rPr>
      </w:pPr>
      <w:r w:rsidRPr="0085645E">
        <w:rPr>
          <w:sz w:val="24"/>
        </w:rPr>
        <w:t xml:space="preserve">The Network has been updated to </w:t>
      </w:r>
      <w:r w:rsidR="0072226B" w:rsidRPr="0085645E">
        <w:rPr>
          <w:sz w:val="24"/>
        </w:rPr>
        <w:t xml:space="preserve">remove </w:t>
      </w:r>
      <w:r w:rsidR="00A65989" w:rsidRPr="0085645E">
        <w:rPr>
          <w:sz w:val="24"/>
        </w:rPr>
        <w:t xml:space="preserve">several </w:t>
      </w:r>
      <w:r w:rsidR="0072226B" w:rsidRPr="0085645E">
        <w:rPr>
          <w:sz w:val="24"/>
        </w:rPr>
        <w:t xml:space="preserve">major </w:t>
      </w:r>
      <w:r w:rsidRPr="0085645E">
        <w:rPr>
          <w:sz w:val="24"/>
        </w:rPr>
        <w:t xml:space="preserve">road and rail links formerly listed on the </w:t>
      </w:r>
      <w:r w:rsidR="00945CBE" w:rsidRPr="0085645E">
        <w:rPr>
          <w:sz w:val="24"/>
        </w:rPr>
        <w:t>Network</w:t>
      </w:r>
      <w:r w:rsidR="00A20B1F" w:rsidRPr="0085645E">
        <w:rPr>
          <w:sz w:val="24"/>
        </w:rPr>
        <w:t>:</w:t>
      </w:r>
    </w:p>
    <w:p w14:paraId="478AAC4F" w14:textId="28C6D664" w:rsidR="00352322" w:rsidRPr="0085645E" w:rsidRDefault="00352322" w:rsidP="001C2F87">
      <w:pPr>
        <w:pStyle w:val="Header"/>
        <w:spacing w:before="120" w:after="120"/>
        <w:rPr>
          <w:sz w:val="24"/>
          <w:u w:val="single"/>
        </w:rPr>
      </w:pPr>
      <w:r w:rsidRPr="0085645E">
        <w:rPr>
          <w:sz w:val="24"/>
          <w:u w:val="single"/>
        </w:rPr>
        <w:t>New South Wales</w:t>
      </w:r>
    </w:p>
    <w:p w14:paraId="6F1B8926" w14:textId="6E6079E8" w:rsidR="00CE28B7" w:rsidRPr="0085645E" w:rsidRDefault="00CE28B7" w:rsidP="001C2F87">
      <w:pPr>
        <w:pStyle w:val="Header"/>
        <w:spacing w:before="120" w:after="120"/>
        <w:rPr>
          <w:sz w:val="24"/>
        </w:rPr>
      </w:pPr>
      <w:r w:rsidRPr="0085645E">
        <w:rPr>
          <w:sz w:val="24"/>
        </w:rPr>
        <w:t>New England Highway from Beresfield to Branxton</w:t>
      </w:r>
      <w:r w:rsidR="00F8207A">
        <w:rPr>
          <w:sz w:val="24"/>
        </w:rPr>
        <w:t xml:space="preserve"> and Weakleys Drive at Newcastle. </w:t>
      </w:r>
    </w:p>
    <w:p w14:paraId="739D3031" w14:textId="77777777" w:rsidR="00A44703" w:rsidRDefault="00A44703" w:rsidP="00A44703">
      <w:pPr>
        <w:pStyle w:val="Header"/>
        <w:spacing w:before="120" w:after="120"/>
        <w:rPr>
          <w:sz w:val="24"/>
          <w:u w:val="single"/>
        </w:rPr>
      </w:pPr>
      <w:r>
        <w:rPr>
          <w:sz w:val="24"/>
          <w:u w:val="single"/>
        </w:rPr>
        <w:t>Victoria</w:t>
      </w:r>
    </w:p>
    <w:p w14:paraId="704EB44B" w14:textId="190EBAB4" w:rsidR="00A44703" w:rsidRDefault="00A44703" w:rsidP="00A44703">
      <w:pPr>
        <w:pStyle w:val="Header"/>
        <w:spacing w:after="120"/>
        <w:rPr>
          <w:sz w:val="24"/>
        </w:rPr>
      </w:pPr>
      <w:r>
        <w:rPr>
          <w:sz w:val="24"/>
        </w:rPr>
        <w:t>The Goulburn Valley Highway at Shepparton</w:t>
      </w:r>
      <w:r w:rsidR="004B4BE7">
        <w:rPr>
          <w:sz w:val="24"/>
        </w:rPr>
        <w:t xml:space="preserve"> has been amended to follow the Shepparton Alternative Route</w:t>
      </w:r>
      <w:r>
        <w:rPr>
          <w:sz w:val="24"/>
        </w:rPr>
        <w:t>.</w:t>
      </w:r>
    </w:p>
    <w:p w14:paraId="65981CF0" w14:textId="77777777" w:rsidR="00EF590C" w:rsidRPr="0085645E" w:rsidRDefault="00EF590C" w:rsidP="00EF590C">
      <w:pPr>
        <w:pStyle w:val="Header"/>
        <w:spacing w:before="120" w:after="120"/>
        <w:rPr>
          <w:sz w:val="24"/>
          <w:u w:val="single"/>
        </w:rPr>
      </w:pPr>
      <w:r w:rsidRPr="0085645E">
        <w:rPr>
          <w:sz w:val="24"/>
          <w:u w:val="single"/>
        </w:rPr>
        <w:t>South Australia</w:t>
      </w:r>
    </w:p>
    <w:p w14:paraId="179B189A" w14:textId="218507DE" w:rsidR="00EF590C" w:rsidRPr="00945CBE" w:rsidRDefault="00EF590C" w:rsidP="00EF590C">
      <w:pPr>
        <w:pStyle w:val="Header"/>
        <w:spacing w:before="120" w:after="120"/>
        <w:rPr>
          <w:sz w:val="24"/>
        </w:rPr>
      </w:pPr>
      <w:r w:rsidRPr="0085645E">
        <w:rPr>
          <w:sz w:val="24"/>
        </w:rPr>
        <w:t>Rosewater rail loop</w:t>
      </w:r>
      <w:r w:rsidR="000053C0">
        <w:rPr>
          <w:sz w:val="24"/>
        </w:rPr>
        <w:t>; and</w:t>
      </w:r>
      <w:r>
        <w:rPr>
          <w:sz w:val="24"/>
        </w:rPr>
        <w:t xml:space="preserve"> Port Wakefield Road between the Salisbury Highway and the Northern Expressway</w:t>
      </w:r>
      <w:r w:rsidR="004B4BE7">
        <w:rPr>
          <w:sz w:val="24"/>
        </w:rPr>
        <w:t xml:space="preserve"> has been replaced by the completed Northern Connector</w:t>
      </w:r>
      <w:r>
        <w:rPr>
          <w:sz w:val="24"/>
        </w:rPr>
        <w:t>.</w:t>
      </w:r>
    </w:p>
    <w:p w14:paraId="23551088" w14:textId="58A02B8B" w:rsidR="00A44703" w:rsidRDefault="00A44703" w:rsidP="00A44703">
      <w:pPr>
        <w:pStyle w:val="Header"/>
        <w:spacing w:after="120"/>
        <w:rPr>
          <w:sz w:val="24"/>
          <w:u w:val="single"/>
        </w:rPr>
      </w:pPr>
      <w:r>
        <w:rPr>
          <w:sz w:val="24"/>
          <w:u w:val="single"/>
        </w:rPr>
        <w:t>Queensland</w:t>
      </w:r>
    </w:p>
    <w:p w14:paraId="13B351FC" w14:textId="27EB209C" w:rsidR="00A44703" w:rsidRPr="00A44703" w:rsidRDefault="00A44703" w:rsidP="00A44703">
      <w:pPr>
        <w:pStyle w:val="Header"/>
        <w:spacing w:after="120"/>
        <w:rPr>
          <w:sz w:val="24"/>
        </w:rPr>
      </w:pPr>
      <w:r>
        <w:rPr>
          <w:sz w:val="24"/>
        </w:rPr>
        <w:t>The Gore and Warrego Highways</w:t>
      </w:r>
      <w:r w:rsidR="000F7DE5">
        <w:rPr>
          <w:sz w:val="24"/>
        </w:rPr>
        <w:t xml:space="preserve"> now</w:t>
      </w:r>
      <w:r w:rsidR="00FA116D">
        <w:rPr>
          <w:sz w:val="24"/>
        </w:rPr>
        <w:t xml:space="preserve"> follow the route of the </w:t>
      </w:r>
      <w:r w:rsidR="000F7DE5">
        <w:rPr>
          <w:sz w:val="24"/>
        </w:rPr>
        <w:t>new</w:t>
      </w:r>
      <w:r w:rsidR="00FA116D">
        <w:rPr>
          <w:sz w:val="24"/>
        </w:rPr>
        <w:t xml:space="preserve"> Toowoomba Second Range Crossing</w:t>
      </w:r>
      <w:r>
        <w:rPr>
          <w:sz w:val="24"/>
        </w:rPr>
        <w:t>.</w:t>
      </w:r>
      <w:r w:rsidR="000F7DE5">
        <w:rPr>
          <w:sz w:val="24"/>
        </w:rPr>
        <w:t xml:space="preserve"> The Network reflects this update.</w:t>
      </w:r>
    </w:p>
    <w:p w14:paraId="465DDB94" w14:textId="77777777" w:rsidR="00DB1F78" w:rsidRDefault="00DB1F78" w:rsidP="00945CBE">
      <w:pPr>
        <w:pStyle w:val="Header"/>
        <w:spacing w:after="120"/>
        <w:rPr>
          <w:sz w:val="24"/>
          <w:u w:val="single"/>
        </w:rPr>
      </w:pPr>
    </w:p>
    <w:p w14:paraId="1C44C3AF" w14:textId="0263FCF8" w:rsidR="002A0412" w:rsidRPr="00253AD7" w:rsidRDefault="00400170" w:rsidP="00945CBE">
      <w:pPr>
        <w:pStyle w:val="Header"/>
        <w:spacing w:before="120" w:after="120"/>
        <w:rPr>
          <w:i/>
          <w:sz w:val="24"/>
        </w:rPr>
      </w:pPr>
      <w:r w:rsidRPr="00945CBE">
        <w:rPr>
          <w:i/>
          <w:sz w:val="24"/>
        </w:rPr>
        <w:t xml:space="preserve">2.2.3 </w:t>
      </w:r>
      <w:r>
        <w:rPr>
          <w:i/>
          <w:sz w:val="24"/>
        </w:rPr>
        <w:t xml:space="preserve">    </w:t>
      </w:r>
      <w:r w:rsidRPr="00945CBE">
        <w:rPr>
          <w:i/>
          <w:sz w:val="24"/>
        </w:rPr>
        <w:t xml:space="preserve">Minor </w:t>
      </w:r>
      <w:r w:rsidR="00EA5823">
        <w:rPr>
          <w:i/>
          <w:sz w:val="24"/>
        </w:rPr>
        <w:t>A</w:t>
      </w:r>
      <w:r w:rsidRPr="00945CBE">
        <w:rPr>
          <w:i/>
          <w:sz w:val="24"/>
        </w:rPr>
        <w:t xml:space="preserve">mendments </w:t>
      </w:r>
    </w:p>
    <w:p w14:paraId="4A400FCA" w14:textId="7712607D" w:rsidR="00914241" w:rsidRDefault="00914241" w:rsidP="00E52193">
      <w:pPr>
        <w:pStyle w:val="Header"/>
        <w:spacing w:before="120" w:after="120"/>
        <w:rPr>
          <w:sz w:val="24"/>
        </w:rPr>
      </w:pPr>
      <w:r>
        <w:rPr>
          <w:sz w:val="24"/>
        </w:rPr>
        <w:t xml:space="preserve">A small number of amendments have been made to the Network to address </w:t>
      </w:r>
      <w:r w:rsidR="000F7DE5">
        <w:rPr>
          <w:sz w:val="24"/>
        </w:rPr>
        <w:t>issue</w:t>
      </w:r>
      <w:r>
        <w:rPr>
          <w:sz w:val="24"/>
        </w:rPr>
        <w:t xml:space="preserve">s identified in the National Land Transport Network Determination 2014. </w:t>
      </w:r>
      <w:r w:rsidR="00E95B25" w:rsidRPr="00E52193">
        <w:rPr>
          <w:sz w:val="24"/>
        </w:rPr>
        <w:t>Some minor road connections have been added to the Network to ensure connectivity between the additions listed above and the existing Network.</w:t>
      </w:r>
      <w:r w:rsidR="00E95B25" w:rsidRPr="00E95B25">
        <w:rPr>
          <w:sz w:val="24"/>
        </w:rPr>
        <w:t xml:space="preserve"> </w:t>
      </w:r>
    </w:p>
    <w:p w14:paraId="5F153333" w14:textId="473F756A" w:rsidR="00914241" w:rsidRPr="00C30E71" w:rsidRDefault="002A0412" w:rsidP="00E52193">
      <w:pPr>
        <w:pStyle w:val="Header"/>
        <w:spacing w:before="120" w:after="120"/>
        <w:rPr>
          <w:sz w:val="24"/>
        </w:rPr>
      </w:pPr>
      <w:r>
        <w:rPr>
          <w:sz w:val="24"/>
        </w:rPr>
        <w:t>Changes have</w:t>
      </w:r>
      <w:r w:rsidR="00E95B25">
        <w:rPr>
          <w:sz w:val="24"/>
        </w:rPr>
        <w:t xml:space="preserve"> also been made to style</w:t>
      </w:r>
      <w:r>
        <w:rPr>
          <w:sz w:val="24"/>
        </w:rPr>
        <w:t xml:space="preserve"> and nomenclature throughout the </w:t>
      </w:r>
      <w:r w:rsidR="00E95B25">
        <w:rPr>
          <w:sz w:val="24"/>
        </w:rPr>
        <w:t>D</w:t>
      </w:r>
      <w:r>
        <w:rPr>
          <w:sz w:val="24"/>
        </w:rPr>
        <w:t>etermination</w:t>
      </w:r>
      <w:r w:rsidR="00C13638">
        <w:rPr>
          <w:sz w:val="24"/>
        </w:rPr>
        <w:t>. Thes</w:t>
      </w:r>
      <w:r w:rsidR="00E95B25">
        <w:rPr>
          <w:sz w:val="24"/>
        </w:rPr>
        <w:t xml:space="preserve">e </w:t>
      </w:r>
      <w:r w:rsidR="00C13638">
        <w:rPr>
          <w:sz w:val="24"/>
        </w:rPr>
        <w:t xml:space="preserve">include the revision of road names, </w:t>
      </w:r>
      <w:r w:rsidR="00E95B25">
        <w:rPr>
          <w:sz w:val="24"/>
        </w:rPr>
        <w:t>and</w:t>
      </w:r>
      <w:r w:rsidR="00C13638">
        <w:rPr>
          <w:sz w:val="24"/>
        </w:rPr>
        <w:t xml:space="preserve"> using consistent terminology throughout the </w:t>
      </w:r>
      <w:r w:rsidR="00E95B25">
        <w:rPr>
          <w:sz w:val="24"/>
        </w:rPr>
        <w:t>document.</w:t>
      </w:r>
      <w:r w:rsidR="00C30E71">
        <w:rPr>
          <w:sz w:val="24"/>
        </w:rPr>
        <w:t xml:space="preserve"> </w:t>
      </w:r>
    </w:p>
    <w:p w14:paraId="1EC5B831" w14:textId="3107BB5D" w:rsidR="00060E93" w:rsidRDefault="00060E93" w:rsidP="00060E93">
      <w:pPr>
        <w:pStyle w:val="Header"/>
        <w:spacing w:before="120" w:after="120"/>
        <w:rPr>
          <w:sz w:val="24"/>
          <w:u w:val="single"/>
        </w:rPr>
      </w:pPr>
      <w:r w:rsidRPr="00E52193">
        <w:rPr>
          <w:sz w:val="24"/>
        </w:rPr>
        <w:t>The structure has been streamlined through the removal of ‘urban’ and ‘non-urban’ designations. This restructure of the Determination has necessitated the introduction of a cross-jurisdictional section.</w:t>
      </w:r>
      <w:r>
        <w:rPr>
          <w:sz w:val="24"/>
        </w:rPr>
        <w:br/>
      </w:r>
    </w:p>
    <w:p w14:paraId="713BF13D" w14:textId="25CCC845" w:rsidR="00060E93" w:rsidRPr="00914241" w:rsidRDefault="00060E93" w:rsidP="00253AD7">
      <w:pPr>
        <w:pStyle w:val="MainHeadding"/>
        <w:tabs>
          <w:tab w:val="left" w:pos="900"/>
        </w:tabs>
      </w:pPr>
      <w:r>
        <w:t>best practice regulation</w:t>
      </w:r>
    </w:p>
    <w:p w14:paraId="0BAB261B" w14:textId="77777777" w:rsidR="00B70268" w:rsidRDefault="00B70268" w:rsidP="00B70268">
      <w:pPr>
        <w:pStyle w:val="Subsection"/>
      </w:pPr>
      <w:bookmarkStart w:id="5" w:name="_Toc203206154"/>
      <w:r>
        <w:t>Regulatory Assessment</w:t>
      </w:r>
      <w:bookmarkEnd w:id="5"/>
    </w:p>
    <w:p w14:paraId="4B96F3F3" w14:textId="2FC4D0A1" w:rsidR="00B70268" w:rsidRDefault="00B70268" w:rsidP="00B70268">
      <w:r>
        <w:t>This instrument does not involve any regulatory</w:t>
      </w:r>
      <w:r w:rsidR="00FE03BE">
        <w:t xml:space="preserve"> or quasi-regulatory measures. </w:t>
      </w:r>
    </w:p>
    <w:p w14:paraId="79198A10" w14:textId="77777777" w:rsidR="00B70268" w:rsidRPr="00544B37" w:rsidRDefault="00B70268" w:rsidP="00EA5823">
      <w:pPr>
        <w:pStyle w:val="MainHeadding"/>
        <w:keepNext/>
      </w:pPr>
      <w:r>
        <w:t>CONSULTATION</w:t>
      </w:r>
    </w:p>
    <w:p w14:paraId="202022F6" w14:textId="71E49773" w:rsidR="003606AE" w:rsidRDefault="00693B36" w:rsidP="00A65989">
      <w:r w:rsidRPr="00693B36">
        <w:t>State and territory transport agencies</w:t>
      </w:r>
      <w:r>
        <w:t xml:space="preserve"> were consulted </w:t>
      </w:r>
      <w:r w:rsidR="000F7DE5">
        <w:t xml:space="preserve">on updates to the Determination. </w:t>
      </w:r>
      <w:r>
        <w:t xml:space="preserve"> </w:t>
      </w:r>
    </w:p>
    <w:sectPr w:rsidR="003606AE" w:rsidSect="00931C5D">
      <w:footerReference w:type="default" r:id="rId11"/>
      <w:pgSz w:w="11906" w:h="16838"/>
      <w:pgMar w:top="709" w:right="1274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FAB5" w14:textId="77777777" w:rsidR="00F06B76" w:rsidRDefault="00F06B76">
      <w:r>
        <w:separator/>
      </w:r>
    </w:p>
  </w:endnote>
  <w:endnote w:type="continuationSeparator" w:id="0">
    <w:p w14:paraId="7443485E" w14:textId="77777777" w:rsidR="00F06B76" w:rsidRDefault="00F0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981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2A4CC" w14:textId="0414F9C3" w:rsidR="00DB1F78" w:rsidRDefault="00DB1F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6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31CE12" w14:textId="77777777" w:rsidR="009C0977" w:rsidRDefault="00DE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083F" w14:textId="77777777" w:rsidR="00F06B76" w:rsidRDefault="00F06B76">
      <w:r>
        <w:separator/>
      </w:r>
    </w:p>
  </w:footnote>
  <w:footnote w:type="continuationSeparator" w:id="0">
    <w:p w14:paraId="60B83BAF" w14:textId="77777777" w:rsidR="00F06B76" w:rsidRDefault="00F0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20BC"/>
    <w:multiLevelType w:val="hybridMultilevel"/>
    <w:tmpl w:val="1366A5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3A56"/>
    <w:multiLevelType w:val="hybridMultilevel"/>
    <w:tmpl w:val="554A5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245E"/>
    <w:multiLevelType w:val="hybridMultilevel"/>
    <w:tmpl w:val="E00E3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331C"/>
    <w:multiLevelType w:val="hybridMultilevel"/>
    <w:tmpl w:val="9C54AD86"/>
    <w:lvl w:ilvl="0" w:tplc="82CC4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7506F"/>
    <w:multiLevelType w:val="multilevel"/>
    <w:tmpl w:val="EC306A54"/>
    <w:lvl w:ilvl="0">
      <w:start w:val="1"/>
      <w:numFmt w:val="decimal"/>
      <w:pStyle w:val="MainHead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ubsection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ubsubsection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ubsubsubsection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5" w15:restartNumberingAfterBreak="0">
    <w:nsid w:val="721861AA"/>
    <w:multiLevelType w:val="hybridMultilevel"/>
    <w:tmpl w:val="FF0E41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68"/>
    <w:rsid w:val="000053C0"/>
    <w:rsid w:val="00031C6A"/>
    <w:rsid w:val="00060E93"/>
    <w:rsid w:val="00082FCC"/>
    <w:rsid w:val="0009037D"/>
    <w:rsid w:val="000B23FE"/>
    <w:rsid w:val="000B3BCB"/>
    <w:rsid w:val="000D4B4B"/>
    <w:rsid w:val="000F463A"/>
    <w:rsid w:val="000F7DE5"/>
    <w:rsid w:val="0010033F"/>
    <w:rsid w:val="001169D0"/>
    <w:rsid w:val="00144657"/>
    <w:rsid w:val="00150FF6"/>
    <w:rsid w:val="0015681B"/>
    <w:rsid w:val="001A46DB"/>
    <w:rsid w:val="001B5AC0"/>
    <w:rsid w:val="001C2F87"/>
    <w:rsid w:val="001E6ADF"/>
    <w:rsid w:val="002025A7"/>
    <w:rsid w:val="00220654"/>
    <w:rsid w:val="00226424"/>
    <w:rsid w:val="00253AD7"/>
    <w:rsid w:val="00254B25"/>
    <w:rsid w:val="002819F0"/>
    <w:rsid w:val="002A0412"/>
    <w:rsid w:val="002F0D69"/>
    <w:rsid w:val="0031554A"/>
    <w:rsid w:val="00352322"/>
    <w:rsid w:val="003606AE"/>
    <w:rsid w:val="00376ED0"/>
    <w:rsid w:val="00382DF6"/>
    <w:rsid w:val="003C0D6B"/>
    <w:rsid w:val="003D45D5"/>
    <w:rsid w:val="003E78EE"/>
    <w:rsid w:val="003F3A83"/>
    <w:rsid w:val="00400170"/>
    <w:rsid w:val="00433CFD"/>
    <w:rsid w:val="004348B7"/>
    <w:rsid w:val="0044076D"/>
    <w:rsid w:val="00463BF4"/>
    <w:rsid w:val="004806E0"/>
    <w:rsid w:val="004B4BE7"/>
    <w:rsid w:val="004C4F79"/>
    <w:rsid w:val="004D4461"/>
    <w:rsid w:val="004E7E2C"/>
    <w:rsid w:val="00502F62"/>
    <w:rsid w:val="00525A36"/>
    <w:rsid w:val="00527F93"/>
    <w:rsid w:val="005435A9"/>
    <w:rsid w:val="00550584"/>
    <w:rsid w:val="00572725"/>
    <w:rsid w:val="00584CC9"/>
    <w:rsid w:val="00591063"/>
    <w:rsid w:val="005A3F66"/>
    <w:rsid w:val="005C4149"/>
    <w:rsid w:val="005D66F3"/>
    <w:rsid w:val="005D6F32"/>
    <w:rsid w:val="00632095"/>
    <w:rsid w:val="00633820"/>
    <w:rsid w:val="00640C55"/>
    <w:rsid w:val="00640E00"/>
    <w:rsid w:val="00656472"/>
    <w:rsid w:val="006837F0"/>
    <w:rsid w:val="00693B36"/>
    <w:rsid w:val="006D44AB"/>
    <w:rsid w:val="006D696E"/>
    <w:rsid w:val="0072226B"/>
    <w:rsid w:val="0074714D"/>
    <w:rsid w:val="007778AB"/>
    <w:rsid w:val="007B70E4"/>
    <w:rsid w:val="007C60E7"/>
    <w:rsid w:val="007D4C24"/>
    <w:rsid w:val="007D6CAD"/>
    <w:rsid w:val="00807AF0"/>
    <w:rsid w:val="0085645E"/>
    <w:rsid w:val="008B4B98"/>
    <w:rsid w:val="008F0E23"/>
    <w:rsid w:val="00914241"/>
    <w:rsid w:val="00927EAB"/>
    <w:rsid w:val="00945CBE"/>
    <w:rsid w:val="00960014"/>
    <w:rsid w:val="00985E17"/>
    <w:rsid w:val="009B036A"/>
    <w:rsid w:val="009B7DC3"/>
    <w:rsid w:val="009C0E47"/>
    <w:rsid w:val="009D4CEB"/>
    <w:rsid w:val="009D6DAC"/>
    <w:rsid w:val="009E5F72"/>
    <w:rsid w:val="009F1DD2"/>
    <w:rsid w:val="00A20B1F"/>
    <w:rsid w:val="00A31FFF"/>
    <w:rsid w:val="00A44703"/>
    <w:rsid w:val="00A52CEE"/>
    <w:rsid w:val="00A65989"/>
    <w:rsid w:val="00A84893"/>
    <w:rsid w:val="00AE3305"/>
    <w:rsid w:val="00AE3CBC"/>
    <w:rsid w:val="00AE512A"/>
    <w:rsid w:val="00AF090A"/>
    <w:rsid w:val="00B46CBB"/>
    <w:rsid w:val="00B70268"/>
    <w:rsid w:val="00B83C27"/>
    <w:rsid w:val="00BA6E86"/>
    <w:rsid w:val="00BA73EF"/>
    <w:rsid w:val="00BD11CF"/>
    <w:rsid w:val="00BE7007"/>
    <w:rsid w:val="00BF6FAE"/>
    <w:rsid w:val="00BF7A03"/>
    <w:rsid w:val="00C11B94"/>
    <w:rsid w:val="00C13638"/>
    <w:rsid w:val="00C212DB"/>
    <w:rsid w:val="00C30E71"/>
    <w:rsid w:val="00C92086"/>
    <w:rsid w:val="00CD694C"/>
    <w:rsid w:val="00CE04F6"/>
    <w:rsid w:val="00CE27E3"/>
    <w:rsid w:val="00CE28B7"/>
    <w:rsid w:val="00D37107"/>
    <w:rsid w:val="00D62FCE"/>
    <w:rsid w:val="00D731DA"/>
    <w:rsid w:val="00D739C2"/>
    <w:rsid w:val="00DB06A7"/>
    <w:rsid w:val="00DB1F78"/>
    <w:rsid w:val="00DC3CD2"/>
    <w:rsid w:val="00DD0391"/>
    <w:rsid w:val="00DE66EA"/>
    <w:rsid w:val="00DF1201"/>
    <w:rsid w:val="00E217E1"/>
    <w:rsid w:val="00E27E2F"/>
    <w:rsid w:val="00E37871"/>
    <w:rsid w:val="00E50530"/>
    <w:rsid w:val="00E52193"/>
    <w:rsid w:val="00E55B67"/>
    <w:rsid w:val="00E62986"/>
    <w:rsid w:val="00E64B46"/>
    <w:rsid w:val="00E95B25"/>
    <w:rsid w:val="00EA5823"/>
    <w:rsid w:val="00EB4589"/>
    <w:rsid w:val="00EF590C"/>
    <w:rsid w:val="00F06B76"/>
    <w:rsid w:val="00F207D5"/>
    <w:rsid w:val="00F50E7E"/>
    <w:rsid w:val="00F7373B"/>
    <w:rsid w:val="00F8207A"/>
    <w:rsid w:val="00FA116D"/>
    <w:rsid w:val="00FA6F10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7EC9AAA"/>
  <w15:docId w15:val="{323693B1-141F-413A-B578-AE425E8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B70268"/>
    <w:pPr>
      <w:spacing w:after="480"/>
    </w:pPr>
    <w:rPr>
      <w:b/>
      <w:sz w:val="40"/>
    </w:rPr>
  </w:style>
  <w:style w:type="paragraph" w:customStyle="1" w:styleId="MainHeadding">
    <w:name w:val="Main Headding"/>
    <w:basedOn w:val="Normal"/>
    <w:next w:val="Normal"/>
    <w:rsid w:val="00B70268"/>
    <w:pPr>
      <w:numPr>
        <w:numId w:val="1"/>
      </w:numPr>
      <w:spacing w:before="240" w:after="120"/>
    </w:pPr>
    <w:rPr>
      <w:b/>
      <w:caps/>
    </w:rPr>
  </w:style>
  <w:style w:type="paragraph" w:customStyle="1" w:styleId="Subsection">
    <w:name w:val="Sub section"/>
    <w:basedOn w:val="Normal"/>
    <w:next w:val="Normal"/>
    <w:rsid w:val="00B70268"/>
    <w:pPr>
      <w:numPr>
        <w:ilvl w:val="1"/>
        <w:numId w:val="1"/>
      </w:numPr>
      <w:spacing w:before="120" w:after="120"/>
    </w:pPr>
  </w:style>
  <w:style w:type="paragraph" w:customStyle="1" w:styleId="Subsubsection">
    <w:name w:val="Subsub section"/>
    <w:basedOn w:val="Normal"/>
    <w:next w:val="Normal"/>
    <w:rsid w:val="00B70268"/>
    <w:pPr>
      <w:numPr>
        <w:ilvl w:val="2"/>
        <w:numId w:val="1"/>
      </w:numPr>
      <w:spacing w:before="120" w:after="120"/>
    </w:pPr>
  </w:style>
  <w:style w:type="paragraph" w:customStyle="1" w:styleId="Subsubsubsection">
    <w:name w:val="Subsubsub section"/>
    <w:basedOn w:val="Normal"/>
    <w:next w:val="Normal"/>
    <w:rsid w:val="00B70268"/>
    <w:pPr>
      <w:numPr>
        <w:ilvl w:val="3"/>
        <w:numId w:val="1"/>
      </w:numPr>
      <w:spacing w:before="120" w:after="120"/>
    </w:pPr>
  </w:style>
  <w:style w:type="paragraph" w:styleId="Header">
    <w:name w:val="header"/>
    <w:basedOn w:val="Normal"/>
    <w:link w:val="HeaderChar"/>
    <w:uiPriority w:val="99"/>
    <w:rsid w:val="00B70268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70268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B7026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70268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98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qFormat/>
    <w:rsid w:val="00BF7A03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BF7A03"/>
    <w:rPr>
      <w:rFonts w:ascii="Arial" w:eastAsia="Times New Roman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AE5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12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12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40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D2D5CA0-A925-465F-B94F-683DEE35B6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A2F37EF8E985C4A811B33D8AD8B98F9" ma:contentTypeVersion="" ma:contentTypeDescription="PDMS Document Site Content Type" ma:contentTypeScope="" ma:versionID="673e5b228aaba1988a0d7429e5b2b8af">
  <xsd:schema xmlns:xsd="http://www.w3.org/2001/XMLSchema" xmlns:xs="http://www.w3.org/2001/XMLSchema" xmlns:p="http://schemas.microsoft.com/office/2006/metadata/properties" xmlns:ns2="8D2D5CA0-A925-465F-B94F-683DEE35B653" targetNamespace="http://schemas.microsoft.com/office/2006/metadata/properties" ma:root="true" ma:fieldsID="6e529726a8d2482ee31e8194248f42c8" ns2:_="">
    <xsd:import namespace="8D2D5CA0-A925-465F-B94F-683DEE35B6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D5CA0-A925-465F-B94F-683DEE35B6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CFEC15-A8F3-47D6-B197-535A91E75B7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8D2D5CA0-A925-465F-B94F-683DEE35B65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C800D5-D483-4441-8E26-8B19300A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97240-C0FE-43BA-B9CD-6F9E707CB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D5CA0-A925-465F-B94F-683DEE35B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2DD93-CCA1-4EEB-89FF-28703658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Avery</dc:creator>
  <cp:lastModifiedBy>GOYDYCH Margaret</cp:lastModifiedBy>
  <cp:revision>2</cp:revision>
  <cp:lastPrinted>2020-02-09T23:14:00Z</cp:lastPrinted>
  <dcterms:created xsi:type="dcterms:W3CDTF">2020-06-26T05:18:00Z</dcterms:created>
  <dcterms:modified xsi:type="dcterms:W3CDTF">2020-06-26T05:18:00Z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-1748427436</vt:i4>
  </property>
  <property fmtid="{D5CDD505-2E9C-101B-9397-08002B2CF9AE}" pid="3" name="ContentTypeId">
    <vt:lpwstr>0x010100266966F133664895A6EE3632470D45F5006A2F37EF8E985C4A811B33D8AD8B98F9</vt:lpwstr>
  </property>
</Properties>
</file>