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BEE9E" w14:textId="77777777" w:rsidR="00DC2CD2" w:rsidRPr="00521029" w:rsidRDefault="00DC2CD2" w:rsidP="00DC2CD2">
      <w:pPr>
        <w:pStyle w:val="Heading1"/>
        <w:spacing w:before="0" w:after="0" w:line="240" w:lineRule="auto"/>
        <w:jc w:val="center"/>
        <w:rPr>
          <w:rFonts w:ascii="Times New Roman" w:hAnsi="Times New Roman"/>
          <w:b/>
          <w:sz w:val="24"/>
          <w:u w:val="single"/>
        </w:rPr>
      </w:pPr>
      <w:bookmarkStart w:id="0" w:name="_GoBack"/>
      <w:bookmarkEnd w:id="0"/>
      <w:r>
        <w:rPr>
          <w:rFonts w:ascii="Times New Roman" w:hAnsi="Times New Roman"/>
          <w:b/>
          <w:sz w:val="24"/>
          <w:u w:val="single"/>
        </w:rPr>
        <w:t>family law amendment (Prescribed Court) regulations 2020</w:t>
      </w:r>
    </w:p>
    <w:p w14:paraId="4DEDECE7" w14:textId="77777777" w:rsidR="00DC2CD2" w:rsidRPr="00521029" w:rsidRDefault="00DC2CD2" w:rsidP="00DC2CD2">
      <w:pPr>
        <w:rPr>
          <w:rFonts w:ascii="Times New Roman" w:hAnsi="Times New Roman"/>
        </w:rPr>
      </w:pPr>
    </w:p>
    <w:p w14:paraId="3BA63B07" w14:textId="77777777" w:rsidR="00DC2CD2" w:rsidRPr="00E81349" w:rsidRDefault="00DC2CD2" w:rsidP="00DC2CD2">
      <w:pPr>
        <w:pStyle w:val="Heading1"/>
        <w:spacing w:before="0" w:after="0" w:line="240" w:lineRule="auto"/>
        <w:jc w:val="center"/>
        <w:rPr>
          <w:rFonts w:ascii="Times New Roman" w:hAnsi="Times New Roman"/>
          <w:b/>
          <w:color w:val="FF0000"/>
          <w:sz w:val="24"/>
          <w:u w:val="single"/>
        </w:rPr>
      </w:pPr>
    </w:p>
    <w:p w14:paraId="73333E9A" w14:textId="77777777" w:rsidR="00DC2CD2" w:rsidRPr="00392F1B" w:rsidRDefault="00DC2CD2" w:rsidP="00D71FCF">
      <w:pPr>
        <w:pStyle w:val="Heading1"/>
        <w:spacing w:before="0" w:after="0"/>
        <w:jc w:val="center"/>
        <w:rPr>
          <w:rFonts w:ascii="Times New Roman" w:hAnsi="Times New Roman"/>
          <w:caps w:val="0"/>
          <w:color w:val="FF0000"/>
          <w:sz w:val="24"/>
          <w:szCs w:val="24"/>
        </w:rPr>
      </w:pPr>
      <w:r w:rsidRPr="00E81349">
        <w:rPr>
          <w:rFonts w:ascii="Times New Roman" w:hAnsi="Times New Roman"/>
          <w:b/>
          <w:sz w:val="24"/>
          <w:u w:val="single"/>
        </w:rPr>
        <w:t>EXPLANATORY STATEMENT</w:t>
      </w:r>
      <w:r w:rsidRPr="001D3031">
        <w:rPr>
          <w:rFonts w:ascii="Times New Roman" w:hAnsi="Times New Roman"/>
          <w:b/>
          <w:sz w:val="24"/>
          <w:u w:val="single"/>
        </w:rPr>
        <w:t xml:space="preserve"> </w:t>
      </w:r>
      <w:r>
        <w:rPr>
          <w:rFonts w:ascii="Times New Roman" w:hAnsi="Times New Roman"/>
          <w:b/>
          <w:sz w:val="24"/>
          <w:u w:val="single"/>
        </w:rPr>
        <w:br/>
      </w:r>
    </w:p>
    <w:p w14:paraId="7B6FC8E0" w14:textId="0ED46AF2" w:rsidR="00D71FCF" w:rsidRDefault="009172FB" w:rsidP="00D71FCF">
      <w:pPr>
        <w:jc w:val="center"/>
        <w:rPr>
          <w:rFonts w:ascii="Times New Roman" w:hAnsi="Times New Roman" w:cs="Times New Roman"/>
          <w:color w:val="000000" w:themeColor="text1"/>
        </w:rPr>
      </w:pPr>
      <w:r w:rsidRPr="00D34451">
        <w:rPr>
          <w:rFonts w:ascii="Times New Roman" w:hAnsi="Times New Roman" w:cs="Times New Roman"/>
          <w:color w:val="000000" w:themeColor="text1"/>
        </w:rPr>
        <w:t>Issued by authority of the Attorney-General</w:t>
      </w:r>
    </w:p>
    <w:p w14:paraId="2102E21F" w14:textId="21FFEB8C" w:rsidR="009172FB" w:rsidRPr="009172FB" w:rsidRDefault="009172FB" w:rsidP="00D71FCF">
      <w:pPr>
        <w:jc w:val="center"/>
        <w:rPr>
          <w:rFonts w:ascii="Times New Roman" w:hAnsi="Times New Roman" w:cs="Times New Roman"/>
          <w:i/>
          <w:color w:val="000000" w:themeColor="text1"/>
        </w:rPr>
      </w:pPr>
      <w:proofErr w:type="gramStart"/>
      <w:r w:rsidRPr="003276FD">
        <w:rPr>
          <w:rFonts w:ascii="Times New Roman" w:hAnsi="Times New Roman" w:cs="Times New Roman"/>
          <w:color w:val="000000" w:themeColor="text1"/>
        </w:rPr>
        <w:t>in</w:t>
      </w:r>
      <w:proofErr w:type="gramEnd"/>
      <w:r w:rsidRPr="003276FD">
        <w:rPr>
          <w:rFonts w:ascii="Times New Roman" w:hAnsi="Times New Roman" w:cs="Times New Roman"/>
          <w:color w:val="000000" w:themeColor="text1"/>
        </w:rPr>
        <w:t xml:space="preserve"> compliance with section 15J of the </w:t>
      </w:r>
      <w:r w:rsidR="00D71FCF">
        <w:rPr>
          <w:rFonts w:ascii="Times New Roman" w:hAnsi="Times New Roman" w:cs="Times New Roman"/>
          <w:i/>
          <w:color w:val="000000" w:themeColor="text1"/>
        </w:rPr>
        <w:t>Legislation Act 2003</w:t>
      </w:r>
    </w:p>
    <w:p w14:paraId="02F20E1C" w14:textId="77777777" w:rsidR="009172FB" w:rsidRPr="005B7269" w:rsidRDefault="009172FB" w:rsidP="009172FB">
      <w:pPr>
        <w:spacing w:line="360" w:lineRule="auto"/>
        <w:rPr>
          <w:rFonts w:ascii="Times New Roman" w:hAnsi="Times New Roman" w:cs="Times New Roman"/>
          <w:b/>
          <w:sz w:val="24"/>
          <w:szCs w:val="24"/>
        </w:rPr>
      </w:pPr>
      <w:r w:rsidRPr="00521029">
        <w:rPr>
          <w:rFonts w:ascii="Times New Roman" w:hAnsi="Times New Roman" w:cs="Times New Roman"/>
          <w:b/>
          <w:caps/>
          <w:sz w:val="24"/>
          <w:szCs w:val="24"/>
        </w:rPr>
        <w:t>Purpose and operation of the Instrument</w:t>
      </w:r>
    </w:p>
    <w:p w14:paraId="5F648550" w14:textId="66EF34E5" w:rsidR="00DC2CD2" w:rsidRPr="00D34451" w:rsidRDefault="009172FB" w:rsidP="00DC2CD2">
      <w:pPr>
        <w:rPr>
          <w:rFonts w:ascii="Times New Roman" w:hAnsi="Times New Roman" w:cs="Times New Roman"/>
          <w:color w:val="000000" w:themeColor="text1"/>
        </w:rPr>
      </w:pPr>
      <w:r w:rsidRPr="00D34451">
        <w:rPr>
          <w:rFonts w:ascii="Times New Roman" w:hAnsi="Times New Roman" w:cs="Times New Roman"/>
          <w:color w:val="000000" w:themeColor="text1"/>
        </w:rPr>
        <w:t xml:space="preserve">The </w:t>
      </w:r>
      <w:r w:rsidRPr="00D34451">
        <w:rPr>
          <w:rFonts w:ascii="Times New Roman" w:hAnsi="Times New Roman" w:cs="Times New Roman"/>
          <w:i/>
          <w:color w:val="000000" w:themeColor="text1"/>
        </w:rPr>
        <w:t xml:space="preserve">Family Law Act 1975 </w:t>
      </w:r>
      <w:r w:rsidRPr="00D34451">
        <w:rPr>
          <w:rFonts w:ascii="Times New Roman" w:hAnsi="Times New Roman" w:cs="Times New Roman"/>
          <w:color w:val="000000" w:themeColor="text1"/>
        </w:rPr>
        <w:t xml:space="preserve">(the Act) concerns matters relating to the dissolution of married and </w:t>
      </w:r>
      <w:r w:rsidR="00DC2CD2" w:rsidRPr="00D34451">
        <w:rPr>
          <w:rFonts w:ascii="Times New Roman" w:hAnsi="Times New Roman" w:cs="Times New Roman"/>
          <w:color w:val="000000" w:themeColor="text1"/>
        </w:rPr>
        <w:t>de facto relationships, including divorce, parenting arrangements, property distribution, financial agreements, and child and spousal maintenance. It also deals with matters of parentage and the jurisdiction of the family law courts.</w:t>
      </w:r>
    </w:p>
    <w:p w14:paraId="2E5B2595" w14:textId="77777777" w:rsidR="00DC2CD2" w:rsidRPr="00D34451" w:rsidRDefault="00DC2CD2" w:rsidP="00DC2CD2">
      <w:pPr>
        <w:rPr>
          <w:rFonts w:ascii="Times New Roman" w:hAnsi="Times New Roman" w:cs="Times New Roman"/>
          <w:color w:val="000000" w:themeColor="text1"/>
        </w:rPr>
      </w:pPr>
      <w:r w:rsidRPr="00D34451">
        <w:rPr>
          <w:rFonts w:ascii="Times New Roman" w:hAnsi="Times New Roman" w:cs="Times New Roman"/>
          <w:color w:val="000000" w:themeColor="text1"/>
        </w:rPr>
        <w:t>Subsection 125(1) of the Act provides that the Governor</w:t>
      </w:r>
      <w:r w:rsidRPr="00D34451">
        <w:rPr>
          <w:rFonts w:ascii="Times New Roman" w:hAnsi="Times New Roman" w:cs="Times New Roman"/>
          <w:color w:val="000000" w:themeColor="text1"/>
        </w:rPr>
        <w:noBreakHyphen/>
        <w:t>General may make regulations, not inconsistent with the Act, prescribing all matters that are required or permitted by the Act to be prescribed, or are necessary or convenient to be prescribed for carrying out or giving effect to the Act.</w:t>
      </w:r>
    </w:p>
    <w:p w14:paraId="583DC257" w14:textId="036B8948" w:rsidR="006630AE" w:rsidRDefault="00DC2CD2" w:rsidP="006630AE">
      <w:pPr>
        <w:rPr>
          <w:rFonts w:ascii="Times New Roman" w:hAnsi="Times New Roman" w:cs="Times New Roman"/>
          <w:color w:val="000000" w:themeColor="text1"/>
        </w:rPr>
      </w:pPr>
      <w:r w:rsidRPr="00D34451">
        <w:rPr>
          <w:rFonts w:ascii="Times New Roman" w:hAnsi="Times New Roman" w:cs="Times New Roman"/>
          <w:color w:val="000000" w:themeColor="text1"/>
        </w:rPr>
        <w:t xml:space="preserve">The purpose of the </w:t>
      </w:r>
      <w:r w:rsidRPr="00D34451">
        <w:rPr>
          <w:rFonts w:ascii="Times New Roman" w:hAnsi="Times New Roman" w:cs="Times New Roman"/>
          <w:i/>
          <w:color w:val="000000" w:themeColor="text1"/>
        </w:rPr>
        <w:t xml:space="preserve">Family Law Amendment (Prescribed Court) Regulations 2020 </w:t>
      </w:r>
      <w:r w:rsidRPr="00D34451">
        <w:rPr>
          <w:rFonts w:ascii="Times New Roman" w:hAnsi="Times New Roman" w:cs="Times New Roman"/>
          <w:color w:val="000000" w:themeColor="text1"/>
        </w:rPr>
        <w:t xml:space="preserve">(the Regulations) is to amend the </w:t>
      </w:r>
      <w:r w:rsidRPr="00D34451">
        <w:rPr>
          <w:rFonts w:ascii="Times New Roman" w:hAnsi="Times New Roman" w:cs="Times New Roman"/>
          <w:i/>
          <w:color w:val="000000" w:themeColor="text1"/>
        </w:rPr>
        <w:t xml:space="preserve">Family Law Regulations 1984 </w:t>
      </w:r>
      <w:r w:rsidRPr="00D34451">
        <w:rPr>
          <w:rFonts w:ascii="Times New Roman" w:hAnsi="Times New Roman" w:cs="Times New Roman"/>
          <w:color w:val="000000" w:themeColor="text1"/>
        </w:rPr>
        <w:t>(the Principal Regulations) to extend</w:t>
      </w:r>
      <w:r w:rsidR="005B4C95">
        <w:rPr>
          <w:rFonts w:ascii="Times New Roman" w:hAnsi="Times New Roman" w:cs="Times New Roman"/>
          <w:color w:val="000000" w:themeColor="text1"/>
        </w:rPr>
        <w:t>, until 31 December 2020,</w:t>
      </w:r>
      <w:r w:rsidRPr="00D34451">
        <w:rPr>
          <w:rFonts w:ascii="Times New Roman" w:hAnsi="Times New Roman" w:cs="Times New Roman"/>
          <w:color w:val="000000" w:themeColor="text1"/>
        </w:rPr>
        <w:t xml:space="preserve"> the duration</w:t>
      </w:r>
      <w:r w:rsidR="00FF6BBB">
        <w:rPr>
          <w:rFonts w:ascii="Times New Roman" w:hAnsi="Times New Roman" w:cs="Times New Roman"/>
          <w:color w:val="000000" w:themeColor="text1"/>
        </w:rPr>
        <w:t xml:space="preserve"> for which </w:t>
      </w:r>
      <w:r w:rsidR="006630AE" w:rsidRPr="006630AE">
        <w:rPr>
          <w:rFonts w:ascii="Times New Roman" w:hAnsi="Times New Roman" w:cs="Times New Roman"/>
          <w:color w:val="000000" w:themeColor="text1"/>
        </w:rPr>
        <w:t xml:space="preserve">the </w:t>
      </w:r>
      <w:r w:rsidR="00FF6BBB">
        <w:rPr>
          <w:rFonts w:ascii="Times New Roman" w:hAnsi="Times New Roman" w:cs="Times New Roman"/>
          <w:color w:val="000000" w:themeColor="text1"/>
        </w:rPr>
        <w:t xml:space="preserve">following matters are </w:t>
      </w:r>
      <w:r w:rsidR="00C8294C">
        <w:rPr>
          <w:rFonts w:ascii="Times New Roman" w:hAnsi="Times New Roman" w:cs="Times New Roman"/>
          <w:color w:val="000000" w:themeColor="text1"/>
        </w:rPr>
        <w:t>prescribed</w:t>
      </w:r>
      <w:r w:rsidR="00087BB2">
        <w:rPr>
          <w:rFonts w:ascii="Times New Roman" w:hAnsi="Times New Roman" w:cs="Times New Roman"/>
          <w:color w:val="000000" w:themeColor="text1"/>
        </w:rPr>
        <w:t>:</w:t>
      </w:r>
      <w:r w:rsidR="005B4C95">
        <w:rPr>
          <w:rFonts w:ascii="Times New Roman" w:hAnsi="Times New Roman" w:cs="Times New Roman"/>
          <w:color w:val="000000" w:themeColor="text1"/>
        </w:rPr>
        <w:t xml:space="preserve"> </w:t>
      </w:r>
      <w:r w:rsidR="006630AE">
        <w:rPr>
          <w:rFonts w:ascii="Times New Roman" w:hAnsi="Times New Roman" w:cs="Times New Roman"/>
          <w:color w:val="000000" w:themeColor="text1"/>
        </w:rPr>
        <w:t xml:space="preserve"> </w:t>
      </w:r>
    </w:p>
    <w:p w14:paraId="31F9D4EF" w14:textId="4F7E34CF" w:rsidR="00712F17" w:rsidRDefault="006630AE" w:rsidP="00D71FCF">
      <w:pPr>
        <w:pStyle w:val="ListParagraph"/>
        <w:numPr>
          <w:ilvl w:val="0"/>
          <w:numId w:val="5"/>
        </w:numPr>
        <w:ind w:left="714" w:hanging="357"/>
        <w:contextualSpacing w:val="0"/>
        <w:rPr>
          <w:rFonts w:ascii="Times New Roman" w:hAnsi="Times New Roman" w:cs="Times New Roman"/>
          <w:color w:val="000000" w:themeColor="text1"/>
        </w:rPr>
      </w:pPr>
      <w:r w:rsidRPr="006630AE">
        <w:rPr>
          <w:rFonts w:ascii="Times New Roman" w:hAnsi="Times New Roman" w:cs="Times New Roman"/>
          <w:color w:val="000000" w:themeColor="text1"/>
        </w:rPr>
        <w:t xml:space="preserve">the </w:t>
      </w:r>
      <w:r w:rsidR="00C8294C">
        <w:rPr>
          <w:rFonts w:ascii="Times New Roman" w:hAnsi="Times New Roman" w:cs="Times New Roman"/>
          <w:color w:val="000000" w:themeColor="text1"/>
        </w:rPr>
        <w:t xml:space="preserve">Local </w:t>
      </w:r>
      <w:r w:rsidR="004474D7">
        <w:rPr>
          <w:rFonts w:ascii="Times New Roman" w:hAnsi="Times New Roman" w:cs="Times New Roman"/>
          <w:color w:val="000000" w:themeColor="text1"/>
        </w:rPr>
        <w:t>Court</w:t>
      </w:r>
      <w:r w:rsidR="00C8294C">
        <w:rPr>
          <w:rFonts w:ascii="Times New Roman" w:hAnsi="Times New Roman" w:cs="Times New Roman"/>
          <w:color w:val="000000" w:themeColor="text1"/>
        </w:rPr>
        <w:t xml:space="preserve"> of the Northern Territory (the Court),</w:t>
      </w:r>
      <w:r w:rsidRPr="006630AE">
        <w:rPr>
          <w:rFonts w:ascii="Times New Roman" w:hAnsi="Times New Roman" w:cs="Times New Roman"/>
          <w:color w:val="000000" w:themeColor="text1"/>
        </w:rPr>
        <w:t xml:space="preserve"> to have parenting jurisdiction under Part VII </w:t>
      </w:r>
      <w:r w:rsidR="004474D7">
        <w:rPr>
          <w:rFonts w:ascii="Times New Roman" w:hAnsi="Times New Roman" w:cs="Times New Roman"/>
          <w:color w:val="000000" w:themeColor="text1"/>
        </w:rPr>
        <w:t>of the Act; and</w:t>
      </w:r>
    </w:p>
    <w:p w14:paraId="586AA0A7" w14:textId="06D48CB3" w:rsidR="00712F17" w:rsidRPr="004426B7" w:rsidRDefault="006630AE" w:rsidP="004426B7">
      <w:pPr>
        <w:pStyle w:val="ListParagraph"/>
        <w:numPr>
          <w:ilvl w:val="0"/>
          <w:numId w:val="5"/>
        </w:numPr>
        <w:ind w:left="714" w:hanging="357"/>
        <w:contextualSpacing w:val="0"/>
        <w:rPr>
          <w:bCs/>
        </w:rPr>
      </w:pPr>
      <w:proofErr w:type="gramStart"/>
      <w:r w:rsidRPr="004426B7">
        <w:rPr>
          <w:rFonts w:ascii="Times New Roman" w:hAnsi="Times New Roman" w:cs="Times New Roman"/>
          <w:color w:val="000000" w:themeColor="text1"/>
        </w:rPr>
        <w:t>the</w:t>
      </w:r>
      <w:proofErr w:type="gramEnd"/>
      <w:r w:rsidRPr="004426B7">
        <w:rPr>
          <w:rFonts w:ascii="Times New Roman" w:hAnsi="Times New Roman" w:cs="Times New Roman"/>
          <w:color w:val="000000" w:themeColor="text1"/>
        </w:rPr>
        <w:t xml:space="preserve"> </w:t>
      </w:r>
      <w:r w:rsidRPr="004426B7">
        <w:rPr>
          <w:rFonts w:ascii="Times New Roman" w:hAnsi="Times New Roman" w:cs="Times New Roman"/>
          <w:i/>
          <w:color w:val="000000" w:themeColor="text1"/>
        </w:rPr>
        <w:t xml:space="preserve">Local Court (Civil Jurisdiction) Rules </w:t>
      </w:r>
      <w:r w:rsidRPr="004426B7">
        <w:rPr>
          <w:rFonts w:ascii="Times New Roman" w:hAnsi="Times New Roman" w:cs="Times New Roman"/>
          <w:color w:val="000000" w:themeColor="text1"/>
        </w:rPr>
        <w:t>(NT)</w:t>
      </w:r>
      <w:r w:rsidR="00C8294C" w:rsidRPr="004426B7">
        <w:rPr>
          <w:rFonts w:ascii="Times New Roman" w:hAnsi="Times New Roman" w:cs="Times New Roman"/>
          <w:color w:val="000000" w:themeColor="text1"/>
        </w:rPr>
        <w:t>,</w:t>
      </w:r>
      <w:r w:rsidRPr="004426B7">
        <w:rPr>
          <w:rFonts w:ascii="Times New Roman" w:hAnsi="Times New Roman" w:cs="Times New Roman"/>
          <w:color w:val="000000" w:themeColor="text1"/>
        </w:rPr>
        <w:t xml:space="preserve"> to apply when </w:t>
      </w:r>
      <w:r w:rsidR="004474D7" w:rsidRPr="004426B7">
        <w:rPr>
          <w:rFonts w:ascii="Times New Roman" w:hAnsi="Times New Roman" w:cs="Times New Roman"/>
          <w:color w:val="000000" w:themeColor="text1"/>
        </w:rPr>
        <w:t>the</w:t>
      </w:r>
      <w:r w:rsidRPr="004426B7">
        <w:rPr>
          <w:rFonts w:ascii="Times New Roman" w:hAnsi="Times New Roman" w:cs="Times New Roman"/>
          <w:color w:val="000000" w:themeColor="text1"/>
        </w:rPr>
        <w:t xml:space="preserve"> Court exercises its jurisdiction under Part VII</w:t>
      </w:r>
      <w:r w:rsidR="004474D7" w:rsidRPr="004426B7">
        <w:rPr>
          <w:rFonts w:ascii="Times New Roman" w:hAnsi="Times New Roman" w:cs="Times New Roman"/>
          <w:color w:val="000000" w:themeColor="text1"/>
        </w:rPr>
        <w:t xml:space="preserve"> of the Act.</w:t>
      </w:r>
    </w:p>
    <w:p w14:paraId="6E16DF00" w14:textId="64FD6281" w:rsidR="00712F17" w:rsidRPr="00E1446D" w:rsidRDefault="00712F17" w:rsidP="00E1446D">
      <w:pPr>
        <w:shd w:val="clear" w:color="auto" w:fill="FFFFFF"/>
        <w:rPr>
          <w:rFonts w:ascii="Times New Roman" w:hAnsi="Times New Roman" w:cs="Times New Roman"/>
          <w:bCs/>
          <w:color w:val="000000" w:themeColor="text1"/>
        </w:rPr>
      </w:pPr>
      <w:r w:rsidRPr="00E1446D">
        <w:rPr>
          <w:rFonts w:ascii="Times New Roman" w:hAnsi="Times New Roman" w:cs="Times New Roman"/>
          <w:bCs/>
          <w:color w:val="000000" w:themeColor="text1"/>
        </w:rPr>
        <w:t xml:space="preserve">Section 69GA of the Act enables </w:t>
      </w:r>
      <w:r w:rsidR="00935E65">
        <w:rPr>
          <w:rFonts w:ascii="Times New Roman" w:hAnsi="Times New Roman" w:cs="Times New Roman"/>
          <w:bCs/>
          <w:color w:val="000000" w:themeColor="text1"/>
        </w:rPr>
        <w:t>r</w:t>
      </w:r>
      <w:r w:rsidRPr="00E1446D">
        <w:rPr>
          <w:rFonts w:ascii="Times New Roman" w:hAnsi="Times New Roman" w:cs="Times New Roman"/>
          <w:bCs/>
          <w:color w:val="000000" w:themeColor="text1"/>
        </w:rPr>
        <w:t>egulations to prescribe courts for which Subdivision C of Division 12 of Part VII applies in the same way as the subdivision applies to a court of summary jurisdiction. This is intended to enhance the capacity of the federal family law, and state and territory child protection and family violence systems, to deliver integrated services to families with multiple legal needs, by removing some of the existing Commonwealth legislative barriers to state and territory children’s courts exercising family law jurisdiction.</w:t>
      </w:r>
    </w:p>
    <w:p w14:paraId="7E75FB7B" w14:textId="157A759F" w:rsidR="00712F17" w:rsidRPr="00E1446D" w:rsidRDefault="00E1446D" w:rsidP="00E1446D">
      <w:pPr>
        <w:shd w:val="clear" w:color="auto" w:fill="FFFFFF"/>
        <w:rPr>
          <w:rFonts w:ascii="Times New Roman" w:hAnsi="Times New Roman" w:cs="Times New Roman"/>
          <w:bCs/>
          <w:color w:val="000000" w:themeColor="text1"/>
        </w:rPr>
      </w:pPr>
      <w:proofErr w:type="spellStart"/>
      <w:r w:rsidRPr="00E1446D">
        <w:rPr>
          <w:rFonts w:ascii="Times New Roman" w:hAnsi="Times New Roman" w:cs="Times New Roman"/>
          <w:bCs/>
          <w:color w:val="000000" w:themeColor="text1"/>
        </w:rPr>
        <w:lastRenderedPageBreak/>
        <w:t>S</w:t>
      </w:r>
      <w:r w:rsidR="00712F17" w:rsidRPr="00E1446D">
        <w:rPr>
          <w:rFonts w:ascii="Times New Roman" w:hAnsi="Times New Roman" w:cs="Times New Roman"/>
          <w:bCs/>
          <w:color w:val="000000" w:themeColor="text1"/>
        </w:rPr>
        <w:t>ubregulation</w:t>
      </w:r>
      <w:proofErr w:type="spellEnd"/>
      <w:r w:rsidR="00712F17" w:rsidRPr="00E1446D">
        <w:rPr>
          <w:rFonts w:ascii="Times New Roman" w:hAnsi="Times New Roman" w:cs="Times New Roman"/>
          <w:bCs/>
          <w:color w:val="000000" w:themeColor="text1"/>
        </w:rPr>
        <w:t xml:space="preserve"> 39CA(1) </w:t>
      </w:r>
      <w:r w:rsidRPr="00E1446D">
        <w:rPr>
          <w:rFonts w:ascii="Times New Roman" w:hAnsi="Times New Roman" w:cs="Times New Roman"/>
          <w:bCs/>
          <w:color w:val="000000" w:themeColor="text1"/>
        </w:rPr>
        <w:t xml:space="preserve">of the Principal Regulations </w:t>
      </w:r>
      <w:r w:rsidR="00712F17" w:rsidRPr="00E1446D">
        <w:rPr>
          <w:rFonts w:ascii="Times New Roman" w:hAnsi="Times New Roman" w:cs="Times New Roman"/>
          <w:bCs/>
          <w:color w:val="000000" w:themeColor="text1"/>
        </w:rPr>
        <w:t xml:space="preserve">prescribes the Local Court of the Northern Territory to have the same jurisdiction in family law parenting matters as that held by state and territory courts of summary jurisdiction under Part VII of the Act. </w:t>
      </w:r>
    </w:p>
    <w:p w14:paraId="19F1D8CD" w14:textId="37CCF05F" w:rsidR="00712F17" w:rsidRDefault="00712F17" w:rsidP="00723FAF">
      <w:pPr>
        <w:shd w:val="clear" w:color="auto" w:fill="FFFFFF"/>
        <w:rPr>
          <w:rFonts w:ascii="Times New Roman" w:hAnsi="Times New Roman" w:cs="Times New Roman"/>
          <w:bCs/>
          <w:color w:val="000000" w:themeColor="text1"/>
        </w:rPr>
      </w:pPr>
      <w:r w:rsidRPr="00E1446D">
        <w:rPr>
          <w:rFonts w:ascii="Times New Roman" w:hAnsi="Times New Roman" w:cs="Times New Roman"/>
          <w:bCs/>
          <w:color w:val="000000" w:themeColor="text1"/>
        </w:rPr>
        <w:t xml:space="preserve">Under subsection 69GA(3) of the Act, if a court is prescribed for the purposes of section 69GA, </w:t>
      </w:r>
      <w:r w:rsidR="00935E65">
        <w:rPr>
          <w:rFonts w:ascii="Times New Roman" w:hAnsi="Times New Roman" w:cs="Times New Roman"/>
          <w:bCs/>
          <w:color w:val="000000" w:themeColor="text1"/>
        </w:rPr>
        <w:t>r</w:t>
      </w:r>
      <w:r w:rsidRPr="00E1446D">
        <w:rPr>
          <w:rFonts w:ascii="Times New Roman" w:hAnsi="Times New Roman" w:cs="Times New Roman"/>
          <w:bCs/>
          <w:color w:val="000000" w:themeColor="text1"/>
        </w:rPr>
        <w:t xml:space="preserve">egulations can also prescribe the Rules of Court that would apply when the court is exercising family law jurisdiction. </w:t>
      </w:r>
      <w:proofErr w:type="spellStart"/>
      <w:r w:rsidR="00E1446D" w:rsidRPr="00E1446D">
        <w:rPr>
          <w:rFonts w:ascii="Times New Roman" w:hAnsi="Times New Roman" w:cs="Times New Roman"/>
          <w:bCs/>
          <w:color w:val="000000" w:themeColor="text1"/>
        </w:rPr>
        <w:t>S</w:t>
      </w:r>
      <w:r w:rsidRPr="00E1446D">
        <w:rPr>
          <w:rFonts w:ascii="Times New Roman" w:hAnsi="Times New Roman" w:cs="Times New Roman"/>
          <w:bCs/>
          <w:color w:val="000000" w:themeColor="text1"/>
        </w:rPr>
        <w:t>ubregulation</w:t>
      </w:r>
      <w:proofErr w:type="spellEnd"/>
      <w:r w:rsidRPr="00E1446D">
        <w:rPr>
          <w:rFonts w:ascii="Times New Roman" w:hAnsi="Times New Roman" w:cs="Times New Roman"/>
          <w:bCs/>
          <w:color w:val="000000" w:themeColor="text1"/>
        </w:rPr>
        <w:t xml:space="preserve"> 39CA(3)</w:t>
      </w:r>
      <w:r w:rsidR="00E1446D" w:rsidRPr="00E1446D">
        <w:rPr>
          <w:rFonts w:ascii="Times New Roman" w:hAnsi="Times New Roman" w:cs="Times New Roman"/>
          <w:bCs/>
          <w:color w:val="000000" w:themeColor="text1"/>
        </w:rPr>
        <w:t xml:space="preserve"> of the Principal Regulations</w:t>
      </w:r>
      <w:r w:rsidRPr="00E1446D">
        <w:rPr>
          <w:rFonts w:ascii="Times New Roman" w:hAnsi="Times New Roman" w:cs="Times New Roman"/>
          <w:bCs/>
          <w:color w:val="000000" w:themeColor="text1"/>
        </w:rPr>
        <w:t xml:space="preserve"> prescribes the </w:t>
      </w:r>
      <w:r w:rsidRPr="00E1446D">
        <w:rPr>
          <w:rFonts w:ascii="Times New Roman" w:hAnsi="Times New Roman" w:cs="Times New Roman"/>
          <w:bCs/>
          <w:i/>
          <w:color w:val="000000" w:themeColor="text1"/>
        </w:rPr>
        <w:t xml:space="preserve">Local Court (Civil Jurisdiction) Rules </w:t>
      </w:r>
      <w:r w:rsidRPr="005018CF">
        <w:rPr>
          <w:rFonts w:ascii="Times New Roman" w:hAnsi="Times New Roman" w:cs="Times New Roman"/>
          <w:bCs/>
          <w:color w:val="000000" w:themeColor="text1"/>
        </w:rPr>
        <w:t>(NT)</w:t>
      </w:r>
      <w:r w:rsidRPr="00E1446D">
        <w:rPr>
          <w:rFonts w:ascii="Times New Roman" w:hAnsi="Times New Roman" w:cs="Times New Roman"/>
          <w:bCs/>
          <w:color w:val="000000" w:themeColor="text1"/>
        </w:rPr>
        <w:t xml:space="preserve"> to apply when the Court exercises its jurisdiction under Part VII.</w:t>
      </w:r>
    </w:p>
    <w:p w14:paraId="173D236A" w14:textId="684F5C81" w:rsidR="00DC2CD2" w:rsidRDefault="00E1446D">
      <w:pPr>
        <w:rPr>
          <w:rFonts w:ascii="Times New Roman" w:hAnsi="Times New Roman" w:cs="Times New Roman"/>
          <w:bCs/>
          <w:color w:val="000000" w:themeColor="text1"/>
        </w:rPr>
      </w:pPr>
      <w:r>
        <w:rPr>
          <w:rFonts w:ascii="Times New Roman" w:hAnsi="Times New Roman" w:cs="Times New Roman"/>
          <w:bCs/>
          <w:color w:val="000000" w:themeColor="text1"/>
        </w:rPr>
        <w:t>R</w:t>
      </w:r>
      <w:r w:rsidR="00DC2CD2" w:rsidRPr="00D34451">
        <w:rPr>
          <w:rFonts w:ascii="Times New Roman" w:hAnsi="Times New Roman" w:cs="Times New Roman"/>
          <w:bCs/>
          <w:color w:val="000000" w:themeColor="text1"/>
        </w:rPr>
        <w:t xml:space="preserve">egulation 39CA of the </w:t>
      </w:r>
      <w:r w:rsidR="00D71FCF">
        <w:rPr>
          <w:rFonts w:ascii="Times New Roman" w:hAnsi="Times New Roman" w:cs="Times New Roman"/>
          <w:bCs/>
          <w:color w:val="000000" w:themeColor="text1"/>
        </w:rPr>
        <w:t xml:space="preserve">Principal </w:t>
      </w:r>
      <w:r w:rsidR="00DC2CD2" w:rsidRPr="00D71FCF">
        <w:rPr>
          <w:rFonts w:ascii="Times New Roman" w:hAnsi="Times New Roman" w:cs="Times New Roman"/>
          <w:bCs/>
          <w:color w:val="000000" w:themeColor="text1"/>
        </w:rPr>
        <w:t>Regulations</w:t>
      </w:r>
      <w:r w:rsidR="00DC2CD2" w:rsidRPr="00D34451">
        <w:rPr>
          <w:rFonts w:ascii="Times New Roman" w:hAnsi="Times New Roman" w:cs="Times New Roman"/>
          <w:bCs/>
          <w:color w:val="000000" w:themeColor="text1"/>
        </w:rPr>
        <w:t xml:space="preserve"> </w:t>
      </w:r>
      <w:r w:rsidR="00393306">
        <w:rPr>
          <w:rFonts w:ascii="Times New Roman" w:hAnsi="Times New Roman" w:cs="Times New Roman"/>
          <w:bCs/>
          <w:color w:val="000000" w:themeColor="text1"/>
        </w:rPr>
        <w:t>is currently due</w:t>
      </w:r>
      <w:r w:rsidR="00393306" w:rsidRPr="00D34451">
        <w:rPr>
          <w:rFonts w:ascii="Times New Roman" w:hAnsi="Times New Roman" w:cs="Times New Roman"/>
          <w:bCs/>
          <w:color w:val="000000" w:themeColor="text1"/>
        </w:rPr>
        <w:t xml:space="preserve"> </w:t>
      </w:r>
      <w:r w:rsidR="00DC2CD2" w:rsidRPr="00D34451">
        <w:rPr>
          <w:rFonts w:ascii="Times New Roman" w:hAnsi="Times New Roman" w:cs="Times New Roman"/>
          <w:bCs/>
          <w:color w:val="000000" w:themeColor="text1"/>
        </w:rPr>
        <w:t>be repealed on 30 June 2020</w:t>
      </w:r>
      <w:r w:rsidR="00F20CB9">
        <w:rPr>
          <w:rFonts w:ascii="Times New Roman" w:hAnsi="Times New Roman" w:cs="Times New Roman"/>
          <w:bCs/>
          <w:color w:val="000000" w:themeColor="text1"/>
        </w:rPr>
        <w:t>. The purpose</w:t>
      </w:r>
      <w:r w:rsidR="00393306">
        <w:rPr>
          <w:rFonts w:ascii="Times New Roman" w:hAnsi="Times New Roman" w:cs="Times New Roman"/>
          <w:bCs/>
          <w:color w:val="000000" w:themeColor="text1"/>
        </w:rPr>
        <w:t xml:space="preserve"> of amending this regulation so that it will be repealed on 31 December 2020, is to allow the Court to continue to exercise family law jurisdiction under Part VII of the Act</w:t>
      </w:r>
      <w:r w:rsidR="0000531F">
        <w:rPr>
          <w:rFonts w:ascii="Times New Roman" w:hAnsi="Times New Roman" w:cs="Times New Roman"/>
          <w:bCs/>
          <w:color w:val="000000" w:themeColor="text1"/>
        </w:rPr>
        <w:t xml:space="preserve"> - and utilise its local Rules of Courts while doing so - </w:t>
      </w:r>
      <w:r w:rsidR="00393306">
        <w:rPr>
          <w:rFonts w:ascii="Times New Roman" w:hAnsi="Times New Roman" w:cs="Times New Roman"/>
          <w:bCs/>
          <w:color w:val="000000" w:themeColor="text1"/>
        </w:rPr>
        <w:t>unti</w:t>
      </w:r>
      <w:r w:rsidR="00F20CB9">
        <w:rPr>
          <w:rFonts w:ascii="Times New Roman" w:hAnsi="Times New Roman" w:cs="Times New Roman"/>
          <w:bCs/>
          <w:color w:val="000000" w:themeColor="text1"/>
        </w:rPr>
        <w:t xml:space="preserve">l </w:t>
      </w:r>
      <w:r w:rsidR="0000531F">
        <w:rPr>
          <w:rFonts w:ascii="Times New Roman" w:hAnsi="Times New Roman" w:cs="Times New Roman"/>
          <w:bCs/>
          <w:color w:val="000000" w:themeColor="text1"/>
        </w:rPr>
        <w:t>31 December 2020,</w:t>
      </w:r>
      <w:r w:rsidR="00393306">
        <w:rPr>
          <w:rFonts w:ascii="Times New Roman" w:hAnsi="Times New Roman" w:cs="Times New Roman"/>
          <w:bCs/>
          <w:color w:val="000000" w:themeColor="text1"/>
        </w:rPr>
        <w:t xml:space="preserve"> as part of a pilot, </w:t>
      </w:r>
      <w:r w:rsidR="00F20CB9">
        <w:rPr>
          <w:rFonts w:ascii="Times New Roman" w:hAnsi="Times New Roman" w:cs="Times New Roman"/>
          <w:bCs/>
          <w:color w:val="000000" w:themeColor="text1"/>
        </w:rPr>
        <w:t>which</w:t>
      </w:r>
      <w:r w:rsidR="00393306">
        <w:rPr>
          <w:rFonts w:ascii="Times New Roman" w:hAnsi="Times New Roman" w:cs="Times New Roman"/>
          <w:bCs/>
          <w:color w:val="000000" w:themeColor="text1"/>
        </w:rPr>
        <w:t xml:space="preserve"> the </w:t>
      </w:r>
      <w:r w:rsidR="00F20CB9">
        <w:rPr>
          <w:rFonts w:ascii="Times New Roman" w:hAnsi="Times New Roman" w:cs="Times New Roman"/>
          <w:bCs/>
          <w:color w:val="000000" w:themeColor="text1"/>
        </w:rPr>
        <w:t>Commonwealth</w:t>
      </w:r>
      <w:r w:rsidR="00393306">
        <w:rPr>
          <w:rFonts w:ascii="Times New Roman" w:hAnsi="Times New Roman" w:cs="Times New Roman"/>
          <w:bCs/>
          <w:color w:val="000000" w:themeColor="text1"/>
        </w:rPr>
        <w:t xml:space="preserve"> and Northern Territory </w:t>
      </w:r>
      <w:r w:rsidR="00F20CB9">
        <w:rPr>
          <w:rFonts w:ascii="Times New Roman" w:hAnsi="Times New Roman" w:cs="Times New Roman"/>
          <w:bCs/>
          <w:color w:val="000000" w:themeColor="text1"/>
        </w:rPr>
        <w:t>Governments have agreed to extend</w:t>
      </w:r>
      <w:r w:rsidR="0000531F">
        <w:rPr>
          <w:rFonts w:ascii="Times New Roman" w:hAnsi="Times New Roman" w:cs="Times New Roman"/>
          <w:bCs/>
          <w:color w:val="000000" w:themeColor="text1"/>
        </w:rPr>
        <w:t xml:space="preserve"> to this date.</w:t>
      </w:r>
    </w:p>
    <w:p w14:paraId="1F846377" w14:textId="77777777" w:rsidR="00DC2CD2" w:rsidRPr="00C21C94" w:rsidRDefault="00DC2CD2" w:rsidP="00DC2CD2">
      <w:pPr>
        <w:rPr>
          <w:rFonts w:ascii="Times New Roman" w:hAnsi="Times New Roman" w:cs="Times New Roman"/>
          <w:bCs/>
          <w:color w:val="000000" w:themeColor="text1"/>
        </w:rPr>
      </w:pPr>
      <w:r w:rsidRPr="00C21C94">
        <w:rPr>
          <w:rFonts w:ascii="Times New Roman" w:hAnsi="Times New Roman" w:cs="Times New Roman"/>
          <w:bCs/>
          <w:color w:val="000000" w:themeColor="text1"/>
        </w:rPr>
        <w:t xml:space="preserve">Details of the Regulations are set out at </w:t>
      </w:r>
      <w:r w:rsidRPr="005B7269">
        <w:rPr>
          <w:rFonts w:ascii="Times New Roman" w:hAnsi="Times New Roman" w:cs="Times New Roman"/>
          <w:b/>
          <w:bCs/>
          <w:color w:val="000000" w:themeColor="text1"/>
          <w:u w:val="single"/>
        </w:rPr>
        <w:t>Attachment A.</w:t>
      </w:r>
      <w:r w:rsidRPr="00C21C94">
        <w:rPr>
          <w:rFonts w:ascii="Times New Roman" w:hAnsi="Times New Roman" w:cs="Times New Roman"/>
          <w:bCs/>
          <w:color w:val="000000" w:themeColor="text1"/>
        </w:rPr>
        <w:t xml:space="preserve"> </w:t>
      </w:r>
    </w:p>
    <w:p w14:paraId="581321EE" w14:textId="77777777" w:rsidR="00DC2CD2" w:rsidRPr="00C21C94" w:rsidRDefault="00DC2CD2" w:rsidP="00DC2CD2">
      <w:pPr>
        <w:rPr>
          <w:rFonts w:ascii="Times New Roman" w:hAnsi="Times New Roman" w:cs="Times New Roman"/>
          <w:bCs/>
          <w:color w:val="000000" w:themeColor="text1"/>
        </w:rPr>
      </w:pPr>
      <w:r w:rsidRPr="00C21C94">
        <w:rPr>
          <w:rFonts w:ascii="Times New Roman" w:hAnsi="Times New Roman" w:cs="Times New Roman"/>
          <w:bCs/>
          <w:color w:val="000000" w:themeColor="text1"/>
        </w:rPr>
        <w:t>The Regulations would be a legislative instrument for the purposes of the </w:t>
      </w:r>
      <w:r w:rsidRPr="00C21C94">
        <w:rPr>
          <w:rFonts w:ascii="Times New Roman" w:hAnsi="Times New Roman" w:cs="Times New Roman"/>
          <w:bCs/>
          <w:i/>
          <w:color w:val="000000" w:themeColor="text1"/>
        </w:rPr>
        <w:t>Legislative Instruments Act 2003.</w:t>
      </w:r>
    </w:p>
    <w:p w14:paraId="72DEEAD3" w14:textId="5052A4B0" w:rsidR="00D71FCF" w:rsidRPr="00494EB9" w:rsidRDefault="00DC2CD2" w:rsidP="00494EB9">
      <w:pPr>
        <w:rPr>
          <w:rFonts w:ascii="Times New Roman" w:hAnsi="Times New Roman" w:cs="Times New Roman"/>
          <w:bCs/>
          <w:color w:val="000000" w:themeColor="text1"/>
        </w:rPr>
      </w:pPr>
      <w:r w:rsidRPr="00C21C94">
        <w:rPr>
          <w:rFonts w:ascii="Times New Roman" w:hAnsi="Times New Roman" w:cs="Times New Roman"/>
          <w:bCs/>
          <w:color w:val="000000" w:themeColor="text1"/>
        </w:rPr>
        <w:t xml:space="preserve">The Regulations would commence </w:t>
      </w:r>
      <w:r w:rsidR="00CC00D6" w:rsidRPr="00CC00D6">
        <w:rPr>
          <w:rFonts w:ascii="Times New Roman" w:hAnsi="Times New Roman" w:cs="Times New Roman"/>
          <w:bCs/>
          <w:color w:val="000000" w:themeColor="text1"/>
        </w:rPr>
        <w:t>on the day after the instrument is registered.</w:t>
      </w:r>
    </w:p>
    <w:p w14:paraId="184CEF22" w14:textId="77777777" w:rsidR="00DC2CD2" w:rsidRPr="00521029" w:rsidRDefault="00DC2CD2" w:rsidP="00DC2CD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Consultation</w:t>
      </w:r>
    </w:p>
    <w:p w14:paraId="1C534E99" w14:textId="479CB2AE" w:rsidR="001F3017" w:rsidRDefault="00DC2CD2" w:rsidP="00DC2CD2">
      <w:pPr>
        <w:rPr>
          <w:rFonts w:ascii="Times New Roman" w:hAnsi="Times New Roman" w:cs="Times New Roman"/>
          <w:bCs/>
          <w:color w:val="000000" w:themeColor="text1"/>
        </w:rPr>
      </w:pPr>
      <w:r w:rsidRPr="00C21C94">
        <w:rPr>
          <w:rFonts w:ascii="Times New Roman" w:hAnsi="Times New Roman" w:cs="Times New Roman"/>
          <w:bCs/>
          <w:color w:val="000000" w:themeColor="text1"/>
        </w:rPr>
        <w:t xml:space="preserve">In accordance with the requirement for consultation in subsection </w:t>
      </w:r>
      <w:proofErr w:type="gramStart"/>
      <w:r w:rsidRPr="00C21C94">
        <w:rPr>
          <w:rFonts w:ascii="Times New Roman" w:hAnsi="Times New Roman" w:cs="Times New Roman"/>
          <w:bCs/>
          <w:color w:val="000000" w:themeColor="text1"/>
        </w:rPr>
        <w:t>69GA(</w:t>
      </w:r>
      <w:proofErr w:type="gramEnd"/>
      <w:r w:rsidRPr="00C21C94">
        <w:rPr>
          <w:rFonts w:ascii="Times New Roman" w:hAnsi="Times New Roman" w:cs="Times New Roman"/>
          <w:bCs/>
          <w:color w:val="000000" w:themeColor="text1"/>
        </w:rPr>
        <w:t xml:space="preserve">5) of the Act, the Northern Territory Attorney-General has been consulted about extending the prescription of the Local Court of the Northern Territory and the </w:t>
      </w:r>
      <w:r w:rsidRPr="004426B7">
        <w:rPr>
          <w:rFonts w:ascii="Times New Roman" w:hAnsi="Times New Roman" w:cs="Times New Roman"/>
          <w:bCs/>
          <w:i/>
          <w:color w:val="000000" w:themeColor="text1"/>
        </w:rPr>
        <w:t>Local Court (Civil Jurisdiction) Rules</w:t>
      </w:r>
      <w:r w:rsidR="00D71FCF">
        <w:rPr>
          <w:rFonts w:ascii="Times New Roman" w:hAnsi="Times New Roman" w:cs="Times New Roman"/>
          <w:bCs/>
          <w:color w:val="000000" w:themeColor="text1"/>
        </w:rPr>
        <w:t xml:space="preserve"> (NT) in r</w:t>
      </w:r>
      <w:r w:rsidRPr="00C21C94">
        <w:rPr>
          <w:rFonts w:ascii="Times New Roman" w:hAnsi="Times New Roman" w:cs="Times New Roman"/>
          <w:bCs/>
          <w:color w:val="000000" w:themeColor="text1"/>
        </w:rPr>
        <w:t xml:space="preserve">egulations under subsections 69GA(1) and (3) of the Act respectively, for the purposes of </w:t>
      </w:r>
      <w:r w:rsidR="00E1009A">
        <w:rPr>
          <w:rFonts w:ascii="Times New Roman" w:hAnsi="Times New Roman" w:cs="Times New Roman"/>
          <w:bCs/>
          <w:color w:val="000000" w:themeColor="text1"/>
        </w:rPr>
        <w:t>extending</w:t>
      </w:r>
      <w:r w:rsidR="00E1009A" w:rsidRPr="00C21C94">
        <w:rPr>
          <w:rFonts w:ascii="Times New Roman" w:hAnsi="Times New Roman" w:cs="Times New Roman"/>
          <w:bCs/>
          <w:color w:val="000000" w:themeColor="text1"/>
        </w:rPr>
        <w:t xml:space="preserve"> </w:t>
      </w:r>
      <w:r w:rsidRPr="00C21C94">
        <w:rPr>
          <w:rFonts w:ascii="Times New Roman" w:hAnsi="Times New Roman" w:cs="Times New Roman"/>
          <w:bCs/>
          <w:color w:val="000000" w:themeColor="text1"/>
        </w:rPr>
        <w:t>the time-limited family law pilot</w:t>
      </w:r>
      <w:r w:rsidR="00E1009A">
        <w:rPr>
          <w:rFonts w:ascii="Times New Roman" w:hAnsi="Times New Roman" w:cs="Times New Roman"/>
          <w:bCs/>
          <w:color w:val="000000" w:themeColor="text1"/>
        </w:rPr>
        <w:t xml:space="preserve"> until 31 December 2020</w:t>
      </w:r>
      <w:r w:rsidRPr="00C21C94">
        <w:rPr>
          <w:rFonts w:ascii="Times New Roman" w:hAnsi="Times New Roman" w:cs="Times New Roman"/>
          <w:bCs/>
          <w:color w:val="000000" w:themeColor="text1"/>
        </w:rPr>
        <w:t>.</w:t>
      </w:r>
    </w:p>
    <w:p w14:paraId="1E1A3D2A" w14:textId="051EFFB6" w:rsidR="009E65C8" w:rsidRDefault="009E65C8" w:rsidP="009E65C8">
      <w:pPr>
        <w:rPr>
          <w:rFonts w:ascii="Times New Roman" w:hAnsi="Times New Roman" w:cs="Times New Roman"/>
          <w:bCs/>
          <w:color w:val="000000" w:themeColor="text1"/>
        </w:rPr>
      </w:pPr>
      <w:r w:rsidRPr="009E65C8">
        <w:rPr>
          <w:rFonts w:ascii="Times New Roman" w:hAnsi="Times New Roman" w:cs="Times New Roman"/>
          <w:bCs/>
          <w:color w:val="000000" w:themeColor="text1"/>
        </w:rPr>
        <w:t>The Court and the Northern Territory Dep</w:t>
      </w:r>
      <w:r w:rsidR="00414A5C">
        <w:rPr>
          <w:rFonts w:ascii="Times New Roman" w:hAnsi="Times New Roman" w:cs="Times New Roman"/>
          <w:bCs/>
          <w:color w:val="000000" w:themeColor="text1"/>
        </w:rPr>
        <w:t>artment of Attorney-</w:t>
      </w:r>
      <w:r w:rsidRPr="009E65C8">
        <w:rPr>
          <w:rFonts w:ascii="Times New Roman" w:hAnsi="Times New Roman" w:cs="Times New Roman"/>
          <w:bCs/>
          <w:color w:val="000000" w:themeColor="text1"/>
        </w:rPr>
        <w:t xml:space="preserve">General and Justice </w:t>
      </w:r>
      <w:r w:rsidR="00E1009A">
        <w:rPr>
          <w:rFonts w:ascii="Times New Roman" w:hAnsi="Times New Roman" w:cs="Times New Roman"/>
          <w:bCs/>
          <w:color w:val="000000" w:themeColor="text1"/>
        </w:rPr>
        <w:t>have also been</w:t>
      </w:r>
      <w:r w:rsidR="00E1009A" w:rsidRPr="009E65C8">
        <w:rPr>
          <w:rFonts w:ascii="Times New Roman" w:hAnsi="Times New Roman" w:cs="Times New Roman"/>
          <w:bCs/>
          <w:color w:val="000000" w:themeColor="text1"/>
        </w:rPr>
        <w:t xml:space="preserve"> </w:t>
      </w:r>
      <w:r w:rsidRPr="009E65C8">
        <w:rPr>
          <w:rFonts w:ascii="Times New Roman" w:hAnsi="Times New Roman" w:cs="Times New Roman"/>
          <w:bCs/>
          <w:color w:val="000000" w:themeColor="text1"/>
        </w:rPr>
        <w:t xml:space="preserve">consulted </w:t>
      </w:r>
      <w:r w:rsidR="00D71FCF">
        <w:rPr>
          <w:rFonts w:ascii="Times New Roman" w:hAnsi="Times New Roman" w:cs="Times New Roman"/>
          <w:bCs/>
          <w:color w:val="000000" w:themeColor="text1"/>
        </w:rPr>
        <w:t>on</w:t>
      </w:r>
      <w:r w:rsidRPr="009E65C8">
        <w:rPr>
          <w:rFonts w:ascii="Times New Roman" w:hAnsi="Times New Roman" w:cs="Times New Roman"/>
          <w:bCs/>
          <w:color w:val="000000" w:themeColor="text1"/>
        </w:rPr>
        <w:t xml:space="preserve"> th</w:t>
      </w:r>
      <w:r w:rsidR="00E1009A">
        <w:rPr>
          <w:rFonts w:ascii="Times New Roman" w:hAnsi="Times New Roman" w:cs="Times New Roman"/>
          <w:bCs/>
          <w:color w:val="000000" w:themeColor="text1"/>
        </w:rPr>
        <w:t>e</w:t>
      </w:r>
      <w:r w:rsidRPr="009E65C8">
        <w:rPr>
          <w:rFonts w:ascii="Times New Roman" w:hAnsi="Times New Roman" w:cs="Times New Roman"/>
          <w:bCs/>
          <w:color w:val="000000" w:themeColor="text1"/>
        </w:rPr>
        <w:t xml:space="preserve"> amendment</w:t>
      </w:r>
      <w:r w:rsidR="00E1009A">
        <w:rPr>
          <w:rFonts w:ascii="Times New Roman" w:hAnsi="Times New Roman" w:cs="Times New Roman"/>
          <w:bCs/>
          <w:color w:val="000000" w:themeColor="text1"/>
        </w:rPr>
        <w:t>.</w:t>
      </w:r>
    </w:p>
    <w:p w14:paraId="498B5B10" w14:textId="6FA93B5D" w:rsidR="00DC2CD2" w:rsidRPr="00521029" w:rsidRDefault="00DC2CD2" w:rsidP="00DC2CD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Regulation Impact Statement</w:t>
      </w:r>
    </w:p>
    <w:p w14:paraId="03163EAD" w14:textId="32EEFA40" w:rsidR="00DC2CD2" w:rsidRPr="00DC2CD2" w:rsidRDefault="00DC2CD2" w:rsidP="00DC2CD2">
      <w:pPr>
        <w:rPr>
          <w:rFonts w:ascii="Times New Roman" w:eastAsia="Times New Roman" w:hAnsi="Times New Roman" w:cs="Times New Roman"/>
          <w:szCs w:val="24"/>
          <w:lang w:eastAsia="en-AU"/>
        </w:rPr>
      </w:pPr>
      <w:r w:rsidRPr="005B7269">
        <w:rPr>
          <w:rFonts w:ascii="Times New Roman" w:eastAsia="Times New Roman" w:hAnsi="Times New Roman" w:cs="Times New Roman"/>
          <w:szCs w:val="24"/>
          <w:lang w:eastAsia="en-AU"/>
        </w:rPr>
        <w:t xml:space="preserve">The Office </w:t>
      </w:r>
      <w:r w:rsidR="00D71FCF">
        <w:rPr>
          <w:rFonts w:ascii="Times New Roman" w:eastAsia="Times New Roman" w:hAnsi="Times New Roman" w:cs="Times New Roman"/>
          <w:szCs w:val="24"/>
          <w:lang w:eastAsia="en-AU"/>
        </w:rPr>
        <w:t xml:space="preserve">of </w:t>
      </w:r>
      <w:r w:rsidRPr="005B7269">
        <w:rPr>
          <w:rFonts w:ascii="Times New Roman" w:eastAsia="Times New Roman" w:hAnsi="Times New Roman" w:cs="Times New Roman"/>
          <w:szCs w:val="24"/>
          <w:lang w:eastAsia="en-AU"/>
        </w:rPr>
        <w:t xml:space="preserve">Best Practice Regulation was consulted in the preparation of the Regulations and advised that a Regulatory Impact Statement was not required (OPBR Ref: </w:t>
      </w:r>
      <w:r w:rsidR="00697B99" w:rsidRPr="00697B99">
        <w:rPr>
          <w:rFonts w:ascii="Times New Roman" w:eastAsia="Times New Roman" w:hAnsi="Times New Roman" w:cs="Times New Roman"/>
          <w:szCs w:val="24"/>
          <w:lang w:eastAsia="en-AU"/>
        </w:rPr>
        <w:t>42512</w:t>
      </w:r>
      <w:r w:rsidRPr="005B7269">
        <w:rPr>
          <w:rFonts w:ascii="Times New Roman" w:eastAsia="Times New Roman" w:hAnsi="Times New Roman" w:cs="Times New Roman"/>
          <w:szCs w:val="24"/>
          <w:lang w:eastAsia="en-AU"/>
        </w:rPr>
        <w:t>)</w:t>
      </w:r>
      <w:r w:rsidR="00CC53AA">
        <w:rPr>
          <w:rFonts w:ascii="Times New Roman" w:eastAsia="Times New Roman" w:hAnsi="Times New Roman" w:cs="Times New Roman"/>
          <w:szCs w:val="24"/>
          <w:lang w:eastAsia="en-AU"/>
        </w:rPr>
        <w:t>.</w:t>
      </w:r>
    </w:p>
    <w:p w14:paraId="537601B7" w14:textId="77777777" w:rsidR="00DC2CD2" w:rsidRPr="00521029" w:rsidRDefault="00DC2CD2" w:rsidP="00DC2CD2">
      <w:pPr>
        <w:spacing w:line="360" w:lineRule="auto"/>
        <w:rPr>
          <w:rFonts w:ascii="Times New Roman" w:hAnsi="Times New Roman" w:cs="Times New Roman"/>
          <w:b/>
          <w:caps/>
          <w:sz w:val="24"/>
          <w:szCs w:val="24"/>
        </w:rPr>
      </w:pPr>
      <w:r w:rsidRPr="00521029">
        <w:rPr>
          <w:rFonts w:ascii="Times New Roman" w:hAnsi="Times New Roman" w:cs="Times New Roman"/>
          <w:b/>
          <w:caps/>
          <w:sz w:val="24"/>
          <w:szCs w:val="24"/>
        </w:rPr>
        <w:t>Statement of Compatibility with Human Rights</w:t>
      </w:r>
    </w:p>
    <w:p w14:paraId="712CB9F2" w14:textId="77777777" w:rsidR="00DC2CD2" w:rsidRDefault="00DC2CD2" w:rsidP="00DC2CD2">
      <w:pPr>
        <w:rPr>
          <w:rFonts w:ascii="Times New Roman" w:hAnsi="Times New Roman" w:cs="Times New Roman"/>
          <w:b/>
        </w:rPr>
      </w:pPr>
      <w:r w:rsidRPr="00EF17A4">
        <w:rPr>
          <w:rFonts w:ascii="Times New Roman" w:hAnsi="Times New Roman" w:cs="Times New Roman"/>
        </w:rPr>
        <w:lastRenderedPageBreak/>
        <w:t xml:space="preserve">The Regulations are compatible with the human rights and freedoms recognised or declared in the international instruments listed in section 3 of the </w:t>
      </w:r>
      <w:r w:rsidRPr="00EF17A4">
        <w:rPr>
          <w:rFonts w:ascii="Times New Roman" w:hAnsi="Times New Roman" w:cs="Times New Roman"/>
          <w:i/>
        </w:rPr>
        <w:t>Human Rights (Parliamentary Scrutiny) Act 2011</w:t>
      </w:r>
      <w:r w:rsidRPr="00EF17A4">
        <w:rPr>
          <w:rFonts w:ascii="Times New Roman" w:hAnsi="Times New Roman" w:cs="Times New Roman"/>
        </w:rPr>
        <w:t xml:space="preserve">. A Statement of Compatibility with Human Rights is set out in </w:t>
      </w:r>
      <w:r w:rsidRPr="00EF17A4">
        <w:rPr>
          <w:rFonts w:ascii="Times New Roman" w:hAnsi="Times New Roman" w:cs="Times New Roman"/>
          <w:b/>
          <w:u w:val="single"/>
        </w:rPr>
        <w:t>Attachment B</w:t>
      </w:r>
      <w:r w:rsidRPr="00EF17A4">
        <w:rPr>
          <w:rFonts w:ascii="Times New Roman" w:hAnsi="Times New Roman" w:cs="Times New Roman"/>
          <w:b/>
        </w:rPr>
        <w:t>.</w:t>
      </w:r>
    </w:p>
    <w:p w14:paraId="4D0FDBFC" w14:textId="0ED76F04" w:rsidR="007465EA" w:rsidRDefault="007465EA">
      <w:pPr>
        <w:spacing w:after="160" w:line="259" w:lineRule="auto"/>
        <w:rPr>
          <w:rFonts w:ascii="Times New Roman" w:hAnsi="Times New Roman" w:cs="Times New Roman"/>
        </w:rPr>
      </w:pPr>
      <w:r>
        <w:rPr>
          <w:rFonts w:ascii="Times New Roman" w:hAnsi="Times New Roman" w:cs="Times New Roman"/>
        </w:rPr>
        <w:br w:type="page"/>
      </w:r>
    </w:p>
    <w:p w14:paraId="43AEE4B4" w14:textId="77777777" w:rsidR="00DC2CD2" w:rsidRPr="00521029" w:rsidRDefault="00DC2CD2" w:rsidP="00DC2CD2">
      <w:pPr>
        <w:spacing w:line="360" w:lineRule="auto"/>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2788B3E5" w14:textId="77777777" w:rsidR="00DC2CD2" w:rsidRPr="00521029" w:rsidRDefault="00DC2CD2" w:rsidP="00DC2CD2">
      <w:pPr>
        <w:spacing w:line="360" w:lineRule="auto"/>
        <w:rPr>
          <w:rFonts w:ascii="Times New Roman" w:hAnsi="Times New Roman" w:cs="Times New Roman"/>
          <w:b/>
          <w:sz w:val="24"/>
          <w:szCs w:val="24"/>
        </w:rPr>
      </w:pPr>
      <w:r>
        <w:rPr>
          <w:rFonts w:ascii="Times New Roman" w:hAnsi="Times New Roman" w:cs="Times New Roman"/>
          <w:b/>
          <w:sz w:val="24"/>
          <w:szCs w:val="24"/>
        </w:rPr>
        <w:t>NOTES ON SECTIONS</w:t>
      </w:r>
    </w:p>
    <w:p w14:paraId="426A1E40" w14:textId="77777777" w:rsidR="00DC2CD2" w:rsidRPr="00C63362" w:rsidRDefault="00DC2CD2" w:rsidP="00DC2CD2">
      <w:pPr>
        <w:spacing w:line="360" w:lineRule="auto"/>
        <w:rPr>
          <w:rFonts w:ascii="Times New Roman" w:hAnsi="Times New Roman" w:cs="Times New Roman"/>
          <w:b/>
          <w:color w:val="000000" w:themeColor="text1"/>
          <w:u w:val="single"/>
        </w:rPr>
      </w:pPr>
      <w:r w:rsidRPr="00C63362">
        <w:rPr>
          <w:rFonts w:ascii="Times New Roman" w:hAnsi="Times New Roman" w:cs="Times New Roman"/>
          <w:b/>
          <w:color w:val="000000" w:themeColor="text1"/>
          <w:u w:val="single"/>
        </w:rPr>
        <w:t xml:space="preserve">PART 1 – Preliminary </w:t>
      </w:r>
    </w:p>
    <w:p w14:paraId="7C1750B7" w14:textId="6B3C1878" w:rsidR="00DC2CD2" w:rsidRPr="00524578" w:rsidRDefault="00DC2CD2" w:rsidP="00DC2CD2">
      <w:pPr>
        <w:rPr>
          <w:rFonts w:ascii="Times New Roman" w:hAnsi="Times New Roman" w:cs="Times New Roman"/>
          <w:b/>
          <w:szCs w:val="24"/>
        </w:rPr>
      </w:pPr>
      <w:r w:rsidRPr="00524578">
        <w:rPr>
          <w:rFonts w:ascii="Times New Roman" w:hAnsi="Times New Roman" w:cs="Times New Roman"/>
          <w:b/>
          <w:szCs w:val="24"/>
        </w:rPr>
        <w:t>Section 1 – Name</w:t>
      </w:r>
    </w:p>
    <w:p w14:paraId="25808A06" w14:textId="06254FD4" w:rsidR="00DC2CD2" w:rsidRPr="00C63362" w:rsidRDefault="00930F08" w:rsidP="00DC2CD2">
      <w:pPr>
        <w:rPr>
          <w:rFonts w:ascii="Times New Roman" w:hAnsi="Times New Roman" w:cs="Times New Roman"/>
          <w:szCs w:val="24"/>
        </w:rPr>
      </w:pPr>
      <w:r>
        <w:rPr>
          <w:rFonts w:ascii="Times New Roman" w:hAnsi="Times New Roman" w:cs="Times New Roman"/>
          <w:szCs w:val="24"/>
        </w:rPr>
        <w:t>Section 1</w:t>
      </w:r>
      <w:r w:rsidR="00DC2CD2" w:rsidRPr="00C63362">
        <w:rPr>
          <w:rFonts w:ascii="Times New Roman" w:hAnsi="Times New Roman" w:cs="Times New Roman"/>
          <w:szCs w:val="24"/>
        </w:rPr>
        <w:t xml:space="preserve"> provides that the title of the Regulation</w:t>
      </w:r>
      <w:r>
        <w:rPr>
          <w:rFonts w:ascii="Times New Roman" w:hAnsi="Times New Roman" w:cs="Times New Roman"/>
          <w:szCs w:val="24"/>
        </w:rPr>
        <w:t>s</w:t>
      </w:r>
      <w:r w:rsidR="00DC2CD2" w:rsidRPr="00C63362">
        <w:rPr>
          <w:rFonts w:ascii="Times New Roman" w:hAnsi="Times New Roman" w:cs="Times New Roman"/>
          <w:szCs w:val="24"/>
        </w:rPr>
        <w:t xml:space="preserve"> is the </w:t>
      </w:r>
      <w:r w:rsidR="00DC2CD2" w:rsidRPr="00C63362">
        <w:rPr>
          <w:rFonts w:ascii="Times New Roman" w:hAnsi="Times New Roman" w:cs="Times New Roman"/>
          <w:i/>
          <w:szCs w:val="24"/>
        </w:rPr>
        <w:t xml:space="preserve">Family Law Amendment (Prescribed Court) Regulations 2020. </w:t>
      </w:r>
    </w:p>
    <w:p w14:paraId="4F3BC04D" w14:textId="64BDC68C" w:rsidR="00DC2CD2" w:rsidRPr="00524578" w:rsidRDefault="00DC2CD2" w:rsidP="00DC2CD2">
      <w:pPr>
        <w:rPr>
          <w:rFonts w:ascii="Times New Roman" w:hAnsi="Times New Roman" w:cs="Times New Roman"/>
          <w:b/>
          <w:szCs w:val="24"/>
        </w:rPr>
      </w:pPr>
      <w:r w:rsidRPr="00524578">
        <w:rPr>
          <w:rFonts w:ascii="Times New Roman" w:hAnsi="Times New Roman" w:cs="Times New Roman"/>
          <w:b/>
          <w:szCs w:val="24"/>
        </w:rPr>
        <w:t>Section 2 – Commencement</w:t>
      </w:r>
    </w:p>
    <w:p w14:paraId="424D25AF" w14:textId="6AB357B7" w:rsidR="00DC2CD2" w:rsidRPr="00C63362" w:rsidRDefault="00930F08" w:rsidP="00DC2CD2">
      <w:pPr>
        <w:rPr>
          <w:rFonts w:ascii="Times New Roman" w:hAnsi="Times New Roman" w:cs="Times New Roman"/>
          <w:szCs w:val="24"/>
        </w:rPr>
      </w:pPr>
      <w:r>
        <w:rPr>
          <w:rFonts w:ascii="Times New Roman" w:hAnsi="Times New Roman" w:cs="Times New Roman"/>
          <w:szCs w:val="24"/>
        </w:rPr>
        <w:t>S</w:t>
      </w:r>
      <w:r w:rsidR="00DC2CD2" w:rsidRPr="00C63362">
        <w:rPr>
          <w:rFonts w:ascii="Times New Roman" w:hAnsi="Times New Roman" w:cs="Times New Roman"/>
          <w:szCs w:val="24"/>
        </w:rPr>
        <w:t xml:space="preserve">ection </w:t>
      </w:r>
      <w:r>
        <w:rPr>
          <w:rFonts w:ascii="Times New Roman" w:hAnsi="Times New Roman" w:cs="Times New Roman"/>
          <w:szCs w:val="24"/>
        </w:rPr>
        <w:t xml:space="preserve">2 </w:t>
      </w:r>
      <w:r w:rsidR="00DC2CD2" w:rsidRPr="00C63362">
        <w:rPr>
          <w:rFonts w:ascii="Times New Roman" w:hAnsi="Times New Roman" w:cs="Times New Roman"/>
          <w:szCs w:val="24"/>
        </w:rPr>
        <w:t xml:space="preserve">provides </w:t>
      </w:r>
      <w:r>
        <w:rPr>
          <w:rFonts w:ascii="Times New Roman" w:hAnsi="Times New Roman" w:cs="Times New Roman"/>
          <w:szCs w:val="24"/>
        </w:rPr>
        <w:t xml:space="preserve">for the </w:t>
      </w:r>
      <w:r w:rsidR="00DC2CD2" w:rsidRPr="00C63362">
        <w:rPr>
          <w:rFonts w:ascii="Times New Roman" w:hAnsi="Times New Roman" w:cs="Times New Roman"/>
          <w:szCs w:val="24"/>
        </w:rPr>
        <w:t>Regulation</w:t>
      </w:r>
      <w:r>
        <w:rPr>
          <w:rFonts w:ascii="Times New Roman" w:hAnsi="Times New Roman" w:cs="Times New Roman"/>
          <w:szCs w:val="24"/>
        </w:rPr>
        <w:t xml:space="preserve">s </w:t>
      </w:r>
      <w:r w:rsidR="00B979E1">
        <w:rPr>
          <w:rFonts w:ascii="Times New Roman" w:hAnsi="Times New Roman" w:cs="Times New Roman"/>
          <w:szCs w:val="24"/>
        </w:rPr>
        <w:t xml:space="preserve">to </w:t>
      </w:r>
      <w:r w:rsidR="00DC2CD2" w:rsidRPr="00C63362">
        <w:rPr>
          <w:rFonts w:ascii="Times New Roman" w:hAnsi="Times New Roman" w:cs="Times New Roman"/>
          <w:szCs w:val="24"/>
        </w:rPr>
        <w:t>commence</w:t>
      </w:r>
      <w:r w:rsidR="00B979E1">
        <w:rPr>
          <w:rFonts w:ascii="Times New Roman" w:hAnsi="Times New Roman" w:cs="Times New Roman"/>
          <w:szCs w:val="24"/>
        </w:rPr>
        <w:t xml:space="preserve"> on</w:t>
      </w:r>
      <w:r w:rsidR="00DC2CD2" w:rsidRPr="00C63362">
        <w:rPr>
          <w:rFonts w:ascii="Times New Roman" w:hAnsi="Times New Roman" w:cs="Times New Roman"/>
          <w:szCs w:val="24"/>
        </w:rPr>
        <w:t xml:space="preserve"> the day after the instrument is registered.</w:t>
      </w:r>
    </w:p>
    <w:p w14:paraId="24AB9101" w14:textId="0B3CCC0D" w:rsidR="00DC2CD2" w:rsidRPr="00524578" w:rsidRDefault="00DC2CD2" w:rsidP="00DC2CD2">
      <w:pPr>
        <w:rPr>
          <w:rFonts w:ascii="Times New Roman" w:hAnsi="Times New Roman" w:cs="Times New Roman"/>
          <w:b/>
          <w:szCs w:val="24"/>
        </w:rPr>
      </w:pPr>
      <w:r w:rsidRPr="00524578">
        <w:rPr>
          <w:rFonts w:ascii="Times New Roman" w:hAnsi="Times New Roman" w:cs="Times New Roman"/>
          <w:b/>
          <w:szCs w:val="24"/>
        </w:rPr>
        <w:t>Section 3 – Authority</w:t>
      </w:r>
    </w:p>
    <w:p w14:paraId="64E69273" w14:textId="038B856A" w:rsidR="00DC2CD2" w:rsidRPr="00C63362" w:rsidRDefault="00930F08" w:rsidP="00DC2CD2">
      <w:pPr>
        <w:rPr>
          <w:rFonts w:ascii="Times New Roman" w:hAnsi="Times New Roman" w:cs="Times New Roman"/>
          <w:szCs w:val="24"/>
        </w:rPr>
      </w:pPr>
      <w:r>
        <w:rPr>
          <w:rFonts w:ascii="Times New Roman" w:hAnsi="Times New Roman" w:cs="Times New Roman"/>
          <w:szCs w:val="24"/>
        </w:rPr>
        <w:t>S</w:t>
      </w:r>
      <w:r w:rsidR="00DC2CD2" w:rsidRPr="00C63362">
        <w:rPr>
          <w:rFonts w:ascii="Times New Roman" w:hAnsi="Times New Roman" w:cs="Times New Roman"/>
          <w:szCs w:val="24"/>
        </w:rPr>
        <w:t>ection</w:t>
      </w:r>
      <w:r>
        <w:rPr>
          <w:rFonts w:ascii="Times New Roman" w:hAnsi="Times New Roman" w:cs="Times New Roman"/>
          <w:szCs w:val="24"/>
        </w:rPr>
        <w:t xml:space="preserve"> 3</w:t>
      </w:r>
      <w:r w:rsidR="00DC2CD2" w:rsidRPr="00C63362">
        <w:rPr>
          <w:rFonts w:ascii="Times New Roman" w:hAnsi="Times New Roman" w:cs="Times New Roman"/>
          <w:szCs w:val="24"/>
        </w:rPr>
        <w:t xml:space="preserve"> provides that the </w:t>
      </w:r>
      <w:r w:rsidR="00B979E1" w:rsidRPr="00C63362">
        <w:rPr>
          <w:rFonts w:ascii="Times New Roman" w:hAnsi="Times New Roman" w:cs="Times New Roman"/>
          <w:i/>
          <w:szCs w:val="24"/>
        </w:rPr>
        <w:t>Family Law Amendment (Prescribed Court) Regulations 2020</w:t>
      </w:r>
      <w:r w:rsidR="00DC2CD2" w:rsidRPr="00C63362">
        <w:rPr>
          <w:rFonts w:ascii="Times New Roman" w:hAnsi="Times New Roman" w:cs="Times New Roman"/>
          <w:szCs w:val="24"/>
        </w:rPr>
        <w:t xml:space="preserve"> </w:t>
      </w:r>
      <w:r w:rsidR="00B979E1">
        <w:rPr>
          <w:rFonts w:ascii="Times New Roman" w:hAnsi="Times New Roman" w:cs="Times New Roman"/>
          <w:szCs w:val="24"/>
        </w:rPr>
        <w:t>are</w:t>
      </w:r>
      <w:r w:rsidR="00DC2CD2" w:rsidRPr="00C63362">
        <w:rPr>
          <w:rFonts w:ascii="Times New Roman" w:hAnsi="Times New Roman" w:cs="Times New Roman"/>
          <w:szCs w:val="24"/>
        </w:rPr>
        <w:t xml:space="preserve"> made under the </w:t>
      </w:r>
      <w:r w:rsidR="00DC2CD2" w:rsidRPr="00C63362">
        <w:rPr>
          <w:rFonts w:ascii="Times New Roman" w:hAnsi="Times New Roman" w:cs="Times New Roman"/>
          <w:i/>
          <w:szCs w:val="24"/>
        </w:rPr>
        <w:t>Family Law Act 1975</w:t>
      </w:r>
      <w:r w:rsidR="00D71FCF">
        <w:rPr>
          <w:rFonts w:ascii="Times New Roman" w:hAnsi="Times New Roman" w:cs="Times New Roman"/>
          <w:i/>
          <w:szCs w:val="24"/>
        </w:rPr>
        <w:t xml:space="preserve"> </w:t>
      </w:r>
      <w:r w:rsidR="00D71FCF" w:rsidRPr="00D71FCF">
        <w:rPr>
          <w:rFonts w:ascii="Times New Roman" w:hAnsi="Times New Roman" w:cs="Times New Roman"/>
          <w:szCs w:val="24"/>
        </w:rPr>
        <w:t>(the Act)</w:t>
      </w:r>
      <w:r w:rsidR="00DC2CD2" w:rsidRPr="00D71FCF">
        <w:rPr>
          <w:rFonts w:ascii="Times New Roman" w:hAnsi="Times New Roman" w:cs="Times New Roman"/>
          <w:szCs w:val="24"/>
        </w:rPr>
        <w:t>.</w:t>
      </w:r>
      <w:r w:rsidR="00DC2CD2" w:rsidRPr="00C63362">
        <w:rPr>
          <w:rFonts w:ascii="Times New Roman" w:hAnsi="Times New Roman" w:cs="Times New Roman"/>
          <w:i/>
          <w:szCs w:val="24"/>
        </w:rPr>
        <w:t xml:space="preserve"> </w:t>
      </w:r>
    </w:p>
    <w:p w14:paraId="7C8D43BA" w14:textId="352A7D58" w:rsidR="00DC2CD2" w:rsidRPr="00524578" w:rsidRDefault="00DC2CD2" w:rsidP="00FA7ADC">
      <w:pPr>
        <w:rPr>
          <w:rFonts w:ascii="Times New Roman" w:hAnsi="Times New Roman" w:cs="Times New Roman"/>
          <w:b/>
        </w:rPr>
      </w:pPr>
      <w:r w:rsidRPr="00524578">
        <w:rPr>
          <w:rFonts w:ascii="Times New Roman" w:hAnsi="Times New Roman" w:cs="Times New Roman"/>
          <w:b/>
        </w:rPr>
        <w:t>Section 4 – Schedules</w:t>
      </w:r>
    </w:p>
    <w:p w14:paraId="526C43BC" w14:textId="2ED05591" w:rsidR="00DC2CD2" w:rsidRPr="00FA7ADC" w:rsidRDefault="00B979E1" w:rsidP="00FA7ADC">
      <w:pPr>
        <w:rPr>
          <w:rFonts w:ascii="Times New Roman" w:hAnsi="Times New Roman" w:cs="Times New Roman"/>
        </w:rPr>
      </w:pPr>
      <w:r>
        <w:rPr>
          <w:rFonts w:ascii="Times New Roman" w:hAnsi="Times New Roman" w:cs="Times New Roman"/>
        </w:rPr>
        <w:t>S</w:t>
      </w:r>
      <w:r w:rsidR="00DC2CD2" w:rsidRPr="00FA7ADC">
        <w:rPr>
          <w:rFonts w:ascii="Times New Roman" w:hAnsi="Times New Roman" w:cs="Times New Roman"/>
        </w:rPr>
        <w:t xml:space="preserve">ection </w:t>
      </w:r>
      <w:r>
        <w:rPr>
          <w:rFonts w:ascii="Times New Roman" w:hAnsi="Times New Roman" w:cs="Times New Roman"/>
        </w:rPr>
        <w:t xml:space="preserve">4 </w:t>
      </w:r>
      <w:r w:rsidR="00DC2CD2" w:rsidRPr="00FA7ADC">
        <w:rPr>
          <w:rFonts w:ascii="Times New Roman" w:hAnsi="Times New Roman" w:cs="Times New Roman"/>
        </w:rPr>
        <w:t xml:space="preserve">provides that Schedule </w:t>
      </w:r>
      <w:r>
        <w:rPr>
          <w:rFonts w:ascii="Times New Roman" w:hAnsi="Times New Roman" w:cs="Times New Roman"/>
        </w:rPr>
        <w:t xml:space="preserve">1 amends the </w:t>
      </w:r>
      <w:r>
        <w:rPr>
          <w:rFonts w:ascii="Times New Roman" w:hAnsi="Times New Roman" w:cs="Times New Roman"/>
          <w:i/>
        </w:rPr>
        <w:t xml:space="preserve">Family Law Regulations 1984. </w:t>
      </w:r>
    </w:p>
    <w:p w14:paraId="1E6F653B" w14:textId="77777777" w:rsidR="00DC2CD2" w:rsidRPr="00FA7ADC" w:rsidRDefault="00DC2CD2" w:rsidP="00FA7ADC">
      <w:pPr>
        <w:keepNext/>
        <w:rPr>
          <w:rFonts w:ascii="Times New Roman" w:hAnsi="Times New Roman" w:cs="Times New Roman"/>
          <w:b/>
          <w:color w:val="000000" w:themeColor="text1"/>
          <w:u w:val="single"/>
        </w:rPr>
      </w:pPr>
      <w:r w:rsidRPr="00FA7ADC">
        <w:rPr>
          <w:rFonts w:ascii="Times New Roman" w:hAnsi="Times New Roman" w:cs="Times New Roman"/>
          <w:b/>
          <w:color w:val="000000" w:themeColor="text1"/>
          <w:u w:val="single"/>
        </w:rPr>
        <w:t>SCHEDULE 1 – Amendments</w:t>
      </w:r>
    </w:p>
    <w:p w14:paraId="46BF601B" w14:textId="0F3F1134" w:rsidR="00DC37FC" w:rsidRDefault="00DC37FC" w:rsidP="00FA7ADC">
      <w:pPr>
        <w:rPr>
          <w:rFonts w:ascii="Times New Roman" w:hAnsi="Times New Roman" w:cs="Times New Roman"/>
          <w:b/>
        </w:rPr>
      </w:pPr>
      <w:r>
        <w:rPr>
          <w:rFonts w:ascii="Times New Roman" w:hAnsi="Times New Roman" w:cs="Times New Roman"/>
          <w:b/>
        </w:rPr>
        <w:t xml:space="preserve">Section 5 – </w:t>
      </w:r>
      <w:proofErr w:type="spellStart"/>
      <w:r w:rsidRPr="00DC37FC">
        <w:rPr>
          <w:rFonts w:ascii="Times New Roman" w:hAnsi="Times New Roman" w:cs="Times New Roman"/>
          <w:b/>
        </w:rPr>
        <w:t>Subregulation</w:t>
      </w:r>
      <w:proofErr w:type="spellEnd"/>
      <w:r w:rsidRPr="00DC37FC">
        <w:rPr>
          <w:rFonts w:ascii="Times New Roman" w:hAnsi="Times New Roman" w:cs="Times New Roman"/>
          <w:b/>
        </w:rPr>
        <w:t xml:space="preserve"> </w:t>
      </w:r>
      <w:proofErr w:type="gramStart"/>
      <w:r w:rsidRPr="00DC37FC">
        <w:rPr>
          <w:rFonts w:ascii="Times New Roman" w:hAnsi="Times New Roman" w:cs="Times New Roman"/>
          <w:b/>
        </w:rPr>
        <w:t>39CA(</w:t>
      </w:r>
      <w:proofErr w:type="gramEnd"/>
      <w:r w:rsidRPr="00DC37FC">
        <w:rPr>
          <w:rFonts w:ascii="Times New Roman" w:hAnsi="Times New Roman" w:cs="Times New Roman"/>
          <w:b/>
        </w:rPr>
        <w:t>3)</w:t>
      </w:r>
    </w:p>
    <w:p w14:paraId="0CFB2EDF" w14:textId="11449567" w:rsidR="0038460D" w:rsidRDefault="00DC2CD2" w:rsidP="00FA7ADC">
      <w:pPr>
        <w:rPr>
          <w:rFonts w:ascii="Times New Roman" w:hAnsi="Times New Roman" w:cs="Times New Roman"/>
        </w:rPr>
      </w:pPr>
      <w:r w:rsidRPr="00524578">
        <w:rPr>
          <w:rFonts w:ascii="Times New Roman" w:hAnsi="Times New Roman" w:cs="Times New Roman"/>
        </w:rPr>
        <w:t xml:space="preserve">Section </w:t>
      </w:r>
      <w:r w:rsidR="00AC4157" w:rsidRPr="00524578">
        <w:rPr>
          <w:rFonts w:ascii="Times New Roman" w:hAnsi="Times New Roman" w:cs="Times New Roman"/>
        </w:rPr>
        <w:t>5</w:t>
      </w:r>
      <w:r w:rsidRPr="00FA7ADC">
        <w:rPr>
          <w:rFonts w:ascii="Times New Roman" w:hAnsi="Times New Roman" w:cs="Times New Roman"/>
        </w:rPr>
        <w:t xml:space="preserve"> repeals </w:t>
      </w:r>
      <w:proofErr w:type="spellStart"/>
      <w:r w:rsidRPr="00FA7ADC">
        <w:rPr>
          <w:rFonts w:ascii="Times New Roman" w:hAnsi="Times New Roman" w:cs="Times New Roman"/>
        </w:rPr>
        <w:t>subregulation</w:t>
      </w:r>
      <w:proofErr w:type="spellEnd"/>
      <w:r w:rsidRPr="00FA7ADC">
        <w:rPr>
          <w:rFonts w:ascii="Times New Roman" w:hAnsi="Times New Roman" w:cs="Times New Roman"/>
        </w:rPr>
        <w:t xml:space="preserve"> </w:t>
      </w:r>
      <w:proofErr w:type="gramStart"/>
      <w:r w:rsidRPr="00FA7ADC">
        <w:rPr>
          <w:rFonts w:ascii="Times New Roman" w:hAnsi="Times New Roman" w:cs="Times New Roman"/>
        </w:rPr>
        <w:t>39CA(</w:t>
      </w:r>
      <w:proofErr w:type="gramEnd"/>
      <w:r w:rsidRPr="00FA7ADC">
        <w:rPr>
          <w:rFonts w:ascii="Times New Roman" w:hAnsi="Times New Roman" w:cs="Times New Roman"/>
        </w:rPr>
        <w:t>3) and substitutes ‘This regulation is repealed at the end of 31</w:t>
      </w:r>
      <w:r w:rsidR="00511B36">
        <w:rPr>
          <w:rFonts w:ascii="Times New Roman" w:hAnsi="Times New Roman" w:cs="Times New Roman"/>
        </w:rPr>
        <w:t> </w:t>
      </w:r>
      <w:r w:rsidRPr="00FA7ADC">
        <w:rPr>
          <w:rFonts w:ascii="Times New Roman" w:hAnsi="Times New Roman" w:cs="Times New Roman"/>
        </w:rPr>
        <w:t>December</w:t>
      </w:r>
      <w:r w:rsidR="00511B36">
        <w:rPr>
          <w:rFonts w:ascii="Times New Roman" w:hAnsi="Times New Roman" w:cs="Times New Roman"/>
        </w:rPr>
        <w:t> </w:t>
      </w:r>
      <w:r w:rsidRPr="00FA7ADC">
        <w:rPr>
          <w:rFonts w:ascii="Times New Roman" w:hAnsi="Times New Roman" w:cs="Times New Roman"/>
        </w:rPr>
        <w:t xml:space="preserve">2020.’ </w:t>
      </w:r>
      <w:r w:rsidR="0038460D">
        <w:rPr>
          <w:rFonts w:ascii="Times New Roman" w:hAnsi="Times New Roman" w:cs="Times New Roman"/>
        </w:rPr>
        <w:t xml:space="preserve">The effect of this amendment is that: </w:t>
      </w:r>
    </w:p>
    <w:p w14:paraId="7865300C" w14:textId="1DD776B5" w:rsidR="0038460D" w:rsidRDefault="002F5F66" w:rsidP="004426B7">
      <w:pPr>
        <w:pStyle w:val="ListParagraph"/>
        <w:numPr>
          <w:ilvl w:val="0"/>
          <w:numId w:val="6"/>
        </w:numPr>
        <w:ind w:left="714" w:hanging="357"/>
        <w:contextualSpacing w:val="0"/>
        <w:rPr>
          <w:rFonts w:ascii="Times New Roman" w:hAnsi="Times New Roman" w:cs="Times New Roman"/>
        </w:rPr>
      </w:pPr>
      <w:r w:rsidRPr="004426B7">
        <w:rPr>
          <w:rFonts w:ascii="Times New Roman" w:hAnsi="Times New Roman" w:cs="Times New Roman"/>
        </w:rPr>
        <w:t xml:space="preserve">the Local Court of the Northern Territory </w:t>
      </w:r>
      <w:r w:rsidR="00106ABA" w:rsidRPr="004426B7">
        <w:rPr>
          <w:rFonts w:ascii="Times New Roman" w:hAnsi="Times New Roman" w:cs="Times New Roman"/>
        </w:rPr>
        <w:t xml:space="preserve">will </w:t>
      </w:r>
      <w:r w:rsidRPr="004426B7">
        <w:rPr>
          <w:rFonts w:ascii="Times New Roman" w:hAnsi="Times New Roman" w:cs="Times New Roman"/>
        </w:rPr>
        <w:t xml:space="preserve">continue to be prescribed </w:t>
      </w:r>
      <w:r w:rsidR="00566E6F">
        <w:rPr>
          <w:rFonts w:ascii="Times New Roman" w:hAnsi="Times New Roman" w:cs="Times New Roman"/>
        </w:rPr>
        <w:t xml:space="preserve">to </w:t>
      </w:r>
      <w:r w:rsidR="00945945" w:rsidRPr="004426B7">
        <w:rPr>
          <w:rFonts w:ascii="Times New Roman" w:hAnsi="Times New Roman" w:cs="Times New Roman"/>
        </w:rPr>
        <w:t xml:space="preserve">have </w:t>
      </w:r>
      <w:r w:rsidRPr="004426B7">
        <w:rPr>
          <w:rFonts w:ascii="Times New Roman" w:hAnsi="Times New Roman" w:cs="Times New Roman"/>
        </w:rPr>
        <w:t xml:space="preserve">parenting jurisdiction under Part VII of the </w:t>
      </w:r>
      <w:r w:rsidR="00F910A3" w:rsidRPr="004426B7">
        <w:rPr>
          <w:rFonts w:ascii="Times New Roman" w:hAnsi="Times New Roman" w:cs="Times New Roman"/>
          <w:i/>
        </w:rPr>
        <w:t xml:space="preserve">Family Law </w:t>
      </w:r>
      <w:r w:rsidRPr="004426B7">
        <w:rPr>
          <w:rFonts w:ascii="Times New Roman" w:hAnsi="Times New Roman" w:cs="Times New Roman"/>
          <w:i/>
        </w:rPr>
        <w:t>Act</w:t>
      </w:r>
      <w:r w:rsidR="00F910A3" w:rsidRPr="004426B7">
        <w:rPr>
          <w:rFonts w:ascii="Times New Roman" w:hAnsi="Times New Roman" w:cs="Times New Roman"/>
          <w:i/>
        </w:rPr>
        <w:t xml:space="preserve"> 1975</w:t>
      </w:r>
      <w:r w:rsidR="00F910A3">
        <w:rPr>
          <w:rFonts w:ascii="Times New Roman" w:hAnsi="Times New Roman" w:cs="Times New Roman"/>
        </w:rPr>
        <w:t xml:space="preserve"> (the Act)</w:t>
      </w:r>
      <w:r w:rsidR="00945945" w:rsidRPr="004426B7">
        <w:rPr>
          <w:rFonts w:ascii="Times New Roman" w:hAnsi="Times New Roman" w:cs="Times New Roman"/>
        </w:rPr>
        <w:t>, until 31 December 2020</w:t>
      </w:r>
      <w:r w:rsidR="0038460D">
        <w:rPr>
          <w:rFonts w:ascii="Times New Roman" w:hAnsi="Times New Roman" w:cs="Times New Roman"/>
        </w:rPr>
        <w:t>, and</w:t>
      </w:r>
    </w:p>
    <w:p w14:paraId="328B4B6C" w14:textId="76FAE305" w:rsidR="00DC2CD2" w:rsidRPr="004426B7" w:rsidRDefault="002F5F66" w:rsidP="004426B7">
      <w:pPr>
        <w:pStyle w:val="ListParagraph"/>
        <w:numPr>
          <w:ilvl w:val="0"/>
          <w:numId w:val="6"/>
        </w:numPr>
        <w:ind w:left="714" w:hanging="357"/>
        <w:contextualSpacing w:val="0"/>
        <w:rPr>
          <w:rFonts w:ascii="Times New Roman" w:hAnsi="Times New Roman" w:cs="Times New Roman"/>
        </w:rPr>
      </w:pPr>
      <w:r w:rsidRPr="004426B7">
        <w:rPr>
          <w:rFonts w:ascii="Times New Roman" w:hAnsi="Times New Roman" w:cs="Times New Roman"/>
        </w:rPr>
        <w:t xml:space="preserve">the </w:t>
      </w:r>
      <w:r w:rsidRPr="004426B7">
        <w:rPr>
          <w:rFonts w:ascii="Times New Roman" w:hAnsi="Times New Roman" w:cs="Times New Roman"/>
          <w:i/>
        </w:rPr>
        <w:t>Local Court (Civil Jurisdiction) Rules 1998</w:t>
      </w:r>
      <w:r w:rsidRPr="004426B7">
        <w:rPr>
          <w:rFonts w:ascii="Times New Roman" w:hAnsi="Times New Roman" w:cs="Times New Roman"/>
        </w:rPr>
        <w:t xml:space="preserve"> (NT) </w:t>
      </w:r>
      <w:r w:rsidR="00AE4E97">
        <w:rPr>
          <w:rFonts w:ascii="Times New Roman" w:hAnsi="Times New Roman" w:cs="Times New Roman"/>
        </w:rPr>
        <w:t>will</w:t>
      </w:r>
      <w:r w:rsidR="00AE4E97" w:rsidRPr="004426B7">
        <w:rPr>
          <w:rFonts w:ascii="Times New Roman" w:hAnsi="Times New Roman" w:cs="Times New Roman"/>
        </w:rPr>
        <w:t xml:space="preserve"> </w:t>
      </w:r>
      <w:r w:rsidRPr="004426B7">
        <w:rPr>
          <w:rFonts w:ascii="Times New Roman" w:hAnsi="Times New Roman" w:cs="Times New Roman"/>
        </w:rPr>
        <w:t>continue to be prescribed</w:t>
      </w:r>
      <w:r w:rsidR="00AE4E97">
        <w:rPr>
          <w:rFonts w:ascii="Times New Roman" w:hAnsi="Times New Roman" w:cs="Times New Roman"/>
        </w:rPr>
        <w:t xml:space="preserve"> </w:t>
      </w:r>
      <w:r w:rsidRPr="004426B7">
        <w:rPr>
          <w:rFonts w:ascii="Times New Roman" w:hAnsi="Times New Roman" w:cs="Times New Roman"/>
        </w:rPr>
        <w:t xml:space="preserve">to apply when the </w:t>
      </w:r>
      <w:r w:rsidR="00D71FCF" w:rsidRPr="004426B7">
        <w:rPr>
          <w:rFonts w:ascii="Times New Roman" w:hAnsi="Times New Roman" w:cs="Times New Roman"/>
        </w:rPr>
        <w:t xml:space="preserve">Local Court of the Northern Territory </w:t>
      </w:r>
      <w:r w:rsidRPr="004426B7">
        <w:rPr>
          <w:rFonts w:ascii="Times New Roman" w:hAnsi="Times New Roman" w:cs="Times New Roman"/>
        </w:rPr>
        <w:t>is exercising jurisdiction under Part VII</w:t>
      </w:r>
      <w:r w:rsidR="00AE4E97">
        <w:rPr>
          <w:rFonts w:ascii="Times New Roman" w:hAnsi="Times New Roman" w:cs="Times New Roman"/>
        </w:rPr>
        <w:t xml:space="preserve"> of the</w:t>
      </w:r>
      <w:r w:rsidR="00F910A3">
        <w:rPr>
          <w:rFonts w:ascii="Times New Roman" w:hAnsi="Times New Roman" w:cs="Times New Roman"/>
        </w:rPr>
        <w:t xml:space="preserve"> </w:t>
      </w:r>
      <w:r w:rsidR="00AE4E97">
        <w:rPr>
          <w:rFonts w:ascii="Times New Roman" w:hAnsi="Times New Roman" w:cs="Times New Roman"/>
        </w:rPr>
        <w:t xml:space="preserve">Act, </w:t>
      </w:r>
      <w:r w:rsidR="00945945" w:rsidRPr="004426B7">
        <w:rPr>
          <w:rFonts w:ascii="Times New Roman" w:hAnsi="Times New Roman" w:cs="Times New Roman"/>
        </w:rPr>
        <w:t>until 31 December 2020</w:t>
      </w:r>
      <w:r w:rsidRPr="004426B7">
        <w:rPr>
          <w:rFonts w:ascii="Times New Roman" w:hAnsi="Times New Roman" w:cs="Times New Roman"/>
        </w:rPr>
        <w:t xml:space="preserve">. </w:t>
      </w:r>
    </w:p>
    <w:p w14:paraId="24D9308C" w14:textId="2933F736" w:rsidR="007465EA" w:rsidRDefault="007465EA">
      <w:pPr>
        <w:spacing w:after="160" w:line="259" w:lineRule="auto"/>
        <w:rPr>
          <w:rFonts w:ascii="Times New Roman" w:hAnsi="Times New Roman" w:cs="Times New Roman"/>
          <w:b/>
          <w:i/>
          <w:color w:val="FF0000"/>
        </w:rPr>
      </w:pPr>
      <w:r>
        <w:rPr>
          <w:rFonts w:ascii="Times New Roman" w:hAnsi="Times New Roman" w:cs="Times New Roman"/>
          <w:b/>
          <w:i/>
          <w:color w:val="FF0000"/>
        </w:rPr>
        <w:br w:type="page"/>
      </w:r>
    </w:p>
    <w:p w14:paraId="692A4401" w14:textId="77777777" w:rsidR="00DC2CD2" w:rsidRDefault="00DC2CD2" w:rsidP="00DC2CD2">
      <w:pPr>
        <w:spacing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Attachment B</w:t>
      </w:r>
    </w:p>
    <w:p w14:paraId="157FC07E" w14:textId="77777777" w:rsidR="00DC2CD2" w:rsidRPr="00FA7ADC" w:rsidRDefault="00DC2CD2" w:rsidP="00FA7ADC">
      <w:pPr>
        <w:rPr>
          <w:rFonts w:ascii="Times New Roman" w:hAnsi="Times New Roman" w:cs="Times New Roman"/>
        </w:rPr>
      </w:pPr>
      <w:r w:rsidRPr="00FA7ADC">
        <w:rPr>
          <w:rFonts w:ascii="Times New Roman" w:hAnsi="Times New Roman" w:cs="Times New Roman"/>
          <w:b/>
        </w:rPr>
        <w:t>Statement of Compatibility with Human Rights</w:t>
      </w:r>
    </w:p>
    <w:p w14:paraId="61086B5A" w14:textId="3A5F6CD9" w:rsidR="00DC2CD2" w:rsidRPr="00FA7ADC" w:rsidRDefault="00DC2CD2" w:rsidP="00FA7ADC">
      <w:pPr>
        <w:rPr>
          <w:rFonts w:ascii="Times New Roman" w:hAnsi="Times New Roman" w:cs="Times New Roman"/>
          <w:i/>
        </w:rPr>
      </w:pPr>
      <w:r w:rsidRPr="00FA7ADC">
        <w:rPr>
          <w:rFonts w:ascii="Times New Roman" w:hAnsi="Times New Roman" w:cs="Times New Roman"/>
          <w:i/>
        </w:rPr>
        <w:t>Prepared in accordance with Part 3 of the Human Rights (Parliamentary Scrutiny) Act 2011</w:t>
      </w:r>
      <w:r w:rsidR="00E90D50">
        <w:rPr>
          <w:rFonts w:ascii="Times New Roman" w:hAnsi="Times New Roman" w:cs="Times New Roman"/>
          <w:i/>
        </w:rPr>
        <w:t>.</w:t>
      </w:r>
    </w:p>
    <w:p w14:paraId="1B0B43C6" w14:textId="77777777" w:rsidR="00DC2CD2" w:rsidRPr="00FA7ADC" w:rsidRDefault="00DC2CD2" w:rsidP="00FA7ADC">
      <w:pPr>
        <w:rPr>
          <w:rFonts w:ascii="Times New Roman" w:hAnsi="Times New Roman" w:cs="Times New Roman"/>
          <w:b/>
          <w:bCs/>
          <w:i/>
        </w:rPr>
      </w:pPr>
      <w:r w:rsidRPr="00FA7ADC">
        <w:rPr>
          <w:rFonts w:ascii="Times New Roman" w:hAnsi="Times New Roman" w:cs="Times New Roman"/>
          <w:b/>
          <w:bCs/>
          <w:i/>
        </w:rPr>
        <w:t>Family Law Amendment (Prescribed Court) Regulations 2020</w:t>
      </w:r>
    </w:p>
    <w:p w14:paraId="1A33C1DF" w14:textId="77777777" w:rsidR="00DC2CD2" w:rsidRPr="00FA7ADC" w:rsidRDefault="00DC2CD2" w:rsidP="00FA7ADC">
      <w:pPr>
        <w:shd w:val="clear" w:color="auto" w:fill="FFFFFF"/>
        <w:rPr>
          <w:rFonts w:ascii="Calibri" w:eastAsia="Times New Roman" w:hAnsi="Calibri" w:cs="Times New Roman"/>
          <w:color w:val="000000"/>
          <w:lang w:eastAsia="en-AU"/>
        </w:rPr>
      </w:pPr>
      <w:r w:rsidRPr="00FA7ADC">
        <w:rPr>
          <w:rFonts w:ascii="Times New Roman" w:eastAsia="Times New Roman" w:hAnsi="Times New Roman" w:cs="Times New Roman"/>
          <w:color w:val="000000"/>
          <w:lang w:eastAsia="en-AU"/>
        </w:rPr>
        <w:t>This legislative instrument is compatible with the human rights and freedoms recognised or declared in the international instruments listed in section 3 of the </w:t>
      </w:r>
      <w:r w:rsidRPr="00FA7ADC">
        <w:rPr>
          <w:rFonts w:ascii="Times New Roman" w:eastAsia="Times New Roman" w:hAnsi="Times New Roman" w:cs="Times New Roman"/>
          <w:i/>
          <w:iCs/>
          <w:color w:val="000000"/>
          <w:lang w:eastAsia="en-AU"/>
        </w:rPr>
        <w:t>Human Rights (Parliamentary Scrutiny) Act 2011</w:t>
      </w:r>
      <w:r w:rsidRPr="00FA7ADC">
        <w:rPr>
          <w:rFonts w:ascii="Times New Roman" w:eastAsia="Times New Roman" w:hAnsi="Times New Roman" w:cs="Times New Roman"/>
          <w:color w:val="000000"/>
          <w:lang w:eastAsia="en-AU"/>
        </w:rPr>
        <w:t>.</w:t>
      </w:r>
    </w:p>
    <w:p w14:paraId="4EA151AA" w14:textId="77777777" w:rsidR="00DC2CD2" w:rsidRPr="00FA7ADC" w:rsidRDefault="00DC2CD2" w:rsidP="00FA7ADC">
      <w:pPr>
        <w:shd w:val="clear" w:color="auto" w:fill="FFFFFF"/>
        <w:jc w:val="both"/>
        <w:rPr>
          <w:rFonts w:ascii="Times New Roman" w:eastAsia="Times New Roman" w:hAnsi="Times New Roman" w:cs="Times New Roman"/>
          <w:b/>
          <w:bCs/>
          <w:color w:val="000000"/>
          <w:lang w:eastAsia="en-AU"/>
        </w:rPr>
      </w:pPr>
      <w:r w:rsidRPr="00FA7ADC">
        <w:rPr>
          <w:rFonts w:ascii="Times New Roman" w:eastAsia="Times New Roman" w:hAnsi="Times New Roman" w:cs="Times New Roman"/>
          <w:b/>
          <w:bCs/>
          <w:color w:val="000000"/>
          <w:lang w:eastAsia="en-AU"/>
        </w:rPr>
        <w:t>Overview of the legislative instrument</w:t>
      </w:r>
    </w:p>
    <w:p w14:paraId="1FEA5CF4" w14:textId="12107535" w:rsidR="00F47D28" w:rsidRDefault="00F47D28" w:rsidP="00F47D28">
      <w:pPr>
        <w:rPr>
          <w:rFonts w:ascii="Times New Roman" w:hAnsi="Times New Roman" w:cs="Times New Roman"/>
          <w:color w:val="000000" w:themeColor="text1"/>
        </w:rPr>
      </w:pPr>
      <w:r w:rsidRPr="00D34451">
        <w:rPr>
          <w:rFonts w:ascii="Times New Roman" w:hAnsi="Times New Roman" w:cs="Times New Roman"/>
          <w:color w:val="000000" w:themeColor="text1"/>
        </w:rPr>
        <w:t xml:space="preserve">The purpose of the </w:t>
      </w:r>
      <w:r w:rsidRPr="00D34451">
        <w:rPr>
          <w:rFonts w:ascii="Times New Roman" w:hAnsi="Times New Roman" w:cs="Times New Roman"/>
          <w:i/>
          <w:color w:val="000000" w:themeColor="text1"/>
        </w:rPr>
        <w:t xml:space="preserve">Family Law Amendment (Prescribed Court) Regulations 2020 </w:t>
      </w:r>
      <w:r w:rsidRPr="00D34451">
        <w:rPr>
          <w:rFonts w:ascii="Times New Roman" w:hAnsi="Times New Roman" w:cs="Times New Roman"/>
          <w:color w:val="000000" w:themeColor="text1"/>
        </w:rPr>
        <w:t xml:space="preserve">(the Regulations) is to amend the </w:t>
      </w:r>
      <w:r w:rsidRPr="00D34451">
        <w:rPr>
          <w:rFonts w:ascii="Times New Roman" w:hAnsi="Times New Roman" w:cs="Times New Roman"/>
          <w:i/>
          <w:color w:val="000000" w:themeColor="text1"/>
        </w:rPr>
        <w:t xml:space="preserve">Family Law Regulations 1984 </w:t>
      </w:r>
      <w:r w:rsidRPr="00D34451">
        <w:rPr>
          <w:rFonts w:ascii="Times New Roman" w:hAnsi="Times New Roman" w:cs="Times New Roman"/>
          <w:color w:val="000000" w:themeColor="text1"/>
        </w:rPr>
        <w:t>(the Principal Regulations) to extend</w:t>
      </w:r>
      <w:r>
        <w:rPr>
          <w:rFonts w:ascii="Times New Roman" w:hAnsi="Times New Roman" w:cs="Times New Roman"/>
          <w:color w:val="000000" w:themeColor="text1"/>
        </w:rPr>
        <w:t>, until 31 December 2020,</w:t>
      </w:r>
      <w:r w:rsidRPr="00D34451">
        <w:rPr>
          <w:rFonts w:ascii="Times New Roman" w:hAnsi="Times New Roman" w:cs="Times New Roman"/>
          <w:color w:val="000000" w:themeColor="text1"/>
        </w:rPr>
        <w:t xml:space="preserve"> the duration</w:t>
      </w:r>
      <w:r>
        <w:rPr>
          <w:rFonts w:ascii="Times New Roman" w:hAnsi="Times New Roman" w:cs="Times New Roman"/>
          <w:color w:val="000000" w:themeColor="text1"/>
        </w:rPr>
        <w:t xml:space="preserve"> for which </w:t>
      </w:r>
      <w:r w:rsidRPr="006630AE">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following matters are prescribed:  </w:t>
      </w:r>
    </w:p>
    <w:p w14:paraId="7CFCC791" w14:textId="6AC7EE4A" w:rsidR="00F47D28" w:rsidRDefault="00F47D28" w:rsidP="00BA4087">
      <w:pPr>
        <w:pStyle w:val="ListParagraph"/>
        <w:numPr>
          <w:ilvl w:val="0"/>
          <w:numId w:val="7"/>
        </w:numPr>
        <w:ind w:left="714" w:hanging="357"/>
        <w:contextualSpacing w:val="0"/>
        <w:rPr>
          <w:rFonts w:ascii="Times New Roman" w:hAnsi="Times New Roman" w:cs="Times New Roman"/>
          <w:color w:val="000000" w:themeColor="text1"/>
        </w:rPr>
      </w:pPr>
      <w:r w:rsidRPr="006630AE">
        <w:rPr>
          <w:rFonts w:ascii="Times New Roman" w:hAnsi="Times New Roman" w:cs="Times New Roman"/>
          <w:color w:val="000000" w:themeColor="text1"/>
        </w:rPr>
        <w:t xml:space="preserve">the </w:t>
      </w:r>
      <w:r>
        <w:rPr>
          <w:rFonts w:ascii="Times New Roman" w:hAnsi="Times New Roman" w:cs="Times New Roman"/>
          <w:color w:val="000000" w:themeColor="text1"/>
        </w:rPr>
        <w:t>Local Court of the Northern Territory (the Court),</w:t>
      </w:r>
      <w:r w:rsidRPr="006630AE">
        <w:rPr>
          <w:rFonts w:ascii="Times New Roman" w:hAnsi="Times New Roman" w:cs="Times New Roman"/>
          <w:color w:val="000000" w:themeColor="text1"/>
        </w:rPr>
        <w:t xml:space="preserve"> to have parenting jurisdiction under Part VII </w:t>
      </w:r>
      <w:r>
        <w:rPr>
          <w:rFonts w:ascii="Times New Roman" w:hAnsi="Times New Roman" w:cs="Times New Roman"/>
          <w:color w:val="000000" w:themeColor="text1"/>
        </w:rPr>
        <w:t>of the Act</w:t>
      </w:r>
      <w:r w:rsidR="00315316">
        <w:rPr>
          <w:rFonts w:ascii="Times New Roman" w:hAnsi="Times New Roman" w:cs="Times New Roman"/>
          <w:color w:val="000000" w:themeColor="text1"/>
        </w:rPr>
        <w:t>,</w:t>
      </w:r>
      <w:r>
        <w:rPr>
          <w:rFonts w:ascii="Times New Roman" w:hAnsi="Times New Roman" w:cs="Times New Roman"/>
          <w:color w:val="000000" w:themeColor="text1"/>
        </w:rPr>
        <w:t xml:space="preserve"> and</w:t>
      </w:r>
    </w:p>
    <w:p w14:paraId="56BA7248" w14:textId="2607BE0D" w:rsidR="00F47D28" w:rsidRPr="004426B7" w:rsidRDefault="00F47D28" w:rsidP="004426B7">
      <w:pPr>
        <w:pStyle w:val="ListParagraph"/>
        <w:numPr>
          <w:ilvl w:val="0"/>
          <w:numId w:val="7"/>
        </w:numPr>
        <w:ind w:left="714" w:hanging="357"/>
        <w:contextualSpacing w:val="0"/>
        <w:rPr>
          <w:rFonts w:ascii="Times New Roman" w:hAnsi="Times New Roman" w:cs="Times New Roman"/>
          <w:color w:val="000000" w:themeColor="text1"/>
        </w:rPr>
      </w:pPr>
      <w:proofErr w:type="gramStart"/>
      <w:r w:rsidRPr="004474D7">
        <w:rPr>
          <w:rFonts w:ascii="Times New Roman" w:hAnsi="Times New Roman" w:cs="Times New Roman"/>
          <w:color w:val="000000" w:themeColor="text1"/>
        </w:rPr>
        <w:t>the</w:t>
      </w:r>
      <w:proofErr w:type="gramEnd"/>
      <w:r w:rsidRPr="004474D7">
        <w:rPr>
          <w:rFonts w:ascii="Times New Roman" w:hAnsi="Times New Roman" w:cs="Times New Roman"/>
          <w:color w:val="000000" w:themeColor="text1"/>
        </w:rPr>
        <w:t xml:space="preserve"> </w:t>
      </w:r>
      <w:r w:rsidRPr="004474D7">
        <w:rPr>
          <w:rFonts w:ascii="Times New Roman" w:hAnsi="Times New Roman" w:cs="Times New Roman"/>
          <w:i/>
          <w:color w:val="000000" w:themeColor="text1"/>
        </w:rPr>
        <w:t xml:space="preserve">Local Court (Civil Jurisdiction) Rules </w:t>
      </w:r>
      <w:r w:rsidRPr="004474D7">
        <w:rPr>
          <w:rFonts w:ascii="Times New Roman" w:hAnsi="Times New Roman" w:cs="Times New Roman"/>
          <w:color w:val="000000" w:themeColor="text1"/>
        </w:rPr>
        <w:t>(NT)</w:t>
      </w:r>
      <w:r>
        <w:rPr>
          <w:rFonts w:ascii="Times New Roman" w:hAnsi="Times New Roman" w:cs="Times New Roman"/>
          <w:color w:val="000000" w:themeColor="text1"/>
        </w:rPr>
        <w:t>,</w:t>
      </w:r>
      <w:r w:rsidRPr="004474D7">
        <w:rPr>
          <w:rFonts w:ascii="Times New Roman" w:hAnsi="Times New Roman" w:cs="Times New Roman"/>
          <w:color w:val="000000" w:themeColor="text1"/>
        </w:rPr>
        <w:t xml:space="preserve"> to apply when the Court exercises its jurisdiction under Part VII of the Act.</w:t>
      </w:r>
    </w:p>
    <w:p w14:paraId="28ECCFBD" w14:textId="075AF43B" w:rsidR="00F47D28" w:rsidRDefault="00F47D28" w:rsidP="00EF6F86">
      <w:pPr>
        <w:rPr>
          <w:rFonts w:ascii="Times New Roman" w:hAnsi="Times New Roman" w:cs="Times New Roman"/>
          <w:bCs/>
          <w:color w:val="000000" w:themeColor="text1"/>
        </w:rPr>
      </w:pPr>
      <w:r w:rsidRPr="00D34451">
        <w:rPr>
          <w:rFonts w:ascii="Times New Roman" w:hAnsi="Times New Roman" w:cs="Times New Roman"/>
          <w:bCs/>
          <w:color w:val="000000" w:themeColor="text1"/>
        </w:rPr>
        <w:t xml:space="preserve">The regulation under which these matters are prescribed – regulation 39CA of the </w:t>
      </w:r>
      <w:r w:rsidRPr="00D34451">
        <w:rPr>
          <w:rFonts w:ascii="Times New Roman" w:hAnsi="Times New Roman" w:cs="Times New Roman"/>
          <w:bCs/>
          <w:i/>
          <w:color w:val="000000" w:themeColor="text1"/>
        </w:rPr>
        <w:t xml:space="preserve">Family Law Regulations 1984 </w:t>
      </w:r>
      <w:r w:rsidRPr="00D34451">
        <w:rPr>
          <w:rFonts w:ascii="Times New Roman" w:hAnsi="Times New Roman" w:cs="Times New Roman"/>
          <w:bCs/>
          <w:color w:val="000000" w:themeColor="text1"/>
        </w:rPr>
        <w:t xml:space="preserve">– </w:t>
      </w:r>
      <w:r>
        <w:rPr>
          <w:rFonts w:ascii="Times New Roman" w:hAnsi="Times New Roman" w:cs="Times New Roman"/>
          <w:bCs/>
          <w:color w:val="000000" w:themeColor="text1"/>
        </w:rPr>
        <w:t>is currently due</w:t>
      </w:r>
      <w:r w:rsidRPr="00D34451">
        <w:rPr>
          <w:rFonts w:ascii="Times New Roman" w:hAnsi="Times New Roman" w:cs="Times New Roman"/>
          <w:bCs/>
          <w:color w:val="000000" w:themeColor="text1"/>
        </w:rPr>
        <w:t xml:space="preserve"> be repealed on 30 June 2020</w:t>
      </w:r>
      <w:r>
        <w:rPr>
          <w:rFonts w:ascii="Times New Roman" w:hAnsi="Times New Roman" w:cs="Times New Roman"/>
          <w:bCs/>
          <w:color w:val="000000" w:themeColor="text1"/>
        </w:rPr>
        <w:t xml:space="preserve">. </w:t>
      </w:r>
      <w:r w:rsidR="00315316">
        <w:rPr>
          <w:rFonts w:ascii="Times New Roman" w:hAnsi="Times New Roman" w:cs="Times New Roman"/>
          <w:bCs/>
          <w:color w:val="000000" w:themeColor="text1"/>
        </w:rPr>
        <w:t>The purpose of amending this regulation so that it will be repealed on 31 December 2020, is to allow the Court to continue to exercise family law jurisdiction under Part VII of the Act - and utilise its local Rules of Courts while doing so - until 31 December 2020, as part of a pilot, which the Commonwealth and Northern Territory Governments have agreed to extend to this date.</w:t>
      </w:r>
    </w:p>
    <w:p w14:paraId="15DD5C0B" w14:textId="1D213BF3" w:rsidR="00F37B04" w:rsidRPr="00F37B04" w:rsidRDefault="00F37B04" w:rsidP="00EF6F86">
      <w:pPr>
        <w:rPr>
          <w:rFonts w:ascii="Times New Roman" w:hAnsi="Times New Roman" w:cs="Times New Roman"/>
          <w:bCs/>
          <w:color w:val="000000" w:themeColor="text1"/>
        </w:rPr>
      </w:pPr>
      <w:r>
        <w:rPr>
          <w:rFonts w:ascii="Times New Roman" w:hAnsi="Times New Roman" w:cs="Times New Roman"/>
        </w:rPr>
        <w:t>The pilot has been established to allow</w:t>
      </w:r>
      <w:r w:rsidRPr="00F37B04">
        <w:rPr>
          <w:rFonts w:ascii="Times New Roman" w:hAnsi="Times New Roman" w:cs="Times New Roman"/>
        </w:rPr>
        <w:t xml:space="preserve"> parties, already before th</w:t>
      </w:r>
      <w:r>
        <w:rPr>
          <w:rFonts w:ascii="Times New Roman" w:hAnsi="Times New Roman" w:cs="Times New Roman"/>
        </w:rPr>
        <w:t>e Court with a territory family violence or child protection matter,</w:t>
      </w:r>
      <w:r w:rsidRPr="00F37B04">
        <w:rPr>
          <w:rFonts w:ascii="Times New Roman" w:hAnsi="Times New Roman" w:cs="Times New Roman"/>
        </w:rPr>
        <w:t xml:space="preserve"> to </w:t>
      </w:r>
      <w:r>
        <w:rPr>
          <w:rFonts w:ascii="Times New Roman" w:hAnsi="Times New Roman" w:cs="Times New Roman"/>
        </w:rPr>
        <w:t xml:space="preserve">have </w:t>
      </w:r>
      <w:r w:rsidRPr="00F37B04">
        <w:rPr>
          <w:rFonts w:ascii="Times New Roman" w:hAnsi="Times New Roman" w:cs="Times New Roman"/>
        </w:rPr>
        <w:t xml:space="preserve">related family law </w:t>
      </w:r>
      <w:r>
        <w:rPr>
          <w:rFonts w:ascii="Times New Roman" w:hAnsi="Times New Roman" w:cs="Times New Roman"/>
        </w:rPr>
        <w:t xml:space="preserve">parenting </w:t>
      </w:r>
      <w:r w:rsidRPr="00F37B04">
        <w:rPr>
          <w:rFonts w:ascii="Times New Roman" w:hAnsi="Times New Roman" w:cs="Times New Roman"/>
        </w:rPr>
        <w:t>matters</w:t>
      </w:r>
      <w:r>
        <w:rPr>
          <w:rFonts w:ascii="Times New Roman" w:hAnsi="Times New Roman" w:cs="Times New Roman"/>
        </w:rPr>
        <w:t xml:space="preserve"> resolved in the same forum.</w:t>
      </w:r>
    </w:p>
    <w:p w14:paraId="266F0B2D" w14:textId="0FC602A0" w:rsidR="00E90D50" w:rsidRPr="00EF17A4" w:rsidRDefault="00E90D50" w:rsidP="00E90D50">
      <w:pPr>
        <w:pStyle w:val="Paragraph"/>
        <w:spacing w:before="0" w:after="200"/>
        <w:rPr>
          <w:sz w:val="22"/>
          <w:szCs w:val="22"/>
        </w:rPr>
      </w:pPr>
      <w:r w:rsidRPr="00EF17A4">
        <w:rPr>
          <w:sz w:val="22"/>
          <w:szCs w:val="22"/>
        </w:rPr>
        <w:t xml:space="preserve">The Regulations are made under section 125(1) of the </w:t>
      </w:r>
      <w:r w:rsidRPr="00EF17A4">
        <w:rPr>
          <w:i/>
          <w:sz w:val="22"/>
          <w:szCs w:val="22"/>
        </w:rPr>
        <w:t>Family Law Act 1975</w:t>
      </w:r>
      <w:r w:rsidRPr="00EF17A4">
        <w:rPr>
          <w:sz w:val="22"/>
          <w:szCs w:val="22"/>
        </w:rPr>
        <w:t xml:space="preserve"> (the Act). </w:t>
      </w:r>
    </w:p>
    <w:p w14:paraId="0A10C910" w14:textId="77777777" w:rsidR="00DC2CD2" w:rsidRPr="00FA7ADC" w:rsidRDefault="00DC2CD2" w:rsidP="005F6C1A">
      <w:pPr>
        <w:shd w:val="clear" w:color="auto" w:fill="FFFFFF"/>
        <w:jc w:val="both"/>
        <w:rPr>
          <w:rFonts w:ascii="Times New Roman" w:eastAsia="Times New Roman" w:hAnsi="Times New Roman" w:cs="Times New Roman"/>
          <w:b/>
          <w:bCs/>
          <w:color w:val="000000"/>
          <w:lang w:eastAsia="en-AU"/>
        </w:rPr>
      </w:pPr>
      <w:r w:rsidRPr="00FA7ADC">
        <w:rPr>
          <w:rFonts w:ascii="Times New Roman" w:eastAsia="Times New Roman" w:hAnsi="Times New Roman" w:cs="Times New Roman"/>
          <w:b/>
          <w:bCs/>
          <w:color w:val="000000"/>
          <w:lang w:eastAsia="en-AU"/>
        </w:rPr>
        <w:t>Human rights implications</w:t>
      </w:r>
    </w:p>
    <w:p w14:paraId="40FE2FF9" w14:textId="54C2AF42" w:rsidR="00DC2CD2" w:rsidRPr="005F6C1A" w:rsidRDefault="00DC2CD2" w:rsidP="005F6C1A">
      <w:pPr>
        <w:spacing w:line="240" w:lineRule="auto"/>
        <w:rPr>
          <w:rFonts w:ascii="Times New Roman" w:hAnsi="Times New Roman" w:cs="Times New Roman"/>
          <w:sz w:val="24"/>
          <w:szCs w:val="24"/>
          <w:lang w:val="en-GB" w:eastAsia="en-GB"/>
        </w:rPr>
      </w:pPr>
      <w:r w:rsidRPr="00FA7ADC">
        <w:rPr>
          <w:rFonts w:ascii="Times New Roman" w:hAnsi="Times New Roman" w:cs="Times New Roman"/>
        </w:rPr>
        <w:t>The Legislative Instrument engages the following rights</w:t>
      </w:r>
      <w:r w:rsidR="005F6C1A">
        <w:rPr>
          <w:rFonts w:ascii="Times New Roman" w:hAnsi="Times New Roman" w:cs="Times New Roman"/>
        </w:rPr>
        <w:t xml:space="preserve"> regarding the right to respect for the family</w:t>
      </w:r>
      <w:r w:rsidRPr="00FA7ADC">
        <w:rPr>
          <w:rFonts w:ascii="Times New Roman" w:hAnsi="Times New Roman" w:cs="Times New Roman"/>
        </w:rPr>
        <w:t>:</w:t>
      </w:r>
    </w:p>
    <w:p w14:paraId="72833008" w14:textId="77777777" w:rsidR="00DC2CD2" w:rsidRPr="00FA7ADC" w:rsidRDefault="00DC2CD2" w:rsidP="005F6C1A">
      <w:pPr>
        <w:pStyle w:val="Paragraph"/>
        <w:numPr>
          <w:ilvl w:val="0"/>
          <w:numId w:val="1"/>
        </w:numPr>
        <w:spacing w:before="0" w:after="200" w:line="276" w:lineRule="auto"/>
        <w:rPr>
          <w:sz w:val="22"/>
          <w:szCs w:val="22"/>
        </w:rPr>
      </w:pPr>
      <w:r w:rsidRPr="00FA7ADC">
        <w:rPr>
          <w:sz w:val="22"/>
          <w:szCs w:val="22"/>
        </w:rPr>
        <w:lastRenderedPageBreak/>
        <w:t>Protection of children on dissolution of a marriage, and generally: Articles 23(4) and 24(1) of the International Covenant on Civil and Political Rights (ICCPR), and Article 3(2) of the Convention on the Rights of the Child (CRC).</w:t>
      </w:r>
    </w:p>
    <w:p w14:paraId="2DD6952C" w14:textId="77777777" w:rsidR="00DC2CD2" w:rsidRPr="00FA7ADC" w:rsidRDefault="00DC2CD2" w:rsidP="00FA7ADC">
      <w:pPr>
        <w:pStyle w:val="Paragraph"/>
        <w:numPr>
          <w:ilvl w:val="1"/>
          <w:numId w:val="1"/>
        </w:numPr>
        <w:spacing w:before="0" w:after="200" w:line="276" w:lineRule="auto"/>
        <w:rPr>
          <w:sz w:val="22"/>
          <w:szCs w:val="22"/>
        </w:rPr>
      </w:pPr>
      <w:r w:rsidRPr="00FA7ADC">
        <w:rPr>
          <w:sz w:val="22"/>
          <w:szCs w:val="22"/>
        </w:rPr>
        <w:t xml:space="preserve">Article 23(4) of the ICCPR requires parties to take appropriate steps to ensure provision is made for the protection of children on the dissolution of a marriage. </w:t>
      </w:r>
    </w:p>
    <w:p w14:paraId="1C2592FA" w14:textId="77777777" w:rsidR="00DC2CD2" w:rsidRPr="00FA7ADC" w:rsidRDefault="00DC2CD2" w:rsidP="00FA7ADC">
      <w:pPr>
        <w:pStyle w:val="Paragraph"/>
        <w:numPr>
          <w:ilvl w:val="1"/>
          <w:numId w:val="1"/>
        </w:numPr>
        <w:spacing w:before="0" w:after="200" w:line="276" w:lineRule="auto"/>
        <w:rPr>
          <w:sz w:val="22"/>
          <w:szCs w:val="22"/>
        </w:rPr>
      </w:pPr>
      <w:r w:rsidRPr="00FA7ADC">
        <w:rPr>
          <w:sz w:val="22"/>
          <w:szCs w:val="22"/>
        </w:rPr>
        <w:t xml:space="preserve">Article 24(1) of the ICCPR provides for protection for all children, without discrimination, by virtue of their status as minors. </w:t>
      </w:r>
    </w:p>
    <w:p w14:paraId="68843A10" w14:textId="77777777" w:rsidR="00DC2CD2" w:rsidRPr="00FA7ADC" w:rsidRDefault="00DC2CD2" w:rsidP="00FA7ADC">
      <w:pPr>
        <w:pStyle w:val="Paragraph"/>
        <w:numPr>
          <w:ilvl w:val="1"/>
          <w:numId w:val="1"/>
        </w:numPr>
        <w:spacing w:before="0" w:after="200" w:line="276" w:lineRule="auto"/>
        <w:rPr>
          <w:sz w:val="22"/>
          <w:szCs w:val="22"/>
        </w:rPr>
      </w:pPr>
      <w:r w:rsidRPr="00FA7ADC">
        <w:rPr>
          <w:sz w:val="22"/>
          <w:szCs w:val="22"/>
        </w:rPr>
        <w:t xml:space="preserve">Article 3(2) of the CRC provides that parties will take appropriate measures to ensure that children have the protection and care necessary for their well-being. </w:t>
      </w:r>
    </w:p>
    <w:p w14:paraId="33B46F53" w14:textId="77777777" w:rsidR="00DC2CD2" w:rsidRPr="00FA7ADC" w:rsidRDefault="00DC2CD2" w:rsidP="00FA7ADC">
      <w:pPr>
        <w:pStyle w:val="Paragraph"/>
        <w:numPr>
          <w:ilvl w:val="0"/>
          <w:numId w:val="1"/>
        </w:numPr>
        <w:spacing w:before="0" w:after="200" w:line="276" w:lineRule="auto"/>
        <w:rPr>
          <w:sz w:val="22"/>
          <w:szCs w:val="22"/>
        </w:rPr>
      </w:pPr>
      <w:r w:rsidRPr="00FA7ADC">
        <w:rPr>
          <w:sz w:val="22"/>
          <w:szCs w:val="22"/>
        </w:rPr>
        <w:t xml:space="preserve">Protection of children from physical, sexual or mental violence, injury or abuse: Articles 19(1) and 34 of the CRC. </w:t>
      </w:r>
    </w:p>
    <w:p w14:paraId="2C1F9221" w14:textId="77777777" w:rsidR="00DC2CD2" w:rsidRPr="00FA7ADC" w:rsidRDefault="00DC2CD2" w:rsidP="00FA7ADC">
      <w:pPr>
        <w:pStyle w:val="Paragraph"/>
        <w:numPr>
          <w:ilvl w:val="1"/>
          <w:numId w:val="1"/>
        </w:numPr>
        <w:spacing w:before="0" w:after="200" w:line="276" w:lineRule="auto"/>
        <w:rPr>
          <w:sz w:val="22"/>
          <w:szCs w:val="22"/>
        </w:rPr>
      </w:pPr>
      <w:r w:rsidRPr="00FA7ADC">
        <w:rPr>
          <w:sz w:val="22"/>
          <w:szCs w:val="22"/>
        </w:rPr>
        <w:t xml:space="preserve">Article 19(1) of the CRC requires parties to take all appropriate legislative measures to protect children from all forms of physical or mental violence, injury or abuse, including negligent treatment and sexual abuse. </w:t>
      </w:r>
    </w:p>
    <w:p w14:paraId="5235C0B2" w14:textId="77777777" w:rsidR="00DC2CD2" w:rsidRPr="00FA7ADC" w:rsidRDefault="00DC2CD2" w:rsidP="00FA7ADC">
      <w:pPr>
        <w:pStyle w:val="Paragraph"/>
        <w:numPr>
          <w:ilvl w:val="1"/>
          <w:numId w:val="1"/>
        </w:numPr>
        <w:spacing w:before="0" w:after="200" w:line="276" w:lineRule="auto"/>
        <w:rPr>
          <w:sz w:val="22"/>
          <w:szCs w:val="22"/>
        </w:rPr>
      </w:pPr>
      <w:r w:rsidRPr="00FA7ADC">
        <w:rPr>
          <w:sz w:val="22"/>
          <w:szCs w:val="22"/>
        </w:rPr>
        <w:t xml:space="preserve">Article 34 of the CRC provides that parties will protect children from all forms of sexual abuse. </w:t>
      </w:r>
    </w:p>
    <w:p w14:paraId="447C74C6" w14:textId="33E284B9" w:rsidR="00622C3A" w:rsidRPr="00622C3A" w:rsidRDefault="00622C3A" w:rsidP="00622C3A">
      <w:pPr>
        <w:keepNext/>
        <w:spacing w:line="240" w:lineRule="auto"/>
        <w:rPr>
          <w:rFonts w:ascii="Times New Roman" w:hAnsi="Times New Roman" w:cs="Times New Roman"/>
          <w:i/>
          <w:u w:val="single"/>
        </w:rPr>
      </w:pPr>
      <w:r w:rsidRPr="00622C3A">
        <w:rPr>
          <w:rFonts w:ascii="Times New Roman" w:hAnsi="Times New Roman" w:cs="Times New Roman"/>
          <w:i/>
          <w:u w:val="single"/>
        </w:rPr>
        <w:t>Discussion of the how the</w:t>
      </w:r>
      <w:r>
        <w:rPr>
          <w:rFonts w:ascii="Times New Roman" w:hAnsi="Times New Roman" w:cs="Times New Roman"/>
          <w:i/>
          <w:u w:val="single"/>
        </w:rPr>
        <w:t xml:space="preserve"> amendment</w:t>
      </w:r>
      <w:r w:rsidRPr="00622C3A">
        <w:rPr>
          <w:rFonts w:ascii="Times New Roman" w:hAnsi="Times New Roman" w:cs="Times New Roman"/>
          <w:i/>
          <w:u w:val="single"/>
        </w:rPr>
        <w:t xml:space="preserve"> promote</w:t>
      </w:r>
      <w:r w:rsidR="00102B34">
        <w:rPr>
          <w:rFonts w:ascii="Times New Roman" w:hAnsi="Times New Roman" w:cs="Times New Roman"/>
          <w:i/>
          <w:u w:val="single"/>
        </w:rPr>
        <w:t>s</w:t>
      </w:r>
      <w:r w:rsidRPr="00622C3A">
        <w:rPr>
          <w:rFonts w:ascii="Times New Roman" w:hAnsi="Times New Roman" w:cs="Times New Roman"/>
          <w:i/>
          <w:u w:val="single"/>
        </w:rPr>
        <w:t xml:space="preserve"> the above rights</w:t>
      </w:r>
    </w:p>
    <w:p w14:paraId="54924F29" w14:textId="5AB31FF0" w:rsidR="00DC2CD2" w:rsidRPr="00FA7ADC" w:rsidRDefault="00DC2CD2" w:rsidP="00FA7ADC">
      <w:pPr>
        <w:pStyle w:val="Paragraph"/>
        <w:numPr>
          <w:ilvl w:val="0"/>
          <w:numId w:val="0"/>
        </w:numPr>
        <w:spacing w:before="0" w:after="200" w:line="276" w:lineRule="auto"/>
        <w:rPr>
          <w:sz w:val="22"/>
          <w:szCs w:val="22"/>
        </w:rPr>
      </w:pPr>
      <w:r w:rsidRPr="00FA7ADC">
        <w:rPr>
          <w:sz w:val="22"/>
          <w:szCs w:val="22"/>
        </w:rPr>
        <w:t xml:space="preserve">The Regulations promote the rights of children by extending the </w:t>
      </w:r>
      <w:r w:rsidR="00D42907">
        <w:rPr>
          <w:sz w:val="22"/>
          <w:szCs w:val="22"/>
        </w:rPr>
        <w:t xml:space="preserve">period for which </w:t>
      </w:r>
      <w:r w:rsidR="00EA20BB">
        <w:rPr>
          <w:sz w:val="22"/>
          <w:szCs w:val="22"/>
        </w:rPr>
        <w:t>the</w:t>
      </w:r>
      <w:r w:rsidRPr="00FA7ADC">
        <w:rPr>
          <w:sz w:val="22"/>
          <w:szCs w:val="22"/>
        </w:rPr>
        <w:t xml:space="preserve"> </w:t>
      </w:r>
      <w:r w:rsidR="0075008F">
        <w:rPr>
          <w:sz w:val="22"/>
          <w:szCs w:val="22"/>
        </w:rPr>
        <w:t xml:space="preserve">Court </w:t>
      </w:r>
      <w:r w:rsidR="00CE232E">
        <w:rPr>
          <w:sz w:val="22"/>
          <w:szCs w:val="22"/>
        </w:rPr>
        <w:t>is able to</w:t>
      </w:r>
      <w:r w:rsidRPr="00FA7ADC">
        <w:rPr>
          <w:sz w:val="22"/>
          <w:szCs w:val="22"/>
        </w:rPr>
        <w:t xml:space="preserve"> make appropriate orders under the Act where such orders would assist to resolve matters in the best interests of the child. Allowing parties, already before the Court with a territory matter, to resolve related family law matters in the Court reduces their need to commence proceedings in a second court and can reduce time, cost, pressure and risk for vulnerable families and children. The Regulations </w:t>
      </w:r>
      <w:r w:rsidR="00D42907">
        <w:rPr>
          <w:sz w:val="22"/>
          <w:szCs w:val="22"/>
        </w:rPr>
        <w:t xml:space="preserve">extend the period for which </w:t>
      </w:r>
      <w:r w:rsidRPr="00FA7ADC">
        <w:rPr>
          <w:sz w:val="22"/>
          <w:szCs w:val="22"/>
        </w:rPr>
        <w:t xml:space="preserve">Northern Territory judicial officers </w:t>
      </w:r>
      <w:r w:rsidR="00CE232E">
        <w:rPr>
          <w:sz w:val="22"/>
          <w:szCs w:val="22"/>
        </w:rPr>
        <w:t>have</w:t>
      </w:r>
      <w:r w:rsidRPr="00FA7ADC">
        <w:rPr>
          <w:sz w:val="22"/>
          <w:szCs w:val="22"/>
        </w:rPr>
        <w:t xml:space="preserve"> additional tools to resolve matters involving family violence holistically, </w:t>
      </w:r>
      <w:r w:rsidR="00E74FF9">
        <w:rPr>
          <w:sz w:val="22"/>
          <w:szCs w:val="22"/>
        </w:rPr>
        <w:t>and in the best interests of the child.</w:t>
      </w:r>
    </w:p>
    <w:p w14:paraId="0BF3AFA4" w14:textId="59C48AD8" w:rsidR="00DC2CD2" w:rsidRPr="00FA7ADC" w:rsidRDefault="00DC2CD2" w:rsidP="00FA7ADC">
      <w:pPr>
        <w:pStyle w:val="Paragraph"/>
        <w:numPr>
          <w:ilvl w:val="0"/>
          <w:numId w:val="0"/>
        </w:numPr>
        <w:spacing w:before="0" w:after="200" w:line="276" w:lineRule="auto"/>
        <w:rPr>
          <w:i/>
          <w:sz w:val="22"/>
          <w:szCs w:val="22"/>
        </w:rPr>
      </w:pPr>
      <w:r w:rsidRPr="00FA7ADC">
        <w:rPr>
          <w:sz w:val="22"/>
          <w:szCs w:val="22"/>
        </w:rPr>
        <w:t xml:space="preserve">Regulation 39CA is time-limited because it will facilitate a short-term family law pilot in the Court, designed to measure the benefits and costs associated with territory courts exercising family law jurisdiction to inform government decision-making. </w:t>
      </w:r>
    </w:p>
    <w:p w14:paraId="1EA5CE98" w14:textId="77777777" w:rsidR="00DC2CD2" w:rsidRPr="00FA7ADC" w:rsidRDefault="00DC2CD2" w:rsidP="00FA7ADC">
      <w:pPr>
        <w:shd w:val="clear" w:color="auto" w:fill="FFFFFF"/>
        <w:rPr>
          <w:rFonts w:ascii="Times New Roman" w:eastAsia="Times New Roman" w:hAnsi="Times New Roman" w:cs="Times New Roman"/>
          <w:b/>
          <w:bCs/>
          <w:color w:val="000000"/>
          <w:lang w:eastAsia="en-AU"/>
        </w:rPr>
      </w:pPr>
      <w:r w:rsidRPr="00FA7ADC">
        <w:rPr>
          <w:rFonts w:ascii="Times New Roman" w:eastAsia="Times New Roman" w:hAnsi="Times New Roman" w:cs="Times New Roman"/>
          <w:b/>
          <w:bCs/>
          <w:color w:val="000000"/>
          <w:lang w:eastAsia="en-AU"/>
        </w:rPr>
        <w:t>Conclusion</w:t>
      </w:r>
    </w:p>
    <w:p w14:paraId="59F3508B" w14:textId="77777777" w:rsidR="00DC2CD2" w:rsidRPr="00FA7ADC" w:rsidRDefault="00DC2CD2" w:rsidP="00FA7ADC">
      <w:pPr>
        <w:rPr>
          <w:rFonts w:ascii="Times New Roman" w:hAnsi="Times New Roman" w:cs="Times New Roman"/>
        </w:rPr>
      </w:pPr>
      <w:r w:rsidRPr="00FA7ADC">
        <w:rPr>
          <w:rFonts w:ascii="Times New Roman" w:hAnsi="Times New Roman" w:cs="Times New Roman"/>
        </w:rPr>
        <w:t xml:space="preserve">This legislative instrument is compatible with human rights because it promotes the protection of human rights, to the limited extent they are engaged. </w:t>
      </w:r>
    </w:p>
    <w:p w14:paraId="3D6B02E7" w14:textId="77777777" w:rsidR="004A5989" w:rsidRPr="00FA7ADC" w:rsidRDefault="00277E31" w:rsidP="00FA7ADC"/>
    <w:sectPr w:rsidR="004A5989" w:rsidRPr="00FA7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8C4"/>
    <w:multiLevelType w:val="hybridMultilevel"/>
    <w:tmpl w:val="93B4F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2378B"/>
    <w:multiLevelType w:val="hybridMultilevel"/>
    <w:tmpl w:val="2D0EDB46"/>
    <w:lvl w:ilvl="0" w:tplc="08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C79E0"/>
    <w:multiLevelType w:val="hybridMultilevel"/>
    <w:tmpl w:val="D760F6E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AE350D"/>
    <w:multiLevelType w:val="hybridMultilevel"/>
    <w:tmpl w:val="0088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8C51ED"/>
    <w:multiLevelType w:val="hybridMultilevel"/>
    <w:tmpl w:val="74F0B13C"/>
    <w:lvl w:ilvl="0" w:tplc="6018DF26">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A009B"/>
    <w:multiLevelType w:val="hybridMultilevel"/>
    <w:tmpl w:val="EBB28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7FF4CD8"/>
    <w:multiLevelType w:val="hybridMultilevel"/>
    <w:tmpl w:val="F98052C6"/>
    <w:lvl w:ilvl="0" w:tplc="FE549E92">
      <w:start w:val="1"/>
      <w:numFmt w:val="lowerLetter"/>
      <w:lvlText w:val="%1)"/>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F7"/>
    <w:rsid w:val="0000531F"/>
    <w:rsid w:val="00006A89"/>
    <w:rsid w:val="000140F8"/>
    <w:rsid w:val="00046DBE"/>
    <w:rsid w:val="000748BA"/>
    <w:rsid w:val="00087BB2"/>
    <w:rsid w:val="000C7054"/>
    <w:rsid w:val="000F73E4"/>
    <w:rsid w:val="00102B34"/>
    <w:rsid w:val="00106ABA"/>
    <w:rsid w:val="00136C07"/>
    <w:rsid w:val="0017214D"/>
    <w:rsid w:val="001B68BB"/>
    <w:rsid w:val="001D30F7"/>
    <w:rsid w:val="001E366E"/>
    <w:rsid w:val="001F3017"/>
    <w:rsid w:val="00250D10"/>
    <w:rsid w:val="00277E31"/>
    <w:rsid w:val="002955AA"/>
    <w:rsid w:val="002F5F66"/>
    <w:rsid w:val="00301FEE"/>
    <w:rsid w:val="00315316"/>
    <w:rsid w:val="003276FD"/>
    <w:rsid w:val="0038460D"/>
    <w:rsid w:val="00393306"/>
    <w:rsid w:val="00393C47"/>
    <w:rsid w:val="00414A5C"/>
    <w:rsid w:val="004229A4"/>
    <w:rsid w:val="004426B7"/>
    <w:rsid w:val="004474D7"/>
    <w:rsid w:val="004827CB"/>
    <w:rsid w:val="00494EB9"/>
    <w:rsid w:val="004B0472"/>
    <w:rsid w:val="005018CF"/>
    <w:rsid w:val="00511B36"/>
    <w:rsid w:val="005169AC"/>
    <w:rsid w:val="00524578"/>
    <w:rsid w:val="00566E6F"/>
    <w:rsid w:val="005B4C95"/>
    <w:rsid w:val="005F6C1A"/>
    <w:rsid w:val="00622C3A"/>
    <w:rsid w:val="00647197"/>
    <w:rsid w:val="0065200F"/>
    <w:rsid w:val="006630AE"/>
    <w:rsid w:val="006769B5"/>
    <w:rsid w:val="00697B99"/>
    <w:rsid w:val="006C3247"/>
    <w:rsid w:val="006C50B5"/>
    <w:rsid w:val="00712F17"/>
    <w:rsid w:val="00723FAF"/>
    <w:rsid w:val="007465EA"/>
    <w:rsid w:val="0075008F"/>
    <w:rsid w:val="007957FD"/>
    <w:rsid w:val="007B73BB"/>
    <w:rsid w:val="007C6F6C"/>
    <w:rsid w:val="0081395E"/>
    <w:rsid w:val="00817DD8"/>
    <w:rsid w:val="00827508"/>
    <w:rsid w:val="00837D8F"/>
    <w:rsid w:val="00864C93"/>
    <w:rsid w:val="0086591E"/>
    <w:rsid w:val="008C18E8"/>
    <w:rsid w:val="008E3B84"/>
    <w:rsid w:val="009172FB"/>
    <w:rsid w:val="00930F08"/>
    <w:rsid w:val="00935E65"/>
    <w:rsid w:val="00945945"/>
    <w:rsid w:val="0095659E"/>
    <w:rsid w:val="0097212A"/>
    <w:rsid w:val="0097291A"/>
    <w:rsid w:val="009A0648"/>
    <w:rsid w:val="009D533E"/>
    <w:rsid w:val="009E65C8"/>
    <w:rsid w:val="00A338DF"/>
    <w:rsid w:val="00A65D7E"/>
    <w:rsid w:val="00AA1861"/>
    <w:rsid w:val="00AB2292"/>
    <w:rsid w:val="00AC4157"/>
    <w:rsid w:val="00AE4E97"/>
    <w:rsid w:val="00B55C8D"/>
    <w:rsid w:val="00B979E1"/>
    <w:rsid w:val="00BA4087"/>
    <w:rsid w:val="00BE0FA8"/>
    <w:rsid w:val="00C013C8"/>
    <w:rsid w:val="00C6249B"/>
    <w:rsid w:val="00C64CF4"/>
    <w:rsid w:val="00C71D01"/>
    <w:rsid w:val="00C8294C"/>
    <w:rsid w:val="00CB0E83"/>
    <w:rsid w:val="00CB51F9"/>
    <w:rsid w:val="00CB5CC8"/>
    <w:rsid w:val="00CC00D6"/>
    <w:rsid w:val="00CC53AA"/>
    <w:rsid w:val="00CD4821"/>
    <w:rsid w:val="00CE232E"/>
    <w:rsid w:val="00D0314B"/>
    <w:rsid w:val="00D16C03"/>
    <w:rsid w:val="00D234CC"/>
    <w:rsid w:val="00D42907"/>
    <w:rsid w:val="00D45862"/>
    <w:rsid w:val="00D71FCF"/>
    <w:rsid w:val="00DA1DCC"/>
    <w:rsid w:val="00DC2CD2"/>
    <w:rsid w:val="00DC37FC"/>
    <w:rsid w:val="00DD7BAA"/>
    <w:rsid w:val="00E03BF8"/>
    <w:rsid w:val="00E1009A"/>
    <w:rsid w:val="00E1446D"/>
    <w:rsid w:val="00E46313"/>
    <w:rsid w:val="00E74FF9"/>
    <w:rsid w:val="00E90D50"/>
    <w:rsid w:val="00EA20BB"/>
    <w:rsid w:val="00EF6F86"/>
    <w:rsid w:val="00F20489"/>
    <w:rsid w:val="00F20CB9"/>
    <w:rsid w:val="00F37B04"/>
    <w:rsid w:val="00F4240D"/>
    <w:rsid w:val="00F4345F"/>
    <w:rsid w:val="00F47D28"/>
    <w:rsid w:val="00F8325E"/>
    <w:rsid w:val="00F910A3"/>
    <w:rsid w:val="00FA7ADC"/>
    <w:rsid w:val="00FF6B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EB62"/>
  <w15:chartTrackingRefBased/>
  <w15:docId w15:val="{93D83823-5669-4777-B923-966EADD8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0F7"/>
    <w:pPr>
      <w:spacing w:after="200" w:line="276" w:lineRule="auto"/>
    </w:pPr>
    <w:rPr>
      <w:lang w:val="en-AU"/>
    </w:rPr>
  </w:style>
  <w:style w:type="paragraph" w:styleId="Heading1">
    <w:name w:val="heading 1"/>
    <w:basedOn w:val="Normal"/>
    <w:next w:val="Normal"/>
    <w:link w:val="Heading1Char"/>
    <w:uiPriority w:val="9"/>
    <w:qFormat/>
    <w:rsid w:val="007B73BB"/>
    <w:pPr>
      <w:keepNext/>
      <w:spacing w:before="240" w:after="60"/>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49B"/>
    <w:pPr>
      <w:autoSpaceDE w:val="0"/>
      <w:autoSpaceDN w:val="0"/>
      <w:adjustRightInd w:val="0"/>
      <w:spacing w:after="0" w:line="240" w:lineRule="auto"/>
    </w:pPr>
    <w:rPr>
      <w:rFonts w:ascii="Times New Roman" w:hAnsi="Times New Roman" w:cs="Times New Roman"/>
      <w:color w:val="000000"/>
      <w:sz w:val="24"/>
      <w:szCs w:val="24"/>
      <w:lang w:val="en-AU"/>
    </w:rPr>
  </w:style>
  <w:style w:type="paragraph" w:customStyle="1" w:styleId="Paragraph">
    <w:name w:val="Paragraph"/>
    <w:basedOn w:val="Normal"/>
    <w:link w:val="ParagraphChar"/>
    <w:uiPriority w:val="99"/>
    <w:rsid w:val="00C6249B"/>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6249B"/>
    <w:rPr>
      <w:rFonts w:ascii="Times New Roman" w:eastAsia="Times New Roman" w:hAnsi="Times New Roman" w:cs="Times New Roman"/>
      <w:sz w:val="24"/>
      <w:szCs w:val="24"/>
      <w:lang w:val="en-AU" w:eastAsia="en-AU"/>
    </w:rPr>
  </w:style>
  <w:style w:type="paragraph" w:styleId="ListParagraph">
    <w:name w:val="List Paragraph"/>
    <w:basedOn w:val="Normal"/>
    <w:uiPriority w:val="34"/>
    <w:qFormat/>
    <w:rsid w:val="00C6249B"/>
    <w:pPr>
      <w:ind w:left="720"/>
      <w:contextualSpacing/>
    </w:pPr>
  </w:style>
  <w:style w:type="character" w:styleId="CommentReference">
    <w:name w:val="annotation reference"/>
    <w:basedOn w:val="DefaultParagraphFont"/>
    <w:uiPriority w:val="99"/>
    <w:semiHidden/>
    <w:unhideWhenUsed/>
    <w:rsid w:val="00F20489"/>
    <w:rPr>
      <w:sz w:val="16"/>
      <w:szCs w:val="16"/>
    </w:rPr>
  </w:style>
  <w:style w:type="paragraph" w:styleId="CommentText">
    <w:name w:val="annotation text"/>
    <w:basedOn w:val="Normal"/>
    <w:link w:val="CommentTextChar"/>
    <w:uiPriority w:val="99"/>
    <w:semiHidden/>
    <w:unhideWhenUsed/>
    <w:rsid w:val="00F20489"/>
    <w:pPr>
      <w:spacing w:line="240" w:lineRule="auto"/>
    </w:pPr>
    <w:rPr>
      <w:sz w:val="20"/>
      <w:szCs w:val="20"/>
    </w:rPr>
  </w:style>
  <w:style w:type="character" w:customStyle="1" w:styleId="CommentTextChar">
    <w:name w:val="Comment Text Char"/>
    <w:basedOn w:val="DefaultParagraphFont"/>
    <w:link w:val="CommentText"/>
    <w:uiPriority w:val="99"/>
    <w:semiHidden/>
    <w:rsid w:val="00F20489"/>
    <w:rPr>
      <w:sz w:val="20"/>
      <w:szCs w:val="20"/>
      <w:lang w:val="en-AU"/>
    </w:rPr>
  </w:style>
  <w:style w:type="paragraph" w:styleId="CommentSubject">
    <w:name w:val="annotation subject"/>
    <w:basedOn w:val="CommentText"/>
    <w:next w:val="CommentText"/>
    <w:link w:val="CommentSubjectChar"/>
    <w:uiPriority w:val="99"/>
    <w:semiHidden/>
    <w:unhideWhenUsed/>
    <w:rsid w:val="00F20489"/>
    <w:rPr>
      <w:b/>
      <w:bCs/>
    </w:rPr>
  </w:style>
  <w:style w:type="character" w:customStyle="1" w:styleId="CommentSubjectChar">
    <w:name w:val="Comment Subject Char"/>
    <w:basedOn w:val="CommentTextChar"/>
    <w:link w:val="CommentSubject"/>
    <w:uiPriority w:val="99"/>
    <w:semiHidden/>
    <w:rsid w:val="00F20489"/>
    <w:rPr>
      <w:b/>
      <w:bCs/>
      <w:sz w:val="20"/>
      <w:szCs w:val="20"/>
      <w:lang w:val="en-AU"/>
    </w:rPr>
  </w:style>
  <w:style w:type="paragraph" w:styleId="BalloonText">
    <w:name w:val="Balloon Text"/>
    <w:basedOn w:val="Normal"/>
    <w:link w:val="BalloonTextChar"/>
    <w:uiPriority w:val="99"/>
    <w:semiHidden/>
    <w:unhideWhenUsed/>
    <w:rsid w:val="00F204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489"/>
    <w:rPr>
      <w:rFonts w:ascii="Segoe UI" w:hAnsi="Segoe UI" w:cs="Segoe UI"/>
      <w:sz w:val="18"/>
      <w:szCs w:val="18"/>
      <w:lang w:val="en-AU"/>
    </w:rPr>
  </w:style>
  <w:style w:type="character" w:customStyle="1" w:styleId="Heading1Char">
    <w:name w:val="Heading 1 Char"/>
    <w:basedOn w:val="DefaultParagraphFont"/>
    <w:link w:val="Heading1"/>
    <w:uiPriority w:val="9"/>
    <w:rsid w:val="007B73BB"/>
    <w:rPr>
      <w:rFonts w:ascii="Cambria" w:eastAsia="Times New Roman" w:hAnsi="Cambria" w:cs="Times New Roman"/>
      <w:bCs/>
      <w:caps/>
      <w:kern w:val="32"/>
      <w:sz w:val="32"/>
      <w:szCs w:val="32"/>
      <w:lang w:val="en-AU"/>
    </w:rPr>
  </w:style>
  <w:style w:type="paragraph" w:styleId="Revision">
    <w:name w:val="Revision"/>
    <w:hidden/>
    <w:uiPriority w:val="99"/>
    <w:semiHidden/>
    <w:rsid w:val="001E366E"/>
    <w:pPr>
      <w:spacing w:after="0" w:line="240" w:lineRule="auto"/>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7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56CE1FE-38FC-40B8-B0B2-D5C6FF37B9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9084628A5017D44BE0759EBA3D19519" ma:contentTypeVersion="" ma:contentTypeDescription="PDMS Document Site Content Type" ma:contentTypeScope="" ma:versionID="83978af25b6afd394fafc1ad9ffa6000">
  <xsd:schema xmlns:xsd="http://www.w3.org/2001/XMLSchema" xmlns:xs="http://www.w3.org/2001/XMLSchema" xmlns:p="http://schemas.microsoft.com/office/2006/metadata/properties" xmlns:ns2="156CE1FE-38FC-40B8-B0B2-D5C6FF37B9E5" targetNamespace="http://schemas.microsoft.com/office/2006/metadata/properties" ma:root="true" ma:fieldsID="794b803bd7f029ee1191d8fc69d4c71c" ns2:_="">
    <xsd:import namespace="156CE1FE-38FC-40B8-B0B2-D5C6FF37B9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CE1FE-38FC-40B8-B0B2-D5C6FF37B9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881A3-B613-406B-BBDF-C8745B81D9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56CE1FE-38FC-40B8-B0B2-D5C6FF37B9E5"/>
    <ds:schemaRef ds:uri="http://www.w3.org/XML/1998/namespace"/>
    <ds:schemaRef ds:uri="http://purl.org/dc/dcmitype/"/>
  </ds:schemaRefs>
</ds:datastoreItem>
</file>

<file path=customXml/itemProps2.xml><?xml version="1.0" encoding="utf-8"?>
<ds:datastoreItem xmlns:ds="http://schemas.openxmlformats.org/officeDocument/2006/customXml" ds:itemID="{BD701333-B208-45FD-B302-2FB09959FC67}">
  <ds:schemaRefs>
    <ds:schemaRef ds:uri="http://schemas.microsoft.com/sharepoint/v3/contenttype/forms"/>
  </ds:schemaRefs>
</ds:datastoreItem>
</file>

<file path=customXml/itemProps3.xml><?xml version="1.0" encoding="utf-8"?>
<ds:datastoreItem xmlns:ds="http://schemas.openxmlformats.org/officeDocument/2006/customXml" ds:itemID="{01052323-D288-4ACD-90C2-7C173CA52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CE1FE-38FC-40B8-B0B2-D5C6FF37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628CA8-3FF8-427B-AC39-5C4A02191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Chloe</dc:creator>
  <cp:keywords/>
  <dc:description/>
  <cp:lastModifiedBy>Weller, Courtney</cp:lastModifiedBy>
  <cp:revision>2</cp:revision>
  <dcterms:created xsi:type="dcterms:W3CDTF">2020-06-26T01:16:00Z</dcterms:created>
  <dcterms:modified xsi:type="dcterms:W3CDTF">2020-06-26T01:16:00Z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0x010100266966F133664895A6EE3632470D45F500F9084628A5017D44BE0759EBA3D19519</vt:lpwstr>
  </property>
</Properties>
</file>