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C85162" w:rsidRDefault="00FA6784" w:rsidP="00FA6784">
      <w:pPr>
        <w:pStyle w:val="H3"/>
        <w:jc w:val="center"/>
        <w:rPr>
          <w:sz w:val="24"/>
          <w:szCs w:val="24"/>
        </w:rPr>
      </w:pPr>
      <w:r w:rsidRPr="00C85162">
        <w:rPr>
          <w:sz w:val="24"/>
          <w:szCs w:val="24"/>
        </w:rPr>
        <w:t>EXPLANATORY STATEMENT</w:t>
      </w:r>
    </w:p>
    <w:p w14:paraId="2412D122" w14:textId="42886681" w:rsidR="00FA6784" w:rsidRPr="00C85162" w:rsidRDefault="00FA6784" w:rsidP="00840091">
      <w:pPr>
        <w:rPr>
          <w:i/>
          <w:iCs/>
          <w:sz w:val="20"/>
        </w:rPr>
      </w:pPr>
    </w:p>
    <w:p w14:paraId="2412D123" w14:textId="77777777" w:rsidR="00FA6784" w:rsidRPr="00C85162" w:rsidRDefault="00FA6784" w:rsidP="00FA6784">
      <w:pPr>
        <w:jc w:val="center"/>
        <w:rPr>
          <w:i/>
          <w:iCs/>
        </w:rPr>
      </w:pPr>
      <w:r w:rsidRPr="00C85162">
        <w:rPr>
          <w:i/>
          <w:iCs/>
        </w:rPr>
        <w:t>Health Insurance Act 1973</w:t>
      </w:r>
    </w:p>
    <w:p w14:paraId="2412D124" w14:textId="77777777" w:rsidR="00A1739A" w:rsidRPr="00C85162" w:rsidRDefault="00A1739A" w:rsidP="00A1739A">
      <w:pPr>
        <w:rPr>
          <w:szCs w:val="24"/>
          <w:highlight w:val="yellow"/>
          <w:u w:val="single"/>
        </w:rPr>
      </w:pPr>
    </w:p>
    <w:p w14:paraId="0672E813" w14:textId="3238ECD4" w:rsidR="001B7F67" w:rsidRPr="00161CCF" w:rsidRDefault="001B7F67" w:rsidP="00161CCF">
      <w:pPr>
        <w:ind w:right="-23"/>
        <w:jc w:val="center"/>
        <w:rPr>
          <w:i/>
          <w:iCs/>
        </w:rPr>
      </w:pPr>
      <w:r w:rsidRPr="00161CCF">
        <w:rPr>
          <w:i/>
          <w:iCs/>
        </w:rPr>
        <w:t xml:space="preserve">Health Insurance </w:t>
      </w:r>
      <w:r w:rsidR="00A327DD" w:rsidRPr="00161CCF">
        <w:rPr>
          <w:i/>
          <w:iCs/>
        </w:rPr>
        <w:t xml:space="preserve">(Section 3C </w:t>
      </w:r>
      <w:r w:rsidR="007B6505" w:rsidRPr="00161CCF">
        <w:rPr>
          <w:i/>
          <w:iCs/>
        </w:rPr>
        <w:t>Midwife and Nurse Practitioner</w:t>
      </w:r>
      <w:r w:rsidR="0062518C" w:rsidRPr="00161CCF">
        <w:rPr>
          <w:i/>
          <w:iCs/>
        </w:rPr>
        <w:t xml:space="preserve"> Services</w:t>
      </w:r>
      <w:r w:rsidR="007B6505" w:rsidRPr="00161CCF">
        <w:rPr>
          <w:i/>
          <w:iCs/>
        </w:rPr>
        <w:t>)</w:t>
      </w:r>
      <w:r w:rsidRPr="00161CCF">
        <w:rPr>
          <w:i/>
          <w:iCs/>
        </w:rPr>
        <w:t xml:space="preserve"> Determination 20</w:t>
      </w:r>
      <w:r w:rsidR="00A327DD" w:rsidRPr="00161CCF">
        <w:rPr>
          <w:i/>
          <w:iCs/>
        </w:rPr>
        <w:t>20</w:t>
      </w:r>
    </w:p>
    <w:p w14:paraId="4C964DC9" w14:textId="77777777" w:rsidR="007F21C2" w:rsidRPr="00161CCF" w:rsidRDefault="007F21C2" w:rsidP="007F21C2">
      <w:pPr>
        <w:ind w:right="-483"/>
        <w:jc w:val="center"/>
        <w:rPr>
          <w:i/>
          <w:iCs/>
        </w:rPr>
      </w:pPr>
    </w:p>
    <w:p w14:paraId="7125DC46" w14:textId="77777777" w:rsidR="00840091" w:rsidRPr="00161CCF" w:rsidRDefault="00840091" w:rsidP="00161CCF">
      <w:pPr>
        <w:tabs>
          <w:tab w:val="left" w:pos="0"/>
        </w:tabs>
        <w:spacing w:line="279" w:lineRule="exact"/>
        <w:ind w:right="119"/>
        <w:rPr>
          <w:color w:val="000000"/>
          <w:shd w:val="clear" w:color="auto" w:fill="FFFFFF"/>
        </w:rPr>
      </w:pPr>
      <w:r w:rsidRPr="00D87426">
        <w:rPr>
          <w:color w:val="000000"/>
          <w:shd w:val="clear" w:color="auto" w:fill="FFFFFF"/>
        </w:rPr>
        <w:t xml:space="preserve">Subsection 3C(1) of the </w:t>
      </w:r>
      <w:r w:rsidRPr="00161CCF">
        <w:rPr>
          <w:color w:val="000000"/>
          <w:shd w:val="clear" w:color="auto" w:fill="FFFFFF"/>
        </w:rPr>
        <w:t>Health Insurance Act 1973</w:t>
      </w:r>
      <w:r w:rsidRPr="00D87426">
        <w:rPr>
          <w:color w:val="000000"/>
          <w:shd w:val="clear" w:color="auto" w:fill="FFFFFF"/>
        </w:rPr>
        <w:t xml:space="preserve"> (the Act) </w:t>
      </w:r>
      <w:r>
        <w:rPr>
          <w:color w:val="000000"/>
          <w:shd w:val="clear" w:color="auto" w:fill="FFFFFF"/>
        </w:rPr>
        <w:t xml:space="preserve">provides that </w:t>
      </w:r>
      <w:r w:rsidRPr="00D87426">
        <w:rPr>
          <w:color w:val="000000"/>
          <w:shd w:val="clear" w:color="auto" w:fill="FFFFFF"/>
        </w:rPr>
        <w:t xml:space="preserve">the Minister </w:t>
      </w:r>
      <w:r>
        <w:rPr>
          <w:color w:val="000000"/>
          <w:shd w:val="clear" w:color="auto" w:fill="FFFFFF"/>
        </w:rPr>
        <w:t>may</w:t>
      </w:r>
      <w:r w:rsidRPr="00D87426">
        <w:rPr>
          <w:color w:val="000000"/>
          <w:shd w:val="clear" w:color="auto" w:fill="FFFFFF"/>
        </w:rPr>
        <w:t xml:space="preserve">, by legislative instrument, determine that a health service not specified in an item in the </w:t>
      </w:r>
      <w:r>
        <w:rPr>
          <w:color w:val="000000"/>
          <w:shd w:val="clear" w:color="auto" w:fill="FFFFFF"/>
        </w:rPr>
        <w:t xml:space="preserve">general medical </w:t>
      </w:r>
      <w:r w:rsidRPr="00A26264">
        <w:rPr>
          <w:color w:val="000000"/>
          <w:shd w:val="clear" w:color="auto" w:fill="FFFFFF"/>
        </w:rPr>
        <w:t>services table (the Table) shall, in specified circumstances and for specified statutory provisions, be treated as if it were specified in the Table.</w:t>
      </w:r>
    </w:p>
    <w:p w14:paraId="54804AE9" w14:textId="77777777" w:rsidR="00840091" w:rsidRPr="00A26264" w:rsidRDefault="00840091" w:rsidP="00161CC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ind w:right="119"/>
        <w:rPr>
          <w:color w:val="000000"/>
          <w:shd w:val="clear" w:color="auto" w:fill="FFFFFF"/>
        </w:rPr>
      </w:pPr>
    </w:p>
    <w:p w14:paraId="58C6B29F" w14:textId="77777777" w:rsidR="00840091" w:rsidRPr="00161CCF" w:rsidRDefault="00840091" w:rsidP="00161CC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ind w:right="119"/>
        <w:rPr>
          <w:color w:val="000000"/>
          <w:shd w:val="clear" w:color="auto" w:fill="FFFFFF"/>
        </w:rPr>
      </w:pPr>
      <w:r w:rsidRPr="00161CCF">
        <w:rPr>
          <w:color w:val="000000"/>
          <w:shd w:val="clear" w:color="auto" w:fill="FFFFFF"/>
        </w:rPr>
        <w:t xml:space="preserve">The Table is set out in the regulations made under subsection 4(1) of the Act. </w:t>
      </w:r>
    </w:p>
    <w:p w14:paraId="59BF5FC4" w14:textId="77777777" w:rsidR="00840091" w:rsidRPr="00161CCF" w:rsidRDefault="00840091" w:rsidP="00161CC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ind w:right="119"/>
        <w:rPr>
          <w:color w:val="000000"/>
          <w:shd w:val="clear" w:color="auto" w:fill="FFFFFF"/>
        </w:rPr>
      </w:pPr>
    </w:p>
    <w:p w14:paraId="1DC9D286" w14:textId="77777777" w:rsidR="00840091" w:rsidRPr="00161CCF" w:rsidRDefault="00840091" w:rsidP="00161CC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ind w:right="119"/>
        <w:rPr>
          <w:color w:val="000000"/>
          <w:shd w:val="clear" w:color="auto" w:fill="FFFFFF"/>
        </w:rPr>
      </w:pPr>
      <w:r w:rsidRPr="00161CCF">
        <w:rPr>
          <w:color w:val="000000"/>
          <w:shd w:val="clear" w:color="auto" w:fill="FFFFFF"/>
        </w:rPr>
        <w:t xml:space="preserve">This instrument relies on subsection 33(3) of the </w:t>
      </w:r>
      <w:r w:rsidRPr="00161CCF">
        <w:rPr>
          <w:i/>
          <w:color w:val="000000"/>
          <w:shd w:val="clear" w:color="auto" w:fill="FFFFFF"/>
        </w:rPr>
        <w:t>Acts Interpretation Act 1901</w:t>
      </w:r>
      <w:r w:rsidRPr="00161CCF">
        <w:rPr>
          <w:color w:val="000000"/>
          <w:shd w:val="clear" w:color="auto" w:fill="FFFFFF"/>
        </w:rPr>
        <w:t xml:space="preserve"> (AIA).  Subsection 33(3) of the AIA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7CB6734" w14:textId="77777777" w:rsidR="007F21C2" w:rsidRPr="007569C1" w:rsidRDefault="007F21C2" w:rsidP="007F21C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zCs w:val="24"/>
          <w:shd w:val="clear" w:color="auto" w:fill="FFFFFF"/>
        </w:rPr>
      </w:pPr>
    </w:p>
    <w:p w14:paraId="39F9C75E" w14:textId="77777777" w:rsidR="007F21C2" w:rsidRPr="00CD4A21" w:rsidRDefault="007F21C2" w:rsidP="007F21C2">
      <w:pPr>
        <w:rPr>
          <w:b/>
          <w:szCs w:val="24"/>
          <w:lang w:val="en-US" w:eastAsia="en-US"/>
        </w:rPr>
      </w:pPr>
      <w:r w:rsidRPr="00CD4A21">
        <w:rPr>
          <w:b/>
          <w:szCs w:val="24"/>
          <w:lang w:val="en-US" w:eastAsia="en-US"/>
        </w:rPr>
        <w:t>Purpose</w:t>
      </w:r>
    </w:p>
    <w:p w14:paraId="7B71FCDD" w14:textId="713020E8" w:rsidR="008774AA" w:rsidRDefault="008774AA" w:rsidP="008774AA">
      <w:pPr>
        <w:rPr>
          <w:szCs w:val="24"/>
          <w:lang w:val="en-US" w:eastAsia="en-US"/>
        </w:rPr>
      </w:pPr>
      <w:r w:rsidRPr="00127B00">
        <w:rPr>
          <w:szCs w:val="24"/>
          <w:lang w:val="en-US" w:eastAsia="en-US"/>
        </w:rPr>
        <w:t xml:space="preserve">The purpose of the </w:t>
      </w:r>
      <w:r w:rsidRPr="00127B00">
        <w:rPr>
          <w:i/>
          <w:szCs w:val="24"/>
          <w:lang w:val="en-US" w:eastAsia="en-US"/>
        </w:rPr>
        <w:t xml:space="preserve">Health Insurance (Section 3C </w:t>
      </w:r>
      <w:r>
        <w:rPr>
          <w:i/>
          <w:szCs w:val="24"/>
          <w:lang w:val="en-US" w:eastAsia="en-US"/>
        </w:rPr>
        <w:t>Midwife and Nurse Practitioner</w:t>
      </w:r>
      <w:r w:rsidRPr="00127B00">
        <w:rPr>
          <w:i/>
          <w:szCs w:val="24"/>
          <w:lang w:val="en-US" w:eastAsia="en-US"/>
        </w:rPr>
        <w:t>) Determination 2020</w:t>
      </w:r>
      <w:r>
        <w:rPr>
          <w:szCs w:val="24"/>
          <w:lang w:val="en-US" w:eastAsia="en-US"/>
        </w:rPr>
        <w:t xml:space="preserve"> (the Determination) </w:t>
      </w:r>
      <w:r w:rsidRPr="00127B00">
        <w:rPr>
          <w:szCs w:val="24"/>
          <w:lang w:val="en-US" w:eastAsia="en-US"/>
        </w:rPr>
        <w:t xml:space="preserve">is to repeal </w:t>
      </w:r>
      <w:r w:rsidR="00161CCF">
        <w:rPr>
          <w:szCs w:val="24"/>
          <w:lang w:val="en-US" w:eastAsia="en-US"/>
        </w:rPr>
        <w:t xml:space="preserve">and remake </w:t>
      </w:r>
      <w:r w:rsidRPr="00127B00">
        <w:rPr>
          <w:szCs w:val="24"/>
          <w:lang w:val="en-US" w:eastAsia="en-US"/>
        </w:rPr>
        <w:t xml:space="preserve">the </w:t>
      </w:r>
      <w:r w:rsidRPr="00573B2B">
        <w:rPr>
          <w:i/>
          <w:szCs w:val="24"/>
          <w:lang w:val="en-US" w:eastAsia="en-US"/>
        </w:rPr>
        <w:t>Health Insurance (</w:t>
      </w:r>
      <w:r>
        <w:rPr>
          <w:i/>
          <w:szCs w:val="24"/>
          <w:lang w:val="en-US" w:eastAsia="en-US"/>
        </w:rPr>
        <w:t>Midwife and Nurse Practitioner</w:t>
      </w:r>
      <w:r w:rsidRPr="00573B2B">
        <w:rPr>
          <w:i/>
          <w:szCs w:val="24"/>
          <w:lang w:val="en-US" w:eastAsia="en-US"/>
        </w:rPr>
        <w:t>) Determination</w:t>
      </w:r>
      <w:r>
        <w:rPr>
          <w:i/>
          <w:szCs w:val="24"/>
          <w:lang w:val="en-US" w:eastAsia="en-US"/>
        </w:rPr>
        <w:t xml:space="preserve"> 2015 </w:t>
      </w:r>
      <w:r>
        <w:rPr>
          <w:szCs w:val="24"/>
          <w:lang w:val="en-US" w:eastAsia="en-US"/>
        </w:rPr>
        <w:t>(the previous Determination)</w:t>
      </w:r>
      <w:r w:rsidRPr="00573B2B">
        <w:rPr>
          <w:i/>
          <w:szCs w:val="24"/>
          <w:lang w:val="en-US" w:eastAsia="en-US"/>
        </w:rPr>
        <w:t xml:space="preserve"> </w:t>
      </w:r>
      <w:r w:rsidRPr="00127B00">
        <w:rPr>
          <w:szCs w:val="24"/>
          <w:lang w:val="en-US" w:eastAsia="en-US"/>
        </w:rPr>
        <w:t xml:space="preserve">and prescribe a new table of </w:t>
      </w:r>
      <w:r>
        <w:rPr>
          <w:szCs w:val="24"/>
          <w:lang w:val="en-US" w:eastAsia="en-US"/>
        </w:rPr>
        <w:t>midwife and nurse practitioner services from 1 July 2020</w:t>
      </w:r>
      <w:r w:rsidRPr="00127B00">
        <w:rPr>
          <w:szCs w:val="24"/>
          <w:lang w:val="en-US" w:eastAsia="en-US"/>
        </w:rPr>
        <w:t xml:space="preserve">. This will ensure that Medicare benefits continue to be payable for </w:t>
      </w:r>
      <w:r>
        <w:rPr>
          <w:szCs w:val="24"/>
          <w:lang w:val="en-US" w:eastAsia="en-US"/>
        </w:rPr>
        <w:t>midwife and nurse practitioner services</w:t>
      </w:r>
      <w:r w:rsidRPr="00127B00">
        <w:rPr>
          <w:szCs w:val="24"/>
          <w:lang w:val="en-US" w:eastAsia="en-US"/>
        </w:rPr>
        <w:t xml:space="preserve"> performed by </w:t>
      </w:r>
      <w:r>
        <w:rPr>
          <w:szCs w:val="24"/>
          <w:lang w:val="en-US" w:eastAsia="en-US"/>
        </w:rPr>
        <w:t>those practitioners.</w:t>
      </w:r>
    </w:p>
    <w:p w14:paraId="5EFEA6AA" w14:textId="77777777" w:rsidR="008774AA" w:rsidRDefault="008774AA" w:rsidP="008774AA">
      <w:pPr>
        <w:rPr>
          <w:szCs w:val="24"/>
          <w:lang w:val="en-US" w:eastAsia="en-US"/>
        </w:rPr>
      </w:pPr>
    </w:p>
    <w:p w14:paraId="5EC1E677" w14:textId="77777777" w:rsidR="00840091" w:rsidRDefault="008774AA" w:rsidP="00840091">
      <w:r w:rsidRPr="00AB147D">
        <w:rPr>
          <w:szCs w:val="24"/>
          <w:lang w:val="en-US" w:eastAsia="en-US"/>
        </w:rPr>
        <w:t xml:space="preserve">This Determination will </w:t>
      </w:r>
      <w:r>
        <w:rPr>
          <w:szCs w:val="24"/>
          <w:lang w:val="en-US" w:eastAsia="en-US"/>
        </w:rPr>
        <w:t xml:space="preserve">also apply indexation for midwife and nurse practitioner services by replacing the fees in the previous Determination with fees indexed by 1.5%. </w:t>
      </w:r>
      <w:r w:rsidR="00840091" w:rsidRPr="007236E3">
        <w:rPr>
          <w:szCs w:val="24"/>
        </w:rPr>
        <w:t>This reflects the Government’s policy regarding Medicare indexation</w:t>
      </w:r>
      <w:r w:rsidR="00840091">
        <w:rPr>
          <w:szCs w:val="24"/>
        </w:rPr>
        <w:t xml:space="preserve"> </w:t>
      </w:r>
      <w:r w:rsidR="00840091">
        <w:t>and means that patients will receive a higher Medicare benefit for these services from 1 July 2020.</w:t>
      </w:r>
    </w:p>
    <w:p w14:paraId="0A8069CA" w14:textId="77777777" w:rsidR="00840091" w:rsidRDefault="00840091" w:rsidP="00840091"/>
    <w:p w14:paraId="1BE29999" w14:textId="3C40516C" w:rsidR="008774AA" w:rsidRPr="00840091" w:rsidRDefault="00840091" w:rsidP="00840091">
      <w:pPr>
        <w:rPr>
          <w:rFonts w:ascii="Helvetica Neue" w:hAnsi="Helvetica Neue"/>
          <w:szCs w:val="24"/>
          <w:lang w:val="en-US"/>
        </w:rPr>
      </w:pPr>
      <w:r w:rsidRPr="00A853D1">
        <w:rPr>
          <w:b/>
        </w:rPr>
        <w:t>Consultation</w:t>
      </w:r>
    </w:p>
    <w:p w14:paraId="65F92AB0" w14:textId="2A832582" w:rsidR="00840091" w:rsidRDefault="00840091" w:rsidP="00840091">
      <w:pPr>
        <w:rPr>
          <w:szCs w:val="24"/>
        </w:rPr>
      </w:pPr>
      <w:r>
        <w:t xml:space="preserve">In the 2017-18 Budget, the Government announced the re-commencement of indexation of Medicare benefits under the </w:t>
      </w:r>
      <w:r>
        <w:rPr>
          <w:i/>
          <w:iCs/>
        </w:rPr>
        <w:t xml:space="preserve">Guaranteeing Medicare - Medicare </w:t>
      </w:r>
      <w:r w:rsidRPr="00302CB2">
        <w:rPr>
          <w:i/>
          <w:iCs/>
        </w:rPr>
        <w:t>Benefits Schedule - indexation</w:t>
      </w:r>
      <w:r w:rsidRPr="00302CB2">
        <w:t xml:space="preserve"> measure. This instrument will continue the Government’s policy regarding indexation by indexing the schedule fees </w:t>
      </w:r>
      <w:r w:rsidR="00161CCF">
        <w:t>for these services</w:t>
      </w:r>
      <w:r w:rsidRPr="00302CB2">
        <w:t>.</w:t>
      </w:r>
      <w:r>
        <w:t xml:space="preserve"> </w:t>
      </w:r>
    </w:p>
    <w:p w14:paraId="22E79122" w14:textId="77777777" w:rsidR="00840091" w:rsidRDefault="00840091" w:rsidP="00840091">
      <w:pPr>
        <w:rPr>
          <w:rFonts w:ascii="Calibri" w:hAnsi="Calibri" w:cs="Calibri"/>
          <w:sz w:val="22"/>
          <w:szCs w:val="22"/>
          <w:lang w:eastAsia="en-US"/>
        </w:rPr>
      </w:pPr>
    </w:p>
    <w:p w14:paraId="41B525D9" w14:textId="6FFF249C" w:rsidR="0043782E" w:rsidRDefault="00840091" w:rsidP="00840091">
      <w:r>
        <w:t xml:space="preserve">No consultation was undertaken on this instrument as it continues the business-as-usual implementation of the Government’s policy on Medicare indexation, which is expected by stakeholders to be applied on 1 July of each year. </w:t>
      </w:r>
      <w:r w:rsidR="0043782E" w:rsidRPr="0043782E">
        <w:t>The complete list of all indexed fees is available in the Medicare Benefits Schedule xml data file which is available for anyone to download on MBS Online (www.mbsonline.gov.au).</w:t>
      </w:r>
      <w:bookmarkStart w:id="0" w:name="_GoBack"/>
      <w:bookmarkEnd w:id="0"/>
    </w:p>
    <w:p w14:paraId="28E2285D" w14:textId="77777777" w:rsidR="00F33DA2" w:rsidRDefault="00F33DA2" w:rsidP="007F21C2">
      <w:pPr>
        <w:rPr>
          <w:rFonts w:eastAsiaTheme="minorHAnsi"/>
          <w:szCs w:val="24"/>
          <w:lang w:eastAsia="en-US"/>
        </w:rPr>
      </w:pPr>
    </w:p>
    <w:p w14:paraId="17B71EC2" w14:textId="6378BBCA" w:rsidR="00F56699" w:rsidRPr="00A853D1" w:rsidRDefault="00F56699" w:rsidP="00F56699">
      <w:pPr>
        <w:rPr>
          <w:szCs w:val="24"/>
        </w:rPr>
      </w:pPr>
      <w:r w:rsidRPr="00F33DA2">
        <w:rPr>
          <w:szCs w:val="24"/>
        </w:rPr>
        <w:t>Details of the Determination</w:t>
      </w:r>
      <w:r w:rsidRPr="00A853D1">
        <w:rPr>
          <w:szCs w:val="24"/>
        </w:rPr>
        <w:t xml:space="preserve"> are set out in the </w:t>
      </w:r>
      <w:r w:rsidRPr="00161CCF">
        <w:rPr>
          <w:szCs w:val="24"/>
          <w:u w:val="single"/>
        </w:rPr>
        <w:t>Attachment</w:t>
      </w:r>
      <w:r w:rsidRPr="00A853D1">
        <w:rPr>
          <w:szCs w:val="24"/>
        </w:rPr>
        <w:t>.</w:t>
      </w:r>
    </w:p>
    <w:p w14:paraId="627754D2" w14:textId="77777777" w:rsidR="00161CCF" w:rsidRDefault="00161CCF" w:rsidP="00161CCF">
      <w:pPr>
        <w:tabs>
          <w:tab w:val="left" w:pos="567"/>
        </w:tabs>
        <w:spacing w:before="240"/>
        <w:rPr>
          <w:szCs w:val="24"/>
        </w:rPr>
      </w:pPr>
      <w:r w:rsidRPr="00A853D1">
        <w:rPr>
          <w:szCs w:val="24"/>
        </w:rPr>
        <w:t xml:space="preserve">The Determination commences </w:t>
      </w:r>
      <w:r>
        <w:rPr>
          <w:szCs w:val="24"/>
        </w:rPr>
        <w:t xml:space="preserve">on 1 July 2020. </w:t>
      </w:r>
    </w:p>
    <w:p w14:paraId="16FDDCA6" w14:textId="77777777" w:rsidR="00161CCF" w:rsidRPr="00A853D1" w:rsidRDefault="00161CCF" w:rsidP="00161CCF">
      <w:pPr>
        <w:rPr>
          <w:szCs w:val="24"/>
        </w:rPr>
      </w:pPr>
    </w:p>
    <w:p w14:paraId="450125EA" w14:textId="39289863" w:rsidR="008817E5" w:rsidRPr="00161CCF" w:rsidRDefault="00161CCF" w:rsidP="00161CCF">
      <w:pPr>
        <w:spacing w:after="200" w:line="276" w:lineRule="auto"/>
        <w:ind w:right="-483"/>
        <w:rPr>
          <w:szCs w:val="24"/>
        </w:rPr>
      </w:pPr>
      <w:r>
        <w:rPr>
          <w:szCs w:val="24"/>
        </w:rPr>
        <w:lastRenderedPageBreak/>
        <w:t>T</w:t>
      </w:r>
      <w:r w:rsidRPr="00A853D1">
        <w:rPr>
          <w:szCs w:val="24"/>
        </w:rPr>
        <w:t xml:space="preserve">he Determination is a legislative instrument for the purposes of the </w:t>
      </w:r>
      <w:r w:rsidRPr="00A853D1">
        <w:rPr>
          <w:i/>
        </w:rPr>
        <w:t>Legislation Act 2003</w:t>
      </w:r>
      <w:r w:rsidRPr="00A853D1">
        <w:rPr>
          <w:szCs w:val="24"/>
        </w:rPr>
        <w:t xml:space="preserve">.           </w:t>
      </w:r>
    </w:p>
    <w:p w14:paraId="2412D13A" w14:textId="3C1D242A" w:rsidR="00A1739A" w:rsidRPr="00A853D1" w:rsidRDefault="00A1739A" w:rsidP="00161CCF">
      <w:pPr>
        <w:ind w:left="6663" w:hanging="2127"/>
        <w:rPr>
          <w:szCs w:val="24"/>
        </w:rPr>
      </w:pPr>
      <w:r w:rsidRPr="00A853D1">
        <w:rPr>
          <w:szCs w:val="24"/>
          <w:u w:val="single"/>
        </w:rPr>
        <w:t>Authority</w:t>
      </w:r>
      <w:r w:rsidR="00967E51" w:rsidRPr="00A853D1">
        <w:rPr>
          <w:szCs w:val="24"/>
        </w:rPr>
        <w:t xml:space="preserve">:     Subsection </w:t>
      </w:r>
      <w:r w:rsidRPr="00A853D1">
        <w:rPr>
          <w:szCs w:val="24"/>
        </w:rPr>
        <w:t>3</w:t>
      </w:r>
      <w:r w:rsidR="00967E51" w:rsidRPr="00A853D1">
        <w:rPr>
          <w:szCs w:val="24"/>
        </w:rPr>
        <w:t>C</w:t>
      </w:r>
      <w:r w:rsidRPr="00A853D1">
        <w:rPr>
          <w:szCs w:val="24"/>
        </w:rPr>
        <w:t xml:space="preserve">(1) of the </w:t>
      </w:r>
    </w:p>
    <w:p w14:paraId="15A63A27" w14:textId="45F7FFA7" w:rsidR="00AE7239" w:rsidRDefault="00A1739A" w:rsidP="00161CCF">
      <w:pPr>
        <w:rPr>
          <w:i/>
          <w:szCs w:val="24"/>
        </w:rPr>
        <w:sectPr w:rsidR="00AE7239" w:rsidSect="00161CCF">
          <w:headerReference w:type="even" r:id="rId11"/>
          <w:headerReference w:type="default" r:id="rId12"/>
          <w:footerReference w:type="even" r:id="rId13"/>
          <w:footerReference w:type="default" r:id="rId14"/>
          <w:headerReference w:type="first" r:id="rId15"/>
          <w:footerReference w:type="first" r:id="rId16"/>
          <w:pgSz w:w="11906" w:h="16838"/>
          <w:pgMar w:top="1276" w:right="1558" w:bottom="1440" w:left="1440" w:header="720" w:footer="720" w:gutter="0"/>
          <w:paperSrc w:first="7" w:other="7"/>
          <w:pgNumType w:start="1"/>
          <w:cols w:space="720"/>
          <w:titlePg/>
          <w:docGrid w:linePitch="326"/>
        </w:sectPr>
      </w:pPr>
      <w:r w:rsidRPr="00A853D1">
        <w:rPr>
          <w:i/>
          <w:szCs w:val="24"/>
        </w:rPr>
        <w:tab/>
      </w:r>
      <w:r w:rsidR="00161CCF">
        <w:rPr>
          <w:i/>
          <w:szCs w:val="24"/>
        </w:rPr>
        <w:tab/>
      </w:r>
      <w:r w:rsidR="00161CCF">
        <w:rPr>
          <w:i/>
          <w:szCs w:val="24"/>
        </w:rPr>
        <w:tab/>
      </w:r>
      <w:r w:rsidR="00161CCF">
        <w:rPr>
          <w:i/>
          <w:szCs w:val="24"/>
        </w:rPr>
        <w:tab/>
      </w:r>
      <w:r w:rsidR="00161CCF">
        <w:rPr>
          <w:i/>
          <w:szCs w:val="24"/>
        </w:rPr>
        <w:tab/>
      </w:r>
      <w:r w:rsidR="00161CCF">
        <w:rPr>
          <w:i/>
          <w:szCs w:val="24"/>
        </w:rPr>
        <w:tab/>
      </w:r>
      <w:r w:rsidR="00161CCF">
        <w:rPr>
          <w:i/>
          <w:szCs w:val="24"/>
        </w:rPr>
        <w:tab/>
      </w:r>
      <w:r w:rsidR="00161CCF">
        <w:rPr>
          <w:i/>
          <w:szCs w:val="24"/>
        </w:rPr>
        <w:tab/>
      </w:r>
      <w:r w:rsidRPr="00A853D1">
        <w:rPr>
          <w:i/>
          <w:szCs w:val="24"/>
        </w:rPr>
        <w:t>Health Insurance Act 1973</w:t>
      </w:r>
    </w:p>
    <w:p w14:paraId="2412D13B" w14:textId="2AD7034C" w:rsidR="00A1739A" w:rsidRDefault="00A1739A" w:rsidP="000337CB">
      <w:pPr>
        <w:tabs>
          <w:tab w:val="left" w:pos="4820"/>
        </w:tabs>
        <w:rPr>
          <w:i/>
          <w:szCs w:val="24"/>
        </w:rPr>
      </w:pPr>
    </w:p>
    <w:p w14:paraId="44848EAA" w14:textId="0596D1F5" w:rsidR="00AE7239" w:rsidRPr="009C0610" w:rsidRDefault="00AE7239" w:rsidP="00AE7239">
      <w:pPr>
        <w:spacing w:after="200" w:line="276" w:lineRule="auto"/>
        <w:jc w:val="right"/>
        <w:rPr>
          <w:b/>
          <w:szCs w:val="24"/>
        </w:rPr>
      </w:pPr>
      <w:r w:rsidRPr="009C0610">
        <w:rPr>
          <w:b/>
          <w:szCs w:val="24"/>
        </w:rPr>
        <w:t>ATTACHMENT</w:t>
      </w:r>
    </w:p>
    <w:p w14:paraId="6AF32ABC" w14:textId="55E12F2C" w:rsidR="007F21C2" w:rsidRPr="00215191" w:rsidRDefault="00AE7239" w:rsidP="007F21C2">
      <w:pPr>
        <w:pStyle w:val="BodyText"/>
        <w:rPr>
          <w:i/>
          <w:szCs w:val="24"/>
        </w:rPr>
      </w:pPr>
      <w:r w:rsidRPr="00215191">
        <w:rPr>
          <w:szCs w:val="24"/>
        </w:rPr>
        <w:t xml:space="preserve">Details of the </w:t>
      </w:r>
      <w:r w:rsidR="00C30ED2" w:rsidRPr="001B7F67">
        <w:rPr>
          <w:bCs/>
          <w:i/>
          <w:szCs w:val="24"/>
        </w:rPr>
        <w:t xml:space="preserve">Health Insurance </w:t>
      </w:r>
      <w:r w:rsidR="00C30ED2">
        <w:rPr>
          <w:bCs/>
          <w:i/>
          <w:szCs w:val="24"/>
        </w:rPr>
        <w:t xml:space="preserve">(Section 3C </w:t>
      </w:r>
      <w:r w:rsidR="007B6505">
        <w:rPr>
          <w:bCs/>
          <w:i/>
          <w:szCs w:val="24"/>
        </w:rPr>
        <w:t xml:space="preserve">Midwife and Nurse </w:t>
      </w:r>
      <w:r w:rsidR="00ED7BC8">
        <w:rPr>
          <w:bCs/>
          <w:i/>
          <w:szCs w:val="24"/>
        </w:rPr>
        <w:t>P</w:t>
      </w:r>
      <w:r w:rsidR="007B6505">
        <w:rPr>
          <w:bCs/>
          <w:i/>
          <w:szCs w:val="24"/>
        </w:rPr>
        <w:t>ractitioner</w:t>
      </w:r>
      <w:r w:rsidR="0062518C">
        <w:rPr>
          <w:bCs/>
          <w:i/>
          <w:szCs w:val="24"/>
        </w:rPr>
        <w:t xml:space="preserve"> Services</w:t>
      </w:r>
      <w:r w:rsidR="007B6505">
        <w:rPr>
          <w:bCs/>
          <w:i/>
          <w:szCs w:val="24"/>
        </w:rPr>
        <w:t>)</w:t>
      </w:r>
      <w:r w:rsidR="00C30ED2" w:rsidRPr="001B7F67">
        <w:rPr>
          <w:bCs/>
          <w:i/>
          <w:szCs w:val="24"/>
        </w:rPr>
        <w:t xml:space="preserve"> Determination 20</w:t>
      </w:r>
      <w:r w:rsidR="00C30ED2">
        <w:rPr>
          <w:bCs/>
          <w:i/>
          <w:szCs w:val="24"/>
        </w:rPr>
        <w:t>20</w:t>
      </w:r>
    </w:p>
    <w:p w14:paraId="3A8422E0" w14:textId="413BBA0C" w:rsidR="00AE7239" w:rsidRDefault="00AE7239" w:rsidP="00AE7239">
      <w:pPr>
        <w:pStyle w:val="BodyText"/>
        <w:rPr>
          <w:b w:val="0"/>
          <w:i/>
          <w:szCs w:val="24"/>
        </w:rPr>
      </w:pPr>
    </w:p>
    <w:p w14:paraId="2B5D25D8" w14:textId="7E8968DA" w:rsidR="006E3649" w:rsidRPr="006E3649" w:rsidRDefault="006E3649" w:rsidP="00AE7239">
      <w:pPr>
        <w:pStyle w:val="BodyText"/>
        <w:rPr>
          <w:szCs w:val="24"/>
        </w:rPr>
      </w:pPr>
      <w:r w:rsidRPr="006E3649">
        <w:rPr>
          <w:szCs w:val="24"/>
        </w:rPr>
        <w:t>Part 1 - P</w:t>
      </w:r>
      <w:r>
        <w:rPr>
          <w:szCs w:val="24"/>
        </w:rPr>
        <w:t>r</w:t>
      </w:r>
      <w:r w:rsidRPr="006E3649">
        <w:rPr>
          <w:szCs w:val="24"/>
        </w:rPr>
        <w:t>eliminary</w:t>
      </w:r>
    </w:p>
    <w:p w14:paraId="0ED4534A" w14:textId="77777777" w:rsidR="006E3649" w:rsidRDefault="006E3649" w:rsidP="00AE7239">
      <w:pPr>
        <w:pStyle w:val="BodyText"/>
        <w:rPr>
          <w:b w:val="0"/>
          <w:i/>
          <w:szCs w:val="24"/>
        </w:rPr>
      </w:pPr>
    </w:p>
    <w:p w14:paraId="6FA10D68" w14:textId="77777777" w:rsidR="007F21C2" w:rsidRPr="00215191" w:rsidRDefault="007F21C2" w:rsidP="007F21C2">
      <w:pPr>
        <w:pStyle w:val="BodyText"/>
        <w:rPr>
          <w:b w:val="0"/>
          <w:szCs w:val="24"/>
          <w:u w:val="single"/>
        </w:rPr>
      </w:pPr>
      <w:r w:rsidRPr="00215191">
        <w:rPr>
          <w:b w:val="0"/>
          <w:szCs w:val="24"/>
          <w:u w:val="single"/>
        </w:rPr>
        <w:t xml:space="preserve">Section 1 – Name </w:t>
      </w:r>
    </w:p>
    <w:p w14:paraId="5B42788A" w14:textId="77777777" w:rsidR="00F33DA2" w:rsidRDefault="00F33DA2" w:rsidP="001B7F67">
      <w:pPr>
        <w:pStyle w:val="BodyText"/>
        <w:rPr>
          <w:b w:val="0"/>
          <w:szCs w:val="24"/>
        </w:rPr>
      </w:pPr>
    </w:p>
    <w:p w14:paraId="55DD07EA" w14:textId="25702B86" w:rsidR="001B7F67" w:rsidRPr="001B7F67" w:rsidRDefault="007F21C2" w:rsidP="001B7F67">
      <w:pPr>
        <w:pStyle w:val="BodyText"/>
        <w:rPr>
          <w:i/>
          <w:szCs w:val="24"/>
        </w:rPr>
      </w:pPr>
      <w:r w:rsidRPr="00215191">
        <w:rPr>
          <w:b w:val="0"/>
          <w:szCs w:val="24"/>
        </w:rPr>
        <w:t xml:space="preserve">Section 1 provides for the Determination to be referred to as the </w:t>
      </w:r>
      <w:r w:rsidR="00C30ED2" w:rsidRPr="00C30ED2">
        <w:rPr>
          <w:b w:val="0"/>
          <w:bCs/>
          <w:i/>
          <w:szCs w:val="24"/>
        </w:rPr>
        <w:t xml:space="preserve">Health Insurance (Section 3C </w:t>
      </w:r>
      <w:r w:rsidR="007B6505">
        <w:rPr>
          <w:b w:val="0"/>
          <w:bCs/>
          <w:i/>
          <w:szCs w:val="24"/>
        </w:rPr>
        <w:t>Midwife and Nurse Practitioner</w:t>
      </w:r>
      <w:r w:rsidR="009033DE">
        <w:rPr>
          <w:b w:val="0"/>
          <w:bCs/>
          <w:i/>
          <w:szCs w:val="24"/>
        </w:rPr>
        <w:t xml:space="preserve"> </w:t>
      </w:r>
      <w:r w:rsidR="0062518C">
        <w:rPr>
          <w:b w:val="0"/>
          <w:bCs/>
          <w:i/>
          <w:szCs w:val="24"/>
        </w:rPr>
        <w:t>Services</w:t>
      </w:r>
      <w:r w:rsidR="00C30ED2" w:rsidRPr="00C30ED2">
        <w:rPr>
          <w:b w:val="0"/>
          <w:bCs/>
          <w:i/>
          <w:szCs w:val="24"/>
        </w:rPr>
        <w:t>) Determination 2020</w:t>
      </w:r>
      <w:r w:rsidR="00B51C33">
        <w:rPr>
          <w:b w:val="0"/>
          <w:bCs/>
          <w:i/>
          <w:szCs w:val="24"/>
        </w:rPr>
        <w:t>.</w:t>
      </w:r>
    </w:p>
    <w:p w14:paraId="2EED3B7A" w14:textId="77777777" w:rsidR="007F21C2" w:rsidRPr="00241E6B" w:rsidRDefault="007F21C2" w:rsidP="00A166DD">
      <w:pPr>
        <w:pStyle w:val="Heading1"/>
        <w:jc w:val="left"/>
      </w:pPr>
    </w:p>
    <w:p w14:paraId="5E0F74FC" w14:textId="77777777" w:rsidR="007F21C2" w:rsidRPr="00215191" w:rsidRDefault="007F21C2" w:rsidP="007F21C2">
      <w:pPr>
        <w:pStyle w:val="BodyText"/>
        <w:rPr>
          <w:b w:val="0"/>
          <w:szCs w:val="24"/>
          <w:u w:val="single"/>
        </w:rPr>
      </w:pPr>
      <w:r w:rsidRPr="00215191">
        <w:rPr>
          <w:b w:val="0"/>
          <w:szCs w:val="24"/>
          <w:u w:val="single"/>
        </w:rPr>
        <w:t xml:space="preserve">Section 2 – Commencement </w:t>
      </w:r>
    </w:p>
    <w:p w14:paraId="6B40801F" w14:textId="77777777" w:rsidR="00F33DA2" w:rsidRDefault="00F33DA2" w:rsidP="007F21C2">
      <w:pPr>
        <w:pStyle w:val="BodyText"/>
        <w:rPr>
          <w:b w:val="0"/>
          <w:szCs w:val="24"/>
        </w:rPr>
      </w:pPr>
    </w:p>
    <w:p w14:paraId="5164442D" w14:textId="45410A9A" w:rsidR="007F21C2" w:rsidRPr="00215191" w:rsidRDefault="007F21C2" w:rsidP="007F21C2">
      <w:pPr>
        <w:pStyle w:val="BodyText"/>
        <w:rPr>
          <w:b w:val="0"/>
          <w:szCs w:val="24"/>
        </w:rPr>
      </w:pPr>
      <w:r w:rsidRPr="00215191">
        <w:rPr>
          <w:b w:val="0"/>
          <w:szCs w:val="24"/>
        </w:rPr>
        <w:t xml:space="preserve">Section 2 provides that the Determination commences </w:t>
      </w:r>
      <w:r>
        <w:rPr>
          <w:b w:val="0"/>
          <w:szCs w:val="24"/>
        </w:rPr>
        <w:t>on 1 July 20</w:t>
      </w:r>
      <w:r w:rsidR="00C30ED2">
        <w:rPr>
          <w:b w:val="0"/>
          <w:szCs w:val="24"/>
        </w:rPr>
        <w:t>20</w:t>
      </w:r>
      <w:r w:rsidRPr="008419D6">
        <w:rPr>
          <w:b w:val="0"/>
          <w:szCs w:val="24"/>
        </w:rPr>
        <w:t>.</w:t>
      </w:r>
    </w:p>
    <w:p w14:paraId="0E984D2A" w14:textId="77777777" w:rsidR="007F21C2" w:rsidRPr="00215191" w:rsidRDefault="007F21C2" w:rsidP="007F21C2">
      <w:pPr>
        <w:pStyle w:val="BodyText"/>
        <w:rPr>
          <w:b w:val="0"/>
          <w:szCs w:val="24"/>
        </w:rPr>
      </w:pPr>
    </w:p>
    <w:p w14:paraId="03D4FD6F" w14:textId="77777777" w:rsidR="007F21C2" w:rsidRPr="00215191" w:rsidRDefault="007F21C2" w:rsidP="007F21C2">
      <w:pPr>
        <w:pStyle w:val="BodyText"/>
        <w:rPr>
          <w:b w:val="0"/>
          <w:szCs w:val="24"/>
          <w:u w:val="single"/>
        </w:rPr>
      </w:pPr>
      <w:r w:rsidRPr="00215191">
        <w:rPr>
          <w:b w:val="0"/>
          <w:szCs w:val="24"/>
          <w:u w:val="single"/>
        </w:rPr>
        <w:t>Section 3 – Authority</w:t>
      </w:r>
    </w:p>
    <w:p w14:paraId="7B134274" w14:textId="77777777" w:rsidR="00F33DA2" w:rsidRDefault="00F33DA2" w:rsidP="007F21C2">
      <w:pPr>
        <w:pStyle w:val="BodyText"/>
        <w:rPr>
          <w:b w:val="0"/>
        </w:rPr>
      </w:pPr>
    </w:p>
    <w:p w14:paraId="511C4B2C" w14:textId="6612D21B" w:rsidR="007F21C2" w:rsidRPr="00215191" w:rsidRDefault="007F21C2" w:rsidP="007F21C2">
      <w:pPr>
        <w:pStyle w:val="BodyText"/>
        <w:rPr>
          <w:b w:val="0"/>
        </w:rPr>
      </w:pPr>
      <w:r w:rsidRPr="00215191">
        <w:rPr>
          <w:b w:val="0"/>
        </w:rPr>
        <w:t xml:space="preserve">Section 3 provides that the Determination is made under subsection 3C(1) of the </w:t>
      </w:r>
      <w:r w:rsidRPr="00215191">
        <w:rPr>
          <w:b w:val="0"/>
          <w:i/>
        </w:rPr>
        <w:t>Health Insurance Act 1973</w:t>
      </w:r>
      <w:r w:rsidRPr="00215191">
        <w:rPr>
          <w:b w:val="0"/>
        </w:rPr>
        <w:t>.</w:t>
      </w:r>
    </w:p>
    <w:p w14:paraId="457CC1AF" w14:textId="77777777" w:rsidR="007F21C2" w:rsidRPr="00215191" w:rsidRDefault="007F21C2" w:rsidP="007F21C2">
      <w:pPr>
        <w:pStyle w:val="BodyText"/>
        <w:rPr>
          <w:b w:val="0"/>
        </w:rPr>
      </w:pPr>
    </w:p>
    <w:p w14:paraId="5E1F2339" w14:textId="054F32F4" w:rsidR="007F21C2" w:rsidRPr="00627FDA" w:rsidRDefault="007F21C2" w:rsidP="007F21C2">
      <w:pPr>
        <w:pStyle w:val="BodyText"/>
        <w:rPr>
          <w:b w:val="0"/>
          <w:szCs w:val="24"/>
          <w:highlight w:val="yellow"/>
          <w:u w:val="single"/>
        </w:rPr>
      </w:pPr>
      <w:r>
        <w:rPr>
          <w:b w:val="0"/>
          <w:szCs w:val="24"/>
          <w:u w:val="single"/>
        </w:rPr>
        <w:t>Section 4</w:t>
      </w:r>
      <w:r w:rsidRPr="00076B61">
        <w:rPr>
          <w:b w:val="0"/>
          <w:szCs w:val="24"/>
          <w:u w:val="single"/>
        </w:rPr>
        <w:t xml:space="preserve"> – </w:t>
      </w:r>
      <w:r w:rsidR="00B51C33">
        <w:rPr>
          <w:b w:val="0"/>
          <w:szCs w:val="24"/>
          <w:u w:val="single"/>
        </w:rPr>
        <w:t>Revocation</w:t>
      </w:r>
    </w:p>
    <w:p w14:paraId="1DBEF692" w14:textId="77777777" w:rsidR="00F33DA2" w:rsidRDefault="00F33DA2" w:rsidP="007F21C2">
      <w:pPr>
        <w:pStyle w:val="BodyText"/>
        <w:rPr>
          <w:b w:val="0"/>
          <w:szCs w:val="24"/>
        </w:rPr>
      </w:pPr>
    </w:p>
    <w:p w14:paraId="23BD0559" w14:textId="4E07441D" w:rsidR="007F21C2" w:rsidRDefault="007F21C2" w:rsidP="007F21C2">
      <w:pPr>
        <w:pStyle w:val="BodyText"/>
        <w:rPr>
          <w:b w:val="0"/>
          <w:szCs w:val="24"/>
        </w:rPr>
      </w:pPr>
      <w:r w:rsidRPr="00D21765">
        <w:rPr>
          <w:b w:val="0"/>
          <w:szCs w:val="24"/>
        </w:rPr>
        <w:t xml:space="preserve">Section 4 </w:t>
      </w:r>
      <w:r w:rsidR="006E3649">
        <w:rPr>
          <w:b w:val="0"/>
          <w:szCs w:val="24"/>
        </w:rPr>
        <w:t>revokes the previous determination</w:t>
      </w:r>
      <w:r w:rsidRPr="00D21765">
        <w:rPr>
          <w:b w:val="0"/>
          <w:szCs w:val="24"/>
        </w:rPr>
        <w:t xml:space="preserve"> </w:t>
      </w:r>
      <w:r w:rsidR="00B51C33">
        <w:rPr>
          <w:b w:val="0"/>
          <w:szCs w:val="24"/>
        </w:rPr>
        <w:t xml:space="preserve">the </w:t>
      </w:r>
      <w:r w:rsidR="00B51C33" w:rsidRPr="00B51C33">
        <w:rPr>
          <w:b w:val="0"/>
          <w:i/>
          <w:szCs w:val="24"/>
        </w:rPr>
        <w:t>Health Insurance (Midwife and Nurse Practitioner) Determination 2015</w:t>
      </w:r>
      <w:r w:rsidR="006E3649">
        <w:rPr>
          <w:b w:val="0"/>
          <w:szCs w:val="24"/>
        </w:rPr>
        <w:t>.</w:t>
      </w:r>
    </w:p>
    <w:p w14:paraId="2582DA0F" w14:textId="109AFCB2" w:rsidR="007F21C2" w:rsidRDefault="007F21C2" w:rsidP="007F21C2">
      <w:pPr>
        <w:pStyle w:val="BodyText"/>
        <w:rPr>
          <w:b w:val="0"/>
          <w:szCs w:val="24"/>
          <w:u w:val="single"/>
        </w:rPr>
      </w:pPr>
    </w:p>
    <w:p w14:paraId="24DCFA61" w14:textId="670ED52E" w:rsidR="00B51C33" w:rsidRDefault="00B51C33" w:rsidP="007F21C2">
      <w:pPr>
        <w:pStyle w:val="BodyText"/>
        <w:rPr>
          <w:b w:val="0"/>
          <w:szCs w:val="24"/>
          <w:u w:val="single"/>
        </w:rPr>
      </w:pPr>
      <w:r>
        <w:rPr>
          <w:b w:val="0"/>
          <w:szCs w:val="24"/>
          <w:u w:val="single"/>
        </w:rPr>
        <w:t>Section 5 - Definitions</w:t>
      </w:r>
    </w:p>
    <w:p w14:paraId="7BB1BDB1" w14:textId="77777777" w:rsidR="00F33DA2" w:rsidRDefault="00F33DA2" w:rsidP="007F21C2">
      <w:pPr>
        <w:pStyle w:val="BodyText"/>
        <w:rPr>
          <w:b w:val="0"/>
          <w:szCs w:val="24"/>
        </w:rPr>
      </w:pPr>
    </w:p>
    <w:p w14:paraId="503A3333" w14:textId="5632F36F" w:rsidR="00B51C33" w:rsidRPr="00B51C33" w:rsidRDefault="00B51C33" w:rsidP="007F21C2">
      <w:pPr>
        <w:pStyle w:val="BodyText"/>
        <w:rPr>
          <w:b w:val="0"/>
          <w:szCs w:val="24"/>
        </w:rPr>
      </w:pPr>
      <w:r w:rsidRPr="00B51C33">
        <w:rPr>
          <w:b w:val="0"/>
          <w:szCs w:val="24"/>
        </w:rPr>
        <w:t>Se</w:t>
      </w:r>
      <w:r>
        <w:rPr>
          <w:b w:val="0"/>
          <w:szCs w:val="24"/>
        </w:rPr>
        <w:t xml:space="preserve">ction 5 </w:t>
      </w:r>
      <w:r w:rsidR="009033DE">
        <w:rPr>
          <w:b w:val="0"/>
          <w:szCs w:val="24"/>
        </w:rPr>
        <w:t>adopts definitions</w:t>
      </w:r>
      <w:r>
        <w:rPr>
          <w:b w:val="0"/>
          <w:szCs w:val="24"/>
        </w:rPr>
        <w:t xml:space="preserve"> </w:t>
      </w:r>
      <w:r w:rsidR="009033DE">
        <w:rPr>
          <w:b w:val="0"/>
          <w:szCs w:val="24"/>
        </w:rPr>
        <w:t>and provisions from</w:t>
      </w:r>
      <w:r>
        <w:rPr>
          <w:b w:val="0"/>
          <w:szCs w:val="24"/>
        </w:rPr>
        <w:t xml:space="preserve"> the </w:t>
      </w:r>
      <w:r w:rsidRPr="006E3649">
        <w:rPr>
          <w:b w:val="0"/>
          <w:i/>
          <w:szCs w:val="24"/>
        </w:rPr>
        <w:t>Health Insurance Act 1973</w:t>
      </w:r>
      <w:r>
        <w:rPr>
          <w:b w:val="0"/>
          <w:szCs w:val="24"/>
        </w:rPr>
        <w:t xml:space="preserve"> the </w:t>
      </w:r>
      <w:r w:rsidRPr="006E3649">
        <w:rPr>
          <w:b w:val="0"/>
          <w:i/>
          <w:szCs w:val="24"/>
        </w:rPr>
        <w:t>National Health Act 1953</w:t>
      </w:r>
      <w:r>
        <w:rPr>
          <w:b w:val="0"/>
          <w:szCs w:val="24"/>
        </w:rPr>
        <w:t xml:space="preserve"> and regulations made under those Acts</w:t>
      </w:r>
      <w:r w:rsidR="009033DE">
        <w:rPr>
          <w:b w:val="0"/>
          <w:szCs w:val="24"/>
        </w:rPr>
        <w:t>.</w:t>
      </w:r>
    </w:p>
    <w:p w14:paraId="5ED3C744" w14:textId="4D3E38DA" w:rsidR="00B51C33" w:rsidRPr="00B51C33" w:rsidRDefault="00B51C33" w:rsidP="007F21C2">
      <w:pPr>
        <w:pStyle w:val="BodyText"/>
        <w:rPr>
          <w:b w:val="0"/>
          <w:szCs w:val="24"/>
        </w:rPr>
      </w:pPr>
    </w:p>
    <w:p w14:paraId="6717DFA8" w14:textId="39EB42E4" w:rsidR="00B51C33" w:rsidRDefault="006E3649" w:rsidP="007F21C2">
      <w:pPr>
        <w:pStyle w:val="BodyText"/>
        <w:rPr>
          <w:b w:val="0"/>
          <w:szCs w:val="24"/>
          <w:u w:val="single"/>
        </w:rPr>
      </w:pPr>
      <w:r>
        <w:rPr>
          <w:b w:val="0"/>
          <w:szCs w:val="24"/>
          <w:u w:val="single"/>
        </w:rPr>
        <w:t>Section 6 - Additional definitions for telehealth items</w:t>
      </w:r>
    </w:p>
    <w:p w14:paraId="6A7F5DE5" w14:textId="77777777" w:rsidR="00F33DA2" w:rsidRDefault="00F33DA2" w:rsidP="007F21C2">
      <w:pPr>
        <w:pStyle w:val="BodyText"/>
        <w:rPr>
          <w:b w:val="0"/>
          <w:szCs w:val="24"/>
        </w:rPr>
      </w:pPr>
    </w:p>
    <w:p w14:paraId="1870B66E" w14:textId="0F2A72B6" w:rsidR="00B51C33" w:rsidRPr="006E3649" w:rsidRDefault="006E3649" w:rsidP="007F21C2">
      <w:pPr>
        <w:pStyle w:val="BodyText"/>
        <w:rPr>
          <w:b w:val="0"/>
          <w:szCs w:val="24"/>
        </w:rPr>
      </w:pPr>
      <w:r w:rsidRPr="006E3649">
        <w:rPr>
          <w:b w:val="0"/>
          <w:szCs w:val="24"/>
        </w:rPr>
        <w:t xml:space="preserve">Section 6 defines </w:t>
      </w:r>
      <w:r>
        <w:rPr>
          <w:b w:val="0"/>
          <w:szCs w:val="24"/>
        </w:rPr>
        <w:t>“c</w:t>
      </w:r>
      <w:r w:rsidRPr="006E3649">
        <w:rPr>
          <w:b w:val="0"/>
          <w:szCs w:val="24"/>
        </w:rPr>
        <w:t>are recipient</w:t>
      </w:r>
      <w:r>
        <w:rPr>
          <w:b w:val="0"/>
          <w:szCs w:val="24"/>
        </w:rPr>
        <w:t>’</w:t>
      </w:r>
      <w:r w:rsidRPr="006E3649">
        <w:rPr>
          <w:b w:val="0"/>
          <w:szCs w:val="24"/>
        </w:rPr>
        <w:t xml:space="preserve">, </w:t>
      </w:r>
      <w:r>
        <w:rPr>
          <w:b w:val="0"/>
          <w:szCs w:val="24"/>
        </w:rPr>
        <w:t>“</w:t>
      </w:r>
      <w:r w:rsidRPr="006E3649">
        <w:rPr>
          <w:b w:val="0"/>
          <w:szCs w:val="24"/>
        </w:rPr>
        <w:t>telehealth eligible area</w:t>
      </w:r>
      <w:r>
        <w:rPr>
          <w:b w:val="0"/>
          <w:szCs w:val="24"/>
        </w:rPr>
        <w:t>”</w:t>
      </w:r>
      <w:r w:rsidRPr="006E3649">
        <w:rPr>
          <w:b w:val="0"/>
          <w:szCs w:val="24"/>
        </w:rPr>
        <w:t xml:space="preserve">, </w:t>
      </w:r>
      <w:r>
        <w:rPr>
          <w:b w:val="0"/>
          <w:szCs w:val="24"/>
        </w:rPr>
        <w:t>“</w:t>
      </w:r>
      <w:r w:rsidRPr="006E3649">
        <w:rPr>
          <w:b w:val="0"/>
          <w:szCs w:val="24"/>
        </w:rPr>
        <w:t>participating in a video consultation</w:t>
      </w:r>
      <w:r>
        <w:rPr>
          <w:b w:val="0"/>
          <w:szCs w:val="24"/>
        </w:rPr>
        <w:t>”</w:t>
      </w:r>
      <w:r w:rsidRPr="006E3649">
        <w:rPr>
          <w:b w:val="0"/>
          <w:szCs w:val="24"/>
        </w:rPr>
        <w:t xml:space="preserve"> and </w:t>
      </w:r>
      <w:r>
        <w:rPr>
          <w:b w:val="0"/>
          <w:szCs w:val="24"/>
        </w:rPr>
        <w:t>“</w:t>
      </w:r>
      <w:r w:rsidRPr="006E3649">
        <w:rPr>
          <w:b w:val="0"/>
          <w:szCs w:val="24"/>
        </w:rPr>
        <w:t>residential care service</w:t>
      </w:r>
      <w:r>
        <w:rPr>
          <w:b w:val="0"/>
          <w:szCs w:val="24"/>
        </w:rPr>
        <w:t>” for the purposes of descriptors in items in Part 2 of Schedule 1 or Part 3 of Schedule 2</w:t>
      </w:r>
      <w:r w:rsidR="00D52B25">
        <w:rPr>
          <w:b w:val="0"/>
          <w:szCs w:val="24"/>
        </w:rPr>
        <w:t>.</w:t>
      </w:r>
    </w:p>
    <w:p w14:paraId="6576F377" w14:textId="5FED8A8F" w:rsidR="00B51C33" w:rsidRPr="006E3649" w:rsidRDefault="00B51C33" w:rsidP="007F21C2">
      <w:pPr>
        <w:pStyle w:val="BodyText"/>
        <w:rPr>
          <w:b w:val="0"/>
          <w:szCs w:val="24"/>
        </w:rPr>
      </w:pPr>
    </w:p>
    <w:p w14:paraId="36E983DD" w14:textId="6AD20A7E" w:rsidR="00B51C33" w:rsidRPr="006E3649" w:rsidRDefault="006E3649" w:rsidP="007F21C2">
      <w:pPr>
        <w:pStyle w:val="BodyText"/>
        <w:rPr>
          <w:szCs w:val="24"/>
        </w:rPr>
      </w:pPr>
      <w:r w:rsidRPr="006E3649">
        <w:rPr>
          <w:szCs w:val="24"/>
        </w:rPr>
        <w:t>Part 2 Midwifery services</w:t>
      </w:r>
    </w:p>
    <w:p w14:paraId="6CB9B2DF" w14:textId="76074A30" w:rsidR="00B51C33" w:rsidRDefault="00B51C33" w:rsidP="007F21C2">
      <w:pPr>
        <w:pStyle w:val="BodyText"/>
        <w:rPr>
          <w:b w:val="0"/>
          <w:szCs w:val="24"/>
          <w:u w:val="single"/>
        </w:rPr>
      </w:pPr>
    </w:p>
    <w:p w14:paraId="10B61B36" w14:textId="3B2DF011" w:rsidR="006E3649" w:rsidRDefault="00E84B69" w:rsidP="007F21C2">
      <w:pPr>
        <w:pStyle w:val="BodyText"/>
        <w:rPr>
          <w:b w:val="0"/>
          <w:szCs w:val="24"/>
          <w:u w:val="single"/>
        </w:rPr>
      </w:pPr>
      <w:r>
        <w:rPr>
          <w:b w:val="0"/>
          <w:szCs w:val="24"/>
          <w:u w:val="single"/>
        </w:rPr>
        <w:t>Section 7 - Interpretation</w:t>
      </w:r>
    </w:p>
    <w:p w14:paraId="2BE5B2CC" w14:textId="77777777" w:rsidR="00F33DA2" w:rsidRDefault="00F33DA2" w:rsidP="007F21C2">
      <w:pPr>
        <w:pStyle w:val="BodyText"/>
        <w:rPr>
          <w:b w:val="0"/>
          <w:szCs w:val="24"/>
        </w:rPr>
      </w:pPr>
    </w:p>
    <w:p w14:paraId="3EFA0929" w14:textId="281E4264" w:rsidR="00E84B69" w:rsidRPr="00D52B25" w:rsidRDefault="00D52B25" w:rsidP="007F21C2">
      <w:pPr>
        <w:pStyle w:val="BodyText"/>
        <w:rPr>
          <w:b w:val="0"/>
          <w:szCs w:val="24"/>
        </w:rPr>
      </w:pPr>
      <w:r w:rsidRPr="00D52B25">
        <w:rPr>
          <w:b w:val="0"/>
          <w:szCs w:val="24"/>
        </w:rPr>
        <w:t>Section 7</w:t>
      </w:r>
      <w:r>
        <w:rPr>
          <w:b w:val="0"/>
          <w:szCs w:val="24"/>
        </w:rPr>
        <w:t xml:space="preserve"> defines collaborative arrangement for a midwife, what </w:t>
      </w:r>
      <w:r w:rsidR="007C42BE">
        <w:rPr>
          <w:b w:val="0"/>
          <w:szCs w:val="24"/>
        </w:rPr>
        <w:t xml:space="preserve">work </w:t>
      </w:r>
      <w:r>
        <w:rPr>
          <w:b w:val="0"/>
          <w:szCs w:val="24"/>
        </w:rPr>
        <w:t xml:space="preserve">is included in </w:t>
      </w:r>
      <w:r w:rsidR="007C42BE">
        <w:rPr>
          <w:b w:val="0"/>
          <w:szCs w:val="24"/>
        </w:rPr>
        <w:t>a “</w:t>
      </w:r>
      <w:r>
        <w:rPr>
          <w:b w:val="0"/>
          <w:szCs w:val="24"/>
        </w:rPr>
        <w:t>delivery</w:t>
      </w:r>
      <w:r w:rsidR="007C42BE">
        <w:rPr>
          <w:b w:val="0"/>
          <w:szCs w:val="24"/>
        </w:rPr>
        <w:t>”</w:t>
      </w:r>
      <w:r>
        <w:rPr>
          <w:b w:val="0"/>
          <w:szCs w:val="24"/>
        </w:rPr>
        <w:t xml:space="preserve"> and </w:t>
      </w:r>
      <w:r w:rsidR="007C42BE">
        <w:rPr>
          <w:b w:val="0"/>
          <w:szCs w:val="24"/>
        </w:rPr>
        <w:t>circumstances for</w:t>
      </w:r>
      <w:r>
        <w:rPr>
          <w:b w:val="0"/>
          <w:szCs w:val="24"/>
        </w:rPr>
        <w:t xml:space="preserve"> a midwife </w:t>
      </w:r>
      <w:r w:rsidR="007C42BE">
        <w:rPr>
          <w:b w:val="0"/>
          <w:szCs w:val="24"/>
        </w:rPr>
        <w:t>to be</w:t>
      </w:r>
      <w:r>
        <w:rPr>
          <w:b w:val="0"/>
          <w:szCs w:val="24"/>
        </w:rPr>
        <w:t xml:space="preserve"> a member of a practice.</w:t>
      </w:r>
    </w:p>
    <w:p w14:paraId="61946A22" w14:textId="77777777" w:rsidR="00E84B69" w:rsidRPr="00D52B25" w:rsidRDefault="00E84B69" w:rsidP="007F21C2">
      <w:pPr>
        <w:pStyle w:val="BodyText"/>
        <w:rPr>
          <w:b w:val="0"/>
          <w:szCs w:val="24"/>
        </w:rPr>
      </w:pPr>
    </w:p>
    <w:p w14:paraId="281B72D3" w14:textId="41094F10" w:rsidR="00E84B69" w:rsidRDefault="00E84B69" w:rsidP="007F21C2">
      <w:pPr>
        <w:pStyle w:val="BodyText"/>
        <w:rPr>
          <w:b w:val="0"/>
          <w:szCs w:val="24"/>
          <w:u w:val="single"/>
        </w:rPr>
      </w:pPr>
      <w:r>
        <w:rPr>
          <w:b w:val="0"/>
          <w:szCs w:val="24"/>
          <w:u w:val="single"/>
        </w:rPr>
        <w:t>Section 8 – Treatment of midwifery services</w:t>
      </w:r>
    </w:p>
    <w:p w14:paraId="23A822C7" w14:textId="77777777" w:rsidR="00F33DA2" w:rsidRDefault="00F33DA2" w:rsidP="007F21C2">
      <w:pPr>
        <w:pStyle w:val="BodyText"/>
        <w:rPr>
          <w:b w:val="0"/>
          <w:szCs w:val="24"/>
        </w:rPr>
      </w:pPr>
    </w:p>
    <w:p w14:paraId="4FE96E33" w14:textId="46087EF6" w:rsidR="00E84B69" w:rsidRPr="00D52B25" w:rsidRDefault="00D52B25" w:rsidP="007F21C2">
      <w:pPr>
        <w:pStyle w:val="BodyText"/>
        <w:rPr>
          <w:b w:val="0"/>
          <w:szCs w:val="24"/>
        </w:rPr>
      </w:pPr>
      <w:r>
        <w:rPr>
          <w:b w:val="0"/>
          <w:szCs w:val="24"/>
        </w:rPr>
        <w:t>Section 8 provides</w:t>
      </w:r>
      <w:r w:rsidR="007C42BE">
        <w:rPr>
          <w:b w:val="0"/>
          <w:szCs w:val="24"/>
        </w:rPr>
        <w:t xml:space="preserve">, in accordance with section </w:t>
      </w:r>
      <w:proofErr w:type="gramStart"/>
      <w:r w:rsidR="007C42BE">
        <w:rPr>
          <w:b w:val="0"/>
          <w:szCs w:val="24"/>
        </w:rPr>
        <w:t>3C</w:t>
      </w:r>
      <w:r w:rsidR="00351E2C">
        <w:rPr>
          <w:b w:val="0"/>
          <w:szCs w:val="24"/>
        </w:rPr>
        <w:t>(</w:t>
      </w:r>
      <w:proofErr w:type="gramEnd"/>
      <w:r w:rsidR="00351E2C">
        <w:rPr>
          <w:b w:val="0"/>
          <w:szCs w:val="24"/>
        </w:rPr>
        <w:t>1)</w:t>
      </w:r>
      <w:r w:rsidR="007C42BE">
        <w:rPr>
          <w:b w:val="0"/>
          <w:szCs w:val="24"/>
        </w:rPr>
        <w:t>,</w:t>
      </w:r>
      <w:r>
        <w:rPr>
          <w:b w:val="0"/>
          <w:szCs w:val="24"/>
        </w:rPr>
        <w:t xml:space="preserve"> that a midwifery service under the determination is a professional and medical service for the general medical </w:t>
      </w:r>
      <w:r w:rsidR="00351E2C">
        <w:rPr>
          <w:b w:val="0"/>
          <w:szCs w:val="24"/>
        </w:rPr>
        <w:t>services</w:t>
      </w:r>
      <w:r>
        <w:rPr>
          <w:b w:val="0"/>
          <w:szCs w:val="24"/>
        </w:rPr>
        <w:t xml:space="preserve"> table </w:t>
      </w:r>
      <w:r w:rsidR="00FF3F34">
        <w:rPr>
          <w:b w:val="0"/>
          <w:szCs w:val="24"/>
        </w:rPr>
        <w:t>and as if the fee were in the table.</w:t>
      </w:r>
    </w:p>
    <w:p w14:paraId="05DCB484" w14:textId="77777777" w:rsidR="00E84B69" w:rsidRPr="00D52B25" w:rsidRDefault="00E84B69" w:rsidP="007F21C2">
      <w:pPr>
        <w:pStyle w:val="BodyText"/>
        <w:rPr>
          <w:b w:val="0"/>
          <w:szCs w:val="24"/>
        </w:rPr>
      </w:pPr>
    </w:p>
    <w:p w14:paraId="7843F9D1" w14:textId="25128CF6" w:rsidR="00E84B69" w:rsidRDefault="00E84B69" w:rsidP="007F21C2">
      <w:pPr>
        <w:pStyle w:val="BodyText"/>
        <w:rPr>
          <w:b w:val="0"/>
          <w:szCs w:val="24"/>
          <w:u w:val="single"/>
        </w:rPr>
      </w:pPr>
      <w:r>
        <w:rPr>
          <w:b w:val="0"/>
          <w:szCs w:val="24"/>
          <w:u w:val="single"/>
        </w:rPr>
        <w:lastRenderedPageBreak/>
        <w:t>Section 9 – Collaborative arrangements</w:t>
      </w:r>
    </w:p>
    <w:p w14:paraId="65D62208" w14:textId="77777777" w:rsidR="00F33DA2" w:rsidRDefault="00F33DA2" w:rsidP="007F21C2">
      <w:pPr>
        <w:pStyle w:val="BodyText"/>
        <w:rPr>
          <w:b w:val="0"/>
          <w:szCs w:val="24"/>
        </w:rPr>
      </w:pPr>
    </w:p>
    <w:p w14:paraId="1059028B" w14:textId="13CACAE3" w:rsidR="00E84B69" w:rsidRPr="00D52B25" w:rsidRDefault="00FF3F34" w:rsidP="007F21C2">
      <w:pPr>
        <w:pStyle w:val="BodyText"/>
        <w:rPr>
          <w:b w:val="0"/>
          <w:szCs w:val="24"/>
        </w:rPr>
      </w:pPr>
      <w:r>
        <w:rPr>
          <w:b w:val="0"/>
          <w:szCs w:val="24"/>
        </w:rPr>
        <w:t xml:space="preserve">Section 9 requires fees may </w:t>
      </w:r>
      <w:r w:rsidR="007C42BE">
        <w:rPr>
          <w:b w:val="0"/>
          <w:szCs w:val="24"/>
        </w:rPr>
        <w:t xml:space="preserve">only </w:t>
      </w:r>
      <w:r>
        <w:rPr>
          <w:b w:val="0"/>
          <w:szCs w:val="24"/>
        </w:rPr>
        <w:t xml:space="preserve">be charged for midwifery services </w:t>
      </w:r>
      <w:r w:rsidR="007C42BE">
        <w:rPr>
          <w:b w:val="0"/>
          <w:szCs w:val="24"/>
        </w:rPr>
        <w:t>when</w:t>
      </w:r>
      <w:r>
        <w:rPr>
          <w:b w:val="0"/>
          <w:szCs w:val="24"/>
        </w:rPr>
        <w:t xml:space="preserve"> in a collaborative arrangement with an obstetric medical practitioner as set out in section 5 of the </w:t>
      </w:r>
      <w:r w:rsidRPr="00FF3F34">
        <w:rPr>
          <w:b w:val="0"/>
          <w:i/>
          <w:szCs w:val="24"/>
        </w:rPr>
        <w:t>Health Insurance Regulations 2018</w:t>
      </w:r>
      <w:r>
        <w:rPr>
          <w:b w:val="0"/>
          <w:szCs w:val="24"/>
        </w:rPr>
        <w:t>.</w:t>
      </w:r>
    </w:p>
    <w:p w14:paraId="536BCD85" w14:textId="77777777" w:rsidR="00E84B69" w:rsidRPr="00D52B25" w:rsidRDefault="00E84B69" w:rsidP="007F21C2">
      <w:pPr>
        <w:pStyle w:val="BodyText"/>
        <w:rPr>
          <w:b w:val="0"/>
          <w:szCs w:val="24"/>
        </w:rPr>
      </w:pPr>
    </w:p>
    <w:p w14:paraId="30F402DD" w14:textId="0D9B9472" w:rsidR="006E3649" w:rsidRDefault="00E84B69" w:rsidP="007F21C2">
      <w:pPr>
        <w:pStyle w:val="BodyText"/>
        <w:rPr>
          <w:b w:val="0"/>
          <w:szCs w:val="24"/>
          <w:u w:val="single"/>
        </w:rPr>
      </w:pPr>
      <w:r>
        <w:rPr>
          <w:b w:val="0"/>
          <w:szCs w:val="24"/>
          <w:u w:val="single"/>
        </w:rPr>
        <w:t>Section 10 – General Requirements</w:t>
      </w:r>
    </w:p>
    <w:p w14:paraId="29968C39" w14:textId="77777777" w:rsidR="00F33DA2" w:rsidRDefault="00F33DA2" w:rsidP="007367CD">
      <w:pPr>
        <w:rPr>
          <w:szCs w:val="24"/>
          <w:lang w:val="en-US" w:eastAsia="en-US"/>
        </w:rPr>
      </w:pPr>
    </w:p>
    <w:p w14:paraId="65CB5C77" w14:textId="407D7FA4" w:rsidR="007367CD" w:rsidRPr="007367CD" w:rsidRDefault="007367CD" w:rsidP="007367CD">
      <w:pPr>
        <w:rPr>
          <w:szCs w:val="24"/>
          <w:lang w:val="en-US" w:eastAsia="en-US"/>
        </w:rPr>
      </w:pPr>
      <w:r w:rsidRPr="007367CD">
        <w:rPr>
          <w:szCs w:val="24"/>
          <w:lang w:val="en-US" w:eastAsia="en-US"/>
        </w:rPr>
        <w:t xml:space="preserve">Subsection </w:t>
      </w:r>
      <w:r>
        <w:rPr>
          <w:szCs w:val="24"/>
          <w:lang w:val="en-US" w:eastAsia="en-US"/>
        </w:rPr>
        <w:t>10(1)</w:t>
      </w:r>
      <w:r w:rsidRPr="007367CD">
        <w:rPr>
          <w:szCs w:val="24"/>
          <w:lang w:val="en-US" w:eastAsia="en-US"/>
        </w:rPr>
        <w:t xml:space="preserve"> provides that the midwifery items only apply where:</w:t>
      </w:r>
    </w:p>
    <w:p w14:paraId="45A74195" w14:textId="77777777" w:rsidR="007367CD" w:rsidRPr="007367CD" w:rsidRDefault="007367CD" w:rsidP="007367CD">
      <w:pPr>
        <w:numPr>
          <w:ilvl w:val="0"/>
          <w:numId w:val="39"/>
        </w:numPr>
        <w:contextualSpacing/>
        <w:rPr>
          <w:szCs w:val="24"/>
          <w:lang w:val="en-US" w:eastAsia="en-US"/>
        </w:rPr>
      </w:pPr>
      <w:r w:rsidRPr="007367CD">
        <w:rPr>
          <w:szCs w:val="24"/>
          <w:lang w:val="en-US" w:eastAsia="en-US"/>
        </w:rPr>
        <w:t>the service is personally performed by the participating midwife. Accordingly, these services cannot be performed by another practitioner on a midwife’s behalf; and</w:t>
      </w:r>
    </w:p>
    <w:p w14:paraId="3C8BD0BD" w14:textId="77777777" w:rsidR="007367CD" w:rsidRPr="007367CD" w:rsidRDefault="007367CD" w:rsidP="007367CD">
      <w:pPr>
        <w:numPr>
          <w:ilvl w:val="0"/>
          <w:numId w:val="39"/>
        </w:numPr>
        <w:contextualSpacing/>
        <w:rPr>
          <w:szCs w:val="24"/>
          <w:lang w:val="en-US" w:eastAsia="en-US"/>
        </w:rPr>
      </w:pPr>
      <w:r w:rsidRPr="007367CD">
        <w:rPr>
          <w:szCs w:val="24"/>
          <w:lang w:val="en-US" w:eastAsia="en-US"/>
        </w:rPr>
        <w:t xml:space="preserve">the service is provided to a single patient at the one time. Attending multiple patients on the one occasion, such as group attendances, would not apply; and </w:t>
      </w:r>
    </w:p>
    <w:p w14:paraId="5AD3B3CE" w14:textId="77777777" w:rsidR="007367CD" w:rsidRPr="007367CD" w:rsidRDefault="007367CD" w:rsidP="007367CD">
      <w:pPr>
        <w:numPr>
          <w:ilvl w:val="0"/>
          <w:numId w:val="39"/>
        </w:numPr>
        <w:contextualSpacing/>
        <w:rPr>
          <w:szCs w:val="24"/>
          <w:lang w:val="en-US" w:eastAsia="en-US"/>
        </w:rPr>
      </w:pPr>
      <w:r w:rsidRPr="007367CD">
        <w:rPr>
          <w:szCs w:val="24"/>
          <w:lang w:val="en-US" w:eastAsia="en-US"/>
        </w:rPr>
        <w:t xml:space="preserve">the participating midwife is not an employee of a public hospital, or is an employee of a public hospital but provides services other than in his or her capacity as a public hospital employee. </w:t>
      </w:r>
    </w:p>
    <w:p w14:paraId="06A5DB2D" w14:textId="77777777" w:rsidR="007367CD" w:rsidRPr="007367CD" w:rsidRDefault="007367CD" w:rsidP="007367CD">
      <w:pPr>
        <w:rPr>
          <w:szCs w:val="24"/>
          <w:lang w:val="en-US" w:eastAsia="en-US"/>
        </w:rPr>
      </w:pPr>
    </w:p>
    <w:p w14:paraId="23D6120F" w14:textId="73BE9488" w:rsidR="007367CD" w:rsidRPr="007367CD" w:rsidRDefault="007367CD" w:rsidP="007367CD">
      <w:pPr>
        <w:rPr>
          <w:szCs w:val="24"/>
          <w:lang w:val="en-US" w:eastAsia="en-US"/>
        </w:rPr>
      </w:pPr>
      <w:r w:rsidRPr="007367CD">
        <w:rPr>
          <w:szCs w:val="24"/>
          <w:lang w:val="en-US" w:eastAsia="en-US"/>
        </w:rPr>
        <w:t xml:space="preserve">Subsection </w:t>
      </w:r>
      <w:r>
        <w:rPr>
          <w:szCs w:val="24"/>
          <w:lang w:val="en-US" w:eastAsia="en-US"/>
        </w:rPr>
        <w:t>10</w:t>
      </w:r>
      <w:r w:rsidRPr="007367CD">
        <w:rPr>
          <w:szCs w:val="24"/>
          <w:lang w:val="en-US" w:eastAsia="en-US"/>
        </w:rPr>
        <w:t xml:space="preserve">(2) provides that subsection </w:t>
      </w:r>
      <w:r>
        <w:rPr>
          <w:szCs w:val="24"/>
          <w:lang w:val="en-US" w:eastAsia="en-US"/>
        </w:rPr>
        <w:t>10</w:t>
      </w:r>
      <w:r w:rsidRPr="007367CD">
        <w:rPr>
          <w:szCs w:val="24"/>
          <w:lang w:val="en-US" w:eastAsia="en-US"/>
        </w:rPr>
        <w:t>(1) applies whether or not another person provides essential assistance to the participating midwife in providing the service.</w:t>
      </w:r>
    </w:p>
    <w:p w14:paraId="667F9294" w14:textId="77777777" w:rsidR="007367CD" w:rsidRPr="007367CD" w:rsidRDefault="007367CD" w:rsidP="007367CD">
      <w:pPr>
        <w:rPr>
          <w:szCs w:val="24"/>
          <w:lang w:val="en-US" w:eastAsia="en-US"/>
        </w:rPr>
      </w:pPr>
    </w:p>
    <w:p w14:paraId="47271C65" w14:textId="015869E7" w:rsidR="007367CD" w:rsidRPr="007367CD" w:rsidRDefault="007367CD" w:rsidP="007367CD">
      <w:pPr>
        <w:rPr>
          <w:szCs w:val="24"/>
          <w:lang w:val="en-US" w:eastAsia="en-US"/>
        </w:rPr>
      </w:pPr>
      <w:r w:rsidRPr="007367CD">
        <w:rPr>
          <w:szCs w:val="24"/>
          <w:lang w:val="en-US" w:eastAsia="en-US"/>
        </w:rPr>
        <w:t xml:space="preserve">Subsection </w:t>
      </w:r>
      <w:r>
        <w:rPr>
          <w:szCs w:val="24"/>
          <w:lang w:val="en-US" w:eastAsia="en-US"/>
        </w:rPr>
        <w:t>10</w:t>
      </w:r>
      <w:r w:rsidRPr="007367CD">
        <w:rPr>
          <w:szCs w:val="24"/>
          <w:lang w:val="en-US" w:eastAsia="en-US"/>
        </w:rPr>
        <w:t>(3) requires that for a midwifery item to apply, the patient must be in attendance when the service is provided.</w:t>
      </w:r>
    </w:p>
    <w:p w14:paraId="4279265C" w14:textId="77777777" w:rsidR="007367CD" w:rsidRPr="007367CD" w:rsidRDefault="007367CD" w:rsidP="007367CD">
      <w:pPr>
        <w:rPr>
          <w:szCs w:val="24"/>
          <w:lang w:val="en-US" w:eastAsia="en-US"/>
        </w:rPr>
      </w:pPr>
    </w:p>
    <w:p w14:paraId="3CC15ED4" w14:textId="60186C01" w:rsidR="007367CD" w:rsidRPr="007367CD" w:rsidRDefault="007367CD" w:rsidP="007367CD">
      <w:pPr>
        <w:rPr>
          <w:szCs w:val="24"/>
          <w:lang w:val="en-US" w:eastAsia="en-US"/>
        </w:rPr>
      </w:pPr>
      <w:r w:rsidRPr="007367CD">
        <w:rPr>
          <w:szCs w:val="24"/>
          <w:lang w:val="en-US" w:eastAsia="en-US"/>
        </w:rPr>
        <w:t xml:space="preserve">Subsections </w:t>
      </w:r>
      <w:r>
        <w:rPr>
          <w:szCs w:val="24"/>
          <w:lang w:val="en-US" w:eastAsia="en-US"/>
        </w:rPr>
        <w:t>10</w:t>
      </w:r>
      <w:r w:rsidRPr="007367CD">
        <w:rPr>
          <w:szCs w:val="24"/>
          <w:lang w:val="en-US" w:eastAsia="en-US"/>
        </w:rPr>
        <w:t xml:space="preserve">(4) and </w:t>
      </w:r>
      <w:r>
        <w:rPr>
          <w:szCs w:val="24"/>
          <w:lang w:val="en-US" w:eastAsia="en-US"/>
        </w:rPr>
        <w:t>10</w:t>
      </w:r>
      <w:r w:rsidRPr="007367CD">
        <w:rPr>
          <w:szCs w:val="24"/>
          <w:lang w:val="en-US" w:eastAsia="en-US"/>
        </w:rPr>
        <w:t xml:space="preserve">(5) provide clarification of the content of the requirement for ‘professional attendance’ in items 82100 – 82115 and items 82130 – 82140. Professional attendance includes the provision of services such as advising </w:t>
      </w:r>
      <w:r>
        <w:rPr>
          <w:szCs w:val="24"/>
          <w:lang w:val="en-US" w:eastAsia="en-US"/>
        </w:rPr>
        <w:t xml:space="preserve">on the </w:t>
      </w:r>
      <w:r w:rsidRPr="007367CD">
        <w:rPr>
          <w:szCs w:val="24"/>
          <w:lang w:val="en-US" w:eastAsia="en-US"/>
        </w:rPr>
        <w:t>patient</w:t>
      </w:r>
      <w:r>
        <w:rPr>
          <w:szCs w:val="24"/>
          <w:lang w:val="en-US" w:eastAsia="en-US"/>
        </w:rPr>
        <w:t>’s</w:t>
      </w:r>
      <w:r w:rsidRPr="007367CD">
        <w:rPr>
          <w:szCs w:val="24"/>
          <w:lang w:val="en-US" w:eastAsia="en-US"/>
        </w:rPr>
        <w:t xml:space="preserve"> condition, making clinical notes about the services provided to the patient and formulating a plan for the patient’s treatment. However, it does not include supplying a vaccine in connection with the service unless the cost of the vaccine has been subsidised by</w:t>
      </w:r>
      <w:r>
        <w:rPr>
          <w:szCs w:val="24"/>
          <w:lang w:val="en-US" w:eastAsia="en-US"/>
        </w:rPr>
        <w:t xml:space="preserve"> the Commonwealth or the State.</w:t>
      </w:r>
    </w:p>
    <w:p w14:paraId="18AB9CF5" w14:textId="1CCA966B" w:rsidR="00E84B69" w:rsidRDefault="00E84B69" w:rsidP="007F21C2">
      <w:pPr>
        <w:pStyle w:val="BodyText"/>
        <w:rPr>
          <w:b w:val="0"/>
          <w:szCs w:val="24"/>
        </w:rPr>
      </w:pPr>
    </w:p>
    <w:p w14:paraId="34C5F492" w14:textId="53AC6231" w:rsidR="00E84B69" w:rsidRDefault="00E84B69" w:rsidP="007F21C2">
      <w:pPr>
        <w:pStyle w:val="BodyText"/>
        <w:rPr>
          <w:b w:val="0"/>
          <w:szCs w:val="24"/>
          <w:u w:val="single"/>
        </w:rPr>
      </w:pPr>
      <w:r>
        <w:rPr>
          <w:b w:val="0"/>
          <w:szCs w:val="24"/>
          <w:u w:val="single"/>
        </w:rPr>
        <w:t>Section 11 - Other requirement for telehealth and midwifery services</w:t>
      </w:r>
    </w:p>
    <w:p w14:paraId="777177F1" w14:textId="77777777" w:rsidR="00F33DA2" w:rsidRDefault="00F33DA2" w:rsidP="00B24599">
      <w:pPr>
        <w:rPr>
          <w:szCs w:val="24"/>
          <w:lang w:val="en-US" w:eastAsia="en-US"/>
        </w:rPr>
      </w:pPr>
    </w:p>
    <w:p w14:paraId="6F9D8A01" w14:textId="7F54E8BC" w:rsidR="00B24599" w:rsidRPr="00B24599" w:rsidRDefault="00B24599" w:rsidP="00B24599">
      <w:pPr>
        <w:rPr>
          <w:szCs w:val="24"/>
          <w:lang w:val="en-US" w:eastAsia="en-US"/>
        </w:rPr>
      </w:pPr>
      <w:r w:rsidRPr="00B24599">
        <w:rPr>
          <w:szCs w:val="24"/>
          <w:lang w:val="en-US" w:eastAsia="en-US"/>
        </w:rPr>
        <w:t xml:space="preserve">Subsection </w:t>
      </w:r>
      <w:r>
        <w:rPr>
          <w:szCs w:val="24"/>
          <w:lang w:val="en-US" w:eastAsia="en-US"/>
        </w:rPr>
        <w:t>11</w:t>
      </w:r>
      <w:r w:rsidRPr="00B24599">
        <w:rPr>
          <w:szCs w:val="24"/>
          <w:lang w:val="en-US" w:eastAsia="en-US"/>
        </w:rPr>
        <w:t xml:space="preserve">(1) provides that a telehealth midwifery item only applies to a service where no other telehealth support service described in subsection </w:t>
      </w:r>
      <w:r>
        <w:rPr>
          <w:szCs w:val="24"/>
          <w:lang w:val="en-US" w:eastAsia="en-US"/>
        </w:rPr>
        <w:t>11</w:t>
      </w:r>
      <w:r w:rsidRPr="00B24599">
        <w:rPr>
          <w:szCs w:val="24"/>
          <w:lang w:val="en-US" w:eastAsia="en-US"/>
        </w:rPr>
        <w:t>(2) is provided to the patient on the same occasion.</w:t>
      </w:r>
    </w:p>
    <w:p w14:paraId="09C44738" w14:textId="77777777" w:rsidR="00B24599" w:rsidRPr="00B24599" w:rsidRDefault="00B24599" w:rsidP="00B24599">
      <w:pPr>
        <w:rPr>
          <w:szCs w:val="24"/>
          <w:lang w:val="en-US" w:eastAsia="en-US"/>
        </w:rPr>
      </w:pPr>
    </w:p>
    <w:p w14:paraId="49ECF6C0" w14:textId="13FFF243" w:rsidR="00B24599" w:rsidRPr="00B24599" w:rsidRDefault="00B24599" w:rsidP="00B24599">
      <w:pPr>
        <w:rPr>
          <w:szCs w:val="24"/>
          <w:lang w:val="en-US" w:eastAsia="en-US"/>
        </w:rPr>
      </w:pPr>
      <w:r w:rsidRPr="00B24599">
        <w:rPr>
          <w:szCs w:val="24"/>
          <w:lang w:val="en-US" w:eastAsia="en-US"/>
        </w:rPr>
        <w:t xml:space="preserve">Subsection </w:t>
      </w:r>
      <w:r>
        <w:rPr>
          <w:szCs w:val="24"/>
          <w:lang w:val="en-US" w:eastAsia="en-US"/>
        </w:rPr>
        <w:t>11</w:t>
      </w:r>
      <w:r w:rsidRPr="00B24599">
        <w:rPr>
          <w:szCs w:val="24"/>
          <w:lang w:val="en-US" w:eastAsia="en-US"/>
        </w:rPr>
        <w:t>(2) specifies the items to which the subsection applies, being the other midwife and nurse practitioner telehealth items in the Determination, and those items for telehealth support services which are specified in the general medical services table.</w:t>
      </w:r>
    </w:p>
    <w:p w14:paraId="22C30190" w14:textId="77777777" w:rsidR="00B24599" w:rsidRPr="00B24599" w:rsidRDefault="00B24599" w:rsidP="00B24599">
      <w:pPr>
        <w:rPr>
          <w:rFonts w:ascii="Arial" w:hAnsi="Arial" w:cs="Arial"/>
          <w:szCs w:val="24"/>
          <w:lang w:eastAsia="en-US"/>
        </w:rPr>
      </w:pPr>
    </w:p>
    <w:p w14:paraId="2E1FB4AD" w14:textId="5D3FD57C" w:rsidR="00B24599" w:rsidRPr="00B24599" w:rsidRDefault="00B24599" w:rsidP="00B24599">
      <w:pPr>
        <w:rPr>
          <w:szCs w:val="24"/>
          <w:lang w:val="en-US" w:eastAsia="en-US"/>
        </w:rPr>
      </w:pPr>
      <w:r w:rsidRPr="00B24599">
        <w:rPr>
          <w:szCs w:val="24"/>
          <w:lang w:val="en-US" w:eastAsia="en-US"/>
        </w:rPr>
        <w:t xml:space="preserve">Subsection </w:t>
      </w:r>
      <w:r>
        <w:rPr>
          <w:szCs w:val="24"/>
          <w:lang w:val="en-US" w:eastAsia="en-US"/>
        </w:rPr>
        <w:t>11</w:t>
      </w:r>
      <w:r w:rsidRPr="00B24599">
        <w:rPr>
          <w:szCs w:val="24"/>
          <w:lang w:val="en-US" w:eastAsia="en-US"/>
        </w:rPr>
        <w:t>(</w:t>
      </w:r>
      <w:r w:rsidR="007C42BE">
        <w:rPr>
          <w:szCs w:val="24"/>
          <w:lang w:val="en-US" w:eastAsia="en-US"/>
        </w:rPr>
        <w:t>3</w:t>
      </w:r>
      <w:r w:rsidRPr="00B24599">
        <w:rPr>
          <w:szCs w:val="24"/>
          <w:lang w:val="en-US" w:eastAsia="en-US"/>
        </w:rPr>
        <w:t>) provides that certain items do not apply if the practitioner travels to a place to satisfy the requirement in sub-subparagraph (c)(i)(B) of th</w:t>
      </w:r>
      <w:r w:rsidR="007C42BE">
        <w:rPr>
          <w:szCs w:val="24"/>
          <w:lang w:val="en-US" w:eastAsia="en-US"/>
        </w:rPr>
        <w:t>ose</w:t>
      </w:r>
      <w:r w:rsidRPr="00B24599">
        <w:rPr>
          <w:szCs w:val="24"/>
          <w:lang w:val="en-US" w:eastAsia="en-US"/>
        </w:rPr>
        <w:t xml:space="preserve"> item</w:t>
      </w:r>
      <w:r w:rsidR="007C42BE">
        <w:rPr>
          <w:szCs w:val="24"/>
          <w:lang w:val="en-US" w:eastAsia="en-US"/>
        </w:rPr>
        <w:t>s</w:t>
      </w:r>
      <w:r w:rsidRPr="00B24599">
        <w:rPr>
          <w:szCs w:val="24"/>
          <w:lang w:val="en-US" w:eastAsia="en-US"/>
        </w:rPr>
        <w:t>.</w:t>
      </w:r>
    </w:p>
    <w:p w14:paraId="2049A116" w14:textId="40DCF99D" w:rsidR="006E3649" w:rsidRPr="00D52B25" w:rsidRDefault="006E3649" w:rsidP="007F21C2">
      <w:pPr>
        <w:pStyle w:val="BodyText"/>
        <w:rPr>
          <w:b w:val="0"/>
          <w:szCs w:val="24"/>
        </w:rPr>
      </w:pPr>
    </w:p>
    <w:p w14:paraId="7860E575" w14:textId="4855A8B3" w:rsidR="00E84B69" w:rsidRDefault="00E84B69" w:rsidP="007F21C2">
      <w:pPr>
        <w:pStyle w:val="BodyText"/>
        <w:rPr>
          <w:b w:val="0"/>
          <w:szCs w:val="24"/>
          <w:u w:val="single"/>
        </w:rPr>
      </w:pPr>
      <w:r>
        <w:rPr>
          <w:b w:val="0"/>
          <w:szCs w:val="24"/>
          <w:u w:val="single"/>
        </w:rPr>
        <w:t>Section 12 - Labour and delivery</w:t>
      </w:r>
    </w:p>
    <w:p w14:paraId="06454AC7" w14:textId="77777777" w:rsidR="00F33DA2" w:rsidRDefault="00F33DA2" w:rsidP="00B24599">
      <w:pPr>
        <w:rPr>
          <w:szCs w:val="24"/>
          <w:lang w:val="en-US" w:eastAsia="en-US"/>
        </w:rPr>
      </w:pPr>
    </w:p>
    <w:p w14:paraId="17B20EEA" w14:textId="1B437752" w:rsidR="00B24599" w:rsidRPr="00B24599" w:rsidRDefault="00B24599" w:rsidP="00B24599">
      <w:pPr>
        <w:rPr>
          <w:szCs w:val="24"/>
          <w:lang w:val="en-US" w:eastAsia="en-US"/>
        </w:rPr>
      </w:pPr>
      <w:r w:rsidRPr="00B24599">
        <w:rPr>
          <w:szCs w:val="24"/>
          <w:lang w:val="en-US" w:eastAsia="en-US"/>
        </w:rPr>
        <w:t xml:space="preserve">Subsection </w:t>
      </w:r>
      <w:r>
        <w:rPr>
          <w:szCs w:val="24"/>
          <w:lang w:val="en-US" w:eastAsia="en-US"/>
        </w:rPr>
        <w:t>12</w:t>
      </w:r>
      <w:r w:rsidRPr="00B24599">
        <w:rPr>
          <w:szCs w:val="24"/>
          <w:lang w:val="en-US" w:eastAsia="en-US"/>
        </w:rPr>
        <w:t>(1) requires that for confinement items 82120 and 82125 to apply, the service must be provided during a period of exclusive care of a patient in</w:t>
      </w:r>
      <w:r w:rsidRPr="00B24599">
        <w:rPr>
          <w:szCs w:val="24"/>
          <w:lang w:eastAsia="en-US"/>
        </w:rPr>
        <w:t xml:space="preserve"> labour</w:t>
      </w:r>
      <w:r w:rsidRPr="00B24599">
        <w:rPr>
          <w:szCs w:val="24"/>
          <w:lang w:val="en-US" w:eastAsia="en-US"/>
        </w:rPr>
        <w:t xml:space="preserve"> by the participating midwife. This means that the participating midwife attends the patient for the duration of the service to the exclusion of all other patients. The midwife could not be managing more than one patient on the one occasion and sharing his or her time between them.</w:t>
      </w:r>
    </w:p>
    <w:p w14:paraId="24F2EAF8" w14:textId="77777777" w:rsidR="00B24599" w:rsidRPr="00B24599" w:rsidRDefault="00B24599" w:rsidP="00B24599">
      <w:pPr>
        <w:rPr>
          <w:szCs w:val="24"/>
          <w:lang w:val="en-US" w:eastAsia="en-US"/>
        </w:rPr>
      </w:pPr>
    </w:p>
    <w:p w14:paraId="162CFC45" w14:textId="54696CC8" w:rsidR="00B24599" w:rsidRPr="00B24599" w:rsidRDefault="00B24599" w:rsidP="00B24599">
      <w:pPr>
        <w:rPr>
          <w:szCs w:val="24"/>
          <w:lang w:val="en-US" w:eastAsia="en-US"/>
        </w:rPr>
      </w:pPr>
      <w:r w:rsidRPr="00B24599">
        <w:rPr>
          <w:szCs w:val="24"/>
          <w:lang w:val="en-US" w:eastAsia="en-US"/>
        </w:rPr>
        <w:t xml:space="preserve">Subsection </w:t>
      </w:r>
      <w:r>
        <w:rPr>
          <w:szCs w:val="24"/>
          <w:lang w:val="en-US" w:eastAsia="en-US"/>
        </w:rPr>
        <w:t>12</w:t>
      </w:r>
      <w:r w:rsidRPr="00B24599">
        <w:rPr>
          <w:szCs w:val="24"/>
          <w:lang w:val="en-US" w:eastAsia="en-US"/>
        </w:rPr>
        <w:t xml:space="preserve">(2) provides that where a patient’s care </w:t>
      </w:r>
      <w:r w:rsidR="007C42BE">
        <w:rPr>
          <w:szCs w:val="24"/>
          <w:lang w:val="en-US" w:eastAsia="en-US"/>
        </w:rPr>
        <w:t>is</w:t>
      </w:r>
      <w:r w:rsidRPr="00B24599">
        <w:rPr>
          <w:szCs w:val="24"/>
          <w:lang w:val="en-US" w:eastAsia="en-US"/>
        </w:rPr>
        <w:t xml:space="preserve"> referred to an obstetrician or medical practitioner by a participating midwife prior to the commencement of</w:t>
      </w:r>
      <w:r w:rsidRPr="00B24599">
        <w:rPr>
          <w:szCs w:val="24"/>
          <w:lang w:eastAsia="en-US"/>
        </w:rPr>
        <w:t xml:space="preserve"> labour</w:t>
      </w:r>
      <w:r w:rsidRPr="00B24599">
        <w:rPr>
          <w:szCs w:val="24"/>
          <w:lang w:val="en-US" w:eastAsia="en-US"/>
        </w:rPr>
        <w:t>, with that medical practitioner or obstetrician managing the patient’s</w:t>
      </w:r>
      <w:r w:rsidRPr="00B24599">
        <w:rPr>
          <w:szCs w:val="24"/>
          <w:lang w:eastAsia="en-US"/>
        </w:rPr>
        <w:t xml:space="preserve"> labour</w:t>
      </w:r>
      <w:r w:rsidRPr="00B24599">
        <w:rPr>
          <w:szCs w:val="24"/>
          <w:lang w:val="en-US" w:eastAsia="en-US"/>
        </w:rPr>
        <w:t xml:space="preserve"> and delivery, the midwife is precluded from also providing care during the confinement under items 82120 and 82125.</w:t>
      </w:r>
    </w:p>
    <w:p w14:paraId="56D6A42E" w14:textId="77777777" w:rsidR="00B24599" w:rsidRPr="00B24599" w:rsidRDefault="00B24599" w:rsidP="00B24599">
      <w:pPr>
        <w:rPr>
          <w:szCs w:val="24"/>
          <w:lang w:val="en-US" w:eastAsia="en-US"/>
        </w:rPr>
      </w:pPr>
    </w:p>
    <w:p w14:paraId="03654CA2" w14:textId="04F38B94" w:rsidR="00B24599" w:rsidRPr="00B24599" w:rsidRDefault="00B24599" w:rsidP="00B24599">
      <w:pPr>
        <w:rPr>
          <w:szCs w:val="24"/>
          <w:lang w:val="en-US" w:eastAsia="en-US"/>
        </w:rPr>
      </w:pPr>
      <w:r w:rsidRPr="00B24599">
        <w:rPr>
          <w:szCs w:val="24"/>
          <w:lang w:val="en-US" w:eastAsia="en-US"/>
        </w:rPr>
        <w:t xml:space="preserve">Subsection </w:t>
      </w:r>
      <w:r>
        <w:rPr>
          <w:szCs w:val="24"/>
          <w:lang w:val="en-US" w:eastAsia="en-US"/>
        </w:rPr>
        <w:t>12</w:t>
      </w:r>
      <w:r w:rsidR="00696867">
        <w:rPr>
          <w:szCs w:val="24"/>
          <w:lang w:val="en-US" w:eastAsia="en-US"/>
        </w:rPr>
        <w:t>(3) recognis</w:t>
      </w:r>
      <w:r w:rsidRPr="00B24599">
        <w:rPr>
          <w:szCs w:val="24"/>
          <w:lang w:val="en-US" w:eastAsia="en-US"/>
        </w:rPr>
        <w:t>es that there will be circumstances where the participating midwife is unable to undertake the patient’s delivery under item 82120, either because the woman’s</w:t>
      </w:r>
      <w:r w:rsidRPr="00B24599">
        <w:rPr>
          <w:szCs w:val="24"/>
          <w:lang w:eastAsia="en-US"/>
        </w:rPr>
        <w:t xml:space="preserve"> labour</w:t>
      </w:r>
      <w:r w:rsidRPr="00B24599">
        <w:rPr>
          <w:szCs w:val="24"/>
          <w:lang w:val="en-US" w:eastAsia="en-US"/>
        </w:rPr>
        <w:t xml:space="preserve"> exceeds twelve hours and care is transferred to a second midwife,</w:t>
      </w:r>
      <w:r w:rsidR="007C42BE">
        <w:rPr>
          <w:szCs w:val="24"/>
          <w:lang w:val="en-US" w:eastAsia="en-US"/>
        </w:rPr>
        <w:t xml:space="preserve"> or</w:t>
      </w:r>
      <w:r w:rsidRPr="00B24599">
        <w:rPr>
          <w:szCs w:val="24"/>
          <w:lang w:val="en-US" w:eastAsia="en-US"/>
        </w:rPr>
        <w:t xml:space="preserve"> where there is a clinical need to escalate care to a medical practitioner or where there are exceptional circumstances. This subsection enables the payment of Medicare benefits in these circumstances. Medicare benefits are not payable under item 82120 where a participating midwife routinely provides care during</w:t>
      </w:r>
      <w:r w:rsidRPr="00B24599">
        <w:rPr>
          <w:szCs w:val="24"/>
          <w:lang w:eastAsia="en-US"/>
        </w:rPr>
        <w:t xml:space="preserve"> labour</w:t>
      </w:r>
      <w:r w:rsidRPr="00B24599">
        <w:rPr>
          <w:szCs w:val="24"/>
          <w:lang w:val="en-US" w:eastAsia="en-US"/>
        </w:rPr>
        <w:t xml:space="preserve"> for patients that a medical practitioner intends to deliver.</w:t>
      </w:r>
    </w:p>
    <w:p w14:paraId="6039A71C" w14:textId="77777777" w:rsidR="00B24599" w:rsidRPr="00B24599" w:rsidRDefault="00B24599" w:rsidP="00B24599">
      <w:pPr>
        <w:rPr>
          <w:szCs w:val="24"/>
          <w:lang w:val="en-US" w:eastAsia="en-US"/>
        </w:rPr>
      </w:pPr>
    </w:p>
    <w:p w14:paraId="1ECCC939" w14:textId="3EF0A91F" w:rsidR="00B24599" w:rsidRPr="00B24599" w:rsidRDefault="00B24599" w:rsidP="00B24599">
      <w:pPr>
        <w:rPr>
          <w:szCs w:val="24"/>
          <w:lang w:val="en-US" w:eastAsia="en-US"/>
        </w:rPr>
      </w:pPr>
      <w:r w:rsidRPr="00B24599">
        <w:rPr>
          <w:szCs w:val="24"/>
          <w:lang w:val="en-US" w:eastAsia="en-US"/>
        </w:rPr>
        <w:t xml:space="preserve">Subsection </w:t>
      </w:r>
      <w:r>
        <w:rPr>
          <w:szCs w:val="24"/>
          <w:lang w:val="en-US" w:eastAsia="en-US"/>
        </w:rPr>
        <w:t>12</w:t>
      </w:r>
      <w:r w:rsidRPr="00B24599">
        <w:rPr>
          <w:szCs w:val="24"/>
          <w:lang w:val="en-US" w:eastAsia="en-US"/>
        </w:rPr>
        <w:t>(4) recognises that there will be circumstances where a participating midwife to whom a patient has been transferred is unable to undertake the patient’s delivery under item 82125, either because:</w:t>
      </w:r>
    </w:p>
    <w:p w14:paraId="31504056" w14:textId="77777777" w:rsidR="00B24599" w:rsidRPr="00B24599" w:rsidRDefault="00B24599" w:rsidP="00B24599">
      <w:pPr>
        <w:numPr>
          <w:ilvl w:val="0"/>
          <w:numId w:val="40"/>
        </w:numPr>
        <w:tabs>
          <w:tab w:val="num" w:pos="1260"/>
        </w:tabs>
        <w:rPr>
          <w:szCs w:val="24"/>
          <w:lang w:val="en-US" w:eastAsia="en-US"/>
        </w:rPr>
      </w:pPr>
      <w:r w:rsidRPr="00B24599">
        <w:rPr>
          <w:szCs w:val="24"/>
          <w:lang w:val="en-US" w:eastAsia="en-US"/>
        </w:rPr>
        <w:t xml:space="preserve">the woman’s labour exceeds twenty four hours (being twelve hours under the care of the first midwife from whom the patient has been transferred and twelve hours under the care of the midwife to whom the patient was transferred) and care is transferred to another midwife; or </w:t>
      </w:r>
    </w:p>
    <w:p w14:paraId="6EC0F8A8" w14:textId="77777777" w:rsidR="00B24599" w:rsidRPr="00B24599" w:rsidRDefault="00B24599" w:rsidP="00B24599">
      <w:pPr>
        <w:numPr>
          <w:ilvl w:val="0"/>
          <w:numId w:val="40"/>
        </w:numPr>
        <w:tabs>
          <w:tab w:val="num" w:pos="1260"/>
        </w:tabs>
        <w:rPr>
          <w:szCs w:val="24"/>
          <w:lang w:val="en-US" w:eastAsia="en-US"/>
        </w:rPr>
      </w:pPr>
      <w:r w:rsidRPr="00B24599">
        <w:rPr>
          <w:szCs w:val="24"/>
          <w:lang w:eastAsia="en-US"/>
        </w:rPr>
        <w:t xml:space="preserve">there is a clinical need to escalate care to a medical practitioner.  </w:t>
      </w:r>
    </w:p>
    <w:p w14:paraId="7C1047ED" w14:textId="77777777" w:rsidR="00B24599" w:rsidRPr="00B24599" w:rsidRDefault="00B24599" w:rsidP="00B24599">
      <w:pPr>
        <w:rPr>
          <w:szCs w:val="24"/>
          <w:lang w:val="en-US" w:eastAsia="en-US"/>
        </w:rPr>
      </w:pPr>
    </w:p>
    <w:p w14:paraId="17A45BE4" w14:textId="77777777" w:rsidR="00B24599" w:rsidRPr="00B24599" w:rsidRDefault="00B24599" w:rsidP="00B24599">
      <w:pPr>
        <w:rPr>
          <w:szCs w:val="24"/>
          <w:lang w:val="en-US" w:eastAsia="en-US"/>
        </w:rPr>
      </w:pPr>
      <w:r w:rsidRPr="00B24599">
        <w:rPr>
          <w:szCs w:val="24"/>
          <w:lang w:val="en-US" w:eastAsia="en-US"/>
        </w:rPr>
        <w:t xml:space="preserve">This subsection enables the payment of Medicare benefits in these circumstances. Medicare benefits are not payable under item 82125 where a participating midwife routinely provides care during labour for patients that a medical practitioner intends to deliver. </w:t>
      </w:r>
    </w:p>
    <w:p w14:paraId="48ABDB1B" w14:textId="77777777" w:rsidR="00E84B69" w:rsidRPr="00D52B25" w:rsidRDefault="00E84B69" w:rsidP="007F21C2">
      <w:pPr>
        <w:pStyle w:val="BodyText"/>
        <w:rPr>
          <w:b w:val="0"/>
          <w:szCs w:val="24"/>
        </w:rPr>
      </w:pPr>
    </w:p>
    <w:p w14:paraId="17EAF1B5" w14:textId="1CD5B3A1" w:rsidR="006E3649" w:rsidRPr="00E84B69" w:rsidRDefault="00E84B69" w:rsidP="007F21C2">
      <w:pPr>
        <w:pStyle w:val="BodyText"/>
        <w:rPr>
          <w:szCs w:val="24"/>
        </w:rPr>
      </w:pPr>
      <w:r w:rsidRPr="00E84B69">
        <w:rPr>
          <w:szCs w:val="24"/>
        </w:rPr>
        <w:t xml:space="preserve">Part 3 Nurse </w:t>
      </w:r>
      <w:r>
        <w:rPr>
          <w:szCs w:val="24"/>
        </w:rPr>
        <w:t>p</w:t>
      </w:r>
      <w:r w:rsidRPr="00E84B69">
        <w:rPr>
          <w:szCs w:val="24"/>
        </w:rPr>
        <w:t xml:space="preserve">ractitioner </w:t>
      </w:r>
      <w:r>
        <w:rPr>
          <w:szCs w:val="24"/>
        </w:rPr>
        <w:t>s</w:t>
      </w:r>
      <w:r w:rsidRPr="00E84B69">
        <w:rPr>
          <w:szCs w:val="24"/>
        </w:rPr>
        <w:t>ervices</w:t>
      </w:r>
    </w:p>
    <w:p w14:paraId="4BCE80B4" w14:textId="69FF1147" w:rsidR="00B51C33" w:rsidRDefault="00B51C33" w:rsidP="007F21C2">
      <w:pPr>
        <w:pStyle w:val="BodyText"/>
        <w:rPr>
          <w:b w:val="0"/>
          <w:szCs w:val="24"/>
          <w:u w:val="single"/>
        </w:rPr>
      </w:pPr>
    </w:p>
    <w:p w14:paraId="7946AF46" w14:textId="6688488C" w:rsidR="00E84B69" w:rsidRDefault="00E84B69" w:rsidP="007F21C2">
      <w:pPr>
        <w:pStyle w:val="BodyText"/>
        <w:rPr>
          <w:b w:val="0"/>
          <w:szCs w:val="24"/>
          <w:u w:val="single"/>
        </w:rPr>
      </w:pPr>
      <w:r>
        <w:rPr>
          <w:b w:val="0"/>
          <w:szCs w:val="24"/>
          <w:u w:val="single"/>
        </w:rPr>
        <w:t>Section 13 Treatment of nurse practitioner services – general</w:t>
      </w:r>
    </w:p>
    <w:p w14:paraId="42C92A32" w14:textId="77777777" w:rsidR="00F33DA2" w:rsidRDefault="00F33DA2" w:rsidP="00B24599">
      <w:pPr>
        <w:autoSpaceDE w:val="0"/>
        <w:autoSpaceDN w:val="0"/>
        <w:adjustRightInd w:val="0"/>
        <w:rPr>
          <w:szCs w:val="24"/>
          <w:lang w:val="en-US" w:eastAsia="en-US"/>
        </w:rPr>
      </w:pPr>
    </w:p>
    <w:p w14:paraId="3962CEA7" w14:textId="2FCF67AD" w:rsidR="00B24599" w:rsidRPr="00B24599" w:rsidRDefault="00B24599" w:rsidP="00B24599">
      <w:pPr>
        <w:autoSpaceDE w:val="0"/>
        <w:autoSpaceDN w:val="0"/>
        <w:adjustRightInd w:val="0"/>
        <w:rPr>
          <w:szCs w:val="24"/>
          <w:lang w:val="en-US" w:eastAsia="en-US"/>
        </w:rPr>
      </w:pPr>
      <w:r w:rsidRPr="00B24599">
        <w:rPr>
          <w:szCs w:val="24"/>
          <w:lang w:val="en-US" w:eastAsia="en-US"/>
        </w:rPr>
        <w:t xml:space="preserve">Paragraph </w:t>
      </w:r>
      <w:r>
        <w:rPr>
          <w:szCs w:val="24"/>
          <w:lang w:val="en-US" w:eastAsia="en-US"/>
        </w:rPr>
        <w:t>13</w:t>
      </w:r>
      <w:r w:rsidRPr="00B24599">
        <w:rPr>
          <w:szCs w:val="24"/>
          <w:lang w:val="en-US" w:eastAsia="en-US"/>
        </w:rPr>
        <w:t xml:space="preserve">(a) provides that, subject to section </w:t>
      </w:r>
      <w:r>
        <w:rPr>
          <w:szCs w:val="24"/>
          <w:lang w:val="en-US" w:eastAsia="en-US"/>
        </w:rPr>
        <w:t>14</w:t>
      </w:r>
      <w:r w:rsidRPr="00B24599">
        <w:rPr>
          <w:szCs w:val="24"/>
          <w:lang w:val="en-US" w:eastAsia="en-US"/>
        </w:rPr>
        <w:t>, nurse practitioner services provided in accordance with the Determination are to be treated</w:t>
      </w:r>
      <w:r w:rsidR="008C4F3B">
        <w:rPr>
          <w:szCs w:val="24"/>
          <w:lang w:val="en-US" w:eastAsia="en-US"/>
        </w:rPr>
        <w:t>, for the purposes of section 3C of the Act,</w:t>
      </w:r>
      <w:r w:rsidRPr="00B24599">
        <w:rPr>
          <w:szCs w:val="24"/>
          <w:lang w:val="en-US" w:eastAsia="en-US"/>
        </w:rPr>
        <w:t xml:space="preserve"> as if they were both a professional service and a medical service for the purposes of the provisions of the Act, the </w:t>
      </w:r>
      <w:r w:rsidRPr="00B24599">
        <w:rPr>
          <w:i/>
          <w:szCs w:val="24"/>
          <w:lang w:val="en-US" w:eastAsia="en-US"/>
        </w:rPr>
        <w:t>National Health Act 1953</w:t>
      </w:r>
      <w:r w:rsidRPr="00B24599">
        <w:rPr>
          <w:szCs w:val="24"/>
          <w:lang w:val="en-US" w:eastAsia="en-US"/>
        </w:rPr>
        <w:t xml:space="preserve"> and regulations made under each Act which provide for medical services or professional services.</w:t>
      </w:r>
    </w:p>
    <w:p w14:paraId="1E9EA5E0" w14:textId="77777777" w:rsidR="00B24599" w:rsidRPr="00B24599" w:rsidRDefault="00B24599" w:rsidP="00B24599">
      <w:pPr>
        <w:autoSpaceDE w:val="0"/>
        <w:autoSpaceDN w:val="0"/>
        <w:adjustRightInd w:val="0"/>
        <w:rPr>
          <w:szCs w:val="24"/>
          <w:lang w:val="en-US" w:eastAsia="en-US"/>
        </w:rPr>
      </w:pPr>
    </w:p>
    <w:p w14:paraId="474E479C" w14:textId="2E819D59" w:rsidR="00B24599" w:rsidRPr="00B24599" w:rsidRDefault="00B24599" w:rsidP="00B24599">
      <w:pPr>
        <w:autoSpaceDE w:val="0"/>
        <w:autoSpaceDN w:val="0"/>
        <w:adjustRightInd w:val="0"/>
        <w:rPr>
          <w:szCs w:val="24"/>
          <w:lang w:val="en-US" w:eastAsia="en-US"/>
        </w:rPr>
      </w:pPr>
      <w:r w:rsidRPr="00B24599">
        <w:rPr>
          <w:szCs w:val="24"/>
          <w:lang w:val="en-US" w:eastAsia="en-US"/>
        </w:rPr>
        <w:t xml:space="preserve">Paragraph </w:t>
      </w:r>
      <w:r w:rsidR="00F30BC8">
        <w:rPr>
          <w:szCs w:val="24"/>
          <w:lang w:val="en-US" w:eastAsia="en-US"/>
        </w:rPr>
        <w:t>13</w:t>
      </w:r>
      <w:r w:rsidRPr="00B24599">
        <w:rPr>
          <w:szCs w:val="24"/>
          <w:lang w:val="en-US" w:eastAsia="en-US"/>
        </w:rPr>
        <w:t xml:space="preserve">(b) provides that, subject to section </w:t>
      </w:r>
      <w:r>
        <w:rPr>
          <w:szCs w:val="24"/>
          <w:lang w:val="en-US" w:eastAsia="en-US"/>
        </w:rPr>
        <w:t>14</w:t>
      </w:r>
      <w:r w:rsidRPr="00B24599">
        <w:rPr>
          <w:szCs w:val="24"/>
          <w:lang w:val="en-US" w:eastAsia="en-US"/>
        </w:rPr>
        <w:t xml:space="preserve">, these services are to be treated as if there were an item in the GMST that related to the relevant service and specified a fee for that service, being the respective fee specified in Parts 1 and 2 of Schedule 2 of the Determination in relation to the service. </w:t>
      </w:r>
    </w:p>
    <w:p w14:paraId="1C41397A" w14:textId="301EF9EB" w:rsidR="00E84B69" w:rsidRPr="00D52B25" w:rsidRDefault="00E84B69" w:rsidP="007F21C2">
      <w:pPr>
        <w:pStyle w:val="BodyText"/>
        <w:rPr>
          <w:b w:val="0"/>
          <w:szCs w:val="24"/>
        </w:rPr>
      </w:pPr>
    </w:p>
    <w:p w14:paraId="5666ABC9" w14:textId="661D8E7D" w:rsidR="00E84B69" w:rsidRDefault="00E84B69" w:rsidP="007F21C2">
      <w:pPr>
        <w:pStyle w:val="BodyText"/>
        <w:rPr>
          <w:b w:val="0"/>
          <w:szCs w:val="24"/>
          <w:u w:val="single"/>
        </w:rPr>
      </w:pPr>
      <w:r>
        <w:rPr>
          <w:b w:val="0"/>
          <w:szCs w:val="24"/>
          <w:u w:val="single"/>
        </w:rPr>
        <w:t>Section 14 - Treatment of nurse practitioner services - pathology</w:t>
      </w:r>
    </w:p>
    <w:p w14:paraId="3367D399" w14:textId="77777777" w:rsidR="00F33DA2" w:rsidRDefault="00F33DA2" w:rsidP="00F30BC8">
      <w:pPr>
        <w:autoSpaceDE w:val="0"/>
        <w:autoSpaceDN w:val="0"/>
        <w:adjustRightInd w:val="0"/>
        <w:rPr>
          <w:szCs w:val="24"/>
          <w:lang w:val="en-US" w:eastAsia="en-US"/>
        </w:rPr>
      </w:pPr>
    </w:p>
    <w:p w14:paraId="02465652" w14:textId="30832D26" w:rsidR="00F30BC8" w:rsidRPr="00F30BC8" w:rsidRDefault="00F30BC8" w:rsidP="00F30BC8">
      <w:pPr>
        <w:autoSpaceDE w:val="0"/>
        <w:autoSpaceDN w:val="0"/>
        <w:adjustRightInd w:val="0"/>
        <w:rPr>
          <w:szCs w:val="24"/>
          <w:lang w:val="en-US" w:eastAsia="en-US"/>
        </w:rPr>
      </w:pPr>
      <w:r w:rsidRPr="00F30BC8">
        <w:rPr>
          <w:szCs w:val="24"/>
          <w:lang w:val="en-US" w:eastAsia="en-US"/>
        </w:rPr>
        <w:t xml:space="preserve">Paragraph </w:t>
      </w:r>
      <w:r>
        <w:rPr>
          <w:szCs w:val="24"/>
          <w:lang w:val="en-US" w:eastAsia="en-US"/>
        </w:rPr>
        <w:t>14</w:t>
      </w:r>
      <w:r w:rsidRPr="00F30BC8">
        <w:rPr>
          <w:szCs w:val="24"/>
          <w:lang w:val="en-US" w:eastAsia="en-US"/>
        </w:rPr>
        <w:t xml:space="preserve">(a) provides that nurse practitioner services specified in </w:t>
      </w:r>
      <w:r w:rsidRPr="00F30BC8">
        <w:rPr>
          <w:sz w:val="23"/>
          <w:szCs w:val="23"/>
          <w:lang w:val="en-US" w:eastAsia="en-US"/>
        </w:rPr>
        <w:t xml:space="preserve">Part 1 of Schedule 2 </w:t>
      </w:r>
      <w:r w:rsidRPr="00F30BC8">
        <w:rPr>
          <w:szCs w:val="24"/>
          <w:lang w:val="en-US" w:eastAsia="en-US"/>
        </w:rPr>
        <w:t xml:space="preserve">to the Determination (i.e. nurse practitioner pathology services) are to be treated as if they were both a professional service and a medical service for the purposes of the provisions of the Act, the </w:t>
      </w:r>
      <w:r w:rsidRPr="00F30BC8">
        <w:rPr>
          <w:i/>
          <w:szCs w:val="24"/>
          <w:lang w:val="en-US" w:eastAsia="en-US"/>
        </w:rPr>
        <w:t>National Health Act 1953</w:t>
      </w:r>
      <w:r w:rsidRPr="00F30BC8">
        <w:rPr>
          <w:szCs w:val="24"/>
          <w:lang w:val="en-US" w:eastAsia="en-US"/>
        </w:rPr>
        <w:t xml:space="preserve"> and regulations made under each Act which provide for medical services or professional services.</w:t>
      </w:r>
    </w:p>
    <w:p w14:paraId="5F6A392A" w14:textId="77777777" w:rsidR="00F30BC8" w:rsidRPr="00F30BC8" w:rsidRDefault="00F30BC8" w:rsidP="00F30BC8">
      <w:pPr>
        <w:autoSpaceDE w:val="0"/>
        <w:autoSpaceDN w:val="0"/>
        <w:adjustRightInd w:val="0"/>
        <w:rPr>
          <w:szCs w:val="24"/>
          <w:lang w:val="en-US" w:eastAsia="en-US"/>
        </w:rPr>
      </w:pPr>
    </w:p>
    <w:p w14:paraId="091FF501" w14:textId="088F1B45" w:rsidR="00F30BC8" w:rsidRPr="00F30BC8" w:rsidRDefault="00F30BC8" w:rsidP="00F30BC8">
      <w:pPr>
        <w:rPr>
          <w:szCs w:val="24"/>
          <w:lang w:val="en-US" w:eastAsia="en-US"/>
        </w:rPr>
      </w:pPr>
      <w:r w:rsidRPr="00F30BC8">
        <w:rPr>
          <w:szCs w:val="24"/>
          <w:lang w:val="en-US" w:eastAsia="en-US"/>
        </w:rPr>
        <w:lastRenderedPageBreak/>
        <w:t xml:space="preserve">Paragraph </w:t>
      </w:r>
      <w:r>
        <w:rPr>
          <w:szCs w:val="24"/>
          <w:lang w:val="en-US" w:eastAsia="en-US"/>
        </w:rPr>
        <w:t>14</w:t>
      </w:r>
      <w:r w:rsidRPr="00F30BC8">
        <w:rPr>
          <w:szCs w:val="24"/>
          <w:lang w:val="en-US" w:eastAsia="en-US"/>
        </w:rPr>
        <w:t>(b) provides that these services are to be treated as if there were an item in the PST that related to the relevant service and specified a fee for that service, being the fee specified in Part 1 of Schedule 2 in relation to the service.</w:t>
      </w:r>
    </w:p>
    <w:p w14:paraId="5458DEF0" w14:textId="64FDF0F3" w:rsidR="00E84B69" w:rsidRPr="00D52B25" w:rsidRDefault="00E84B69" w:rsidP="007F21C2">
      <w:pPr>
        <w:pStyle w:val="BodyText"/>
        <w:rPr>
          <w:b w:val="0"/>
          <w:szCs w:val="24"/>
        </w:rPr>
      </w:pPr>
    </w:p>
    <w:p w14:paraId="7D118785" w14:textId="061C59C6" w:rsidR="00E84B69" w:rsidRDefault="00E84B69" w:rsidP="007F21C2">
      <w:pPr>
        <w:pStyle w:val="BodyText"/>
        <w:rPr>
          <w:b w:val="0"/>
          <w:szCs w:val="24"/>
          <w:u w:val="single"/>
        </w:rPr>
      </w:pPr>
      <w:r>
        <w:rPr>
          <w:b w:val="0"/>
          <w:szCs w:val="24"/>
          <w:u w:val="single"/>
        </w:rPr>
        <w:t xml:space="preserve">Section 15 </w:t>
      </w:r>
      <w:r w:rsidR="00D52B25">
        <w:rPr>
          <w:b w:val="0"/>
          <w:szCs w:val="24"/>
          <w:u w:val="single"/>
        </w:rPr>
        <w:t>–</w:t>
      </w:r>
      <w:r>
        <w:rPr>
          <w:b w:val="0"/>
          <w:szCs w:val="24"/>
          <w:u w:val="single"/>
        </w:rPr>
        <w:t xml:space="preserve"> </w:t>
      </w:r>
      <w:r w:rsidR="00D52B25">
        <w:rPr>
          <w:b w:val="0"/>
          <w:szCs w:val="24"/>
          <w:u w:val="single"/>
        </w:rPr>
        <w:t>Collaborative arrangements and scope of practice</w:t>
      </w:r>
    </w:p>
    <w:p w14:paraId="3972DFEC" w14:textId="77777777" w:rsidR="00F33DA2" w:rsidRDefault="00F33DA2" w:rsidP="00F30BC8">
      <w:pPr>
        <w:rPr>
          <w:szCs w:val="24"/>
          <w:lang w:val="en-US" w:eastAsia="en-US"/>
        </w:rPr>
      </w:pPr>
    </w:p>
    <w:p w14:paraId="1395E431" w14:textId="28394E05" w:rsidR="00F30BC8" w:rsidRPr="00F30BC8" w:rsidRDefault="00F30BC8" w:rsidP="00F30BC8">
      <w:pPr>
        <w:rPr>
          <w:szCs w:val="24"/>
          <w:lang w:val="en-US" w:eastAsia="en-US"/>
        </w:rPr>
      </w:pPr>
      <w:r w:rsidRPr="00F30BC8">
        <w:rPr>
          <w:szCs w:val="24"/>
          <w:lang w:val="en-US" w:eastAsia="en-US"/>
        </w:rPr>
        <w:t>Subsection 1</w:t>
      </w:r>
      <w:r>
        <w:rPr>
          <w:szCs w:val="24"/>
          <w:lang w:val="en-US" w:eastAsia="en-US"/>
        </w:rPr>
        <w:t>5</w:t>
      </w:r>
      <w:r w:rsidRPr="00F30BC8">
        <w:rPr>
          <w:szCs w:val="24"/>
          <w:lang w:val="en-US" w:eastAsia="en-US"/>
        </w:rPr>
        <w:t>(1) provides that a nurse practitioner item only applies where the service is provided in accordance with collaborative arrangements in place for the patient and within the scope of practice of the participating nurse practitioner.</w:t>
      </w:r>
    </w:p>
    <w:p w14:paraId="785FECC3" w14:textId="77777777" w:rsidR="00F30BC8" w:rsidRPr="00F30BC8" w:rsidRDefault="00F30BC8" w:rsidP="00F30BC8">
      <w:pPr>
        <w:rPr>
          <w:szCs w:val="24"/>
          <w:lang w:val="en-US" w:eastAsia="en-US"/>
        </w:rPr>
      </w:pPr>
    </w:p>
    <w:p w14:paraId="130AE130" w14:textId="493E0490" w:rsidR="00F30BC8" w:rsidRPr="00F30BC8" w:rsidRDefault="00F30BC8" w:rsidP="00F30BC8">
      <w:pPr>
        <w:rPr>
          <w:szCs w:val="24"/>
          <w:lang w:val="en-US" w:eastAsia="en-US"/>
        </w:rPr>
      </w:pPr>
      <w:r w:rsidRPr="00F30BC8">
        <w:rPr>
          <w:szCs w:val="24"/>
          <w:lang w:val="en-US" w:eastAsia="en-US"/>
        </w:rPr>
        <w:t>Subsection 1</w:t>
      </w:r>
      <w:r>
        <w:rPr>
          <w:szCs w:val="24"/>
          <w:lang w:val="en-US" w:eastAsia="en-US"/>
        </w:rPr>
        <w:t>5</w:t>
      </w:r>
      <w:r w:rsidRPr="00F30BC8">
        <w:rPr>
          <w:szCs w:val="24"/>
          <w:lang w:val="en-US" w:eastAsia="en-US"/>
        </w:rPr>
        <w:t xml:space="preserve">(2) provides that a collaborative arrangement, in respect of a patient of a participating nurse practitioner, is an arrangement mentioned in regulation </w:t>
      </w:r>
      <w:r>
        <w:rPr>
          <w:szCs w:val="24"/>
          <w:lang w:val="en-US" w:eastAsia="en-US"/>
        </w:rPr>
        <w:t>7</w:t>
      </w:r>
      <w:r w:rsidRPr="00F30BC8">
        <w:rPr>
          <w:szCs w:val="24"/>
          <w:lang w:val="en-US" w:eastAsia="en-US"/>
        </w:rPr>
        <w:t xml:space="preserve"> of the </w:t>
      </w:r>
      <w:r w:rsidRPr="00F30BC8">
        <w:rPr>
          <w:i/>
          <w:szCs w:val="24"/>
          <w:lang w:val="en-US" w:eastAsia="en-US"/>
        </w:rPr>
        <w:t xml:space="preserve">Health Insurance Regulations </w:t>
      </w:r>
      <w:r>
        <w:rPr>
          <w:i/>
          <w:szCs w:val="24"/>
          <w:lang w:val="en-US" w:eastAsia="en-US"/>
        </w:rPr>
        <w:t>2018</w:t>
      </w:r>
      <w:r w:rsidRPr="00F30BC8">
        <w:rPr>
          <w:szCs w:val="24"/>
          <w:lang w:val="en-US" w:eastAsia="en-US"/>
        </w:rPr>
        <w:t>.</w:t>
      </w:r>
    </w:p>
    <w:p w14:paraId="717D5915" w14:textId="10448727" w:rsidR="00E84B69" w:rsidRPr="00D52B25" w:rsidRDefault="00E84B69" w:rsidP="007F21C2">
      <w:pPr>
        <w:pStyle w:val="BodyText"/>
        <w:rPr>
          <w:b w:val="0"/>
          <w:szCs w:val="24"/>
        </w:rPr>
      </w:pPr>
    </w:p>
    <w:p w14:paraId="3001ADF3" w14:textId="6C4BE4EA" w:rsidR="00E84B69" w:rsidRDefault="00E84B69" w:rsidP="007F21C2">
      <w:pPr>
        <w:pStyle w:val="BodyText"/>
        <w:rPr>
          <w:b w:val="0"/>
          <w:szCs w:val="24"/>
          <w:u w:val="single"/>
        </w:rPr>
      </w:pPr>
      <w:r>
        <w:rPr>
          <w:b w:val="0"/>
          <w:szCs w:val="24"/>
          <w:u w:val="single"/>
        </w:rPr>
        <w:t xml:space="preserve">Section 16 </w:t>
      </w:r>
      <w:r w:rsidR="00D52B25">
        <w:rPr>
          <w:b w:val="0"/>
          <w:szCs w:val="24"/>
          <w:u w:val="single"/>
        </w:rPr>
        <w:t>–</w:t>
      </w:r>
      <w:r>
        <w:rPr>
          <w:b w:val="0"/>
          <w:szCs w:val="24"/>
          <w:u w:val="single"/>
        </w:rPr>
        <w:t xml:space="preserve"> </w:t>
      </w:r>
      <w:r w:rsidR="00D52B25">
        <w:rPr>
          <w:b w:val="0"/>
          <w:szCs w:val="24"/>
          <w:u w:val="single"/>
        </w:rPr>
        <w:t>General requirements</w:t>
      </w:r>
    </w:p>
    <w:p w14:paraId="1911ED35" w14:textId="77777777" w:rsidR="00F33DA2" w:rsidRDefault="00F33DA2" w:rsidP="00F30BC8">
      <w:pPr>
        <w:rPr>
          <w:szCs w:val="24"/>
          <w:lang w:val="en-US" w:eastAsia="en-US"/>
        </w:rPr>
      </w:pPr>
    </w:p>
    <w:p w14:paraId="7C200115" w14:textId="0623737B" w:rsidR="00F30BC8" w:rsidRPr="00F30BC8" w:rsidRDefault="00F30BC8" w:rsidP="00F30BC8">
      <w:pPr>
        <w:rPr>
          <w:szCs w:val="24"/>
          <w:lang w:val="en-US" w:eastAsia="en-US"/>
        </w:rPr>
      </w:pPr>
      <w:r w:rsidRPr="00F30BC8">
        <w:rPr>
          <w:szCs w:val="24"/>
          <w:lang w:val="en-US" w:eastAsia="en-US"/>
        </w:rPr>
        <w:t>Subsection 1</w:t>
      </w:r>
      <w:r>
        <w:rPr>
          <w:szCs w:val="24"/>
          <w:lang w:val="en-US" w:eastAsia="en-US"/>
        </w:rPr>
        <w:t>6</w:t>
      </w:r>
      <w:r w:rsidRPr="00F30BC8">
        <w:rPr>
          <w:szCs w:val="24"/>
          <w:lang w:val="en-US" w:eastAsia="en-US"/>
        </w:rPr>
        <w:t>(1) provides that the nurse practitioner items, other than nurse practitioner pathology items, only apply where:</w:t>
      </w:r>
    </w:p>
    <w:p w14:paraId="72D67AF6" w14:textId="77777777" w:rsidR="00F30BC8" w:rsidRPr="00F30BC8" w:rsidRDefault="00F30BC8" w:rsidP="00F30BC8">
      <w:pPr>
        <w:numPr>
          <w:ilvl w:val="0"/>
          <w:numId w:val="38"/>
        </w:numPr>
        <w:contextualSpacing/>
        <w:rPr>
          <w:szCs w:val="24"/>
          <w:lang w:val="en-US" w:eastAsia="en-US"/>
        </w:rPr>
      </w:pPr>
      <w:r w:rsidRPr="00F30BC8">
        <w:rPr>
          <w:szCs w:val="24"/>
          <w:lang w:val="en-US" w:eastAsia="en-US"/>
        </w:rPr>
        <w:t>the service is personally performed by the participating nurse practitioner. Accordingly, these services cannot be performed by another practitioner on a nurse practitioner’s behalf; and</w:t>
      </w:r>
    </w:p>
    <w:p w14:paraId="293824C8" w14:textId="77777777" w:rsidR="00F30BC8" w:rsidRPr="00F30BC8" w:rsidRDefault="00F30BC8" w:rsidP="00F30BC8">
      <w:pPr>
        <w:numPr>
          <w:ilvl w:val="0"/>
          <w:numId w:val="38"/>
        </w:numPr>
        <w:contextualSpacing/>
        <w:rPr>
          <w:szCs w:val="24"/>
          <w:lang w:val="en-US" w:eastAsia="en-US"/>
        </w:rPr>
      </w:pPr>
      <w:r w:rsidRPr="00F30BC8">
        <w:rPr>
          <w:szCs w:val="24"/>
          <w:lang w:val="en-US" w:eastAsia="en-US"/>
        </w:rPr>
        <w:t>the services is provided to a single patient at the one time. Attending multiple patients on the one occasion, such as group attendances, would not apply; and</w:t>
      </w:r>
    </w:p>
    <w:p w14:paraId="69E7D868" w14:textId="77777777" w:rsidR="00F30BC8" w:rsidRPr="00F30BC8" w:rsidRDefault="00F30BC8" w:rsidP="00F30BC8">
      <w:pPr>
        <w:numPr>
          <w:ilvl w:val="0"/>
          <w:numId w:val="38"/>
        </w:numPr>
        <w:contextualSpacing/>
        <w:rPr>
          <w:szCs w:val="24"/>
          <w:lang w:val="en-US" w:eastAsia="en-US"/>
        </w:rPr>
      </w:pPr>
      <w:r w:rsidRPr="00F30BC8">
        <w:rPr>
          <w:szCs w:val="24"/>
          <w:lang w:val="en-US" w:eastAsia="en-US"/>
        </w:rPr>
        <w:t xml:space="preserve">the participating nurse practitioner is not an employee of a public hospital, or is an employee of a public hospital but provides services other than in his or her capacity as a public hospital employee. </w:t>
      </w:r>
    </w:p>
    <w:p w14:paraId="7E66001E" w14:textId="77777777" w:rsidR="00F30BC8" w:rsidRPr="00F30BC8" w:rsidRDefault="00F30BC8" w:rsidP="00F30BC8">
      <w:pPr>
        <w:ind w:left="60"/>
        <w:rPr>
          <w:szCs w:val="24"/>
          <w:lang w:val="en-US" w:eastAsia="en-US"/>
        </w:rPr>
      </w:pPr>
      <w:r w:rsidRPr="00F30BC8">
        <w:rPr>
          <w:szCs w:val="24"/>
          <w:lang w:val="en-US" w:eastAsia="en-US"/>
        </w:rPr>
        <w:t xml:space="preserve"> </w:t>
      </w:r>
    </w:p>
    <w:p w14:paraId="2A1F8625" w14:textId="236C04C8" w:rsidR="00F30BC8" w:rsidRPr="00F30BC8" w:rsidRDefault="00F30BC8" w:rsidP="00F30BC8">
      <w:pPr>
        <w:rPr>
          <w:szCs w:val="24"/>
          <w:lang w:val="en-US" w:eastAsia="en-US"/>
        </w:rPr>
      </w:pPr>
      <w:r w:rsidRPr="00F30BC8">
        <w:rPr>
          <w:szCs w:val="24"/>
          <w:lang w:val="en-US" w:eastAsia="en-US"/>
        </w:rPr>
        <w:t>Subsection 1</w:t>
      </w:r>
      <w:r>
        <w:rPr>
          <w:szCs w:val="24"/>
          <w:lang w:val="en-US" w:eastAsia="en-US"/>
        </w:rPr>
        <w:t>6</w:t>
      </w:r>
      <w:r w:rsidRPr="00F30BC8">
        <w:rPr>
          <w:szCs w:val="24"/>
          <w:lang w:val="en-US" w:eastAsia="en-US"/>
        </w:rPr>
        <w:t>(2) provides that subsection 1</w:t>
      </w:r>
      <w:r>
        <w:rPr>
          <w:szCs w:val="24"/>
          <w:lang w:val="en-US" w:eastAsia="en-US"/>
        </w:rPr>
        <w:t>6</w:t>
      </w:r>
      <w:r w:rsidRPr="00F30BC8">
        <w:rPr>
          <w:szCs w:val="24"/>
          <w:lang w:val="en-US" w:eastAsia="en-US"/>
        </w:rPr>
        <w:t>(1) applies whether or not another person provides essential assistance to the participating nurse practitioner in providing the service.</w:t>
      </w:r>
    </w:p>
    <w:p w14:paraId="166A0E0A" w14:textId="77777777" w:rsidR="00F30BC8" w:rsidRPr="00F30BC8" w:rsidRDefault="00F30BC8" w:rsidP="00F30BC8">
      <w:pPr>
        <w:rPr>
          <w:szCs w:val="24"/>
          <w:lang w:val="en-US" w:eastAsia="en-US"/>
        </w:rPr>
      </w:pPr>
    </w:p>
    <w:p w14:paraId="7DA94BE1" w14:textId="250A9C0B" w:rsidR="00F30BC8" w:rsidRPr="00F30BC8" w:rsidRDefault="00F30BC8" w:rsidP="00F30BC8">
      <w:pPr>
        <w:rPr>
          <w:szCs w:val="24"/>
          <w:lang w:val="en-US" w:eastAsia="en-US"/>
        </w:rPr>
      </w:pPr>
      <w:r w:rsidRPr="00F30BC8">
        <w:rPr>
          <w:szCs w:val="24"/>
          <w:lang w:val="en-US" w:eastAsia="en-US"/>
        </w:rPr>
        <w:t>Subsection 1</w:t>
      </w:r>
      <w:r>
        <w:rPr>
          <w:szCs w:val="24"/>
          <w:lang w:val="en-US" w:eastAsia="en-US"/>
        </w:rPr>
        <w:t>6</w:t>
      </w:r>
      <w:r w:rsidRPr="00F30BC8">
        <w:rPr>
          <w:szCs w:val="24"/>
          <w:lang w:val="en-US" w:eastAsia="en-US"/>
        </w:rPr>
        <w:t>(3) requires that for a nurse practitioner item other than a nurse practitioner pathology item applies, the patient must be in attendance when the service is provided.</w:t>
      </w:r>
    </w:p>
    <w:p w14:paraId="62D0E40F" w14:textId="77777777" w:rsidR="00F30BC8" w:rsidRPr="00F30BC8" w:rsidRDefault="00F30BC8" w:rsidP="00F30BC8">
      <w:pPr>
        <w:rPr>
          <w:szCs w:val="24"/>
          <w:lang w:val="en-US" w:eastAsia="en-US"/>
        </w:rPr>
      </w:pPr>
    </w:p>
    <w:p w14:paraId="21C2522A" w14:textId="75415763" w:rsidR="00E84B69" w:rsidRPr="00D52B25" w:rsidRDefault="00F30BC8" w:rsidP="00F30BC8">
      <w:pPr>
        <w:pStyle w:val="BodyText"/>
        <w:rPr>
          <w:b w:val="0"/>
          <w:szCs w:val="24"/>
        </w:rPr>
      </w:pPr>
      <w:r w:rsidRPr="00F30BC8">
        <w:rPr>
          <w:b w:val="0"/>
          <w:szCs w:val="24"/>
          <w:lang w:val="en-US" w:eastAsia="en-US"/>
        </w:rPr>
        <w:t>Subsections 1</w:t>
      </w:r>
      <w:r>
        <w:rPr>
          <w:b w:val="0"/>
          <w:szCs w:val="24"/>
          <w:lang w:val="en-US" w:eastAsia="en-US"/>
        </w:rPr>
        <w:t>6</w:t>
      </w:r>
      <w:r w:rsidRPr="00F30BC8">
        <w:rPr>
          <w:b w:val="0"/>
          <w:szCs w:val="24"/>
          <w:lang w:val="en-US" w:eastAsia="en-US"/>
        </w:rPr>
        <w:t>(4) and 1</w:t>
      </w:r>
      <w:r>
        <w:rPr>
          <w:b w:val="0"/>
          <w:szCs w:val="24"/>
          <w:lang w:val="en-US" w:eastAsia="en-US"/>
        </w:rPr>
        <w:t>6</w:t>
      </w:r>
      <w:r w:rsidRPr="00F30BC8">
        <w:rPr>
          <w:b w:val="0"/>
          <w:szCs w:val="24"/>
          <w:lang w:val="en-US" w:eastAsia="en-US"/>
        </w:rPr>
        <w:t>(5) provide clarification of the content of the requirement for ‘professional attendance’ in the nurse practitioner items which are set out in Part 2 of Schedule 2 of the Determination. The content of professional attendance for nurse practitioners is the same as that for participating midwives.</w:t>
      </w:r>
    </w:p>
    <w:p w14:paraId="518F6B5A" w14:textId="32F6CF62" w:rsidR="00E84B69" w:rsidRPr="00D52B25" w:rsidRDefault="00E84B69" w:rsidP="007F21C2">
      <w:pPr>
        <w:pStyle w:val="BodyText"/>
        <w:rPr>
          <w:b w:val="0"/>
          <w:szCs w:val="24"/>
        </w:rPr>
      </w:pPr>
    </w:p>
    <w:p w14:paraId="417EA942" w14:textId="0533ECC6" w:rsidR="00E84B69" w:rsidRDefault="00E84B69" w:rsidP="007F21C2">
      <w:pPr>
        <w:pStyle w:val="BodyText"/>
        <w:rPr>
          <w:b w:val="0"/>
          <w:szCs w:val="24"/>
          <w:u w:val="single"/>
        </w:rPr>
      </w:pPr>
      <w:r>
        <w:rPr>
          <w:b w:val="0"/>
          <w:szCs w:val="24"/>
          <w:u w:val="single"/>
        </w:rPr>
        <w:t xml:space="preserve">Section 17 </w:t>
      </w:r>
      <w:r w:rsidR="00D52B25">
        <w:rPr>
          <w:b w:val="0"/>
          <w:szCs w:val="24"/>
          <w:u w:val="single"/>
        </w:rPr>
        <w:t>–</w:t>
      </w:r>
      <w:r>
        <w:rPr>
          <w:b w:val="0"/>
          <w:szCs w:val="24"/>
          <w:u w:val="single"/>
        </w:rPr>
        <w:t xml:space="preserve"> </w:t>
      </w:r>
      <w:r w:rsidR="00D52B25">
        <w:rPr>
          <w:b w:val="0"/>
          <w:szCs w:val="24"/>
          <w:u w:val="single"/>
        </w:rPr>
        <w:t>Requirements for pathology items</w:t>
      </w:r>
    </w:p>
    <w:p w14:paraId="75356E11" w14:textId="77777777" w:rsidR="00F33DA2" w:rsidRDefault="00F33DA2" w:rsidP="007F21C2">
      <w:pPr>
        <w:pStyle w:val="BodyText"/>
        <w:rPr>
          <w:b w:val="0"/>
        </w:rPr>
      </w:pPr>
    </w:p>
    <w:p w14:paraId="54663F7D" w14:textId="10CBCAF2" w:rsidR="00E84B69" w:rsidRPr="00F30BC8" w:rsidRDefault="00F30BC8" w:rsidP="007F21C2">
      <w:pPr>
        <w:pStyle w:val="BodyText"/>
        <w:rPr>
          <w:b w:val="0"/>
          <w:szCs w:val="24"/>
        </w:rPr>
      </w:pPr>
      <w:r w:rsidRPr="00F30BC8">
        <w:rPr>
          <w:b w:val="0"/>
        </w:rPr>
        <w:t>Subsection 1</w:t>
      </w:r>
      <w:r>
        <w:rPr>
          <w:b w:val="0"/>
        </w:rPr>
        <w:t>7</w:t>
      </w:r>
      <w:r w:rsidRPr="00F30BC8">
        <w:rPr>
          <w:b w:val="0"/>
        </w:rPr>
        <w:t xml:space="preserve"> provides that the nurse practitioner pathology items only apply if the participating nurse practitioner who renders the service is not an employee of a public hospital, or is an employee of a public hospital but provides services other than in his or her capacity as a public hospital employee.</w:t>
      </w:r>
    </w:p>
    <w:p w14:paraId="6673E330" w14:textId="2A58805B" w:rsidR="00E84B69" w:rsidRPr="00D52B25" w:rsidRDefault="00E84B69" w:rsidP="007F21C2">
      <w:pPr>
        <w:pStyle w:val="BodyText"/>
        <w:rPr>
          <w:b w:val="0"/>
          <w:szCs w:val="24"/>
        </w:rPr>
      </w:pPr>
    </w:p>
    <w:p w14:paraId="2040F2EF" w14:textId="0991ECF1" w:rsidR="00E84B69" w:rsidRDefault="00E84B69" w:rsidP="007F21C2">
      <w:pPr>
        <w:pStyle w:val="BodyText"/>
        <w:rPr>
          <w:b w:val="0"/>
          <w:szCs w:val="24"/>
          <w:u w:val="single"/>
        </w:rPr>
      </w:pPr>
      <w:r>
        <w:rPr>
          <w:b w:val="0"/>
          <w:szCs w:val="24"/>
          <w:u w:val="single"/>
        </w:rPr>
        <w:t xml:space="preserve">Section 18 </w:t>
      </w:r>
      <w:r w:rsidR="00D52B25">
        <w:rPr>
          <w:b w:val="0"/>
          <w:szCs w:val="24"/>
          <w:u w:val="single"/>
        </w:rPr>
        <w:t>–</w:t>
      </w:r>
      <w:r>
        <w:rPr>
          <w:b w:val="0"/>
          <w:szCs w:val="24"/>
          <w:u w:val="single"/>
        </w:rPr>
        <w:t xml:space="preserve"> </w:t>
      </w:r>
      <w:r w:rsidR="00D52B25">
        <w:rPr>
          <w:b w:val="0"/>
          <w:szCs w:val="24"/>
          <w:u w:val="single"/>
        </w:rPr>
        <w:t>Other requirements for telehealth nurse practitioner services</w:t>
      </w:r>
    </w:p>
    <w:p w14:paraId="0AAC1BA6" w14:textId="77777777" w:rsidR="00F33DA2" w:rsidRDefault="00F33DA2" w:rsidP="00F30BC8">
      <w:pPr>
        <w:rPr>
          <w:szCs w:val="24"/>
          <w:lang w:val="en-US" w:eastAsia="en-US"/>
        </w:rPr>
      </w:pPr>
    </w:p>
    <w:p w14:paraId="0D349362" w14:textId="2D32A336" w:rsidR="00F30BC8" w:rsidRPr="00F30BC8" w:rsidRDefault="00F30BC8" w:rsidP="00F30BC8">
      <w:pPr>
        <w:rPr>
          <w:szCs w:val="24"/>
          <w:lang w:val="en-US" w:eastAsia="en-US"/>
        </w:rPr>
      </w:pPr>
      <w:r w:rsidRPr="00F30BC8">
        <w:rPr>
          <w:szCs w:val="24"/>
          <w:lang w:val="en-US" w:eastAsia="en-US"/>
        </w:rPr>
        <w:t>Subsection 1</w:t>
      </w:r>
      <w:r>
        <w:rPr>
          <w:szCs w:val="24"/>
          <w:lang w:val="en-US" w:eastAsia="en-US"/>
        </w:rPr>
        <w:t>8</w:t>
      </w:r>
      <w:r w:rsidRPr="00F30BC8">
        <w:rPr>
          <w:szCs w:val="24"/>
          <w:lang w:val="en-US" w:eastAsia="en-US"/>
        </w:rPr>
        <w:t xml:space="preserve">(1) provides that the telehealth nurse practitioner items only apply to a service </w:t>
      </w:r>
      <w:r w:rsidR="008C4F3B">
        <w:rPr>
          <w:szCs w:val="24"/>
          <w:lang w:val="en-US" w:eastAsia="en-US"/>
        </w:rPr>
        <w:t>provided</w:t>
      </w:r>
      <w:r w:rsidRPr="00F30BC8">
        <w:rPr>
          <w:szCs w:val="24"/>
          <w:lang w:val="en-US" w:eastAsia="en-US"/>
        </w:rPr>
        <w:t xml:space="preserve"> no other telehealth support service described in subsection 1</w:t>
      </w:r>
      <w:r>
        <w:rPr>
          <w:szCs w:val="24"/>
          <w:lang w:val="en-US" w:eastAsia="en-US"/>
        </w:rPr>
        <w:t>8</w:t>
      </w:r>
      <w:r w:rsidRPr="00F30BC8">
        <w:rPr>
          <w:szCs w:val="24"/>
          <w:lang w:val="en-US" w:eastAsia="en-US"/>
        </w:rPr>
        <w:t>(2) is provided to the patient on the same occasion.</w:t>
      </w:r>
      <w:r w:rsidR="008C4F3B">
        <w:rPr>
          <w:szCs w:val="24"/>
          <w:lang w:val="en-US" w:eastAsia="en-US"/>
        </w:rPr>
        <w:t xml:space="preserve"> This avoids duplication of telehealth services.</w:t>
      </w:r>
    </w:p>
    <w:p w14:paraId="3506CD00" w14:textId="77777777" w:rsidR="00F30BC8" w:rsidRPr="00F30BC8" w:rsidRDefault="00F30BC8" w:rsidP="00F30BC8">
      <w:pPr>
        <w:rPr>
          <w:szCs w:val="24"/>
          <w:lang w:val="en-US" w:eastAsia="en-US"/>
        </w:rPr>
      </w:pPr>
    </w:p>
    <w:p w14:paraId="60F34DE4" w14:textId="020DA5AB" w:rsidR="00F30BC8" w:rsidRPr="00F30BC8" w:rsidRDefault="00F30BC8" w:rsidP="00F30BC8">
      <w:pPr>
        <w:rPr>
          <w:szCs w:val="24"/>
          <w:lang w:val="en-US" w:eastAsia="en-US"/>
        </w:rPr>
      </w:pPr>
      <w:r w:rsidRPr="00F30BC8">
        <w:rPr>
          <w:szCs w:val="24"/>
          <w:lang w:val="en-US" w:eastAsia="en-US"/>
        </w:rPr>
        <w:t>Subsection 1</w:t>
      </w:r>
      <w:r>
        <w:rPr>
          <w:szCs w:val="24"/>
          <w:lang w:val="en-US" w:eastAsia="en-US"/>
        </w:rPr>
        <w:t>8</w:t>
      </w:r>
      <w:r w:rsidRPr="00F30BC8">
        <w:rPr>
          <w:szCs w:val="24"/>
          <w:lang w:val="en-US" w:eastAsia="en-US"/>
        </w:rPr>
        <w:t xml:space="preserve">(2) specifies the items to which </w:t>
      </w:r>
      <w:r w:rsidR="007114A7">
        <w:rPr>
          <w:szCs w:val="24"/>
          <w:lang w:val="en-US" w:eastAsia="en-US"/>
        </w:rPr>
        <w:t>may not be duplicated on the same occasion</w:t>
      </w:r>
      <w:r w:rsidRPr="00F30BC8">
        <w:rPr>
          <w:szCs w:val="24"/>
          <w:lang w:val="en-US" w:eastAsia="en-US"/>
        </w:rPr>
        <w:t>, being the other midwife and nurse practitioner telehealth items</w:t>
      </w:r>
      <w:r w:rsidR="007114A7">
        <w:rPr>
          <w:szCs w:val="24"/>
          <w:lang w:val="en-US" w:eastAsia="en-US"/>
        </w:rPr>
        <w:t xml:space="preserve"> in the Determination</w:t>
      </w:r>
      <w:r w:rsidR="008C4F3B">
        <w:rPr>
          <w:szCs w:val="24"/>
          <w:lang w:val="en-US" w:eastAsia="en-US"/>
        </w:rPr>
        <w:t>,</w:t>
      </w:r>
      <w:r w:rsidRPr="00F30BC8">
        <w:rPr>
          <w:szCs w:val="24"/>
          <w:lang w:val="en-US" w:eastAsia="en-US"/>
        </w:rPr>
        <w:t xml:space="preserve"> and those items for telehealth support services which are specified in the general medical services table.</w:t>
      </w:r>
    </w:p>
    <w:p w14:paraId="71001C4F" w14:textId="77777777" w:rsidR="00F30BC8" w:rsidRPr="00F30BC8" w:rsidRDefault="00F30BC8" w:rsidP="00F30BC8">
      <w:pPr>
        <w:rPr>
          <w:szCs w:val="24"/>
          <w:lang w:val="en-US" w:eastAsia="en-US"/>
        </w:rPr>
      </w:pPr>
    </w:p>
    <w:p w14:paraId="2C4B05E6" w14:textId="68644D0D" w:rsidR="00F30BC8" w:rsidRPr="00F30BC8" w:rsidRDefault="00F30BC8" w:rsidP="00F30BC8">
      <w:pPr>
        <w:rPr>
          <w:szCs w:val="24"/>
          <w:lang w:val="en-US" w:eastAsia="en-US"/>
        </w:rPr>
      </w:pPr>
      <w:r w:rsidRPr="00F30BC8">
        <w:rPr>
          <w:szCs w:val="24"/>
          <w:lang w:val="en-US" w:eastAsia="en-US"/>
        </w:rPr>
        <w:t>Subsection 1</w:t>
      </w:r>
      <w:r>
        <w:rPr>
          <w:szCs w:val="24"/>
          <w:lang w:val="en-US" w:eastAsia="en-US"/>
        </w:rPr>
        <w:t>8</w:t>
      </w:r>
      <w:r w:rsidRPr="00F30BC8">
        <w:rPr>
          <w:szCs w:val="24"/>
          <w:lang w:val="en-US" w:eastAsia="en-US"/>
        </w:rPr>
        <w:t>(3) provides that items do not apply if the practitioner travels to a place to satisfy the requirement in sub-subparagraph (c)(i)(B) of the item.</w:t>
      </w:r>
    </w:p>
    <w:p w14:paraId="6FF685CC" w14:textId="77777777" w:rsidR="00E84B69" w:rsidRPr="00D52B25" w:rsidRDefault="00E84B69" w:rsidP="007F21C2">
      <w:pPr>
        <w:pStyle w:val="BodyText"/>
        <w:rPr>
          <w:b w:val="0"/>
          <w:szCs w:val="24"/>
        </w:rPr>
      </w:pPr>
    </w:p>
    <w:p w14:paraId="27F44A2B" w14:textId="651E09F6" w:rsidR="007F21C2" w:rsidRPr="00E84B69" w:rsidRDefault="007F21C2" w:rsidP="007F21C2">
      <w:pPr>
        <w:pStyle w:val="Header"/>
        <w:tabs>
          <w:tab w:val="num" w:pos="1080"/>
        </w:tabs>
        <w:rPr>
          <w:b/>
          <w:szCs w:val="24"/>
        </w:rPr>
      </w:pPr>
      <w:r w:rsidRPr="00E84B69">
        <w:rPr>
          <w:b/>
          <w:szCs w:val="24"/>
        </w:rPr>
        <w:t xml:space="preserve">Schedule 1 – </w:t>
      </w:r>
      <w:r w:rsidR="00E84B69" w:rsidRPr="00E84B69">
        <w:rPr>
          <w:b/>
          <w:szCs w:val="24"/>
        </w:rPr>
        <w:t>Midwifery services and fees</w:t>
      </w:r>
    </w:p>
    <w:p w14:paraId="61CE097E" w14:textId="605A454D" w:rsidR="007F21C2" w:rsidRDefault="007F21C2" w:rsidP="007F21C2">
      <w:pPr>
        <w:pStyle w:val="Header"/>
        <w:tabs>
          <w:tab w:val="num" w:pos="1080"/>
        </w:tabs>
        <w:rPr>
          <w:szCs w:val="24"/>
          <w:u w:val="single"/>
        </w:rPr>
      </w:pPr>
    </w:p>
    <w:p w14:paraId="02217830" w14:textId="16BEDD08" w:rsidR="00E84B69" w:rsidRPr="002E65CD" w:rsidRDefault="00E84B69" w:rsidP="007F21C2">
      <w:pPr>
        <w:pStyle w:val="Header"/>
        <w:tabs>
          <w:tab w:val="num" w:pos="1080"/>
        </w:tabs>
        <w:rPr>
          <w:szCs w:val="24"/>
          <w:u w:val="single"/>
        </w:rPr>
      </w:pPr>
      <w:r w:rsidRPr="002E65CD">
        <w:rPr>
          <w:szCs w:val="24"/>
          <w:u w:val="single"/>
        </w:rPr>
        <w:t>Part 1 Midwifery services and fees</w:t>
      </w:r>
    </w:p>
    <w:p w14:paraId="68F8B40A" w14:textId="77777777" w:rsidR="00F33DA2" w:rsidRDefault="00F33DA2" w:rsidP="002E65CD">
      <w:pPr>
        <w:rPr>
          <w:szCs w:val="24"/>
          <w:lang w:val="en-US" w:eastAsia="en-US"/>
        </w:rPr>
      </w:pPr>
    </w:p>
    <w:p w14:paraId="5DE43D37" w14:textId="20E414A5" w:rsidR="002E65CD" w:rsidRPr="002E65CD" w:rsidRDefault="002E65CD" w:rsidP="002E65CD">
      <w:pPr>
        <w:rPr>
          <w:szCs w:val="24"/>
          <w:lang w:val="en-US" w:eastAsia="en-US"/>
        </w:rPr>
      </w:pPr>
      <w:r w:rsidRPr="002E65CD">
        <w:rPr>
          <w:szCs w:val="24"/>
          <w:lang w:val="en-US" w:eastAsia="en-US"/>
        </w:rPr>
        <w:t>Part 1 of Schedule 1 of the Determination sets out the relevant general midwifery services, assigns applicable item numbers, item descriptors and fees for th</w:t>
      </w:r>
      <w:r w:rsidR="007114A7">
        <w:rPr>
          <w:szCs w:val="24"/>
          <w:lang w:val="en-US" w:eastAsia="en-US"/>
        </w:rPr>
        <w:t>ose</w:t>
      </w:r>
      <w:r w:rsidRPr="002E65CD">
        <w:rPr>
          <w:szCs w:val="24"/>
          <w:lang w:val="en-US" w:eastAsia="en-US"/>
        </w:rPr>
        <w:t xml:space="preserve"> services. These</w:t>
      </w:r>
      <w:r w:rsidR="009F5489">
        <w:rPr>
          <w:szCs w:val="24"/>
          <w:lang w:val="en-US" w:eastAsia="en-US"/>
        </w:rPr>
        <w:t xml:space="preserve"> 9</w:t>
      </w:r>
      <w:r w:rsidRPr="002E65CD">
        <w:rPr>
          <w:szCs w:val="24"/>
          <w:lang w:val="en-US" w:eastAsia="en-US"/>
        </w:rPr>
        <w:t xml:space="preserve"> items</w:t>
      </w:r>
      <w:r w:rsidR="009F5489">
        <w:rPr>
          <w:szCs w:val="24"/>
          <w:lang w:val="en-US" w:eastAsia="en-US"/>
        </w:rPr>
        <w:t xml:space="preserve"> in Group M13 Subgroup 1</w:t>
      </w:r>
      <w:r w:rsidRPr="002E65CD">
        <w:rPr>
          <w:szCs w:val="24"/>
          <w:lang w:val="en-US" w:eastAsia="en-US"/>
        </w:rPr>
        <w:t xml:space="preserve"> enable the payment of Medicare benefits to patients of participating midwives for antenatal, birthing and postnatal care.</w:t>
      </w:r>
    </w:p>
    <w:p w14:paraId="59BD5AB9" w14:textId="3B15DF4F" w:rsidR="00E84B69" w:rsidRDefault="00E84B69" w:rsidP="007F21C2">
      <w:pPr>
        <w:pStyle w:val="Header"/>
        <w:tabs>
          <w:tab w:val="num" w:pos="1080"/>
        </w:tabs>
        <w:rPr>
          <w:szCs w:val="24"/>
          <w:u w:val="single"/>
        </w:rPr>
      </w:pPr>
    </w:p>
    <w:p w14:paraId="5124B9AE" w14:textId="20D4B8B9" w:rsidR="00E84B69" w:rsidRPr="002E65CD" w:rsidRDefault="002E65CD" w:rsidP="007F21C2">
      <w:pPr>
        <w:pStyle w:val="Header"/>
        <w:tabs>
          <w:tab w:val="num" w:pos="1080"/>
        </w:tabs>
        <w:rPr>
          <w:szCs w:val="24"/>
          <w:u w:val="single"/>
        </w:rPr>
      </w:pPr>
      <w:r w:rsidRPr="002E65CD">
        <w:rPr>
          <w:szCs w:val="24"/>
          <w:u w:val="single"/>
        </w:rPr>
        <w:t>Part 2 Telehealth midwifery services and fees</w:t>
      </w:r>
    </w:p>
    <w:p w14:paraId="042477EE" w14:textId="77777777" w:rsidR="00F33DA2" w:rsidRDefault="00F33DA2" w:rsidP="002E65CD">
      <w:pPr>
        <w:pStyle w:val="rc"/>
        <w:spacing w:before="0" w:beforeAutospacing="0" w:after="0" w:afterAutospacing="0"/>
      </w:pPr>
    </w:p>
    <w:p w14:paraId="528CCAD5" w14:textId="593C94C7" w:rsidR="002E65CD" w:rsidRDefault="002E65CD" w:rsidP="002E65CD">
      <w:pPr>
        <w:pStyle w:val="rc"/>
        <w:spacing w:before="0" w:beforeAutospacing="0" w:after="0" w:afterAutospacing="0"/>
      </w:pPr>
      <w:r>
        <w:t xml:space="preserve">Part 2 of Schedule 1 of the Determination sets out the relevant telehealth midwifery services, assigns </w:t>
      </w:r>
      <w:r w:rsidRPr="004F7AA4">
        <w:t>applicable item number</w:t>
      </w:r>
      <w:r>
        <w:t>s</w:t>
      </w:r>
      <w:r w:rsidRPr="004F7AA4">
        <w:t>, item descriptor</w:t>
      </w:r>
      <w:r>
        <w:t>s</w:t>
      </w:r>
      <w:r w:rsidRPr="004F7AA4">
        <w:t xml:space="preserve"> and fee</w:t>
      </w:r>
      <w:r>
        <w:t xml:space="preserve">s for the services. These </w:t>
      </w:r>
      <w:r w:rsidR="009F5489">
        <w:t xml:space="preserve">3 </w:t>
      </w:r>
      <w:r>
        <w:t xml:space="preserve">items </w:t>
      </w:r>
      <w:r w:rsidR="009F5489">
        <w:t xml:space="preserve">in group M13 Subgroup 2, </w:t>
      </w:r>
      <w:r>
        <w:t>enable</w:t>
      </w:r>
      <w:r w:rsidRPr="003D5071">
        <w:t xml:space="preserve"> </w:t>
      </w:r>
      <w:r>
        <w:t>the payment of Medicare benefits to patients of participating midwives for telehealth support services.</w:t>
      </w:r>
    </w:p>
    <w:p w14:paraId="6AFE269F" w14:textId="79516594" w:rsidR="002E65CD" w:rsidRDefault="002E65CD" w:rsidP="007B6505">
      <w:pPr>
        <w:pStyle w:val="Header"/>
        <w:tabs>
          <w:tab w:val="num" w:pos="1080"/>
        </w:tabs>
        <w:rPr>
          <w:b/>
          <w:szCs w:val="24"/>
        </w:rPr>
      </w:pPr>
    </w:p>
    <w:p w14:paraId="42B2E137" w14:textId="64ECEEF1" w:rsidR="002E65CD" w:rsidRPr="009F5489" w:rsidRDefault="002E65CD" w:rsidP="007B6505">
      <w:pPr>
        <w:pStyle w:val="Header"/>
        <w:tabs>
          <w:tab w:val="num" w:pos="1080"/>
        </w:tabs>
        <w:rPr>
          <w:b/>
          <w:szCs w:val="24"/>
        </w:rPr>
      </w:pPr>
      <w:r w:rsidRPr="009F5489">
        <w:rPr>
          <w:b/>
          <w:szCs w:val="24"/>
        </w:rPr>
        <w:t>Schedule 2 Nurse Practitioner services and fees</w:t>
      </w:r>
    </w:p>
    <w:p w14:paraId="7137AC70" w14:textId="0058E38C" w:rsidR="002E65CD" w:rsidRDefault="002E65CD" w:rsidP="007B6505">
      <w:pPr>
        <w:pStyle w:val="Header"/>
        <w:tabs>
          <w:tab w:val="num" w:pos="1080"/>
        </w:tabs>
        <w:rPr>
          <w:b/>
          <w:szCs w:val="24"/>
        </w:rPr>
      </w:pPr>
    </w:p>
    <w:p w14:paraId="6D1E2303" w14:textId="4FEE1BE3" w:rsidR="002E65CD" w:rsidRPr="002E65CD" w:rsidRDefault="002E65CD" w:rsidP="007B6505">
      <w:pPr>
        <w:pStyle w:val="Header"/>
        <w:tabs>
          <w:tab w:val="num" w:pos="1080"/>
        </w:tabs>
        <w:rPr>
          <w:szCs w:val="24"/>
          <w:u w:val="single"/>
        </w:rPr>
      </w:pPr>
      <w:r w:rsidRPr="002E65CD">
        <w:rPr>
          <w:szCs w:val="24"/>
          <w:u w:val="single"/>
        </w:rPr>
        <w:t>Part 1 Nurse practitioner pathology services and fees</w:t>
      </w:r>
    </w:p>
    <w:p w14:paraId="12522485" w14:textId="4F030024" w:rsidR="002E65CD" w:rsidRDefault="002E65CD" w:rsidP="007B6505">
      <w:pPr>
        <w:pStyle w:val="Header"/>
        <w:tabs>
          <w:tab w:val="num" w:pos="1080"/>
        </w:tabs>
        <w:rPr>
          <w:b/>
          <w:szCs w:val="24"/>
        </w:rPr>
      </w:pPr>
      <w:r>
        <w:t xml:space="preserve">Part 1 of Schedule 2 of the Determination sets out the relevant nurse practitioner pathology services, assigns </w:t>
      </w:r>
      <w:r w:rsidRPr="004F7AA4">
        <w:t>applicable item number</w:t>
      </w:r>
      <w:r>
        <w:t>s</w:t>
      </w:r>
      <w:r w:rsidRPr="004F7AA4">
        <w:t>, item descriptor</w:t>
      </w:r>
      <w:r>
        <w:t>s</w:t>
      </w:r>
      <w:r w:rsidRPr="004F7AA4">
        <w:t xml:space="preserve"> and fee</w:t>
      </w:r>
      <w:r>
        <w:t>s for the service.</w:t>
      </w:r>
      <w:r w:rsidR="009F5489">
        <w:t xml:space="preserve"> These 10 items in Group P9 - simple basic pathology tests</w:t>
      </w:r>
      <w:r w:rsidR="007114A7">
        <w:t>,</w:t>
      </w:r>
      <w:r w:rsidR="009F5489">
        <w:t xml:space="preserve"> have not been subject to indexation as pathology service items have not been indexed and are subject to separate review.</w:t>
      </w:r>
    </w:p>
    <w:p w14:paraId="4A5F9845" w14:textId="57EB8E92" w:rsidR="002E65CD" w:rsidRDefault="002E65CD" w:rsidP="007B6505">
      <w:pPr>
        <w:pStyle w:val="Header"/>
        <w:tabs>
          <w:tab w:val="num" w:pos="1080"/>
        </w:tabs>
        <w:rPr>
          <w:b/>
          <w:szCs w:val="24"/>
        </w:rPr>
      </w:pPr>
    </w:p>
    <w:p w14:paraId="02C963C4" w14:textId="6BD57410" w:rsidR="002E65CD" w:rsidRPr="002E65CD" w:rsidRDefault="002E65CD" w:rsidP="007B6505">
      <w:pPr>
        <w:pStyle w:val="Header"/>
        <w:tabs>
          <w:tab w:val="num" w:pos="1080"/>
        </w:tabs>
        <w:rPr>
          <w:szCs w:val="24"/>
          <w:u w:val="single"/>
        </w:rPr>
      </w:pPr>
      <w:r w:rsidRPr="002E65CD">
        <w:rPr>
          <w:szCs w:val="24"/>
          <w:u w:val="single"/>
        </w:rPr>
        <w:t>Part 2 Nurse practitioner services and fees</w:t>
      </w:r>
    </w:p>
    <w:p w14:paraId="7CCAC515" w14:textId="77777777" w:rsidR="006C4399" w:rsidRDefault="006C4399" w:rsidP="002E65CD">
      <w:pPr>
        <w:rPr>
          <w:szCs w:val="24"/>
          <w:lang w:val="en-US" w:eastAsia="en-US"/>
        </w:rPr>
      </w:pPr>
    </w:p>
    <w:p w14:paraId="172A12FD" w14:textId="4E4D0BCE" w:rsidR="002E65CD" w:rsidRPr="002E65CD" w:rsidRDefault="002E65CD" w:rsidP="002E65CD">
      <w:pPr>
        <w:rPr>
          <w:szCs w:val="24"/>
          <w:lang w:val="en-US" w:eastAsia="en-US"/>
        </w:rPr>
      </w:pPr>
      <w:r w:rsidRPr="002E65CD">
        <w:rPr>
          <w:szCs w:val="24"/>
          <w:lang w:val="en-US" w:eastAsia="en-US"/>
        </w:rPr>
        <w:t xml:space="preserve">Part 2 of Schedule 2 of the Determination sets out the general nurse practitioner services, assigns applicable item numbers, </w:t>
      </w:r>
      <w:r w:rsidR="007114A7">
        <w:rPr>
          <w:szCs w:val="24"/>
          <w:lang w:val="en-US" w:eastAsia="en-US"/>
        </w:rPr>
        <w:t>and</w:t>
      </w:r>
      <w:r w:rsidR="009F5489">
        <w:rPr>
          <w:szCs w:val="24"/>
          <w:lang w:val="en-US" w:eastAsia="en-US"/>
        </w:rPr>
        <w:t xml:space="preserve"> </w:t>
      </w:r>
      <w:r w:rsidRPr="002E65CD">
        <w:rPr>
          <w:szCs w:val="24"/>
          <w:lang w:val="en-US" w:eastAsia="en-US"/>
        </w:rPr>
        <w:t>item descriptors and fees for the service</w:t>
      </w:r>
      <w:r w:rsidR="009F5489">
        <w:rPr>
          <w:szCs w:val="24"/>
          <w:lang w:val="en-US" w:eastAsia="en-US"/>
        </w:rPr>
        <w:t>s</w:t>
      </w:r>
      <w:r w:rsidR="007114A7">
        <w:rPr>
          <w:szCs w:val="24"/>
          <w:lang w:val="en-US" w:eastAsia="en-US"/>
        </w:rPr>
        <w:t>. These 4 items</w:t>
      </w:r>
      <w:r w:rsidR="009F5489">
        <w:rPr>
          <w:szCs w:val="24"/>
          <w:lang w:val="en-US" w:eastAsia="en-US"/>
        </w:rPr>
        <w:t xml:space="preserve"> </w:t>
      </w:r>
      <w:r w:rsidR="007114A7">
        <w:rPr>
          <w:szCs w:val="24"/>
          <w:lang w:val="en-US" w:eastAsia="en-US"/>
        </w:rPr>
        <w:t xml:space="preserve">are placed </w:t>
      </w:r>
      <w:r w:rsidR="009F5489">
        <w:rPr>
          <w:szCs w:val="24"/>
          <w:lang w:val="en-US" w:eastAsia="en-US"/>
        </w:rPr>
        <w:t>in Group M14 subgroup 1</w:t>
      </w:r>
      <w:r w:rsidRPr="002E65CD">
        <w:rPr>
          <w:szCs w:val="24"/>
          <w:lang w:val="en-US" w:eastAsia="en-US"/>
        </w:rPr>
        <w:t>.</w:t>
      </w:r>
    </w:p>
    <w:p w14:paraId="620AB580" w14:textId="77777777" w:rsidR="002E65CD" w:rsidRDefault="002E65CD" w:rsidP="007B6505">
      <w:pPr>
        <w:pStyle w:val="Header"/>
        <w:tabs>
          <w:tab w:val="num" w:pos="1080"/>
        </w:tabs>
        <w:rPr>
          <w:b/>
          <w:szCs w:val="24"/>
        </w:rPr>
      </w:pPr>
    </w:p>
    <w:p w14:paraId="18B57F00" w14:textId="66C8F278" w:rsidR="002E65CD" w:rsidRPr="002E65CD" w:rsidRDefault="002E65CD" w:rsidP="007B6505">
      <w:pPr>
        <w:pStyle w:val="Header"/>
        <w:tabs>
          <w:tab w:val="num" w:pos="1080"/>
        </w:tabs>
        <w:rPr>
          <w:szCs w:val="24"/>
          <w:u w:val="single"/>
        </w:rPr>
      </w:pPr>
      <w:r w:rsidRPr="002E65CD">
        <w:rPr>
          <w:szCs w:val="24"/>
          <w:u w:val="single"/>
        </w:rPr>
        <w:t>Part 3 Telehealth nurse practitioner services and fees</w:t>
      </w:r>
    </w:p>
    <w:p w14:paraId="4645515C" w14:textId="77777777" w:rsidR="006C4399" w:rsidRDefault="006C4399" w:rsidP="002E65CD">
      <w:pPr>
        <w:rPr>
          <w:szCs w:val="24"/>
          <w:lang w:val="en-US" w:eastAsia="en-US"/>
        </w:rPr>
      </w:pPr>
    </w:p>
    <w:p w14:paraId="7CC11089" w14:textId="5D9F607C" w:rsidR="002E65CD" w:rsidRPr="002E65CD" w:rsidRDefault="002E65CD" w:rsidP="002E65CD">
      <w:pPr>
        <w:rPr>
          <w:szCs w:val="24"/>
          <w:lang w:val="en-US" w:eastAsia="en-US"/>
        </w:rPr>
      </w:pPr>
      <w:r w:rsidRPr="002E65CD">
        <w:rPr>
          <w:szCs w:val="24"/>
          <w:lang w:val="en-US" w:eastAsia="en-US"/>
        </w:rPr>
        <w:t xml:space="preserve">Part 3 of Schedule 2 of the Determination sets out the relevant telehealth nurse practitioner services, assigns applicable item numbers, item descriptors and fees for the services. These </w:t>
      </w:r>
      <w:r w:rsidR="009F5489">
        <w:rPr>
          <w:szCs w:val="24"/>
          <w:lang w:val="en-US" w:eastAsia="en-US"/>
        </w:rPr>
        <w:t xml:space="preserve">6 </w:t>
      </w:r>
      <w:r w:rsidRPr="002E65CD">
        <w:rPr>
          <w:szCs w:val="24"/>
          <w:lang w:val="en-US" w:eastAsia="en-US"/>
        </w:rPr>
        <w:t>items enable the payment of Medicare benefits to patients of participating nurse practitioners for telehealth support services</w:t>
      </w:r>
      <w:r w:rsidR="009F5489" w:rsidRPr="009F5489">
        <w:rPr>
          <w:szCs w:val="24"/>
          <w:lang w:val="en-US" w:eastAsia="en-US"/>
        </w:rPr>
        <w:t xml:space="preserve"> </w:t>
      </w:r>
      <w:r w:rsidR="009F5489">
        <w:rPr>
          <w:szCs w:val="24"/>
          <w:lang w:val="en-US" w:eastAsia="en-US"/>
        </w:rPr>
        <w:t>in Group M14 subgroup 2.</w:t>
      </w:r>
    </w:p>
    <w:p w14:paraId="73A64369" w14:textId="77777777" w:rsidR="002E65CD" w:rsidRDefault="002E65CD" w:rsidP="007B6505">
      <w:pPr>
        <w:pStyle w:val="Header"/>
        <w:tabs>
          <w:tab w:val="num" w:pos="1080"/>
        </w:tabs>
        <w:rPr>
          <w:b/>
          <w:szCs w:val="24"/>
        </w:rPr>
      </w:pPr>
    </w:p>
    <w:p w14:paraId="243CD5C9" w14:textId="5D369BC0" w:rsidR="007B6505" w:rsidRDefault="007B6505" w:rsidP="007B6505">
      <w:pPr>
        <w:pStyle w:val="Header"/>
        <w:tabs>
          <w:tab w:val="num" w:pos="1080"/>
        </w:tabs>
        <w:rPr>
          <w:b/>
          <w:szCs w:val="24"/>
        </w:rPr>
      </w:pPr>
    </w:p>
    <w:p w14:paraId="130207FE" w14:textId="77777777" w:rsidR="007B6505" w:rsidRPr="0092180D" w:rsidRDefault="007B6505" w:rsidP="007B6505">
      <w:pPr>
        <w:pStyle w:val="Header"/>
        <w:tabs>
          <w:tab w:val="num" w:pos="1080"/>
        </w:tabs>
        <w:rPr>
          <w:szCs w:val="24"/>
        </w:rPr>
      </w:pPr>
    </w:p>
    <w:p w14:paraId="0CD864D1" w14:textId="1DE818F4" w:rsidR="00AE7239" w:rsidRDefault="00AE7239" w:rsidP="00AE7239">
      <w:pPr>
        <w:shd w:val="clear" w:color="auto" w:fill="FFFFFF"/>
        <w:contextualSpacing/>
        <w:rPr>
          <w:szCs w:val="24"/>
        </w:rPr>
        <w:sectPr w:rsidR="00AE7239" w:rsidSect="00B41A5A">
          <w:pgSz w:w="11906" w:h="16838"/>
          <w:pgMar w:top="1276" w:right="1133" w:bottom="1440" w:left="1440" w:header="720" w:footer="720" w:gutter="0"/>
          <w:paperSrc w:first="7" w:other="7"/>
          <w:cols w:space="720"/>
          <w:titlePg/>
          <w:docGrid w:linePitch="326"/>
        </w:sectPr>
      </w:pPr>
    </w:p>
    <w:p w14:paraId="359DE4BE" w14:textId="7B325864" w:rsidR="00AE7239" w:rsidRPr="00B86A9F" w:rsidRDefault="00AE7239" w:rsidP="00AE7239">
      <w:pPr>
        <w:spacing w:before="360" w:after="120"/>
        <w:jc w:val="center"/>
        <w:rPr>
          <w:b/>
          <w:sz w:val="28"/>
          <w:szCs w:val="28"/>
        </w:rPr>
      </w:pPr>
      <w:r w:rsidRPr="00B86A9F">
        <w:rPr>
          <w:b/>
          <w:sz w:val="28"/>
          <w:szCs w:val="28"/>
        </w:rPr>
        <w:lastRenderedPageBreak/>
        <w:t>Statement of Compatibility with Human Rights</w:t>
      </w:r>
    </w:p>
    <w:p w14:paraId="055D1CE7" w14:textId="77777777" w:rsidR="00AE7239" w:rsidRPr="00B86A9F" w:rsidRDefault="00AE7239" w:rsidP="00AE7239">
      <w:pPr>
        <w:spacing w:before="120" w:after="120"/>
        <w:jc w:val="center"/>
        <w:rPr>
          <w:szCs w:val="24"/>
        </w:rPr>
      </w:pPr>
      <w:r w:rsidRPr="00B86A9F">
        <w:rPr>
          <w:i/>
          <w:szCs w:val="24"/>
        </w:rPr>
        <w:t>Prepared in accordance with Part 3 of the Human Rights (Parliamentary Scrutiny) Act 2011</w:t>
      </w:r>
    </w:p>
    <w:p w14:paraId="602A6F28" w14:textId="77777777" w:rsidR="00AE7239" w:rsidRPr="00B86A9F" w:rsidRDefault="00AE7239" w:rsidP="00AE7239">
      <w:pPr>
        <w:spacing w:before="120" w:after="120"/>
        <w:jc w:val="center"/>
        <w:rPr>
          <w:szCs w:val="24"/>
        </w:rPr>
      </w:pPr>
    </w:p>
    <w:p w14:paraId="56F735EF" w14:textId="46FBFE5F" w:rsidR="00AE7239" w:rsidRDefault="001B7F67" w:rsidP="00AE7239">
      <w:pPr>
        <w:jc w:val="center"/>
        <w:rPr>
          <w:b/>
          <w:i/>
          <w:szCs w:val="24"/>
        </w:rPr>
      </w:pPr>
      <w:r w:rsidRPr="001B7F67">
        <w:rPr>
          <w:b/>
          <w:i/>
          <w:iCs/>
        </w:rPr>
        <w:t>Health Insurance</w:t>
      </w:r>
      <w:r w:rsidR="002E65CD">
        <w:rPr>
          <w:b/>
          <w:i/>
          <w:iCs/>
        </w:rPr>
        <w:t xml:space="preserve"> (Section 3C Midwife and Nurse Practitioner</w:t>
      </w:r>
      <w:r w:rsidR="0062518C">
        <w:rPr>
          <w:b/>
          <w:i/>
          <w:iCs/>
        </w:rPr>
        <w:t xml:space="preserve"> Services</w:t>
      </w:r>
      <w:r w:rsidR="007B6505">
        <w:rPr>
          <w:b/>
          <w:i/>
          <w:iCs/>
        </w:rPr>
        <w:t>) Determination 2020</w:t>
      </w:r>
      <w:r w:rsidRPr="001B7F67">
        <w:rPr>
          <w:b/>
          <w:i/>
          <w:iCs/>
        </w:rPr>
        <w:t xml:space="preserve"> </w:t>
      </w:r>
    </w:p>
    <w:p w14:paraId="39CA80B4" w14:textId="77777777" w:rsidR="007B6505" w:rsidRPr="00FD602D" w:rsidRDefault="007B6505" w:rsidP="00AE7239">
      <w:pPr>
        <w:jc w:val="center"/>
        <w:rPr>
          <w:b/>
          <w:i/>
          <w:szCs w:val="24"/>
        </w:rPr>
      </w:pPr>
    </w:p>
    <w:p w14:paraId="64DCFAF2" w14:textId="77777777" w:rsidR="00AE7239" w:rsidRPr="00B86A9F" w:rsidRDefault="00AE7239" w:rsidP="00AE7239">
      <w:pPr>
        <w:jc w:val="center"/>
        <w:rPr>
          <w:szCs w:val="24"/>
        </w:rPr>
      </w:pPr>
      <w:r w:rsidRPr="00B86A9F">
        <w:rPr>
          <w:szCs w:val="24"/>
        </w:rPr>
        <w:t xml:space="preserve">This </w:t>
      </w:r>
      <w:r>
        <w:rPr>
          <w:szCs w:val="24"/>
        </w:rPr>
        <w:t>instrument</w:t>
      </w:r>
      <w:r w:rsidRPr="00B86A9F">
        <w:rPr>
          <w:szCs w:val="24"/>
        </w:rPr>
        <w:t xml:space="preserve"> is compatible with the human rights and freedoms recognised or declared in the international instruments listed in section 3 of the </w:t>
      </w:r>
      <w:r w:rsidRPr="00B86A9F">
        <w:rPr>
          <w:i/>
          <w:szCs w:val="24"/>
        </w:rPr>
        <w:t>Human Rights (Parliamentary Scrutiny) Act 2011</w:t>
      </w:r>
      <w:r w:rsidRPr="00B86A9F">
        <w:rPr>
          <w:szCs w:val="24"/>
        </w:rPr>
        <w:t>.</w:t>
      </w:r>
    </w:p>
    <w:p w14:paraId="0C94100D" w14:textId="77777777" w:rsidR="00AE7239" w:rsidRPr="00EB601D" w:rsidRDefault="00AE7239" w:rsidP="00AE7239">
      <w:pPr>
        <w:jc w:val="center"/>
        <w:rPr>
          <w:szCs w:val="24"/>
          <w:highlight w:val="yellow"/>
        </w:rPr>
      </w:pPr>
    </w:p>
    <w:p w14:paraId="2738790C" w14:textId="77777777" w:rsidR="00AE7239" w:rsidRPr="00B86A9F" w:rsidRDefault="00AE7239" w:rsidP="00AE7239">
      <w:pPr>
        <w:spacing w:before="120" w:after="120"/>
        <w:rPr>
          <w:b/>
          <w:szCs w:val="24"/>
        </w:rPr>
      </w:pPr>
      <w:r w:rsidRPr="00B86A9F">
        <w:rPr>
          <w:b/>
          <w:szCs w:val="24"/>
        </w:rPr>
        <w:t>Overview of the Determination</w:t>
      </w:r>
    </w:p>
    <w:p w14:paraId="321D7589" w14:textId="77777777" w:rsidR="004932B0" w:rsidRDefault="004932B0" w:rsidP="004932B0">
      <w:pPr>
        <w:rPr>
          <w:szCs w:val="24"/>
          <w:lang w:val="en-US" w:eastAsia="en-US"/>
        </w:rPr>
      </w:pPr>
      <w:r w:rsidRPr="00127B00">
        <w:rPr>
          <w:szCs w:val="24"/>
          <w:lang w:val="en-US" w:eastAsia="en-US"/>
        </w:rPr>
        <w:t xml:space="preserve">The purpose of the </w:t>
      </w:r>
      <w:r w:rsidRPr="00127B00">
        <w:rPr>
          <w:i/>
          <w:szCs w:val="24"/>
          <w:lang w:val="en-US" w:eastAsia="en-US"/>
        </w:rPr>
        <w:t xml:space="preserve">Health Insurance (Section 3C </w:t>
      </w:r>
      <w:r>
        <w:rPr>
          <w:i/>
          <w:szCs w:val="24"/>
          <w:lang w:val="en-US" w:eastAsia="en-US"/>
        </w:rPr>
        <w:t>Midwife and Nurse Practitioner</w:t>
      </w:r>
      <w:r w:rsidRPr="00127B00">
        <w:rPr>
          <w:i/>
          <w:szCs w:val="24"/>
          <w:lang w:val="en-US" w:eastAsia="en-US"/>
        </w:rPr>
        <w:t>) Determination 2020</w:t>
      </w:r>
      <w:r>
        <w:rPr>
          <w:szCs w:val="24"/>
          <w:lang w:val="en-US" w:eastAsia="en-US"/>
        </w:rPr>
        <w:t xml:space="preserve"> (the Determination) </w:t>
      </w:r>
      <w:r w:rsidRPr="00127B00">
        <w:rPr>
          <w:szCs w:val="24"/>
          <w:lang w:val="en-US" w:eastAsia="en-US"/>
        </w:rPr>
        <w:t xml:space="preserve">is to repeal </w:t>
      </w:r>
      <w:r>
        <w:rPr>
          <w:szCs w:val="24"/>
          <w:lang w:val="en-US" w:eastAsia="en-US"/>
        </w:rPr>
        <w:t xml:space="preserve">and remake </w:t>
      </w:r>
      <w:r w:rsidRPr="00127B00">
        <w:rPr>
          <w:szCs w:val="24"/>
          <w:lang w:val="en-US" w:eastAsia="en-US"/>
        </w:rPr>
        <w:t xml:space="preserve">the </w:t>
      </w:r>
      <w:r w:rsidRPr="00573B2B">
        <w:rPr>
          <w:i/>
          <w:szCs w:val="24"/>
          <w:lang w:val="en-US" w:eastAsia="en-US"/>
        </w:rPr>
        <w:t>Health Insurance (</w:t>
      </w:r>
      <w:r>
        <w:rPr>
          <w:i/>
          <w:szCs w:val="24"/>
          <w:lang w:val="en-US" w:eastAsia="en-US"/>
        </w:rPr>
        <w:t>Midwife and Nurse Practitioner</w:t>
      </w:r>
      <w:r w:rsidRPr="00573B2B">
        <w:rPr>
          <w:i/>
          <w:szCs w:val="24"/>
          <w:lang w:val="en-US" w:eastAsia="en-US"/>
        </w:rPr>
        <w:t>) Determination</w:t>
      </w:r>
      <w:r>
        <w:rPr>
          <w:i/>
          <w:szCs w:val="24"/>
          <w:lang w:val="en-US" w:eastAsia="en-US"/>
        </w:rPr>
        <w:t xml:space="preserve"> 2015 </w:t>
      </w:r>
      <w:r>
        <w:rPr>
          <w:szCs w:val="24"/>
          <w:lang w:val="en-US" w:eastAsia="en-US"/>
        </w:rPr>
        <w:t>(the previous Determination)</w:t>
      </w:r>
      <w:r w:rsidRPr="00573B2B">
        <w:rPr>
          <w:i/>
          <w:szCs w:val="24"/>
          <w:lang w:val="en-US" w:eastAsia="en-US"/>
        </w:rPr>
        <w:t xml:space="preserve"> </w:t>
      </w:r>
      <w:r w:rsidRPr="00127B00">
        <w:rPr>
          <w:szCs w:val="24"/>
          <w:lang w:val="en-US" w:eastAsia="en-US"/>
        </w:rPr>
        <w:t xml:space="preserve">and prescribe a new table of </w:t>
      </w:r>
      <w:r>
        <w:rPr>
          <w:szCs w:val="24"/>
          <w:lang w:val="en-US" w:eastAsia="en-US"/>
        </w:rPr>
        <w:t>midwife and nurse practitioner services from 1 July 2020</w:t>
      </w:r>
      <w:r w:rsidRPr="00127B00">
        <w:rPr>
          <w:szCs w:val="24"/>
          <w:lang w:val="en-US" w:eastAsia="en-US"/>
        </w:rPr>
        <w:t xml:space="preserve">. This will ensure that Medicare benefits continue to be payable for </w:t>
      </w:r>
      <w:r>
        <w:rPr>
          <w:szCs w:val="24"/>
          <w:lang w:val="en-US" w:eastAsia="en-US"/>
        </w:rPr>
        <w:t>midwife and nurse practitioner services</w:t>
      </w:r>
      <w:r w:rsidRPr="00127B00">
        <w:rPr>
          <w:szCs w:val="24"/>
          <w:lang w:val="en-US" w:eastAsia="en-US"/>
        </w:rPr>
        <w:t xml:space="preserve"> performed by </w:t>
      </w:r>
      <w:r>
        <w:rPr>
          <w:szCs w:val="24"/>
          <w:lang w:val="en-US" w:eastAsia="en-US"/>
        </w:rPr>
        <w:t>those practitioners.</w:t>
      </w:r>
    </w:p>
    <w:p w14:paraId="2F32E7C8" w14:textId="77777777" w:rsidR="004932B0" w:rsidRDefault="004932B0" w:rsidP="004932B0">
      <w:pPr>
        <w:rPr>
          <w:szCs w:val="24"/>
          <w:lang w:val="en-US" w:eastAsia="en-US"/>
        </w:rPr>
      </w:pPr>
    </w:p>
    <w:p w14:paraId="4EF2A36B" w14:textId="77777777" w:rsidR="004932B0" w:rsidRDefault="004932B0" w:rsidP="004932B0">
      <w:r w:rsidRPr="00AB147D">
        <w:rPr>
          <w:szCs w:val="24"/>
          <w:lang w:val="en-US" w:eastAsia="en-US"/>
        </w:rPr>
        <w:t xml:space="preserve">This Determination will </w:t>
      </w:r>
      <w:r>
        <w:rPr>
          <w:szCs w:val="24"/>
          <w:lang w:val="en-US" w:eastAsia="en-US"/>
        </w:rPr>
        <w:t xml:space="preserve">also apply indexation for midwife and nurse practitioner services by replacing the fees in the previous Determination with fees indexed by 1.5%. </w:t>
      </w:r>
      <w:r w:rsidRPr="007236E3">
        <w:rPr>
          <w:szCs w:val="24"/>
        </w:rPr>
        <w:t>This reflects the Government’s policy regarding Medicare indexation</w:t>
      </w:r>
      <w:r>
        <w:rPr>
          <w:szCs w:val="24"/>
        </w:rPr>
        <w:t xml:space="preserve"> </w:t>
      </w:r>
      <w:r>
        <w:t>and means that patients will receive a higher Medicare benefit for these services from 1 July 2020.</w:t>
      </w:r>
    </w:p>
    <w:p w14:paraId="00BB4B5C" w14:textId="669A6535" w:rsidR="00AE7239" w:rsidRPr="00B86A9F" w:rsidRDefault="00AE7239" w:rsidP="00AE7239">
      <w:pPr>
        <w:spacing w:before="120" w:after="120"/>
        <w:rPr>
          <w:b/>
          <w:szCs w:val="24"/>
        </w:rPr>
      </w:pPr>
      <w:r w:rsidRPr="00B86A9F">
        <w:rPr>
          <w:b/>
          <w:szCs w:val="24"/>
        </w:rPr>
        <w:t>Human rights implications</w:t>
      </w:r>
    </w:p>
    <w:p w14:paraId="2C46C4AA" w14:textId="028DE5CC" w:rsidR="00AE7239" w:rsidRPr="00B86A9F" w:rsidRDefault="00AE7239" w:rsidP="00AE7239">
      <w:pPr>
        <w:spacing w:before="120" w:after="120"/>
        <w:rPr>
          <w:szCs w:val="24"/>
        </w:rPr>
      </w:pPr>
      <w:r w:rsidRPr="00B86A9F">
        <w:rPr>
          <w:szCs w:val="24"/>
        </w:rPr>
        <w:t>Th</w:t>
      </w:r>
      <w:r>
        <w:rPr>
          <w:szCs w:val="24"/>
        </w:rPr>
        <w:t>is</w:t>
      </w:r>
      <w:r w:rsidRPr="00B86A9F">
        <w:rPr>
          <w:szCs w:val="24"/>
        </w:rPr>
        <w:t xml:space="preserve"> </w:t>
      </w:r>
      <w:r>
        <w:rPr>
          <w:szCs w:val="24"/>
        </w:rPr>
        <w:t>instrument</w:t>
      </w:r>
      <w:r w:rsidRPr="00B86A9F">
        <w:rPr>
          <w:szCs w:val="24"/>
        </w:rPr>
        <w:t xml:space="preserve"> </w:t>
      </w:r>
      <w:r w:rsidR="007219C6">
        <w:rPr>
          <w:szCs w:val="24"/>
        </w:rPr>
        <w:t>may engage</w:t>
      </w:r>
      <w:r w:rsidRPr="00B86A9F">
        <w:rPr>
          <w:szCs w:val="24"/>
        </w:rPr>
        <w:t xml:space="preserve"> Articles 9 and 12 of the International Covenant on Economic Social and Cultural Rights (ICESCR), specifically the rights to health and social security.</w:t>
      </w:r>
    </w:p>
    <w:p w14:paraId="31F38919" w14:textId="77777777" w:rsidR="00AE7239" w:rsidRPr="00B86A9F" w:rsidRDefault="00AE7239" w:rsidP="00AE7239">
      <w:pPr>
        <w:spacing w:before="120" w:after="120"/>
        <w:rPr>
          <w:i/>
          <w:szCs w:val="24"/>
        </w:rPr>
      </w:pPr>
      <w:r w:rsidRPr="00B86A9F">
        <w:rPr>
          <w:i/>
          <w:szCs w:val="24"/>
        </w:rPr>
        <w:t>The Right to Health</w:t>
      </w:r>
    </w:p>
    <w:p w14:paraId="66DF532B" w14:textId="503000B4" w:rsidR="00AE7239" w:rsidRPr="00B86A9F" w:rsidRDefault="00AE7239" w:rsidP="00AE7239">
      <w:pPr>
        <w:spacing w:before="120" w:after="120"/>
        <w:rPr>
          <w:szCs w:val="24"/>
        </w:rPr>
      </w:pPr>
      <w:r w:rsidRPr="00B86A9F">
        <w:rPr>
          <w:szCs w:val="24"/>
        </w:rPr>
        <w:t>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w:t>
      </w:r>
    </w:p>
    <w:p w14:paraId="20867AF7" w14:textId="14641B3D" w:rsidR="00AE7239" w:rsidRPr="00B86A9F" w:rsidRDefault="00AE7239" w:rsidP="00AE7239">
      <w:pPr>
        <w:spacing w:before="120" w:after="120"/>
        <w:rPr>
          <w:szCs w:val="24"/>
        </w:rPr>
      </w:pPr>
      <w:r w:rsidRPr="00B86A9F">
        <w:rPr>
          <w:szCs w:val="24"/>
        </w:rPr>
        <w:t xml:space="preserve">The Committee reports that the </w:t>
      </w:r>
      <w:r w:rsidRPr="00B86A9F">
        <w:rPr>
          <w:i/>
          <w:szCs w:val="24"/>
        </w:rPr>
        <w:t>‘highest attainable standard of health’</w:t>
      </w:r>
      <w:r w:rsidRPr="00B86A9F">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w:t>
      </w:r>
    </w:p>
    <w:p w14:paraId="62282BE5" w14:textId="309D75DE" w:rsidR="00AE7239" w:rsidRPr="00B86A9F" w:rsidRDefault="00AE7239" w:rsidP="00AE7239">
      <w:pPr>
        <w:spacing w:before="120" w:after="120"/>
        <w:rPr>
          <w:i/>
          <w:szCs w:val="24"/>
        </w:rPr>
      </w:pPr>
      <w:r w:rsidRPr="00B86A9F">
        <w:rPr>
          <w:i/>
          <w:szCs w:val="24"/>
        </w:rPr>
        <w:t xml:space="preserve">The Right to Social Security </w:t>
      </w:r>
    </w:p>
    <w:p w14:paraId="3A28EC0C" w14:textId="77777777" w:rsidR="00AE7239" w:rsidRPr="00B86A9F" w:rsidRDefault="00AE7239" w:rsidP="00AE7239">
      <w:pPr>
        <w:spacing w:before="120" w:after="120"/>
        <w:rPr>
          <w:szCs w:val="24"/>
        </w:rPr>
      </w:pPr>
      <w:r w:rsidRPr="00B86A9F">
        <w:rPr>
          <w:szCs w:val="24"/>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4EF46BDD" w14:textId="77777777" w:rsidR="00AE7239" w:rsidRPr="00B86A9F" w:rsidRDefault="00AE7239" w:rsidP="00AE7239">
      <w:pPr>
        <w:spacing w:before="120" w:after="120"/>
        <w:rPr>
          <w:szCs w:val="24"/>
        </w:rPr>
      </w:pPr>
      <w:r w:rsidRPr="00B86A9F">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w:t>
      </w:r>
      <w:r w:rsidRPr="00B86A9F">
        <w:rPr>
          <w:szCs w:val="24"/>
        </w:rPr>
        <w:lastRenderedPageBreak/>
        <w:t>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11DADF85" w14:textId="77777777" w:rsidR="00AE7239" w:rsidRPr="00B86A9F" w:rsidRDefault="00AE7239" w:rsidP="00AE7239">
      <w:pPr>
        <w:spacing w:before="120" w:after="120"/>
        <w:rPr>
          <w:szCs w:val="24"/>
          <w:u w:val="single"/>
        </w:rPr>
      </w:pPr>
      <w:r w:rsidRPr="00B86A9F">
        <w:rPr>
          <w:szCs w:val="24"/>
          <w:u w:val="single"/>
        </w:rPr>
        <w:t xml:space="preserve">Analysis </w:t>
      </w:r>
    </w:p>
    <w:p w14:paraId="37EB7C15" w14:textId="4DAEB515" w:rsidR="00161CCF" w:rsidRPr="00E610B9" w:rsidRDefault="00161CCF" w:rsidP="00161CCF">
      <w:pPr>
        <w:rPr>
          <w:szCs w:val="24"/>
        </w:rPr>
      </w:pPr>
      <w:r w:rsidRPr="00E610B9">
        <w:rPr>
          <w:szCs w:val="24"/>
        </w:rPr>
        <w:t xml:space="preserve">This instrument </w:t>
      </w:r>
      <w:r>
        <w:rPr>
          <w:szCs w:val="24"/>
        </w:rPr>
        <w:t xml:space="preserve">furthers the right to health and the right to </w:t>
      </w:r>
      <w:r w:rsidRPr="00E610B9">
        <w:rPr>
          <w:szCs w:val="24"/>
        </w:rPr>
        <w:t xml:space="preserve">social security because it will increase the </w:t>
      </w:r>
      <w:r w:rsidRPr="00E610B9">
        <w:t xml:space="preserve">Medicare benefit for patients accessing </w:t>
      </w:r>
      <w:r w:rsidR="004932B0">
        <w:t>the prescribed</w:t>
      </w:r>
      <w:r>
        <w:t xml:space="preserve"> health services</w:t>
      </w:r>
      <w:r w:rsidRPr="00E610B9">
        <w:t>. This will assist patients to continue accessing clinically relevant health services, consistent with the rights to health and social security.</w:t>
      </w:r>
    </w:p>
    <w:p w14:paraId="4B2868C1" w14:textId="77777777" w:rsidR="00AE7239" w:rsidRPr="00B86A9F" w:rsidRDefault="00AE7239" w:rsidP="00AE7239">
      <w:pPr>
        <w:spacing w:before="120" w:after="120" w:line="276" w:lineRule="auto"/>
        <w:rPr>
          <w:rFonts w:eastAsia="Calibri"/>
          <w:b/>
          <w:szCs w:val="24"/>
          <w:lang w:eastAsia="en-US"/>
        </w:rPr>
      </w:pPr>
      <w:r w:rsidRPr="00B86A9F">
        <w:rPr>
          <w:rFonts w:eastAsia="Calibri"/>
          <w:b/>
          <w:szCs w:val="24"/>
          <w:lang w:eastAsia="en-US"/>
        </w:rPr>
        <w:t xml:space="preserve">Conclusion </w:t>
      </w:r>
    </w:p>
    <w:p w14:paraId="1B38D71C" w14:textId="77777777" w:rsidR="00161CCF" w:rsidRPr="00E610B9" w:rsidRDefault="00161CCF" w:rsidP="00161CCF">
      <w:pPr>
        <w:rPr>
          <w:szCs w:val="24"/>
        </w:rPr>
      </w:pPr>
      <w:r w:rsidRPr="00E610B9">
        <w:rPr>
          <w:szCs w:val="24"/>
        </w:rPr>
        <w:t xml:space="preserve">This instrument is compatible with human rights. </w:t>
      </w:r>
    </w:p>
    <w:p w14:paraId="1AEA0927" w14:textId="77777777" w:rsidR="00AE7239" w:rsidRPr="00B86A9F" w:rsidRDefault="00AE7239" w:rsidP="00AE7239">
      <w:pPr>
        <w:rPr>
          <w:rFonts w:eastAsia="Calibri"/>
          <w:szCs w:val="24"/>
          <w:lang w:eastAsia="en-US"/>
        </w:rPr>
      </w:pPr>
    </w:p>
    <w:p w14:paraId="5682EB61" w14:textId="77777777" w:rsidR="00161CCF" w:rsidRDefault="00161CCF" w:rsidP="00161CCF">
      <w:pPr>
        <w:jc w:val="center"/>
        <w:rPr>
          <w:b/>
        </w:rPr>
      </w:pPr>
      <w:r w:rsidRPr="001F3019">
        <w:rPr>
          <w:b/>
        </w:rPr>
        <w:t>Paul McBride</w:t>
      </w:r>
    </w:p>
    <w:p w14:paraId="778CC153" w14:textId="77777777" w:rsidR="00161CCF" w:rsidRDefault="00161CCF" w:rsidP="00161CCF">
      <w:pPr>
        <w:jc w:val="center"/>
        <w:rPr>
          <w:b/>
        </w:rPr>
      </w:pPr>
      <w:r>
        <w:rPr>
          <w:b/>
        </w:rPr>
        <w:t>First Assistant Secretary</w:t>
      </w:r>
    </w:p>
    <w:p w14:paraId="6DE18C3A" w14:textId="77777777" w:rsidR="00161CCF" w:rsidRPr="00537502" w:rsidRDefault="00161CCF" w:rsidP="00161CCF">
      <w:pPr>
        <w:jc w:val="center"/>
        <w:rPr>
          <w:b/>
        </w:rPr>
      </w:pPr>
      <w:r w:rsidRPr="00537502">
        <w:rPr>
          <w:b/>
        </w:rPr>
        <w:t>Medical Benefits Division</w:t>
      </w:r>
    </w:p>
    <w:p w14:paraId="00CD8FAD" w14:textId="77777777" w:rsidR="00161CCF" w:rsidRPr="00537502" w:rsidRDefault="00161CCF" w:rsidP="00161CCF">
      <w:pPr>
        <w:jc w:val="center"/>
        <w:rPr>
          <w:b/>
        </w:rPr>
      </w:pPr>
      <w:r w:rsidRPr="00537502">
        <w:rPr>
          <w:b/>
        </w:rPr>
        <w:t>Health Financing Group</w:t>
      </w:r>
    </w:p>
    <w:p w14:paraId="690D8409" w14:textId="77777777" w:rsidR="00161CCF" w:rsidRPr="00AE7239" w:rsidRDefault="00161CCF" w:rsidP="00161CCF">
      <w:pPr>
        <w:jc w:val="center"/>
        <w:rPr>
          <w:rFonts w:eastAsia="Calibri"/>
          <w:szCs w:val="24"/>
          <w:lang w:eastAsia="en-US"/>
        </w:rPr>
      </w:pPr>
      <w:r w:rsidRPr="00537502">
        <w:rPr>
          <w:b/>
        </w:rPr>
        <w:t>Department of Health</w:t>
      </w:r>
    </w:p>
    <w:p w14:paraId="6624FBC8" w14:textId="6B5928E6" w:rsidR="00AE7239" w:rsidRPr="00AE7239" w:rsidRDefault="00AE7239" w:rsidP="00161CCF">
      <w:pPr>
        <w:jc w:val="center"/>
        <w:rPr>
          <w:rFonts w:eastAsia="Calibri"/>
          <w:szCs w:val="24"/>
          <w:lang w:eastAsia="en-US"/>
        </w:rPr>
      </w:pPr>
    </w:p>
    <w:sectPr w:rsidR="00AE7239" w:rsidRPr="00AE7239" w:rsidSect="00B41A5A">
      <w:pgSz w:w="11906" w:h="16838"/>
      <w:pgMar w:top="1276"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677FBB" w:rsidRDefault="00677FBB">
      <w:r>
        <w:separator/>
      </w:r>
    </w:p>
  </w:endnote>
  <w:endnote w:type="continuationSeparator" w:id="0">
    <w:p w14:paraId="20718AEE" w14:textId="77777777" w:rsidR="00677FBB" w:rsidRDefault="0067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F67B8" w14:textId="77777777" w:rsidR="004932B0" w:rsidRDefault="00493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756EF" w14:textId="333B7A68" w:rsidR="00677FBB" w:rsidRDefault="00677FBB" w:rsidP="004932B0">
    <w:pPr>
      <w:pStyle w:val="Footer"/>
    </w:pPr>
  </w:p>
  <w:p w14:paraId="6285C3B5" w14:textId="77777777" w:rsidR="00677FBB" w:rsidRDefault="00677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95C13" w14:textId="7865C26E" w:rsidR="00161CCF" w:rsidRDefault="00161CCF">
    <w:pPr>
      <w:pStyle w:val="Footer"/>
      <w:jc w:val="center"/>
    </w:pPr>
  </w:p>
  <w:p w14:paraId="04733CAA" w14:textId="77777777" w:rsidR="00677FBB" w:rsidRDefault="00677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677FBB" w:rsidRDefault="00677FBB">
      <w:r>
        <w:separator/>
      </w:r>
    </w:p>
  </w:footnote>
  <w:footnote w:type="continuationSeparator" w:id="0">
    <w:p w14:paraId="5F92F2AF" w14:textId="77777777" w:rsidR="00677FBB" w:rsidRDefault="00677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677FBB" w:rsidRDefault="00677FBB"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677FBB" w:rsidRDefault="00677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880962"/>
      <w:docPartObj>
        <w:docPartGallery w:val="Page Numbers (Top of Page)"/>
        <w:docPartUnique/>
      </w:docPartObj>
    </w:sdtPr>
    <w:sdtEndPr>
      <w:rPr>
        <w:noProof/>
      </w:rPr>
    </w:sdtEndPr>
    <w:sdtContent>
      <w:p w14:paraId="6002DC7F" w14:textId="7DBA954B" w:rsidR="004932B0" w:rsidRDefault="004932B0">
        <w:pPr>
          <w:pStyle w:val="Header"/>
          <w:jc w:val="center"/>
        </w:pPr>
        <w:r>
          <w:fldChar w:fldCharType="begin"/>
        </w:r>
        <w:r>
          <w:instrText xml:space="preserve"> PAGE   \* MERGEFORMAT </w:instrText>
        </w:r>
        <w:r>
          <w:fldChar w:fldCharType="separate"/>
        </w:r>
        <w:r w:rsidR="0043782E">
          <w:rPr>
            <w:noProof/>
          </w:rPr>
          <w:t>2</w:t>
        </w:r>
        <w:r>
          <w:rPr>
            <w:noProof/>
          </w:rPr>
          <w:fldChar w:fldCharType="end"/>
        </w:r>
      </w:p>
    </w:sdtContent>
  </w:sdt>
  <w:p w14:paraId="2412D17B" w14:textId="77777777" w:rsidR="00677FBB" w:rsidRDefault="00677FBB" w:rsidP="00E23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314450"/>
      <w:docPartObj>
        <w:docPartGallery w:val="Page Numbers (Top of Page)"/>
        <w:docPartUnique/>
      </w:docPartObj>
    </w:sdtPr>
    <w:sdtEndPr>
      <w:rPr>
        <w:noProof/>
      </w:rPr>
    </w:sdtEndPr>
    <w:sdtContent>
      <w:p w14:paraId="45EFCA7A" w14:textId="35E6BEA6" w:rsidR="004932B0" w:rsidRDefault="004932B0">
        <w:pPr>
          <w:pStyle w:val="Header"/>
          <w:jc w:val="center"/>
        </w:pPr>
        <w:r>
          <w:fldChar w:fldCharType="begin"/>
        </w:r>
        <w:r>
          <w:instrText xml:space="preserve"> PAGE   \* MERGEFORMAT </w:instrText>
        </w:r>
        <w:r>
          <w:fldChar w:fldCharType="separate"/>
        </w:r>
        <w:r w:rsidR="0043782E">
          <w:rPr>
            <w:noProof/>
          </w:rPr>
          <w:t>1</w:t>
        </w:r>
        <w:r>
          <w:rPr>
            <w:noProof/>
          </w:rPr>
          <w:fldChar w:fldCharType="end"/>
        </w:r>
      </w:p>
    </w:sdtContent>
  </w:sdt>
  <w:p w14:paraId="2412D17D" w14:textId="77777777" w:rsidR="00677FBB" w:rsidRDefault="00677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28E2DFF"/>
    <w:multiLevelType w:val="hybridMultilevel"/>
    <w:tmpl w:val="990022D0"/>
    <w:lvl w:ilvl="0" w:tplc="03E61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53ECE"/>
    <w:multiLevelType w:val="hybridMultilevel"/>
    <w:tmpl w:val="07AA7790"/>
    <w:lvl w:ilvl="0" w:tplc="0C090017">
      <w:start w:val="1"/>
      <w:numFmt w:val="lowerLetter"/>
      <w:lvlText w:val="%1)"/>
      <w:lvlJc w:val="left"/>
      <w:pPr>
        <w:ind w:left="1440" w:hanging="360"/>
      </w:pPr>
    </w:lvl>
    <w:lvl w:ilvl="1" w:tplc="6672855A">
      <w:start w:val="1"/>
      <w:numFmt w:val="lowerRoman"/>
      <w:lvlText w:val="(%2)"/>
      <w:lvlJc w:val="left"/>
      <w:pPr>
        <w:ind w:left="1800" w:firstLine="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3D92B4E"/>
    <w:multiLevelType w:val="hybridMultilevel"/>
    <w:tmpl w:val="990022D0"/>
    <w:lvl w:ilvl="0" w:tplc="03E61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B4316CF"/>
    <w:multiLevelType w:val="hybridMultilevel"/>
    <w:tmpl w:val="689E1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2F6314"/>
    <w:multiLevelType w:val="hybridMultilevel"/>
    <w:tmpl w:val="A1585048"/>
    <w:lvl w:ilvl="0" w:tplc="03E61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644046"/>
    <w:multiLevelType w:val="hybridMultilevel"/>
    <w:tmpl w:val="161A2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262938"/>
    <w:multiLevelType w:val="hybridMultilevel"/>
    <w:tmpl w:val="62466F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7B1CF1"/>
    <w:multiLevelType w:val="hybridMultilevel"/>
    <w:tmpl w:val="2E3409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3"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B875CA"/>
    <w:multiLevelType w:val="hybridMultilevel"/>
    <w:tmpl w:val="448AEA9E"/>
    <w:lvl w:ilvl="0" w:tplc="0CCC3EE2">
      <w:start w:val="1"/>
      <w:numFmt w:val="lowerRoman"/>
      <w:lvlText w:val="(%1)"/>
      <w:lvlJc w:val="left"/>
      <w:pPr>
        <w:ind w:left="2038" w:hanging="360"/>
      </w:pPr>
    </w:lvl>
    <w:lvl w:ilvl="1" w:tplc="0C090019">
      <w:start w:val="1"/>
      <w:numFmt w:val="lowerLetter"/>
      <w:lvlText w:val="%2."/>
      <w:lvlJc w:val="left"/>
      <w:pPr>
        <w:ind w:left="2758" w:hanging="360"/>
      </w:pPr>
    </w:lvl>
    <w:lvl w:ilvl="2" w:tplc="0C09001B" w:tentative="1">
      <w:start w:val="1"/>
      <w:numFmt w:val="lowerRoman"/>
      <w:lvlText w:val="%3."/>
      <w:lvlJc w:val="right"/>
      <w:pPr>
        <w:ind w:left="3478" w:hanging="180"/>
      </w:pPr>
    </w:lvl>
    <w:lvl w:ilvl="3" w:tplc="0C09000F" w:tentative="1">
      <w:start w:val="1"/>
      <w:numFmt w:val="decimal"/>
      <w:lvlText w:val="%4."/>
      <w:lvlJc w:val="left"/>
      <w:pPr>
        <w:ind w:left="4198" w:hanging="360"/>
      </w:pPr>
    </w:lvl>
    <w:lvl w:ilvl="4" w:tplc="0C090019" w:tentative="1">
      <w:start w:val="1"/>
      <w:numFmt w:val="lowerLetter"/>
      <w:lvlText w:val="%5."/>
      <w:lvlJc w:val="left"/>
      <w:pPr>
        <w:ind w:left="4918" w:hanging="360"/>
      </w:pPr>
    </w:lvl>
    <w:lvl w:ilvl="5" w:tplc="0C09001B" w:tentative="1">
      <w:start w:val="1"/>
      <w:numFmt w:val="lowerRoman"/>
      <w:lvlText w:val="%6."/>
      <w:lvlJc w:val="right"/>
      <w:pPr>
        <w:ind w:left="5638" w:hanging="180"/>
      </w:pPr>
    </w:lvl>
    <w:lvl w:ilvl="6" w:tplc="0C09000F" w:tentative="1">
      <w:start w:val="1"/>
      <w:numFmt w:val="decimal"/>
      <w:lvlText w:val="%7."/>
      <w:lvlJc w:val="left"/>
      <w:pPr>
        <w:ind w:left="6358" w:hanging="360"/>
      </w:pPr>
    </w:lvl>
    <w:lvl w:ilvl="7" w:tplc="0C090019" w:tentative="1">
      <w:start w:val="1"/>
      <w:numFmt w:val="lowerLetter"/>
      <w:lvlText w:val="%8."/>
      <w:lvlJc w:val="left"/>
      <w:pPr>
        <w:ind w:left="7078" w:hanging="360"/>
      </w:pPr>
    </w:lvl>
    <w:lvl w:ilvl="8" w:tplc="0C09001B" w:tentative="1">
      <w:start w:val="1"/>
      <w:numFmt w:val="lowerRoman"/>
      <w:lvlText w:val="%9."/>
      <w:lvlJc w:val="right"/>
      <w:pPr>
        <w:ind w:left="7798" w:hanging="180"/>
      </w:pPr>
    </w:lvl>
  </w:abstractNum>
  <w:abstractNum w:abstractNumId="28" w15:restartNumberingAfterBreak="0">
    <w:nsid w:val="5F5A5678"/>
    <w:multiLevelType w:val="hybridMultilevel"/>
    <w:tmpl w:val="00C62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8F3CF6"/>
    <w:multiLevelType w:val="hybridMultilevel"/>
    <w:tmpl w:val="D33EB2C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62116167"/>
    <w:multiLevelType w:val="hybridMultilevel"/>
    <w:tmpl w:val="D5E06CF8"/>
    <w:lvl w:ilvl="0" w:tplc="0CC2E6FC">
      <w:start w:val="1"/>
      <w:numFmt w:val="lowerLetter"/>
      <w:lvlText w:val="(%1)"/>
      <w:lvlJc w:val="left"/>
      <w:pPr>
        <w:ind w:left="720" w:firstLine="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3" w15:restartNumberingAfterBreak="0">
    <w:nsid w:val="6CA70DF3"/>
    <w:multiLevelType w:val="hybridMultilevel"/>
    <w:tmpl w:val="990022D0"/>
    <w:lvl w:ilvl="0" w:tplc="03E61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E4B0E29"/>
    <w:multiLevelType w:val="hybridMultilevel"/>
    <w:tmpl w:val="FA564F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866EE2"/>
    <w:multiLevelType w:val="hybridMultilevel"/>
    <w:tmpl w:val="442E1CE0"/>
    <w:lvl w:ilvl="0" w:tplc="0CCC3EE2">
      <w:start w:val="1"/>
      <w:numFmt w:val="lowerRoman"/>
      <w:lvlText w:val="(%1)"/>
      <w:lvlJc w:val="left"/>
      <w:pPr>
        <w:ind w:left="2038" w:hanging="360"/>
      </w:pPr>
    </w:lvl>
    <w:lvl w:ilvl="1" w:tplc="0CCC3EE2">
      <w:start w:val="1"/>
      <w:numFmt w:val="lowerRoman"/>
      <w:lvlText w:val="(%2)"/>
      <w:lvlJc w:val="left"/>
      <w:pPr>
        <w:ind w:left="2758" w:hanging="360"/>
      </w:pPr>
    </w:lvl>
    <w:lvl w:ilvl="2" w:tplc="0C09001B" w:tentative="1">
      <w:start w:val="1"/>
      <w:numFmt w:val="lowerRoman"/>
      <w:lvlText w:val="%3."/>
      <w:lvlJc w:val="right"/>
      <w:pPr>
        <w:ind w:left="3478" w:hanging="180"/>
      </w:pPr>
    </w:lvl>
    <w:lvl w:ilvl="3" w:tplc="0C09000F" w:tentative="1">
      <w:start w:val="1"/>
      <w:numFmt w:val="decimal"/>
      <w:lvlText w:val="%4."/>
      <w:lvlJc w:val="left"/>
      <w:pPr>
        <w:ind w:left="4198" w:hanging="360"/>
      </w:pPr>
    </w:lvl>
    <w:lvl w:ilvl="4" w:tplc="0C090019" w:tentative="1">
      <w:start w:val="1"/>
      <w:numFmt w:val="lowerLetter"/>
      <w:lvlText w:val="%5."/>
      <w:lvlJc w:val="left"/>
      <w:pPr>
        <w:ind w:left="4918" w:hanging="360"/>
      </w:pPr>
    </w:lvl>
    <w:lvl w:ilvl="5" w:tplc="0C09001B" w:tentative="1">
      <w:start w:val="1"/>
      <w:numFmt w:val="lowerRoman"/>
      <w:lvlText w:val="%6."/>
      <w:lvlJc w:val="right"/>
      <w:pPr>
        <w:ind w:left="5638" w:hanging="180"/>
      </w:pPr>
    </w:lvl>
    <w:lvl w:ilvl="6" w:tplc="0C09000F" w:tentative="1">
      <w:start w:val="1"/>
      <w:numFmt w:val="decimal"/>
      <w:lvlText w:val="%7."/>
      <w:lvlJc w:val="left"/>
      <w:pPr>
        <w:ind w:left="6358" w:hanging="360"/>
      </w:pPr>
    </w:lvl>
    <w:lvl w:ilvl="7" w:tplc="0C090019" w:tentative="1">
      <w:start w:val="1"/>
      <w:numFmt w:val="lowerLetter"/>
      <w:lvlText w:val="%8."/>
      <w:lvlJc w:val="left"/>
      <w:pPr>
        <w:ind w:left="7078" w:hanging="360"/>
      </w:pPr>
    </w:lvl>
    <w:lvl w:ilvl="8" w:tplc="0C09001B" w:tentative="1">
      <w:start w:val="1"/>
      <w:numFmt w:val="lowerRoman"/>
      <w:lvlText w:val="%9."/>
      <w:lvlJc w:val="right"/>
      <w:pPr>
        <w:ind w:left="7798" w:hanging="180"/>
      </w:pPr>
    </w:lvl>
  </w:abstractNum>
  <w:abstractNum w:abstractNumId="38" w15:restartNumberingAfterBreak="0">
    <w:nsid w:val="75797450"/>
    <w:multiLevelType w:val="hybridMultilevel"/>
    <w:tmpl w:val="CFBA8A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4"/>
  </w:num>
  <w:num w:numId="4">
    <w:abstractNumId w:val="17"/>
  </w:num>
  <w:num w:numId="5">
    <w:abstractNumId w:val="21"/>
  </w:num>
  <w:num w:numId="6">
    <w:abstractNumId w:val="14"/>
  </w:num>
  <w:num w:numId="7">
    <w:abstractNumId w:val="36"/>
  </w:num>
  <w:num w:numId="8">
    <w:abstractNumId w:val="11"/>
  </w:num>
  <w:num w:numId="9">
    <w:abstractNumId w:val="7"/>
  </w:num>
  <w:num w:numId="10">
    <w:abstractNumId w:val="39"/>
  </w:num>
  <w:num w:numId="11">
    <w:abstractNumId w:val="35"/>
  </w:num>
  <w:num w:numId="12">
    <w:abstractNumId w:val="19"/>
  </w:num>
  <w:num w:numId="13">
    <w:abstractNumId w:val="20"/>
  </w:num>
  <w:num w:numId="14">
    <w:abstractNumId w:val="32"/>
  </w:num>
  <w:num w:numId="15">
    <w:abstractNumId w:val="12"/>
  </w:num>
  <w:num w:numId="16">
    <w:abstractNumId w:val="23"/>
  </w:num>
  <w:num w:numId="17">
    <w:abstractNumId w:val="26"/>
  </w:num>
  <w:num w:numId="18">
    <w:abstractNumId w:val="24"/>
  </w:num>
  <w:num w:numId="19">
    <w:abstractNumId w:val="6"/>
  </w:num>
  <w:num w:numId="20">
    <w:abstractNumId w:val="16"/>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5"/>
  </w:num>
  <w:num w:numId="25">
    <w:abstractNumId w:val="13"/>
  </w:num>
  <w:num w:numId="26">
    <w:abstractNumId w:val="1"/>
  </w:num>
  <w:num w:numId="27">
    <w:abstractNumId w:val="5"/>
  </w:num>
  <w:num w:numId="28">
    <w:abstractNumId w:val="9"/>
  </w:num>
  <w:num w:numId="29">
    <w:abstractNumId w:val="33"/>
  </w:num>
  <w:num w:numId="30">
    <w:abstractNumId w:val="3"/>
  </w:num>
  <w:num w:numId="31">
    <w:abstractNumId w:val="30"/>
  </w:num>
  <w:num w:numId="32">
    <w:abstractNumId w:val="27"/>
  </w:num>
  <w:num w:numId="33">
    <w:abstractNumId w:val="37"/>
  </w:num>
  <w:num w:numId="34">
    <w:abstractNumId w:val="8"/>
  </w:num>
  <w:num w:numId="35">
    <w:abstractNumId w:val="28"/>
  </w:num>
  <w:num w:numId="36">
    <w:abstractNumId w:val="15"/>
  </w:num>
  <w:num w:numId="37">
    <w:abstractNumId w:val="18"/>
  </w:num>
  <w:num w:numId="38">
    <w:abstractNumId w:val="29"/>
  </w:num>
  <w:num w:numId="39">
    <w:abstractNumId w:val="34"/>
  </w:num>
  <w:num w:numId="40">
    <w:abstractNumId w:val="38"/>
  </w:num>
  <w:num w:numId="4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335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DEE"/>
    <w:rsid w:val="00001CCE"/>
    <w:rsid w:val="00003B66"/>
    <w:rsid w:val="00003D66"/>
    <w:rsid w:val="0000441D"/>
    <w:rsid w:val="00004E17"/>
    <w:rsid w:val="00005906"/>
    <w:rsid w:val="00007B65"/>
    <w:rsid w:val="000112B0"/>
    <w:rsid w:val="00014639"/>
    <w:rsid w:val="00014B38"/>
    <w:rsid w:val="00014E40"/>
    <w:rsid w:val="0001557D"/>
    <w:rsid w:val="00016774"/>
    <w:rsid w:val="000203B4"/>
    <w:rsid w:val="0002158F"/>
    <w:rsid w:val="00021EFA"/>
    <w:rsid w:val="00024158"/>
    <w:rsid w:val="00025169"/>
    <w:rsid w:val="00025F64"/>
    <w:rsid w:val="0002704E"/>
    <w:rsid w:val="0002728B"/>
    <w:rsid w:val="00027830"/>
    <w:rsid w:val="000319EF"/>
    <w:rsid w:val="00033034"/>
    <w:rsid w:val="000337CB"/>
    <w:rsid w:val="00034E86"/>
    <w:rsid w:val="0003591F"/>
    <w:rsid w:val="00035D27"/>
    <w:rsid w:val="00041849"/>
    <w:rsid w:val="0004426E"/>
    <w:rsid w:val="00044A2A"/>
    <w:rsid w:val="000509BA"/>
    <w:rsid w:val="0005224B"/>
    <w:rsid w:val="0005533C"/>
    <w:rsid w:val="00063242"/>
    <w:rsid w:val="000640CF"/>
    <w:rsid w:val="00064BA4"/>
    <w:rsid w:val="00067F59"/>
    <w:rsid w:val="000710DD"/>
    <w:rsid w:val="0007187A"/>
    <w:rsid w:val="000727E0"/>
    <w:rsid w:val="000736A5"/>
    <w:rsid w:val="00073983"/>
    <w:rsid w:val="00073BC9"/>
    <w:rsid w:val="00076C34"/>
    <w:rsid w:val="00076FE3"/>
    <w:rsid w:val="00080116"/>
    <w:rsid w:val="00081188"/>
    <w:rsid w:val="00081C37"/>
    <w:rsid w:val="0009514A"/>
    <w:rsid w:val="000969EF"/>
    <w:rsid w:val="000A199B"/>
    <w:rsid w:val="000A31F2"/>
    <w:rsid w:val="000A424E"/>
    <w:rsid w:val="000A45BE"/>
    <w:rsid w:val="000A467F"/>
    <w:rsid w:val="000A6D18"/>
    <w:rsid w:val="000A6FB3"/>
    <w:rsid w:val="000A7B9B"/>
    <w:rsid w:val="000B0C6E"/>
    <w:rsid w:val="000B25E0"/>
    <w:rsid w:val="000B3452"/>
    <w:rsid w:val="000B36DF"/>
    <w:rsid w:val="000B500D"/>
    <w:rsid w:val="000C04B2"/>
    <w:rsid w:val="000C1226"/>
    <w:rsid w:val="000C12EE"/>
    <w:rsid w:val="000C20EF"/>
    <w:rsid w:val="000C3D8A"/>
    <w:rsid w:val="000C46E6"/>
    <w:rsid w:val="000C4B3D"/>
    <w:rsid w:val="000C5BA2"/>
    <w:rsid w:val="000C6797"/>
    <w:rsid w:val="000C6FF8"/>
    <w:rsid w:val="000C7FE1"/>
    <w:rsid w:val="000D1325"/>
    <w:rsid w:val="000D1A87"/>
    <w:rsid w:val="000D2300"/>
    <w:rsid w:val="000D3B79"/>
    <w:rsid w:val="000D7803"/>
    <w:rsid w:val="000E0C87"/>
    <w:rsid w:val="000E0F43"/>
    <w:rsid w:val="000E1ACD"/>
    <w:rsid w:val="000E1EB3"/>
    <w:rsid w:val="000E3444"/>
    <w:rsid w:val="000E4AFA"/>
    <w:rsid w:val="000E534F"/>
    <w:rsid w:val="000E66FA"/>
    <w:rsid w:val="000E7163"/>
    <w:rsid w:val="000F14A0"/>
    <w:rsid w:val="000F1575"/>
    <w:rsid w:val="000F1714"/>
    <w:rsid w:val="000F249E"/>
    <w:rsid w:val="000F2701"/>
    <w:rsid w:val="000F2AFC"/>
    <w:rsid w:val="000F37A0"/>
    <w:rsid w:val="000F5E76"/>
    <w:rsid w:val="000F6853"/>
    <w:rsid w:val="001000CE"/>
    <w:rsid w:val="00104751"/>
    <w:rsid w:val="0010617D"/>
    <w:rsid w:val="00106763"/>
    <w:rsid w:val="001068B6"/>
    <w:rsid w:val="00107F36"/>
    <w:rsid w:val="0011066E"/>
    <w:rsid w:val="00113B2E"/>
    <w:rsid w:val="00120766"/>
    <w:rsid w:val="00121189"/>
    <w:rsid w:val="00121A66"/>
    <w:rsid w:val="00130BF2"/>
    <w:rsid w:val="001310D8"/>
    <w:rsid w:val="00132087"/>
    <w:rsid w:val="00134B27"/>
    <w:rsid w:val="00135D0D"/>
    <w:rsid w:val="001400C4"/>
    <w:rsid w:val="00141323"/>
    <w:rsid w:val="00141E8C"/>
    <w:rsid w:val="00143943"/>
    <w:rsid w:val="00145918"/>
    <w:rsid w:val="00145D25"/>
    <w:rsid w:val="00145DED"/>
    <w:rsid w:val="001519E4"/>
    <w:rsid w:val="00152304"/>
    <w:rsid w:val="00153D99"/>
    <w:rsid w:val="00154FC4"/>
    <w:rsid w:val="0015521F"/>
    <w:rsid w:val="00161063"/>
    <w:rsid w:val="00161CCF"/>
    <w:rsid w:val="001641C0"/>
    <w:rsid w:val="0016646C"/>
    <w:rsid w:val="00167DA1"/>
    <w:rsid w:val="00167EC6"/>
    <w:rsid w:val="0017187F"/>
    <w:rsid w:val="001734C9"/>
    <w:rsid w:val="00174E96"/>
    <w:rsid w:val="001770D9"/>
    <w:rsid w:val="0017759F"/>
    <w:rsid w:val="0018012F"/>
    <w:rsid w:val="00180742"/>
    <w:rsid w:val="00181B3E"/>
    <w:rsid w:val="00181F74"/>
    <w:rsid w:val="00182F72"/>
    <w:rsid w:val="00183C10"/>
    <w:rsid w:val="0018422D"/>
    <w:rsid w:val="0018451D"/>
    <w:rsid w:val="001865F8"/>
    <w:rsid w:val="001867EA"/>
    <w:rsid w:val="00187EE5"/>
    <w:rsid w:val="00190FC9"/>
    <w:rsid w:val="0019289B"/>
    <w:rsid w:val="001929C3"/>
    <w:rsid w:val="0019464A"/>
    <w:rsid w:val="00195A6A"/>
    <w:rsid w:val="001964FE"/>
    <w:rsid w:val="001965DA"/>
    <w:rsid w:val="0019711F"/>
    <w:rsid w:val="001978CE"/>
    <w:rsid w:val="001A4BE2"/>
    <w:rsid w:val="001A5BC0"/>
    <w:rsid w:val="001A7249"/>
    <w:rsid w:val="001A7EF8"/>
    <w:rsid w:val="001B0111"/>
    <w:rsid w:val="001B3714"/>
    <w:rsid w:val="001B5ED9"/>
    <w:rsid w:val="001B602D"/>
    <w:rsid w:val="001B66AF"/>
    <w:rsid w:val="001B7092"/>
    <w:rsid w:val="001B7F67"/>
    <w:rsid w:val="001C1B86"/>
    <w:rsid w:val="001C261D"/>
    <w:rsid w:val="001C35BC"/>
    <w:rsid w:val="001C5FC1"/>
    <w:rsid w:val="001C6713"/>
    <w:rsid w:val="001D1417"/>
    <w:rsid w:val="001D6B46"/>
    <w:rsid w:val="001D778A"/>
    <w:rsid w:val="001D7D62"/>
    <w:rsid w:val="001E014D"/>
    <w:rsid w:val="001E10DC"/>
    <w:rsid w:val="001E2D6D"/>
    <w:rsid w:val="001E3B02"/>
    <w:rsid w:val="001E5391"/>
    <w:rsid w:val="001E5787"/>
    <w:rsid w:val="001E579F"/>
    <w:rsid w:val="001E57BC"/>
    <w:rsid w:val="001E5DE7"/>
    <w:rsid w:val="001E63F3"/>
    <w:rsid w:val="001E7C25"/>
    <w:rsid w:val="001F0923"/>
    <w:rsid w:val="001F108B"/>
    <w:rsid w:val="001F1F27"/>
    <w:rsid w:val="001F75F3"/>
    <w:rsid w:val="00200145"/>
    <w:rsid w:val="002003CA"/>
    <w:rsid w:val="002003F7"/>
    <w:rsid w:val="00200971"/>
    <w:rsid w:val="0020245D"/>
    <w:rsid w:val="00203952"/>
    <w:rsid w:val="00203F23"/>
    <w:rsid w:val="00204413"/>
    <w:rsid w:val="00204A05"/>
    <w:rsid w:val="00210EE7"/>
    <w:rsid w:val="002111BB"/>
    <w:rsid w:val="00213177"/>
    <w:rsid w:val="00215191"/>
    <w:rsid w:val="00216C44"/>
    <w:rsid w:val="00217EBF"/>
    <w:rsid w:val="00220EE3"/>
    <w:rsid w:val="00221C4B"/>
    <w:rsid w:val="002227DF"/>
    <w:rsid w:val="0022342C"/>
    <w:rsid w:val="0022384B"/>
    <w:rsid w:val="00225179"/>
    <w:rsid w:val="00225B50"/>
    <w:rsid w:val="00225D8E"/>
    <w:rsid w:val="002264F4"/>
    <w:rsid w:val="002322A8"/>
    <w:rsid w:val="0023311C"/>
    <w:rsid w:val="00233348"/>
    <w:rsid w:val="0023337A"/>
    <w:rsid w:val="00233BEB"/>
    <w:rsid w:val="00236DF2"/>
    <w:rsid w:val="0024152E"/>
    <w:rsid w:val="00242974"/>
    <w:rsid w:val="00244D84"/>
    <w:rsid w:val="00247818"/>
    <w:rsid w:val="00250061"/>
    <w:rsid w:val="00250414"/>
    <w:rsid w:val="00250642"/>
    <w:rsid w:val="00251E4A"/>
    <w:rsid w:val="00251F50"/>
    <w:rsid w:val="00253E30"/>
    <w:rsid w:val="0025493F"/>
    <w:rsid w:val="00254E5D"/>
    <w:rsid w:val="00257E4D"/>
    <w:rsid w:val="00262865"/>
    <w:rsid w:val="00263279"/>
    <w:rsid w:val="002643FC"/>
    <w:rsid w:val="002671DA"/>
    <w:rsid w:val="00270055"/>
    <w:rsid w:val="00273BB7"/>
    <w:rsid w:val="00274073"/>
    <w:rsid w:val="0027545F"/>
    <w:rsid w:val="0027610D"/>
    <w:rsid w:val="00281918"/>
    <w:rsid w:val="00282B79"/>
    <w:rsid w:val="00282C2A"/>
    <w:rsid w:val="00284483"/>
    <w:rsid w:val="00285256"/>
    <w:rsid w:val="00287AEF"/>
    <w:rsid w:val="00287B08"/>
    <w:rsid w:val="00290B98"/>
    <w:rsid w:val="00293C47"/>
    <w:rsid w:val="002944D4"/>
    <w:rsid w:val="00296763"/>
    <w:rsid w:val="00296E1C"/>
    <w:rsid w:val="0029737E"/>
    <w:rsid w:val="00297AD0"/>
    <w:rsid w:val="002A0CC8"/>
    <w:rsid w:val="002A3243"/>
    <w:rsid w:val="002A5CDF"/>
    <w:rsid w:val="002A68B3"/>
    <w:rsid w:val="002A6B78"/>
    <w:rsid w:val="002B0A52"/>
    <w:rsid w:val="002B2AC5"/>
    <w:rsid w:val="002B2E78"/>
    <w:rsid w:val="002B49DE"/>
    <w:rsid w:val="002B4E4D"/>
    <w:rsid w:val="002B5085"/>
    <w:rsid w:val="002B53D3"/>
    <w:rsid w:val="002B6D15"/>
    <w:rsid w:val="002B7177"/>
    <w:rsid w:val="002C4F5B"/>
    <w:rsid w:val="002C54A1"/>
    <w:rsid w:val="002C59F8"/>
    <w:rsid w:val="002C5DCD"/>
    <w:rsid w:val="002D03AB"/>
    <w:rsid w:val="002D2A4E"/>
    <w:rsid w:val="002D5294"/>
    <w:rsid w:val="002D5DFC"/>
    <w:rsid w:val="002D5E92"/>
    <w:rsid w:val="002D6269"/>
    <w:rsid w:val="002D629A"/>
    <w:rsid w:val="002E0751"/>
    <w:rsid w:val="002E12C3"/>
    <w:rsid w:val="002E13E2"/>
    <w:rsid w:val="002E3493"/>
    <w:rsid w:val="002E35BF"/>
    <w:rsid w:val="002E5F5C"/>
    <w:rsid w:val="002E65CD"/>
    <w:rsid w:val="002E6FD5"/>
    <w:rsid w:val="002E7D88"/>
    <w:rsid w:val="002F0434"/>
    <w:rsid w:val="002F1707"/>
    <w:rsid w:val="002F2F33"/>
    <w:rsid w:val="002F3A26"/>
    <w:rsid w:val="002F3C7E"/>
    <w:rsid w:val="002F449C"/>
    <w:rsid w:val="002F4CD2"/>
    <w:rsid w:val="002F6069"/>
    <w:rsid w:val="002F7549"/>
    <w:rsid w:val="00300EFB"/>
    <w:rsid w:val="00301D49"/>
    <w:rsid w:val="00302114"/>
    <w:rsid w:val="003025C7"/>
    <w:rsid w:val="00302F5C"/>
    <w:rsid w:val="00304080"/>
    <w:rsid w:val="0031124D"/>
    <w:rsid w:val="00312ED1"/>
    <w:rsid w:val="00313554"/>
    <w:rsid w:val="00317B55"/>
    <w:rsid w:val="0032155B"/>
    <w:rsid w:val="003239D0"/>
    <w:rsid w:val="00324908"/>
    <w:rsid w:val="0033493D"/>
    <w:rsid w:val="00335AE6"/>
    <w:rsid w:val="00337DE1"/>
    <w:rsid w:val="00340BDB"/>
    <w:rsid w:val="00340E39"/>
    <w:rsid w:val="00341145"/>
    <w:rsid w:val="003412CB"/>
    <w:rsid w:val="00351E2C"/>
    <w:rsid w:val="0035214B"/>
    <w:rsid w:val="003527D6"/>
    <w:rsid w:val="00352BEB"/>
    <w:rsid w:val="00353351"/>
    <w:rsid w:val="00353622"/>
    <w:rsid w:val="00356345"/>
    <w:rsid w:val="00357CD8"/>
    <w:rsid w:val="0036105C"/>
    <w:rsid w:val="00361ADE"/>
    <w:rsid w:val="00363306"/>
    <w:rsid w:val="0036495A"/>
    <w:rsid w:val="00366C2C"/>
    <w:rsid w:val="00367440"/>
    <w:rsid w:val="00370BE6"/>
    <w:rsid w:val="00371F67"/>
    <w:rsid w:val="00375E39"/>
    <w:rsid w:val="003760ED"/>
    <w:rsid w:val="003775D7"/>
    <w:rsid w:val="00380CBA"/>
    <w:rsid w:val="00381278"/>
    <w:rsid w:val="0038127E"/>
    <w:rsid w:val="00384080"/>
    <w:rsid w:val="003840C0"/>
    <w:rsid w:val="00386C22"/>
    <w:rsid w:val="003876E6"/>
    <w:rsid w:val="00391AFA"/>
    <w:rsid w:val="00392BAF"/>
    <w:rsid w:val="003937EF"/>
    <w:rsid w:val="00393E9B"/>
    <w:rsid w:val="00395942"/>
    <w:rsid w:val="00397A97"/>
    <w:rsid w:val="00397DFA"/>
    <w:rsid w:val="003A280D"/>
    <w:rsid w:val="003A5A70"/>
    <w:rsid w:val="003A6230"/>
    <w:rsid w:val="003A6299"/>
    <w:rsid w:val="003B1976"/>
    <w:rsid w:val="003B27BA"/>
    <w:rsid w:val="003B366C"/>
    <w:rsid w:val="003B38C1"/>
    <w:rsid w:val="003B59A9"/>
    <w:rsid w:val="003B6B63"/>
    <w:rsid w:val="003B7C31"/>
    <w:rsid w:val="003C02D4"/>
    <w:rsid w:val="003C37E3"/>
    <w:rsid w:val="003C4CBD"/>
    <w:rsid w:val="003C546B"/>
    <w:rsid w:val="003C7719"/>
    <w:rsid w:val="003D08EF"/>
    <w:rsid w:val="003D0FBD"/>
    <w:rsid w:val="003D2A6D"/>
    <w:rsid w:val="003E005B"/>
    <w:rsid w:val="003E04DA"/>
    <w:rsid w:val="003E1249"/>
    <w:rsid w:val="003E1D75"/>
    <w:rsid w:val="003E3544"/>
    <w:rsid w:val="003E35A8"/>
    <w:rsid w:val="003E77CB"/>
    <w:rsid w:val="003F47FD"/>
    <w:rsid w:val="003F4B52"/>
    <w:rsid w:val="003F718C"/>
    <w:rsid w:val="003F73BA"/>
    <w:rsid w:val="003F73F0"/>
    <w:rsid w:val="00401423"/>
    <w:rsid w:val="00403105"/>
    <w:rsid w:val="00404F11"/>
    <w:rsid w:val="004052E8"/>
    <w:rsid w:val="00405890"/>
    <w:rsid w:val="00405EF4"/>
    <w:rsid w:val="0041028C"/>
    <w:rsid w:val="00411365"/>
    <w:rsid w:val="0041237F"/>
    <w:rsid w:val="00412B6C"/>
    <w:rsid w:val="0041439E"/>
    <w:rsid w:val="00414613"/>
    <w:rsid w:val="00415B19"/>
    <w:rsid w:val="0041767B"/>
    <w:rsid w:val="00420205"/>
    <w:rsid w:val="00421D5F"/>
    <w:rsid w:val="00422831"/>
    <w:rsid w:val="00424197"/>
    <w:rsid w:val="00425F40"/>
    <w:rsid w:val="004265AA"/>
    <w:rsid w:val="00426A8D"/>
    <w:rsid w:val="00430861"/>
    <w:rsid w:val="00432D4D"/>
    <w:rsid w:val="00433DCE"/>
    <w:rsid w:val="0043405A"/>
    <w:rsid w:val="0043782E"/>
    <w:rsid w:val="004378BD"/>
    <w:rsid w:val="00437B1B"/>
    <w:rsid w:val="004405B8"/>
    <w:rsid w:val="00441339"/>
    <w:rsid w:val="004417A2"/>
    <w:rsid w:val="00442F9D"/>
    <w:rsid w:val="00444EDF"/>
    <w:rsid w:val="004456A4"/>
    <w:rsid w:val="00445A6D"/>
    <w:rsid w:val="00446A6B"/>
    <w:rsid w:val="0045189C"/>
    <w:rsid w:val="004636B4"/>
    <w:rsid w:val="00464099"/>
    <w:rsid w:val="004641DC"/>
    <w:rsid w:val="00464AC7"/>
    <w:rsid w:val="004669A4"/>
    <w:rsid w:val="00466A5B"/>
    <w:rsid w:val="0046799A"/>
    <w:rsid w:val="004723D2"/>
    <w:rsid w:val="0047494B"/>
    <w:rsid w:val="00475A85"/>
    <w:rsid w:val="00476F13"/>
    <w:rsid w:val="00480561"/>
    <w:rsid w:val="004806B3"/>
    <w:rsid w:val="00481E5E"/>
    <w:rsid w:val="004828A9"/>
    <w:rsid w:val="004849DE"/>
    <w:rsid w:val="00484A65"/>
    <w:rsid w:val="00484E4F"/>
    <w:rsid w:val="0048759F"/>
    <w:rsid w:val="004876DF"/>
    <w:rsid w:val="00492341"/>
    <w:rsid w:val="00492DBE"/>
    <w:rsid w:val="004932B0"/>
    <w:rsid w:val="004962CC"/>
    <w:rsid w:val="00497023"/>
    <w:rsid w:val="00497EC1"/>
    <w:rsid w:val="004A0313"/>
    <w:rsid w:val="004A0A89"/>
    <w:rsid w:val="004A0BE6"/>
    <w:rsid w:val="004A2249"/>
    <w:rsid w:val="004A26E0"/>
    <w:rsid w:val="004A4689"/>
    <w:rsid w:val="004A4A2C"/>
    <w:rsid w:val="004A524A"/>
    <w:rsid w:val="004A56D3"/>
    <w:rsid w:val="004A6B0F"/>
    <w:rsid w:val="004B1ECE"/>
    <w:rsid w:val="004B27F3"/>
    <w:rsid w:val="004B38C8"/>
    <w:rsid w:val="004B3C12"/>
    <w:rsid w:val="004B5C2E"/>
    <w:rsid w:val="004B7CB9"/>
    <w:rsid w:val="004C10BA"/>
    <w:rsid w:val="004C1122"/>
    <w:rsid w:val="004C27EB"/>
    <w:rsid w:val="004C357A"/>
    <w:rsid w:val="004C37D3"/>
    <w:rsid w:val="004C405B"/>
    <w:rsid w:val="004C5B35"/>
    <w:rsid w:val="004C68D1"/>
    <w:rsid w:val="004C6AE7"/>
    <w:rsid w:val="004C72E8"/>
    <w:rsid w:val="004C75DE"/>
    <w:rsid w:val="004D03E3"/>
    <w:rsid w:val="004D04DF"/>
    <w:rsid w:val="004D1BF4"/>
    <w:rsid w:val="004D2ECB"/>
    <w:rsid w:val="004D480B"/>
    <w:rsid w:val="004D6074"/>
    <w:rsid w:val="004D7821"/>
    <w:rsid w:val="004E10C5"/>
    <w:rsid w:val="004E22A7"/>
    <w:rsid w:val="004E39E6"/>
    <w:rsid w:val="004E5799"/>
    <w:rsid w:val="004E71DC"/>
    <w:rsid w:val="004E7F97"/>
    <w:rsid w:val="004F1563"/>
    <w:rsid w:val="004F20B0"/>
    <w:rsid w:val="004F60F0"/>
    <w:rsid w:val="004F7682"/>
    <w:rsid w:val="005012BC"/>
    <w:rsid w:val="00502156"/>
    <w:rsid w:val="00502277"/>
    <w:rsid w:val="005042B5"/>
    <w:rsid w:val="00505C67"/>
    <w:rsid w:val="00510A4F"/>
    <w:rsid w:val="005119E9"/>
    <w:rsid w:val="00512A65"/>
    <w:rsid w:val="005130BE"/>
    <w:rsid w:val="005140F2"/>
    <w:rsid w:val="00516787"/>
    <w:rsid w:val="0051709B"/>
    <w:rsid w:val="0052165A"/>
    <w:rsid w:val="00521802"/>
    <w:rsid w:val="0052430B"/>
    <w:rsid w:val="00525D51"/>
    <w:rsid w:val="00532CD3"/>
    <w:rsid w:val="00533867"/>
    <w:rsid w:val="005345A9"/>
    <w:rsid w:val="00534D8A"/>
    <w:rsid w:val="00535742"/>
    <w:rsid w:val="00536AC6"/>
    <w:rsid w:val="00537502"/>
    <w:rsid w:val="0054004F"/>
    <w:rsid w:val="00542913"/>
    <w:rsid w:val="00542ABE"/>
    <w:rsid w:val="005440E4"/>
    <w:rsid w:val="005444FD"/>
    <w:rsid w:val="005452CD"/>
    <w:rsid w:val="00545434"/>
    <w:rsid w:val="00546DB4"/>
    <w:rsid w:val="005474A5"/>
    <w:rsid w:val="00547D82"/>
    <w:rsid w:val="005504B4"/>
    <w:rsid w:val="00550DAB"/>
    <w:rsid w:val="00552105"/>
    <w:rsid w:val="0055354D"/>
    <w:rsid w:val="00554543"/>
    <w:rsid w:val="005555B8"/>
    <w:rsid w:val="00563642"/>
    <w:rsid w:val="005642D9"/>
    <w:rsid w:val="00564C2B"/>
    <w:rsid w:val="00564C37"/>
    <w:rsid w:val="00564D84"/>
    <w:rsid w:val="00570F2B"/>
    <w:rsid w:val="0057258C"/>
    <w:rsid w:val="00573651"/>
    <w:rsid w:val="00573B2B"/>
    <w:rsid w:val="00573C5B"/>
    <w:rsid w:val="00574E71"/>
    <w:rsid w:val="00580AA6"/>
    <w:rsid w:val="005811D8"/>
    <w:rsid w:val="00581904"/>
    <w:rsid w:val="00582B3F"/>
    <w:rsid w:val="00583643"/>
    <w:rsid w:val="00585309"/>
    <w:rsid w:val="005857E8"/>
    <w:rsid w:val="005858CB"/>
    <w:rsid w:val="00585B1F"/>
    <w:rsid w:val="0058699E"/>
    <w:rsid w:val="00586CE9"/>
    <w:rsid w:val="00590B04"/>
    <w:rsid w:val="00592F78"/>
    <w:rsid w:val="00594EB6"/>
    <w:rsid w:val="005960D0"/>
    <w:rsid w:val="0059798F"/>
    <w:rsid w:val="00597EC9"/>
    <w:rsid w:val="005A0300"/>
    <w:rsid w:val="005A0557"/>
    <w:rsid w:val="005A163F"/>
    <w:rsid w:val="005A3D73"/>
    <w:rsid w:val="005A3D8D"/>
    <w:rsid w:val="005A445D"/>
    <w:rsid w:val="005B00DC"/>
    <w:rsid w:val="005B0EA3"/>
    <w:rsid w:val="005B1B0A"/>
    <w:rsid w:val="005B453E"/>
    <w:rsid w:val="005B5062"/>
    <w:rsid w:val="005B5F95"/>
    <w:rsid w:val="005B6234"/>
    <w:rsid w:val="005B7596"/>
    <w:rsid w:val="005C21EA"/>
    <w:rsid w:val="005C2A0E"/>
    <w:rsid w:val="005C4A91"/>
    <w:rsid w:val="005C5824"/>
    <w:rsid w:val="005C6118"/>
    <w:rsid w:val="005D3575"/>
    <w:rsid w:val="005D3CED"/>
    <w:rsid w:val="005D538F"/>
    <w:rsid w:val="005D63D9"/>
    <w:rsid w:val="005D68D1"/>
    <w:rsid w:val="005E293A"/>
    <w:rsid w:val="005E49E7"/>
    <w:rsid w:val="005E56FE"/>
    <w:rsid w:val="005E62D6"/>
    <w:rsid w:val="005E6A82"/>
    <w:rsid w:val="005E7398"/>
    <w:rsid w:val="005F04DC"/>
    <w:rsid w:val="005F0F6C"/>
    <w:rsid w:val="005F1A7F"/>
    <w:rsid w:val="005F1F44"/>
    <w:rsid w:val="00601165"/>
    <w:rsid w:val="00607971"/>
    <w:rsid w:val="00611A4E"/>
    <w:rsid w:val="006122C0"/>
    <w:rsid w:val="0061281D"/>
    <w:rsid w:val="00613C46"/>
    <w:rsid w:val="00616889"/>
    <w:rsid w:val="00617F77"/>
    <w:rsid w:val="0062186B"/>
    <w:rsid w:val="00622FC8"/>
    <w:rsid w:val="00623004"/>
    <w:rsid w:val="0062518C"/>
    <w:rsid w:val="00627C91"/>
    <w:rsid w:val="00635031"/>
    <w:rsid w:val="006369D4"/>
    <w:rsid w:val="00636C51"/>
    <w:rsid w:val="006407FA"/>
    <w:rsid w:val="006427B2"/>
    <w:rsid w:val="00642BEB"/>
    <w:rsid w:val="00647426"/>
    <w:rsid w:val="00647590"/>
    <w:rsid w:val="006479C8"/>
    <w:rsid w:val="006526F5"/>
    <w:rsid w:val="00653659"/>
    <w:rsid w:val="0065701A"/>
    <w:rsid w:val="00657702"/>
    <w:rsid w:val="006619F5"/>
    <w:rsid w:val="00661A76"/>
    <w:rsid w:val="006629F9"/>
    <w:rsid w:val="006639F0"/>
    <w:rsid w:val="0066562D"/>
    <w:rsid w:val="00670998"/>
    <w:rsid w:val="00672050"/>
    <w:rsid w:val="00673872"/>
    <w:rsid w:val="00674A34"/>
    <w:rsid w:val="00677FBB"/>
    <w:rsid w:val="006854CC"/>
    <w:rsid w:val="00685515"/>
    <w:rsid w:val="0068642A"/>
    <w:rsid w:val="00694C76"/>
    <w:rsid w:val="00694F4A"/>
    <w:rsid w:val="00695DBD"/>
    <w:rsid w:val="00696867"/>
    <w:rsid w:val="006A029B"/>
    <w:rsid w:val="006A17A1"/>
    <w:rsid w:val="006A34FB"/>
    <w:rsid w:val="006A61C5"/>
    <w:rsid w:val="006B0F31"/>
    <w:rsid w:val="006B13BC"/>
    <w:rsid w:val="006B26FC"/>
    <w:rsid w:val="006B32FE"/>
    <w:rsid w:val="006B3959"/>
    <w:rsid w:val="006B4B58"/>
    <w:rsid w:val="006B5E7C"/>
    <w:rsid w:val="006B6925"/>
    <w:rsid w:val="006C026A"/>
    <w:rsid w:val="006C138D"/>
    <w:rsid w:val="006C3807"/>
    <w:rsid w:val="006C4399"/>
    <w:rsid w:val="006C7491"/>
    <w:rsid w:val="006C761B"/>
    <w:rsid w:val="006C76B5"/>
    <w:rsid w:val="006D03ED"/>
    <w:rsid w:val="006D1C87"/>
    <w:rsid w:val="006D2B37"/>
    <w:rsid w:val="006D3D81"/>
    <w:rsid w:val="006D46A1"/>
    <w:rsid w:val="006D4AA4"/>
    <w:rsid w:val="006D54FB"/>
    <w:rsid w:val="006D5816"/>
    <w:rsid w:val="006D627E"/>
    <w:rsid w:val="006D62D4"/>
    <w:rsid w:val="006E1A62"/>
    <w:rsid w:val="006E320C"/>
    <w:rsid w:val="006E3649"/>
    <w:rsid w:val="006E3AC6"/>
    <w:rsid w:val="006E3D84"/>
    <w:rsid w:val="006E527B"/>
    <w:rsid w:val="006E5C6B"/>
    <w:rsid w:val="006E6377"/>
    <w:rsid w:val="006E6640"/>
    <w:rsid w:val="006E6BBF"/>
    <w:rsid w:val="006E7529"/>
    <w:rsid w:val="006F25D6"/>
    <w:rsid w:val="006F2E4F"/>
    <w:rsid w:val="006F4CA1"/>
    <w:rsid w:val="006F5CDC"/>
    <w:rsid w:val="006F6EC2"/>
    <w:rsid w:val="0070058D"/>
    <w:rsid w:val="00702854"/>
    <w:rsid w:val="00704585"/>
    <w:rsid w:val="00704A1A"/>
    <w:rsid w:val="00705833"/>
    <w:rsid w:val="00705924"/>
    <w:rsid w:val="00707B77"/>
    <w:rsid w:val="00707CE9"/>
    <w:rsid w:val="00710055"/>
    <w:rsid w:val="007103BC"/>
    <w:rsid w:val="007114A7"/>
    <w:rsid w:val="0071184F"/>
    <w:rsid w:val="00712189"/>
    <w:rsid w:val="007134A2"/>
    <w:rsid w:val="00713FB2"/>
    <w:rsid w:val="00717B45"/>
    <w:rsid w:val="007202C4"/>
    <w:rsid w:val="007219C6"/>
    <w:rsid w:val="00722047"/>
    <w:rsid w:val="0072331C"/>
    <w:rsid w:val="00725F6C"/>
    <w:rsid w:val="00726CFA"/>
    <w:rsid w:val="0072758A"/>
    <w:rsid w:val="007304D5"/>
    <w:rsid w:val="00730965"/>
    <w:rsid w:val="00731FE9"/>
    <w:rsid w:val="00733599"/>
    <w:rsid w:val="00735753"/>
    <w:rsid w:val="00735CCC"/>
    <w:rsid w:val="007367CD"/>
    <w:rsid w:val="007368DC"/>
    <w:rsid w:val="00736AC9"/>
    <w:rsid w:val="00741948"/>
    <w:rsid w:val="00741A4E"/>
    <w:rsid w:val="00742E97"/>
    <w:rsid w:val="007452E0"/>
    <w:rsid w:val="00745BD4"/>
    <w:rsid w:val="007467E6"/>
    <w:rsid w:val="00746970"/>
    <w:rsid w:val="00750378"/>
    <w:rsid w:val="007505FB"/>
    <w:rsid w:val="007524B0"/>
    <w:rsid w:val="00752997"/>
    <w:rsid w:val="007533EC"/>
    <w:rsid w:val="00755723"/>
    <w:rsid w:val="0075625A"/>
    <w:rsid w:val="007569C1"/>
    <w:rsid w:val="00757618"/>
    <w:rsid w:val="00762606"/>
    <w:rsid w:val="00762B45"/>
    <w:rsid w:val="0076544A"/>
    <w:rsid w:val="00767402"/>
    <w:rsid w:val="0077044D"/>
    <w:rsid w:val="0077194F"/>
    <w:rsid w:val="00774454"/>
    <w:rsid w:val="00774ABF"/>
    <w:rsid w:val="00776E17"/>
    <w:rsid w:val="00780DD4"/>
    <w:rsid w:val="00782D07"/>
    <w:rsid w:val="007859F8"/>
    <w:rsid w:val="00791384"/>
    <w:rsid w:val="0079191B"/>
    <w:rsid w:val="00791C27"/>
    <w:rsid w:val="0079239C"/>
    <w:rsid w:val="007934F3"/>
    <w:rsid w:val="00795A80"/>
    <w:rsid w:val="00796464"/>
    <w:rsid w:val="00796F15"/>
    <w:rsid w:val="007A0403"/>
    <w:rsid w:val="007A1248"/>
    <w:rsid w:val="007A12F5"/>
    <w:rsid w:val="007A4089"/>
    <w:rsid w:val="007A4CE4"/>
    <w:rsid w:val="007A5936"/>
    <w:rsid w:val="007A5B55"/>
    <w:rsid w:val="007A5F41"/>
    <w:rsid w:val="007A5FEC"/>
    <w:rsid w:val="007B08D1"/>
    <w:rsid w:val="007B161A"/>
    <w:rsid w:val="007B18A9"/>
    <w:rsid w:val="007B29C6"/>
    <w:rsid w:val="007B37E0"/>
    <w:rsid w:val="007B4EAA"/>
    <w:rsid w:val="007B6505"/>
    <w:rsid w:val="007B790F"/>
    <w:rsid w:val="007C0532"/>
    <w:rsid w:val="007C20FA"/>
    <w:rsid w:val="007C27D3"/>
    <w:rsid w:val="007C2C95"/>
    <w:rsid w:val="007C30F6"/>
    <w:rsid w:val="007C42BE"/>
    <w:rsid w:val="007C767F"/>
    <w:rsid w:val="007C79FB"/>
    <w:rsid w:val="007D3891"/>
    <w:rsid w:val="007D4584"/>
    <w:rsid w:val="007D4A14"/>
    <w:rsid w:val="007D5365"/>
    <w:rsid w:val="007E0017"/>
    <w:rsid w:val="007E0D9D"/>
    <w:rsid w:val="007E1F01"/>
    <w:rsid w:val="007E4B14"/>
    <w:rsid w:val="007E4B4C"/>
    <w:rsid w:val="007E7ABF"/>
    <w:rsid w:val="007F0907"/>
    <w:rsid w:val="007F0D24"/>
    <w:rsid w:val="007F10B5"/>
    <w:rsid w:val="007F1C81"/>
    <w:rsid w:val="007F21C2"/>
    <w:rsid w:val="007F6ABA"/>
    <w:rsid w:val="0080144C"/>
    <w:rsid w:val="00804A98"/>
    <w:rsid w:val="00805995"/>
    <w:rsid w:val="00805C3A"/>
    <w:rsid w:val="008061B8"/>
    <w:rsid w:val="00806B13"/>
    <w:rsid w:val="008129B1"/>
    <w:rsid w:val="00817A12"/>
    <w:rsid w:val="00822092"/>
    <w:rsid w:val="0082437E"/>
    <w:rsid w:val="008259FD"/>
    <w:rsid w:val="00825B2C"/>
    <w:rsid w:val="00825D67"/>
    <w:rsid w:val="00826C1C"/>
    <w:rsid w:val="0083200D"/>
    <w:rsid w:val="00832902"/>
    <w:rsid w:val="00832E86"/>
    <w:rsid w:val="00833BAB"/>
    <w:rsid w:val="00833FCC"/>
    <w:rsid w:val="008356E6"/>
    <w:rsid w:val="008360AA"/>
    <w:rsid w:val="00836856"/>
    <w:rsid w:val="00837412"/>
    <w:rsid w:val="00840091"/>
    <w:rsid w:val="00840877"/>
    <w:rsid w:val="0084180A"/>
    <w:rsid w:val="0084197A"/>
    <w:rsid w:val="00841EDA"/>
    <w:rsid w:val="00843425"/>
    <w:rsid w:val="008443D0"/>
    <w:rsid w:val="00845708"/>
    <w:rsid w:val="00846239"/>
    <w:rsid w:val="00846484"/>
    <w:rsid w:val="008470DE"/>
    <w:rsid w:val="008478EE"/>
    <w:rsid w:val="00852FB1"/>
    <w:rsid w:val="0085475F"/>
    <w:rsid w:val="00855470"/>
    <w:rsid w:val="00855C39"/>
    <w:rsid w:val="00856225"/>
    <w:rsid w:val="0085681C"/>
    <w:rsid w:val="008578DC"/>
    <w:rsid w:val="008604B1"/>
    <w:rsid w:val="008609B1"/>
    <w:rsid w:val="008645C4"/>
    <w:rsid w:val="00867884"/>
    <w:rsid w:val="00867AC8"/>
    <w:rsid w:val="008734F5"/>
    <w:rsid w:val="00875104"/>
    <w:rsid w:val="008774AA"/>
    <w:rsid w:val="008774D2"/>
    <w:rsid w:val="0088010B"/>
    <w:rsid w:val="00880E40"/>
    <w:rsid w:val="00880F49"/>
    <w:rsid w:val="008817E5"/>
    <w:rsid w:val="00883771"/>
    <w:rsid w:val="00883C9D"/>
    <w:rsid w:val="00883EFE"/>
    <w:rsid w:val="008869CA"/>
    <w:rsid w:val="008905BA"/>
    <w:rsid w:val="0089513F"/>
    <w:rsid w:val="00895699"/>
    <w:rsid w:val="008977A0"/>
    <w:rsid w:val="008A153F"/>
    <w:rsid w:val="008A2B90"/>
    <w:rsid w:val="008A54A9"/>
    <w:rsid w:val="008A6188"/>
    <w:rsid w:val="008A7735"/>
    <w:rsid w:val="008A79C6"/>
    <w:rsid w:val="008B28F2"/>
    <w:rsid w:val="008B3A89"/>
    <w:rsid w:val="008B444F"/>
    <w:rsid w:val="008B5103"/>
    <w:rsid w:val="008B683E"/>
    <w:rsid w:val="008C0EF7"/>
    <w:rsid w:val="008C11A2"/>
    <w:rsid w:val="008C20F7"/>
    <w:rsid w:val="008C4F3B"/>
    <w:rsid w:val="008C5F1C"/>
    <w:rsid w:val="008D06D8"/>
    <w:rsid w:val="008D1B01"/>
    <w:rsid w:val="008D25D7"/>
    <w:rsid w:val="008D2A83"/>
    <w:rsid w:val="008D2D7B"/>
    <w:rsid w:val="008D2D98"/>
    <w:rsid w:val="008D44EB"/>
    <w:rsid w:val="008D6F0F"/>
    <w:rsid w:val="008E3E1A"/>
    <w:rsid w:val="008E4039"/>
    <w:rsid w:val="008F1AA9"/>
    <w:rsid w:val="008F7C5B"/>
    <w:rsid w:val="009033DE"/>
    <w:rsid w:val="009049C0"/>
    <w:rsid w:val="00906257"/>
    <w:rsid w:val="009069D6"/>
    <w:rsid w:val="00910EF6"/>
    <w:rsid w:val="00912380"/>
    <w:rsid w:val="009124F6"/>
    <w:rsid w:val="00912BC1"/>
    <w:rsid w:val="00913B67"/>
    <w:rsid w:val="00915B08"/>
    <w:rsid w:val="00916953"/>
    <w:rsid w:val="0092164E"/>
    <w:rsid w:val="00921856"/>
    <w:rsid w:val="00921DD1"/>
    <w:rsid w:val="009225FE"/>
    <w:rsid w:val="00923D31"/>
    <w:rsid w:val="00923F94"/>
    <w:rsid w:val="00926DD3"/>
    <w:rsid w:val="0092705D"/>
    <w:rsid w:val="00931ADA"/>
    <w:rsid w:val="00932C51"/>
    <w:rsid w:val="00935308"/>
    <w:rsid w:val="009361FD"/>
    <w:rsid w:val="009406D2"/>
    <w:rsid w:val="00940F17"/>
    <w:rsid w:val="009414C5"/>
    <w:rsid w:val="009427F2"/>
    <w:rsid w:val="00944F64"/>
    <w:rsid w:val="00945CE1"/>
    <w:rsid w:val="009462C7"/>
    <w:rsid w:val="009467A8"/>
    <w:rsid w:val="00951A0B"/>
    <w:rsid w:val="00953383"/>
    <w:rsid w:val="00955683"/>
    <w:rsid w:val="009574A8"/>
    <w:rsid w:val="009648F3"/>
    <w:rsid w:val="00964D68"/>
    <w:rsid w:val="00965025"/>
    <w:rsid w:val="009654C8"/>
    <w:rsid w:val="00967E51"/>
    <w:rsid w:val="00971039"/>
    <w:rsid w:val="00971B7B"/>
    <w:rsid w:val="00971D3B"/>
    <w:rsid w:val="009722EF"/>
    <w:rsid w:val="00972D48"/>
    <w:rsid w:val="00975E68"/>
    <w:rsid w:val="00977A95"/>
    <w:rsid w:val="009812FA"/>
    <w:rsid w:val="00982385"/>
    <w:rsid w:val="00982585"/>
    <w:rsid w:val="009857AA"/>
    <w:rsid w:val="00985DC9"/>
    <w:rsid w:val="00985FA9"/>
    <w:rsid w:val="00987A99"/>
    <w:rsid w:val="009902F7"/>
    <w:rsid w:val="0099448D"/>
    <w:rsid w:val="00995A06"/>
    <w:rsid w:val="00995C33"/>
    <w:rsid w:val="009A222A"/>
    <w:rsid w:val="009A26CA"/>
    <w:rsid w:val="009A6FE7"/>
    <w:rsid w:val="009B0285"/>
    <w:rsid w:val="009B1FD2"/>
    <w:rsid w:val="009B3AEB"/>
    <w:rsid w:val="009B7AE2"/>
    <w:rsid w:val="009C0610"/>
    <w:rsid w:val="009C20ED"/>
    <w:rsid w:val="009C210D"/>
    <w:rsid w:val="009C2D83"/>
    <w:rsid w:val="009C3EB5"/>
    <w:rsid w:val="009C42BD"/>
    <w:rsid w:val="009C444B"/>
    <w:rsid w:val="009D299D"/>
    <w:rsid w:val="009D3773"/>
    <w:rsid w:val="009D499D"/>
    <w:rsid w:val="009D5C03"/>
    <w:rsid w:val="009D6EF4"/>
    <w:rsid w:val="009D6F9C"/>
    <w:rsid w:val="009D72AA"/>
    <w:rsid w:val="009D7484"/>
    <w:rsid w:val="009E2AEA"/>
    <w:rsid w:val="009E3183"/>
    <w:rsid w:val="009E36E1"/>
    <w:rsid w:val="009E3783"/>
    <w:rsid w:val="009E3EA3"/>
    <w:rsid w:val="009E3ED4"/>
    <w:rsid w:val="009F0715"/>
    <w:rsid w:val="009F1615"/>
    <w:rsid w:val="009F45FE"/>
    <w:rsid w:val="009F5489"/>
    <w:rsid w:val="009F5B74"/>
    <w:rsid w:val="009F6717"/>
    <w:rsid w:val="00A01F6A"/>
    <w:rsid w:val="00A0321B"/>
    <w:rsid w:val="00A045CA"/>
    <w:rsid w:val="00A04DC3"/>
    <w:rsid w:val="00A0597B"/>
    <w:rsid w:val="00A05DAD"/>
    <w:rsid w:val="00A06FB4"/>
    <w:rsid w:val="00A0745A"/>
    <w:rsid w:val="00A14878"/>
    <w:rsid w:val="00A166DD"/>
    <w:rsid w:val="00A1707B"/>
    <w:rsid w:val="00A1739A"/>
    <w:rsid w:val="00A17694"/>
    <w:rsid w:val="00A17F2C"/>
    <w:rsid w:val="00A232B9"/>
    <w:rsid w:val="00A327DD"/>
    <w:rsid w:val="00A33893"/>
    <w:rsid w:val="00A34C9A"/>
    <w:rsid w:val="00A34D89"/>
    <w:rsid w:val="00A41364"/>
    <w:rsid w:val="00A41F72"/>
    <w:rsid w:val="00A42C74"/>
    <w:rsid w:val="00A44708"/>
    <w:rsid w:val="00A44A25"/>
    <w:rsid w:val="00A54891"/>
    <w:rsid w:val="00A54CA1"/>
    <w:rsid w:val="00A56516"/>
    <w:rsid w:val="00A62031"/>
    <w:rsid w:val="00A65D80"/>
    <w:rsid w:val="00A672A7"/>
    <w:rsid w:val="00A714DD"/>
    <w:rsid w:val="00A73044"/>
    <w:rsid w:val="00A7379C"/>
    <w:rsid w:val="00A73CF1"/>
    <w:rsid w:val="00A75C9A"/>
    <w:rsid w:val="00A76AC8"/>
    <w:rsid w:val="00A835D4"/>
    <w:rsid w:val="00A853D1"/>
    <w:rsid w:val="00A85AA3"/>
    <w:rsid w:val="00A86302"/>
    <w:rsid w:val="00A90EE0"/>
    <w:rsid w:val="00A9123D"/>
    <w:rsid w:val="00A918D2"/>
    <w:rsid w:val="00A91DC0"/>
    <w:rsid w:val="00A91EEC"/>
    <w:rsid w:val="00A923D8"/>
    <w:rsid w:val="00A92534"/>
    <w:rsid w:val="00A927C4"/>
    <w:rsid w:val="00A92BCA"/>
    <w:rsid w:val="00A93B9E"/>
    <w:rsid w:val="00AA0F9E"/>
    <w:rsid w:val="00AA2734"/>
    <w:rsid w:val="00AA3015"/>
    <w:rsid w:val="00AA3E46"/>
    <w:rsid w:val="00AA401A"/>
    <w:rsid w:val="00AA4399"/>
    <w:rsid w:val="00AA4D97"/>
    <w:rsid w:val="00AA59AF"/>
    <w:rsid w:val="00AB04F6"/>
    <w:rsid w:val="00AB05D5"/>
    <w:rsid w:val="00AB0E8F"/>
    <w:rsid w:val="00AB2611"/>
    <w:rsid w:val="00AB35DC"/>
    <w:rsid w:val="00AB419D"/>
    <w:rsid w:val="00AB52D0"/>
    <w:rsid w:val="00AC046B"/>
    <w:rsid w:val="00AC1E16"/>
    <w:rsid w:val="00AC1EDB"/>
    <w:rsid w:val="00AC2E11"/>
    <w:rsid w:val="00AC3A0C"/>
    <w:rsid w:val="00AC3EEC"/>
    <w:rsid w:val="00AC50EE"/>
    <w:rsid w:val="00AC54F8"/>
    <w:rsid w:val="00AC57A5"/>
    <w:rsid w:val="00AC5D4C"/>
    <w:rsid w:val="00AC681D"/>
    <w:rsid w:val="00AC6FF1"/>
    <w:rsid w:val="00AD0F67"/>
    <w:rsid w:val="00AD1A30"/>
    <w:rsid w:val="00AD3565"/>
    <w:rsid w:val="00AD700A"/>
    <w:rsid w:val="00AD7E8E"/>
    <w:rsid w:val="00AE0F81"/>
    <w:rsid w:val="00AE136A"/>
    <w:rsid w:val="00AE330D"/>
    <w:rsid w:val="00AE7239"/>
    <w:rsid w:val="00AF134A"/>
    <w:rsid w:val="00AF3563"/>
    <w:rsid w:val="00AF3BCE"/>
    <w:rsid w:val="00AF421C"/>
    <w:rsid w:val="00AF5C05"/>
    <w:rsid w:val="00AF7622"/>
    <w:rsid w:val="00B00238"/>
    <w:rsid w:val="00B019A9"/>
    <w:rsid w:val="00B03218"/>
    <w:rsid w:val="00B03273"/>
    <w:rsid w:val="00B039EC"/>
    <w:rsid w:val="00B07EFF"/>
    <w:rsid w:val="00B10984"/>
    <w:rsid w:val="00B110B5"/>
    <w:rsid w:val="00B11FF9"/>
    <w:rsid w:val="00B14C3A"/>
    <w:rsid w:val="00B167A2"/>
    <w:rsid w:val="00B174E3"/>
    <w:rsid w:val="00B24599"/>
    <w:rsid w:val="00B2772E"/>
    <w:rsid w:val="00B27A5B"/>
    <w:rsid w:val="00B316E7"/>
    <w:rsid w:val="00B32A4E"/>
    <w:rsid w:val="00B3398C"/>
    <w:rsid w:val="00B3435C"/>
    <w:rsid w:val="00B34BDE"/>
    <w:rsid w:val="00B34EF9"/>
    <w:rsid w:val="00B3578F"/>
    <w:rsid w:val="00B35DAD"/>
    <w:rsid w:val="00B36D34"/>
    <w:rsid w:val="00B36EB3"/>
    <w:rsid w:val="00B41A5A"/>
    <w:rsid w:val="00B41AE8"/>
    <w:rsid w:val="00B445D0"/>
    <w:rsid w:val="00B45C4D"/>
    <w:rsid w:val="00B51C33"/>
    <w:rsid w:val="00B53FF2"/>
    <w:rsid w:val="00B54620"/>
    <w:rsid w:val="00B5466C"/>
    <w:rsid w:val="00B55CDD"/>
    <w:rsid w:val="00B56E4F"/>
    <w:rsid w:val="00B63345"/>
    <w:rsid w:val="00B63A7A"/>
    <w:rsid w:val="00B652B0"/>
    <w:rsid w:val="00B6762E"/>
    <w:rsid w:val="00B70D13"/>
    <w:rsid w:val="00B7119B"/>
    <w:rsid w:val="00B71CF1"/>
    <w:rsid w:val="00B72847"/>
    <w:rsid w:val="00B73A3D"/>
    <w:rsid w:val="00B74168"/>
    <w:rsid w:val="00B746F1"/>
    <w:rsid w:val="00B748AE"/>
    <w:rsid w:val="00B75D53"/>
    <w:rsid w:val="00B75DB2"/>
    <w:rsid w:val="00B7681E"/>
    <w:rsid w:val="00B81EB1"/>
    <w:rsid w:val="00B832A3"/>
    <w:rsid w:val="00B83AFF"/>
    <w:rsid w:val="00B84886"/>
    <w:rsid w:val="00B84958"/>
    <w:rsid w:val="00B84D4F"/>
    <w:rsid w:val="00B85F0D"/>
    <w:rsid w:val="00B86A9F"/>
    <w:rsid w:val="00B910E8"/>
    <w:rsid w:val="00B93137"/>
    <w:rsid w:val="00B9328C"/>
    <w:rsid w:val="00B94CD8"/>
    <w:rsid w:val="00B9595D"/>
    <w:rsid w:val="00B96F16"/>
    <w:rsid w:val="00B97A54"/>
    <w:rsid w:val="00BA0974"/>
    <w:rsid w:val="00BA3D73"/>
    <w:rsid w:val="00BA58AC"/>
    <w:rsid w:val="00BA5D5A"/>
    <w:rsid w:val="00BA67DC"/>
    <w:rsid w:val="00BA69CB"/>
    <w:rsid w:val="00BA7C49"/>
    <w:rsid w:val="00BB00BA"/>
    <w:rsid w:val="00BB112B"/>
    <w:rsid w:val="00BB14DD"/>
    <w:rsid w:val="00BB1B81"/>
    <w:rsid w:val="00BB1CDA"/>
    <w:rsid w:val="00BB25B1"/>
    <w:rsid w:val="00BB2CD8"/>
    <w:rsid w:val="00BB4114"/>
    <w:rsid w:val="00BB49CB"/>
    <w:rsid w:val="00BB5D4D"/>
    <w:rsid w:val="00BB6375"/>
    <w:rsid w:val="00BC09D8"/>
    <w:rsid w:val="00BC459E"/>
    <w:rsid w:val="00BC4AAE"/>
    <w:rsid w:val="00BC5DCD"/>
    <w:rsid w:val="00BC626B"/>
    <w:rsid w:val="00BC7397"/>
    <w:rsid w:val="00BD0628"/>
    <w:rsid w:val="00BD304A"/>
    <w:rsid w:val="00BD7FD9"/>
    <w:rsid w:val="00BE1022"/>
    <w:rsid w:val="00BE283F"/>
    <w:rsid w:val="00BE2ECA"/>
    <w:rsid w:val="00BE2EFA"/>
    <w:rsid w:val="00BE3768"/>
    <w:rsid w:val="00BE5947"/>
    <w:rsid w:val="00BE597C"/>
    <w:rsid w:val="00BE6870"/>
    <w:rsid w:val="00BE71FD"/>
    <w:rsid w:val="00BE7B19"/>
    <w:rsid w:val="00BF23A6"/>
    <w:rsid w:val="00BF3B3D"/>
    <w:rsid w:val="00BF564D"/>
    <w:rsid w:val="00BF591D"/>
    <w:rsid w:val="00BF5A87"/>
    <w:rsid w:val="00BF6341"/>
    <w:rsid w:val="00BF65F3"/>
    <w:rsid w:val="00C0045E"/>
    <w:rsid w:val="00C00FC7"/>
    <w:rsid w:val="00C00FD8"/>
    <w:rsid w:val="00C05E84"/>
    <w:rsid w:val="00C073E4"/>
    <w:rsid w:val="00C07C34"/>
    <w:rsid w:val="00C13962"/>
    <w:rsid w:val="00C154E6"/>
    <w:rsid w:val="00C158B5"/>
    <w:rsid w:val="00C16A92"/>
    <w:rsid w:val="00C16E23"/>
    <w:rsid w:val="00C2082B"/>
    <w:rsid w:val="00C20DBA"/>
    <w:rsid w:val="00C21605"/>
    <w:rsid w:val="00C2670D"/>
    <w:rsid w:val="00C27213"/>
    <w:rsid w:val="00C30ED2"/>
    <w:rsid w:val="00C32EFA"/>
    <w:rsid w:val="00C33771"/>
    <w:rsid w:val="00C3394C"/>
    <w:rsid w:val="00C3411B"/>
    <w:rsid w:val="00C34230"/>
    <w:rsid w:val="00C3661B"/>
    <w:rsid w:val="00C42112"/>
    <w:rsid w:val="00C435EB"/>
    <w:rsid w:val="00C44B76"/>
    <w:rsid w:val="00C44D13"/>
    <w:rsid w:val="00C45768"/>
    <w:rsid w:val="00C4692B"/>
    <w:rsid w:val="00C46A0C"/>
    <w:rsid w:val="00C473F7"/>
    <w:rsid w:val="00C501E5"/>
    <w:rsid w:val="00C5100A"/>
    <w:rsid w:val="00C51884"/>
    <w:rsid w:val="00C549BC"/>
    <w:rsid w:val="00C56251"/>
    <w:rsid w:val="00C5667B"/>
    <w:rsid w:val="00C56A65"/>
    <w:rsid w:val="00C56FE0"/>
    <w:rsid w:val="00C6072B"/>
    <w:rsid w:val="00C6094D"/>
    <w:rsid w:val="00C61B33"/>
    <w:rsid w:val="00C62733"/>
    <w:rsid w:val="00C62FDC"/>
    <w:rsid w:val="00C67460"/>
    <w:rsid w:val="00C724F5"/>
    <w:rsid w:val="00C73066"/>
    <w:rsid w:val="00C73399"/>
    <w:rsid w:val="00C743D2"/>
    <w:rsid w:val="00C77A1F"/>
    <w:rsid w:val="00C80647"/>
    <w:rsid w:val="00C80836"/>
    <w:rsid w:val="00C8277B"/>
    <w:rsid w:val="00C83772"/>
    <w:rsid w:val="00C84DDE"/>
    <w:rsid w:val="00C85162"/>
    <w:rsid w:val="00C870F0"/>
    <w:rsid w:val="00C874E5"/>
    <w:rsid w:val="00C87864"/>
    <w:rsid w:val="00C90EAC"/>
    <w:rsid w:val="00C917FD"/>
    <w:rsid w:val="00C93D01"/>
    <w:rsid w:val="00C958FA"/>
    <w:rsid w:val="00C96958"/>
    <w:rsid w:val="00C96A6B"/>
    <w:rsid w:val="00CA1F34"/>
    <w:rsid w:val="00CA62C0"/>
    <w:rsid w:val="00CA73CB"/>
    <w:rsid w:val="00CA7980"/>
    <w:rsid w:val="00CA79BB"/>
    <w:rsid w:val="00CB4161"/>
    <w:rsid w:val="00CB43A2"/>
    <w:rsid w:val="00CB6DE1"/>
    <w:rsid w:val="00CB759F"/>
    <w:rsid w:val="00CB7730"/>
    <w:rsid w:val="00CC12A0"/>
    <w:rsid w:val="00CC26A8"/>
    <w:rsid w:val="00CC2D16"/>
    <w:rsid w:val="00CC3E30"/>
    <w:rsid w:val="00CC4CED"/>
    <w:rsid w:val="00CC6EBB"/>
    <w:rsid w:val="00CD3416"/>
    <w:rsid w:val="00CD4A21"/>
    <w:rsid w:val="00CE1A40"/>
    <w:rsid w:val="00CE3A6F"/>
    <w:rsid w:val="00CE63F9"/>
    <w:rsid w:val="00CF0A31"/>
    <w:rsid w:val="00CF1E87"/>
    <w:rsid w:val="00CF240F"/>
    <w:rsid w:val="00CF34FA"/>
    <w:rsid w:val="00CF4B5F"/>
    <w:rsid w:val="00CF4FAD"/>
    <w:rsid w:val="00CF5C15"/>
    <w:rsid w:val="00CF6201"/>
    <w:rsid w:val="00CF6B2F"/>
    <w:rsid w:val="00CF7E43"/>
    <w:rsid w:val="00D05CAA"/>
    <w:rsid w:val="00D06129"/>
    <w:rsid w:val="00D114E6"/>
    <w:rsid w:val="00D1198D"/>
    <w:rsid w:val="00D14302"/>
    <w:rsid w:val="00D15F17"/>
    <w:rsid w:val="00D161BE"/>
    <w:rsid w:val="00D162D9"/>
    <w:rsid w:val="00D259FD"/>
    <w:rsid w:val="00D273FE"/>
    <w:rsid w:val="00D30F03"/>
    <w:rsid w:val="00D33180"/>
    <w:rsid w:val="00D34E5E"/>
    <w:rsid w:val="00D35495"/>
    <w:rsid w:val="00D4044B"/>
    <w:rsid w:val="00D4046C"/>
    <w:rsid w:val="00D41D2D"/>
    <w:rsid w:val="00D42638"/>
    <w:rsid w:val="00D44316"/>
    <w:rsid w:val="00D448E6"/>
    <w:rsid w:val="00D44EB2"/>
    <w:rsid w:val="00D4743F"/>
    <w:rsid w:val="00D5065B"/>
    <w:rsid w:val="00D51CBC"/>
    <w:rsid w:val="00D5274F"/>
    <w:rsid w:val="00D52B25"/>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71E2"/>
    <w:rsid w:val="00D67E0A"/>
    <w:rsid w:val="00D70862"/>
    <w:rsid w:val="00D7566A"/>
    <w:rsid w:val="00D85008"/>
    <w:rsid w:val="00D869A8"/>
    <w:rsid w:val="00D87426"/>
    <w:rsid w:val="00D8754D"/>
    <w:rsid w:val="00D909CB"/>
    <w:rsid w:val="00D92717"/>
    <w:rsid w:val="00D9347A"/>
    <w:rsid w:val="00D93E05"/>
    <w:rsid w:val="00D9515D"/>
    <w:rsid w:val="00DA1252"/>
    <w:rsid w:val="00DA3A08"/>
    <w:rsid w:val="00DA4715"/>
    <w:rsid w:val="00DA62DF"/>
    <w:rsid w:val="00DA7439"/>
    <w:rsid w:val="00DB0DA9"/>
    <w:rsid w:val="00DB108A"/>
    <w:rsid w:val="00DC1776"/>
    <w:rsid w:val="00DC33A5"/>
    <w:rsid w:val="00DC4340"/>
    <w:rsid w:val="00DC6F5E"/>
    <w:rsid w:val="00DC7898"/>
    <w:rsid w:val="00DD19F8"/>
    <w:rsid w:val="00DD1C70"/>
    <w:rsid w:val="00DD3239"/>
    <w:rsid w:val="00DE07E4"/>
    <w:rsid w:val="00DE0877"/>
    <w:rsid w:val="00DE0FF8"/>
    <w:rsid w:val="00DE3EBF"/>
    <w:rsid w:val="00DE6D39"/>
    <w:rsid w:val="00DE7345"/>
    <w:rsid w:val="00DF51CA"/>
    <w:rsid w:val="00DF5581"/>
    <w:rsid w:val="00DF7501"/>
    <w:rsid w:val="00DF7622"/>
    <w:rsid w:val="00DF7936"/>
    <w:rsid w:val="00E0156C"/>
    <w:rsid w:val="00E04B6F"/>
    <w:rsid w:val="00E13833"/>
    <w:rsid w:val="00E17001"/>
    <w:rsid w:val="00E17406"/>
    <w:rsid w:val="00E20AE5"/>
    <w:rsid w:val="00E20F00"/>
    <w:rsid w:val="00E21297"/>
    <w:rsid w:val="00E23A38"/>
    <w:rsid w:val="00E23B6B"/>
    <w:rsid w:val="00E265A0"/>
    <w:rsid w:val="00E266DE"/>
    <w:rsid w:val="00E311F5"/>
    <w:rsid w:val="00E31262"/>
    <w:rsid w:val="00E34BF8"/>
    <w:rsid w:val="00E35B1E"/>
    <w:rsid w:val="00E40C5A"/>
    <w:rsid w:val="00E4250F"/>
    <w:rsid w:val="00E44A7E"/>
    <w:rsid w:val="00E46A7E"/>
    <w:rsid w:val="00E46CE8"/>
    <w:rsid w:val="00E51559"/>
    <w:rsid w:val="00E548DB"/>
    <w:rsid w:val="00E552BD"/>
    <w:rsid w:val="00E55649"/>
    <w:rsid w:val="00E56A50"/>
    <w:rsid w:val="00E5798A"/>
    <w:rsid w:val="00E57A3E"/>
    <w:rsid w:val="00E605A2"/>
    <w:rsid w:val="00E628D9"/>
    <w:rsid w:val="00E63ADA"/>
    <w:rsid w:val="00E640E0"/>
    <w:rsid w:val="00E645F6"/>
    <w:rsid w:val="00E64C5F"/>
    <w:rsid w:val="00E664F4"/>
    <w:rsid w:val="00E70355"/>
    <w:rsid w:val="00E72037"/>
    <w:rsid w:val="00E72855"/>
    <w:rsid w:val="00E73636"/>
    <w:rsid w:val="00E7377F"/>
    <w:rsid w:val="00E738C6"/>
    <w:rsid w:val="00E74710"/>
    <w:rsid w:val="00E74C1D"/>
    <w:rsid w:val="00E80439"/>
    <w:rsid w:val="00E81B2F"/>
    <w:rsid w:val="00E844ED"/>
    <w:rsid w:val="00E84B69"/>
    <w:rsid w:val="00E85810"/>
    <w:rsid w:val="00E85B0A"/>
    <w:rsid w:val="00E85F9D"/>
    <w:rsid w:val="00E90558"/>
    <w:rsid w:val="00E909CD"/>
    <w:rsid w:val="00E92248"/>
    <w:rsid w:val="00E92BD1"/>
    <w:rsid w:val="00E935A1"/>
    <w:rsid w:val="00E93FB6"/>
    <w:rsid w:val="00E94FAA"/>
    <w:rsid w:val="00E95832"/>
    <w:rsid w:val="00EA1715"/>
    <w:rsid w:val="00EA31FD"/>
    <w:rsid w:val="00EA4349"/>
    <w:rsid w:val="00EA4EE4"/>
    <w:rsid w:val="00EA5A32"/>
    <w:rsid w:val="00EB2F51"/>
    <w:rsid w:val="00EB3BF0"/>
    <w:rsid w:val="00EB601D"/>
    <w:rsid w:val="00EB6CCD"/>
    <w:rsid w:val="00EC0273"/>
    <w:rsid w:val="00EC25BA"/>
    <w:rsid w:val="00EC35E3"/>
    <w:rsid w:val="00EC362E"/>
    <w:rsid w:val="00ED0AD5"/>
    <w:rsid w:val="00ED1DE2"/>
    <w:rsid w:val="00ED1F31"/>
    <w:rsid w:val="00ED3630"/>
    <w:rsid w:val="00ED42ED"/>
    <w:rsid w:val="00ED7140"/>
    <w:rsid w:val="00ED77E5"/>
    <w:rsid w:val="00ED78F5"/>
    <w:rsid w:val="00ED7BC8"/>
    <w:rsid w:val="00EE026E"/>
    <w:rsid w:val="00EE3C59"/>
    <w:rsid w:val="00EE5B70"/>
    <w:rsid w:val="00EE66B6"/>
    <w:rsid w:val="00EE7B48"/>
    <w:rsid w:val="00EF0AFA"/>
    <w:rsid w:val="00EF38E5"/>
    <w:rsid w:val="00EF5C33"/>
    <w:rsid w:val="00EF629C"/>
    <w:rsid w:val="00EF6AB8"/>
    <w:rsid w:val="00EF7C6E"/>
    <w:rsid w:val="00F012F4"/>
    <w:rsid w:val="00F015EA"/>
    <w:rsid w:val="00F015FF"/>
    <w:rsid w:val="00F01632"/>
    <w:rsid w:val="00F0546E"/>
    <w:rsid w:val="00F0625D"/>
    <w:rsid w:val="00F0672D"/>
    <w:rsid w:val="00F072E1"/>
    <w:rsid w:val="00F11185"/>
    <w:rsid w:val="00F11DDA"/>
    <w:rsid w:val="00F12E98"/>
    <w:rsid w:val="00F14DDA"/>
    <w:rsid w:val="00F15284"/>
    <w:rsid w:val="00F169CB"/>
    <w:rsid w:val="00F207AB"/>
    <w:rsid w:val="00F2161A"/>
    <w:rsid w:val="00F21724"/>
    <w:rsid w:val="00F2198A"/>
    <w:rsid w:val="00F21A81"/>
    <w:rsid w:val="00F21CC1"/>
    <w:rsid w:val="00F22C58"/>
    <w:rsid w:val="00F22D61"/>
    <w:rsid w:val="00F2324D"/>
    <w:rsid w:val="00F2428F"/>
    <w:rsid w:val="00F25075"/>
    <w:rsid w:val="00F27444"/>
    <w:rsid w:val="00F30BC8"/>
    <w:rsid w:val="00F317CA"/>
    <w:rsid w:val="00F319F3"/>
    <w:rsid w:val="00F31BFB"/>
    <w:rsid w:val="00F323E7"/>
    <w:rsid w:val="00F324D2"/>
    <w:rsid w:val="00F32A56"/>
    <w:rsid w:val="00F335E4"/>
    <w:rsid w:val="00F33DA2"/>
    <w:rsid w:val="00F35361"/>
    <w:rsid w:val="00F35509"/>
    <w:rsid w:val="00F358C3"/>
    <w:rsid w:val="00F3781E"/>
    <w:rsid w:val="00F413D8"/>
    <w:rsid w:val="00F42100"/>
    <w:rsid w:val="00F42A9B"/>
    <w:rsid w:val="00F45470"/>
    <w:rsid w:val="00F464FE"/>
    <w:rsid w:val="00F465F9"/>
    <w:rsid w:val="00F47621"/>
    <w:rsid w:val="00F52CF2"/>
    <w:rsid w:val="00F56699"/>
    <w:rsid w:val="00F570AB"/>
    <w:rsid w:val="00F57A71"/>
    <w:rsid w:val="00F60A1A"/>
    <w:rsid w:val="00F61C28"/>
    <w:rsid w:val="00F61E69"/>
    <w:rsid w:val="00F633B7"/>
    <w:rsid w:val="00F645F1"/>
    <w:rsid w:val="00F6591A"/>
    <w:rsid w:val="00F65C51"/>
    <w:rsid w:val="00F70D35"/>
    <w:rsid w:val="00F71BF0"/>
    <w:rsid w:val="00F7546C"/>
    <w:rsid w:val="00F76EC7"/>
    <w:rsid w:val="00F77B00"/>
    <w:rsid w:val="00F80C9D"/>
    <w:rsid w:val="00F83B6F"/>
    <w:rsid w:val="00F84470"/>
    <w:rsid w:val="00F857BC"/>
    <w:rsid w:val="00F90273"/>
    <w:rsid w:val="00F90BD0"/>
    <w:rsid w:val="00F92F25"/>
    <w:rsid w:val="00F93ACB"/>
    <w:rsid w:val="00F93C4F"/>
    <w:rsid w:val="00F95994"/>
    <w:rsid w:val="00F973ED"/>
    <w:rsid w:val="00FA03C0"/>
    <w:rsid w:val="00FA49C5"/>
    <w:rsid w:val="00FA5BD2"/>
    <w:rsid w:val="00FA6175"/>
    <w:rsid w:val="00FA6784"/>
    <w:rsid w:val="00FA7E00"/>
    <w:rsid w:val="00FB1780"/>
    <w:rsid w:val="00FB35C6"/>
    <w:rsid w:val="00FB4C5A"/>
    <w:rsid w:val="00FB56A1"/>
    <w:rsid w:val="00FB5BFA"/>
    <w:rsid w:val="00FB6F79"/>
    <w:rsid w:val="00FC10F6"/>
    <w:rsid w:val="00FC4892"/>
    <w:rsid w:val="00FC61D1"/>
    <w:rsid w:val="00FC7C25"/>
    <w:rsid w:val="00FD0C2F"/>
    <w:rsid w:val="00FD1C2E"/>
    <w:rsid w:val="00FD3574"/>
    <w:rsid w:val="00FD602D"/>
    <w:rsid w:val="00FD60D2"/>
    <w:rsid w:val="00FD6A7D"/>
    <w:rsid w:val="00FD6FC9"/>
    <w:rsid w:val="00FE02C2"/>
    <w:rsid w:val="00FE2D34"/>
    <w:rsid w:val="00FE3222"/>
    <w:rsid w:val="00FF1262"/>
    <w:rsid w:val="00FF26F6"/>
    <w:rsid w:val="00FF35E2"/>
    <w:rsid w:val="00FF3F34"/>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335873"/>
    <o:shapelayout v:ext="edit">
      <o:idmap v:ext="edit" data="1"/>
    </o:shapelayout>
  </w:shapeDefaults>
  <w:decimalSymbol w:val="."/>
  <w:listSeparator w:val=","/>
  <w14:docId w14:val="2412D11F"/>
  <w15:docId w15:val="{B25E55DB-B4B7-4C3B-8E84-A7741C3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122"/>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paragraph">
    <w:name w:val="paragraph"/>
    <w:basedOn w:val="Normal"/>
    <w:rsid w:val="003D08EF"/>
    <w:pPr>
      <w:spacing w:before="100" w:beforeAutospacing="1" w:after="100" w:afterAutospacing="1"/>
    </w:pPr>
    <w:rPr>
      <w:szCs w:val="24"/>
    </w:rPr>
  </w:style>
  <w:style w:type="paragraph" w:customStyle="1" w:styleId="paragraphsub">
    <w:name w:val="paragraphsub"/>
    <w:basedOn w:val="Normal"/>
    <w:rsid w:val="003D08EF"/>
    <w:pPr>
      <w:spacing w:before="100" w:beforeAutospacing="1" w:after="100" w:afterAutospacing="1"/>
    </w:pPr>
    <w:rPr>
      <w:szCs w:val="24"/>
    </w:rPr>
  </w:style>
  <w:style w:type="paragraph" w:customStyle="1" w:styleId="rc">
    <w:name w:val="rc"/>
    <w:basedOn w:val="Normal"/>
    <w:rsid w:val="002E65CD"/>
    <w:pPr>
      <w:spacing w:before="100" w:beforeAutospacing="1" w:after="100" w:afterAutospacing="1"/>
    </w:pPr>
    <w:rPr>
      <w:szCs w:val="24"/>
      <w:lang w:val="en-US" w:eastAsia="en-US"/>
    </w:rPr>
  </w:style>
  <w:style w:type="paragraph" w:customStyle="1" w:styleId="R10">
    <w:name w:val="R1"/>
    <w:aliases w:val="1. or 1.(1)"/>
    <w:basedOn w:val="Normal"/>
    <w:next w:val="Normal"/>
    <w:rsid w:val="00FF3F34"/>
    <w:pPr>
      <w:keepLines/>
      <w:tabs>
        <w:tab w:val="right" w:pos="794"/>
      </w:tabs>
      <w:spacing w:before="120" w:line="260" w:lineRule="exact"/>
      <w:ind w:left="964" w:hanging="964"/>
      <w:jc w:val="both"/>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70">
      <w:bodyDiv w:val="1"/>
      <w:marLeft w:val="0"/>
      <w:marRight w:val="0"/>
      <w:marTop w:val="0"/>
      <w:marBottom w:val="0"/>
      <w:divBdr>
        <w:top w:val="none" w:sz="0" w:space="0" w:color="auto"/>
        <w:left w:val="none" w:sz="0" w:space="0" w:color="auto"/>
        <w:bottom w:val="none" w:sz="0" w:space="0" w:color="auto"/>
        <w:right w:val="none" w:sz="0" w:space="0" w:color="auto"/>
      </w:divBdr>
    </w:div>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254755373">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2124329">
      <w:bodyDiv w:val="1"/>
      <w:marLeft w:val="0"/>
      <w:marRight w:val="0"/>
      <w:marTop w:val="0"/>
      <w:marBottom w:val="0"/>
      <w:divBdr>
        <w:top w:val="none" w:sz="0" w:space="0" w:color="auto"/>
        <w:left w:val="none" w:sz="0" w:space="0" w:color="auto"/>
        <w:bottom w:val="none" w:sz="0" w:space="0" w:color="auto"/>
        <w:right w:val="none" w:sz="0" w:space="0" w:color="auto"/>
      </w:divBdr>
    </w:div>
    <w:div w:id="1003782128">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129740770">
      <w:bodyDiv w:val="1"/>
      <w:marLeft w:val="0"/>
      <w:marRight w:val="0"/>
      <w:marTop w:val="0"/>
      <w:marBottom w:val="0"/>
      <w:divBdr>
        <w:top w:val="none" w:sz="0" w:space="0" w:color="auto"/>
        <w:left w:val="none" w:sz="0" w:space="0" w:color="auto"/>
        <w:bottom w:val="none" w:sz="0" w:space="0" w:color="auto"/>
        <w:right w:val="none" w:sz="0" w:space="0" w:color="auto"/>
      </w:divBdr>
    </w:div>
    <w:div w:id="1289704003">
      <w:bodyDiv w:val="1"/>
      <w:marLeft w:val="0"/>
      <w:marRight w:val="0"/>
      <w:marTop w:val="0"/>
      <w:marBottom w:val="0"/>
      <w:divBdr>
        <w:top w:val="none" w:sz="0" w:space="0" w:color="auto"/>
        <w:left w:val="none" w:sz="0" w:space="0" w:color="auto"/>
        <w:bottom w:val="none" w:sz="0" w:space="0" w:color="auto"/>
        <w:right w:val="none" w:sz="0" w:space="0" w:color="auto"/>
      </w:divBdr>
      <w:divsChild>
        <w:div w:id="481972505">
          <w:marLeft w:val="0"/>
          <w:marRight w:val="0"/>
          <w:marTop w:val="0"/>
          <w:marBottom w:val="0"/>
          <w:divBdr>
            <w:top w:val="none" w:sz="0" w:space="0" w:color="auto"/>
            <w:left w:val="none" w:sz="0" w:space="0" w:color="auto"/>
            <w:bottom w:val="none" w:sz="0" w:space="0" w:color="auto"/>
            <w:right w:val="none" w:sz="0" w:space="0" w:color="auto"/>
          </w:divBdr>
          <w:divsChild>
            <w:div w:id="531118094">
              <w:marLeft w:val="0"/>
              <w:marRight w:val="0"/>
              <w:marTop w:val="0"/>
              <w:marBottom w:val="0"/>
              <w:divBdr>
                <w:top w:val="none" w:sz="0" w:space="0" w:color="auto"/>
                <w:left w:val="none" w:sz="0" w:space="0" w:color="auto"/>
                <w:bottom w:val="none" w:sz="0" w:space="0" w:color="auto"/>
                <w:right w:val="none" w:sz="0" w:space="0" w:color="auto"/>
              </w:divBdr>
              <w:divsChild>
                <w:div w:id="1990481086">
                  <w:marLeft w:val="0"/>
                  <w:marRight w:val="0"/>
                  <w:marTop w:val="0"/>
                  <w:marBottom w:val="0"/>
                  <w:divBdr>
                    <w:top w:val="none" w:sz="0" w:space="0" w:color="auto"/>
                    <w:left w:val="none" w:sz="0" w:space="0" w:color="auto"/>
                    <w:bottom w:val="none" w:sz="0" w:space="0" w:color="auto"/>
                    <w:right w:val="none" w:sz="0" w:space="0" w:color="auto"/>
                  </w:divBdr>
                  <w:divsChild>
                    <w:div w:id="967660076">
                      <w:marLeft w:val="0"/>
                      <w:marRight w:val="0"/>
                      <w:marTop w:val="0"/>
                      <w:marBottom w:val="0"/>
                      <w:divBdr>
                        <w:top w:val="none" w:sz="0" w:space="0" w:color="auto"/>
                        <w:left w:val="none" w:sz="0" w:space="0" w:color="auto"/>
                        <w:bottom w:val="none" w:sz="0" w:space="0" w:color="auto"/>
                        <w:right w:val="none" w:sz="0" w:space="0" w:color="auto"/>
                      </w:divBdr>
                      <w:divsChild>
                        <w:div w:id="500970431">
                          <w:marLeft w:val="0"/>
                          <w:marRight w:val="0"/>
                          <w:marTop w:val="0"/>
                          <w:marBottom w:val="0"/>
                          <w:divBdr>
                            <w:top w:val="none" w:sz="0" w:space="0" w:color="auto"/>
                            <w:left w:val="none" w:sz="0" w:space="0" w:color="auto"/>
                            <w:bottom w:val="none" w:sz="0" w:space="0" w:color="auto"/>
                            <w:right w:val="none" w:sz="0" w:space="0" w:color="auto"/>
                          </w:divBdr>
                          <w:divsChild>
                            <w:div w:id="339967926">
                              <w:marLeft w:val="0"/>
                              <w:marRight w:val="0"/>
                              <w:marTop w:val="0"/>
                              <w:marBottom w:val="0"/>
                              <w:divBdr>
                                <w:top w:val="none" w:sz="0" w:space="0" w:color="auto"/>
                                <w:left w:val="none" w:sz="0" w:space="0" w:color="auto"/>
                                <w:bottom w:val="none" w:sz="0" w:space="0" w:color="auto"/>
                                <w:right w:val="none" w:sz="0" w:space="0" w:color="auto"/>
                              </w:divBdr>
                              <w:divsChild>
                                <w:div w:id="1759523464">
                                  <w:marLeft w:val="0"/>
                                  <w:marRight w:val="0"/>
                                  <w:marTop w:val="0"/>
                                  <w:marBottom w:val="0"/>
                                  <w:divBdr>
                                    <w:top w:val="none" w:sz="0" w:space="0" w:color="auto"/>
                                    <w:left w:val="none" w:sz="0" w:space="0" w:color="auto"/>
                                    <w:bottom w:val="none" w:sz="0" w:space="0" w:color="auto"/>
                                    <w:right w:val="none" w:sz="0" w:space="0" w:color="auto"/>
                                  </w:divBdr>
                                  <w:divsChild>
                                    <w:div w:id="1475566231">
                                      <w:marLeft w:val="0"/>
                                      <w:marRight w:val="0"/>
                                      <w:marTop w:val="0"/>
                                      <w:marBottom w:val="0"/>
                                      <w:divBdr>
                                        <w:top w:val="none" w:sz="0" w:space="0" w:color="auto"/>
                                        <w:left w:val="none" w:sz="0" w:space="0" w:color="auto"/>
                                        <w:bottom w:val="none" w:sz="0" w:space="0" w:color="auto"/>
                                        <w:right w:val="none" w:sz="0" w:space="0" w:color="auto"/>
                                      </w:divBdr>
                                      <w:divsChild>
                                        <w:div w:id="663319352">
                                          <w:marLeft w:val="0"/>
                                          <w:marRight w:val="0"/>
                                          <w:marTop w:val="0"/>
                                          <w:marBottom w:val="0"/>
                                          <w:divBdr>
                                            <w:top w:val="none" w:sz="0" w:space="0" w:color="auto"/>
                                            <w:left w:val="none" w:sz="0" w:space="0" w:color="auto"/>
                                            <w:bottom w:val="none" w:sz="0" w:space="0" w:color="auto"/>
                                            <w:right w:val="none" w:sz="0" w:space="0" w:color="auto"/>
                                          </w:divBdr>
                                          <w:divsChild>
                                            <w:div w:id="721683430">
                                              <w:marLeft w:val="0"/>
                                              <w:marRight w:val="0"/>
                                              <w:marTop w:val="0"/>
                                              <w:marBottom w:val="0"/>
                                              <w:divBdr>
                                                <w:top w:val="none" w:sz="0" w:space="0" w:color="auto"/>
                                                <w:left w:val="none" w:sz="0" w:space="0" w:color="auto"/>
                                                <w:bottom w:val="none" w:sz="0" w:space="0" w:color="auto"/>
                                                <w:right w:val="none" w:sz="0" w:space="0" w:color="auto"/>
                                              </w:divBdr>
                                              <w:divsChild>
                                                <w:div w:id="824509691">
                                                  <w:marLeft w:val="0"/>
                                                  <w:marRight w:val="0"/>
                                                  <w:marTop w:val="0"/>
                                                  <w:marBottom w:val="0"/>
                                                  <w:divBdr>
                                                    <w:top w:val="none" w:sz="0" w:space="0" w:color="auto"/>
                                                    <w:left w:val="none" w:sz="0" w:space="0" w:color="auto"/>
                                                    <w:bottom w:val="none" w:sz="0" w:space="0" w:color="auto"/>
                                                    <w:right w:val="none" w:sz="0" w:space="0" w:color="auto"/>
                                                  </w:divBdr>
                                                  <w:divsChild>
                                                    <w:div w:id="910384079">
                                                      <w:marLeft w:val="0"/>
                                                      <w:marRight w:val="0"/>
                                                      <w:marTop w:val="0"/>
                                                      <w:marBottom w:val="0"/>
                                                      <w:divBdr>
                                                        <w:top w:val="none" w:sz="0" w:space="0" w:color="auto"/>
                                                        <w:left w:val="none" w:sz="0" w:space="0" w:color="auto"/>
                                                        <w:bottom w:val="none" w:sz="0" w:space="0" w:color="auto"/>
                                                        <w:right w:val="none" w:sz="0" w:space="0" w:color="auto"/>
                                                      </w:divBdr>
                                                      <w:divsChild>
                                                        <w:div w:id="2927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799378890">
      <w:bodyDiv w:val="1"/>
      <w:marLeft w:val="0"/>
      <w:marRight w:val="0"/>
      <w:marTop w:val="0"/>
      <w:marBottom w:val="0"/>
      <w:divBdr>
        <w:top w:val="none" w:sz="0" w:space="0" w:color="auto"/>
        <w:left w:val="none" w:sz="0" w:space="0" w:color="auto"/>
        <w:bottom w:val="none" w:sz="0" w:space="0" w:color="auto"/>
        <w:right w:val="none" w:sz="0" w:space="0" w:color="auto"/>
      </w:divBdr>
    </w:div>
    <w:div w:id="1943104139">
      <w:bodyDiv w:val="1"/>
      <w:marLeft w:val="0"/>
      <w:marRight w:val="0"/>
      <w:marTop w:val="0"/>
      <w:marBottom w:val="0"/>
      <w:divBdr>
        <w:top w:val="none" w:sz="0" w:space="0" w:color="auto"/>
        <w:left w:val="none" w:sz="0" w:space="0" w:color="auto"/>
        <w:bottom w:val="none" w:sz="0" w:space="0" w:color="auto"/>
        <w:right w:val="none" w:sz="0" w:space="0" w:color="auto"/>
      </w:divBdr>
      <w:divsChild>
        <w:div w:id="1092504414">
          <w:marLeft w:val="0"/>
          <w:marRight w:val="0"/>
          <w:marTop w:val="0"/>
          <w:marBottom w:val="0"/>
          <w:divBdr>
            <w:top w:val="none" w:sz="0" w:space="0" w:color="auto"/>
            <w:left w:val="none" w:sz="0" w:space="0" w:color="auto"/>
            <w:bottom w:val="none" w:sz="0" w:space="0" w:color="auto"/>
            <w:right w:val="none" w:sz="0" w:space="0" w:color="auto"/>
          </w:divBdr>
          <w:divsChild>
            <w:div w:id="680817620">
              <w:marLeft w:val="0"/>
              <w:marRight w:val="0"/>
              <w:marTop w:val="0"/>
              <w:marBottom w:val="0"/>
              <w:divBdr>
                <w:top w:val="none" w:sz="0" w:space="0" w:color="auto"/>
                <w:left w:val="none" w:sz="0" w:space="0" w:color="auto"/>
                <w:bottom w:val="none" w:sz="0" w:space="0" w:color="auto"/>
                <w:right w:val="none" w:sz="0" w:space="0" w:color="auto"/>
              </w:divBdr>
              <w:divsChild>
                <w:div w:id="27728285">
                  <w:marLeft w:val="0"/>
                  <w:marRight w:val="0"/>
                  <w:marTop w:val="0"/>
                  <w:marBottom w:val="0"/>
                  <w:divBdr>
                    <w:top w:val="none" w:sz="0" w:space="0" w:color="auto"/>
                    <w:left w:val="none" w:sz="0" w:space="0" w:color="auto"/>
                    <w:bottom w:val="none" w:sz="0" w:space="0" w:color="auto"/>
                    <w:right w:val="none" w:sz="0" w:space="0" w:color="auto"/>
                  </w:divBdr>
                  <w:divsChild>
                    <w:div w:id="1616910741">
                      <w:marLeft w:val="0"/>
                      <w:marRight w:val="0"/>
                      <w:marTop w:val="0"/>
                      <w:marBottom w:val="0"/>
                      <w:divBdr>
                        <w:top w:val="none" w:sz="0" w:space="0" w:color="auto"/>
                        <w:left w:val="none" w:sz="0" w:space="0" w:color="auto"/>
                        <w:bottom w:val="none" w:sz="0" w:space="0" w:color="auto"/>
                        <w:right w:val="none" w:sz="0" w:space="0" w:color="auto"/>
                      </w:divBdr>
                      <w:divsChild>
                        <w:div w:id="1992057375">
                          <w:marLeft w:val="0"/>
                          <w:marRight w:val="0"/>
                          <w:marTop w:val="0"/>
                          <w:marBottom w:val="0"/>
                          <w:divBdr>
                            <w:top w:val="none" w:sz="0" w:space="0" w:color="auto"/>
                            <w:left w:val="none" w:sz="0" w:space="0" w:color="auto"/>
                            <w:bottom w:val="none" w:sz="0" w:space="0" w:color="auto"/>
                            <w:right w:val="none" w:sz="0" w:space="0" w:color="auto"/>
                          </w:divBdr>
                          <w:divsChild>
                            <w:div w:id="1401558324">
                              <w:marLeft w:val="0"/>
                              <w:marRight w:val="0"/>
                              <w:marTop w:val="0"/>
                              <w:marBottom w:val="0"/>
                              <w:divBdr>
                                <w:top w:val="none" w:sz="0" w:space="0" w:color="auto"/>
                                <w:left w:val="none" w:sz="0" w:space="0" w:color="auto"/>
                                <w:bottom w:val="none" w:sz="0" w:space="0" w:color="auto"/>
                                <w:right w:val="none" w:sz="0" w:space="0" w:color="auto"/>
                              </w:divBdr>
                              <w:divsChild>
                                <w:div w:id="1280337522">
                                  <w:marLeft w:val="0"/>
                                  <w:marRight w:val="0"/>
                                  <w:marTop w:val="0"/>
                                  <w:marBottom w:val="0"/>
                                  <w:divBdr>
                                    <w:top w:val="none" w:sz="0" w:space="0" w:color="auto"/>
                                    <w:left w:val="none" w:sz="0" w:space="0" w:color="auto"/>
                                    <w:bottom w:val="none" w:sz="0" w:space="0" w:color="auto"/>
                                    <w:right w:val="none" w:sz="0" w:space="0" w:color="auto"/>
                                  </w:divBdr>
                                  <w:divsChild>
                                    <w:div w:id="70736300">
                                      <w:marLeft w:val="0"/>
                                      <w:marRight w:val="0"/>
                                      <w:marTop w:val="0"/>
                                      <w:marBottom w:val="0"/>
                                      <w:divBdr>
                                        <w:top w:val="none" w:sz="0" w:space="0" w:color="auto"/>
                                        <w:left w:val="none" w:sz="0" w:space="0" w:color="auto"/>
                                        <w:bottom w:val="none" w:sz="0" w:space="0" w:color="auto"/>
                                        <w:right w:val="none" w:sz="0" w:space="0" w:color="auto"/>
                                      </w:divBdr>
                                      <w:divsChild>
                                        <w:div w:id="1310398506">
                                          <w:marLeft w:val="0"/>
                                          <w:marRight w:val="0"/>
                                          <w:marTop w:val="0"/>
                                          <w:marBottom w:val="0"/>
                                          <w:divBdr>
                                            <w:top w:val="none" w:sz="0" w:space="0" w:color="auto"/>
                                            <w:left w:val="none" w:sz="0" w:space="0" w:color="auto"/>
                                            <w:bottom w:val="none" w:sz="0" w:space="0" w:color="auto"/>
                                            <w:right w:val="none" w:sz="0" w:space="0" w:color="auto"/>
                                          </w:divBdr>
                                          <w:divsChild>
                                            <w:div w:id="1021518419">
                                              <w:marLeft w:val="0"/>
                                              <w:marRight w:val="0"/>
                                              <w:marTop w:val="0"/>
                                              <w:marBottom w:val="0"/>
                                              <w:divBdr>
                                                <w:top w:val="none" w:sz="0" w:space="0" w:color="auto"/>
                                                <w:left w:val="none" w:sz="0" w:space="0" w:color="auto"/>
                                                <w:bottom w:val="none" w:sz="0" w:space="0" w:color="auto"/>
                                                <w:right w:val="none" w:sz="0" w:space="0" w:color="auto"/>
                                              </w:divBdr>
                                              <w:divsChild>
                                                <w:div w:id="793788659">
                                                  <w:marLeft w:val="0"/>
                                                  <w:marRight w:val="0"/>
                                                  <w:marTop w:val="0"/>
                                                  <w:marBottom w:val="0"/>
                                                  <w:divBdr>
                                                    <w:top w:val="none" w:sz="0" w:space="0" w:color="auto"/>
                                                    <w:left w:val="none" w:sz="0" w:space="0" w:color="auto"/>
                                                    <w:bottom w:val="none" w:sz="0" w:space="0" w:color="auto"/>
                                                    <w:right w:val="none" w:sz="0" w:space="0" w:color="auto"/>
                                                  </w:divBdr>
                                                  <w:divsChild>
                                                    <w:div w:id="282926573">
                                                      <w:marLeft w:val="0"/>
                                                      <w:marRight w:val="0"/>
                                                      <w:marTop w:val="0"/>
                                                      <w:marBottom w:val="0"/>
                                                      <w:divBdr>
                                                        <w:top w:val="none" w:sz="0" w:space="0" w:color="auto"/>
                                                        <w:left w:val="none" w:sz="0" w:space="0" w:color="auto"/>
                                                        <w:bottom w:val="none" w:sz="0" w:space="0" w:color="auto"/>
                                                        <w:right w:val="none" w:sz="0" w:space="0" w:color="auto"/>
                                                      </w:divBdr>
                                                      <w:divsChild>
                                                        <w:div w:id="9604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003207">
      <w:bodyDiv w:val="1"/>
      <w:marLeft w:val="0"/>
      <w:marRight w:val="0"/>
      <w:marTop w:val="0"/>
      <w:marBottom w:val="0"/>
      <w:divBdr>
        <w:top w:val="none" w:sz="0" w:space="0" w:color="auto"/>
        <w:left w:val="none" w:sz="0" w:space="0" w:color="auto"/>
        <w:bottom w:val="none" w:sz="0" w:space="0" w:color="auto"/>
        <w:right w:val="none" w:sz="0" w:space="0" w:color="auto"/>
      </w:divBdr>
    </w:div>
    <w:div w:id="2104762908">
      <w:bodyDiv w:val="1"/>
      <w:marLeft w:val="0"/>
      <w:marRight w:val="0"/>
      <w:marTop w:val="0"/>
      <w:marBottom w:val="0"/>
      <w:divBdr>
        <w:top w:val="none" w:sz="0" w:space="0" w:color="auto"/>
        <w:left w:val="none" w:sz="0" w:space="0" w:color="auto"/>
        <w:bottom w:val="none" w:sz="0" w:space="0" w:color="auto"/>
        <w:right w:val="none" w:sz="0" w:space="0" w:color="auto"/>
      </w:divBdr>
    </w:div>
    <w:div w:id="2125037317">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C29E-D991-4DB9-A13E-7C1AA632889D}">
  <ds:schemaRefs>
    <ds:schemaRef ds:uri="8bd9498f-fa43-4ae2-8bb2-4c55a71680ad"/>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D52885D7-8A2B-46AA-8AE9-5164E7582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2954</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Grech, Krystle</cp:lastModifiedBy>
  <cp:revision>9</cp:revision>
  <cp:lastPrinted>2019-11-25T03:34:00Z</cp:lastPrinted>
  <dcterms:created xsi:type="dcterms:W3CDTF">2020-02-04T23:09:00Z</dcterms:created>
  <dcterms:modified xsi:type="dcterms:W3CDTF">2020-06-02T23:34:00Z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