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F9B2" w14:textId="5BDB7F74" w:rsidR="00E250D5" w:rsidRPr="007552B8" w:rsidRDefault="00E250D5" w:rsidP="00CE31AF">
      <w:pPr>
        <w:spacing w:before="0"/>
        <w:ind w:right="40"/>
        <w:jc w:val="center"/>
        <w:rPr>
          <w:b/>
          <w:szCs w:val="24"/>
          <w:u w:val="single"/>
        </w:rPr>
      </w:pPr>
      <w:r w:rsidRPr="007552B8">
        <w:rPr>
          <w:b/>
          <w:szCs w:val="24"/>
          <w:u w:val="single"/>
        </w:rPr>
        <w:t>EXPLANATORY STATEMENT</w:t>
      </w:r>
    </w:p>
    <w:p w14:paraId="79CAD044" w14:textId="77777777" w:rsidR="00E250D5" w:rsidRPr="007552B8" w:rsidRDefault="00E250D5" w:rsidP="00CE31AF">
      <w:pPr>
        <w:spacing w:before="0"/>
        <w:ind w:right="40"/>
        <w:jc w:val="center"/>
        <w:rPr>
          <w:b/>
          <w:szCs w:val="24"/>
          <w:u w:val="single"/>
        </w:rPr>
      </w:pPr>
    </w:p>
    <w:p w14:paraId="74A4C027" w14:textId="1D6D12DE" w:rsidR="00E250D5" w:rsidRPr="007552B8" w:rsidRDefault="00E250D5" w:rsidP="00CE31AF">
      <w:pPr>
        <w:spacing w:before="0"/>
        <w:jc w:val="center"/>
        <w:rPr>
          <w:szCs w:val="24"/>
        </w:rPr>
      </w:pPr>
      <w:r w:rsidRPr="007552B8">
        <w:rPr>
          <w:szCs w:val="24"/>
        </w:rPr>
        <w:t xml:space="preserve">Issued by the </w:t>
      </w:r>
      <w:r w:rsidR="006B37DB" w:rsidRPr="007552B8">
        <w:rPr>
          <w:szCs w:val="24"/>
        </w:rPr>
        <w:t>M</w:t>
      </w:r>
      <w:r w:rsidR="00A73639">
        <w:rPr>
          <w:szCs w:val="24"/>
        </w:rPr>
        <w:t xml:space="preserve">inister for Home </w:t>
      </w:r>
      <w:r w:rsidRPr="007552B8">
        <w:rPr>
          <w:szCs w:val="24"/>
        </w:rPr>
        <w:t>Affairs</w:t>
      </w:r>
    </w:p>
    <w:p w14:paraId="6F6C9752" w14:textId="77777777" w:rsidR="00E250D5" w:rsidRPr="007552B8" w:rsidRDefault="00E250D5" w:rsidP="00CE31AF">
      <w:pPr>
        <w:spacing w:before="0"/>
        <w:ind w:right="40"/>
        <w:jc w:val="center"/>
        <w:rPr>
          <w:szCs w:val="24"/>
        </w:rPr>
      </w:pPr>
    </w:p>
    <w:p w14:paraId="33F60812" w14:textId="26BC527B" w:rsidR="00E250D5" w:rsidRDefault="00E250D5" w:rsidP="00CE31AF">
      <w:pPr>
        <w:spacing w:before="0"/>
        <w:ind w:right="40"/>
        <w:jc w:val="center"/>
        <w:rPr>
          <w:i/>
          <w:szCs w:val="24"/>
        </w:rPr>
      </w:pPr>
      <w:r w:rsidRPr="007552B8">
        <w:rPr>
          <w:i/>
          <w:szCs w:val="24"/>
        </w:rPr>
        <w:t>Australian Citizenship Act 2007</w:t>
      </w:r>
    </w:p>
    <w:p w14:paraId="21B50902" w14:textId="21EC9CF3" w:rsidR="005D6698" w:rsidRPr="007552B8" w:rsidRDefault="005D6698" w:rsidP="00CE31AF">
      <w:pPr>
        <w:spacing w:before="0"/>
        <w:ind w:right="40"/>
        <w:jc w:val="center"/>
        <w:rPr>
          <w:i/>
          <w:szCs w:val="24"/>
        </w:rPr>
      </w:pPr>
      <w:r>
        <w:rPr>
          <w:i/>
          <w:szCs w:val="24"/>
        </w:rPr>
        <w:t>Customs Act 1901</w:t>
      </w:r>
    </w:p>
    <w:p w14:paraId="6E87BDE2" w14:textId="1814CD06" w:rsidR="005D6698" w:rsidRPr="007552B8" w:rsidRDefault="00E250D5" w:rsidP="005D6698">
      <w:pPr>
        <w:spacing w:before="0"/>
        <w:ind w:right="40"/>
        <w:jc w:val="center"/>
        <w:rPr>
          <w:i/>
          <w:szCs w:val="24"/>
        </w:rPr>
      </w:pPr>
      <w:r w:rsidRPr="007552B8">
        <w:rPr>
          <w:i/>
          <w:szCs w:val="24"/>
        </w:rPr>
        <w:t>Migration Act 1958</w:t>
      </w:r>
    </w:p>
    <w:p w14:paraId="24C05461" w14:textId="77777777" w:rsidR="00E250D5" w:rsidRPr="007552B8" w:rsidRDefault="00E250D5" w:rsidP="00CE31AF">
      <w:pPr>
        <w:spacing w:before="0"/>
        <w:ind w:right="40"/>
        <w:jc w:val="center"/>
        <w:rPr>
          <w:i/>
          <w:szCs w:val="24"/>
        </w:rPr>
      </w:pPr>
    </w:p>
    <w:p w14:paraId="0171E030" w14:textId="5B11D8E0" w:rsidR="00E250D5" w:rsidRPr="007552B8" w:rsidRDefault="00E250D5" w:rsidP="00CE31AF">
      <w:pPr>
        <w:spacing w:before="0"/>
        <w:ind w:right="91"/>
        <w:jc w:val="center"/>
        <w:rPr>
          <w:i/>
          <w:szCs w:val="24"/>
        </w:rPr>
      </w:pPr>
      <w:r w:rsidRPr="007552B8">
        <w:rPr>
          <w:i/>
          <w:szCs w:val="24"/>
        </w:rPr>
        <w:t>Home Affairs Legislation Amendment (</w:t>
      </w:r>
      <w:r w:rsidR="00A73639">
        <w:rPr>
          <w:i/>
          <w:szCs w:val="24"/>
        </w:rPr>
        <w:t>Credit Card and PayPal Surcharge</w:t>
      </w:r>
      <w:proofErr w:type="gramStart"/>
      <w:r w:rsidR="00A73639">
        <w:rPr>
          <w:i/>
          <w:szCs w:val="24"/>
        </w:rPr>
        <w:t>)</w:t>
      </w:r>
      <w:proofErr w:type="gramEnd"/>
      <w:r w:rsidR="00A73639">
        <w:rPr>
          <w:i/>
          <w:szCs w:val="24"/>
        </w:rPr>
        <w:br/>
      </w:r>
      <w:r w:rsidR="006B37DB" w:rsidRPr="007552B8">
        <w:rPr>
          <w:i/>
          <w:szCs w:val="24"/>
        </w:rPr>
        <w:t>Regulations 2020</w:t>
      </w:r>
    </w:p>
    <w:p w14:paraId="1A468885" w14:textId="77777777" w:rsidR="00A669D7" w:rsidRPr="007552B8" w:rsidRDefault="00A669D7" w:rsidP="00CA29BB">
      <w:pPr>
        <w:keepNext/>
        <w:keepLines/>
        <w:spacing w:before="0"/>
        <w:ind w:right="91"/>
        <w:rPr>
          <w:szCs w:val="24"/>
        </w:rPr>
      </w:pPr>
    </w:p>
    <w:p w14:paraId="703592AC" w14:textId="243832E7" w:rsidR="00355795" w:rsidRDefault="00355795" w:rsidP="00355795">
      <w:pPr>
        <w:spacing w:before="0"/>
        <w:ind w:right="42"/>
        <w:rPr>
          <w:szCs w:val="24"/>
        </w:rPr>
      </w:pPr>
      <w:r w:rsidRPr="00ED5B93">
        <w:rPr>
          <w:szCs w:val="24"/>
        </w:rPr>
        <w:t xml:space="preserve">The </w:t>
      </w:r>
      <w:r w:rsidRPr="00ED5B93">
        <w:rPr>
          <w:i/>
          <w:szCs w:val="24"/>
        </w:rPr>
        <w:t>Australian Citizenship Act 2007</w:t>
      </w:r>
      <w:r>
        <w:rPr>
          <w:szCs w:val="24"/>
        </w:rPr>
        <w:t xml:space="preserve"> (the Citizenship </w:t>
      </w:r>
      <w:r w:rsidRPr="00ED5B93">
        <w:rPr>
          <w:szCs w:val="24"/>
        </w:rPr>
        <w:t>Act)</w:t>
      </w:r>
      <w:r>
        <w:rPr>
          <w:szCs w:val="24"/>
        </w:rPr>
        <w:t xml:space="preserve"> provides for the process of becoming an</w:t>
      </w:r>
      <w:r w:rsidRPr="00ED5B93">
        <w:rPr>
          <w:szCs w:val="24"/>
        </w:rPr>
        <w:t xml:space="preserve"> Australian citizen,</w:t>
      </w:r>
      <w:r>
        <w:rPr>
          <w:szCs w:val="24"/>
        </w:rPr>
        <w:t xml:space="preserve"> the circumstances in which citizenship may cease, </w:t>
      </w:r>
      <w:r w:rsidRPr="00ED5B93">
        <w:rPr>
          <w:szCs w:val="24"/>
        </w:rPr>
        <w:t xml:space="preserve">and some other </w:t>
      </w:r>
      <w:r>
        <w:rPr>
          <w:szCs w:val="24"/>
        </w:rPr>
        <w:t>matters related to citizenship.</w:t>
      </w:r>
    </w:p>
    <w:p w14:paraId="5248D3D5" w14:textId="77777777" w:rsidR="00355795" w:rsidRDefault="00355795" w:rsidP="00355795">
      <w:pPr>
        <w:keepNext/>
        <w:keepLines/>
        <w:spacing w:before="0"/>
        <w:ind w:right="91"/>
      </w:pPr>
    </w:p>
    <w:p w14:paraId="4EF37C41" w14:textId="77777777" w:rsidR="00355795" w:rsidRPr="00655403" w:rsidRDefault="00355795" w:rsidP="00355795">
      <w:pPr>
        <w:spacing w:before="0"/>
        <w:ind w:right="42"/>
        <w:rPr>
          <w:szCs w:val="24"/>
        </w:rPr>
      </w:pPr>
      <w:r>
        <w:rPr>
          <w:szCs w:val="24"/>
        </w:rPr>
        <w:t xml:space="preserve">The </w:t>
      </w:r>
      <w:r>
        <w:rPr>
          <w:i/>
          <w:szCs w:val="24"/>
        </w:rPr>
        <w:t xml:space="preserve">Customs Act 1901 </w:t>
      </w:r>
      <w:r>
        <w:rPr>
          <w:szCs w:val="24"/>
        </w:rPr>
        <w:t>(the Customs Act) relates to customs functions and provides, amongst other things, for the importation and exportation of goods, to and from Australia.</w:t>
      </w:r>
    </w:p>
    <w:p w14:paraId="6DF29656" w14:textId="77777777" w:rsidR="00355795" w:rsidRDefault="00355795" w:rsidP="00355795">
      <w:pPr>
        <w:keepNext/>
        <w:keepLines/>
        <w:spacing w:before="0"/>
        <w:ind w:right="91"/>
      </w:pPr>
    </w:p>
    <w:p w14:paraId="0E7E6173" w14:textId="77777777" w:rsidR="00355795" w:rsidRPr="006C1271" w:rsidRDefault="00355795" w:rsidP="00355795">
      <w:pPr>
        <w:keepNext/>
        <w:keepLines/>
        <w:spacing w:before="0"/>
        <w:ind w:right="91"/>
      </w:pPr>
      <w:r w:rsidRPr="006C1271">
        <w:t xml:space="preserve">The </w:t>
      </w:r>
      <w:r w:rsidRPr="006C1271">
        <w:rPr>
          <w:i/>
        </w:rPr>
        <w:t>Migration Act 1958</w:t>
      </w:r>
      <w:r w:rsidRPr="006C1271">
        <w:t xml:space="preserve"> (the Migration Act) is an Act relating to the entry into, and presence in, Australia of aliens, and the departure or deportation from Australia of aliens and certain other persons.</w:t>
      </w:r>
    </w:p>
    <w:p w14:paraId="4544C230" w14:textId="66B5AB75" w:rsidR="00355795" w:rsidRDefault="00355795" w:rsidP="00CA29BB">
      <w:pPr>
        <w:keepNext/>
        <w:keepLines/>
        <w:spacing w:before="0"/>
        <w:ind w:right="91"/>
        <w:rPr>
          <w:szCs w:val="24"/>
        </w:rPr>
      </w:pPr>
    </w:p>
    <w:p w14:paraId="083F8C6B" w14:textId="77777777" w:rsidR="00355795" w:rsidRDefault="00355795" w:rsidP="00355795">
      <w:pPr>
        <w:keepNext/>
        <w:keepLines/>
        <w:spacing w:before="0"/>
        <w:ind w:right="91"/>
      </w:pPr>
      <w:proofErr w:type="gramStart"/>
      <w:r>
        <w:t>Section 54 of the Citizenship Act, subsection 270(1) of the Customs Act and s</w:t>
      </w:r>
      <w:r w:rsidRPr="006C1271">
        <w:t xml:space="preserve">ubsection 504(1) of </w:t>
      </w:r>
      <w:r w:rsidRPr="006C1271">
        <w:rPr>
          <w:iCs/>
        </w:rPr>
        <w:t xml:space="preserve">the </w:t>
      </w:r>
      <w:r w:rsidRPr="006C1271">
        <w:t>Migration Act</w:t>
      </w:r>
      <w:r>
        <w:t xml:space="preserve"> relevantly provide</w:t>
      </w:r>
      <w:r w:rsidRPr="006C1271">
        <w:t xml:space="preserve"> that the Governor-General</w:t>
      </w:r>
      <w:r>
        <w:t xml:space="preserve"> may make regulations </w:t>
      </w:r>
      <w:r w:rsidRPr="006C1271">
        <w:t xml:space="preserve">prescribing matters required or permitted </w:t>
      </w:r>
      <w:r>
        <w:t xml:space="preserve">by the relevant Act </w:t>
      </w:r>
      <w:r w:rsidRPr="006C1271">
        <w:t>to be prescribed, or necessary</w:t>
      </w:r>
      <w:r>
        <w:t xml:space="preserve"> or convenient to be prescribed,</w:t>
      </w:r>
      <w:r w:rsidRPr="006C1271">
        <w:t xml:space="preserve"> for carrying out or giving effect to</w:t>
      </w:r>
      <w:r>
        <w:t xml:space="preserve"> the Citizenship Act, the Customs Act or </w:t>
      </w:r>
      <w:r w:rsidRPr="006C1271">
        <w:t>the Migration Ac</w:t>
      </w:r>
      <w:r>
        <w:t>t.</w:t>
      </w:r>
      <w:proofErr w:type="gramEnd"/>
    </w:p>
    <w:p w14:paraId="0CACEE38" w14:textId="219A3986" w:rsidR="00B75292" w:rsidRPr="007552B8" w:rsidRDefault="00B75292" w:rsidP="00CA29BB">
      <w:pPr>
        <w:keepNext/>
        <w:keepLines/>
        <w:spacing w:before="0"/>
        <w:ind w:right="91"/>
        <w:rPr>
          <w:szCs w:val="24"/>
        </w:rPr>
      </w:pPr>
    </w:p>
    <w:p w14:paraId="1899D7D3" w14:textId="7D1208A3" w:rsidR="00B75292" w:rsidRPr="007552B8" w:rsidRDefault="00B75292" w:rsidP="00CA29BB">
      <w:pPr>
        <w:keepNext/>
        <w:keepLines/>
        <w:spacing w:before="0"/>
        <w:ind w:right="91"/>
        <w:rPr>
          <w:szCs w:val="24"/>
        </w:rPr>
      </w:pPr>
      <w:r w:rsidRPr="007552B8">
        <w:rPr>
          <w:szCs w:val="24"/>
        </w:rPr>
        <w:t xml:space="preserve">In addition, regulations </w:t>
      </w:r>
      <w:proofErr w:type="gramStart"/>
      <w:r w:rsidRPr="007552B8">
        <w:rPr>
          <w:szCs w:val="24"/>
        </w:rPr>
        <w:t>may be made</w:t>
      </w:r>
      <w:proofErr w:type="gramEnd"/>
      <w:r w:rsidRPr="007552B8">
        <w:rPr>
          <w:szCs w:val="24"/>
        </w:rPr>
        <w:t xml:space="preserve"> pursuant to the provisions </w:t>
      </w:r>
      <w:r w:rsidR="00892883">
        <w:rPr>
          <w:szCs w:val="24"/>
        </w:rPr>
        <w:t xml:space="preserve">of the Citizenship Act, the Customs Act and the Migration Act </w:t>
      </w:r>
      <w:r w:rsidRPr="007552B8">
        <w:rPr>
          <w:szCs w:val="24"/>
        </w:rPr>
        <w:t xml:space="preserve">listed in </w:t>
      </w:r>
      <w:r w:rsidRPr="007552B8">
        <w:rPr>
          <w:szCs w:val="24"/>
          <w:u w:val="single"/>
        </w:rPr>
        <w:t>Attachment A</w:t>
      </w:r>
      <w:r w:rsidRPr="007552B8">
        <w:rPr>
          <w:szCs w:val="24"/>
        </w:rPr>
        <w:t>.</w:t>
      </w:r>
    </w:p>
    <w:p w14:paraId="42E3445F" w14:textId="77777777" w:rsidR="00892883" w:rsidRPr="00892883" w:rsidRDefault="00892883" w:rsidP="00892883">
      <w:pPr>
        <w:autoSpaceDE w:val="0"/>
        <w:autoSpaceDN w:val="0"/>
        <w:adjustRightInd w:val="0"/>
        <w:spacing w:before="0"/>
        <w:rPr>
          <w:rFonts w:eastAsiaTheme="minorHAnsi"/>
          <w:color w:val="000000"/>
          <w:szCs w:val="24"/>
          <w:lang w:eastAsia="en-US"/>
        </w:rPr>
      </w:pPr>
    </w:p>
    <w:p w14:paraId="6D26F15A" w14:textId="001D7310" w:rsidR="00355795" w:rsidRPr="002622E7" w:rsidRDefault="00355795" w:rsidP="00355795">
      <w:pPr>
        <w:spacing w:before="0"/>
        <w:ind w:right="91"/>
        <w:rPr>
          <w:szCs w:val="24"/>
        </w:rPr>
      </w:pPr>
      <w:proofErr w:type="gramStart"/>
      <w:r w:rsidRPr="006C343E">
        <w:rPr>
          <w:lang w:val="en"/>
        </w:rPr>
        <w:t xml:space="preserve">The </w:t>
      </w:r>
      <w:r>
        <w:rPr>
          <w:lang w:val="en"/>
        </w:rPr>
        <w:t xml:space="preserve">purpose of </w:t>
      </w:r>
      <w:r w:rsidRPr="00B82FDD">
        <w:rPr>
          <w:lang w:val="en"/>
        </w:rPr>
        <w:t xml:space="preserve">the </w:t>
      </w:r>
      <w:r w:rsidRPr="00B82FDD">
        <w:rPr>
          <w:i/>
        </w:rPr>
        <w:t>Home Affairs Legislation Amendment (</w:t>
      </w:r>
      <w:r>
        <w:rPr>
          <w:i/>
        </w:rPr>
        <w:t>Credit Card and PayPal Surcharge</w:t>
      </w:r>
      <w:r w:rsidRPr="00B82FDD">
        <w:rPr>
          <w:i/>
        </w:rPr>
        <w:t>) Regulations 2020</w:t>
      </w:r>
      <w:r w:rsidRPr="00B82FDD">
        <w:t xml:space="preserve"> </w:t>
      </w:r>
      <w:r>
        <w:t xml:space="preserve">(the </w:t>
      </w:r>
      <w:r w:rsidRPr="006C343E">
        <w:t xml:space="preserve">Regulations) </w:t>
      </w:r>
      <w:r>
        <w:t>is to</w:t>
      </w:r>
      <w:r w:rsidRPr="006C343E">
        <w:t xml:space="preserve"> </w:t>
      </w:r>
      <w:r w:rsidRPr="006C343E">
        <w:rPr>
          <w:szCs w:val="24"/>
        </w:rPr>
        <w:t xml:space="preserve">amend </w:t>
      </w:r>
      <w:r>
        <w:rPr>
          <w:szCs w:val="24"/>
        </w:rPr>
        <w:t xml:space="preserve">the </w:t>
      </w:r>
      <w:r w:rsidRPr="0015601A">
        <w:rPr>
          <w:i/>
          <w:szCs w:val="24"/>
        </w:rPr>
        <w:t>Australian Citizenship Regulation 2016</w:t>
      </w:r>
      <w:r>
        <w:rPr>
          <w:szCs w:val="24"/>
        </w:rPr>
        <w:t xml:space="preserve"> (the Citizenship Regulation), the </w:t>
      </w:r>
      <w:r>
        <w:rPr>
          <w:i/>
          <w:szCs w:val="24"/>
        </w:rPr>
        <w:t xml:space="preserve">Customs Regulation 2015 </w:t>
      </w:r>
      <w:r>
        <w:rPr>
          <w:szCs w:val="24"/>
        </w:rPr>
        <w:t xml:space="preserve">(the Customs Regulation) and </w:t>
      </w:r>
      <w:r w:rsidRPr="006C343E">
        <w:rPr>
          <w:szCs w:val="24"/>
        </w:rPr>
        <w:t xml:space="preserve">the </w:t>
      </w:r>
      <w:r w:rsidRPr="006C343E">
        <w:rPr>
          <w:i/>
          <w:szCs w:val="24"/>
        </w:rPr>
        <w:t>Migration Regulations 1994</w:t>
      </w:r>
      <w:r w:rsidRPr="006C343E">
        <w:rPr>
          <w:szCs w:val="24"/>
        </w:rPr>
        <w:t xml:space="preserve"> (the Migration Regulations)</w:t>
      </w:r>
      <w:r>
        <w:rPr>
          <w:szCs w:val="24"/>
        </w:rPr>
        <w:t xml:space="preserve"> to </w:t>
      </w:r>
      <w:r w:rsidRPr="002622E7">
        <w:rPr>
          <w:szCs w:val="24"/>
        </w:rPr>
        <w:t xml:space="preserve">increase the surcharge applied to Visa and MasterCard credit card, and PayPal, </w:t>
      </w:r>
      <w:r>
        <w:rPr>
          <w:szCs w:val="24"/>
        </w:rPr>
        <w:t>payments</w:t>
      </w:r>
      <w:r w:rsidRPr="002622E7">
        <w:rPr>
          <w:szCs w:val="24"/>
        </w:rPr>
        <w:t xml:space="preserve"> for certain fees and charges, including visa application charges, nomination and sponsorship fees, citizenship-related fees and customs duties and taxes.</w:t>
      </w:r>
      <w:proofErr w:type="gramEnd"/>
    </w:p>
    <w:p w14:paraId="7599DB1C" w14:textId="04F21FBF" w:rsidR="00355795" w:rsidRDefault="00355795" w:rsidP="00CA29BB">
      <w:pPr>
        <w:spacing w:before="0"/>
        <w:ind w:right="91"/>
        <w:rPr>
          <w:szCs w:val="24"/>
        </w:rPr>
      </w:pPr>
    </w:p>
    <w:p w14:paraId="3027D2E1" w14:textId="77777777" w:rsidR="00355795" w:rsidRPr="002331BC" w:rsidRDefault="00355795" w:rsidP="00355795">
      <w:pPr>
        <w:spacing w:before="0"/>
        <w:ind w:right="91"/>
        <w:rPr>
          <w:szCs w:val="24"/>
        </w:rPr>
      </w:pPr>
      <w:proofErr w:type="gramStart"/>
      <w:r>
        <w:rPr>
          <w:szCs w:val="24"/>
        </w:rPr>
        <w:t xml:space="preserve">Merchant fees are charged to the Department of Home Affairs (the Department) by financial services </w:t>
      </w:r>
      <w:r w:rsidRPr="00320296">
        <w:rPr>
          <w:szCs w:val="24"/>
        </w:rPr>
        <w:t>providers</w:t>
      </w:r>
      <w:proofErr w:type="gramEnd"/>
      <w:r w:rsidRPr="00320296">
        <w:rPr>
          <w:szCs w:val="24"/>
        </w:rPr>
        <w:t xml:space="preserve"> where Departmental clients make payments using credit card or </w:t>
      </w:r>
      <w:proofErr w:type="spellStart"/>
      <w:r w:rsidRPr="00320296">
        <w:rPr>
          <w:szCs w:val="24"/>
        </w:rPr>
        <w:t>Paypal</w:t>
      </w:r>
      <w:proofErr w:type="spellEnd"/>
      <w:r w:rsidRPr="00320296">
        <w:rPr>
          <w:szCs w:val="24"/>
        </w:rPr>
        <w:t xml:space="preserve"> facilities.  Under the Citizenship Regulation, the Customs Regulation and the Migration Regulations, these merchant fees are recoverable from clients via a credit card or PayPal surcharge.</w:t>
      </w:r>
      <w:r>
        <w:rPr>
          <w:szCs w:val="24"/>
        </w:rPr>
        <w:t xml:space="preserve">  The recovery of merchant fees through a surcharge </w:t>
      </w:r>
      <w:proofErr w:type="gramStart"/>
      <w:r>
        <w:rPr>
          <w:szCs w:val="24"/>
        </w:rPr>
        <w:t>is allowed</w:t>
      </w:r>
      <w:proofErr w:type="gramEnd"/>
      <w:r>
        <w:rPr>
          <w:szCs w:val="24"/>
        </w:rPr>
        <w:t xml:space="preserve"> under the Reserve Bank of Australia (the RBA) surcharging standards and is consistent with the cost recovery guidelines issued by the Department of Finance.</w:t>
      </w:r>
    </w:p>
    <w:p w14:paraId="57B88CDF" w14:textId="20923199" w:rsidR="00355795" w:rsidRDefault="00355795" w:rsidP="00CA29BB">
      <w:pPr>
        <w:spacing w:before="0"/>
        <w:ind w:right="91"/>
        <w:rPr>
          <w:szCs w:val="24"/>
        </w:rPr>
      </w:pPr>
    </w:p>
    <w:p w14:paraId="7A32B70E" w14:textId="07CE0A45" w:rsidR="00355795" w:rsidRDefault="007757B5" w:rsidP="00826FDE">
      <w:pPr>
        <w:spacing w:before="0"/>
        <w:rPr>
          <w:szCs w:val="24"/>
        </w:rPr>
      </w:pPr>
      <w:r>
        <w:rPr>
          <w:szCs w:val="24"/>
        </w:rPr>
        <w:t xml:space="preserve">The Department has re-assessed the appropriate level of surcharge in accordance with the RBA surcharging standards.  </w:t>
      </w:r>
      <w:r w:rsidR="00355795">
        <w:rPr>
          <w:szCs w:val="24"/>
        </w:rPr>
        <w:t xml:space="preserve">The </w:t>
      </w:r>
      <w:r w:rsidR="00826FDE">
        <w:rPr>
          <w:szCs w:val="24"/>
        </w:rPr>
        <w:t xml:space="preserve">revised </w:t>
      </w:r>
      <w:r w:rsidR="005452E3">
        <w:rPr>
          <w:szCs w:val="24"/>
        </w:rPr>
        <w:t>surcharge</w:t>
      </w:r>
      <w:r w:rsidR="00004BF3">
        <w:rPr>
          <w:szCs w:val="24"/>
        </w:rPr>
        <w:t xml:space="preserve"> </w:t>
      </w:r>
      <w:r w:rsidR="00537185">
        <w:rPr>
          <w:szCs w:val="24"/>
        </w:rPr>
        <w:t xml:space="preserve">amounts </w:t>
      </w:r>
      <w:r w:rsidR="00004BF3">
        <w:rPr>
          <w:szCs w:val="24"/>
        </w:rPr>
        <w:t xml:space="preserve">– an increase by </w:t>
      </w:r>
      <w:r w:rsidR="00355795">
        <w:rPr>
          <w:szCs w:val="24"/>
        </w:rPr>
        <w:t xml:space="preserve">0.08 per cent for payments made using Visa and </w:t>
      </w:r>
      <w:r w:rsidR="00004BF3">
        <w:rPr>
          <w:szCs w:val="24"/>
        </w:rPr>
        <w:t xml:space="preserve">MasterCard credit cards, and by </w:t>
      </w:r>
      <w:r w:rsidR="00355795">
        <w:rPr>
          <w:szCs w:val="24"/>
        </w:rPr>
        <w:t xml:space="preserve">0.01 per cent for </w:t>
      </w:r>
      <w:r w:rsidR="00355795">
        <w:rPr>
          <w:szCs w:val="24"/>
        </w:rPr>
        <w:lastRenderedPageBreak/>
        <w:t xml:space="preserve">payments made using PayPal – </w:t>
      </w:r>
      <w:r w:rsidR="00004BF3">
        <w:rPr>
          <w:szCs w:val="24"/>
        </w:rPr>
        <w:t>ensure</w:t>
      </w:r>
      <w:r w:rsidR="00826FDE">
        <w:rPr>
          <w:szCs w:val="24"/>
        </w:rPr>
        <w:t xml:space="preserve"> an appropriate level of cost recovery, by </w:t>
      </w:r>
      <w:r w:rsidR="00004BF3">
        <w:rPr>
          <w:szCs w:val="24"/>
        </w:rPr>
        <w:t>reduc</w:t>
      </w:r>
      <w:r w:rsidR="00826FDE">
        <w:rPr>
          <w:szCs w:val="24"/>
        </w:rPr>
        <w:t>ing</w:t>
      </w:r>
      <w:r w:rsidR="00355795">
        <w:rPr>
          <w:szCs w:val="24"/>
        </w:rPr>
        <w:t xml:space="preserve"> </w:t>
      </w:r>
      <w:r w:rsidR="00355795" w:rsidRPr="00DB0C4B">
        <w:rPr>
          <w:szCs w:val="24"/>
        </w:rPr>
        <w:t>the gap between the merchant fees charged by financial services providers and the surcharge collected by the Department.</w:t>
      </w:r>
    </w:p>
    <w:p w14:paraId="5959C025" w14:textId="0AA666B0" w:rsidR="006748D4" w:rsidRPr="007552B8" w:rsidRDefault="006748D4" w:rsidP="00CA29BB">
      <w:pPr>
        <w:spacing w:before="0"/>
        <w:ind w:right="91"/>
        <w:rPr>
          <w:szCs w:val="24"/>
        </w:rPr>
      </w:pPr>
    </w:p>
    <w:p w14:paraId="05E8DD3F" w14:textId="44D76345" w:rsidR="006748D4" w:rsidRPr="007552B8" w:rsidRDefault="006748D4" w:rsidP="00CA29BB">
      <w:pPr>
        <w:spacing w:before="0"/>
        <w:rPr>
          <w:szCs w:val="24"/>
        </w:rPr>
      </w:pPr>
      <w:r w:rsidRPr="007552B8">
        <w:rPr>
          <w:szCs w:val="24"/>
        </w:rPr>
        <w:t xml:space="preserve">A Statement of Compatibility with Human Rights (the Statement) </w:t>
      </w:r>
      <w:proofErr w:type="gramStart"/>
      <w:r w:rsidRPr="007552B8">
        <w:rPr>
          <w:szCs w:val="24"/>
        </w:rPr>
        <w:t>has been completed</w:t>
      </w:r>
      <w:proofErr w:type="gramEnd"/>
      <w:r w:rsidRPr="007552B8">
        <w:rPr>
          <w:szCs w:val="24"/>
        </w:rPr>
        <w:t xml:space="preserve"> in accordance with the </w:t>
      </w:r>
      <w:r w:rsidRPr="007552B8">
        <w:rPr>
          <w:i/>
          <w:iCs/>
          <w:szCs w:val="24"/>
        </w:rPr>
        <w:t>Human Rights (Parliamentary Scrutiny) Act 2011</w:t>
      </w:r>
      <w:r w:rsidRPr="007552B8">
        <w:rPr>
          <w:szCs w:val="24"/>
        </w:rPr>
        <w:t xml:space="preserve">. </w:t>
      </w:r>
      <w:r w:rsidR="00F2118A" w:rsidRPr="007552B8">
        <w:rPr>
          <w:szCs w:val="24"/>
        </w:rPr>
        <w:t xml:space="preserve"> </w:t>
      </w:r>
      <w:r w:rsidRPr="007552B8">
        <w:rPr>
          <w:szCs w:val="24"/>
        </w:rPr>
        <w:t xml:space="preserve">The overall assessment is that the Regulations are compatible with human rights. </w:t>
      </w:r>
      <w:r w:rsidR="006B37DB" w:rsidRPr="007552B8">
        <w:rPr>
          <w:szCs w:val="24"/>
        </w:rPr>
        <w:t xml:space="preserve"> A copy of the Statement is </w:t>
      </w:r>
      <w:r w:rsidRPr="007552B8">
        <w:rPr>
          <w:szCs w:val="24"/>
        </w:rPr>
        <w:t xml:space="preserve">at </w:t>
      </w:r>
      <w:r w:rsidRPr="007552B8">
        <w:rPr>
          <w:szCs w:val="24"/>
          <w:u w:val="single"/>
        </w:rPr>
        <w:t xml:space="preserve">Attachment </w:t>
      </w:r>
      <w:r w:rsidR="0030252A" w:rsidRPr="007552B8">
        <w:rPr>
          <w:szCs w:val="24"/>
          <w:u w:val="single"/>
        </w:rPr>
        <w:t>B</w:t>
      </w:r>
      <w:r w:rsidRPr="007552B8">
        <w:rPr>
          <w:szCs w:val="24"/>
        </w:rPr>
        <w:t>.</w:t>
      </w:r>
    </w:p>
    <w:p w14:paraId="16083924" w14:textId="77777777" w:rsidR="00BF6304" w:rsidRPr="007552B8" w:rsidRDefault="00BF6304" w:rsidP="00CA29BB">
      <w:pPr>
        <w:spacing w:before="0"/>
        <w:rPr>
          <w:szCs w:val="24"/>
        </w:rPr>
      </w:pPr>
    </w:p>
    <w:p w14:paraId="15438E97" w14:textId="69B4C2B7" w:rsidR="00576D16" w:rsidRPr="007552B8" w:rsidRDefault="00576D16" w:rsidP="00CA29BB">
      <w:pPr>
        <w:spacing w:before="0"/>
        <w:rPr>
          <w:szCs w:val="24"/>
        </w:rPr>
      </w:pPr>
      <w:r w:rsidRPr="007552B8">
        <w:rPr>
          <w:szCs w:val="24"/>
        </w:rPr>
        <w:t xml:space="preserve">The Office </w:t>
      </w:r>
      <w:r w:rsidR="005654E4" w:rsidRPr="007552B8">
        <w:rPr>
          <w:szCs w:val="24"/>
        </w:rPr>
        <w:t>of Best Practice Regulation (</w:t>
      </w:r>
      <w:r w:rsidR="00016BE7" w:rsidRPr="007552B8">
        <w:rPr>
          <w:szCs w:val="24"/>
        </w:rPr>
        <w:t xml:space="preserve">the </w:t>
      </w:r>
      <w:r w:rsidRPr="007552B8">
        <w:rPr>
          <w:szCs w:val="24"/>
        </w:rPr>
        <w:t xml:space="preserve">OBPR) </w:t>
      </w:r>
      <w:proofErr w:type="gramStart"/>
      <w:r w:rsidRPr="007552B8">
        <w:rPr>
          <w:szCs w:val="24"/>
        </w:rPr>
        <w:t>has been consulted</w:t>
      </w:r>
      <w:proofErr w:type="gramEnd"/>
      <w:r w:rsidRPr="007552B8">
        <w:rPr>
          <w:szCs w:val="24"/>
        </w:rPr>
        <w:t xml:space="preserve"> in relation to the amendments. </w:t>
      </w:r>
      <w:r w:rsidR="00642F74" w:rsidRPr="007552B8">
        <w:rPr>
          <w:szCs w:val="24"/>
        </w:rPr>
        <w:t xml:space="preserve"> </w:t>
      </w:r>
      <w:r w:rsidR="00142FD7" w:rsidRPr="007552B8">
        <w:rPr>
          <w:szCs w:val="24"/>
        </w:rPr>
        <w:t xml:space="preserve">No Regulation Impact Statement is required. </w:t>
      </w:r>
      <w:r w:rsidR="00F2118A" w:rsidRPr="007552B8">
        <w:rPr>
          <w:szCs w:val="24"/>
        </w:rPr>
        <w:t xml:space="preserve"> </w:t>
      </w:r>
      <w:r w:rsidR="00142FD7" w:rsidRPr="007552B8">
        <w:rPr>
          <w:szCs w:val="24"/>
        </w:rPr>
        <w:t xml:space="preserve">The </w:t>
      </w:r>
      <w:r w:rsidRPr="007552B8">
        <w:rPr>
          <w:szCs w:val="24"/>
        </w:rPr>
        <w:t>O</w:t>
      </w:r>
      <w:r w:rsidR="00D736A5">
        <w:rPr>
          <w:szCs w:val="24"/>
        </w:rPr>
        <w:t xml:space="preserve">BPR consultation reference </w:t>
      </w:r>
      <w:r w:rsidR="00D736A5" w:rsidRPr="00D736A5">
        <w:rPr>
          <w:szCs w:val="24"/>
        </w:rPr>
        <w:t>is 26005.</w:t>
      </w:r>
    </w:p>
    <w:p w14:paraId="1BCD40AC" w14:textId="44C0A287" w:rsidR="00642F74" w:rsidRDefault="00642F74" w:rsidP="00CA29BB">
      <w:pPr>
        <w:spacing w:before="0"/>
        <w:rPr>
          <w:color w:val="000000" w:themeColor="text1"/>
          <w:szCs w:val="24"/>
        </w:rPr>
      </w:pPr>
    </w:p>
    <w:p w14:paraId="7567A012" w14:textId="4C463C51" w:rsidR="0023682C" w:rsidRPr="001779FE" w:rsidRDefault="0023682C" w:rsidP="0023682C">
      <w:pPr>
        <w:spacing w:before="0"/>
        <w:rPr>
          <w:color w:val="000000" w:themeColor="text1"/>
        </w:rPr>
      </w:pPr>
      <w:r>
        <w:t xml:space="preserve">No external consultation was undertaken for the purposes of the </w:t>
      </w:r>
      <w:proofErr w:type="gramStart"/>
      <w:r>
        <w:t>Regulations</w:t>
      </w:r>
      <w:proofErr w:type="gramEnd"/>
      <w:r>
        <w:t xml:space="preserve"> as the amendments do not substantially alter existing arrangements.  </w:t>
      </w:r>
      <w:proofErr w:type="gramStart"/>
      <w:r>
        <w:rPr>
          <w:color w:val="000000" w:themeColor="text1"/>
        </w:rPr>
        <w:t>This accords</w:t>
      </w:r>
      <w:proofErr w:type="gramEnd"/>
      <w:r>
        <w:rPr>
          <w:color w:val="000000" w:themeColor="text1"/>
        </w:rPr>
        <w:t xml:space="preserve"> with subsection 17(1) of the </w:t>
      </w:r>
      <w:r>
        <w:rPr>
          <w:i/>
          <w:color w:val="000000" w:themeColor="text1"/>
        </w:rPr>
        <w:t>Legislation Act 2003</w:t>
      </w:r>
      <w:r>
        <w:rPr>
          <w:color w:val="000000" w:themeColor="text1"/>
        </w:rPr>
        <w:t xml:space="preserve"> (the Legislation Act).</w:t>
      </w:r>
    </w:p>
    <w:p w14:paraId="4319E02F" w14:textId="47443C81" w:rsidR="0023682C" w:rsidRDefault="0023682C" w:rsidP="00CA29BB">
      <w:pPr>
        <w:spacing w:before="0"/>
        <w:rPr>
          <w:color w:val="000000" w:themeColor="text1"/>
          <w:szCs w:val="24"/>
        </w:rPr>
      </w:pPr>
    </w:p>
    <w:p w14:paraId="189F9755" w14:textId="5FB00494" w:rsidR="00642F74" w:rsidRPr="007552B8" w:rsidRDefault="0023682C" w:rsidP="00CA29BB">
      <w:pPr>
        <w:tabs>
          <w:tab w:val="left" w:pos="6521"/>
        </w:tabs>
        <w:spacing w:before="0"/>
        <w:ind w:right="521"/>
        <w:rPr>
          <w:szCs w:val="24"/>
        </w:rPr>
      </w:pPr>
      <w:r>
        <w:rPr>
          <w:color w:val="000000" w:themeColor="text1"/>
          <w:szCs w:val="24"/>
        </w:rPr>
        <w:t>T</w:t>
      </w:r>
      <w:r>
        <w:rPr>
          <w:szCs w:val="24"/>
        </w:rPr>
        <w:t>he Regulations commence</w:t>
      </w:r>
      <w:r w:rsidR="00642F74" w:rsidRPr="007552B8">
        <w:rPr>
          <w:szCs w:val="24"/>
        </w:rPr>
        <w:t xml:space="preserve"> o</w:t>
      </w:r>
      <w:r>
        <w:rPr>
          <w:szCs w:val="24"/>
        </w:rPr>
        <w:t xml:space="preserve">n 1 July 2020 </w:t>
      </w:r>
      <w:r w:rsidR="00642F74" w:rsidRPr="007552B8">
        <w:rPr>
          <w:szCs w:val="24"/>
        </w:rPr>
        <w:t>to align with changes to Departmental systems.</w:t>
      </w:r>
    </w:p>
    <w:p w14:paraId="35C6A28D" w14:textId="7C7EBA9A" w:rsidR="004A0E4E" w:rsidRPr="007552B8" w:rsidRDefault="004A0E4E" w:rsidP="00CA29BB">
      <w:pPr>
        <w:tabs>
          <w:tab w:val="left" w:pos="6521"/>
        </w:tabs>
        <w:spacing w:before="0"/>
        <w:ind w:right="170"/>
        <w:rPr>
          <w:szCs w:val="24"/>
        </w:rPr>
      </w:pPr>
    </w:p>
    <w:p w14:paraId="4DEC8C32" w14:textId="0C40A3CE" w:rsidR="00377B1E" w:rsidRPr="007552B8" w:rsidRDefault="001F2CCD" w:rsidP="00CA29BB">
      <w:pPr>
        <w:tabs>
          <w:tab w:val="left" w:pos="6521"/>
        </w:tabs>
        <w:spacing w:before="0"/>
        <w:ind w:right="521"/>
        <w:rPr>
          <w:szCs w:val="24"/>
        </w:rPr>
      </w:pPr>
      <w:r w:rsidRPr="007552B8">
        <w:rPr>
          <w:szCs w:val="24"/>
        </w:rPr>
        <w:t>T</w:t>
      </w:r>
      <w:r w:rsidR="00E250D5" w:rsidRPr="007552B8">
        <w:rPr>
          <w:szCs w:val="24"/>
        </w:rPr>
        <w:t>he Department</w:t>
      </w:r>
      <w:r w:rsidR="005452E3">
        <w:rPr>
          <w:szCs w:val="24"/>
        </w:rPr>
        <w:t xml:space="preserve"> </w:t>
      </w:r>
      <w:r w:rsidR="00A31E8F" w:rsidRPr="007552B8">
        <w:rPr>
          <w:szCs w:val="24"/>
        </w:rPr>
        <w:t>follow</w:t>
      </w:r>
      <w:r w:rsidR="004C5ECA" w:rsidRPr="007552B8">
        <w:rPr>
          <w:szCs w:val="24"/>
        </w:rPr>
        <w:t>s</w:t>
      </w:r>
      <w:r w:rsidR="00A31E8F" w:rsidRPr="007552B8">
        <w:rPr>
          <w:szCs w:val="24"/>
        </w:rPr>
        <w:t xml:space="preserve"> standard practices to notify clients about the Reg</w:t>
      </w:r>
      <w:r w:rsidR="00642F74" w:rsidRPr="007552B8">
        <w:rPr>
          <w:szCs w:val="24"/>
        </w:rPr>
        <w:t xml:space="preserve">ulations, including updating its </w:t>
      </w:r>
      <w:r w:rsidR="00A31E8F" w:rsidRPr="007552B8">
        <w:rPr>
          <w:szCs w:val="24"/>
        </w:rPr>
        <w:t>w</w:t>
      </w:r>
      <w:r w:rsidR="003C3327" w:rsidRPr="007552B8">
        <w:rPr>
          <w:szCs w:val="24"/>
        </w:rPr>
        <w:t>ebsite</w:t>
      </w:r>
      <w:r w:rsidR="00BB2D75" w:rsidRPr="007552B8">
        <w:rPr>
          <w:szCs w:val="24"/>
        </w:rPr>
        <w:t xml:space="preserve"> and notifying</w:t>
      </w:r>
      <w:r w:rsidR="0005086A" w:rsidRPr="007552B8">
        <w:rPr>
          <w:szCs w:val="24"/>
        </w:rPr>
        <w:t xml:space="preserve"> peak bodies.</w:t>
      </w:r>
    </w:p>
    <w:p w14:paraId="7422A318" w14:textId="5D376E11" w:rsidR="0030252A" w:rsidRPr="007552B8" w:rsidRDefault="0030252A" w:rsidP="00CA29BB">
      <w:pPr>
        <w:tabs>
          <w:tab w:val="left" w:pos="6521"/>
        </w:tabs>
        <w:spacing w:before="0"/>
        <w:ind w:right="521"/>
        <w:rPr>
          <w:szCs w:val="24"/>
        </w:rPr>
      </w:pPr>
    </w:p>
    <w:p w14:paraId="70F890AD" w14:textId="63C31A16" w:rsidR="0030252A" w:rsidRPr="007552B8" w:rsidRDefault="0030252A" w:rsidP="00CA29BB">
      <w:pPr>
        <w:spacing w:before="0"/>
        <w:ind w:right="91"/>
        <w:rPr>
          <w:szCs w:val="24"/>
        </w:rPr>
      </w:pPr>
      <w:r w:rsidRPr="007552B8">
        <w:rPr>
          <w:szCs w:val="24"/>
        </w:rPr>
        <w:t xml:space="preserve">Further details of the Regulations are set out in </w:t>
      </w:r>
      <w:r w:rsidRPr="007552B8">
        <w:rPr>
          <w:szCs w:val="24"/>
          <w:u w:val="single"/>
        </w:rPr>
        <w:t>Attachment C</w:t>
      </w:r>
      <w:r w:rsidRPr="007552B8">
        <w:rPr>
          <w:szCs w:val="24"/>
        </w:rPr>
        <w:t>.</w:t>
      </w:r>
    </w:p>
    <w:p w14:paraId="3E559452" w14:textId="7427F137" w:rsidR="004A5365" w:rsidRPr="007552B8" w:rsidRDefault="004A5365" w:rsidP="00CA29BB">
      <w:pPr>
        <w:tabs>
          <w:tab w:val="left" w:pos="6521"/>
        </w:tabs>
        <w:spacing w:before="0"/>
        <w:ind w:right="521"/>
        <w:rPr>
          <w:szCs w:val="24"/>
        </w:rPr>
      </w:pPr>
    </w:p>
    <w:p w14:paraId="187F3971" w14:textId="0649F916" w:rsidR="004A5365" w:rsidRPr="007552B8" w:rsidRDefault="0023682C" w:rsidP="00CA29BB">
      <w:pPr>
        <w:tabs>
          <w:tab w:val="left" w:pos="6521"/>
        </w:tabs>
        <w:spacing w:before="0"/>
        <w:ind w:right="42"/>
        <w:rPr>
          <w:szCs w:val="24"/>
        </w:rPr>
      </w:pPr>
      <w:r>
        <w:rPr>
          <w:szCs w:val="24"/>
        </w:rPr>
        <w:t xml:space="preserve">The Citizenship Act, the Customs Act and the Migration Act </w:t>
      </w:r>
      <w:r w:rsidR="0072003C" w:rsidRPr="007552B8">
        <w:rPr>
          <w:szCs w:val="24"/>
        </w:rPr>
        <w:t>specify</w:t>
      </w:r>
      <w:r w:rsidR="004A5365" w:rsidRPr="007552B8">
        <w:rPr>
          <w:szCs w:val="24"/>
        </w:rPr>
        <w:t xml:space="preserve"> no conditions that need to be satisfied before the power to make th</w:t>
      </w:r>
      <w:r>
        <w:rPr>
          <w:szCs w:val="24"/>
        </w:rPr>
        <w:t xml:space="preserve">e Regulations </w:t>
      </w:r>
      <w:proofErr w:type="gramStart"/>
      <w:r>
        <w:rPr>
          <w:szCs w:val="24"/>
        </w:rPr>
        <w:t>may be exercised</w:t>
      </w:r>
      <w:proofErr w:type="gramEnd"/>
      <w:r>
        <w:rPr>
          <w:szCs w:val="24"/>
        </w:rPr>
        <w:t>.</w:t>
      </w:r>
    </w:p>
    <w:p w14:paraId="3E8FB57C" w14:textId="2A32397A" w:rsidR="004A5365" w:rsidRPr="007552B8" w:rsidRDefault="004A5365" w:rsidP="00CA29BB">
      <w:pPr>
        <w:tabs>
          <w:tab w:val="left" w:pos="6521"/>
        </w:tabs>
        <w:spacing w:before="0"/>
        <w:ind w:right="42"/>
        <w:rPr>
          <w:szCs w:val="24"/>
        </w:rPr>
      </w:pPr>
    </w:p>
    <w:p w14:paraId="5128AF1C" w14:textId="77777777" w:rsidR="004A5365" w:rsidRPr="007552B8" w:rsidRDefault="004A5365" w:rsidP="00CA29BB">
      <w:pPr>
        <w:tabs>
          <w:tab w:val="left" w:pos="6521"/>
        </w:tabs>
        <w:spacing w:before="0"/>
        <w:ind w:right="-2"/>
        <w:rPr>
          <w:szCs w:val="24"/>
        </w:rPr>
      </w:pPr>
      <w:r w:rsidRPr="007552B8">
        <w:rPr>
          <w:szCs w:val="24"/>
        </w:rPr>
        <w:t>The Regulations are a legislative instrument for the purposes of the Legislation Act.</w:t>
      </w:r>
    </w:p>
    <w:p w14:paraId="3B5DCC9B" w14:textId="77777777" w:rsidR="004A5365" w:rsidRPr="007552B8" w:rsidRDefault="004A5365" w:rsidP="00CA29BB">
      <w:pPr>
        <w:tabs>
          <w:tab w:val="left" w:pos="6521"/>
        </w:tabs>
        <w:spacing w:before="0"/>
        <w:ind w:right="521"/>
        <w:rPr>
          <w:szCs w:val="24"/>
        </w:rPr>
      </w:pPr>
    </w:p>
    <w:p w14:paraId="0FD45B1C" w14:textId="2B68722F" w:rsidR="004A5365" w:rsidRPr="007552B8" w:rsidRDefault="004A5365" w:rsidP="00CA29BB">
      <w:pPr>
        <w:spacing w:before="0"/>
        <w:rPr>
          <w:szCs w:val="24"/>
        </w:rPr>
      </w:pPr>
      <w:r w:rsidRPr="007552B8">
        <w:rPr>
          <w:szCs w:val="24"/>
        </w:rPr>
        <w:br w:type="page"/>
      </w:r>
    </w:p>
    <w:p w14:paraId="2DB0B0D3" w14:textId="77777777" w:rsidR="0030252A" w:rsidRPr="007552B8" w:rsidRDefault="0030252A" w:rsidP="00CA29BB">
      <w:pPr>
        <w:spacing w:before="0"/>
        <w:ind w:right="42"/>
        <w:jc w:val="right"/>
        <w:rPr>
          <w:szCs w:val="24"/>
          <w:u w:val="single"/>
        </w:rPr>
      </w:pPr>
      <w:r w:rsidRPr="007552B8">
        <w:rPr>
          <w:b/>
          <w:szCs w:val="24"/>
          <w:u w:val="single"/>
        </w:rPr>
        <w:lastRenderedPageBreak/>
        <w:t>ATTACHMENT A</w:t>
      </w:r>
    </w:p>
    <w:p w14:paraId="6E7C603F" w14:textId="77777777" w:rsidR="0030252A" w:rsidRPr="007552B8" w:rsidRDefault="0030252A" w:rsidP="00CA29BB">
      <w:pPr>
        <w:tabs>
          <w:tab w:val="left" w:pos="435"/>
        </w:tabs>
        <w:spacing w:before="0"/>
        <w:ind w:right="42"/>
        <w:rPr>
          <w:szCs w:val="24"/>
        </w:rPr>
      </w:pPr>
    </w:p>
    <w:p w14:paraId="348549AC" w14:textId="77777777" w:rsidR="0030252A" w:rsidRPr="007552B8" w:rsidRDefault="0030252A" w:rsidP="00CA29BB">
      <w:pPr>
        <w:tabs>
          <w:tab w:val="left" w:pos="435"/>
        </w:tabs>
        <w:spacing w:before="0"/>
        <w:ind w:right="42"/>
        <w:jc w:val="center"/>
        <w:rPr>
          <w:b/>
          <w:szCs w:val="24"/>
        </w:rPr>
      </w:pPr>
      <w:r w:rsidRPr="007552B8">
        <w:rPr>
          <w:b/>
          <w:szCs w:val="24"/>
        </w:rPr>
        <w:t>AUTHORISING PROVISIONS</w:t>
      </w:r>
    </w:p>
    <w:p w14:paraId="78681DD4" w14:textId="77777777" w:rsidR="0030252A" w:rsidRPr="007552B8" w:rsidRDefault="0030252A" w:rsidP="00CA29BB">
      <w:pPr>
        <w:tabs>
          <w:tab w:val="left" w:pos="435"/>
        </w:tabs>
        <w:spacing w:before="0"/>
        <w:ind w:right="42"/>
        <w:rPr>
          <w:szCs w:val="24"/>
        </w:rPr>
      </w:pPr>
    </w:p>
    <w:p w14:paraId="3A08CBAC" w14:textId="54A44A2B" w:rsidR="00AE4EC0" w:rsidRDefault="00AE4EC0" w:rsidP="00AE4EC0">
      <w:pPr>
        <w:keepNext/>
        <w:keepLines/>
        <w:spacing w:before="0"/>
        <w:ind w:right="91"/>
      </w:pPr>
      <w:proofErr w:type="gramStart"/>
      <w:r>
        <w:t xml:space="preserve">Section 54 of the </w:t>
      </w:r>
      <w:r w:rsidRPr="007552B8">
        <w:rPr>
          <w:i/>
          <w:iCs/>
          <w:szCs w:val="24"/>
        </w:rPr>
        <w:t>Australian Citizenship Act 2007</w:t>
      </w:r>
      <w:r>
        <w:rPr>
          <w:szCs w:val="24"/>
        </w:rPr>
        <w:t xml:space="preserve"> (the Citizenship Act)</w:t>
      </w:r>
      <w:r>
        <w:t xml:space="preserve">, subsection 270(1) of </w:t>
      </w:r>
      <w:r>
        <w:rPr>
          <w:i/>
          <w:szCs w:val="24"/>
        </w:rPr>
        <w:t xml:space="preserve">Customs Act 1901 </w:t>
      </w:r>
      <w:r>
        <w:rPr>
          <w:szCs w:val="24"/>
        </w:rPr>
        <w:t xml:space="preserve">(the Customs Act) </w:t>
      </w:r>
      <w:r>
        <w:t>and s</w:t>
      </w:r>
      <w:r w:rsidRPr="006C1271">
        <w:t xml:space="preserve">ubsection 504(1) of </w:t>
      </w:r>
      <w:r w:rsidRPr="006C1271">
        <w:rPr>
          <w:iCs/>
        </w:rPr>
        <w:t xml:space="preserve">the </w:t>
      </w:r>
      <w:r w:rsidRPr="007552B8">
        <w:rPr>
          <w:i/>
          <w:szCs w:val="24"/>
        </w:rPr>
        <w:t>Migration Act 1958</w:t>
      </w:r>
      <w:r w:rsidRPr="007552B8">
        <w:rPr>
          <w:szCs w:val="24"/>
        </w:rPr>
        <w:t xml:space="preserve"> (the Migration Act) </w:t>
      </w:r>
      <w:r>
        <w:t>relevantly provide</w:t>
      </w:r>
      <w:r w:rsidRPr="006C1271">
        <w:t xml:space="preserve"> that the Governor-General</w:t>
      </w:r>
      <w:r>
        <w:t xml:space="preserve"> may make regulations </w:t>
      </w:r>
      <w:r w:rsidRPr="006C1271">
        <w:t xml:space="preserve">prescribing matters required or permitted </w:t>
      </w:r>
      <w:r>
        <w:t xml:space="preserve">by the relevant Act </w:t>
      </w:r>
      <w:r w:rsidRPr="006C1271">
        <w:t>to be prescribed, or necessary</w:t>
      </w:r>
      <w:r>
        <w:t xml:space="preserve"> or convenient to be prescribed,</w:t>
      </w:r>
      <w:r w:rsidRPr="006C1271">
        <w:t xml:space="preserve"> for carrying out or giving effect to</w:t>
      </w:r>
      <w:r>
        <w:t xml:space="preserve"> the Citizenship Act, the Customs Act or </w:t>
      </w:r>
      <w:r w:rsidRPr="006C1271">
        <w:t>the Migration Ac</w:t>
      </w:r>
      <w:r>
        <w:t>t.</w:t>
      </w:r>
      <w:proofErr w:type="gramEnd"/>
    </w:p>
    <w:p w14:paraId="620F7C5D" w14:textId="436CFE59" w:rsidR="00AE4EC0" w:rsidRPr="007552B8" w:rsidRDefault="00AE4EC0" w:rsidP="00CA29BB">
      <w:pPr>
        <w:spacing w:before="0"/>
        <w:ind w:right="43"/>
        <w:rPr>
          <w:szCs w:val="24"/>
        </w:rPr>
      </w:pPr>
    </w:p>
    <w:p w14:paraId="1AB5ED90" w14:textId="2BCDC857" w:rsidR="00AE4EC0" w:rsidRPr="00AE4EC0" w:rsidRDefault="001F6E18" w:rsidP="00AE4EC0">
      <w:pPr>
        <w:spacing w:before="0"/>
        <w:ind w:right="43"/>
        <w:rPr>
          <w:szCs w:val="24"/>
        </w:rPr>
      </w:pPr>
      <w:r w:rsidRPr="007552B8">
        <w:rPr>
          <w:szCs w:val="24"/>
        </w:rPr>
        <w:t xml:space="preserve">In addition, </w:t>
      </w:r>
      <w:r w:rsidR="00AE4EC0">
        <w:rPr>
          <w:szCs w:val="24"/>
        </w:rPr>
        <w:t>t</w:t>
      </w:r>
      <w:r w:rsidR="00AE4EC0" w:rsidRPr="007552B8">
        <w:rPr>
          <w:szCs w:val="24"/>
        </w:rPr>
        <w:t>he following provisions apply:</w:t>
      </w:r>
    </w:p>
    <w:p w14:paraId="21264F30" w14:textId="6E1234D2" w:rsidR="00AE4EC0" w:rsidRPr="007552B8" w:rsidRDefault="00AE4EC0" w:rsidP="00AE4EC0">
      <w:pPr>
        <w:shd w:val="clear" w:color="auto" w:fill="FFFFFF"/>
        <w:spacing w:before="0"/>
        <w:rPr>
          <w:szCs w:val="24"/>
          <w:lang w:val="en-US"/>
        </w:rPr>
      </w:pPr>
    </w:p>
    <w:p w14:paraId="55B89DC2" w14:textId="108B7977" w:rsidR="00AE4EC0" w:rsidRPr="00791416" w:rsidRDefault="00AE4EC0" w:rsidP="00791416">
      <w:pPr>
        <w:pStyle w:val="ListParagraph"/>
        <w:numPr>
          <w:ilvl w:val="0"/>
          <w:numId w:val="31"/>
        </w:numPr>
        <w:spacing w:before="0"/>
        <w:rPr>
          <w:szCs w:val="24"/>
        </w:rPr>
      </w:pPr>
      <w:r w:rsidRPr="007552B8">
        <w:rPr>
          <w:szCs w:val="24"/>
        </w:rPr>
        <w:t>paragraph 46(1)(d)</w:t>
      </w:r>
      <w:r w:rsidR="002C7FF6">
        <w:rPr>
          <w:szCs w:val="24"/>
        </w:rPr>
        <w:t xml:space="preserve"> of the Citizenship Act</w:t>
      </w:r>
      <w:r w:rsidRPr="007552B8">
        <w:rPr>
          <w:szCs w:val="24"/>
        </w:rPr>
        <w:t>, which provides that an application under a provision of the Citizenship Act must be accompanied by the fee (if any) prescribed by the regulations</w:t>
      </w:r>
      <w:r w:rsidR="002C7FF6">
        <w:rPr>
          <w:szCs w:val="24"/>
        </w:rPr>
        <w:t>;</w:t>
      </w:r>
    </w:p>
    <w:p w14:paraId="2976CEF5" w14:textId="1F33B2F1" w:rsidR="00AE4EC0" w:rsidRDefault="00AE4EC0" w:rsidP="00CA29BB">
      <w:pPr>
        <w:spacing w:before="0"/>
        <w:ind w:right="43"/>
        <w:rPr>
          <w:szCs w:val="24"/>
        </w:rPr>
      </w:pPr>
    </w:p>
    <w:p w14:paraId="7063B846" w14:textId="18EFAA27" w:rsidR="00F5567F" w:rsidRDefault="00AE4EC0" w:rsidP="00791416">
      <w:pPr>
        <w:pStyle w:val="ListParagraph"/>
        <w:numPr>
          <w:ilvl w:val="0"/>
          <w:numId w:val="31"/>
        </w:numPr>
        <w:spacing w:before="0"/>
        <w:rPr>
          <w:szCs w:val="24"/>
        </w:rPr>
      </w:pPr>
      <w:r w:rsidRPr="00791416">
        <w:rPr>
          <w:szCs w:val="24"/>
        </w:rPr>
        <w:t>subsection 270(1A)</w:t>
      </w:r>
      <w:r w:rsidR="002C7FF6">
        <w:rPr>
          <w:szCs w:val="24"/>
        </w:rPr>
        <w:t xml:space="preserve"> of the Customs Act</w:t>
      </w:r>
      <w:r w:rsidRPr="00791416">
        <w:rPr>
          <w:szCs w:val="24"/>
        </w:rPr>
        <w:t>, which provides that the regulations may make pr</w:t>
      </w:r>
      <w:r w:rsidR="00ED0993" w:rsidRPr="00791416">
        <w:rPr>
          <w:szCs w:val="24"/>
        </w:rPr>
        <w:t>ovision for and in relation to:</w:t>
      </w:r>
    </w:p>
    <w:p w14:paraId="58A3A9D3" w14:textId="77777777" w:rsidR="0011515A" w:rsidRPr="00791416" w:rsidRDefault="0011515A" w:rsidP="0011515A">
      <w:pPr>
        <w:pStyle w:val="ListParagraph"/>
        <w:spacing w:before="0"/>
        <w:rPr>
          <w:szCs w:val="24"/>
        </w:rPr>
      </w:pPr>
    </w:p>
    <w:p w14:paraId="2B3B129B" w14:textId="3E082682" w:rsidR="00AE4EC0" w:rsidRPr="00791416" w:rsidRDefault="00ED0993" w:rsidP="00791416">
      <w:pPr>
        <w:shd w:val="clear" w:color="auto" w:fill="FFFFFF"/>
        <w:spacing w:before="0"/>
        <w:ind w:left="720" w:right="43"/>
        <w:rPr>
          <w:rFonts w:eastAsiaTheme="minorHAnsi"/>
          <w:color w:val="000000"/>
          <w:szCs w:val="24"/>
          <w:lang w:eastAsia="en-US"/>
        </w:rPr>
      </w:pPr>
      <w:r w:rsidRPr="00791416">
        <w:rPr>
          <w:rFonts w:eastAsiaTheme="minorHAnsi"/>
          <w:color w:val="000000"/>
          <w:szCs w:val="24"/>
          <w:lang w:eastAsia="en-US"/>
        </w:rPr>
        <w:t xml:space="preserve">(a) </w:t>
      </w:r>
      <w:proofErr w:type="gramStart"/>
      <w:r w:rsidR="00AE4EC0" w:rsidRPr="00791416">
        <w:rPr>
          <w:rFonts w:eastAsiaTheme="minorHAnsi"/>
          <w:color w:val="000000"/>
          <w:szCs w:val="24"/>
          <w:lang w:eastAsia="en-US"/>
        </w:rPr>
        <w:t>the</w:t>
      </w:r>
      <w:proofErr w:type="gramEnd"/>
      <w:r w:rsidR="00AE4EC0" w:rsidRPr="00791416">
        <w:rPr>
          <w:rFonts w:eastAsiaTheme="minorHAnsi"/>
          <w:color w:val="000000"/>
          <w:szCs w:val="24"/>
          <w:lang w:eastAsia="en-US"/>
        </w:rPr>
        <w:t xml:space="preserve"> charging and recovery of fees in r</w:t>
      </w:r>
      <w:r w:rsidRPr="00791416">
        <w:rPr>
          <w:rFonts w:eastAsiaTheme="minorHAnsi"/>
          <w:color w:val="000000"/>
          <w:szCs w:val="24"/>
          <w:lang w:eastAsia="en-US"/>
        </w:rPr>
        <w:t>espect of any matter under the Customs Act or the regulations;</w:t>
      </w:r>
    </w:p>
    <w:p w14:paraId="1445905D" w14:textId="3E21EE65" w:rsidR="00AE4EC0" w:rsidRPr="00AE4EC0" w:rsidRDefault="00AE4EC0" w:rsidP="00791416">
      <w:pPr>
        <w:autoSpaceDE w:val="0"/>
        <w:autoSpaceDN w:val="0"/>
        <w:adjustRightInd w:val="0"/>
        <w:spacing w:before="0" w:after="27"/>
        <w:ind w:left="720"/>
        <w:rPr>
          <w:rFonts w:eastAsiaTheme="minorHAnsi"/>
          <w:color w:val="000000"/>
          <w:szCs w:val="24"/>
          <w:lang w:eastAsia="en-US"/>
        </w:rPr>
      </w:pPr>
      <w:r w:rsidRPr="00AE4EC0">
        <w:rPr>
          <w:rFonts w:eastAsiaTheme="minorHAnsi"/>
          <w:color w:val="000000"/>
          <w:szCs w:val="24"/>
          <w:lang w:eastAsia="en-US"/>
        </w:rPr>
        <w:t xml:space="preserve">(b) </w:t>
      </w:r>
      <w:proofErr w:type="gramStart"/>
      <w:r w:rsidRPr="00AE4EC0">
        <w:rPr>
          <w:rFonts w:eastAsiaTheme="minorHAnsi"/>
          <w:color w:val="000000"/>
          <w:szCs w:val="24"/>
          <w:lang w:eastAsia="en-US"/>
        </w:rPr>
        <w:t>the</w:t>
      </w:r>
      <w:proofErr w:type="gramEnd"/>
      <w:r w:rsidRPr="00AE4EC0">
        <w:rPr>
          <w:rFonts w:eastAsiaTheme="minorHAnsi"/>
          <w:color w:val="000000"/>
          <w:szCs w:val="24"/>
          <w:lang w:eastAsia="en-US"/>
        </w:rPr>
        <w:t xml:space="preserve"> wa</w:t>
      </w:r>
      <w:r w:rsidR="00ED0993">
        <w:rPr>
          <w:rFonts w:eastAsiaTheme="minorHAnsi"/>
          <w:color w:val="000000"/>
          <w:szCs w:val="24"/>
          <w:lang w:eastAsia="en-US"/>
        </w:rPr>
        <w:t>y in which fees are to be paid;</w:t>
      </w:r>
    </w:p>
    <w:p w14:paraId="4BC00146" w14:textId="187BA983" w:rsidR="00AE4EC0" w:rsidRPr="00AE4EC0" w:rsidRDefault="00AE4EC0" w:rsidP="00791416">
      <w:pPr>
        <w:autoSpaceDE w:val="0"/>
        <w:autoSpaceDN w:val="0"/>
        <w:adjustRightInd w:val="0"/>
        <w:spacing w:before="0" w:after="27"/>
        <w:ind w:left="720"/>
        <w:rPr>
          <w:rFonts w:eastAsiaTheme="minorHAnsi"/>
          <w:color w:val="000000"/>
          <w:szCs w:val="24"/>
          <w:lang w:eastAsia="en-US"/>
        </w:rPr>
      </w:pPr>
      <w:r w:rsidRPr="00AE4EC0">
        <w:rPr>
          <w:rFonts w:eastAsiaTheme="minorHAnsi"/>
          <w:color w:val="000000"/>
          <w:szCs w:val="24"/>
          <w:lang w:eastAsia="en-US"/>
        </w:rPr>
        <w:t xml:space="preserve">(c) </w:t>
      </w:r>
      <w:proofErr w:type="gramStart"/>
      <w:r w:rsidRPr="00AE4EC0">
        <w:rPr>
          <w:rFonts w:eastAsiaTheme="minorHAnsi"/>
          <w:color w:val="000000"/>
          <w:szCs w:val="24"/>
          <w:lang w:eastAsia="en-US"/>
        </w:rPr>
        <w:t>the</w:t>
      </w:r>
      <w:proofErr w:type="gramEnd"/>
      <w:r w:rsidRPr="00AE4EC0">
        <w:rPr>
          <w:rFonts w:eastAsiaTheme="minorHAnsi"/>
          <w:color w:val="000000"/>
          <w:szCs w:val="24"/>
          <w:lang w:eastAsia="en-US"/>
        </w:rPr>
        <w:t xml:space="preserve"> persons who may be paid fees on behalf of the Commonwea</w:t>
      </w:r>
      <w:r w:rsidR="00ED0993">
        <w:rPr>
          <w:rFonts w:eastAsiaTheme="minorHAnsi"/>
          <w:color w:val="000000"/>
          <w:szCs w:val="24"/>
          <w:lang w:eastAsia="en-US"/>
        </w:rPr>
        <w:t>lth; and</w:t>
      </w:r>
    </w:p>
    <w:p w14:paraId="1FFDAAD4" w14:textId="77D5E189" w:rsidR="00AE4EC0" w:rsidRPr="00AE4EC0" w:rsidRDefault="00AE4EC0" w:rsidP="00791416">
      <w:pPr>
        <w:autoSpaceDE w:val="0"/>
        <w:autoSpaceDN w:val="0"/>
        <w:adjustRightInd w:val="0"/>
        <w:spacing w:before="0"/>
        <w:ind w:left="720"/>
        <w:rPr>
          <w:rFonts w:eastAsiaTheme="minorHAnsi"/>
          <w:color w:val="000000"/>
          <w:szCs w:val="24"/>
          <w:lang w:eastAsia="en-US"/>
        </w:rPr>
      </w:pPr>
      <w:r w:rsidRPr="00AE4EC0">
        <w:rPr>
          <w:rFonts w:eastAsiaTheme="minorHAnsi"/>
          <w:color w:val="000000"/>
          <w:szCs w:val="24"/>
          <w:lang w:eastAsia="en-US"/>
        </w:rPr>
        <w:t xml:space="preserve">(d) </w:t>
      </w:r>
      <w:proofErr w:type="gramStart"/>
      <w:r w:rsidRPr="00AE4EC0">
        <w:rPr>
          <w:rFonts w:eastAsiaTheme="minorHAnsi"/>
          <w:color w:val="000000"/>
          <w:szCs w:val="24"/>
          <w:lang w:eastAsia="en-US"/>
        </w:rPr>
        <w:t>the</w:t>
      </w:r>
      <w:proofErr w:type="gramEnd"/>
      <w:r w:rsidRPr="00AE4EC0">
        <w:rPr>
          <w:rFonts w:eastAsiaTheme="minorHAnsi"/>
          <w:color w:val="000000"/>
          <w:szCs w:val="24"/>
          <w:lang w:eastAsia="en-US"/>
        </w:rPr>
        <w:t xml:space="preserve"> remission, refund or waiver of fees of a kind referred to in paragraph (a) or the exempting of persons</w:t>
      </w:r>
      <w:r w:rsidR="00ED0993">
        <w:rPr>
          <w:rFonts w:eastAsiaTheme="minorHAnsi"/>
          <w:color w:val="000000"/>
          <w:szCs w:val="24"/>
          <w:lang w:eastAsia="en-US"/>
        </w:rPr>
        <w:t xml:space="preserve"> from the payment of such fees</w:t>
      </w:r>
      <w:r w:rsidR="002C7FF6">
        <w:rPr>
          <w:rFonts w:eastAsiaTheme="minorHAnsi"/>
          <w:color w:val="000000"/>
          <w:szCs w:val="24"/>
          <w:lang w:eastAsia="en-US"/>
        </w:rPr>
        <w:t>; and</w:t>
      </w:r>
    </w:p>
    <w:p w14:paraId="35F7DF58" w14:textId="77777777" w:rsidR="0030252A" w:rsidRPr="002107B3" w:rsidRDefault="0030252A" w:rsidP="00CA29BB">
      <w:pPr>
        <w:spacing w:before="0"/>
        <w:ind w:right="43"/>
        <w:rPr>
          <w:szCs w:val="24"/>
        </w:rPr>
      </w:pPr>
    </w:p>
    <w:p w14:paraId="6492FA96" w14:textId="4017B8EA" w:rsidR="00791416" w:rsidRDefault="002107B3" w:rsidP="00791416">
      <w:pPr>
        <w:pStyle w:val="ListParagraph"/>
        <w:numPr>
          <w:ilvl w:val="0"/>
          <w:numId w:val="31"/>
        </w:numPr>
        <w:spacing w:before="0"/>
        <w:rPr>
          <w:szCs w:val="24"/>
        </w:rPr>
      </w:pPr>
      <w:r w:rsidRPr="00791416">
        <w:rPr>
          <w:szCs w:val="24"/>
        </w:rPr>
        <w:t>paragraph 504(1)(a)</w:t>
      </w:r>
      <w:r w:rsidR="002C7FF6">
        <w:rPr>
          <w:szCs w:val="24"/>
        </w:rPr>
        <w:t xml:space="preserve"> of the Migration Act</w:t>
      </w:r>
      <w:r w:rsidRPr="00791416">
        <w:rPr>
          <w:szCs w:val="24"/>
        </w:rPr>
        <w:t>, which provides that the Governor-General may make regulations:</w:t>
      </w:r>
    </w:p>
    <w:p w14:paraId="691DAD57" w14:textId="77777777" w:rsidR="004A0A76" w:rsidRDefault="004A0A76" w:rsidP="004A0A76">
      <w:pPr>
        <w:pStyle w:val="ListParagraph"/>
        <w:spacing w:before="0"/>
        <w:rPr>
          <w:szCs w:val="24"/>
        </w:rPr>
      </w:pPr>
    </w:p>
    <w:p w14:paraId="28DCCA8C" w14:textId="7F4438FB" w:rsidR="0011515A" w:rsidRPr="0011515A" w:rsidRDefault="002107B3" w:rsidP="0011515A">
      <w:pPr>
        <w:pStyle w:val="ListParagraph"/>
        <w:numPr>
          <w:ilvl w:val="0"/>
          <w:numId w:val="35"/>
        </w:numPr>
        <w:spacing w:before="0"/>
        <w:rPr>
          <w:rFonts w:eastAsiaTheme="minorHAnsi"/>
          <w:color w:val="000000"/>
          <w:szCs w:val="24"/>
          <w:lang w:eastAsia="en-US"/>
        </w:rPr>
      </w:pPr>
      <w:r w:rsidRPr="0011515A">
        <w:rPr>
          <w:rFonts w:eastAsiaTheme="minorHAnsi"/>
          <w:color w:val="000000"/>
          <w:szCs w:val="24"/>
          <w:lang w:eastAsia="en-US"/>
        </w:rPr>
        <w:t>making provision for and in relation to:</w:t>
      </w:r>
    </w:p>
    <w:p w14:paraId="4AB1CB00" w14:textId="77777777" w:rsidR="002107B3" w:rsidRPr="00791416" w:rsidRDefault="002107B3" w:rsidP="0011515A">
      <w:pPr>
        <w:autoSpaceDE w:val="0"/>
        <w:autoSpaceDN w:val="0"/>
        <w:adjustRightInd w:val="0"/>
        <w:spacing w:before="0" w:after="27"/>
        <w:ind w:left="1080"/>
        <w:rPr>
          <w:rFonts w:eastAsiaTheme="minorHAnsi"/>
          <w:color w:val="000000"/>
          <w:szCs w:val="24"/>
          <w:lang w:eastAsia="en-US"/>
        </w:rPr>
      </w:pPr>
      <w:r w:rsidRPr="00791416">
        <w:rPr>
          <w:rFonts w:eastAsiaTheme="minorHAnsi"/>
          <w:color w:val="000000"/>
          <w:szCs w:val="24"/>
          <w:lang w:eastAsia="en-US"/>
        </w:rPr>
        <w:t>(</w:t>
      </w:r>
      <w:proofErr w:type="spellStart"/>
      <w:r w:rsidRPr="00791416">
        <w:rPr>
          <w:rFonts w:eastAsiaTheme="minorHAnsi"/>
          <w:color w:val="000000"/>
          <w:szCs w:val="24"/>
          <w:lang w:eastAsia="en-US"/>
        </w:rPr>
        <w:t>i</w:t>
      </w:r>
      <w:proofErr w:type="spellEnd"/>
      <w:r w:rsidRPr="00791416">
        <w:rPr>
          <w:rFonts w:eastAsiaTheme="minorHAnsi"/>
          <w:color w:val="000000"/>
          <w:szCs w:val="24"/>
          <w:lang w:eastAsia="en-US"/>
        </w:rPr>
        <w:t>) the charging and recovery of fees in respect of any matter under the Migration Act or the regulations, including the fees payable in connection with the review of decisions made under the Migration Act or the regulations, whether or not such review is provided for by or under the Migration Act;</w:t>
      </w:r>
    </w:p>
    <w:p w14:paraId="311B1A0A" w14:textId="77777777" w:rsidR="002107B3" w:rsidRDefault="002107B3" w:rsidP="0011515A">
      <w:pPr>
        <w:pStyle w:val="ListParagraph"/>
        <w:autoSpaceDE w:val="0"/>
        <w:autoSpaceDN w:val="0"/>
        <w:adjustRightInd w:val="0"/>
        <w:spacing w:before="0" w:after="27"/>
        <w:ind w:left="1080"/>
        <w:rPr>
          <w:rFonts w:eastAsiaTheme="minorHAnsi"/>
          <w:color w:val="000000"/>
          <w:szCs w:val="24"/>
          <w:lang w:eastAsia="en-US"/>
        </w:rPr>
      </w:pPr>
      <w:r w:rsidRPr="002107B3">
        <w:rPr>
          <w:rFonts w:eastAsiaTheme="minorHAnsi"/>
          <w:color w:val="000000"/>
          <w:szCs w:val="24"/>
          <w:lang w:eastAsia="en-US"/>
        </w:rPr>
        <w:t xml:space="preserve">(ii) </w:t>
      </w:r>
      <w:proofErr w:type="gramStart"/>
      <w:r w:rsidRPr="002107B3">
        <w:rPr>
          <w:rFonts w:eastAsiaTheme="minorHAnsi"/>
          <w:color w:val="000000"/>
          <w:szCs w:val="24"/>
          <w:lang w:eastAsia="en-US"/>
        </w:rPr>
        <w:t>the</w:t>
      </w:r>
      <w:proofErr w:type="gramEnd"/>
      <w:r w:rsidRPr="002107B3">
        <w:rPr>
          <w:rFonts w:eastAsiaTheme="minorHAnsi"/>
          <w:color w:val="000000"/>
          <w:szCs w:val="24"/>
          <w:lang w:eastAsia="en-US"/>
        </w:rPr>
        <w:t xml:space="preserve"> charging and recovery of fees in respect of English language tests conducted by or on behalf</w:t>
      </w:r>
      <w:r>
        <w:rPr>
          <w:rFonts w:eastAsiaTheme="minorHAnsi"/>
          <w:color w:val="000000"/>
          <w:szCs w:val="24"/>
          <w:lang w:eastAsia="en-US"/>
        </w:rPr>
        <w:t xml:space="preserve"> of the Department;</w:t>
      </w:r>
    </w:p>
    <w:p w14:paraId="1585DB06" w14:textId="77777777" w:rsidR="002107B3" w:rsidRDefault="002107B3" w:rsidP="0011515A">
      <w:pPr>
        <w:pStyle w:val="ListParagraph"/>
        <w:autoSpaceDE w:val="0"/>
        <w:autoSpaceDN w:val="0"/>
        <w:adjustRightInd w:val="0"/>
        <w:spacing w:before="0" w:after="27"/>
        <w:ind w:left="1080"/>
        <w:rPr>
          <w:rFonts w:eastAsiaTheme="minorHAnsi"/>
          <w:color w:val="000000"/>
          <w:szCs w:val="24"/>
          <w:lang w:eastAsia="en-US"/>
        </w:rPr>
      </w:pPr>
      <w:r w:rsidRPr="002107B3">
        <w:rPr>
          <w:rFonts w:eastAsiaTheme="minorHAnsi"/>
          <w:color w:val="000000"/>
          <w:szCs w:val="24"/>
          <w:lang w:eastAsia="en-US"/>
        </w:rPr>
        <w:t xml:space="preserve">(iii) </w:t>
      </w:r>
      <w:proofErr w:type="gramStart"/>
      <w:r w:rsidRPr="002107B3">
        <w:rPr>
          <w:rFonts w:eastAsiaTheme="minorHAnsi"/>
          <w:color w:val="000000"/>
          <w:szCs w:val="24"/>
          <w:lang w:eastAsia="en-US"/>
        </w:rPr>
        <w:t>the</w:t>
      </w:r>
      <w:proofErr w:type="gramEnd"/>
      <w:r w:rsidRPr="002107B3">
        <w:rPr>
          <w:rFonts w:eastAsiaTheme="minorHAnsi"/>
          <w:color w:val="000000"/>
          <w:szCs w:val="24"/>
          <w:lang w:eastAsia="en-US"/>
        </w:rPr>
        <w:t xml:space="preserve"> way, including the currency, i</w:t>
      </w:r>
      <w:r>
        <w:rPr>
          <w:rFonts w:eastAsiaTheme="minorHAnsi"/>
          <w:color w:val="000000"/>
          <w:szCs w:val="24"/>
          <w:lang w:eastAsia="en-US"/>
        </w:rPr>
        <w:t>n which fees are to be paid; or</w:t>
      </w:r>
    </w:p>
    <w:p w14:paraId="4F417625" w14:textId="24134484" w:rsidR="002107B3" w:rsidRPr="002107B3" w:rsidRDefault="002107B3" w:rsidP="002C7FF6">
      <w:pPr>
        <w:pStyle w:val="ListParagraph"/>
        <w:autoSpaceDE w:val="0"/>
        <w:autoSpaceDN w:val="0"/>
        <w:adjustRightInd w:val="0"/>
        <w:spacing w:before="0" w:after="27"/>
        <w:ind w:left="1080"/>
        <w:rPr>
          <w:rFonts w:eastAsiaTheme="minorHAnsi"/>
          <w:color w:val="000000"/>
          <w:szCs w:val="24"/>
          <w:lang w:eastAsia="en-US"/>
        </w:rPr>
      </w:pPr>
      <w:r w:rsidRPr="002107B3">
        <w:rPr>
          <w:rFonts w:eastAsiaTheme="minorHAnsi"/>
          <w:color w:val="000000"/>
          <w:szCs w:val="24"/>
          <w:lang w:eastAsia="en-US"/>
        </w:rPr>
        <w:t xml:space="preserve">(iv) </w:t>
      </w:r>
      <w:proofErr w:type="gramStart"/>
      <w:r w:rsidRPr="002107B3">
        <w:rPr>
          <w:rFonts w:eastAsiaTheme="minorHAnsi"/>
          <w:color w:val="000000"/>
          <w:szCs w:val="24"/>
          <w:lang w:eastAsia="en-US"/>
        </w:rPr>
        <w:t>the</w:t>
      </w:r>
      <w:proofErr w:type="gramEnd"/>
      <w:r w:rsidRPr="002107B3">
        <w:rPr>
          <w:rFonts w:eastAsiaTheme="minorHAnsi"/>
          <w:color w:val="000000"/>
          <w:szCs w:val="24"/>
          <w:lang w:eastAsia="en-US"/>
        </w:rPr>
        <w:t xml:space="preserve"> persons who may be paid fees</w:t>
      </w:r>
      <w:r>
        <w:rPr>
          <w:rFonts w:eastAsiaTheme="minorHAnsi"/>
          <w:color w:val="000000"/>
          <w:szCs w:val="24"/>
          <w:lang w:eastAsia="en-US"/>
        </w:rPr>
        <w:t xml:space="preserve"> on behalf of the Commonwealth.</w:t>
      </w:r>
    </w:p>
    <w:p w14:paraId="70294217" w14:textId="74F25DAE" w:rsidR="00DD3481" w:rsidRPr="007552B8" w:rsidRDefault="00DD3481" w:rsidP="00CA29BB">
      <w:pPr>
        <w:spacing w:before="0"/>
        <w:ind w:right="662"/>
        <w:jc w:val="both"/>
        <w:rPr>
          <w:szCs w:val="24"/>
        </w:rPr>
      </w:pPr>
    </w:p>
    <w:p w14:paraId="59DFF0B6" w14:textId="0721FD32" w:rsidR="00E70EED" w:rsidRPr="007552B8" w:rsidRDefault="00E70EED" w:rsidP="00CA29BB">
      <w:pPr>
        <w:spacing w:before="0"/>
        <w:rPr>
          <w:szCs w:val="24"/>
        </w:rPr>
      </w:pPr>
      <w:r w:rsidRPr="007552B8">
        <w:rPr>
          <w:szCs w:val="24"/>
        </w:rPr>
        <w:br w:type="page"/>
      </w:r>
    </w:p>
    <w:p w14:paraId="62AD0420" w14:textId="4816FEC5" w:rsidR="004E7C90" w:rsidRPr="007552B8" w:rsidRDefault="004E7C90" w:rsidP="00BE2AF5">
      <w:pPr>
        <w:spacing w:before="0"/>
        <w:ind w:left="3600"/>
        <w:jc w:val="right"/>
        <w:rPr>
          <w:szCs w:val="24"/>
        </w:rPr>
      </w:pPr>
      <w:r w:rsidRPr="007552B8">
        <w:rPr>
          <w:b/>
          <w:szCs w:val="24"/>
          <w:u w:val="single"/>
        </w:rPr>
        <w:lastRenderedPageBreak/>
        <w:t>ATTACHMENT B</w:t>
      </w:r>
    </w:p>
    <w:p w14:paraId="22842348" w14:textId="77777777" w:rsidR="004E7C90" w:rsidRPr="007552B8" w:rsidRDefault="004E7C90" w:rsidP="00BE2AF5">
      <w:pPr>
        <w:tabs>
          <w:tab w:val="left" w:pos="345"/>
        </w:tabs>
        <w:spacing w:before="0"/>
        <w:ind w:right="43"/>
        <w:contextualSpacing/>
        <w:rPr>
          <w:szCs w:val="24"/>
          <w:u w:val="single"/>
        </w:rPr>
      </w:pPr>
    </w:p>
    <w:p w14:paraId="424A4AF6" w14:textId="40165793" w:rsidR="004E7C90" w:rsidRPr="007552B8" w:rsidRDefault="004E7C90" w:rsidP="00BE2AF5">
      <w:pPr>
        <w:pStyle w:val="Default"/>
        <w:jc w:val="center"/>
        <w:rPr>
          <w:b/>
          <w:bCs/>
          <w:color w:val="auto"/>
        </w:rPr>
      </w:pPr>
      <w:r w:rsidRPr="007552B8">
        <w:rPr>
          <w:b/>
          <w:bCs/>
          <w:color w:val="auto"/>
        </w:rPr>
        <w:t>Statement of Compatibility with Human Rights</w:t>
      </w:r>
    </w:p>
    <w:p w14:paraId="07F1D731" w14:textId="77777777" w:rsidR="00BF7A4C" w:rsidRPr="007552B8" w:rsidRDefault="00BF7A4C" w:rsidP="00BE2AF5">
      <w:pPr>
        <w:pStyle w:val="Default"/>
        <w:jc w:val="center"/>
        <w:rPr>
          <w:color w:val="auto"/>
        </w:rPr>
      </w:pPr>
    </w:p>
    <w:p w14:paraId="372A95FC" w14:textId="40834B70" w:rsidR="004E7C90" w:rsidRPr="007552B8" w:rsidRDefault="004E7C90" w:rsidP="00BE2AF5">
      <w:pPr>
        <w:pStyle w:val="Default"/>
        <w:jc w:val="center"/>
        <w:rPr>
          <w:i/>
          <w:iCs/>
          <w:color w:val="auto"/>
        </w:rPr>
      </w:pPr>
      <w:r w:rsidRPr="007552B8">
        <w:rPr>
          <w:i/>
          <w:iCs/>
          <w:color w:val="auto"/>
        </w:rPr>
        <w:t>Prepared in accordance with Part 3 of the Human Rights (Parliamentary Scrutiny) Act 2011</w:t>
      </w:r>
    </w:p>
    <w:p w14:paraId="1F7192F3" w14:textId="77777777" w:rsidR="00F91D9B" w:rsidRPr="007552B8" w:rsidRDefault="00F91D9B" w:rsidP="00BE2AF5">
      <w:pPr>
        <w:spacing w:before="0"/>
        <w:ind w:right="91"/>
        <w:jc w:val="center"/>
        <w:rPr>
          <w:i/>
          <w:szCs w:val="24"/>
        </w:rPr>
      </w:pPr>
    </w:p>
    <w:p w14:paraId="43262502" w14:textId="7750EFC0" w:rsidR="00F91D9B" w:rsidRPr="007552B8" w:rsidRDefault="00F91D9B" w:rsidP="00BE2AF5">
      <w:pPr>
        <w:spacing w:before="0"/>
        <w:ind w:right="91"/>
        <w:jc w:val="center"/>
        <w:rPr>
          <w:b/>
          <w:i/>
          <w:szCs w:val="24"/>
        </w:rPr>
      </w:pPr>
      <w:r w:rsidRPr="007552B8">
        <w:rPr>
          <w:b/>
          <w:i/>
          <w:szCs w:val="24"/>
        </w:rPr>
        <w:t>Home Aff</w:t>
      </w:r>
      <w:r w:rsidR="00BE2AF5">
        <w:rPr>
          <w:b/>
          <w:i/>
          <w:szCs w:val="24"/>
        </w:rPr>
        <w:t>airs Legislation Amendment (Credit Card and PayPal Surcharge</w:t>
      </w:r>
      <w:proofErr w:type="gramStart"/>
      <w:r w:rsidR="00BE2AF5">
        <w:rPr>
          <w:b/>
          <w:i/>
          <w:szCs w:val="24"/>
        </w:rPr>
        <w:t>)</w:t>
      </w:r>
      <w:proofErr w:type="gramEnd"/>
      <w:r w:rsidR="00BE2AF5">
        <w:rPr>
          <w:b/>
          <w:i/>
          <w:szCs w:val="24"/>
        </w:rPr>
        <w:br/>
      </w:r>
      <w:r w:rsidR="00BF7A4C" w:rsidRPr="007552B8">
        <w:rPr>
          <w:b/>
          <w:i/>
          <w:szCs w:val="24"/>
        </w:rPr>
        <w:t>Regulations 2020</w:t>
      </w:r>
    </w:p>
    <w:p w14:paraId="179AA3FD" w14:textId="77777777" w:rsidR="00BF7A4C" w:rsidRPr="00BE2AF5" w:rsidRDefault="00BF7A4C" w:rsidP="00BE2AF5">
      <w:pPr>
        <w:spacing w:before="0"/>
        <w:ind w:right="91"/>
        <w:rPr>
          <w:szCs w:val="24"/>
        </w:rPr>
      </w:pPr>
    </w:p>
    <w:p w14:paraId="155CA131" w14:textId="3B34F54D" w:rsidR="00BE2AF5" w:rsidRPr="00BE2AF5" w:rsidRDefault="00BE2AF5" w:rsidP="00BE2AF5">
      <w:pPr>
        <w:spacing w:before="0"/>
        <w:rPr>
          <w:szCs w:val="24"/>
        </w:rPr>
      </w:pPr>
      <w:r>
        <w:rPr>
          <w:szCs w:val="24"/>
        </w:rPr>
        <w:t xml:space="preserve">This Disallowable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14:paraId="1DA08FC6" w14:textId="77777777" w:rsidR="00BE2AF5" w:rsidRPr="00BE2AF5" w:rsidRDefault="00BE2AF5" w:rsidP="00BE2AF5">
      <w:pPr>
        <w:tabs>
          <w:tab w:val="left" w:pos="601"/>
        </w:tabs>
        <w:spacing w:before="0"/>
        <w:ind w:left="601" w:hanging="601"/>
        <w:rPr>
          <w:szCs w:val="24"/>
        </w:rPr>
      </w:pPr>
    </w:p>
    <w:p w14:paraId="33B85089" w14:textId="77777777" w:rsidR="00BE2AF5" w:rsidRDefault="00BE2AF5" w:rsidP="00BE2AF5">
      <w:pPr>
        <w:tabs>
          <w:tab w:val="left" w:pos="601"/>
        </w:tabs>
        <w:spacing w:before="0"/>
        <w:ind w:left="601" w:hanging="601"/>
        <w:rPr>
          <w:b/>
          <w:szCs w:val="24"/>
        </w:rPr>
      </w:pPr>
      <w:r>
        <w:rPr>
          <w:b/>
          <w:szCs w:val="24"/>
        </w:rPr>
        <w:t>Overview</w:t>
      </w:r>
    </w:p>
    <w:p w14:paraId="40F654B0" w14:textId="77777777" w:rsidR="00BE2AF5" w:rsidRPr="00BE2AF5" w:rsidRDefault="00BE2AF5" w:rsidP="00BE2AF5">
      <w:pPr>
        <w:tabs>
          <w:tab w:val="left" w:pos="601"/>
        </w:tabs>
        <w:spacing w:before="0"/>
        <w:ind w:left="601" w:hanging="601"/>
        <w:rPr>
          <w:szCs w:val="24"/>
        </w:rPr>
      </w:pPr>
    </w:p>
    <w:p w14:paraId="451BB143" w14:textId="39564FEE" w:rsidR="00BE2AF5" w:rsidRDefault="00BE2AF5" w:rsidP="00BE2AF5">
      <w:pPr>
        <w:spacing w:before="0"/>
        <w:rPr>
          <w:szCs w:val="24"/>
        </w:rPr>
      </w:pPr>
      <w:proofErr w:type="gramStart"/>
      <w:r>
        <w:rPr>
          <w:szCs w:val="24"/>
        </w:rPr>
        <w:t xml:space="preserve">Schedule 1 to the </w:t>
      </w:r>
      <w:r w:rsidRPr="00BE2AF5">
        <w:rPr>
          <w:i/>
          <w:szCs w:val="24"/>
        </w:rPr>
        <w:t>Home Affairs Legi</w:t>
      </w:r>
      <w:r>
        <w:rPr>
          <w:i/>
          <w:szCs w:val="24"/>
        </w:rPr>
        <w:t>slation Amendment (Credit Card and PayPal Surcharge</w:t>
      </w:r>
      <w:r w:rsidRPr="00BE2AF5">
        <w:rPr>
          <w:i/>
          <w:szCs w:val="24"/>
        </w:rPr>
        <w:t>) Regulations 2020</w:t>
      </w:r>
      <w:r w:rsidRPr="00BE2AF5">
        <w:rPr>
          <w:szCs w:val="24"/>
        </w:rPr>
        <w:t xml:space="preserve"> (t</w:t>
      </w:r>
      <w:r>
        <w:rPr>
          <w:szCs w:val="24"/>
        </w:rPr>
        <w:t xml:space="preserve">he Amendment Regulations) amends the </w:t>
      </w:r>
      <w:r>
        <w:rPr>
          <w:i/>
          <w:szCs w:val="24"/>
        </w:rPr>
        <w:t>Australian Citizenship Regulation 2016</w:t>
      </w:r>
      <w:r>
        <w:rPr>
          <w:szCs w:val="24"/>
        </w:rPr>
        <w:t xml:space="preserve">, the </w:t>
      </w:r>
      <w:r>
        <w:rPr>
          <w:i/>
          <w:szCs w:val="24"/>
        </w:rPr>
        <w:t xml:space="preserve">Customs Regulation 2015 </w:t>
      </w:r>
      <w:r>
        <w:rPr>
          <w:szCs w:val="24"/>
        </w:rPr>
        <w:t xml:space="preserve">and the </w:t>
      </w:r>
      <w:r>
        <w:rPr>
          <w:i/>
          <w:szCs w:val="24"/>
        </w:rPr>
        <w:t>Migration Regulations 1994</w:t>
      </w:r>
      <w:r>
        <w:rPr>
          <w:szCs w:val="24"/>
        </w:rPr>
        <w:t xml:space="preserve"> to revise the surcharge applicable to Visa and MasterCard credit card, and PayPal, payments for certain fees and charges, including visa application charges, nomination and sponsorship fees, citizenship-related fees and customs duties and taxes.</w:t>
      </w:r>
      <w:proofErr w:type="gramEnd"/>
    </w:p>
    <w:p w14:paraId="526C4290" w14:textId="77777777" w:rsidR="00BE2AF5" w:rsidRDefault="00BE2AF5" w:rsidP="00BE2AF5">
      <w:pPr>
        <w:spacing w:before="0"/>
        <w:rPr>
          <w:szCs w:val="24"/>
        </w:rPr>
      </w:pPr>
    </w:p>
    <w:p w14:paraId="1E426562" w14:textId="77777777" w:rsidR="00BE2AF5" w:rsidRDefault="00BE2AF5" w:rsidP="00BE2AF5">
      <w:pPr>
        <w:spacing w:before="0"/>
        <w:rPr>
          <w:szCs w:val="24"/>
        </w:rPr>
      </w:pPr>
      <w:r>
        <w:rPr>
          <w:szCs w:val="24"/>
        </w:rPr>
        <w:t>The Department of Home Affairs (the Department) has re-assessed the appropriate level of surcharge in accordance with the ‘reasonable cost of acceptance’ guidance provided by the Reserve Bank of Australia (the RBA).  The revised surcharge amounts are as follows:</w:t>
      </w:r>
    </w:p>
    <w:p w14:paraId="7438169F" w14:textId="77777777" w:rsidR="00BE2AF5" w:rsidRDefault="00BE2AF5" w:rsidP="00BE2AF5">
      <w:pPr>
        <w:spacing w:before="0"/>
        <w:rPr>
          <w:szCs w:val="24"/>
        </w:rPr>
      </w:pPr>
    </w:p>
    <w:p w14:paraId="253C10E9" w14:textId="117B476A" w:rsidR="004B1B05" w:rsidRDefault="00BE2AF5" w:rsidP="004B1B05">
      <w:pPr>
        <w:pStyle w:val="ListParagraph"/>
        <w:numPr>
          <w:ilvl w:val="0"/>
          <w:numId w:val="31"/>
        </w:numPr>
        <w:spacing w:before="0"/>
        <w:rPr>
          <w:szCs w:val="24"/>
        </w:rPr>
      </w:pPr>
      <w:proofErr w:type="gramStart"/>
      <w:r>
        <w:rPr>
          <w:szCs w:val="24"/>
        </w:rPr>
        <w:t>for</w:t>
      </w:r>
      <w:proofErr w:type="gramEnd"/>
      <w:r>
        <w:rPr>
          <w:szCs w:val="24"/>
        </w:rPr>
        <w:t xml:space="preserve"> paym</w:t>
      </w:r>
      <w:r w:rsidR="004B1B05">
        <w:rPr>
          <w:szCs w:val="24"/>
        </w:rPr>
        <w:t xml:space="preserve">ents made by Visa or MasterCard </w:t>
      </w:r>
      <w:r>
        <w:rPr>
          <w:szCs w:val="24"/>
        </w:rPr>
        <w:t xml:space="preserve">– the surcharge rate is being increased by 0.08 per cent (that is, from 1.32 per cent to 1.4 per cent).  This increase is being limited to Visa and MasterCard </w:t>
      </w:r>
      <w:r w:rsidR="004B1B05">
        <w:rPr>
          <w:szCs w:val="24"/>
        </w:rPr>
        <w:t xml:space="preserve">credit card </w:t>
      </w:r>
      <w:r>
        <w:rPr>
          <w:szCs w:val="24"/>
        </w:rPr>
        <w:t xml:space="preserve">payments alone, </w:t>
      </w:r>
      <w:r w:rsidR="004B1B05">
        <w:rPr>
          <w:szCs w:val="24"/>
        </w:rPr>
        <w:t xml:space="preserve">as the majority of credit card payments </w:t>
      </w:r>
      <w:proofErr w:type="gramStart"/>
      <w:r w:rsidR="004B1B05">
        <w:rPr>
          <w:szCs w:val="24"/>
        </w:rPr>
        <w:t>are made</w:t>
      </w:r>
      <w:proofErr w:type="gramEnd"/>
      <w:r w:rsidR="004B1B05">
        <w:rPr>
          <w:szCs w:val="24"/>
        </w:rPr>
        <w:t xml:space="preserve"> using these two payment options.  In addition, the surcharge rate for the other credit card options is already 1.4 per cent or higher; and</w:t>
      </w:r>
    </w:p>
    <w:p w14:paraId="416F6F25" w14:textId="77777777" w:rsidR="004B1B05" w:rsidRDefault="004B1B05" w:rsidP="004B1B05">
      <w:pPr>
        <w:pStyle w:val="ListParagraph"/>
        <w:spacing w:before="0"/>
        <w:rPr>
          <w:szCs w:val="24"/>
        </w:rPr>
      </w:pPr>
    </w:p>
    <w:p w14:paraId="00F524DD" w14:textId="77777777" w:rsidR="00BE2AF5" w:rsidRDefault="00BE2AF5" w:rsidP="00BE2AF5">
      <w:pPr>
        <w:pStyle w:val="ListParagraph"/>
        <w:numPr>
          <w:ilvl w:val="0"/>
          <w:numId w:val="31"/>
        </w:numPr>
        <w:spacing w:before="0"/>
        <w:rPr>
          <w:szCs w:val="24"/>
        </w:rPr>
      </w:pPr>
      <w:proofErr w:type="gramStart"/>
      <w:r>
        <w:rPr>
          <w:szCs w:val="24"/>
        </w:rPr>
        <w:t>for</w:t>
      </w:r>
      <w:proofErr w:type="gramEnd"/>
      <w:r>
        <w:rPr>
          <w:szCs w:val="24"/>
        </w:rPr>
        <w:t xml:space="preserve"> payments made using PayPal – the surcharge rate is being increased by 0.01 per cent (that is, from 1 per cent to 1.01 per cent).  This will allow for the full recovery of the fees charged by PayPal.</w:t>
      </w:r>
    </w:p>
    <w:p w14:paraId="5793E6E2" w14:textId="77777777" w:rsidR="00BE2AF5" w:rsidRDefault="00BE2AF5" w:rsidP="00BE2AF5">
      <w:pPr>
        <w:spacing w:before="0"/>
        <w:rPr>
          <w:szCs w:val="24"/>
        </w:rPr>
      </w:pPr>
    </w:p>
    <w:p w14:paraId="600D5992" w14:textId="77777777" w:rsidR="00BE2AF5" w:rsidRDefault="00BE2AF5" w:rsidP="00BE2AF5">
      <w:pPr>
        <w:spacing w:before="0"/>
        <w:rPr>
          <w:szCs w:val="24"/>
        </w:rPr>
      </w:pPr>
      <w:r>
        <w:rPr>
          <w:szCs w:val="24"/>
        </w:rPr>
        <w:t xml:space="preserve">The recovery of merchant fees through a surcharge </w:t>
      </w:r>
      <w:proofErr w:type="gramStart"/>
      <w:r>
        <w:rPr>
          <w:szCs w:val="24"/>
        </w:rPr>
        <w:t>is allowed</w:t>
      </w:r>
      <w:proofErr w:type="gramEnd"/>
      <w:r>
        <w:rPr>
          <w:szCs w:val="24"/>
        </w:rPr>
        <w:t xml:space="preserve"> under the RBA surcharging standards and is consistent with the cost recovery guidelines issued by the Department of Finance.  The revised surcharge amounts will ensure an appropriate level of cost recovery, by reducing the gap between the merchant fees charged by financial services providers and the surcharge collected by the Department.</w:t>
      </w:r>
    </w:p>
    <w:p w14:paraId="7B3229CD" w14:textId="77777777" w:rsidR="00BE2AF5" w:rsidRDefault="00BE2AF5" w:rsidP="00BE2AF5">
      <w:pPr>
        <w:spacing w:before="0"/>
        <w:rPr>
          <w:szCs w:val="24"/>
        </w:rPr>
      </w:pPr>
    </w:p>
    <w:p w14:paraId="4E7A8FAA" w14:textId="77777777" w:rsidR="00BE2AF5" w:rsidRDefault="00BE2AF5" w:rsidP="00BE2AF5">
      <w:pPr>
        <w:shd w:val="clear" w:color="auto" w:fill="FFFFFF"/>
        <w:spacing w:before="0"/>
        <w:rPr>
          <w:b/>
          <w:szCs w:val="24"/>
        </w:rPr>
      </w:pPr>
      <w:r>
        <w:rPr>
          <w:b/>
          <w:szCs w:val="24"/>
        </w:rPr>
        <w:t>Human rights implications</w:t>
      </w:r>
    </w:p>
    <w:p w14:paraId="4EE63FB4" w14:textId="77777777" w:rsidR="00BE2AF5" w:rsidRDefault="00BE2AF5" w:rsidP="00BE2AF5">
      <w:pPr>
        <w:shd w:val="clear" w:color="auto" w:fill="FFFFFF"/>
        <w:spacing w:before="0"/>
        <w:rPr>
          <w:b/>
          <w:szCs w:val="24"/>
          <w:lang w:val="en-US"/>
        </w:rPr>
      </w:pPr>
    </w:p>
    <w:p w14:paraId="7226B926" w14:textId="77777777" w:rsidR="00BE2AF5" w:rsidRDefault="00BE2AF5" w:rsidP="00BE2AF5">
      <w:pPr>
        <w:spacing w:before="0"/>
        <w:rPr>
          <w:rFonts w:eastAsia="Batang"/>
          <w:szCs w:val="24"/>
          <w:lang w:eastAsia="ko-KR"/>
        </w:rPr>
      </w:pPr>
      <w:r>
        <w:rPr>
          <w:rFonts w:eastAsia="Batang"/>
          <w:szCs w:val="24"/>
          <w:lang w:eastAsia="ko-KR"/>
        </w:rPr>
        <w:t>This Disallowable Legislative Instrument does not engage any of the applicable rights or freedoms.</w:t>
      </w:r>
    </w:p>
    <w:p w14:paraId="5299E210" w14:textId="6672305B" w:rsidR="004B1B05" w:rsidRDefault="004B1B05">
      <w:pPr>
        <w:spacing w:before="0" w:after="200" w:line="276" w:lineRule="auto"/>
        <w:rPr>
          <w:szCs w:val="24"/>
        </w:rPr>
      </w:pPr>
      <w:r>
        <w:rPr>
          <w:szCs w:val="24"/>
        </w:rPr>
        <w:br w:type="page"/>
      </w:r>
    </w:p>
    <w:p w14:paraId="74825202" w14:textId="26151AF1" w:rsidR="00BE2AF5" w:rsidRDefault="00BE2AF5" w:rsidP="00BE2AF5">
      <w:pPr>
        <w:spacing w:before="0"/>
        <w:rPr>
          <w:b/>
          <w:szCs w:val="24"/>
        </w:rPr>
      </w:pPr>
      <w:r>
        <w:rPr>
          <w:b/>
          <w:szCs w:val="24"/>
        </w:rPr>
        <w:lastRenderedPageBreak/>
        <w:t>Conclusion</w:t>
      </w:r>
    </w:p>
    <w:p w14:paraId="4690FA88" w14:textId="77777777" w:rsidR="00BE2AF5" w:rsidRDefault="00BE2AF5" w:rsidP="00BE2AF5">
      <w:pPr>
        <w:spacing w:before="0"/>
        <w:rPr>
          <w:b/>
          <w:szCs w:val="24"/>
        </w:rPr>
      </w:pPr>
    </w:p>
    <w:p w14:paraId="42E80B26" w14:textId="77777777" w:rsidR="00BE2AF5" w:rsidRDefault="00BE2AF5" w:rsidP="00BE2AF5">
      <w:pPr>
        <w:spacing w:before="0"/>
        <w:rPr>
          <w:szCs w:val="24"/>
        </w:rPr>
      </w:pPr>
      <w:r>
        <w:rPr>
          <w:szCs w:val="24"/>
        </w:rPr>
        <w:t>This Disallowable Legislative Instrument is compatible with human right</w:t>
      </w:r>
      <w:bookmarkStart w:id="0" w:name="_GoBack"/>
      <w:bookmarkEnd w:id="0"/>
      <w:r>
        <w:rPr>
          <w:szCs w:val="24"/>
        </w:rPr>
        <w:t>s as it does not raise any human rights issues.</w:t>
      </w:r>
    </w:p>
    <w:p w14:paraId="12E3E9CD" w14:textId="192F8E95" w:rsidR="00BE2AF5" w:rsidRDefault="00BE2AF5" w:rsidP="00BE2AF5">
      <w:pPr>
        <w:spacing w:before="0"/>
        <w:jc w:val="both"/>
        <w:rPr>
          <w:szCs w:val="24"/>
        </w:rPr>
      </w:pPr>
    </w:p>
    <w:p w14:paraId="507DA41F" w14:textId="0B0CE197" w:rsidR="004B1B05" w:rsidRDefault="004B1B05" w:rsidP="00BE2AF5">
      <w:pPr>
        <w:spacing w:before="0"/>
        <w:jc w:val="both"/>
        <w:rPr>
          <w:szCs w:val="24"/>
        </w:rPr>
      </w:pPr>
    </w:p>
    <w:p w14:paraId="08372710" w14:textId="013DD0E0" w:rsidR="004B1B05" w:rsidRDefault="004B1B05" w:rsidP="00BE2AF5">
      <w:pPr>
        <w:spacing w:before="0"/>
        <w:jc w:val="both"/>
        <w:rPr>
          <w:szCs w:val="24"/>
        </w:rPr>
      </w:pPr>
    </w:p>
    <w:p w14:paraId="3B82C27E" w14:textId="77777777" w:rsidR="004B1B05" w:rsidRDefault="004B1B05" w:rsidP="00BE2AF5">
      <w:pPr>
        <w:spacing w:before="0"/>
        <w:jc w:val="both"/>
        <w:rPr>
          <w:szCs w:val="24"/>
        </w:rPr>
      </w:pPr>
    </w:p>
    <w:p w14:paraId="4C8D2B06" w14:textId="77777777" w:rsidR="00BE2AF5" w:rsidRDefault="00BE2AF5" w:rsidP="00BE2AF5">
      <w:pPr>
        <w:spacing w:before="0"/>
        <w:jc w:val="both"/>
        <w:rPr>
          <w:szCs w:val="24"/>
        </w:rPr>
      </w:pPr>
    </w:p>
    <w:p w14:paraId="137C564E" w14:textId="68B341B8" w:rsidR="000E0342" w:rsidRPr="004B1B05" w:rsidRDefault="00BE2AF5" w:rsidP="004B1B05">
      <w:pPr>
        <w:spacing w:before="0"/>
        <w:jc w:val="center"/>
        <w:rPr>
          <w:b/>
          <w:szCs w:val="24"/>
        </w:rPr>
      </w:pPr>
      <w:r>
        <w:rPr>
          <w:b/>
          <w:szCs w:val="24"/>
        </w:rPr>
        <w:t>The Hon Peter Dutton MP, Minister for Home Affairs</w:t>
      </w:r>
    </w:p>
    <w:p w14:paraId="0BD38BC3" w14:textId="02080927" w:rsidR="000576E6" w:rsidRPr="007552B8" w:rsidRDefault="003A5DAF" w:rsidP="00CA29BB">
      <w:pPr>
        <w:spacing w:before="0"/>
        <w:jc w:val="center"/>
        <w:rPr>
          <w:szCs w:val="24"/>
        </w:rPr>
      </w:pPr>
      <w:r w:rsidRPr="007552B8">
        <w:rPr>
          <w:szCs w:val="24"/>
        </w:rPr>
        <w:br w:type="page"/>
      </w:r>
    </w:p>
    <w:p w14:paraId="685F98F7" w14:textId="1F549B39" w:rsidR="004B67FC" w:rsidRPr="007552B8" w:rsidRDefault="004B67FC" w:rsidP="00CA29BB">
      <w:pPr>
        <w:tabs>
          <w:tab w:val="left" w:pos="345"/>
        </w:tabs>
        <w:spacing w:before="0"/>
        <w:ind w:right="43"/>
        <w:contextualSpacing/>
        <w:jc w:val="right"/>
        <w:rPr>
          <w:b/>
          <w:szCs w:val="24"/>
          <w:u w:val="single"/>
        </w:rPr>
      </w:pPr>
      <w:r w:rsidRPr="007552B8">
        <w:rPr>
          <w:b/>
          <w:szCs w:val="24"/>
          <w:u w:val="single"/>
        </w:rPr>
        <w:lastRenderedPageBreak/>
        <w:t>ATTACHMENT</w:t>
      </w:r>
      <w:r w:rsidR="0030252A" w:rsidRPr="007552B8">
        <w:rPr>
          <w:b/>
          <w:szCs w:val="24"/>
          <w:u w:val="single"/>
        </w:rPr>
        <w:t xml:space="preserve"> </w:t>
      </w:r>
      <w:r w:rsidR="004E7C90" w:rsidRPr="007552B8">
        <w:rPr>
          <w:b/>
          <w:szCs w:val="24"/>
          <w:u w:val="single"/>
        </w:rPr>
        <w:t>C</w:t>
      </w:r>
    </w:p>
    <w:p w14:paraId="5E7FB9AC" w14:textId="77777777" w:rsidR="00E70EED" w:rsidRPr="007552B8" w:rsidRDefault="00E70EED" w:rsidP="00CA29BB">
      <w:pPr>
        <w:spacing w:before="0"/>
        <w:ind w:right="91"/>
        <w:rPr>
          <w:b/>
          <w:szCs w:val="24"/>
          <w:u w:val="single"/>
        </w:rPr>
      </w:pPr>
    </w:p>
    <w:p w14:paraId="5D514C76" w14:textId="0B532048" w:rsidR="00E70EED" w:rsidRPr="007552B8" w:rsidRDefault="00E70EED" w:rsidP="00CA29BB">
      <w:pPr>
        <w:spacing w:before="0"/>
        <w:ind w:right="91"/>
        <w:rPr>
          <w:b/>
          <w:i/>
          <w:szCs w:val="24"/>
          <w:u w:val="single"/>
        </w:rPr>
      </w:pPr>
      <w:r w:rsidRPr="007552B8">
        <w:rPr>
          <w:b/>
          <w:szCs w:val="24"/>
          <w:u w:val="single"/>
        </w:rPr>
        <w:t xml:space="preserve">Details of the </w:t>
      </w:r>
      <w:r w:rsidRPr="007552B8">
        <w:rPr>
          <w:b/>
          <w:i/>
          <w:szCs w:val="24"/>
          <w:u w:val="single"/>
        </w:rPr>
        <w:t>Home Affairs Legislatio</w:t>
      </w:r>
      <w:r w:rsidR="009D329A">
        <w:rPr>
          <w:b/>
          <w:i/>
          <w:szCs w:val="24"/>
          <w:u w:val="single"/>
        </w:rPr>
        <w:t>n Amendment (Credit Card and PayPal Surcharge</w:t>
      </w:r>
      <w:r w:rsidRPr="007552B8">
        <w:rPr>
          <w:b/>
          <w:i/>
          <w:szCs w:val="24"/>
          <w:u w:val="single"/>
        </w:rPr>
        <w:t>) Regulations 2020</w:t>
      </w:r>
    </w:p>
    <w:p w14:paraId="476823AE" w14:textId="4DA6CACA" w:rsidR="009D329A" w:rsidRPr="0003644A" w:rsidRDefault="009D329A" w:rsidP="009D329A">
      <w:pPr>
        <w:pStyle w:val="ItemHead"/>
        <w:keepNext w:val="0"/>
        <w:keepLines w:val="0"/>
        <w:widowControl w:val="0"/>
        <w:spacing w:before="0"/>
        <w:ind w:left="0" w:firstLine="0"/>
        <w:rPr>
          <w:rFonts w:ascii="Times New Roman" w:hAnsi="Times New Roman"/>
          <w:b w:val="0"/>
          <w:szCs w:val="24"/>
        </w:rPr>
      </w:pPr>
    </w:p>
    <w:p w14:paraId="012DA733" w14:textId="77777777" w:rsidR="009D329A" w:rsidRPr="00F61976" w:rsidRDefault="009D329A" w:rsidP="009D329A">
      <w:pPr>
        <w:pStyle w:val="ItemHead"/>
        <w:keepNext w:val="0"/>
        <w:keepLines w:val="0"/>
        <w:widowControl w:val="0"/>
        <w:spacing w:before="0"/>
        <w:rPr>
          <w:rFonts w:ascii="Times New Roman" w:hAnsi="Times New Roman"/>
          <w:b w:val="0"/>
          <w:szCs w:val="24"/>
          <w:u w:val="single"/>
        </w:rPr>
      </w:pPr>
      <w:r>
        <w:rPr>
          <w:rFonts w:ascii="Times New Roman" w:hAnsi="Times New Roman"/>
          <w:b w:val="0"/>
          <w:szCs w:val="24"/>
          <w:u w:val="single"/>
        </w:rPr>
        <w:t xml:space="preserve">Section 1 – </w:t>
      </w:r>
      <w:r w:rsidRPr="00F61976">
        <w:rPr>
          <w:rFonts w:ascii="Times New Roman" w:hAnsi="Times New Roman"/>
          <w:b w:val="0"/>
          <w:szCs w:val="24"/>
          <w:u w:val="single"/>
        </w:rPr>
        <w:t>Name</w:t>
      </w:r>
    </w:p>
    <w:p w14:paraId="4F7412F6" w14:textId="77777777" w:rsidR="009D329A" w:rsidRPr="00F61976" w:rsidRDefault="009D329A" w:rsidP="009D329A">
      <w:pPr>
        <w:spacing w:before="0"/>
        <w:ind w:right="91"/>
      </w:pPr>
    </w:p>
    <w:p w14:paraId="3308537E" w14:textId="5E94AF1E" w:rsidR="009D329A" w:rsidRPr="003E4DBE" w:rsidRDefault="009D329A" w:rsidP="009D329A">
      <w:pPr>
        <w:spacing w:before="0"/>
        <w:ind w:right="91"/>
      </w:pPr>
      <w:r w:rsidRPr="00F61976">
        <w:t xml:space="preserve">This </w:t>
      </w:r>
      <w:r>
        <w:t>section</w:t>
      </w:r>
      <w:r w:rsidRPr="00F61976">
        <w:t xml:space="preserve"> </w:t>
      </w:r>
      <w:r>
        <w:t>provides</w:t>
      </w:r>
      <w:r w:rsidRPr="00F61976">
        <w:t xml:space="preserve"> </w:t>
      </w:r>
      <w:r>
        <w:t xml:space="preserve">that the name of this </w:t>
      </w:r>
      <w:r w:rsidRPr="00F61976">
        <w:t xml:space="preserve">instrument is </w:t>
      </w:r>
      <w:r w:rsidRPr="00B82FDD">
        <w:t xml:space="preserve">the </w:t>
      </w:r>
      <w:r w:rsidRPr="00B82FDD">
        <w:rPr>
          <w:i/>
        </w:rPr>
        <w:t>Home Affairs Legislation Amendment (</w:t>
      </w:r>
      <w:r>
        <w:rPr>
          <w:i/>
        </w:rPr>
        <w:t>Credit Card and PayPal Surcharge</w:t>
      </w:r>
      <w:r w:rsidRPr="00B82FDD">
        <w:rPr>
          <w:i/>
        </w:rPr>
        <w:t>) Regulations 2020.</w:t>
      </w:r>
    </w:p>
    <w:p w14:paraId="6177CBD5" w14:textId="77777777" w:rsidR="009D329A" w:rsidRDefault="009D329A" w:rsidP="009D329A">
      <w:pPr>
        <w:spacing w:before="0"/>
        <w:ind w:right="91"/>
        <w:rPr>
          <w:i/>
        </w:rPr>
      </w:pPr>
    </w:p>
    <w:p w14:paraId="4BD39A06" w14:textId="77777777" w:rsidR="009D329A" w:rsidRDefault="009D329A" w:rsidP="009D329A">
      <w:pPr>
        <w:spacing w:before="0"/>
        <w:ind w:right="91"/>
        <w:rPr>
          <w:szCs w:val="24"/>
          <w:u w:val="single"/>
        </w:rPr>
      </w:pPr>
      <w:r>
        <w:rPr>
          <w:szCs w:val="24"/>
          <w:u w:val="single"/>
        </w:rPr>
        <w:t>Section 2 –</w:t>
      </w:r>
      <w:r w:rsidRPr="00F61976">
        <w:rPr>
          <w:szCs w:val="24"/>
          <w:u w:val="single"/>
        </w:rPr>
        <w:t xml:space="preserve"> Commencement</w:t>
      </w:r>
    </w:p>
    <w:p w14:paraId="0FC8A463" w14:textId="77777777" w:rsidR="009D329A" w:rsidRPr="007F29B4" w:rsidRDefault="009D329A" w:rsidP="009D329A">
      <w:pPr>
        <w:spacing w:before="0"/>
        <w:ind w:right="91"/>
        <w:rPr>
          <w:szCs w:val="24"/>
          <w:u w:val="single"/>
        </w:rPr>
      </w:pPr>
    </w:p>
    <w:p w14:paraId="1F571307" w14:textId="16708985" w:rsidR="009D329A" w:rsidRPr="0003644A" w:rsidRDefault="009D329A" w:rsidP="009D329A">
      <w:pPr>
        <w:spacing w:before="0"/>
        <w:rPr>
          <w:rFonts w:eastAsia="SimSun"/>
          <w:szCs w:val="24"/>
        </w:rPr>
      </w:pPr>
      <w:r>
        <w:rPr>
          <w:rFonts w:eastAsia="SimSun"/>
          <w:szCs w:val="24"/>
        </w:rPr>
        <w:t xml:space="preserve">This section </w:t>
      </w:r>
      <w:r>
        <w:t>provides</w:t>
      </w:r>
      <w:r>
        <w:rPr>
          <w:rFonts w:eastAsia="SimSun"/>
          <w:szCs w:val="24"/>
        </w:rPr>
        <w:t xml:space="preserve"> for the commencement of the instrument.</w:t>
      </w:r>
    </w:p>
    <w:p w14:paraId="6A81BBB2" w14:textId="77777777" w:rsidR="009D329A" w:rsidRDefault="009D329A" w:rsidP="009D329A">
      <w:pPr>
        <w:tabs>
          <w:tab w:val="left" w:pos="6521"/>
        </w:tabs>
        <w:spacing w:before="0"/>
        <w:ind w:right="170"/>
        <w:rPr>
          <w:szCs w:val="24"/>
        </w:rPr>
      </w:pPr>
    </w:p>
    <w:p w14:paraId="0E0A98CC" w14:textId="188B5B0F" w:rsidR="009D329A" w:rsidRDefault="009D329A" w:rsidP="009D329A">
      <w:pPr>
        <w:tabs>
          <w:tab w:val="left" w:pos="6521"/>
        </w:tabs>
        <w:spacing w:before="0"/>
        <w:ind w:right="170"/>
        <w:rPr>
          <w:szCs w:val="24"/>
        </w:rPr>
      </w:pPr>
      <w:r>
        <w:rPr>
          <w:szCs w:val="24"/>
        </w:rPr>
        <w:t xml:space="preserve">The whole of the instrument commences on 1 July </w:t>
      </w:r>
      <w:r w:rsidRPr="0003644A">
        <w:rPr>
          <w:szCs w:val="24"/>
        </w:rPr>
        <w:t xml:space="preserve">2020 to align with the </w:t>
      </w:r>
      <w:proofErr w:type="gramStart"/>
      <w:r w:rsidRPr="0003644A">
        <w:rPr>
          <w:szCs w:val="24"/>
        </w:rPr>
        <w:t>roll-out</w:t>
      </w:r>
      <w:proofErr w:type="gramEnd"/>
      <w:r w:rsidRPr="0003644A">
        <w:rPr>
          <w:szCs w:val="24"/>
        </w:rPr>
        <w:t xml:space="preserve"> of changes to the relevant Departmental systems.</w:t>
      </w:r>
    </w:p>
    <w:p w14:paraId="47948A9F" w14:textId="77777777" w:rsidR="009D329A" w:rsidRDefault="009D329A" w:rsidP="009D329A">
      <w:pPr>
        <w:tabs>
          <w:tab w:val="left" w:pos="6521"/>
        </w:tabs>
        <w:spacing w:before="0"/>
        <w:ind w:right="170"/>
        <w:rPr>
          <w:szCs w:val="24"/>
        </w:rPr>
      </w:pPr>
    </w:p>
    <w:p w14:paraId="2896DEAA" w14:textId="77777777" w:rsidR="009D329A" w:rsidRDefault="009D329A" w:rsidP="009D329A">
      <w:pPr>
        <w:tabs>
          <w:tab w:val="left" w:pos="6521"/>
        </w:tabs>
        <w:spacing w:before="0"/>
        <w:ind w:right="170"/>
        <w:rPr>
          <w:szCs w:val="24"/>
          <w:u w:val="single"/>
        </w:rPr>
      </w:pPr>
      <w:r>
        <w:rPr>
          <w:szCs w:val="24"/>
          <w:u w:val="single"/>
        </w:rPr>
        <w:t>Section 3 –</w:t>
      </w:r>
      <w:r w:rsidRPr="00F61976">
        <w:rPr>
          <w:szCs w:val="24"/>
          <w:u w:val="single"/>
        </w:rPr>
        <w:t xml:space="preserve"> Authority</w:t>
      </w:r>
    </w:p>
    <w:p w14:paraId="3EE8DE9F" w14:textId="77777777" w:rsidR="009D329A" w:rsidRPr="007F29B4" w:rsidRDefault="009D329A" w:rsidP="009D329A">
      <w:pPr>
        <w:tabs>
          <w:tab w:val="left" w:pos="6521"/>
        </w:tabs>
        <w:spacing w:before="0"/>
        <w:ind w:right="170"/>
        <w:rPr>
          <w:szCs w:val="24"/>
          <w:u w:val="single"/>
        </w:rPr>
      </w:pPr>
    </w:p>
    <w:p w14:paraId="06B162D1" w14:textId="469937B2" w:rsidR="009D329A" w:rsidRDefault="009D329A" w:rsidP="009D329A">
      <w:pPr>
        <w:spacing w:before="0"/>
        <w:rPr>
          <w:rFonts w:eastAsia="SimSun"/>
          <w:szCs w:val="24"/>
        </w:rPr>
      </w:pPr>
      <w:r w:rsidRPr="003458C5">
        <w:rPr>
          <w:rFonts w:eastAsia="SimSun"/>
          <w:szCs w:val="24"/>
        </w:rPr>
        <w:t xml:space="preserve">This section </w:t>
      </w:r>
      <w:r>
        <w:t>provide</w:t>
      </w:r>
      <w:r w:rsidR="000E28C7">
        <w:t>s</w:t>
      </w:r>
      <w:r w:rsidRPr="003458C5">
        <w:rPr>
          <w:rFonts w:eastAsia="SimSun"/>
          <w:szCs w:val="24"/>
        </w:rPr>
        <w:t xml:space="preserve"> that the instrument is made under the </w:t>
      </w:r>
      <w:r w:rsidRPr="007346B6">
        <w:rPr>
          <w:rFonts w:eastAsia="SimSun"/>
          <w:i/>
          <w:szCs w:val="24"/>
        </w:rPr>
        <w:t>Australian Citizenship Act 2007</w:t>
      </w:r>
      <w:r>
        <w:rPr>
          <w:rFonts w:eastAsia="SimSun"/>
          <w:szCs w:val="24"/>
        </w:rPr>
        <w:t xml:space="preserve"> (the Citizenship Act), the </w:t>
      </w:r>
      <w:r>
        <w:rPr>
          <w:i/>
          <w:szCs w:val="24"/>
        </w:rPr>
        <w:t xml:space="preserve">Customs Act 1901 </w:t>
      </w:r>
      <w:r>
        <w:rPr>
          <w:rFonts w:eastAsia="SimSun"/>
          <w:szCs w:val="24"/>
        </w:rPr>
        <w:t xml:space="preserve">and the </w:t>
      </w:r>
      <w:r>
        <w:rPr>
          <w:rFonts w:eastAsia="SimSun"/>
          <w:i/>
          <w:szCs w:val="24"/>
        </w:rPr>
        <w:t xml:space="preserve">Migration Act 1958 </w:t>
      </w:r>
      <w:r>
        <w:rPr>
          <w:rFonts w:eastAsia="SimSun"/>
          <w:szCs w:val="24"/>
        </w:rPr>
        <w:t>(the Migration Act).</w:t>
      </w:r>
    </w:p>
    <w:p w14:paraId="5E28925D" w14:textId="77777777" w:rsidR="009D329A" w:rsidRPr="003458C5" w:rsidRDefault="009D329A" w:rsidP="009D329A">
      <w:pPr>
        <w:spacing w:before="0"/>
        <w:rPr>
          <w:rFonts w:eastAsia="SimSun"/>
          <w:szCs w:val="24"/>
        </w:rPr>
      </w:pPr>
    </w:p>
    <w:p w14:paraId="5583DA97" w14:textId="77777777" w:rsidR="009D329A" w:rsidRDefault="009D329A" w:rsidP="009D329A">
      <w:pPr>
        <w:spacing w:before="0"/>
        <w:rPr>
          <w:rFonts w:eastAsia="SimSun"/>
          <w:szCs w:val="24"/>
          <w:u w:val="single"/>
        </w:rPr>
      </w:pPr>
      <w:r>
        <w:rPr>
          <w:rFonts w:eastAsia="SimSun"/>
          <w:szCs w:val="24"/>
          <w:u w:val="single"/>
        </w:rPr>
        <w:t>Section 4 – Schedules</w:t>
      </w:r>
    </w:p>
    <w:p w14:paraId="3E65C6C5" w14:textId="77777777" w:rsidR="009D329A" w:rsidRPr="00580EBA" w:rsidRDefault="009D329A" w:rsidP="009D329A">
      <w:pPr>
        <w:spacing w:before="0"/>
        <w:rPr>
          <w:rFonts w:eastAsia="SimSun"/>
          <w:szCs w:val="24"/>
          <w:u w:val="single"/>
        </w:rPr>
      </w:pPr>
    </w:p>
    <w:p w14:paraId="61874D54" w14:textId="437D0887" w:rsidR="009D329A" w:rsidRDefault="000E28C7" w:rsidP="009D329A">
      <w:pPr>
        <w:spacing w:before="0"/>
        <w:rPr>
          <w:szCs w:val="24"/>
        </w:rPr>
      </w:pPr>
      <w:r>
        <w:rPr>
          <w:szCs w:val="24"/>
        </w:rPr>
        <w:t xml:space="preserve">This section </w:t>
      </w:r>
      <w:r w:rsidR="009D329A" w:rsidRPr="009B61FF">
        <w:rPr>
          <w:szCs w:val="24"/>
        </w:rPr>
        <w:t>provide</w:t>
      </w:r>
      <w:r>
        <w:rPr>
          <w:szCs w:val="24"/>
        </w:rPr>
        <w:t>s</w:t>
      </w:r>
      <w:r w:rsidR="009D329A" w:rsidRPr="009B61FF">
        <w:rPr>
          <w:szCs w:val="24"/>
        </w:rPr>
        <w:t xml:space="preserve"> for how the </w:t>
      </w:r>
      <w:r w:rsidR="009D329A">
        <w:rPr>
          <w:szCs w:val="24"/>
        </w:rPr>
        <w:t xml:space="preserve">amendments in this instrument </w:t>
      </w:r>
      <w:r w:rsidR="009D329A" w:rsidRPr="009B61FF">
        <w:rPr>
          <w:szCs w:val="24"/>
        </w:rPr>
        <w:t>operate.</w:t>
      </w:r>
    </w:p>
    <w:p w14:paraId="1EAE8096" w14:textId="77777777" w:rsidR="009D329A" w:rsidRDefault="009D329A" w:rsidP="009D329A">
      <w:pPr>
        <w:spacing w:before="0"/>
        <w:rPr>
          <w:szCs w:val="24"/>
        </w:rPr>
      </w:pPr>
    </w:p>
    <w:p w14:paraId="2787B1A4" w14:textId="77777777" w:rsidR="009D329A" w:rsidRPr="0003644A" w:rsidRDefault="009D329A" w:rsidP="009D329A">
      <w:pPr>
        <w:spacing w:before="0"/>
        <w:rPr>
          <w:bCs/>
          <w:szCs w:val="24"/>
          <w:u w:val="single"/>
        </w:rPr>
      </w:pPr>
      <w:r>
        <w:rPr>
          <w:bCs/>
          <w:szCs w:val="24"/>
          <w:u w:val="single"/>
        </w:rPr>
        <w:t>Schedule 1 – Amendments</w:t>
      </w:r>
    </w:p>
    <w:p w14:paraId="1BB6AE6E" w14:textId="77777777" w:rsidR="009D329A" w:rsidRPr="0016076E" w:rsidRDefault="009D329A" w:rsidP="009D329A">
      <w:pPr>
        <w:shd w:val="clear" w:color="auto" w:fill="FFFFFF"/>
        <w:tabs>
          <w:tab w:val="left" w:pos="1291"/>
        </w:tabs>
        <w:spacing w:before="0"/>
        <w:rPr>
          <w:i/>
          <w:szCs w:val="24"/>
        </w:rPr>
      </w:pPr>
    </w:p>
    <w:p w14:paraId="4A4E813C" w14:textId="77777777" w:rsidR="009D329A" w:rsidRDefault="009D329A" w:rsidP="009D329A">
      <w:pPr>
        <w:pStyle w:val="BodyText1"/>
        <w:spacing w:before="0"/>
        <w:rPr>
          <w:rFonts w:ascii="Times New Roman" w:hAnsi="Times New Roman" w:cs="Times New Roman"/>
        </w:rPr>
      </w:pPr>
      <w:r w:rsidRPr="0016076E">
        <w:rPr>
          <w:rFonts w:ascii="Times New Roman" w:hAnsi="Times New Roman" w:cs="Times New Roman"/>
        </w:rPr>
        <w:t xml:space="preserve">The Department </w:t>
      </w:r>
      <w:r>
        <w:rPr>
          <w:rFonts w:ascii="Times New Roman" w:hAnsi="Times New Roman" w:cs="Times New Roman"/>
        </w:rPr>
        <w:t xml:space="preserve">of Home Affairs (the Department) </w:t>
      </w:r>
      <w:r w:rsidRPr="0016076E">
        <w:rPr>
          <w:rFonts w:ascii="Times New Roman" w:hAnsi="Times New Roman" w:cs="Times New Roman"/>
        </w:rPr>
        <w:t xml:space="preserve">offers credit card and PayPal facilities to </w:t>
      </w:r>
      <w:r>
        <w:rPr>
          <w:rFonts w:ascii="Times New Roman" w:hAnsi="Times New Roman" w:cs="Times New Roman"/>
        </w:rPr>
        <w:t xml:space="preserve">Departmental </w:t>
      </w:r>
      <w:r w:rsidRPr="0016076E">
        <w:rPr>
          <w:rFonts w:ascii="Times New Roman" w:hAnsi="Times New Roman" w:cs="Times New Roman"/>
        </w:rPr>
        <w:t xml:space="preserve">clients for the payment of certain fees and charges.  Where payments are made using these facilities, </w:t>
      </w:r>
      <w:proofErr w:type="gramStart"/>
      <w:r w:rsidRPr="0016076E">
        <w:rPr>
          <w:rFonts w:ascii="Times New Roman" w:hAnsi="Times New Roman" w:cs="Times New Roman"/>
        </w:rPr>
        <w:t>merchant fees are charged to the Department by financial services providers</w:t>
      </w:r>
      <w:proofErr w:type="gramEnd"/>
      <w:r w:rsidRPr="0016076E">
        <w:rPr>
          <w:rFonts w:ascii="Times New Roman" w:hAnsi="Times New Roman" w:cs="Times New Roman"/>
        </w:rPr>
        <w:t xml:space="preserve">.  </w:t>
      </w:r>
      <w:r>
        <w:rPr>
          <w:rFonts w:ascii="Times New Roman" w:hAnsi="Times New Roman" w:cs="Times New Roman"/>
        </w:rPr>
        <w:t xml:space="preserve">These merchant fees </w:t>
      </w:r>
      <w:proofErr w:type="gramStart"/>
      <w:r>
        <w:rPr>
          <w:rFonts w:ascii="Times New Roman" w:hAnsi="Times New Roman" w:cs="Times New Roman"/>
        </w:rPr>
        <w:t>are recovered</w:t>
      </w:r>
      <w:proofErr w:type="gramEnd"/>
      <w:r>
        <w:rPr>
          <w:rFonts w:ascii="Times New Roman" w:hAnsi="Times New Roman" w:cs="Times New Roman"/>
        </w:rPr>
        <w:t xml:space="preserve"> from c</w:t>
      </w:r>
      <w:r w:rsidRPr="0016076E">
        <w:rPr>
          <w:rFonts w:ascii="Times New Roman" w:hAnsi="Times New Roman" w:cs="Times New Roman"/>
        </w:rPr>
        <w:t>li</w:t>
      </w:r>
      <w:r>
        <w:rPr>
          <w:rFonts w:ascii="Times New Roman" w:hAnsi="Times New Roman" w:cs="Times New Roman"/>
        </w:rPr>
        <w:t xml:space="preserve">ents via a credit card or PayPal surcharge, provided for </w:t>
      </w:r>
      <w:r w:rsidRPr="0016076E">
        <w:rPr>
          <w:rFonts w:ascii="Times New Roman" w:hAnsi="Times New Roman" w:cs="Times New Roman"/>
        </w:rPr>
        <w:t>under the following legislative provisions:</w:t>
      </w:r>
    </w:p>
    <w:p w14:paraId="40C0BB61" w14:textId="77777777" w:rsidR="009D329A" w:rsidRPr="0016076E" w:rsidRDefault="009D329A" w:rsidP="009D329A">
      <w:pPr>
        <w:pStyle w:val="BodyText1"/>
        <w:spacing w:before="0"/>
        <w:rPr>
          <w:rFonts w:ascii="Times New Roman" w:hAnsi="Times New Roman" w:cs="Times New Roman"/>
        </w:rPr>
      </w:pPr>
    </w:p>
    <w:p w14:paraId="3CE1573F" w14:textId="77777777" w:rsidR="009D329A" w:rsidRDefault="009D329A" w:rsidP="009D329A">
      <w:pPr>
        <w:pStyle w:val="BodyText1"/>
        <w:numPr>
          <w:ilvl w:val="0"/>
          <w:numId w:val="32"/>
        </w:numPr>
        <w:spacing w:before="0"/>
        <w:ind w:left="720"/>
        <w:rPr>
          <w:rFonts w:ascii="Times New Roman" w:hAnsi="Times New Roman" w:cs="Times New Roman"/>
        </w:rPr>
      </w:pPr>
      <w:r w:rsidRPr="0016076E">
        <w:rPr>
          <w:rFonts w:ascii="Times New Roman" w:hAnsi="Times New Roman" w:cs="Times New Roman"/>
        </w:rPr>
        <w:t xml:space="preserve">under section 16 of the </w:t>
      </w:r>
      <w:r>
        <w:rPr>
          <w:rFonts w:ascii="Times New Roman" w:hAnsi="Times New Roman" w:cs="Times New Roman"/>
          <w:i/>
        </w:rPr>
        <w:t>Australian Citizenship Regulation 2016</w:t>
      </w:r>
      <w:r w:rsidRPr="0016076E">
        <w:rPr>
          <w:rFonts w:ascii="Times New Roman" w:hAnsi="Times New Roman" w:cs="Times New Roman"/>
        </w:rPr>
        <w:t xml:space="preserve">, in </w:t>
      </w:r>
      <w:r>
        <w:rPr>
          <w:rFonts w:ascii="Times New Roman" w:hAnsi="Times New Roman" w:cs="Times New Roman"/>
        </w:rPr>
        <w:t>relation to credit card and PayP</w:t>
      </w:r>
      <w:r w:rsidRPr="0016076E">
        <w:rPr>
          <w:rFonts w:ascii="Times New Roman" w:hAnsi="Times New Roman" w:cs="Times New Roman"/>
        </w:rPr>
        <w:t>al payments for fees to accompany an appli</w:t>
      </w:r>
      <w:r>
        <w:rPr>
          <w:rFonts w:ascii="Times New Roman" w:hAnsi="Times New Roman" w:cs="Times New Roman"/>
        </w:rPr>
        <w:t xml:space="preserve">cation under a provision of the Citizenship Act </w:t>
      </w:r>
      <w:r w:rsidRPr="0016076E">
        <w:rPr>
          <w:rFonts w:ascii="Times New Roman" w:hAnsi="Times New Roman" w:cs="Times New Roman"/>
        </w:rPr>
        <w:t>(unless payment is made in New Zealand curren</w:t>
      </w:r>
      <w:r>
        <w:rPr>
          <w:rFonts w:ascii="Times New Roman" w:hAnsi="Times New Roman" w:cs="Times New Roman"/>
        </w:rPr>
        <w:t>cy or Singaporean currency);</w:t>
      </w:r>
    </w:p>
    <w:p w14:paraId="2BDCF204" w14:textId="77777777" w:rsidR="009D329A" w:rsidRPr="00BB07A9" w:rsidRDefault="009D329A" w:rsidP="009D329A">
      <w:pPr>
        <w:pStyle w:val="BodyText1"/>
        <w:spacing w:before="0"/>
        <w:ind w:left="720"/>
        <w:rPr>
          <w:rFonts w:ascii="Times New Roman" w:hAnsi="Times New Roman" w:cs="Times New Roman"/>
        </w:rPr>
      </w:pPr>
    </w:p>
    <w:p w14:paraId="563D4D08" w14:textId="77777777" w:rsidR="009D329A" w:rsidRDefault="009D329A" w:rsidP="009D329A">
      <w:pPr>
        <w:pStyle w:val="BodyText1"/>
        <w:numPr>
          <w:ilvl w:val="0"/>
          <w:numId w:val="32"/>
        </w:numPr>
        <w:spacing w:before="0"/>
        <w:ind w:left="720"/>
        <w:rPr>
          <w:rFonts w:ascii="Times New Roman" w:hAnsi="Times New Roman" w:cs="Times New Roman"/>
        </w:rPr>
      </w:pPr>
      <w:r w:rsidRPr="00EB2F7F">
        <w:rPr>
          <w:rFonts w:ascii="Times New Roman" w:hAnsi="Times New Roman" w:cs="Times New Roman"/>
        </w:rPr>
        <w:t xml:space="preserve">under sections 150B and 150C of the </w:t>
      </w:r>
      <w:r w:rsidRPr="00EB2F7F">
        <w:rPr>
          <w:rFonts w:ascii="Times New Roman" w:hAnsi="Times New Roman" w:cs="Times New Roman"/>
          <w:i/>
        </w:rPr>
        <w:t>Customs Regulation 2015</w:t>
      </w:r>
      <w:r w:rsidRPr="00EB2F7F">
        <w:rPr>
          <w:rFonts w:ascii="Times New Roman" w:hAnsi="Times New Roman" w:cs="Times New Roman"/>
        </w:rPr>
        <w:t xml:space="preserve">, in </w:t>
      </w:r>
      <w:r>
        <w:rPr>
          <w:rFonts w:ascii="Times New Roman" w:hAnsi="Times New Roman" w:cs="Times New Roman"/>
        </w:rPr>
        <w:t>relation to credit card and PayP</w:t>
      </w:r>
      <w:r w:rsidRPr="00EB2F7F">
        <w:rPr>
          <w:rFonts w:ascii="Times New Roman" w:hAnsi="Times New Roman" w:cs="Times New Roman"/>
        </w:rPr>
        <w:t>al payments for customs duties, taxes, charges, fees, securities, penalties or amounts sp</w:t>
      </w:r>
      <w:r>
        <w:rPr>
          <w:rFonts w:ascii="Times New Roman" w:hAnsi="Times New Roman" w:cs="Times New Roman"/>
        </w:rPr>
        <w:t>ecified in infringement notices; and</w:t>
      </w:r>
    </w:p>
    <w:p w14:paraId="08C113FC" w14:textId="77777777" w:rsidR="009D329A" w:rsidRPr="00BB07A9" w:rsidRDefault="009D329A" w:rsidP="009D329A">
      <w:pPr>
        <w:pStyle w:val="BodyText1"/>
        <w:spacing w:before="0"/>
        <w:ind w:left="720"/>
        <w:rPr>
          <w:rFonts w:ascii="Times New Roman" w:hAnsi="Times New Roman" w:cs="Times New Roman"/>
        </w:rPr>
      </w:pPr>
    </w:p>
    <w:p w14:paraId="7228697C" w14:textId="77777777" w:rsidR="009D329A" w:rsidRDefault="009D329A" w:rsidP="009D329A">
      <w:pPr>
        <w:pStyle w:val="BodyText1"/>
        <w:numPr>
          <w:ilvl w:val="0"/>
          <w:numId w:val="32"/>
        </w:numPr>
        <w:spacing w:before="0"/>
        <w:ind w:left="720"/>
        <w:rPr>
          <w:rFonts w:ascii="Times New Roman" w:hAnsi="Times New Roman" w:cs="Times New Roman"/>
        </w:rPr>
      </w:pPr>
      <w:r w:rsidRPr="0016076E">
        <w:rPr>
          <w:rFonts w:ascii="Times New Roman" w:hAnsi="Times New Roman" w:cs="Times New Roman"/>
        </w:rPr>
        <w:t xml:space="preserve">under regulations 5.41A and 5.41B of the </w:t>
      </w:r>
      <w:r w:rsidRPr="0016076E">
        <w:rPr>
          <w:rFonts w:ascii="Times New Roman" w:hAnsi="Times New Roman" w:cs="Times New Roman"/>
          <w:i/>
        </w:rPr>
        <w:t>Migration Regulations 1994</w:t>
      </w:r>
      <w:r>
        <w:rPr>
          <w:rFonts w:ascii="Times New Roman" w:hAnsi="Times New Roman" w:cs="Times New Roman"/>
        </w:rPr>
        <w:t xml:space="preserve"> (the Migration Regulations), </w:t>
      </w:r>
      <w:r w:rsidRPr="0016076E">
        <w:rPr>
          <w:rFonts w:ascii="Times New Roman" w:hAnsi="Times New Roman" w:cs="Times New Roman"/>
        </w:rPr>
        <w:t xml:space="preserve">in </w:t>
      </w:r>
      <w:r>
        <w:rPr>
          <w:rFonts w:ascii="Times New Roman" w:hAnsi="Times New Roman" w:cs="Times New Roman"/>
        </w:rPr>
        <w:t>relation to credit card and PayP</w:t>
      </w:r>
      <w:r w:rsidRPr="0016076E">
        <w:rPr>
          <w:rFonts w:ascii="Times New Roman" w:hAnsi="Times New Roman" w:cs="Times New Roman"/>
        </w:rPr>
        <w:t>al payments for certain fees and charges under the Migration Regulations (including for the payment of visa application charges, nomination and sponsorship fees, and visa evidence charges)</w:t>
      </w:r>
      <w:r>
        <w:rPr>
          <w:rFonts w:ascii="Times New Roman" w:hAnsi="Times New Roman" w:cs="Times New Roman"/>
        </w:rPr>
        <w:t>.</w:t>
      </w:r>
    </w:p>
    <w:p w14:paraId="1363AA11" w14:textId="77777777" w:rsidR="009D329A" w:rsidRDefault="009D329A" w:rsidP="009D329A"/>
    <w:p w14:paraId="718016EE" w14:textId="3AABF996" w:rsidR="009D329A" w:rsidRPr="0016076E" w:rsidRDefault="0093547A" w:rsidP="009D329A">
      <w:pPr>
        <w:pStyle w:val="BodyText1"/>
        <w:spacing w:before="0"/>
        <w:rPr>
          <w:rFonts w:ascii="Times New Roman" w:hAnsi="Times New Roman" w:cs="Times New Roman"/>
        </w:rPr>
      </w:pPr>
      <w:r>
        <w:rPr>
          <w:rFonts w:ascii="Times New Roman" w:hAnsi="Times New Roman" w:cs="Times New Roman"/>
        </w:rPr>
        <w:lastRenderedPageBreak/>
        <w:t xml:space="preserve">Prior to these amendments, </w:t>
      </w:r>
      <w:r w:rsidR="009D329A" w:rsidRPr="0016076E">
        <w:rPr>
          <w:rFonts w:ascii="Times New Roman" w:hAnsi="Times New Roman" w:cs="Times New Roman"/>
        </w:rPr>
        <w:t>under these prov</w:t>
      </w:r>
      <w:r>
        <w:rPr>
          <w:rFonts w:ascii="Times New Roman" w:hAnsi="Times New Roman" w:cs="Times New Roman"/>
        </w:rPr>
        <w:t xml:space="preserve">isions, the PayPal surcharge was </w:t>
      </w:r>
      <w:r w:rsidR="009D329A" w:rsidRPr="0016076E">
        <w:rPr>
          <w:rFonts w:ascii="Times New Roman" w:hAnsi="Times New Roman" w:cs="Times New Roman"/>
        </w:rPr>
        <w:t>set at 1 per cent of the amount of the payment, w</w:t>
      </w:r>
      <w:r>
        <w:rPr>
          <w:rFonts w:ascii="Times New Roman" w:hAnsi="Times New Roman" w:cs="Times New Roman"/>
        </w:rPr>
        <w:t xml:space="preserve">hile credit card surcharges were </w:t>
      </w:r>
      <w:r w:rsidR="009D329A" w:rsidRPr="0016076E">
        <w:rPr>
          <w:rFonts w:ascii="Times New Roman" w:hAnsi="Times New Roman" w:cs="Times New Roman"/>
        </w:rPr>
        <w:t>as follows:</w:t>
      </w:r>
    </w:p>
    <w:p w14:paraId="59FC909C" w14:textId="77777777" w:rsidR="009D329A" w:rsidRPr="0016076E" w:rsidRDefault="009D329A" w:rsidP="009D329A">
      <w:pPr>
        <w:pStyle w:val="ListParagraph"/>
        <w:spacing w:before="0"/>
        <w:ind w:left="0"/>
      </w:pPr>
    </w:p>
    <w:p w14:paraId="49449D18" w14:textId="77777777" w:rsidR="009D329A" w:rsidRDefault="009D329A" w:rsidP="009D329A">
      <w:pPr>
        <w:pStyle w:val="ListParagraph"/>
        <w:numPr>
          <w:ilvl w:val="0"/>
          <w:numId w:val="34"/>
        </w:numPr>
        <w:spacing w:before="0"/>
      </w:pPr>
      <w:r w:rsidRPr="0016076E">
        <w:t>Visa or MasterCard – 1.32 per cent of the amount of the payment;</w:t>
      </w:r>
    </w:p>
    <w:p w14:paraId="684B7530" w14:textId="77777777" w:rsidR="009D329A" w:rsidRDefault="009D329A" w:rsidP="009D329A">
      <w:pPr>
        <w:pStyle w:val="ListParagraph"/>
        <w:numPr>
          <w:ilvl w:val="0"/>
          <w:numId w:val="34"/>
        </w:numPr>
        <w:spacing w:before="0"/>
      </w:pPr>
      <w:r w:rsidRPr="0016076E">
        <w:t>American Express or Japan Credit Bureau – 1.4 per cent of the amount of the payment;</w:t>
      </w:r>
    </w:p>
    <w:p w14:paraId="31DB999D" w14:textId="77777777" w:rsidR="009D329A" w:rsidRDefault="009D329A" w:rsidP="009D329A">
      <w:pPr>
        <w:pStyle w:val="ListParagraph"/>
        <w:numPr>
          <w:ilvl w:val="0"/>
          <w:numId w:val="34"/>
        </w:numPr>
        <w:spacing w:before="0"/>
      </w:pPr>
      <w:r w:rsidRPr="0016076E">
        <w:t>Diners Club International – 1.99 per cent of the amount of the payment; and</w:t>
      </w:r>
    </w:p>
    <w:p w14:paraId="50A0FA72" w14:textId="77777777" w:rsidR="009D329A" w:rsidRDefault="009D329A" w:rsidP="009D329A">
      <w:pPr>
        <w:pStyle w:val="ListParagraph"/>
        <w:numPr>
          <w:ilvl w:val="0"/>
          <w:numId w:val="34"/>
        </w:numPr>
        <w:spacing w:before="0"/>
      </w:pPr>
      <w:r w:rsidRPr="0016076E">
        <w:t xml:space="preserve">China </w:t>
      </w:r>
      <w:proofErr w:type="spellStart"/>
      <w:r w:rsidRPr="0016076E">
        <w:t>UnionPay</w:t>
      </w:r>
      <w:proofErr w:type="spellEnd"/>
      <w:r w:rsidRPr="0016076E">
        <w:t xml:space="preserve"> credit card – 1.9 per cent of the amount of the payment.</w:t>
      </w:r>
    </w:p>
    <w:p w14:paraId="4AB4BC28" w14:textId="77777777" w:rsidR="009D329A" w:rsidRPr="0016076E" w:rsidRDefault="009D329A" w:rsidP="009D329A">
      <w:pPr>
        <w:pStyle w:val="ListParagraph"/>
        <w:spacing w:before="0"/>
        <w:ind w:left="0"/>
      </w:pPr>
    </w:p>
    <w:p w14:paraId="12A33515" w14:textId="11ECCC46" w:rsidR="009D329A" w:rsidRDefault="009D329A" w:rsidP="009D329A">
      <w:pPr>
        <w:spacing w:before="0"/>
        <w:rPr>
          <w:szCs w:val="24"/>
        </w:rPr>
      </w:pPr>
      <w:r>
        <w:rPr>
          <w:szCs w:val="24"/>
        </w:rPr>
        <w:t>The Department has re-assessed the appropriate level of surcharge in accordance with the ‘reasonable cost of acceptance’ guidance provided by the Reserve Bank of Au</w:t>
      </w:r>
      <w:r w:rsidR="0093547A">
        <w:rPr>
          <w:szCs w:val="24"/>
        </w:rPr>
        <w:t>stralia (the RBA).  The</w:t>
      </w:r>
      <w:r>
        <w:rPr>
          <w:szCs w:val="24"/>
        </w:rPr>
        <w:t xml:space="preserve"> revised surcharge amounts are as follows:</w:t>
      </w:r>
    </w:p>
    <w:p w14:paraId="1A382559" w14:textId="77777777" w:rsidR="009D329A" w:rsidRDefault="009D329A" w:rsidP="009D329A">
      <w:pPr>
        <w:spacing w:before="0"/>
        <w:rPr>
          <w:szCs w:val="24"/>
        </w:rPr>
      </w:pPr>
    </w:p>
    <w:p w14:paraId="76FD7C14" w14:textId="4133CE2C" w:rsidR="009D329A" w:rsidRDefault="009D329A" w:rsidP="009D329A">
      <w:pPr>
        <w:pStyle w:val="ListParagraph"/>
        <w:numPr>
          <w:ilvl w:val="0"/>
          <w:numId w:val="33"/>
        </w:numPr>
        <w:spacing w:before="0"/>
        <w:rPr>
          <w:szCs w:val="24"/>
        </w:rPr>
      </w:pPr>
      <w:proofErr w:type="gramStart"/>
      <w:r>
        <w:rPr>
          <w:szCs w:val="24"/>
        </w:rPr>
        <w:t>for</w:t>
      </w:r>
      <w:proofErr w:type="gramEnd"/>
      <w:r>
        <w:rPr>
          <w:szCs w:val="24"/>
        </w:rPr>
        <w:t xml:space="preserve"> payments made by Visa or MasterCa</w:t>
      </w:r>
      <w:r w:rsidR="0093547A">
        <w:rPr>
          <w:szCs w:val="24"/>
        </w:rPr>
        <w:t xml:space="preserve">rd – </w:t>
      </w:r>
      <w:r>
        <w:rPr>
          <w:szCs w:val="24"/>
        </w:rPr>
        <w:t xml:space="preserve">the surcharge rate </w:t>
      </w:r>
      <w:r w:rsidR="0093547A">
        <w:rPr>
          <w:szCs w:val="24"/>
        </w:rPr>
        <w:t xml:space="preserve">is being increased </w:t>
      </w:r>
      <w:r>
        <w:rPr>
          <w:szCs w:val="24"/>
        </w:rPr>
        <w:t>by 0.08 per cent (that is, from 1.32 per cent to 1.4 per cent).  This</w:t>
      </w:r>
      <w:r w:rsidR="0093547A">
        <w:rPr>
          <w:szCs w:val="24"/>
        </w:rPr>
        <w:t xml:space="preserve"> increase is being </w:t>
      </w:r>
      <w:r>
        <w:rPr>
          <w:szCs w:val="24"/>
        </w:rPr>
        <w:t>limited to Visa and MasterCard credit card payments alone, as (a) the majority of credit card payments are made using these two payment options; and (b) the surcharge rate for the other credit card options is already 1.4 per cent or higher; and</w:t>
      </w:r>
    </w:p>
    <w:p w14:paraId="758E06AB" w14:textId="77777777" w:rsidR="009D329A" w:rsidRPr="00AB0559" w:rsidRDefault="009D329A" w:rsidP="009D329A">
      <w:pPr>
        <w:spacing w:before="0"/>
        <w:ind w:left="720"/>
        <w:rPr>
          <w:szCs w:val="24"/>
        </w:rPr>
      </w:pPr>
    </w:p>
    <w:p w14:paraId="64A2D49E" w14:textId="30414B8F" w:rsidR="009D329A" w:rsidRPr="00DB0C4B" w:rsidRDefault="009D329A" w:rsidP="009D329A">
      <w:pPr>
        <w:pStyle w:val="ListParagraph"/>
        <w:numPr>
          <w:ilvl w:val="0"/>
          <w:numId w:val="33"/>
        </w:numPr>
        <w:spacing w:before="0"/>
        <w:rPr>
          <w:szCs w:val="24"/>
        </w:rPr>
      </w:pPr>
      <w:proofErr w:type="gramStart"/>
      <w:r>
        <w:rPr>
          <w:szCs w:val="24"/>
        </w:rPr>
        <w:t>for</w:t>
      </w:r>
      <w:proofErr w:type="gramEnd"/>
      <w:r>
        <w:rPr>
          <w:szCs w:val="24"/>
        </w:rPr>
        <w:t xml:space="preserve"> payments made </w:t>
      </w:r>
      <w:r w:rsidRPr="00DB0C4B">
        <w:rPr>
          <w:szCs w:val="24"/>
        </w:rPr>
        <w:t>using PayP</w:t>
      </w:r>
      <w:r w:rsidR="0093547A">
        <w:rPr>
          <w:szCs w:val="24"/>
        </w:rPr>
        <w:t xml:space="preserve">al – </w:t>
      </w:r>
      <w:r w:rsidRPr="00DB0C4B">
        <w:rPr>
          <w:szCs w:val="24"/>
        </w:rPr>
        <w:t xml:space="preserve">the surcharge rate </w:t>
      </w:r>
      <w:r w:rsidR="0093547A">
        <w:rPr>
          <w:szCs w:val="24"/>
        </w:rPr>
        <w:t xml:space="preserve">is being increased </w:t>
      </w:r>
      <w:r w:rsidRPr="00DB0C4B">
        <w:rPr>
          <w:szCs w:val="24"/>
        </w:rPr>
        <w:t>by 0.01 per cent (that is, from 1 per cen</w:t>
      </w:r>
      <w:r w:rsidR="0093547A">
        <w:rPr>
          <w:szCs w:val="24"/>
        </w:rPr>
        <w:t>t to 1.01 per cent).  This will</w:t>
      </w:r>
      <w:r w:rsidRPr="00DB0C4B">
        <w:rPr>
          <w:szCs w:val="24"/>
        </w:rPr>
        <w:t xml:space="preserve"> allow for the full recovery of the fees charged by PayPal.</w:t>
      </w:r>
    </w:p>
    <w:p w14:paraId="6953A124" w14:textId="516AA55E" w:rsidR="0093547A" w:rsidRPr="00DB0C4B" w:rsidRDefault="0093547A" w:rsidP="009D329A">
      <w:pPr>
        <w:pStyle w:val="BodyText1"/>
        <w:spacing w:before="0"/>
        <w:rPr>
          <w:rFonts w:ascii="Times New Roman" w:hAnsi="Times New Roman" w:cs="Times New Roman"/>
        </w:rPr>
      </w:pPr>
    </w:p>
    <w:p w14:paraId="4A0671BA" w14:textId="77777777" w:rsidR="009D329A" w:rsidRDefault="009D329A" w:rsidP="009D329A">
      <w:pPr>
        <w:pStyle w:val="BodyText1"/>
        <w:spacing w:before="0"/>
        <w:rPr>
          <w:rFonts w:ascii="Times New Roman" w:hAnsi="Times New Roman" w:cs="Times New Roman"/>
        </w:rPr>
      </w:pPr>
      <w:r w:rsidRPr="00DB0C4B">
        <w:rPr>
          <w:rFonts w:ascii="Times New Roman" w:hAnsi="Times New Roman" w:cs="Times New Roman"/>
        </w:rPr>
        <w:t xml:space="preserve">The recovery of merchant fees through a surcharge </w:t>
      </w:r>
      <w:proofErr w:type="gramStart"/>
      <w:r w:rsidRPr="00DB0C4B">
        <w:rPr>
          <w:rFonts w:ascii="Times New Roman" w:hAnsi="Times New Roman" w:cs="Times New Roman"/>
        </w:rPr>
        <w:t>is allowed</w:t>
      </w:r>
      <w:proofErr w:type="gramEnd"/>
      <w:r w:rsidRPr="00DB0C4B">
        <w:rPr>
          <w:rFonts w:ascii="Times New Roman" w:hAnsi="Times New Roman" w:cs="Times New Roman"/>
        </w:rPr>
        <w:t xml:space="preserve"> under the RBA surcharging standards and is consistent with the cost recovery guidelines issued by the Department of Finance.</w:t>
      </w:r>
    </w:p>
    <w:p w14:paraId="7445D624" w14:textId="77777777" w:rsidR="009D329A" w:rsidRDefault="009D329A" w:rsidP="009D329A">
      <w:pPr>
        <w:pStyle w:val="BodyText1"/>
        <w:spacing w:before="0"/>
        <w:rPr>
          <w:rFonts w:ascii="Times New Roman" w:hAnsi="Times New Roman" w:cs="Times New Roman"/>
        </w:rPr>
      </w:pPr>
    </w:p>
    <w:p w14:paraId="363520A9" w14:textId="67840FEC" w:rsidR="009D329A" w:rsidRPr="00EB2F7F" w:rsidRDefault="00A6289D" w:rsidP="009D329A">
      <w:pPr>
        <w:pStyle w:val="BodyText1"/>
        <w:spacing w:before="0"/>
        <w:rPr>
          <w:rFonts w:ascii="Times New Roman" w:hAnsi="Times New Roman" w:cs="Times New Roman"/>
        </w:rPr>
      </w:pPr>
      <w:r>
        <w:rPr>
          <w:rFonts w:ascii="Times New Roman" w:hAnsi="Times New Roman" w:cs="Times New Roman"/>
        </w:rPr>
        <w:t xml:space="preserve">The purpose of the </w:t>
      </w:r>
      <w:r w:rsidR="009D329A">
        <w:rPr>
          <w:rFonts w:ascii="Times New Roman" w:hAnsi="Times New Roman" w:cs="Times New Roman"/>
        </w:rPr>
        <w:t xml:space="preserve">revised </w:t>
      </w:r>
      <w:r w:rsidR="009D329A" w:rsidRPr="00DB0C4B">
        <w:rPr>
          <w:rFonts w:ascii="Times New Roman" w:hAnsi="Times New Roman" w:cs="Times New Roman"/>
        </w:rPr>
        <w:t>surcharge amounts</w:t>
      </w:r>
      <w:r w:rsidR="009D329A">
        <w:rPr>
          <w:rFonts w:ascii="Times New Roman" w:hAnsi="Times New Roman" w:cs="Times New Roman"/>
        </w:rPr>
        <w:t xml:space="preserve"> is to </w:t>
      </w:r>
      <w:r w:rsidR="009D329A" w:rsidRPr="00DB0C4B">
        <w:rPr>
          <w:rFonts w:ascii="Times New Roman" w:hAnsi="Times New Roman" w:cs="Times New Roman"/>
        </w:rPr>
        <w:t>ensure an appropriate level of cost recovery, by reducing the gap between the merchant fees charged by financial services providers and the surcharge collected by the Department.</w:t>
      </w:r>
    </w:p>
    <w:p w14:paraId="2F32B75B" w14:textId="77777777" w:rsidR="009D329A" w:rsidRDefault="009D329A" w:rsidP="009D329A">
      <w:pPr>
        <w:shd w:val="clear" w:color="auto" w:fill="FFFFFF"/>
        <w:spacing w:before="0"/>
        <w:rPr>
          <w:szCs w:val="24"/>
          <w:lang w:val="en-US"/>
        </w:rPr>
      </w:pPr>
    </w:p>
    <w:p w14:paraId="47B0EE3B" w14:textId="77777777" w:rsidR="009D329A" w:rsidRPr="00666DB0" w:rsidRDefault="009D329A" w:rsidP="009D329A">
      <w:pPr>
        <w:shd w:val="clear" w:color="auto" w:fill="FFFFFF"/>
        <w:spacing w:before="0"/>
        <w:rPr>
          <w:szCs w:val="24"/>
          <w:lang w:val="en-US"/>
        </w:rPr>
      </w:pPr>
      <w:r w:rsidRPr="00666DB0">
        <w:rPr>
          <w:b/>
          <w:bCs/>
          <w:i/>
          <w:iCs/>
          <w:szCs w:val="24"/>
        </w:rPr>
        <w:t>Austr</w:t>
      </w:r>
      <w:r>
        <w:rPr>
          <w:b/>
          <w:bCs/>
          <w:i/>
          <w:iCs/>
          <w:szCs w:val="24"/>
        </w:rPr>
        <w:t>alian Citizenship Regulation 2016</w:t>
      </w:r>
    </w:p>
    <w:p w14:paraId="69B034E8" w14:textId="77777777" w:rsidR="009D329A" w:rsidRDefault="009D329A" w:rsidP="009D329A">
      <w:pPr>
        <w:shd w:val="clear" w:color="auto" w:fill="FFFFFF"/>
        <w:spacing w:before="0"/>
        <w:rPr>
          <w:szCs w:val="24"/>
          <w:lang w:val="en-US"/>
        </w:rPr>
      </w:pPr>
    </w:p>
    <w:p w14:paraId="27EAA291" w14:textId="77777777" w:rsidR="009D329A" w:rsidRDefault="009D329A" w:rsidP="009D329A">
      <w:pPr>
        <w:shd w:val="clear" w:color="auto" w:fill="FFFFFF"/>
        <w:spacing w:before="0"/>
        <w:rPr>
          <w:b/>
          <w:szCs w:val="24"/>
        </w:rPr>
      </w:pPr>
      <w:r w:rsidRPr="00E756D4">
        <w:rPr>
          <w:b/>
          <w:szCs w:val="24"/>
        </w:rPr>
        <w:t xml:space="preserve">Item [1] </w:t>
      </w:r>
      <w:r>
        <w:rPr>
          <w:b/>
          <w:szCs w:val="24"/>
        </w:rPr>
        <w:t>–</w:t>
      </w:r>
      <w:r w:rsidRPr="00E756D4">
        <w:rPr>
          <w:b/>
          <w:szCs w:val="24"/>
        </w:rPr>
        <w:t xml:space="preserve"> </w:t>
      </w:r>
      <w:r>
        <w:rPr>
          <w:b/>
          <w:szCs w:val="24"/>
        </w:rPr>
        <w:t>Subparagraph 16(1</w:t>
      </w:r>
      <w:proofErr w:type="gramStart"/>
      <w:r>
        <w:rPr>
          <w:b/>
          <w:szCs w:val="24"/>
        </w:rPr>
        <w:t>)(</w:t>
      </w:r>
      <w:proofErr w:type="gramEnd"/>
      <w:r>
        <w:rPr>
          <w:b/>
          <w:szCs w:val="24"/>
        </w:rPr>
        <w:t>b)(</w:t>
      </w:r>
      <w:proofErr w:type="spellStart"/>
      <w:r>
        <w:rPr>
          <w:b/>
          <w:szCs w:val="24"/>
        </w:rPr>
        <w:t>i</w:t>
      </w:r>
      <w:proofErr w:type="spellEnd"/>
      <w:r>
        <w:rPr>
          <w:b/>
          <w:szCs w:val="24"/>
        </w:rPr>
        <w:t>)</w:t>
      </w:r>
    </w:p>
    <w:p w14:paraId="6F6B58EF" w14:textId="77777777" w:rsidR="009D329A" w:rsidRDefault="009D329A" w:rsidP="009D329A">
      <w:pPr>
        <w:shd w:val="clear" w:color="auto" w:fill="FFFFFF"/>
        <w:spacing w:before="0"/>
        <w:rPr>
          <w:szCs w:val="24"/>
        </w:rPr>
      </w:pPr>
    </w:p>
    <w:p w14:paraId="043FB4E0" w14:textId="77777777" w:rsidR="009D329A" w:rsidRDefault="009D329A" w:rsidP="009D329A">
      <w:pPr>
        <w:shd w:val="clear" w:color="auto" w:fill="FFFFFF"/>
        <w:spacing w:before="0"/>
        <w:rPr>
          <w:szCs w:val="24"/>
        </w:rPr>
      </w:pPr>
      <w:r>
        <w:rPr>
          <w:szCs w:val="24"/>
        </w:rPr>
        <w:t>This item omits the percentage “1.32%” and substitutes the new percentage “1.4%”.</w:t>
      </w:r>
    </w:p>
    <w:p w14:paraId="1B0AA628" w14:textId="77777777" w:rsidR="009D329A" w:rsidRDefault="009D329A" w:rsidP="009D329A">
      <w:pPr>
        <w:shd w:val="clear" w:color="auto" w:fill="FFFFFF"/>
        <w:spacing w:before="0"/>
        <w:rPr>
          <w:szCs w:val="24"/>
        </w:rPr>
      </w:pPr>
    </w:p>
    <w:p w14:paraId="02950987" w14:textId="2ED5B62C" w:rsidR="009D329A" w:rsidRDefault="009D329A" w:rsidP="009D329A">
      <w:pPr>
        <w:shd w:val="clear" w:color="auto" w:fill="FFFFFF"/>
        <w:spacing w:before="0"/>
        <w:rPr>
          <w:szCs w:val="24"/>
        </w:rPr>
      </w:pPr>
      <w:r>
        <w:rPr>
          <w:szCs w:val="24"/>
        </w:rPr>
        <w:t>The amendment made by this item increase</w:t>
      </w:r>
      <w:r w:rsidR="0093547A">
        <w:rPr>
          <w:szCs w:val="24"/>
        </w:rPr>
        <w:t>s</w:t>
      </w:r>
      <w:r>
        <w:rPr>
          <w:szCs w:val="24"/>
        </w:rPr>
        <w:t xml:space="preserve"> the amount of the credit card surcharge applied to payments made by a Visa or MasterCard credit card, from 1.32 per cent to 1.4 per cent, for fees accompanying an application under a provision of the Citizenship Act.</w:t>
      </w:r>
    </w:p>
    <w:p w14:paraId="2A9B2DFA" w14:textId="77777777" w:rsidR="009D329A" w:rsidRDefault="009D329A" w:rsidP="009D329A">
      <w:pPr>
        <w:shd w:val="clear" w:color="auto" w:fill="FFFFFF"/>
        <w:spacing w:before="0"/>
        <w:rPr>
          <w:szCs w:val="24"/>
        </w:rPr>
      </w:pPr>
    </w:p>
    <w:p w14:paraId="1E3F9090" w14:textId="77777777" w:rsidR="009D329A" w:rsidRDefault="009D329A" w:rsidP="009D329A">
      <w:pPr>
        <w:shd w:val="clear" w:color="auto" w:fill="FFFFFF"/>
        <w:spacing w:before="0"/>
        <w:rPr>
          <w:b/>
          <w:szCs w:val="24"/>
        </w:rPr>
      </w:pPr>
      <w:r w:rsidRPr="00E756D4">
        <w:rPr>
          <w:b/>
          <w:szCs w:val="24"/>
        </w:rPr>
        <w:t>Item [</w:t>
      </w:r>
      <w:r>
        <w:rPr>
          <w:b/>
          <w:szCs w:val="24"/>
        </w:rPr>
        <w:t>2</w:t>
      </w:r>
      <w:r w:rsidRPr="00E756D4">
        <w:rPr>
          <w:b/>
          <w:szCs w:val="24"/>
        </w:rPr>
        <w:t xml:space="preserve">] </w:t>
      </w:r>
      <w:r>
        <w:rPr>
          <w:b/>
          <w:szCs w:val="24"/>
        </w:rPr>
        <w:t>–</w:t>
      </w:r>
      <w:r w:rsidRPr="00E756D4">
        <w:rPr>
          <w:b/>
          <w:szCs w:val="24"/>
        </w:rPr>
        <w:t xml:space="preserve"> </w:t>
      </w:r>
      <w:r>
        <w:rPr>
          <w:b/>
          <w:szCs w:val="24"/>
        </w:rPr>
        <w:t>Paragraph 16(1</w:t>
      </w:r>
      <w:proofErr w:type="gramStart"/>
      <w:r>
        <w:rPr>
          <w:b/>
          <w:szCs w:val="24"/>
        </w:rPr>
        <w:t>)(</w:t>
      </w:r>
      <w:proofErr w:type="gramEnd"/>
      <w:r>
        <w:rPr>
          <w:b/>
          <w:szCs w:val="24"/>
        </w:rPr>
        <w:t>c)</w:t>
      </w:r>
    </w:p>
    <w:p w14:paraId="0799AC66" w14:textId="77777777" w:rsidR="009D329A" w:rsidRDefault="009D329A" w:rsidP="009D329A">
      <w:pPr>
        <w:shd w:val="clear" w:color="auto" w:fill="FFFFFF"/>
        <w:spacing w:before="0"/>
        <w:rPr>
          <w:szCs w:val="24"/>
          <w:lang w:val="en-US"/>
        </w:rPr>
      </w:pPr>
    </w:p>
    <w:p w14:paraId="2D776E7E" w14:textId="77777777" w:rsidR="009D329A" w:rsidRDefault="009D329A" w:rsidP="009D329A">
      <w:pPr>
        <w:shd w:val="clear" w:color="auto" w:fill="FFFFFF"/>
        <w:spacing w:before="0"/>
        <w:rPr>
          <w:szCs w:val="24"/>
        </w:rPr>
      </w:pPr>
      <w:r>
        <w:rPr>
          <w:szCs w:val="24"/>
        </w:rPr>
        <w:t>This item omits the percentage “1%” and substitutes the new percentage “1.01%”.</w:t>
      </w:r>
    </w:p>
    <w:p w14:paraId="59D69C68" w14:textId="77777777" w:rsidR="009D329A" w:rsidRDefault="009D329A" w:rsidP="009D329A">
      <w:pPr>
        <w:shd w:val="clear" w:color="auto" w:fill="FFFFFF"/>
        <w:spacing w:before="0"/>
        <w:rPr>
          <w:szCs w:val="24"/>
        </w:rPr>
      </w:pPr>
    </w:p>
    <w:p w14:paraId="193B2A4F" w14:textId="6E81EE6D" w:rsidR="009D329A" w:rsidRDefault="009D329A" w:rsidP="009D329A">
      <w:pPr>
        <w:shd w:val="clear" w:color="auto" w:fill="FFFFFF"/>
        <w:spacing w:before="0"/>
        <w:rPr>
          <w:szCs w:val="24"/>
        </w:rPr>
      </w:pPr>
      <w:r>
        <w:rPr>
          <w:szCs w:val="24"/>
        </w:rPr>
        <w:t>The amendment made by this item increase</w:t>
      </w:r>
      <w:r w:rsidR="0093547A">
        <w:rPr>
          <w:szCs w:val="24"/>
        </w:rPr>
        <w:t>s</w:t>
      </w:r>
      <w:r>
        <w:rPr>
          <w:szCs w:val="24"/>
        </w:rPr>
        <w:t xml:space="preserve"> the amount of the surcharge applied to payments made by PayPal, from 1 per cent to 1.01 per cent, for fees accompanying an application under a provision of the Citizenship Act.</w:t>
      </w:r>
    </w:p>
    <w:p w14:paraId="0DD2DB17" w14:textId="77777777" w:rsidR="009D329A" w:rsidRDefault="009D329A" w:rsidP="009D329A">
      <w:pPr>
        <w:shd w:val="clear" w:color="auto" w:fill="FFFFFF"/>
        <w:spacing w:before="0"/>
        <w:rPr>
          <w:szCs w:val="24"/>
          <w:lang w:val="en-US"/>
        </w:rPr>
      </w:pPr>
    </w:p>
    <w:p w14:paraId="6D2BB248" w14:textId="77777777" w:rsidR="009D329A" w:rsidRDefault="009D329A" w:rsidP="009D329A">
      <w:pPr>
        <w:shd w:val="clear" w:color="auto" w:fill="FFFFFF"/>
        <w:spacing w:before="0"/>
        <w:rPr>
          <w:szCs w:val="24"/>
          <w:lang w:val="en-US"/>
        </w:rPr>
      </w:pPr>
    </w:p>
    <w:p w14:paraId="40636573" w14:textId="77777777" w:rsidR="009D329A" w:rsidRPr="00666DB0" w:rsidRDefault="009D329A" w:rsidP="009D329A">
      <w:pPr>
        <w:shd w:val="clear" w:color="auto" w:fill="FFFFFF"/>
        <w:spacing w:before="0"/>
        <w:rPr>
          <w:szCs w:val="24"/>
          <w:lang w:val="en-US"/>
        </w:rPr>
      </w:pPr>
      <w:r>
        <w:rPr>
          <w:b/>
          <w:bCs/>
          <w:i/>
          <w:iCs/>
          <w:szCs w:val="24"/>
        </w:rPr>
        <w:lastRenderedPageBreak/>
        <w:t>Customs Regulation 2015</w:t>
      </w:r>
    </w:p>
    <w:p w14:paraId="4037B8D4" w14:textId="77777777" w:rsidR="009D329A" w:rsidRDefault="009D329A" w:rsidP="009D329A">
      <w:pPr>
        <w:shd w:val="clear" w:color="auto" w:fill="FFFFFF"/>
        <w:spacing w:before="0"/>
        <w:rPr>
          <w:szCs w:val="24"/>
          <w:lang w:val="en-US"/>
        </w:rPr>
      </w:pPr>
    </w:p>
    <w:p w14:paraId="34BA84DE" w14:textId="77777777" w:rsidR="009D329A" w:rsidRDefault="009D329A" w:rsidP="009D329A">
      <w:pPr>
        <w:shd w:val="clear" w:color="auto" w:fill="FFFFFF"/>
        <w:spacing w:before="0"/>
        <w:rPr>
          <w:b/>
          <w:szCs w:val="24"/>
        </w:rPr>
      </w:pPr>
      <w:r w:rsidRPr="00E756D4">
        <w:rPr>
          <w:b/>
          <w:szCs w:val="24"/>
        </w:rPr>
        <w:t>Item [</w:t>
      </w:r>
      <w:r>
        <w:rPr>
          <w:b/>
          <w:szCs w:val="24"/>
        </w:rPr>
        <w:t>3</w:t>
      </w:r>
      <w:r w:rsidRPr="00E756D4">
        <w:rPr>
          <w:b/>
          <w:szCs w:val="24"/>
        </w:rPr>
        <w:t xml:space="preserve">] </w:t>
      </w:r>
      <w:r>
        <w:rPr>
          <w:b/>
          <w:szCs w:val="24"/>
        </w:rPr>
        <w:t>–</w:t>
      </w:r>
      <w:r w:rsidRPr="00E756D4">
        <w:rPr>
          <w:b/>
          <w:szCs w:val="24"/>
        </w:rPr>
        <w:t xml:space="preserve"> </w:t>
      </w:r>
      <w:r>
        <w:rPr>
          <w:b/>
          <w:szCs w:val="24"/>
        </w:rPr>
        <w:t xml:space="preserve">Paragraph </w:t>
      </w:r>
      <w:proofErr w:type="gramStart"/>
      <w:r>
        <w:rPr>
          <w:b/>
          <w:szCs w:val="24"/>
        </w:rPr>
        <w:t>150B(</w:t>
      </w:r>
      <w:proofErr w:type="gramEnd"/>
      <w:r>
        <w:rPr>
          <w:b/>
          <w:szCs w:val="24"/>
        </w:rPr>
        <w:t>2)(a)</w:t>
      </w:r>
    </w:p>
    <w:p w14:paraId="7288090B" w14:textId="77777777" w:rsidR="009D329A" w:rsidRDefault="009D329A" w:rsidP="009D329A">
      <w:pPr>
        <w:shd w:val="clear" w:color="auto" w:fill="FFFFFF"/>
        <w:spacing w:before="0"/>
        <w:rPr>
          <w:szCs w:val="24"/>
        </w:rPr>
      </w:pPr>
    </w:p>
    <w:p w14:paraId="67CFE760" w14:textId="77777777" w:rsidR="009D329A" w:rsidRDefault="009D329A" w:rsidP="009D329A">
      <w:pPr>
        <w:shd w:val="clear" w:color="auto" w:fill="FFFFFF"/>
        <w:spacing w:before="0"/>
        <w:rPr>
          <w:szCs w:val="24"/>
        </w:rPr>
      </w:pPr>
      <w:r>
        <w:rPr>
          <w:szCs w:val="24"/>
        </w:rPr>
        <w:t>This item omits the percentage “1.32%” and substitutes the new percentage “1.4%”.</w:t>
      </w:r>
    </w:p>
    <w:p w14:paraId="2DEC3BCC" w14:textId="77777777" w:rsidR="009D329A" w:rsidRDefault="009D329A" w:rsidP="009D329A">
      <w:pPr>
        <w:shd w:val="clear" w:color="auto" w:fill="FFFFFF"/>
        <w:spacing w:before="0"/>
        <w:rPr>
          <w:szCs w:val="24"/>
        </w:rPr>
      </w:pPr>
    </w:p>
    <w:p w14:paraId="5ABEC67E" w14:textId="1C5F8CC6" w:rsidR="009D329A" w:rsidRDefault="009D329A" w:rsidP="009D329A">
      <w:pPr>
        <w:shd w:val="clear" w:color="auto" w:fill="FFFFFF"/>
        <w:spacing w:before="0"/>
        <w:rPr>
          <w:szCs w:val="24"/>
        </w:rPr>
      </w:pPr>
      <w:r>
        <w:rPr>
          <w:szCs w:val="24"/>
        </w:rPr>
        <w:t>The amendment made by this item increase</w:t>
      </w:r>
      <w:r w:rsidR="0093547A">
        <w:rPr>
          <w:szCs w:val="24"/>
        </w:rPr>
        <w:t>s</w:t>
      </w:r>
      <w:r>
        <w:rPr>
          <w:szCs w:val="24"/>
        </w:rPr>
        <w:t xml:space="preserve"> the amount of the credit card surcharge applied to payments made by a Visa or MasterCard credit card, from 1.32 per cent to 1.4 per cent, for </w:t>
      </w:r>
      <w:r w:rsidRPr="0016076E">
        <w:t>customs duties, taxes, charges, fees, securities, penalties or amounts specified in infringement notices.</w:t>
      </w:r>
    </w:p>
    <w:p w14:paraId="63D1B141" w14:textId="77777777" w:rsidR="009D329A" w:rsidRPr="00101EC0" w:rsidRDefault="009D329A" w:rsidP="009D329A">
      <w:pPr>
        <w:shd w:val="clear" w:color="auto" w:fill="FFFFFF"/>
        <w:spacing w:before="0"/>
        <w:rPr>
          <w:szCs w:val="24"/>
        </w:rPr>
      </w:pPr>
    </w:p>
    <w:p w14:paraId="7E89F083" w14:textId="77777777" w:rsidR="009D329A" w:rsidRDefault="009D329A" w:rsidP="009D329A">
      <w:pPr>
        <w:shd w:val="clear" w:color="auto" w:fill="FFFFFF"/>
        <w:spacing w:before="0"/>
        <w:rPr>
          <w:b/>
          <w:szCs w:val="24"/>
        </w:rPr>
      </w:pPr>
      <w:r w:rsidRPr="00E756D4">
        <w:rPr>
          <w:b/>
          <w:szCs w:val="24"/>
        </w:rPr>
        <w:t>Item [</w:t>
      </w:r>
      <w:r>
        <w:rPr>
          <w:b/>
          <w:szCs w:val="24"/>
        </w:rPr>
        <w:t>4</w:t>
      </w:r>
      <w:r w:rsidRPr="00E756D4">
        <w:rPr>
          <w:b/>
          <w:szCs w:val="24"/>
        </w:rPr>
        <w:t xml:space="preserve">] </w:t>
      </w:r>
      <w:r>
        <w:rPr>
          <w:b/>
          <w:szCs w:val="24"/>
        </w:rPr>
        <w:t>–</w:t>
      </w:r>
      <w:r w:rsidRPr="00E756D4">
        <w:rPr>
          <w:b/>
          <w:szCs w:val="24"/>
        </w:rPr>
        <w:t xml:space="preserve"> </w:t>
      </w:r>
      <w:r>
        <w:rPr>
          <w:b/>
          <w:szCs w:val="24"/>
        </w:rPr>
        <w:t xml:space="preserve">Subsection </w:t>
      </w:r>
      <w:proofErr w:type="gramStart"/>
      <w:r>
        <w:rPr>
          <w:b/>
          <w:szCs w:val="24"/>
        </w:rPr>
        <w:t>150C(</w:t>
      </w:r>
      <w:proofErr w:type="gramEnd"/>
      <w:r>
        <w:rPr>
          <w:b/>
          <w:szCs w:val="24"/>
        </w:rPr>
        <w:t>2)</w:t>
      </w:r>
    </w:p>
    <w:p w14:paraId="0CDCD2FF" w14:textId="77777777" w:rsidR="009D329A" w:rsidRDefault="009D329A" w:rsidP="009D329A">
      <w:pPr>
        <w:shd w:val="clear" w:color="auto" w:fill="FFFFFF"/>
        <w:spacing w:before="0"/>
        <w:rPr>
          <w:szCs w:val="24"/>
          <w:lang w:val="en-US"/>
        </w:rPr>
      </w:pPr>
    </w:p>
    <w:p w14:paraId="0E97286D" w14:textId="77777777" w:rsidR="009D329A" w:rsidRDefault="009D329A" w:rsidP="009D329A">
      <w:pPr>
        <w:shd w:val="clear" w:color="auto" w:fill="FFFFFF"/>
        <w:spacing w:before="0"/>
        <w:rPr>
          <w:szCs w:val="24"/>
        </w:rPr>
      </w:pPr>
      <w:r>
        <w:rPr>
          <w:szCs w:val="24"/>
        </w:rPr>
        <w:t>This item omits the percentage “1%” and substitutes the new percentage “1.01%”.</w:t>
      </w:r>
    </w:p>
    <w:p w14:paraId="57F6A261" w14:textId="77777777" w:rsidR="009D329A" w:rsidRDefault="009D329A" w:rsidP="009D329A">
      <w:pPr>
        <w:shd w:val="clear" w:color="auto" w:fill="FFFFFF"/>
        <w:spacing w:before="0"/>
        <w:rPr>
          <w:szCs w:val="24"/>
        </w:rPr>
      </w:pPr>
    </w:p>
    <w:p w14:paraId="2BC059B4" w14:textId="351CC9A3" w:rsidR="009D329A" w:rsidRDefault="0093547A" w:rsidP="009D329A">
      <w:pPr>
        <w:shd w:val="clear" w:color="auto" w:fill="FFFFFF"/>
        <w:spacing w:before="0"/>
        <w:rPr>
          <w:szCs w:val="24"/>
        </w:rPr>
      </w:pPr>
      <w:r>
        <w:rPr>
          <w:szCs w:val="24"/>
        </w:rPr>
        <w:t xml:space="preserve">The amendment made by this item </w:t>
      </w:r>
      <w:r w:rsidR="009D329A">
        <w:rPr>
          <w:szCs w:val="24"/>
        </w:rPr>
        <w:t>increase</w:t>
      </w:r>
      <w:r>
        <w:rPr>
          <w:szCs w:val="24"/>
        </w:rPr>
        <w:t>s</w:t>
      </w:r>
      <w:r w:rsidR="009D329A">
        <w:rPr>
          <w:szCs w:val="24"/>
        </w:rPr>
        <w:t xml:space="preserve"> the amount of the surcharge applied to payments made by PayPal, from 1 per cent to 1.01 per cent, </w:t>
      </w:r>
      <w:r w:rsidR="009D329A">
        <w:t xml:space="preserve">for </w:t>
      </w:r>
      <w:r w:rsidR="009D329A" w:rsidRPr="0016076E">
        <w:t>customs duties, taxes, charges, fees, securities, penalties or amounts specified in infringement notices.</w:t>
      </w:r>
    </w:p>
    <w:p w14:paraId="0D3E088A" w14:textId="77777777" w:rsidR="009D329A" w:rsidRDefault="009D329A" w:rsidP="009D329A">
      <w:pPr>
        <w:shd w:val="clear" w:color="auto" w:fill="FFFFFF"/>
        <w:spacing w:before="0"/>
        <w:rPr>
          <w:szCs w:val="24"/>
          <w:lang w:val="en-US"/>
        </w:rPr>
      </w:pPr>
    </w:p>
    <w:p w14:paraId="1FDA47D0" w14:textId="77777777" w:rsidR="009D329A" w:rsidRPr="00666DB0" w:rsidRDefault="009D329A" w:rsidP="009D329A">
      <w:pPr>
        <w:shd w:val="clear" w:color="auto" w:fill="FFFFFF"/>
        <w:spacing w:before="0"/>
        <w:rPr>
          <w:szCs w:val="24"/>
          <w:lang w:val="en-US"/>
        </w:rPr>
      </w:pPr>
      <w:r>
        <w:rPr>
          <w:b/>
          <w:bCs/>
          <w:i/>
          <w:iCs/>
          <w:szCs w:val="24"/>
        </w:rPr>
        <w:t xml:space="preserve">Migration </w:t>
      </w:r>
      <w:r w:rsidRPr="00666DB0">
        <w:rPr>
          <w:b/>
          <w:bCs/>
          <w:i/>
          <w:iCs/>
          <w:szCs w:val="24"/>
        </w:rPr>
        <w:t>Regulation</w:t>
      </w:r>
      <w:r>
        <w:rPr>
          <w:b/>
          <w:bCs/>
          <w:i/>
          <w:iCs/>
          <w:szCs w:val="24"/>
        </w:rPr>
        <w:t>s 1994</w:t>
      </w:r>
    </w:p>
    <w:p w14:paraId="1401BA73" w14:textId="77777777" w:rsidR="009D329A" w:rsidRDefault="009D329A" w:rsidP="009D329A">
      <w:pPr>
        <w:shd w:val="clear" w:color="auto" w:fill="FFFFFF"/>
        <w:spacing w:before="0"/>
        <w:rPr>
          <w:szCs w:val="24"/>
          <w:lang w:val="en-US"/>
        </w:rPr>
      </w:pPr>
    </w:p>
    <w:p w14:paraId="215A96FC" w14:textId="77777777" w:rsidR="009D329A" w:rsidRDefault="009D329A" w:rsidP="009D329A">
      <w:pPr>
        <w:shd w:val="clear" w:color="auto" w:fill="FFFFFF"/>
        <w:spacing w:before="0"/>
        <w:rPr>
          <w:b/>
          <w:szCs w:val="24"/>
        </w:rPr>
      </w:pPr>
      <w:r w:rsidRPr="00E756D4">
        <w:rPr>
          <w:b/>
          <w:szCs w:val="24"/>
        </w:rPr>
        <w:t>Item [</w:t>
      </w:r>
      <w:r>
        <w:rPr>
          <w:b/>
          <w:szCs w:val="24"/>
        </w:rPr>
        <w:t>5</w:t>
      </w:r>
      <w:r w:rsidRPr="00E756D4">
        <w:rPr>
          <w:b/>
          <w:szCs w:val="24"/>
        </w:rPr>
        <w:t xml:space="preserve">] </w:t>
      </w:r>
      <w:r>
        <w:rPr>
          <w:b/>
          <w:szCs w:val="24"/>
        </w:rPr>
        <w:t>–</w:t>
      </w:r>
      <w:r w:rsidRPr="00E756D4">
        <w:rPr>
          <w:b/>
          <w:szCs w:val="24"/>
        </w:rPr>
        <w:t xml:space="preserve"> </w:t>
      </w:r>
      <w:r>
        <w:rPr>
          <w:b/>
          <w:szCs w:val="24"/>
        </w:rPr>
        <w:t xml:space="preserve">Paragraph </w:t>
      </w:r>
      <w:proofErr w:type="gramStart"/>
      <w:r>
        <w:rPr>
          <w:b/>
          <w:szCs w:val="24"/>
        </w:rPr>
        <w:t>5.41A(</w:t>
      </w:r>
      <w:proofErr w:type="gramEnd"/>
      <w:r>
        <w:rPr>
          <w:b/>
          <w:szCs w:val="24"/>
        </w:rPr>
        <w:t>2)(a)</w:t>
      </w:r>
    </w:p>
    <w:p w14:paraId="2B5F06C8" w14:textId="77777777" w:rsidR="009D329A" w:rsidRPr="00E951C4" w:rsidRDefault="009D329A" w:rsidP="009D329A">
      <w:pPr>
        <w:shd w:val="clear" w:color="auto" w:fill="FFFFFF"/>
        <w:spacing w:before="0"/>
        <w:rPr>
          <w:szCs w:val="24"/>
        </w:rPr>
      </w:pPr>
    </w:p>
    <w:p w14:paraId="7793FA33" w14:textId="77777777" w:rsidR="009D329A" w:rsidRDefault="009D329A" w:rsidP="009D329A">
      <w:pPr>
        <w:shd w:val="clear" w:color="auto" w:fill="FFFFFF"/>
        <w:spacing w:before="0"/>
        <w:rPr>
          <w:szCs w:val="24"/>
        </w:rPr>
      </w:pPr>
      <w:r>
        <w:rPr>
          <w:szCs w:val="24"/>
        </w:rPr>
        <w:t>This item omits the percentage “1.32%” and substitutes the new percentage “1.4%”.</w:t>
      </w:r>
    </w:p>
    <w:p w14:paraId="02F264AD" w14:textId="77777777" w:rsidR="009D329A" w:rsidRDefault="009D329A" w:rsidP="009D329A">
      <w:pPr>
        <w:shd w:val="clear" w:color="auto" w:fill="FFFFFF"/>
        <w:spacing w:before="0"/>
        <w:rPr>
          <w:szCs w:val="24"/>
        </w:rPr>
      </w:pPr>
    </w:p>
    <w:p w14:paraId="280CF4ED" w14:textId="45C62949" w:rsidR="009D329A" w:rsidRPr="00E951C4" w:rsidRDefault="009D329A" w:rsidP="009D329A">
      <w:pPr>
        <w:shd w:val="clear" w:color="auto" w:fill="FFFFFF"/>
        <w:spacing w:before="0"/>
        <w:rPr>
          <w:szCs w:val="24"/>
        </w:rPr>
      </w:pPr>
      <w:r>
        <w:rPr>
          <w:szCs w:val="24"/>
        </w:rPr>
        <w:t>The amendment made by this item increase</w:t>
      </w:r>
      <w:r w:rsidR="0093547A">
        <w:rPr>
          <w:szCs w:val="24"/>
        </w:rPr>
        <w:t>s</w:t>
      </w:r>
      <w:r>
        <w:rPr>
          <w:szCs w:val="24"/>
        </w:rPr>
        <w:t xml:space="preserve"> the amount of the credit card surcharge applied to payments made by a Visa or MasterCard credit card, from 1.32 per cent to 1.4 per cent, for </w:t>
      </w:r>
      <w:r w:rsidRPr="0016076E">
        <w:t>cer</w:t>
      </w:r>
      <w:r>
        <w:t xml:space="preserve">tain fees and charges under the Migration Regulations, </w:t>
      </w:r>
      <w:r w:rsidRPr="0016076E">
        <w:t xml:space="preserve">including for the payment of visa application charges, nomination and sponsorship </w:t>
      </w:r>
      <w:r>
        <w:t>fees, and visa evidence charges.</w:t>
      </w:r>
    </w:p>
    <w:p w14:paraId="141CE4CC" w14:textId="77777777" w:rsidR="009D329A" w:rsidRPr="00E951C4" w:rsidRDefault="009D329A" w:rsidP="009D329A">
      <w:pPr>
        <w:shd w:val="clear" w:color="auto" w:fill="FFFFFF"/>
        <w:spacing w:before="0"/>
        <w:rPr>
          <w:szCs w:val="24"/>
        </w:rPr>
      </w:pPr>
    </w:p>
    <w:p w14:paraId="33820F2C" w14:textId="77777777" w:rsidR="009D329A" w:rsidRPr="0016076E" w:rsidRDefault="009D329A" w:rsidP="009D329A">
      <w:pPr>
        <w:shd w:val="clear" w:color="auto" w:fill="FFFFFF"/>
        <w:spacing w:before="0"/>
        <w:rPr>
          <w:b/>
          <w:szCs w:val="24"/>
        </w:rPr>
      </w:pPr>
      <w:r w:rsidRPr="0016076E">
        <w:rPr>
          <w:b/>
          <w:szCs w:val="24"/>
        </w:rPr>
        <w:t xml:space="preserve">Item [6] – </w:t>
      </w:r>
      <w:proofErr w:type="spellStart"/>
      <w:r w:rsidRPr="0016076E">
        <w:rPr>
          <w:b/>
          <w:szCs w:val="24"/>
        </w:rPr>
        <w:t>Subregulation</w:t>
      </w:r>
      <w:proofErr w:type="spellEnd"/>
      <w:r w:rsidRPr="0016076E">
        <w:rPr>
          <w:b/>
          <w:szCs w:val="24"/>
        </w:rPr>
        <w:t xml:space="preserve"> </w:t>
      </w:r>
      <w:proofErr w:type="gramStart"/>
      <w:r w:rsidRPr="0016076E">
        <w:rPr>
          <w:b/>
          <w:szCs w:val="24"/>
        </w:rPr>
        <w:t>5.41B(</w:t>
      </w:r>
      <w:proofErr w:type="gramEnd"/>
      <w:r w:rsidRPr="0016076E">
        <w:rPr>
          <w:b/>
          <w:szCs w:val="24"/>
        </w:rPr>
        <w:t>2)</w:t>
      </w:r>
    </w:p>
    <w:p w14:paraId="1F8CD325" w14:textId="77777777" w:rsidR="009D329A" w:rsidRDefault="009D329A" w:rsidP="009D329A">
      <w:pPr>
        <w:shd w:val="clear" w:color="auto" w:fill="FFFFFF"/>
        <w:spacing w:before="0"/>
        <w:rPr>
          <w:szCs w:val="24"/>
          <w:lang w:val="en-US"/>
        </w:rPr>
      </w:pPr>
    </w:p>
    <w:p w14:paraId="788CE2D8" w14:textId="77777777" w:rsidR="009D329A" w:rsidRDefault="009D329A" w:rsidP="009D329A">
      <w:pPr>
        <w:shd w:val="clear" w:color="auto" w:fill="FFFFFF"/>
        <w:spacing w:before="0"/>
        <w:rPr>
          <w:szCs w:val="24"/>
        </w:rPr>
      </w:pPr>
      <w:r>
        <w:rPr>
          <w:szCs w:val="24"/>
        </w:rPr>
        <w:t>This item omits the percentage “1%” and substitutes the new percentage “1.01%”.</w:t>
      </w:r>
    </w:p>
    <w:p w14:paraId="4FE75F58" w14:textId="77777777" w:rsidR="009D329A" w:rsidRDefault="009D329A" w:rsidP="009D329A">
      <w:pPr>
        <w:shd w:val="clear" w:color="auto" w:fill="FFFFFF"/>
        <w:spacing w:before="0"/>
        <w:rPr>
          <w:szCs w:val="24"/>
        </w:rPr>
      </w:pPr>
    </w:p>
    <w:p w14:paraId="7A419BF1" w14:textId="3BEBB99F" w:rsidR="009D329A" w:rsidRPr="00B46468" w:rsidRDefault="009D329A" w:rsidP="009D329A">
      <w:pPr>
        <w:shd w:val="clear" w:color="auto" w:fill="FFFFFF"/>
        <w:spacing w:before="0"/>
        <w:rPr>
          <w:szCs w:val="24"/>
        </w:rPr>
      </w:pPr>
      <w:r>
        <w:rPr>
          <w:szCs w:val="24"/>
        </w:rPr>
        <w:t>The amendment made by this item increase</w:t>
      </w:r>
      <w:r w:rsidR="0093547A">
        <w:rPr>
          <w:szCs w:val="24"/>
        </w:rPr>
        <w:t>s</w:t>
      </w:r>
      <w:r>
        <w:rPr>
          <w:szCs w:val="24"/>
        </w:rPr>
        <w:t xml:space="preserve"> the amount of the surcharge applied to payments made by PayPal, from 1 per cent to 1.01 per cent, for </w:t>
      </w:r>
      <w:r w:rsidRPr="0016076E">
        <w:t>cer</w:t>
      </w:r>
      <w:r>
        <w:t xml:space="preserve">tain fees and charges under the Migration Regulations, </w:t>
      </w:r>
      <w:r w:rsidRPr="0016076E">
        <w:t xml:space="preserve">including for the payment of visa application charges, nomination and sponsorship </w:t>
      </w:r>
      <w:r>
        <w:t>fees, and visa evidence charges.</w:t>
      </w:r>
    </w:p>
    <w:p w14:paraId="367C2FCC" w14:textId="24C117C7" w:rsidR="004B67FC" w:rsidRPr="007552B8" w:rsidRDefault="004B67FC" w:rsidP="00CA29BB">
      <w:pPr>
        <w:spacing w:before="0"/>
        <w:rPr>
          <w:szCs w:val="24"/>
        </w:rPr>
      </w:pPr>
    </w:p>
    <w:sectPr w:rsidR="004B67FC" w:rsidRPr="007552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FAD88" w14:textId="77777777" w:rsidR="00500EA4" w:rsidRDefault="00500EA4" w:rsidP="00500EA4">
      <w:pPr>
        <w:spacing w:before="0"/>
      </w:pPr>
      <w:r>
        <w:separator/>
      </w:r>
    </w:p>
  </w:endnote>
  <w:endnote w:type="continuationSeparator" w:id="0">
    <w:p w14:paraId="51A2391C" w14:textId="77777777" w:rsidR="00500EA4" w:rsidRDefault="00500EA4" w:rsidP="00500E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EA1A" w14:textId="77777777" w:rsidR="00500EA4" w:rsidRDefault="00500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255190"/>
      <w:docPartObj>
        <w:docPartGallery w:val="Page Numbers (Bottom of Page)"/>
        <w:docPartUnique/>
      </w:docPartObj>
    </w:sdtPr>
    <w:sdtEndPr>
      <w:rPr>
        <w:noProof/>
      </w:rPr>
    </w:sdtEndPr>
    <w:sdtContent>
      <w:p w14:paraId="1333FF96" w14:textId="14BAF971" w:rsidR="00500EA4" w:rsidRDefault="00500EA4">
        <w:pPr>
          <w:pStyle w:val="Footer"/>
          <w:jc w:val="center"/>
        </w:pPr>
        <w:r>
          <w:fldChar w:fldCharType="begin"/>
        </w:r>
        <w:r>
          <w:instrText xml:space="preserve"> PAGE   \* MERGEFORMAT </w:instrText>
        </w:r>
        <w:r>
          <w:fldChar w:fldCharType="separate"/>
        </w:r>
        <w:r w:rsidR="004A0A76">
          <w:rPr>
            <w:noProof/>
          </w:rPr>
          <w:t>8</w:t>
        </w:r>
        <w:r>
          <w:rPr>
            <w:noProof/>
          </w:rPr>
          <w:fldChar w:fldCharType="end"/>
        </w:r>
      </w:p>
    </w:sdtContent>
  </w:sdt>
  <w:p w14:paraId="02B8B5D0" w14:textId="77777777" w:rsidR="00500EA4" w:rsidRDefault="00500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16DF5" w14:textId="77777777" w:rsidR="00500EA4" w:rsidRDefault="00500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15741" w14:textId="77777777" w:rsidR="00500EA4" w:rsidRDefault="00500EA4" w:rsidP="00500EA4">
      <w:pPr>
        <w:spacing w:before="0"/>
      </w:pPr>
      <w:r>
        <w:separator/>
      </w:r>
    </w:p>
  </w:footnote>
  <w:footnote w:type="continuationSeparator" w:id="0">
    <w:p w14:paraId="22D2AE86" w14:textId="77777777" w:rsidR="00500EA4" w:rsidRDefault="00500EA4" w:rsidP="00500EA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A1B4B" w14:textId="77777777" w:rsidR="00500EA4" w:rsidRDefault="0050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502CB" w14:textId="77777777" w:rsidR="00500EA4" w:rsidRDefault="00500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64AEB" w14:textId="77777777" w:rsidR="00500EA4" w:rsidRDefault="00500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CB3"/>
    <w:multiLevelType w:val="hybridMultilevel"/>
    <w:tmpl w:val="F42E2A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45655E"/>
    <w:multiLevelType w:val="hybridMultilevel"/>
    <w:tmpl w:val="145A0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82B4C"/>
    <w:multiLevelType w:val="hybridMultilevel"/>
    <w:tmpl w:val="654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D44A02"/>
    <w:multiLevelType w:val="hybridMultilevel"/>
    <w:tmpl w:val="EB304626"/>
    <w:lvl w:ilvl="0" w:tplc="B492EDD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D2449C6"/>
    <w:multiLevelType w:val="hybridMultilevel"/>
    <w:tmpl w:val="9EA25D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9A4670"/>
    <w:multiLevelType w:val="hybridMultilevel"/>
    <w:tmpl w:val="E44014D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5B44FDE"/>
    <w:multiLevelType w:val="singleLevel"/>
    <w:tmpl w:val="4350A1D6"/>
    <w:lvl w:ilvl="0">
      <w:start w:val="2"/>
      <w:numFmt w:val="decimal"/>
      <w:pStyle w:val="DINumberedParagraph"/>
      <w:lvlText w:val="%1."/>
      <w:lvlJc w:val="left"/>
      <w:pPr>
        <w:tabs>
          <w:tab w:val="num" w:pos="360"/>
        </w:tabs>
        <w:ind w:left="0" w:firstLine="0"/>
      </w:pPr>
    </w:lvl>
  </w:abstractNum>
  <w:abstractNum w:abstractNumId="7" w15:restartNumberingAfterBreak="0">
    <w:nsid w:val="19091E30"/>
    <w:multiLevelType w:val="hybridMultilevel"/>
    <w:tmpl w:val="90DCEF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361E97"/>
    <w:multiLevelType w:val="hybridMultilevel"/>
    <w:tmpl w:val="AFB094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353"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494A30"/>
    <w:multiLevelType w:val="hybridMultilevel"/>
    <w:tmpl w:val="9A58C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300669"/>
    <w:multiLevelType w:val="hybridMultilevel"/>
    <w:tmpl w:val="6C24168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29195AEF"/>
    <w:multiLevelType w:val="hybridMultilevel"/>
    <w:tmpl w:val="AF141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C54418C"/>
    <w:multiLevelType w:val="hybridMultilevel"/>
    <w:tmpl w:val="C24A05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BC47DF"/>
    <w:multiLevelType w:val="hybridMultilevel"/>
    <w:tmpl w:val="4B02F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09E4909"/>
    <w:multiLevelType w:val="hybridMultilevel"/>
    <w:tmpl w:val="576ADB7A"/>
    <w:lvl w:ilvl="0" w:tplc="0C090001">
      <w:start w:val="1"/>
      <w:numFmt w:val="bullet"/>
      <w:lvlText w:val=""/>
      <w:lvlJc w:val="left"/>
      <w:pPr>
        <w:ind w:left="2124" w:hanging="360"/>
      </w:pPr>
      <w:rPr>
        <w:rFonts w:ascii="Symbol" w:hAnsi="Symbol" w:hint="default"/>
      </w:rPr>
    </w:lvl>
    <w:lvl w:ilvl="1" w:tplc="0C090003" w:tentative="1">
      <w:start w:val="1"/>
      <w:numFmt w:val="bullet"/>
      <w:lvlText w:val="o"/>
      <w:lvlJc w:val="left"/>
      <w:pPr>
        <w:ind w:left="2844" w:hanging="360"/>
      </w:pPr>
      <w:rPr>
        <w:rFonts w:ascii="Courier New" w:hAnsi="Courier New" w:cs="Courier New" w:hint="default"/>
      </w:rPr>
    </w:lvl>
    <w:lvl w:ilvl="2" w:tplc="0C090005" w:tentative="1">
      <w:start w:val="1"/>
      <w:numFmt w:val="bullet"/>
      <w:lvlText w:val=""/>
      <w:lvlJc w:val="left"/>
      <w:pPr>
        <w:ind w:left="3564" w:hanging="360"/>
      </w:pPr>
      <w:rPr>
        <w:rFonts w:ascii="Wingdings" w:hAnsi="Wingdings" w:hint="default"/>
      </w:rPr>
    </w:lvl>
    <w:lvl w:ilvl="3" w:tplc="0C090001" w:tentative="1">
      <w:start w:val="1"/>
      <w:numFmt w:val="bullet"/>
      <w:lvlText w:val=""/>
      <w:lvlJc w:val="left"/>
      <w:pPr>
        <w:ind w:left="4284" w:hanging="360"/>
      </w:pPr>
      <w:rPr>
        <w:rFonts w:ascii="Symbol" w:hAnsi="Symbol" w:hint="default"/>
      </w:rPr>
    </w:lvl>
    <w:lvl w:ilvl="4" w:tplc="0C090003" w:tentative="1">
      <w:start w:val="1"/>
      <w:numFmt w:val="bullet"/>
      <w:lvlText w:val="o"/>
      <w:lvlJc w:val="left"/>
      <w:pPr>
        <w:ind w:left="5004" w:hanging="360"/>
      </w:pPr>
      <w:rPr>
        <w:rFonts w:ascii="Courier New" w:hAnsi="Courier New" w:cs="Courier New" w:hint="default"/>
      </w:rPr>
    </w:lvl>
    <w:lvl w:ilvl="5" w:tplc="0C090005" w:tentative="1">
      <w:start w:val="1"/>
      <w:numFmt w:val="bullet"/>
      <w:lvlText w:val=""/>
      <w:lvlJc w:val="left"/>
      <w:pPr>
        <w:ind w:left="5724" w:hanging="360"/>
      </w:pPr>
      <w:rPr>
        <w:rFonts w:ascii="Wingdings" w:hAnsi="Wingdings" w:hint="default"/>
      </w:rPr>
    </w:lvl>
    <w:lvl w:ilvl="6" w:tplc="0C090001" w:tentative="1">
      <w:start w:val="1"/>
      <w:numFmt w:val="bullet"/>
      <w:lvlText w:val=""/>
      <w:lvlJc w:val="left"/>
      <w:pPr>
        <w:ind w:left="6444" w:hanging="360"/>
      </w:pPr>
      <w:rPr>
        <w:rFonts w:ascii="Symbol" w:hAnsi="Symbol" w:hint="default"/>
      </w:rPr>
    </w:lvl>
    <w:lvl w:ilvl="7" w:tplc="0C090003" w:tentative="1">
      <w:start w:val="1"/>
      <w:numFmt w:val="bullet"/>
      <w:lvlText w:val="o"/>
      <w:lvlJc w:val="left"/>
      <w:pPr>
        <w:ind w:left="7164" w:hanging="360"/>
      </w:pPr>
      <w:rPr>
        <w:rFonts w:ascii="Courier New" w:hAnsi="Courier New" w:cs="Courier New" w:hint="default"/>
      </w:rPr>
    </w:lvl>
    <w:lvl w:ilvl="8" w:tplc="0C090005" w:tentative="1">
      <w:start w:val="1"/>
      <w:numFmt w:val="bullet"/>
      <w:lvlText w:val=""/>
      <w:lvlJc w:val="left"/>
      <w:pPr>
        <w:ind w:left="7884" w:hanging="360"/>
      </w:pPr>
      <w:rPr>
        <w:rFonts w:ascii="Wingdings" w:hAnsi="Wingdings" w:hint="default"/>
      </w:rPr>
    </w:lvl>
  </w:abstractNum>
  <w:abstractNum w:abstractNumId="15" w15:restartNumberingAfterBreak="0">
    <w:nsid w:val="3B9E644A"/>
    <w:multiLevelType w:val="hybridMultilevel"/>
    <w:tmpl w:val="C09E1C54"/>
    <w:lvl w:ilvl="0" w:tplc="B1C8DC8E">
      <w:numFmt w:val="bullet"/>
      <w:lvlText w:val="-"/>
      <w:lvlJc w:val="left"/>
      <w:pPr>
        <w:ind w:left="360" w:hanging="360"/>
      </w:pPr>
      <w:rPr>
        <w:rFonts w:ascii="Calibri" w:eastAsia="Times New Roman"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DD1244"/>
    <w:multiLevelType w:val="hybridMultilevel"/>
    <w:tmpl w:val="074AFF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400CC0"/>
    <w:multiLevelType w:val="hybridMultilevel"/>
    <w:tmpl w:val="A126C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BD3426"/>
    <w:multiLevelType w:val="hybridMultilevel"/>
    <w:tmpl w:val="E612E5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5ED4731"/>
    <w:multiLevelType w:val="hybridMultilevel"/>
    <w:tmpl w:val="D0C8437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F55A13"/>
    <w:multiLevelType w:val="hybridMultilevel"/>
    <w:tmpl w:val="DE481592"/>
    <w:lvl w:ilvl="0" w:tplc="045EC436">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7B21D0E"/>
    <w:multiLevelType w:val="hybridMultilevel"/>
    <w:tmpl w:val="BEBA5B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A5527E6"/>
    <w:multiLevelType w:val="hybridMultilevel"/>
    <w:tmpl w:val="DC52E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7649E6"/>
    <w:multiLevelType w:val="hybridMultilevel"/>
    <w:tmpl w:val="A4B66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7E09AF"/>
    <w:multiLevelType w:val="hybridMultilevel"/>
    <w:tmpl w:val="ABBAA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345028"/>
    <w:multiLevelType w:val="hybridMultilevel"/>
    <w:tmpl w:val="B0789224"/>
    <w:lvl w:ilvl="0" w:tplc="0D48F45A">
      <w:start w:val="1"/>
      <w:numFmt w:val="decimal"/>
      <w:lvlText w:val="%1."/>
      <w:lvlJc w:val="left"/>
      <w:pPr>
        <w:ind w:left="720" w:hanging="360"/>
      </w:pPr>
      <w:rPr>
        <w:i w:val="0"/>
      </w:rPr>
    </w:lvl>
    <w:lvl w:ilvl="1" w:tplc="0C090001">
      <w:start w:val="1"/>
      <w:numFmt w:val="bullet"/>
      <w:lvlText w:val=""/>
      <w:lvlJc w:val="left"/>
      <w:pPr>
        <w:ind w:left="1440" w:hanging="360"/>
      </w:pPr>
      <w:rPr>
        <w:rFonts w:ascii="Symbol" w:hAnsi="Symbol" w:hint="default"/>
      </w:rPr>
    </w:lvl>
    <w:lvl w:ilvl="2" w:tplc="40346E42" w:tentative="1">
      <w:start w:val="1"/>
      <w:numFmt w:val="lowerRoman"/>
      <w:lvlText w:val="%3."/>
      <w:lvlJc w:val="right"/>
      <w:pPr>
        <w:ind w:left="2160" w:hanging="180"/>
      </w:pPr>
    </w:lvl>
    <w:lvl w:ilvl="3" w:tplc="457035D0" w:tentative="1">
      <w:start w:val="1"/>
      <w:numFmt w:val="decimal"/>
      <w:lvlText w:val="%4."/>
      <w:lvlJc w:val="left"/>
      <w:pPr>
        <w:ind w:left="2880" w:hanging="360"/>
      </w:pPr>
    </w:lvl>
    <w:lvl w:ilvl="4" w:tplc="BC520E5C" w:tentative="1">
      <w:start w:val="1"/>
      <w:numFmt w:val="lowerLetter"/>
      <w:lvlText w:val="%5."/>
      <w:lvlJc w:val="left"/>
      <w:pPr>
        <w:ind w:left="3600" w:hanging="360"/>
      </w:pPr>
    </w:lvl>
    <w:lvl w:ilvl="5" w:tplc="54BC06D4" w:tentative="1">
      <w:start w:val="1"/>
      <w:numFmt w:val="lowerRoman"/>
      <w:lvlText w:val="%6."/>
      <w:lvlJc w:val="right"/>
      <w:pPr>
        <w:ind w:left="4320" w:hanging="180"/>
      </w:pPr>
    </w:lvl>
    <w:lvl w:ilvl="6" w:tplc="4DF406E8" w:tentative="1">
      <w:start w:val="1"/>
      <w:numFmt w:val="decimal"/>
      <w:lvlText w:val="%7."/>
      <w:lvlJc w:val="left"/>
      <w:pPr>
        <w:ind w:left="5040" w:hanging="360"/>
      </w:pPr>
    </w:lvl>
    <w:lvl w:ilvl="7" w:tplc="40DC9224" w:tentative="1">
      <w:start w:val="1"/>
      <w:numFmt w:val="lowerLetter"/>
      <w:lvlText w:val="%8."/>
      <w:lvlJc w:val="left"/>
      <w:pPr>
        <w:ind w:left="5760" w:hanging="360"/>
      </w:pPr>
    </w:lvl>
    <w:lvl w:ilvl="8" w:tplc="0F348372" w:tentative="1">
      <w:start w:val="1"/>
      <w:numFmt w:val="lowerRoman"/>
      <w:lvlText w:val="%9."/>
      <w:lvlJc w:val="right"/>
      <w:pPr>
        <w:ind w:left="6480" w:hanging="180"/>
      </w:pPr>
    </w:lvl>
  </w:abstractNum>
  <w:abstractNum w:abstractNumId="27" w15:restartNumberingAfterBreak="0">
    <w:nsid w:val="6B0F6477"/>
    <w:multiLevelType w:val="hybridMultilevel"/>
    <w:tmpl w:val="DC4E3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906AF1"/>
    <w:multiLevelType w:val="hybridMultilevel"/>
    <w:tmpl w:val="FAECC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EA4372"/>
    <w:multiLevelType w:val="hybridMultilevel"/>
    <w:tmpl w:val="743EDED6"/>
    <w:lvl w:ilvl="0" w:tplc="7054AF8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7DF74F51"/>
    <w:multiLevelType w:val="hybridMultilevel"/>
    <w:tmpl w:val="394EE6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E393260"/>
    <w:multiLevelType w:val="hybridMultilevel"/>
    <w:tmpl w:val="EDD0C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6"/>
    <w:lvlOverride w:ilvl="0">
      <w:startOverride w:val="2"/>
    </w:lvlOverride>
  </w:num>
  <w:num w:numId="4">
    <w:abstractNumId w:val="13"/>
  </w:num>
  <w:num w:numId="5">
    <w:abstractNumId w:val="5"/>
  </w:num>
  <w:num w:numId="6">
    <w:abstractNumId w:val="10"/>
  </w:num>
  <w:num w:numId="7">
    <w:abstractNumId w:val="6"/>
  </w:num>
  <w:num w:numId="8">
    <w:abstractNumId w:val="26"/>
  </w:num>
  <w:num w:numId="9">
    <w:abstractNumId w:val="25"/>
  </w:num>
  <w:num w:numId="10">
    <w:abstractNumId w:val="27"/>
  </w:num>
  <w:num w:numId="11">
    <w:abstractNumId w:val="6"/>
    <w:lvlOverride w:ilvl="0">
      <w:startOverride w:val="2"/>
    </w:lvlOverride>
  </w:num>
  <w:num w:numId="12">
    <w:abstractNumId w:val="23"/>
  </w:num>
  <w:num w:numId="13">
    <w:abstractNumId w:val="17"/>
  </w:num>
  <w:num w:numId="14">
    <w:abstractNumId w:val="31"/>
  </w:num>
  <w:num w:numId="15">
    <w:abstractNumId w:val="8"/>
  </w:num>
  <w:num w:numId="16">
    <w:abstractNumId w:val="24"/>
  </w:num>
  <w:num w:numId="17">
    <w:abstractNumId w:val="28"/>
  </w:num>
  <w:num w:numId="18">
    <w:abstractNumId w:val="1"/>
  </w:num>
  <w:num w:numId="19">
    <w:abstractNumId w:val="15"/>
  </w:num>
  <w:num w:numId="20">
    <w:abstractNumId w:val="4"/>
  </w:num>
  <w:num w:numId="21">
    <w:abstractNumId w:val="19"/>
  </w:num>
  <w:num w:numId="22">
    <w:abstractNumId w:val="18"/>
  </w:num>
  <w:num w:numId="23">
    <w:abstractNumId w:val="12"/>
  </w:num>
  <w:num w:numId="24">
    <w:abstractNumId w:val="14"/>
  </w:num>
  <w:num w:numId="25">
    <w:abstractNumId w:val="11"/>
  </w:num>
  <w:num w:numId="26">
    <w:abstractNumId w:val="7"/>
  </w:num>
  <w:num w:numId="27">
    <w:abstractNumId w:val="21"/>
  </w:num>
  <w:num w:numId="28">
    <w:abstractNumId w:val="9"/>
  </w:num>
  <w:num w:numId="29">
    <w:abstractNumId w:val="0"/>
  </w:num>
  <w:num w:numId="30">
    <w:abstractNumId w:val="22"/>
  </w:num>
  <w:num w:numId="31">
    <w:abstractNumId w:val="30"/>
  </w:num>
  <w:num w:numId="32">
    <w:abstractNumId w:val="16"/>
  </w:num>
  <w:num w:numId="33">
    <w:abstractNumId w:val="30"/>
  </w:num>
  <w:num w:numId="34">
    <w:abstractNumId w:val="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D7"/>
    <w:rsid w:val="00000D51"/>
    <w:rsid w:val="0000467B"/>
    <w:rsid w:val="00004BF3"/>
    <w:rsid w:val="00005D9F"/>
    <w:rsid w:val="000108F2"/>
    <w:rsid w:val="00014BDB"/>
    <w:rsid w:val="000169B8"/>
    <w:rsid w:val="00016BE7"/>
    <w:rsid w:val="00017A03"/>
    <w:rsid w:val="00027E86"/>
    <w:rsid w:val="0003030B"/>
    <w:rsid w:val="0003306F"/>
    <w:rsid w:val="00033C11"/>
    <w:rsid w:val="000422CE"/>
    <w:rsid w:val="0004530D"/>
    <w:rsid w:val="0005086A"/>
    <w:rsid w:val="00050EAD"/>
    <w:rsid w:val="000576E6"/>
    <w:rsid w:val="0006141F"/>
    <w:rsid w:val="00064030"/>
    <w:rsid w:val="000642AD"/>
    <w:rsid w:val="0007287B"/>
    <w:rsid w:val="000728F5"/>
    <w:rsid w:val="000767F4"/>
    <w:rsid w:val="00086B7A"/>
    <w:rsid w:val="00091D3E"/>
    <w:rsid w:val="00094A7E"/>
    <w:rsid w:val="000A10F1"/>
    <w:rsid w:val="000B2D6A"/>
    <w:rsid w:val="000B6780"/>
    <w:rsid w:val="000B700C"/>
    <w:rsid w:val="000C0781"/>
    <w:rsid w:val="000C3F8D"/>
    <w:rsid w:val="000C6DA0"/>
    <w:rsid w:val="000D2EC5"/>
    <w:rsid w:val="000E0342"/>
    <w:rsid w:val="000E28C7"/>
    <w:rsid w:val="000E4C6B"/>
    <w:rsid w:val="000E51C3"/>
    <w:rsid w:val="0011500B"/>
    <w:rsid w:val="0011515A"/>
    <w:rsid w:val="00123857"/>
    <w:rsid w:val="0013498A"/>
    <w:rsid w:val="00134AD9"/>
    <w:rsid w:val="00142FD7"/>
    <w:rsid w:val="001441C4"/>
    <w:rsid w:val="00151BE6"/>
    <w:rsid w:val="0015601A"/>
    <w:rsid w:val="00156CE8"/>
    <w:rsid w:val="00160248"/>
    <w:rsid w:val="001611ED"/>
    <w:rsid w:val="001817DF"/>
    <w:rsid w:val="001873BB"/>
    <w:rsid w:val="00192056"/>
    <w:rsid w:val="00194BDF"/>
    <w:rsid w:val="00196AAF"/>
    <w:rsid w:val="001A5058"/>
    <w:rsid w:val="001A528B"/>
    <w:rsid w:val="001A6FE5"/>
    <w:rsid w:val="001A7DFF"/>
    <w:rsid w:val="001C2D3A"/>
    <w:rsid w:val="001D3D00"/>
    <w:rsid w:val="001D4748"/>
    <w:rsid w:val="001D7372"/>
    <w:rsid w:val="001E312E"/>
    <w:rsid w:val="001F2CCD"/>
    <w:rsid w:val="001F593C"/>
    <w:rsid w:val="001F6E18"/>
    <w:rsid w:val="00200D46"/>
    <w:rsid w:val="00204976"/>
    <w:rsid w:val="00204FAC"/>
    <w:rsid w:val="002107B3"/>
    <w:rsid w:val="00210EAE"/>
    <w:rsid w:val="00213EC2"/>
    <w:rsid w:val="00214AC1"/>
    <w:rsid w:val="002153FD"/>
    <w:rsid w:val="002207A9"/>
    <w:rsid w:val="0023034D"/>
    <w:rsid w:val="0023070E"/>
    <w:rsid w:val="0023247D"/>
    <w:rsid w:val="00235047"/>
    <w:rsid w:val="00235185"/>
    <w:rsid w:val="0023682C"/>
    <w:rsid w:val="00242B43"/>
    <w:rsid w:val="00243955"/>
    <w:rsid w:val="00245B50"/>
    <w:rsid w:val="00245EEB"/>
    <w:rsid w:val="00256410"/>
    <w:rsid w:val="00256570"/>
    <w:rsid w:val="00261B55"/>
    <w:rsid w:val="002655AF"/>
    <w:rsid w:val="0027631E"/>
    <w:rsid w:val="00281E37"/>
    <w:rsid w:val="002837E3"/>
    <w:rsid w:val="00287E09"/>
    <w:rsid w:val="00295B4D"/>
    <w:rsid w:val="002A33CD"/>
    <w:rsid w:val="002A62D9"/>
    <w:rsid w:val="002C1FDB"/>
    <w:rsid w:val="002C7FF6"/>
    <w:rsid w:val="002D71A3"/>
    <w:rsid w:val="002E1F0E"/>
    <w:rsid w:val="0030252A"/>
    <w:rsid w:val="00302FA4"/>
    <w:rsid w:val="00306F15"/>
    <w:rsid w:val="0031060D"/>
    <w:rsid w:val="00315BA6"/>
    <w:rsid w:val="00316AEA"/>
    <w:rsid w:val="00316B71"/>
    <w:rsid w:val="00331B30"/>
    <w:rsid w:val="00336BB2"/>
    <w:rsid w:val="00341C0A"/>
    <w:rsid w:val="003456EA"/>
    <w:rsid w:val="00355795"/>
    <w:rsid w:val="0035599E"/>
    <w:rsid w:val="00362988"/>
    <w:rsid w:val="00362BBB"/>
    <w:rsid w:val="003711B4"/>
    <w:rsid w:val="00377B1E"/>
    <w:rsid w:val="003801F1"/>
    <w:rsid w:val="00391F5C"/>
    <w:rsid w:val="003A17C8"/>
    <w:rsid w:val="003A2393"/>
    <w:rsid w:val="003A3375"/>
    <w:rsid w:val="003A415F"/>
    <w:rsid w:val="003A5DAF"/>
    <w:rsid w:val="003B789F"/>
    <w:rsid w:val="003B7F14"/>
    <w:rsid w:val="003C3327"/>
    <w:rsid w:val="003C60DF"/>
    <w:rsid w:val="003D00B1"/>
    <w:rsid w:val="003D0983"/>
    <w:rsid w:val="003D1117"/>
    <w:rsid w:val="003D48A7"/>
    <w:rsid w:val="003E163D"/>
    <w:rsid w:val="003E301F"/>
    <w:rsid w:val="003E3AF8"/>
    <w:rsid w:val="003E4DBE"/>
    <w:rsid w:val="003F1964"/>
    <w:rsid w:val="00400E48"/>
    <w:rsid w:val="00402AD3"/>
    <w:rsid w:val="004163BB"/>
    <w:rsid w:val="0042673D"/>
    <w:rsid w:val="00437FF2"/>
    <w:rsid w:val="00441811"/>
    <w:rsid w:val="00443776"/>
    <w:rsid w:val="004500B1"/>
    <w:rsid w:val="00457DB4"/>
    <w:rsid w:val="004637E8"/>
    <w:rsid w:val="004652EE"/>
    <w:rsid w:val="004726BE"/>
    <w:rsid w:val="0047497F"/>
    <w:rsid w:val="00474B42"/>
    <w:rsid w:val="00475A26"/>
    <w:rsid w:val="00482053"/>
    <w:rsid w:val="00484DC0"/>
    <w:rsid w:val="004A0A76"/>
    <w:rsid w:val="004A0E4E"/>
    <w:rsid w:val="004A5365"/>
    <w:rsid w:val="004B1B05"/>
    <w:rsid w:val="004B67FC"/>
    <w:rsid w:val="004B6FDF"/>
    <w:rsid w:val="004B737E"/>
    <w:rsid w:val="004C5ECA"/>
    <w:rsid w:val="004E7C90"/>
    <w:rsid w:val="00500EA4"/>
    <w:rsid w:val="00510121"/>
    <w:rsid w:val="00517BFC"/>
    <w:rsid w:val="00527982"/>
    <w:rsid w:val="0053660B"/>
    <w:rsid w:val="00537185"/>
    <w:rsid w:val="00541693"/>
    <w:rsid w:val="005452E3"/>
    <w:rsid w:val="005458E5"/>
    <w:rsid w:val="00553BF6"/>
    <w:rsid w:val="005654E4"/>
    <w:rsid w:val="00566738"/>
    <w:rsid w:val="00574047"/>
    <w:rsid w:val="00576D16"/>
    <w:rsid w:val="00595366"/>
    <w:rsid w:val="0059786F"/>
    <w:rsid w:val="005A3968"/>
    <w:rsid w:val="005A6049"/>
    <w:rsid w:val="005B0132"/>
    <w:rsid w:val="005B424C"/>
    <w:rsid w:val="005C138D"/>
    <w:rsid w:val="005C49C2"/>
    <w:rsid w:val="005C7517"/>
    <w:rsid w:val="005D28AE"/>
    <w:rsid w:val="005D6698"/>
    <w:rsid w:val="00605FED"/>
    <w:rsid w:val="006215B4"/>
    <w:rsid w:val="0063506B"/>
    <w:rsid w:val="00642F74"/>
    <w:rsid w:val="00651F1A"/>
    <w:rsid w:val="006538BC"/>
    <w:rsid w:val="00656DDA"/>
    <w:rsid w:val="00663410"/>
    <w:rsid w:val="006748D4"/>
    <w:rsid w:val="0068084F"/>
    <w:rsid w:val="0069661F"/>
    <w:rsid w:val="006A29AC"/>
    <w:rsid w:val="006A5054"/>
    <w:rsid w:val="006A7C34"/>
    <w:rsid w:val="006A7D0C"/>
    <w:rsid w:val="006B37DB"/>
    <w:rsid w:val="006B5E22"/>
    <w:rsid w:val="006C1271"/>
    <w:rsid w:val="006C343E"/>
    <w:rsid w:val="006C7BD5"/>
    <w:rsid w:val="006D287C"/>
    <w:rsid w:val="006D3099"/>
    <w:rsid w:val="006E2126"/>
    <w:rsid w:val="006E7102"/>
    <w:rsid w:val="007002A9"/>
    <w:rsid w:val="0071182A"/>
    <w:rsid w:val="00712BF5"/>
    <w:rsid w:val="00717489"/>
    <w:rsid w:val="0072003C"/>
    <w:rsid w:val="00726F0B"/>
    <w:rsid w:val="007346B6"/>
    <w:rsid w:val="00735585"/>
    <w:rsid w:val="007412A8"/>
    <w:rsid w:val="00744A3F"/>
    <w:rsid w:val="00754845"/>
    <w:rsid w:val="007552B8"/>
    <w:rsid w:val="00761AAF"/>
    <w:rsid w:val="00761E30"/>
    <w:rsid w:val="007757B5"/>
    <w:rsid w:val="0078723A"/>
    <w:rsid w:val="00787A4F"/>
    <w:rsid w:val="00791416"/>
    <w:rsid w:val="007A0E1F"/>
    <w:rsid w:val="007A7ADC"/>
    <w:rsid w:val="007B1939"/>
    <w:rsid w:val="007B1B4C"/>
    <w:rsid w:val="007D479C"/>
    <w:rsid w:val="007E284C"/>
    <w:rsid w:val="0080331C"/>
    <w:rsid w:val="008143AC"/>
    <w:rsid w:val="008146D8"/>
    <w:rsid w:val="008166E6"/>
    <w:rsid w:val="00823A27"/>
    <w:rsid w:val="00826FDE"/>
    <w:rsid w:val="00827DD4"/>
    <w:rsid w:val="008347D3"/>
    <w:rsid w:val="00836034"/>
    <w:rsid w:val="008367C9"/>
    <w:rsid w:val="00836E83"/>
    <w:rsid w:val="0084040E"/>
    <w:rsid w:val="008405F1"/>
    <w:rsid w:val="00841D9D"/>
    <w:rsid w:val="008426AA"/>
    <w:rsid w:val="00844FF7"/>
    <w:rsid w:val="008558B9"/>
    <w:rsid w:val="0085716B"/>
    <w:rsid w:val="00857FCC"/>
    <w:rsid w:val="0086389B"/>
    <w:rsid w:val="008649C8"/>
    <w:rsid w:val="00867F3B"/>
    <w:rsid w:val="0087509A"/>
    <w:rsid w:val="00880E70"/>
    <w:rsid w:val="008864C3"/>
    <w:rsid w:val="00892883"/>
    <w:rsid w:val="008A0A67"/>
    <w:rsid w:val="008A1A06"/>
    <w:rsid w:val="008B1A33"/>
    <w:rsid w:val="008B72CB"/>
    <w:rsid w:val="008C14EE"/>
    <w:rsid w:val="008D162C"/>
    <w:rsid w:val="008D6594"/>
    <w:rsid w:val="008D7352"/>
    <w:rsid w:val="008E0540"/>
    <w:rsid w:val="008E454F"/>
    <w:rsid w:val="008E773E"/>
    <w:rsid w:val="008F0202"/>
    <w:rsid w:val="008F0393"/>
    <w:rsid w:val="008F1EB3"/>
    <w:rsid w:val="008F7593"/>
    <w:rsid w:val="00900561"/>
    <w:rsid w:val="00900D30"/>
    <w:rsid w:val="00901CCB"/>
    <w:rsid w:val="00905674"/>
    <w:rsid w:val="00905E55"/>
    <w:rsid w:val="009268C8"/>
    <w:rsid w:val="00930FFD"/>
    <w:rsid w:val="009347A8"/>
    <w:rsid w:val="0093547A"/>
    <w:rsid w:val="0094366C"/>
    <w:rsid w:val="00945C50"/>
    <w:rsid w:val="00951B63"/>
    <w:rsid w:val="00960C1A"/>
    <w:rsid w:val="0097280F"/>
    <w:rsid w:val="0097300E"/>
    <w:rsid w:val="00992B6B"/>
    <w:rsid w:val="009963A5"/>
    <w:rsid w:val="0099655A"/>
    <w:rsid w:val="009971BE"/>
    <w:rsid w:val="009971C6"/>
    <w:rsid w:val="009B18CC"/>
    <w:rsid w:val="009C5BDC"/>
    <w:rsid w:val="009D06FA"/>
    <w:rsid w:val="009D329A"/>
    <w:rsid w:val="009D32A0"/>
    <w:rsid w:val="009E66DF"/>
    <w:rsid w:val="00A015E3"/>
    <w:rsid w:val="00A0661F"/>
    <w:rsid w:val="00A06DAC"/>
    <w:rsid w:val="00A25CBB"/>
    <w:rsid w:val="00A31E8F"/>
    <w:rsid w:val="00A503D9"/>
    <w:rsid w:val="00A6048B"/>
    <w:rsid w:val="00A61201"/>
    <w:rsid w:val="00A6289D"/>
    <w:rsid w:val="00A669D7"/>
    <w:rsid w:val="00A721B4"/>
    <w:rsid w:val="00A72649"/>
    <w:rsid w:val="00A73639"/>
    <w:rsid w:val="00A7789C"/>
    <w:rsid w:val="00A77E47"/>
    <w:rsid w:val="00A877BE"/>
    <w:rsid w:val="00A92C7C"/>
    <w:rsid w:val="00A96C64"/>
    <w:rsid w:val="00AA301B"/>
    <w:rsid w:val="00AA5ADF"/>
    <w:rsid w:val="00AA5F19"/>
    <w:rsid w:val="00AB2A43"/>
    <w:rsid w:val="00AC0600"/>
    <w:rsid w:val="00AC26E2"/>
    <w:rsid w:val="00AD569D"/>
    <w:rsid w:val="00AE0D48"/>
    <w:rsid w:val="00AE4EC0"/>
    <w:rsid w:val="00AE65B7"/>
    <w:rsid w:val="00AF15B8"/>
    <w:rsid w:val="00AF35EA"/>
    <w:rsid w:val="00B054DA"/>
    <w:rsid w:val="00B06737"/>
    <w:rsid w:val="00B11A9E"/>
    <w:rsid w:val="00B16D90"/>
    <w:rsid w:val="00B206BB"/>
    <w:rsid w:val="00B25873"/>
    <w:rsid w:val="00B50725"/>
    <w:rsid w:val="00B65BF6"/>
    <w:rsid w:val="00B66D6B"/>
    <w:rsid w:val="00B75292"/>
    <w:rsid w:val="00B801BA"/>
    <w:rsid w:val="00B8300E"/>
    <w:rsid w:val="00B83925"/>
    <w:rsid w:val="00B92B62"/>
    <w:rsid w:val="00BA4023"/>
    <w:rsid w:val="00BB2D75"/>
    <w:rsid w:val="00BC006A"/>
    <w:rsid w:val="00BC01DD"/>
    <w:rsid w:val="00BC6848"/>
    <w:rsid w:val="00BE2AF5"/>
    <w:rsid w:val="00BE30C5"/>
    <w:rsid w:val="00BE7CEF"/>
    <w:rsid w:val="00BF6304"/>
    <w:rsid w:val="00BF7A4C"/>
    <w:rsid w:val="00C06304"/>
    <w:rsid w:val="00C10FF9"/>
    <w:rsid w:val="00C21CE3"/>
    <w:rsid w:val="00C220C6"/>
    <w:rsid w:val="00C22AE6"/>
    <w:rsid w:val="00C2486C"/>
    <w:rsid w:val="00C25E32"/>
    <w:rsid w:val="00C33F3A"/>
    <w:rsid w:val="00C36011"/>
    <w:rsid w:val="00C37C03"/>
    <w:rsid w:val="00C501C4"/>
    <w:rsid w:val="00C63C74"/>
    <w:rsid w:val="00C64D3C"/>
    <w:rsid w:val="00C65E5C"/>
    <w:rsid w:val="00C6608E"/>
    <w:rsid w:val="00C7060B"/>
    <w:rsid w:val="00C76AAB"/>
    <w:rsid w:val="00C80736"/>
    <w:rsid w:val="00C835EA"/>
    <w:rsid w:val="00C83C2F"/>
    <w:rsid w:val="00C871B4"/>
    <w:rsid w:val="00C92FE6"/>
    <w:rsid w:val="00CA0571"/>
    <w:rsid w:val="00CA233C"/>
    <w:rsid w:val="00CA29BB"/>
    <w:rsid w:val="00CA473D"/>
    <w:rsid w:val="00CA4EE6"/>
    <w:rsid w:val="00CA79A8"/>
    <w:rsid w:val="00CB1594"/>
    <w:rsid w:val="00CB23DB"/>
    <w:rsid w:val="00CB5FB2"/>
    <w:rsid w:val="00CD3875"/>
    <w:rsid w:val="00CD5716"/>
    <w:rsid w:val="00CE0C6E"/>
    <w:rsid w:val="00CE31AF"/>
    <w:rsid w:val="00CE5C8B"/>
    <w:rsid w:val="00CF087C"/>
    <w:rsid w:val="00CF689C"/>
    <w:rsid w:val="00D14C8D"/>
    <w:rsid w:val="00D2043F"/>
    <w:rsid w:val="00D32913"/>
    <w:rsid w:val="00D3394A"/>
    <w:rsid w:val="00D33E37"/>
    <w:rsid w:val="00D41A6B"/>
    <w:rsid w:val="00D459CE"/>
    <w:rsid w:val="00D50498"/>
    <w:rsid w:val="00D52986"/>
    <w:rsid w:val="00D64C0E"/>
    <w:rsid w:val="00D736A5"/>
    <w:rsid w:val="00D80852"/>
    <w:rsid w:val="00D83B0E"/>
    <w:rsid w:val="00D84040"/>
    <w:rsid w:val="00D9533B"/>
    <w:rsid w:val="00DA6F34"/>
    <w:rsid w:val="00DA760C"/>
    <w:rsid w:val="00DC05EB"/>
    <w:rsid w:val="00DD2102"/>
    <w:rsid w:val="00DD3481"/>
    <w:rsid w:val="00DD5C1E"/>
    <w:rsid w:val="00DF53C3"/>
    <w:rsid w:val="00E06107"/>
    <w:rsid w:val="00E11631"/>
    <w:rsid w:val="00E15504"/>
    <w:rsid w:val="00E15F3A"/>
    <w:rsid w:val="00E2107F"/>
    <w:rsid w:val="00E250D5"/>
    <w:rsid w:val="00E272F5"/>
    <w:rsid w:val="00E37B50"/>
    <w:rsid w:val="00E41326"/>
    <w:rsid w:val="00E46216"/>
    <w:rsid w:val="00E70EED"/>
    <w:rsid w:val="00E738D8"/>
    <w:rsid w:val="00EA34FB"/>
    <w:rsid w:val="00EC7046"/>
    <w:rsid w:val="00EC79E2"/>
    <w:rsid w:val="00ED0993"/>
    <w:rsid w:val="00ED2848"/>
    <w:rsid w:val="00EE03F8"/>
    <w:rsid w:val="00EF59BD"/>
    <w:rsid w:val="00EF7455"/>
    <w:rsid w:val="00EF7D79"/>
    <w:rsid w:val="00F01F5B"/>
    <w:rsid w:val="00F02F27"/>
    <w:rsid w:val="00F2118A"/>
    <w:rsid w:val="00F338CE"/>
    <w:rsid w:val="00F36C2B"/>
    <w:rsid w:val="00F40AE7"/>
    <w:rsid w:val="00F41273"/>
    <w:rsid w:val="00F5567F"/>
    <w:rsid w:val="00F5661E"/>
    <w:rsid w:val="00F67350"/>
    <w:rsid w:val="00F805C9"/>
    <w:rsid w:val="00F822E2"/>
    <w:rsid w:val="00F86506"/>
    <w:rsid w:val="00F91D9B"/>
    <w:rsid w:val="00F91F81"/>
    <w:rsid w:val="00F97584"/>
    <w:rsid w:val="00FA1188"/>
    <w:rsid w:val="00FB6791"/>
    <w:rsid w:val="00FC2C4A"/>
    <w:rsid w:val="00FD4DB9"/>
    <w:rsid w:val="00FE4918"/>
    <w:rsid w:val="00FF1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B61A"/>
  <w15:docId w15:val="{88BD9773-9196-48EC-ABA0-BDAAE99E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9D7"/>
    <w:pPr>
      <w:spacing w:before="240" w:after="0" w:line="240" w:lineRule="auto"/>
    </w:pPr>
    <w:rPr>
      <w:rFonts w:ascii="Times New Roman" w:eastAsia="Times New Roman" w:hAnsi="Times New Roman" w:cs="Times New Roman"/>
      <w:sz w:val="24"/>
      <w:szCs w:val="20"/>
      <w:lang w:eastAsia="en-AU"/>
    </w:rPr>
  </w:style>
  <w:style w:type="paragraph" w:styleId="Heading3">
    <w:name w:val="heading 3"/>
    <w:basedOn w:val="Normal"/>
    <w:next w:val="Normal"/>
    <w:link w:val="Heading3Char"/>
    <w:uiPriority w:val="9"/>
    <w:semiHidden/>
    <w:unhideWhenUsed/>
    <w:qFormat/>
    <w:rsid w:val="003801F1"/>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qFormat/>
    <w:rsid w:val="00A669D7"/>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669D7"/>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A669D7"/>
    <w:pPr>
      <w:ind w:left="720"/>
      <w:contextualSpacing/>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A669D7"/>
    <w:rPr>
      <w:rFonts w:ascii="Times New Roman" w:eastAsia="Times New Roman" w:hAnsi="Times New Roman" w:cs="Times New Roman"/>
      <w:sz w:val="24"/>
      <w:szCs w:val="20"/>
      <w:lang w:eastAsia="en-AU"/>
    </w:rPr>
  </w:style>
  <w:style w:type="character" w:customStyle="1" w:styleId="DINumberedParagraphChar">
    <w:name w:val="DI Numbered Paragraph Char"/>
    <w:link w:val="DINumberedParagraph"/>
    <w:locked/>
    <w:rsid w:val="00A669D7"/>
    <w:rPr>
      <w:sz w:val="24"/>
    </w:rPr>
  </w:style>
  <w:style w:type="paragraph" w:customStyle="1" w:styleId="DINumberedParagraph">
    <w:name w:val="DI Numbered Paragraph"/>
    <w:basedOn w:val="Normal"/>
    <w:link w:val="DINumberedParagraphChar"/>
    <w:rsid w:val="00FA1188"/>
    <w:pPr>
      <w:numPr>
        <w:numId w:val="3"/>
      </w:numPr>
      <w:tabs>
        <w:tab w:val="left" w:pos="567"/>
      </w:tabs>
      <w:spacing w:before="0" w:after="240"/>
    </w:pPr>
    <w:rPr>
      <w:rFonts w:asciiTheme="minorHAnsi" w:eastAsiaTheme="minorHAnsi" w:hAnsiTheme="minorHAnsi" w:cstheme="minorBidi"/>
      <w:szCs w:val="22"/>
      <w:lang w:eastAsia="en-US"/>
    </w:rPr>
  </w:style>
  <w:style w:type="paragraph" w:styleId="BalloonText">
    <w:name w:val="Balloon Text"/>
    <w:basedOn w:val="Normal"/>
    <w:link w:val="BalloonTextChar"/>
    <w:uiPriority w:val="99"/>
    <w:semiHidden/>
    <w:unhideWhenUsed/>
    <w:rsid w:val="003D00B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0B1"/>
    <w:rPr>
      <w:rFonts w:ascii="Tahoma" w:eastAsia="Times New Roman" w:hAnsi="Tahoma" w:cs="Tahoma"/>
      <w:sz w:val="16"/>
      <w:szCs w:val="16"/>
      <w:lang w:eastAsia="en-AU"/>
    </w:rPr>
  </w:style>
  <w:style w:type="paragraph" w:customStyle="1" w:styleId="BodyText10">
    <w:name w:val="Body Text1_0"/>
    <w:basedOn w:val="Normal"/>
    <w:rsid w:val="009E66DF"/>
    <w:rPr>
      <w:rFonts w:ascii="Arial" w:hAnsi="Arial" w:cs="Arial"/>
      <w:szCs w:val="24"/>
    </w:rPr>
  </w:style>
  <w:style w:type="character" w:styleId="CommentReference">
    <w:name w:val="annotation reference"/>
    <w:basedOn w:val="DefaultParagraphFont"/>
    <w:uiPriority w:val="99"/>
    <w:semiHidden/>
    <w:unhideWhenUsed/>
    <w:rsid w:val="002E1F0E"/>
    <w:rPr>
      <w:sz w:val="16"/>
      <w:szCs w:val="16"/>
    </w:rPr>
  </w:style>
  <w:style w:type="paragraph" w:styleId="CommentText">
    <w:name w:val="annotation text"/>
    <w:basedOn w:val="Normal"/>
    <w:link w:val="CommentTextChar"/>
    <w:uiPriority w:val="99"/>
    <w:unhideWhenUsed/>
    <w:rsid w:val="002E1F0E"/>
    <w:rPr>
      <w:sz w:val="20"/>
    </w:rPr>
  </w:style>
  <w:style w:type="character" w:customStyle="1" w:styleId="CommentTextChar">
    <w:name w:val="Comment Text Char"/>
    <w:basedOn w:val="DefaultParagraphFont"/>
    <w:link w:val="CommentText"/>
    <w:uiPriority w:val="99"/>
    <w:rsid w:val="002E1F0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E1F0E"/>
    <w:rPr>
      <w:b/>
      <w:bCs/>
    </w:rPr>
  </w:style>
  <w:style w:type="character" w:customStyle="1" w:styleId="CommentSubjectChar">
    <w:name w:val="Comment Subject Char"/>
    <w:basedOn w:val="CommentTextChar"/>
    <w:link w:val="CommentSubject"/>
    <w:uiPriority w:val="99"/>
    <w:semiHidden/>
    <w:rsid w:val="002E1F0E"/>
    <w:rPr>
      <w:rFonts w:ascii="Times New Roman" w:eastAsia="Times New Roman" w:hAnsi="Times New Roman" w:cs="Times New Roman"/>
      <w:b/>
      <w:bCs/>
      <w:sz w:val="20"/>
      <w:szCs w:val="20"/>
      <w:lang w:eastAsia="en-AU"/>
    </w:rPr>
  </w:style>
  <w:style w:type="paragraph" w:customStyle="1" w:styleId="ActHead6">
    <w:name w:val="ActHead 6"/>
    <w:aliases w:val="as"/>
    <w:basedOn w:val="Normal"/>
    <w:next w:val="Normal"/>
    <w:qFormat/>
    <w:rsid w:val="004B67FC"/>
    <w:pPr>
      <w:keepNext/>
      <w:keepLines/>
      <w:spacing w:before="0"/>
      <w:ind w:left="1134" w:hanging="1134"/>
      <w:outlineLvl w:val="5"/>
    </w:pPr>
    <w:rPr>
      <w:rFonts w:ascii="Arial" w:hAnsi="Arial"/>
      <w:b/>
      <w:kern w:val="28"/>
      <w:sz w:val="32"/>
    </w:rPr>
  </w:style>
  <w:style w:type="character" w:customStyle="1" w:styleId="CharAmSchNo">
    <w:name w:val="CharAmSchNo"/>
    <w:basedOn w:val="DefaultParagraphFont"/>
    <w:qFormat/>
    <w:rsid w:val="004B67FC"/>
  </w:style>
  <w:style w:type="paragraph" w:customStyle="1" w:styleId="ItemHead">
    <w:name w:val="ItemHead"/>
    <w:aliases w:val="ih"/>
    <w:basedOn w:val="Normal"/>
    <w:next w:val="Normal"/>
    <w:rsid w:val="004B67FC"/>
    <w:pPr>
      <w:keepNext/>
      <w:keepLines/>
      <w:spacing w:before="220"/>
      <w:ind w:left="709" w:hanging="709"/>
    </w:pPr>
    <w:rPr>
      <w:rFonts w:ascii="Arial" w:hAnsi="Arial"/>
      <w:b/>
      <w:kern w:val="28"/>
    </w:rPr>
  </w:style>
  <w:style w:type="paragraph" w:styleId="BodyText">
    <w:name w:val="Body Text"/>
    <w:link w:val="BodyTextChar"/>
    <w:uiPriority w:val="1"/>
    <w:qFormat/>
    <w:rsid w:val="004B67FC"/>
    <w:pPr>
      <w:spacing w:before="120" w:after="120" w:line="264" w:lineRule="auto"/>
    </w:pPr>
    <w:rPr>
      <w:color w:val="000000" w:themeColor="text1"/>
      <w:sz w:val="20"/>
      <w:szCs w:val="20"/>
    </w:rPr>
  </w:style>
  <w:style w:type="character" w:customStyle="1" w:styleId="BodyTextChar">
    <w:name w:val="Body Text Char"/>
    <w:basedOn w:val="DefaultParagraphFont"/>
    <w:link w:val="BodyText"/>
    <w:uiPriority w:val="1"/>
    <w:rsid w:val="004B67FC"/>
    <w:rPr>
      <w:color w:val="000000" w:themeColor="text1"/>
      <w:sz w:val="20"/>
      <w:szCs w:val="20"/>
    </w:rPr>
  </w:style>
  <w:style w:type="paragraph" w:customStyle="1" w:styleId="Default">
    <w:name w:val="Default"/>
    <w:uiPriority w:val="99"/>
    <w:rsid w:val="00BC01D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semiHidden/>
    <w:unhideWhenUsed/>
    <w:rsid w:val="00EC79E2"/>
    <w:rPr>
      <w:strike w:val="0"/>
      <w:dstrike w:val="0"/>
      <w:color w:val="007AC3"/>
      <w:u w:val="none"/>
      <w:effect w:val="none"/>
    </w:rPr>
  </w:style>
  <w:style w:type="character" w:styleId="Emphasis">
    <w:name w:val="Emphasis"/>
    <w:basedOn w:val="DefaultParagraphFont"/>
    <w:uiPriority w:val="20"/>
    <w:qFormat/>
    <w:rsid w:val="00EC79E2"/>
    <w:rPr>
      <w:i/>
      <w:iCs/>
    </w:rPr>
  </w:style>
  <w:style w:type="character" w:styleId="Strong">
    <w:name w:val="Strong"/>
    <w:basedOn w:val="DefaultParagraphFont"/>
    <w:uiPriority w:val="22"/>
    <w:qFormat/>
    <w:rsid w:val="00EC79E2"/>
    <w:rPr>
      <w:b/>
      <w:bCs/>
    </w:rPr>
  </w:style>
  <w:style w:type="paragraph" w:customStyle="1" w:styleId="contentelement-indentone1">
    <w:name w:val="contentelement-indentone1"/>
    <w:basedOn w:val="Normal"/>
    <w:uiPriority w:val="99"/>
    <w:rsid w:val="00EC79E2"/>
    <w:pPr>
      <w:spacing w:after="240"/>
      <w:ind w:left="468"/>
    </w:pPr>
    <w:rPr>
      <w:szCs w:val="24"/>
    </w:rPr>
  </w:style>
  <w:style w:type="paragraph" w:customStyle="1" w:styleId="contentelement-indenttwo1">
    <w:name w:val="contentelement-indenttwo1"/>
    <w:basedOn w:val="Normal"/>
    <w:rsid w:val="00EC79E2"/>
    <w:pPr>
      <w:spacing w:after="240"/>
      <w:ind w:left="936"/>
    </w:pPr>
    <w:rPr>
      <w:szCs w:val="24"/>
    </w:rPr>
  </w:style>
  <w:style w:type="table" w:styleId="TableGrid">
    <w:name w:val="Table Grid"/>
    <w:basedOn w:val="TableNormal"/>
    <w:uiPriority w:val="59"/>
    <w:rsid w:val="007B1B4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7">
    <w:name w:val="ActHead 7"/>
    <w:aliases w:val="ap"/>
    <w:basedOn w:val="Normal"/>
    <w:next w:val="ItemHead"/>
    <w:qFormat/>
    <w:rsid w:val="0097280F"/>
    <w:pPr>
      <w:keepNext/>
      <w:keepLines/>
      <w:spacing w:before="280"/>
      <w:ind w:left="1134" w:hanging="1134"/>
      <w:outlineLvl w:val="6"/>
    </w:pPr>
    <w:rPr>
      <w:rFonts w:ascii="Arial" w:hAnsi="Arial"/>
      <w:b/>
      <w:kern w:val="28"/>
      <w:sz w:val="28"/>
    </w:rPr>
  </w:style>
  <w:style w:type="character" w:customStyle="1" w:styleId="CharAmPartNo">
    <w:name w:val="CharAmPartNo"/>
    <w:basedOn w:val="DefaultParagraphFont"/>
    <w:qFormat/>
    <w:rsid w:val="0097280F"/>
  </w:style>
  <w:style w:type="paragraph" w:customStyle="1" w:styleId="subsection">
    <w:name w:val="subsection"/>
    <w:basedOn w:val="Normal"/>
    <w:uiPriority w:val="99"/>
    <w:rsid w:val="00B11A9E"/>
    <w:pPr>
      <w:spacing w:before="100" w:beforeAutospacing="1" w:after="100" w:afterAutospacing="1"/>
    </w:pPr>
    <w:rPr>
      <w:rFonts w:eastAsiaTheme="minorHAnsi"/>
      <w:szCs w:val="24"/>
    </w:rPr>
  </w:style>
  <w:style w:type="paragraph" w:customStyle="1" w:styleId="EMparagraph">
    <w:name w:val="EM paragraph"/>
    <w:basedOn w:val="Normal"/>
    <w:uiPriority w:val="99"/>
    <w:rsid w:val="0030252A"/>
    <w:pPr>
      <w:widowControl w:val="0"/>
      <w:adjustRightInd w:val="0"/>
      <w:spacing w:before="0" w:after="240"/>
      <w:ind w:right="85"/>
      <w:textAlignment w:val="baseline"/>
    </w:pPr>
  </w:style>
  <w:style w:type="character" w:customStyle="1" w:styleId="Heading3Char">
    <w:name w:val="Heading 3 Char"/>
    <w:basedOn w:val="DefaultParagraphFont"/>
    <w:link w:val="Heading3"/>
    <w:uiPriority w:val="9"/>
    <w:semiHidden/>
    <w:rsid w:val="003801F1"/>
    <w:rPr>
      <w:rFonts w:asciiTheme="majorHAnsi" w:eastAsiaTheme="majorEastAsia" w:hAnsiTheme="majorHAnsi" w:cstheme="majorBidi"/>
      <w:color w:val="243F60" w:themeColor="accent1" w:themeShade="7F"/>
      <w:sz w:val="24"/>
      <w:szCs w:val="24"/>
      <w:lang w:eastAsia="en-AU"/>
    </w:rPr>
  </w:style>
  <w:style w:type="paragraph" w:customStyle="1" w:styleId="contentelement-indentthree1">
    <w:name w:val="contentelement-indentthree1"/>
    <w:basedOn w:val="Normal"/>
    <w:uiPriority w:val="99"/>
    <w:rsid w:val="007002A9"/>
    <w:pPr>
      <w:spacing w:after="240"/>
      <w:ind w:left="1404"/>
    </w:pPr>
    <w:rPr>
      <w:szCs w:val="24"/>
    </w:rPr>
  </w:style>
  <w:style w:type="paragraph" w:customStyle="1" w:styleId="ps1bullet">
    <w:name w:val="ps1bullet"/>
    <w:basedOn w:val="Normal"/>
    <w:uiPriority w:val="99"/>
    <w:rsid w:val="002C1FDB"/>
    <w:pPr>
      <w:spacing w:before="100" w:beforeAutospacing="1" w:after="100" w:afterAutospacing="1"/>
    </w:pPr>
    <w:rPr>
      <w:rFonts w:eastAsiaTheme="minorHAnsi"/>
      <w:szCs w:val="24"/>
    </w:rPr>
  </w:style>
  <w:style w:type="character" w:customStyle="1" w:styleId="CharAmSchText">
    <w:name w:val="CharAmSchText"/>
    <w:basedOn w:val="DefaultParagraphFont"/>
    <w:qFormat/>
    <w:rsid w:val="008864C3"/>
  </w:style>
  <w:style w:type="paragraph" w:styleId="NormalWeb">
    <w:name w:val="Normal (Web)"/>
    <w:basedOn w:val="Normal"/>
    <w:uiPriority w:val="99"/>
    <w:unhideWhenUsed/>
    <w:rsid w:val="00475A26"/>
    <w:pPr>
      <w:spacing w:before="0" w:after="408" w:line="360" w:lineRule="auto"/>
    </w:pPr>
    <w:rPr>
      <w:szCs w:val="24"/>
    </w:rPr>
  </w:style>
  <w:style w:type="paragraph" w:styleId="Header">
    <w:name w:val="header"/>
    <w:basedOn w:val="Normal"/>
    <w:link w:val="HeaderChar"/>
    <w:uiPriority w:val="99"/>
    <w:unhideWhenUsed/>
    <w:rsid w:val="00500EA4"/>
    <w:pPr>
      <w:tabs>
        <w:tab w:val="center" w:pos="4513"/>
        <w:tab w:val="right" w:pos="9026"/>
      </w:tabs>
      <w:spacing w:before="0"/>
    </w:pPr>
  </w:style>
  <w:style w:type="character" w:customStyle="1" w:styleId="HeaderChar">
    <w:name w:val="Header Char"/>
    <w:basedOn w:val="DefaultParagraphFont"/>
    <w:link w:val="Header"/>
    <w:uiPriority w:val="99"/>
    <w:rsid w:val="00500EA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500EA4"/>
    <w:pPr>
      <w:tabs>
        <w:tab w:val="center" w:pos="4513"/>
        <w:tab w:val="right" w:pos="9026"/>
      </w:tabs>
      <w:spacing w:before="0"/>
    </w:pPr>
  </w:style>
  <w:style w:type="character" w:customStyle="1" w:styleId="FooterChar">
    <w:name w:val="Footer Char"/>
    <w:basedOn w:val="DefaultParagraphFont"/>
    <w:link w:val="Footer"/>
    <w:uiPriority w:val="99"/>
    <w:rsid w:val="00500EA4"/>
    <w:rPr>
      <w:rFonts w:ascii="Times New Roman" w:eastAsia="Times New Roman" w:hAnsi="Times New Roman" w:cs="Times New Roman"/>
      <w:sz w:val="24"/>
      <w:szCs w:val="20"/>
      <w:lang w:eastAsia="en-AU"/>
    </w:rPr>
  </w:style>
  <w:style w:type="paragraph" w:customStyle="1" w:styleId="notedraft">
    <w:name w:val="note(draft)"/>
    <w:aliases w:val="nd"/>
    <w:basedOn w:val="Normal"/>
    <w:uiPriority w:val="99"/>
    <w:rsid w:val="00E70EED"/>
    <w:pPr>
      <w:ind w:left="284" w:hanging="284"/>
    </w:pPr>
    <w:rPr>
      <w:rFonts w:eastAsiaTheme="minorHAnsi"/>
      <w:i/>
      <w:iCs/>
      <w:szCs w:val="24"/>
    </w:rPr>
  </w:style>
  <w:style w:type="paragraph" w:customStyle="1" w:styleId="BodyText1">
    <w:name w:val="Body Text1"/>
    <w:basedOn w:val="Normal"/>
    <w:link w:val="BodytextChar0"/>
    <w:rsid w:val="009D329A"/>
    <w:rPr>
      <w:rFonts w:ascii="Arial" w:hAnsi="Arial" w:cs="Arial"/>
      <w:szCs w:val="24"/>
    </w:rPr>
  </w:style>
  <w:style w:type="character" w:customStyle="1" w:styleId="BodytextChar0">
    <w:name w:val="Body text Char"/>
    <w:link w:val="BodyText1"/>
    <w:rsid w:val="009D329A"/>
    <w:rPr>
      <w:rFonts w:ascii="Arial" w:eastAsia="Times New Roman" w:hAnsi="Arial" w:cs="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3032">
      <w:bodyDiv w:val="1"/>
      <w:marLeft w:val="0"/>
      <w:marRight w:val="0"/>
      <w:marTop w:val="0"/>
      <w:marBottom w:val="0"/>
      <w:divBdr>
        <w:top w:val="none" w:sz="0" w:space="0" w:color="auto"/>
        <w:left w:val="none" w:sz="0" w:space="0" w:color="auto"/>
        <w:bottom w:val="none" w:sz="0" w:space="0" w:color="auto"/>
        <w:right w:val="none" w:sz="0" w:space="0" w:color="auto"/>
      </w:divBdr>
    </w:div>
    <w:div w:id="78065700">
      <w:bodyDiv w:val="1"/>
      <w:marLeft w:val="0"/>
      <w:marRight w:val="0"/>
      <w:marTop w:val="0"/>
      <w:marBottom w:val="0"/>
      <w:divBdr>
        <w:top w:val="none" w:sz="0" w:space="0" w:color="auto"/>
        <w:left w:val="none" w:sz="0" w:space="0" w:color="auto"/>
        <w:bottom w:val="none" w:sz="0" w:space="0" w:color="auto"/>
        <w:right w:val="none" w:sz="0" w:space="0" w:color="auto"/>
      </w:divBdr>
    </w:div>
    <w:div w:id="96603139">
      <w:bodyDiv w:val="1"/>
      <w:marLeft w:val="0"/>
      <w:marRight w:val="0"/>
      <w:marTop w:val="0"/>
      <w:marBottom w:val="0"/>
      <w:divBdr>
        <w:top w:val="none" w:sz="0" w:space="0" w:color="auto"/>
        <w:left w:val="none" w:sz="0" w:space="0" w:color="auto"/>
        <w:bottom w:val="none" w:sz="0" w:space="0" w:color="auto"/>
        <w:right w:val="none" w:sz="0" w:space="0" w:color="auto"/>
      </w:divBdr>
    </w:div>
    <w:div w:id="168371345">
      <w:bodyDiv w:val="1"/>
      <w:marLeft w:val="0"/>
      <w:marRight w:val="0"/>
      <w:marTop w:val="0"/>
      <w:marBottom w:val="0"/>
      <w:divBdr>
        <w:top w:val="none" w:sz="0" w:space="0" w:color="auto"/>
        <w:left w:val="none" w:sz="0" w:space="0" w:color="auto"/>
        <w:bottom w:val="none" w:sz="0" w:space="0" w:color="auto"/>
        <w:right w:val="none" w:sz="0" w:space="0" w:color="auto"/>
      </w:divBdr>
    </w:div>
    <w:div w:id="227151780">
      <w:bodyDiv w:val="1"/>
      <w:marLeft w:val="0"/>
      <w:marRight w:val="0"/>
      <w:marTop w:val="0"/>
      <w:marBottom w:val="0"/>
      <w:divBdr>
        <w:top w:val="none" w:sz="0" w:space="0" w:color="auto"/>
        <w:left w:val="none" w:sz="0" w:space="0" w:color="auto"/>
        <w:bottom w:val="none" w:sz="0" w:space="0" w:color="auto"/>
        <w:right w:val="none" w:sz="0" w:space="0" w:color="auto"/>
      </w:divBdr>
    </w:div>
    <w:div w:id="336350680">
      <w:bodyDiv w:val="1"/>
      <w:marLeft w:val="0"/>
      <w:marRight w:val="0"/>
      <w:marTop w:val="0"/>
      <w:marBottom w:val="0"/>
      <w:divBdr>
        <w:top w:val="none" w:sz="0" w:space="0" w:color="auto"/>
        <w:left w:val="none" w:sz="0" w:space="0" w:color="auto"/>
        <w:bottom w:val="none" w:sz="0" w:space="0" w:color="auto"/>
        <w:right w:val="none" w:sz="0" w:space="0" w:color="auto"/>
      </w:divBdr>
    </w:div>
    <w:div w:id="390229245">
      <w:bodyDiv w:val="1"/>
      <w:marLeft w:val="0"/>
      <w:marRight w:val="0"/>
      <w:marTop w:val="0"/>
      <w:marBottom w:val="0"/>
      <w:divBdr>
        <w:top w:val="none" w:sz="0" w:space="0" w:color="auto"/>
        <w:left w:val="none" w:sz="0" w:space="0" w:color="auto"/>
        <w:bottom w:val="none" w:sz="0" w:space="0" w:color="auto"/>
        <w:right w:val="none" w:sz="0" w:space="0" w:color="auto"/>
      </w:divBdr>
    </w:div>
    <w:div w:id="423646559">
      <w:bodyDiv w:val="1"/>
      <w:marLeft w:val="0"/>
      <w:marRight w:val="0"/>
      <w:marTop w:val="0"/>
      <w:marBottom w:val="0"/>
      <w:divBdr>
        <w:top w:val="none" w:sz="0" w:space="0" w:color="auto"/>
        <w:left w:val="none" w:sz="0" w:space="0" w:color="auto"/>
        <w:bottom w:val="none" w:sz="0" w:space="0" w:color="auto"/>
        <w:right w:val="none" w:sz="0" w:space="0" w:color="auto"/>
      </w:divBdr>
    </w:div>
    <w:div w:id="528182966">
      <w:bodyDiv w:val="1"/>
      <w:marLeft w:val="0"/>
      <w:marRight w:val="0"/>
      <w:marTop w:val="0"/>
      <w:marBottom w:val="0"/>
      <w:divBdr>
        <w:top w:val="none" w:sz="0" w:space="0" w:color="auto"/>
        <w:left w:val="none" w:sz="0" w:space="0" w:color="auto"/>
        <w:bottom w:val="none" w:sz="0" w:space="0" w:color="auto"/>
        <w:right w:val="none" w:sz="0" w:space="0" w:color="auto"/>
      </w:divBdr>
    </w:div>
    <w:div w:id="582688877">
      <w:bodyDiv w:val="1"/>
      <w:marLeft w:val="0"/>
      <w:marRight w:val="0"/>
      <w:marTop w:val="0"/>
      <w:marBottom w:val="0"/>
      <w:divBdr>
        <w:top w:val="none" w:sz="0" w:space="0" w:color="auto"/>
        <w:left w:val="none" w:sz="0" w:space="0" w:color="auto"/>
        <w:bottom w:val="none" w:sz="0" w:space="0" w:color="auto"/>
        <w:right w:val="none" w:sz="0" w:space="0" w:color="auto"/>
      </w:divBdr>
    </w:div>
    <w:div w:id="677922430">
      <w:bodyDiv w:val="1"/>
      <w:marLeft w:val="0"/>
      <w:marRight w:val="0"/>
      <w:marTop w:val="0"/>
      <w:marBottom w:val="0"/>
      <w:divBdr>
        <w:top w:val="none" w:sz="0" w:space="0" w:color="auto"/>
        <w:left w:val="none" w:sz="0" w:space="0" w:color="auto"/>
        <w:bottom w:val="none" w:sz="0" w:space="0" w:color="auto"/>
        <w:right w:val="none" w:sz="0" w:space="0" w:color="auto"/>
      </w:divBdr>
    </w:div>
    <w:div w:id="765885523">
      <w:bodyDiv w:val="1"/>
      <w:marLeft w:val="0"/>
      <w:marRight w:val="0"/>
      <w:marTop w:val="0"/>
      <w:marBottom w:val="0"/>
      <w:divBdr>
        <w:top w:val="none" w:sz="0" w:space="0" w:color="auto"/>
        <w:left w:val="none" w:sz="0" w:space="0" w:color="auto"/>
        <w:bottom w:val="none" w:sz="0" w:space="0" w:color="auto"/>
        <w:right w:val="none" w:sz="0" w:space="0" w:color="auto"/>
      </w:divBdr>
      <w:divsChild>
        <w:div w:id="657459295">
          <w:marLeft w:val="0"/>
          <w:marRight w:val="0"/>
          <w:marTop w:val="0"/>
          <w:marBottom w:val="0"/>
          <w:divBdr>
            <w:top w:val="none" w:sz="0" w:space="0" w:color="auto"/>
            <w:left w:val="none" w:sz="0" w:space="0" w:color="auto"/>
            <w:bottom w:val="none" w:sz="0" w:space="0" w:color="auto"/>
            <w:right w:val="none" w:sz="0" w:space="0" w:color="auto"/>
          </w:divBdr>
          <w:divsChild>
            <w:div w:id="273291877">
              <w:marLeft w:val="0"/>
              <w:marRight w:val="0"/>
              <w:marTop w:val="0"/>
              <w:marBottom w:val="0"/>
              <w:divBdr>
                <w:top w:val="none" w:sz="0" w:space="0" w:color="auto"/>
                <w:left w:val="none" w:sz="0" w:space="0" w:color="auto"/>
                <w:bottom w:val="none" w:sz="0" w:space="0" w:color="auto"/>
                <w:right w:val="none" w:sz="0" w:space="0" w:color="auto"/>
              </w:divBdr>
              <w:divsChild>
                <w:div w:id="1608732885">
                  <w:marLeft w:val="0"/>
                  <w:marRight w:val="0"/>
                  <w:marTop w:val="0"/>
                  <w:marBottom w:val="0"/>
                  <w:divBdr>
                    <w:top w:val="none" w:sz="0" w:space="0" w:color="auto"/>
                    <w:left w:val="none" w:sz="0" w:space="0" w:color="auto"/>
                    <w:bottom w:val="none" w:sz="0" w:space="0" w:color="auto"/>
                    <w:right w:val="none" w:sz="0" w:space="0" w:color="auto"/>
                  </w:divBdr>
                  <w:divsChild>
                    <w:div w:id="838421685">
                      <w:marLeft w:val="0"/>
                      <w:marRight w:val="0"/>
                      <w:marTop w:val="0"/>
                      <w:marBottom w:val="0"/>
                      <w:divBdr>
                        <w:top w:val="none" w:sz="0" w:space="0" w:color="auto"/>
                        <w:left w:val="none" w:sz="0" w:space="0" w:color="auto"/>
                        <w:bottom w:val="none" w:sz="0" w:space="0" w:color="auto"/>
                        <w:right w:val="none" w:sz="0" w:space="0" w:color="auto"/>
                      </w:divBdr>
                      <w:divsChild>
                        <w:div w:id="1512719836">
                          <w:marLeft w:val="0"/>
                          <w:marRight w:val="0"/>
                          <w:marTop w:val="0"/>
                          <w:marBottom w:val="0"/>
                          <w:divBdr>
                            <w:top w:val="none" w:sz="0" w:space="0" w:color="auto"/>
                            <w:left w:val="none" w:sz="0" w:space="0" w:color="auto"/>
                            <w:bottom w:val="none" w:sz="0" w:space="0" w:color="auto"/>
                            <w:right w:val="none" w:sz="0" w:space="0" w:color="auto"/>
                          </w:divBdr>
                          <w:divsChild>
                            <w:div w:id="233977962">
                              <w:marLeft w:val="0"/>
                              <w:marRight w:val="0"/>
                              <w:marTop w:val="0"/>
                              <w:marBottom w:val="0"/>
                              <w:divBdr>
                                <w:top w:val="none" w:sz="0" w:space="0" w:color="auto"/>
                                <w:left w:val="none" w:sz="0" w:space="0" w:color="auto"/>
                                <w:bottom w:val="none" w:sz="0" w:space="0" w:color="auto"/>
                                <w:right w:val="none" w:sz="0" w:space="0" w:color="auto"/>
                              </w:divBdr>
                              <w:divsChild>
                                <w:div w:id="1864127618">
                                  <w:marLeft w:val="0"/>
                                  <w:marRight w:val="0"/>
                                  <w:marTop w:val="0"/>
                                  <w:marBottom w:val="0"/>
                                  <w:divBdr>
                                    <w:top w:val="none" w:sz="0" w:space="0" w:color="auto"/>
                                    <w:left w:val="none" w:sz="0" w:space="0" w:color="auto"/>
                                    <w:bottom w:val="none" w:sz="0" w:space="0" w:color="auto"/>
                                    <w:right w:val="none" w:sz="0" w:space="0" w:color="auto"/>
                                  </w:divBdr>
                                  <w:divsChild>
                                    <w:div w:id="226428351">
                                      <w:marLeft w:val="0"/>
                                      <w:marRight w:val="0"/>
                                      <w:marTop w:val="240"/>
                                      <w:marBottom w:val="0"/>
                                      <w:divBdr>
                                        <w:top w:val="none" w:sz="0" w:space="0" w:color="auto"/>
                                        <w:left w:val="none" w:sz="0" w:space="0" w:color="auto"/>
                                        <w:bottom w:val="none" w:sz="0" w:space="0" w:color="auto"/>
                                        <w:right w:val="none" w:sz="0" w:space="0" w:color="auto"/>
                                      </w:divBdr>
                                      <w:divsChild>
                                        <w:div w:id="1593049642">
                                          <w:marLeft w:val="0"/>
                                          <w:marRight w:val="0"/>
                                          <w:marTop w:val="0"/>
                                          <w:marBottom w:val="0"/>
                                          <w:divBdr>
                                            <w:top w:val="none" w:sz="0" w:space="0" w:color="auto"/>
                                            <w:left w:val="none" w:sz="0" w:space="0" w:color="auto"/>
                                            <w:bottom w:val="none" w:sz="0" w:space="0" w:color="auto"/>
                                            <w:right w:val="none" w:sz="0" w:space="0" w:color="auto"/>
                                          </w:divBdr>
                                          <w:divsChild>
                                            <w:div w:id="11767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2939296">
      <w:bodyDiv w:val="1"/>
      <w:marLeft w:val="0"/>
      <w:marRight w:val="0"/>
      <w:marTop w:val="0"/>
      <w:marBottom w:val="0"/>
      <w:divBdr>
        <w:top w:val="none" w:sz="0" w:space="0" w:color="auto"/>
        <w:left w:val="none" w:sz="0" w:space="0" w:color="auto"/>
        <w:bottom w:val="none" w:sz="0" w:space="0" w:color="auto"/>
        <w:right w:val="none" w:sz="0" w:space="0" w:color="auto"/>
      </w:divBdr>
    </w:div>
    <w:div w:id="996883271">
      <w:bodyDiv w:val="1"/>
      <w:marLeft w:val="0"/>
      <w:marRight w:val="0"/>
      <w:marTop w:val="0"/>
      <w:marBottom w:val="0"/>
      <w:divBdr>
        <w:top w:val="none" w:sz="0" w:space="0" w:color="auto"/>
        <w:left w:val="none" w:sz="0" w:space="0" w:color="auto"/>
        <w:bottom w:val="none" w:sz="0" w:space="0" w:color="auto"/>
        <w:right w:val="none" w:sz="0" w:space="0" w:color="auto"/>
      </w:divBdr>
    </w:div>
    <w:div w:id="1362974411">
      <w:bodyDiv w:val="1"/>
      <w:marLeft w:val="0"/>
      <w:marRight w:val="0"/>
      <w:marTop w:val="0"/>
      <w:marBottom w:val="0"/>
      <w:divBdr>
        <w:top w:val="none" w:sz="0" w:space="0" w:color="auto"/>
        <w:left w:val="none" w:sz="0" w:space="0" w:color="auto"/>
        <w:bottom w:val="none" w:sz="0" w:space="0" w:color="auto"/>
        <w:right w:val="none" w:sz="0" w:space="0" w:color="auto"/>
      </w:divBdr>
    </w:div>
    <w:div w:id="1515728572">
      <w:bodyDiv w:val="1"/>
      <w:marLeft w:val="0"/>
      <w:marRight w:val="0"/>
      <w:marTop w:val="0"/>
      <w:marBottom w:val="0"/>
      <w:divBdr>
        <w:top w:val="none" w:sz="0" w:space="0" w:color="auto"/>
        <w:left w:val="none" w:sz="0" w:space="0" w:color="auto"/>
        <w:bottom w:val="none" w:sz="0" w:space="0" w:color="auto"/>
        <w:right w:val="none" w:sz="0" w:space="0" w:color="auto"/>
      </w:divBdr>
    </w:div>
    <w:div w:id="1596018182">
      <w:bodyDiv w:val="1"/>
      <w:marLeft w:val="0"/>
      <w:marRight w:val="0"/>
      <w:marTop w:val="0"/>
      <w:marBottom w:val="0"/>
      <w:divBdr>
        <w:top w:val="none" w:sz="0" w:space="0" w:color="auto"/>
        <w:left w:val="none" w:sz="0" w:space="0" w:color="auto"/>
        <w:bottom w:val="none" w:sz="0" w:space="0" w:color="auto"/>
        <w:right w:val="none" w:sz="0" w:space="0" w:color="auto"/>
      </w:divBdr>
    </w:div>
    <w:div w:id="1600483130">
      <w:bodyDiv w:val="1"/>
      <w:marLeft w:val="0"/>
      <w:marRight w:val="0"/>
      <w:marTop w:val="0"/>
      <w:marBottom w:val="0"/>
      <w:divBdr>
        <w:top w:val="none" w:sz="0" w:space="0" w:color="auto"/>
        <w:left w:val="none" w:sz="0" w:space="0" w:color="auto"/>
        <w:bottom w:val="none" w:sz="0" w:space="0" w:color="auto"/>
        <w:right w:val="none" w:sz="0" w:space="0" w:color="auto"/>
      </w:divBdr>
    </w:div>
    <w:div w:id="1635217266">
      <w:bodyDiv w:val="1"/>
      <w:marLeft w:val="0"/>
      <w:marRight w:val="0"/>
      <w:marTop w:val="0"/>
      <w:marBottom w:val="0"/>
      <w:divBdr>
        <w:top w:val="none" w:sz="0" w:space="0" w:color="auto"/>
        <w:left w:val="none" w:sz="0" w:space="0" w:color="auto"/>
        <w:bottom w:val="none" w:sz="0" w:space="0" w:color="auto"/>
        <w:right w:val="none" w:sz="0" w:space="0" w:color="auto"/>
      </w:divBdr>
    </w:div>
    <w:div w:id="1704214106">
      <w:bodyDiv w:val="1"/>
      <w:marLeft w:val="0"/>
      <w:marRight w:val="0"/>
      <w:marTop w:val="0"/>
      <w:marBottom w:val="0"/>
      <w:divBdr>
        <w:top w:val="none" w:sz="0" w:space="0" w:color="auto"/>
        <w:left w:val="none" w:sz="0" w:space="0" w:color="auto"/>
        <w:bottom w:val="none" w:sz="0" w:space="0" w:color="auto"/>
        <w:right w:val="none" w:sz="0" w:space="0" w:color="auto"/>
      </w:divBdr>
    </w:div>
    <w:div w:id="1810437291">
      <w:bodyDiv w:val="1"/>
      <w:marLeft w:val="0"/>
      <w:marRight w:val="0"/>
      <w:marTop w:val="0"/>
      <w:marBottom w:val="0"/>
      <w:divBdr>
        <w:top w:val="none" w:sz="0" w:space="0" w:color="auto"/>
        <w:left w:val="none" w:sz="0" w:space="0" w:color="auto"/>
        <w:bottom w:val="none" w:sz="0" w:space="0" w:color="auto"/>
        <w:right w:val="none" w:sz="0" w:space="0" w:color="auto"/>
      </w:divBdr>
    </w:div>
    <w:div w:id="1862623072">
      <w:bodyDiv w:val="1"/>
      <w:marLeft w:val="0"/>
      <w:marRight w:val="0"/>
      <w:marTop w:val="0"/>
      <w:marBottom w:val="0"/>
      <w:divBdr>
        <w:top w:val="none" w:sz="0" w:space="0" w:color="auto"/>
        <w:left w:val="none" w:sz="0" w:space="0" w:color="auto"/>
        <w:bottom w:val="none" w:sz="0" w:space="0" w:color="auto"/>
        <w:right w:val="none" w:sz="0" w:space="0" w:color="auto"/>
      </w:divBdr>
    </w:div>
    <w:div w:id="1950042500">
      <w:bodyDiv w:val="1"/>
      <w:marLeft w:val="0"/>
      <w:marRight w:val="0"/>
      <w:marTop w:val="0"/>
      <w:marBottom w:val="0"/>
      <w:divBdr>
        <w:top w:val="none" w:sz="0" w:space="0" w:color="auto"/>
        <w:left w:val="none" w:sz="0" w:space="0" w:color="auto"/>
        <w:bottom w:val="none" w:sz="0" w:space="0" w:color="auto"/>
        <w:right w:val="none" w:sz="0" w:space="0" w:color="auto"/>
      </w:divBdr>
    </w:div>
    <w:div w:id="1954750443">
      <w:bodyDiv w:val="1"/>
      <w:marLeft w:val="0"/>
      <w:marRight w:val="0"/>
      <w:marTop w:val="0"/>
      <w:marBottom w:val="0"/>
      <w:divBdr>
        <w:top w:val="none" w:sz="0" w:space="0" w:color="auto"/>
        <w:left w:val="none" w:sz="0" w:space="0" w:color="auto"/>
        <w:bottom w:val="none" w:sz="0" w:space="0" w:color="auto"/>
        <w:right w:val="none" w:sz="0" w:space="0" w:color="auto"/>
      </w:divBdr>
      <w:divsChild>
        <w:div w:id="1508789793">
          <w:marLeft w:val="0"/>
          <w:marRight w:val="0"/>
          <w:marTop w:val="0"/>
          <w:marBottom w:val="0"/>
          <w:divBdr>
            <w:top w:val="none" w:sz="0" w:space="0" w:color="auto"/>
            <w:left w:val="none" w:sz="0" w:space="0" w:color="auto"/>
            <w:bottom w:val="none" w:sz="0" w:space="0" w:color="auto"/>
            <w:right w:val="none" w:sz="0" w:space="0" w:color="auto"/>
          </w:divBdr>
          <w:divsChild>
            <w:div w:id="1497262156">
              <w:marLeft w:val="0"/>
              <w:marRight w:val="0"/>
              <w:marTop w:val="0"/>
              <w:marBottom w:val="0"/>
              <w:divBdr>
                <w:top w:val="none" w:sz="0" w:space="0" w:color="auto"/>
                <w:left w:val="none" w:sz="0" w:space="0" w:color="auto"/>
                <w:bottom w:val="none" w:sz="0" w:space="0" w:color="auto"/>
                <w:right w:val="none" w:sz="0" w:space="0" w:color="auto"/>
              </w:divBdr>
              <w:divsChild>
                <w:div w:id="555240579">
                  <w:marLeft w:val="0"/>
                  <w:marRight w:val="0"/>
                  <w:marTop w:val="0"/>
                  <w:marBottom w:val="0"/>
                  <w:divBdr>
                    <w:top w:val="none" w:sz="0" w:space="0" w:color="auto"/>
                    <w:left w:val="none" w:sz="0" w:space="0" w:color="auto"/>
                    <w:bottom w:val="none" w:sz="0" w:space="0" w:color="auto"/>
                    <w:right w:val="none" w:sz="0" w:space="0" w:color="auto"/>
                  </w:divBdr>
                  <w:divsChild>
                    <w:div w:id="1318922257">
                      <w:marLeft w:val="0"/>
                      <w:marRight w:val="0"/>
                      <w:marTop w:val="0"/>
                      <w:marBottom w:val="0"/>
                      <w:divBdr>
                        <w:top w:val="none" w:sz="0" w:space="0" w:color="auto"/>
                        <w:left w:val="none" w:sz="0" w:space="0" w:color="auto"/>
                        <w:bottom w:val="none" w:sz="0" w:space="0" w:color="auto"/>
                        <w:right w:val="none" w:sz="0" w:space="0" w:color="auto"/>
                      </w:divBdr>
                      <w:divsChild>
                        <w:div w:id="2010599381">
                          <w:marLeft w:val="0"/>
                          <w:marRight w:val="0"/>
                          <w:marTop w:val="0"/>
                          <w:marBottom w:val="0"/>
                          <w:divBdr>
                            <w:top w:val="none" w:sz="0" w:space="0" w:color="auto"/>
                            <w:left w:val="none" w:sz="0" w:space="0" w:color="auto"/>
                            <w:bottom w:val="none" w:sz="0" w:space="0" w:color="auto"/>
                            <w:right w:val="none" w:sz="0" w:space="0" w:color="auto"/>
                          </w:divBdr>
                          <w:divsChild>
                            <w:div w:id="37055515">
                              <w:marLeft w:val="0"/>
                              <w:marRight w:val="0"/>
                              <w:marTop w:val="0"/>
                              <w:marBottom w:val="0"/>
                              <w:divBdr>
                                <w:top w:val="none" w:sz="0" w:space="0" w:color="auto"/>
                                <w:left w:val="none" w:sz="0" w:space="0" w:color="auto"/>
                                <w:bottom w:val="none" w:sz="0" w:space="0" w:color="auto"/>
                                <w:right w:val="none" w:sz="0" w:space="0" w:color="auto"/>
                              </w:divBdr>
                              <w:divsChild>
                                <w:div w:id="777482405">
                                  <w:marLeft w:val="0"/>
                                  <w:marRight w:val="0"/>
                                  <w:marTop w:val="0"/>
                                  <w:marBottom w:val="0"/>
                                  <w:divBdr>
                                    <w:top w:val="none" w:sz="0" w:space="0" w:color="auto"/>
                                    <w:left w:val="none" w:sz="0" w:space="0" w:color="auto"/>
                                    <w:bottom w:val="none" w:sz="0" w:space="0" w:color="auto"/>
                                    <w:right w:val="none" w:sz="0" w:space="0" w:color="auto"/>
                                  </w:divBdr>
                                  <w:divsChild>
                                    <w:div w:id="1675958375">
                                      <w:marLeft w:val="0"/>
                                      <w:marRight w:val="0"/>
                                      <w:marTop w:val="0"/>
                                      <w:marBottom w:val="0"/>
                                      <w:divBdr>
                                        <w:top w:val="none" w:sz="0" w:space="0" w:color="auto"/>
                                        <w:left w:val="none" w:sz="0" w:space="0" w:color="auto"/>
                                        <w:bottom w:val="none" w:sz="0" w:space="0" w:color="auto"/>
                                        <w:right w:val="none" w:sz="0" w:space="0" w:color="auto"/>
                                      </w:divBdr>
                                      <w:divsChild>
                                        <w:div w:id="1918899571">
                                          <w:marLeft w:val="0"/>
                                          <w:marRight w:val="0"/>
                                          <w:marTop w:val="0"/>
                                          <w:marBottom w:val="0"/>
                                          <w:divBdr>
                                            <w:top w:val="none" w:sz="0" w:space="0" w:color="auto"/>
                                            <w:left w:val="none" w:sz="0" w:space="0" w:color="auto"/>
                                            <w:bottom w:val="none" w:sz="0" w:space="0" w:color="auto"/>
                                            <w:right w:val="none" w:sz="0" w:space="0" w:color="auto"/>
                                          </w:divBdr>
                                          <w:divsChild>
                                            <w:div w:id="1810126533">
                                              <w:marLeft w:val="0"/>
                                              <w:marRight w:val="0"/>
                                              <w:marTop w:val="0"/>
                                              <w:marBottom w:val="0"/>
                                              <w:divBdr>
                                                <w:top w:val="none" w:sz="0" w:space="0" w:color="auto"/>
                                                <w:left w:val="none" w:sz="0" w:space="0" w:color="auto"/>
                                                <w:bottom w:val="none" w:sz="0" w:space="0" w:color="auto"/>
                                                <w:right w:val="none" w:sz="0" w:space="0" w:color="auto"/>
                                              </w:divBdr>
                                              <w:divsChild>
                                                <w:div w:id="595287119">
                                                  <w:marLeft w:val="0"/>
                                                  <w:marRight w:val="0"/>
                                                  <w:marTop w:val="0"/>
                                                  <w:marBottom w:val="0"/>
                                                  <w:divBdr>
                                                    <w:top w:val="none" w:sz="0" w:space="0" w:color="auto"/>
                                                    <w:left w:val="none" w:sz="0" w:space="0" w:color="auto"/>
                                                    <w:bottom w:val="none" w:sz="0" w:space="0" w:color="auto"/>
                                                    <w:right w:val="none" w:sz="0" w:space="0" w:color="auto"/>
                                                  </w:divBdr>
                                                  <w:divsChild>
                                                    <w:div w:id="1021322263">
                                                      <w:marLeft w:val="0"/>
                                                      <w:marRight w:val="0"/>
                                                      <w:marTop w:val="0"/>
                                                      <w:marBottom w:val="0"/>
                                                      <w:divBdr>
                                                        <w:top w:val="none" w:sz="0" w:space="0" w:color="auto"/>
                                                        <w:left w:val="none" w:sz="0" w:space="0" w:color="auto"/>
                                                        <w:bottom w:val="none" w:sz="0" w:space="0" w:color="auto"/>
                                                        <w:right w:val="none" w:sz="0" w:space="0" w:color="auto"/>
                                                      </w:divBdr>
                                                      <w:divsChild>
                                                        <w:div w:id="20387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A1E63542B2234BB6B410C27F7EE50C" ma:contentTypeVersion="6" ma:contentTypeDescription="Create a new document." ma:contentTypeScope="" ma:versionID="ae085f04029e2cb7f1eb65b9affe606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c9cc3a6dcc5bf39f56c49cae08a97c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49441-542A-4F8E-A863-C03283786EBD}">
  <ds:schemaRefs>
    <ds:schemaRef ds:uri="http://schemas.microsoft.com/sharepoint/v3/contenttype/forms"/>
  </ds:schemaRefs>
</ds:datastoreItem>
</file>

<file path=customXml/itemProps2.xml><?xml version="1.0" encoding="utf-8"?>
<ds:datastoreItem xmlns:ds="http://schemas.openxmlformats.org/officeDocument/2006/customXml" ds:itemID="{F7B9BAF2-A72A-4E7A-8BE4-EBC35CB3A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BB555-F49E-4E6A-9DC0-C77FA5B836E2}">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D9AC93F6-4CCA-496B-A554-1F83EEF9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2249</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Item 2107 EM final to policy_DOCA comments.docx</vt:lpstr>
    </vt:vector>
  </TitlesOfParts>
  <Company>Dept. of Immigration and Citizenship</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2107 EM final to policy_DOCA comments.docx</dc:title>
  <dc:creator>Louise STAKER</dc:creator>
  <cp:lastModifiedBy>Fiona LUONGO</cp:lastModifiedBy>
  <cp:revision>3</cp:revision>
  <cp:lastPrinted>2020-05-07T23:13:00Z</cp:lastPrinted>
  <dcterms:created xsi:type="dcterms:W3CDTF">2020-06-03T06:51:00Z</dcterms:created>
  <dcterms:modified xsi:type="dcterms:W3CDTF">2020-06-03T06:54:00Z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0x010100B0A1E63542B2234BB6B410C27F7EE50C</vt:lpwstr>
  </property>
  <property fmtid="{D5CDD505-2E9C-101B-9397-08002B2CF9AE}" pid="3" name="TrimRevisionNumber">
    <vt:i4>8</vt:i4>
  </property>
  <property fmtid="{D5CDD505-2E9C-101B-9397-08002B2CF9AE}" pid="4" name="Order">
    <vt:r8>25900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