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BF5278" w14:textId="77777777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22D094A" wp14:editId="54CA32CC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B8F66" w14:textId="77777777" w:rsidR="00F5638C" w:rsidRDefault="00F5638C" w:rsidP="00F5638C">
      <w:pPr>
        <w:rPr>
          <w:sz w:val="19"/>
        </w:rPr>
      </w:pPr>
    </w:p>
    <w:p w14:paraId="744912AB" w14:textId="07793558" w:rsidR="00F5638C" w:rsidRDefault="00D10904" w:rsidP="00F5638C">
      <w:pPr>
        <w:pStyle w:val="ShortT"/>
      </w:pPr>
      <w:r>
        <w:t>Taxation Administration</w:t>
      </w:r>
      <w:r w:rsidR="00F5638C">
        <w:t xml:space="preserve"> (</w:t>
      </w:r>
      <w:r w:rsidR="00832F34">
        <w:t>Coronavirus Economic Response Package—</w:t>
      </w:r>
      <w:r>
        <w:t>Ancillary Funds</w:t>
      </w:r>
      <w:r w:rsidR="00F5638C">
        <w:t xml:space="preserve">) </w:t>
      </w:r>
      <w:r>
        <w:t>Amendment Guidelines 2020</w:t>
      </w:r>
    </w:p>
    <w:p w14:paraId="325E296D" w14:textId="77B7E519" w:rsidR="00F5638C" w:rsidRPr="00BC5754" w:rsidRDefault="00F5638C" w:rsidP="00F5638C">
      <w:pPr>
        <w:pStyle w:val="SignCoverPageStart"/>
        <w:spacing w:before="240"/>
        <w:rPr>
          <w:szCs w:val="22"/>
        </w:rPr>
      </w:pPr>
      <w:r w:rsidRPr="00BC5754">
        <w:rPr>
          <w:szCs w:val="22"/>
        </w:rPr>
        <w:t xml:space="preserve">I, </w:t>
      </w:r>
      <w:r w:rsidR="00D10904">
        <w:rPr>
          <w:szCs w:val="22"/>
        </w:rPr>
        <w:t>Zed Seselja</w:t>
      </w:r>
      <w:r w:rsidRPr="00BC5754">
        <w:rPr>
          <w:szCs w:val="22"/>
        </w:rPr>
        <w:t xml:space="preserve">, </w:t>
      </w:r>
      <w:r w:rsidR="00D10904" w:rsidRPr="00D10904">
        <w:rPr>
          <w:szCs w:val="22"/>
        </w:rPr>
        <w:t>Assistant Minister for Finance, Charities and Electoral Matters</w:t>
      </w:r>
      <w:r w:rsidRPr="00BC5754">
        <w:rPr>
          <w:szCs w:val="22"/>
        </w:rPr>
        <w:t xml:space="preserve">, make the following </w:t>
      </w:r>
      <w:r w:rsidR="00D10904">
        <w:rPr>
          <w:szCs w:val="22"/>
        </w:rPr>
        <w:t>guidelines</w:t>
      </w:r>
      <w:r w:rsidRPr="00BC5754">
        <w:rPr>
          <w:szCs w:val="22"/>
        </w:rPr>
        <w:t>.</w:t>
      </w:r>
    </w:p>
    <w:p w14:paraId="61680573" w14:textId="14A51A76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>Dated</w:t>
      </w:r>
      <w:r w:rsidR="00B747CB">
        <w:rPr>
          <w:szCs w:val="22"/>
        </w:rPr>
        <w:t xml:space="preserve"> </w:t>
      </w:r>
      <w:bookmarkStart w:id="0" w:name="_GoBack"/>
      <w:bookmarkEnd w:id="0"/>
      <w:r w:rsidR="00B747CB">
        <w:rPr>
          <w:szCs w:val="22"/>
        </w:rPr>
        <w:t>10 June 2020</w:t>
      </w:r>
    </w:p>
    <w:p w14:paraId="11DE7950" w14:textId="5A6CB9E5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1EE0AC49" w14:textId="3E5A9DB3" w:rsidR="00F5638C" w:rsidRPr="00BC5754" w:rsidRDefault="00D10904" w:rsidP="00F5638C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Zed Seselja</w:t>
      </w:r>
    </w:p>
    <w:p w14:paraId="2C3E252B" w14:textId="1F609C76" w:rsidR="00F5638C" w:rsidRPr="00BC5754" w:rsidRDefault="00D10904" w:rsidP="00F5638C">
      <w:pPr>
        <w:pStyle w:val="SignCoverPageEnd"/>
        <w:rPr>
          <w:szCs w:val="22"/>
        </w:rPr>
      </w:pPr>
      <w:r>
        <w:rPr>
          <w:szCs w:val="22"/>
        </w:rPr>
        <w:t>Assistant Minister for Finance, Charities and Electoral Matters</w:t>
      </w:r>
      <w:r>
        <w:rPr>
          <w:szCs w:val="22"/>
        </w:rPr>
        <w:br/>
        <w:t>Parliamentary Secretary to the Treasurer</w:t>
      </w:r>
    </w:p>
    <w:p w14:paraId="6724A262" w14:textId="77777777" w:rsidR="00F5638C" w:rsidRDefault="00F5638C" w:rsidP="00F5638C"/>
    <w:p w14:paraId="0376798C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7321B192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6EA61357" w14:textId="77777777" w:rsidR="00F5638C" w:rsidRDefault="00F5638C" w:rsidP="00F5638C">
      <w:pPr>
        <w:sectPr w:rsidR="00F5638C" w:rsidSect="00E97334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7440E09F" w14:textId="77777777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64289CEB" w14:textId="593672BF" w:rsidR="00A2304D" w:rsidRDefault="00F5638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A2304D">
        <w:rPr>
          <w:noProof/>
        </w:rPr>
        <w:t>1  Name</w:t>
      </w:r>
      <w:r w:rsidR="00A2304D">
        <w:rPr>
          <w:noProof/>
        </w:rPr>
        <w:tab/>
      </w:r>
      <w:r w:rsidR="00A2304D">
        <w:rPr>
          <w:noProof/>
        </w:rPr>
        <w:tab/>
      </w:r>
      <w:r w:rsidR="00A2304D">
        <w:rPr>
          <w:noProof/>
        </w:rPr>
        <w:fldChar w:fldCharType="begin"/>
      </w:r>
      <w:r w:rsidR="00A2304D">
        <w:rPr>
          <w:noProof/>
        </w:rPr>
        <w:instrText xml:space="preserve"> PAGEREF _Toc40424451 \h </w:instrText>
      </w:r>
      <w:r w:rsidR="00A2304D">
        <w:rPr>
          <w:noProof/>
        </w:rPr>
      </w:r>
      <w:r w:rsidR="00A2304D">
        <w:rPr>
          <w:noProof/>
        </w:rPr>
        <w:fldChar w:fldCharType="separate"/>
      </w:r>
      <w:r w:rsidR="00D867F7">
        <w:rPr>
          <w:noProof/>
        </w:rPr>
        <w:t>1</w:t>
      </w:r>
      <w:r w:rsidR="00A2304D">
        <w:rPr>
          <w:noProof/>
        </w:rPr>
        <w:fldChar w:fldCharType="end"/>
      </w:r>
    </w:p>
    <w:p w14:paraId="0518D797" w14:textId="6C877F6E" w:rsidR="00A2304D" w:rsidRDefault="00A230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_Toc40424452 \h </w:instrText>
      </w:r>
      <w:r>
        <w:rPr>
          <w:noProof/>
        </w:rPr>
      </w:r>
      <w:r>
        <w:rPr>
          <w:noProof/>
        </w:rPr>
        <w:fldChar w:fldCharType="separate"/>
      </w:r>
      <w:r w:rsidR="00D867F7">
        <w:rPr>
          <w:noProof/>
        </w:rPr>
        <w:t>1</w:t>
      </w:r>
      <w:r>
        <w:rPr>
          <w:noProof/>
        </w:rPr>
        <w:fldChar w:fldCharType="end"/>
      </w:r>
    </w:p>
    <w:p w14:paraId="251364C5" w14:textId="53B332E3" w:rsidR="00A2304D" w:rsidRDefault="00A230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_Toc40424453 \h </w:instrText>
      </w:r>
      <w:r>
        <w:rPr>
          <w:noProof/>
        </w:rPr>
      </w:r>
      <w:r>
        <w:rPr>
          <w:noProof/>
        </w:rPr>
        <w:fldChar w:fldCharType="separate"/>
      </w:r>
      <w:r w:rsidR="00D867F7">
        <w:rPr>
          <w:noProof/>
        </w:rPr>
        <w:t>1</w:t>
      </w:r>
      <w:r>
        <w:rPr>
          <w:noProof/>
        </w:rPr>
        <w:fldChar w:fldCharType="end"/>
      </w:r>
    </w:p>
    <w:p w14:paraId="740D93C8" w14:textId="40D7D3B5" w:rsidR="00A2304D" w:rsidRDefault="00A230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_Toc40424454 \h </w:instrText>
      </w:r>
      <w:r>
        <w:rPr>
          <w:noProof/>
        </w:rPr>
      </w:r>
      <w:r>
        <w:rPr>
          <w:noProof/>
        </w:rPr>
        <w:fldChar w:fldCharType="separate"/>
      </w:r>
      <w:r w:rsidR="00D867F7">
        <w:rPr>
          <w:noProof/>
        </w:rPr>
        <w:t>1</w:t>
      </w:r>
      <w:r>
        <w:rPr>
          <w:noProof/>
        </w:rPr>
        <w:fldChar w:fldCharType="end"/>
      </w:r>
    </w:p>
    <w:p w14:paraId="47EB6507" w14:textId="151CD5EB" w:rsidR="00A2304D" w:rsidRDefault="00A2304D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A2304D">
        <w:rPr>
          <w:b w:val="0"/>
          <w:noProof/>
          <w:sz w:val="18"/>
        </w:rPr>
        <w:fldChar w:fldCharType="begin"/>
      </w:r>
      <w:r w:rsidRPr="00A2304D">
        <w:rPr>
          <w:b w:val="0"/>
          <w:noProof/>
          <w:sz w:val="18"/>
        </w:rPr>
        <w:instrText xml:space="preserve"> PAGEREF _Toc40424455 \h </w:instrText>
      </w:r>
      <w:r w:rsidRPr="00A2304D">
        <w:rPr>
          <w:b w:val="0"/>
          <w:noProof/>
          <w:sz w:val="18"/>
        </w:rPr>
      </w:r>
      <w:r w:rsidRPr="00A2304D">
        <w:rPr>
          <w:b w:val="0"/>
          <w:noProof/>
          <w:sz w:val="18"/>
        </w:rPr>
        <w:fldChar w:fldCharType="separate"/>
      </w:r>
      <w:r w:rsidR="00D867F7">
        <w:rPr>
          <w:b w:val="0"/>
          <w:noProof/>
          <w:sz w:val="18"/>
        </w:rPr>
        <w:t>2</w:t>
      </w:r>
      <w:r w:rsidRPr="00A2304D">
        <w:rPr>
          <w:b w:val="0"/>
          <w:noProof/>
          <w:sz w:val="18"/>
        </w:rPr>
        <w:fldChar w:fldCharType="end"/>
      </w:r>
    </w:p>
    <w:p w14:paraId="2C8FA3AC" w14:textId="632F533B" w:rsidR="00A2304D" w:rsidRDefault="00A230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Ancillary Fund Guidelines</w:t>
      </w:r>
      <w:r w:rsidR="00242E95">
        <w:rPr>
          <w:noProof/>
        </w:rPr>
        <w:t xml:space="preserve"> 2011</w:t>
      </w:r>
      <w:r>
        <w:rPr>
          <w:noProof/>
        </w:rPr>
        <w:tab/>
      </w:r>
      <w:r w:rsidRPr="00A2304D">
        <w:rPr>
          <w:i w:val="0"/>
          <w:noProof/>
          <w:sz w:val="18"/>
        </w:rPr>
        <w:fldChar w:fldCharType="begin"/>
      </w:r>
      <w:r w:rsidRPr="00A2304D">
        <w:rPr>
          <w:i w:val="0"/>
          <w:noProof/>
          <w:sz w:val="18"/>
        </w:rPr>
        <w:instrText xml:space="preserve"> PAGEREF _Toc40424456 \h </w:instrText>
      </w:r>
      <w:r w:rsidRPr="00A2304D">
        <w:rPr>
          <w:i w:val="0"/>
          <w:noProof/>
          <w:sz w:val="18"/>
        </w:rPr>
      </w:r>
      <w:r w:rsidRPr="00A2304D">
        <w:rPr>
          <w:i w:val="0"/>
          <w:noProof/>
          <w:sz w:val="18"/>
        </w:rPr>
        <w:fldChar w:fldCharType="separate"/>
      </w:r>
      <w:r w:rsidR="00D867F7">
        <w:rPr>
          <w:i w:val="0"/>
          <w:noProof/>
          <w:sz w:val="18"/>
        </w:rPr>
        <w:t>2</w:t>
      </w:r>
      <w:r w:rsidRPr="00A2304D">
        <w:rPr>
          <w:i w:val="0"/>
          <w:noProof/>
          <w:sz w:val="18"/>
        </w:rPr>
        <w:fldChar w:fldCharType="end"/>
      </w:r>
    </w:p>
    <w:p w14:paraId="1D86C711" w14:textId="6AAD4492" w:rsidR="00A2304D" w:rsidRDefault="00A2304D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Taxation Administration (Private Ancillary Fund) Guidelines 2019</w:t>
      </w:r>
      <w:r>
        <w:rPr>
          <w:noProof/>
        </w:rPr>
        <w:tab/>
      </w:r>
      <w:r w:rsidRPr="00A2304D">
        <w:rPr>
          <w:i w:val="0"/>
          <w:noProof/>
          <w:sz w:val="18"/>
        </w:rPr>
        <w:fldChar w:fldCharType="begin"/>
      </w:r>
      <w:r w:rsidRPr="00A2304D">
        <w:rPr>
          <w:i w:val="0"/>
          <w:noProof/>
          <w:sz w:val="18"/>
        </w:rPr>
        <w:instrText xml:space="preserve"> PAGEREF _Toc40424457 \h </w:instrText>
      </w:r>
      <w:r w:rsidRPr="00A2304D">
        <w:rPr>
          <w:i w:val="0"/>
          <w:noProof/>
          <w:sz w:val="18"/>
        </w:rPr>
      </w:r>
      <w:r w:rsidRPr="00A2304D">
        <w:rPr>
          <w:i w:val="0"/>
          <w:noProof/>
          <w:sz w:val="18"/>
        </w:rPr>
        <w:fldChar w:fldCharType="separate"/>
      </w:r>
      <w:r w:rsidR="00D867F7">
        <w:rPr>
          <w:i w:val="0"/>
          <w:noProof/>
          <w:sz w:val="18"/>
        </w:rPr>
        <w:t>3</w:t>
      </w:r>
      <w:r w:rsidRPr="00A2304D">
        <w:rPr>
          <w:i w:val="0"/>
          <w:noProof/>
          <w:sz w:val="18"/>
        </w:rPr>
        <w:fldChar w:fldCharType="end"/>
      </w:r>
    </w:p>
    <w:p w14:paraId="522F05A6" w14:textId="6BC0F29F" w:rsidR="00F5638C" w:rsidRDefault="00F5638C" w:rsidP="00F5638C">
      <w:r>
        <w:fldChar w:fldCharType="end"/>
      </w:r>
    </w:p>
    <w:p w14:paraId="70F8A24B" w14:textId="77777777" w:rsidR="00F5638C" w:rsidRPr="007A1328" w:rsidRDefault="00F5638C" w:rsidP="00F5638C"/>
    <w:p w14:paraId="0D771428" w14:textId="77777777" w:rsidR="00F5638C" w:rsidRDefault="00F5638C" w:rsidP="00F5638C">
      <w:pPr>
        <w:sectPr w:rsidR="00F5638C" w:rsidSect="007F48ED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C4CEE37" w14:textId="77777777" w:rsidR="00F5638C" w:rsidRDefault="00F5638C" w:rsidP="00F5638C">
      <w:pPr>
        <w:pStyle w:val="ActHead5"/>
      </w:pPr>
      <w:bookmarkStart w:id="17" w:name="_Toc40424451"/>
      <w:r>
        <w:rPr>
          <w:rStyle w:val="CharSectno"/>
        </w:rPr>
        <w:lastRenderedPageBreak/>
        <w:t>1</w:t>
      </w:r>
      <w:r>
        <w:t xml:space="preserve">  Name</w:t>
      </w:r>
      <w:bookmarkEnd w:id="17"/>
    </w:p>
    <w:p w14:paraId="1E5B89DA" w14:textId="6C28A3B8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832F34" w:rsidRPr="00832F34">
        <w:rPr>
          <w:i/>
          <w:noProof/>
        </w:rPr>
        <w:t>Taxation Administration (Coronavirus Economic Response Package—Ancillary Funds) Amendment Guidelines 2020</w:t>
      </w:r>
      <w:r>
        <w:t>.</w:t>
      </w:r>
    </w:p>
    <w:p w14:paraId="38C429D1" w14:textId="77777777" w:rsidR="00F5638C" w:rsidRDefault="00F5638C" w:rsidP="00F5638C">
      <w:pPr>
        <w:pStyle w:val="ActHead5"/>
      </w:pPr>
      <w:bookmarkStart w:id="18" w:name="_Toc40424452"/>
      <w:r>
        <w:rPr>
          <w:rStyle w:val="CharSectno"/>
        </w:rPr>
        <w:t>2</w:t>
      </w:r>
      <w:r>
        <w:t xml:space="preserve">  Commencement</w:t>
      </w:r>
      <w:bookmarkEnd w:id="18"/>
    </w:p>
    <w:p w14:paraId="5885048D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20C75F6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6DD49E61" w14:textId="77777777" w:rsidTr="00832F34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315FE96" w14:textId="77777777" w:rsidR="00F5638C" w:rsidRPr="00416235" w:rsidRDefault="00F5638C" w:rsidP="00133D1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0AD68729" w14:textId="77777777" w:rsidTr="00832F34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0CCD093" w14:textId="77777777" w:rsidR="00F5638C" w:rsidRPr="00416235" w:rsidRDefault="00F5638C" w:rsidP="00133D1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1C6A4915" w14:textId="77777777" w:rsidR="00F5638C" w:rsidRPr="00416235" w:rsidRDefault="00F5638C" w:rsidP="00133D1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34826E84" w14:textId="77777777" w:rsidR="00F5638C" w:rsidRPr="00416235" w:rsidRDefault="00F5638C" w:rsidP="00133D1C">
            <w:pPr>
              <w:pStyle w:val="TableHeading"/>
            </w:pPr>
            <w:r w:rsidRPr="00416235">
              <w:t>Column 3</w:t>
            </w:r>
          </w:p>
        </w:tc>
      </w:tr>
      <w:tr w:rsidR="00F5638C" w14:paraId="77FE2482" w14:textId="77777777" w:rsidTr="00832F34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30BF520" w14:textId="77777777" w:rsidR="00F5638C" w:rsidRPr="00416235" w:rsidRDefault="00F5638C" w:rsidP="00133D1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CC7C688" w14:textId="77777777" w:rsidR="00F5638C" w:rsidRPr="00416235" w:rsidRDefault="00F5638C" w:rsidP="00133D1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7183D8C" w14:textId="77777777" w:rsidR="00F5638C" w:rsidRPr="00416235" w:rsidRDefault="00F5638C" w:rsidP="00133D1C">
            <w:pPr>
              <w:pStyle w:val="TableHeading"/>
            </w:pPr>
            <w:r w:rsidRPr="00416235">
              <w:t>Date/Details</w:t>
            </w:r>
          </w:p>
        </w:tc>
      </w:tr>
      <w:tr w:rsidR="00F5638C" w14:paraId="6FA00515" w14:textId="77777777" w:rsidTr="00832F34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AAE2CC9" w14:textId="6DCA6FA3" w:rsidR="00F5638C" w:rsidRDefault="00832F34" w:rsidP="00133D1C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06F92531" w14:textId="5942B44E" w:rsidR="00F5638C" w:rsidRDefault="00832F34" w:rsidP="00133D1C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F147A2E" w14:textId="77777777" w:rsidR="00F5638C" w:rsidRDefault="00F5638C" w:rsidP="00133D1C">
            <w:pPr>
              <w:pStyle w:val="Tabletext"/>
            </w:pPr>
          </w:p>
        </w:tc>
      </w:tr>
    </w:tbl>
    <w:p w14:paraId="68EFF6AE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58D75B62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30F03F3F" w14:textId="77777777" w:rsidR="00F5638C" w:rsidRDefault="00F5638C" w:rsidP="00F5638C">
      <w:pPr>
        <w:pStyle w:val="ActHead5"/>
      </w:pPr>
      <w:bookmarkStart w:id="19" w:name="_Toc40424453"/>
      <w:r>
        <w:t>3  Authority</w:t>
      </w:r>
      <w:bookmarkEnd w:id="19"/>
    </w:p>
    <w:p w14:paraId="0BB72710" w14:textId="44FFF34D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832F34">
        <w:rPr>
          <w:i/>
        </w:rPr>
        <w:t>Taxation Administration Act 1953</w:t>
      </w:r>
      <w:r>
        <w:rPr>
          <w:i/>
        </w:rPr>
        <w:t>.</w:t>
      </w:r>
    </w:p>
    <w:p w14:paraId="0C6235C1" w14:textId="77777777" w:rsidR="00F5638C" w:rsidRDefault="00F5638C" w:rsidP="00F5638C">
      <w:pPr>
        <w:pStyle w:val="ActHead5"/>
      </w:pPr>
      <w:bookmarkStart w:id="20" w:name="_Toc40424454"/>
      <w:r>
        <w:t>4  Schedules</w:t>
      </w:r>
      <w:bookmarkEnd w:id="20"/>
    </w:p>
    <w:p w14:paraId="2EB4F5A5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6F408E2F" w14:textId="77777777" w:rsidR="00F5638C" w:rsidRDefault="00F5638C" w:rsidP="00F5638C">
      <w:pPr>
        <w:pStyle w:val="ActHead6"/>
        <w:pageBreakBefore/>
      </w:pPr>
      <w:bookmarkStart w:id="21" w:name="_Toc40424455"/>
      <w:r w:rsidRPr="00291167">
        <w:rPr>
          <w:rStyle w:val="CharAmSchNo"/>
        </w:rPr>
        <w:lastRenderedPageBreak/>
        <w:t>Schedule 1</w:t>
      </w:r>
      <w:r>
        <w:t>—</w:t>
      </w:r>
      <w:r w:rsidRPr="00291167">
        <w:rPr>
          <w:rStyle w:val="CharAmSchText"/>
        </w:rPr>
        <w:t>Amendments</w:t>
      </w:r>
      <w:bookmarkEnd w:id="21"/>
    </w:p>
    <w:p w14:paraId="1A9B99B6" w14:textId="77777777" w:rsidR="00F5638C" w:rsidRDefault="00F5638C" w:rsidP="00F5638C">
      <w:pPr>
        <w:pStyle w:val="Header"/>
      </w:pPr>
      <w:r>
        <w:t xml:space="preserve">  </w:t>
      </w:r>
    </w:p>
    <w:p w14:paraId="1E3B3FE3" w14:textId="0CDE31BC" w:rsidR="00C3751A" w:rsidRDefault="00C3751A" w:rsidP="00C3751A">
      <w:pPr>
        <w:pStyle w:val="ActHead9"/>
      </w:pPr>
      <w:bookmarkStart w:id="22" w:name="_Toc40424456"/>
      <w:r>
        <w:t>Public Ancillary Fund Guidelines</w:t>
      </w:r>
      <w:bookmarkEnd w:id="22"/>
      <w:r w:rsidR="00242E95">
        <w:t xml:space="preserve"> 2011</w:t>
      </w:r>
    </w:p>
    <w:p w14:paraId="491AFF5C" w14:textId="30EE5F20" w:rsidR="00C3751A" w:rsidRDefault="004978CF" w:rsidP="00C3751A">
      <w:pPr>
        <w:pStyle w:val="ItemHead"/>
      </w:pPr>
      <w:r>
        <w:t>1</w:t>
      </w:r>
      <w:r w:rsidR="00C3751A">
        <w:t xml:space="preserve">  At the end of the instrument</w:t>
      </w:r>
    </w:p>
    <w:p w14:paraId="122AAB99" w14:textId="125B000C" w:rsidR="00C3751A" w:rsidRDefault="00C3751A" w:rsidP="00C3751A">
      <w:pPr>
        <w:pStyle w:val="Item"/>
      </w:pPr>
      <w:r>
        <w:t>Add:</w:t>
      </w:r>
    </w:p>
    <w:p w14:paraId="7BEEE3EF" w14:textId="1582A591" w:rsidR="00A42D6C" w:rsidRDefault="00971B5C" w:rsidP="00A42D6C">
      <w:pPr>
        <w:pStyle w:val="Heading1"/>
        <w:keepLines w:val="0"/>
        <w:spacing w:after="360" w:line="260" w:lineRule="exact"/>
        <w:jc w:val="both"/>
        <w:rPr>
          <w:rFonts w:ascii="Arial" w:eastAsia="Times New Roman" w:hAnsi="Arial" w:cs="Times New Roman"/>
          <w:caps/>
          <w:color w:val="000000"/>
          <w:szCs w:val="24"/>
          <w:lang w:eastAsia="en-AU"/>
        </w:rPr>
      </w:pPr>
      <w:r w:rsidRPr="00971B5C">
        <w:rPr>
          <w:rFonts w:ascii="Arial" w:eastAsia="Times New Roman" w:hAnsi="Arial" w:cs="Times New Roman"/>
          <w:caps/>
          <w:color w:val="000000"/>
          <w:szCs w:val="24"/>
          <w:lang w:eastAsia="en-AU"/>
        </w:rPr>
        <w:t>Transitional rule: coronavirus economic response</w:t>
      </w:r>
      <w:r w:rsidR="00735883">
        <w:rPr>
          <w:rFonts w:ascii="Times New Roman" w:eastAsia="Times New Roman" w:hAnsi="Times New Roman" w:cs="Times New Roman"/>
          <w:caps/>
          <w:color w:val="000000"/>
          <w:szCs w:val="24"/>
          <w:lang w:eastAsia="en-AU"/>
        </w:rPr>
        <w:t>—</w:t>
      </w:r>
      <w:r w:rsidR="00735883" w:rsidRPr="00735883">
        <w:rPr>
          <w:rFonts w:ascii="Arial" w:eastAsia="Times New Roman" w:hAnsi="Arial" w:cs="Times New Roman"/>
          <w:caps/>
          <w:color w:val="000000"/>
          <w:szCs w:val="24"/>
          <w:lang w:eastAsia="en-AU"/>
        </w:rPr>
        <w:t>Carry forward credit for distributions in excess of minimum</w:t>
      </w:r>
    </w:p>
    <w:p w14:paraId="16AB35F9" w14:textId="52510FF3" w:rsidR="00A42D6C" w:rsidRPr="00971B5C" w:rsidRDefault="00A42D6C" w:rsidP="00971B5C">
      <w:pPr>
        <w:spacing w:after="240" w:line="260" w:lineRule="exact"/>
        <w:ind w:left="709" w:hanging="567"/>
        <w:jc w:val="both"/>
        <w:rPr>
          <w:rFonts w:ascii="Arial" w:eastAsia="Times New Roman" w:hAnsi="Arial" w:cs="Arial"/>
          <w:color w:val="000000"/>
          <w:sz w:val="24"/>
          <w:szCs w:val="24"/>
          <w:lang w:eastAsia="en-AU"/>
        </w:rPr>
      </w:pPr>
      <w:bookmarkStart w:id="23" w:name="tempbookmark"/>
      <w:r w:rsidRPr="00A42D6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5</w:t>
      </w:r>
      <w:r>
        <w:rPr>
          <w:rFonts w:ascii="Arial" w:eastAsia="Times New Roman" w:hAnsi="Arial" w:cs="Arial"/>
          <w:color w:val="000000"/>
          <w:sz w:val="24"/>
          <w:szCs w:val="24"/>
          <w:lang w:eastAsia="en-AU"/>
        </w:rPr>
        <w:t>7</w:t>
      </w:r>
      <w:r w:rsidRPr="00A42D6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.</w:t>
      </w:r>
      <w:r w:rsidRPr="00A42D6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ab/>
      </w:r>
      <w:bookmarkEnd w:id="23"/>
      <w:r w:rsidR="00971B5C" w:rsidRPr="00971B5C">
        <w:rPr>
          <w:rFonts w:ascii="Arial" w:eastAsia="Times New Roman" w:hAnsi="Arial" w:cs="Arial"/>
          <w:color w:val="000000"/>
          <w:sz w:val="24"/>
          <w:szCs w:val="24"/>
          <w:lang w:eastAsia="en-AU"/>
        </w:rPr>
        <w:t>This guideline applies to a *public ancillary fund if the fund exceeds its annual minimum distribution for the *financial years 2019-20 to 2020-21, as calculated under guideline 57.1, by more than 4.</w:t>
      </w:r>
    </w:p>
    <w:p w14:paraId="0ADDAD01" w14:textId="4030E76F" w:rsidR="00971B5C" w:rsidRDefault="00971B5C" w:rsidP="00971B5C">
      <w:pPr>
        <w:pStyle w:val="OutlineNumbered2"/>
        <w:tabs>
          <w:tab w:val="clear" w:pos="2727"/>
          <w:tab w:val="num" w:pos="1418"/>
        </w:tabs>
        <w:ind w:left="1418" w:hanging="851"/>
      </w:pPr>
      <w:r w:rsidRPr="00971B5C">
        <w:t>5</w:t>
      </w:r>
      <w:r>
        <w:t>7</w:t>
      </w:r>
      <w:r w:rsidRPr="00971B5C">
        <w:t>.1</w:t>
      </w:r>
      <w:r>
        <w:t>.</w:t>
      </w:r>
      <w:r>
        <w:tab/>
        <w:t xml:space="preserve">Work out how much a </w:t>
      </w:r>
      <w:r>
        <w:rPr>
          <w:position w:val="6"/>
          <w:sz w:val="16"/>
        </w:rPr>
        <w:t>*</w:t>
      </w:r>
      <w:r w:rsidR="00F25F7C">
        <w:t>public</w:t>
      </w:r>
      <w:r>
        <w:t xml:space="preserve"> ancillary fund exceeds its annual minimum distribution for the </w:t>
      </w:r>
      <w:r>
        <w:rPr>
          <w:position w:val="6"/>
          <w:sz w:val="16"/>
        </w:rPr>
        <w:t>*</w:t>
      </w:r>
      <w:r>
        <w:t>financial years 2019-20 to 2020-21 as follows:</w:t>
      </w:r>
    </w:p>
    <w:p w14:paraId="5AE824D4" w14:textId="77777777" w:rsidR="00971B5C" w:rsidRPr="00FB7257" w:rsidRDefault="00971B5C" w:rsidP="00971B5C">
      <w:pPr>
        <w:pStyle w:val="BoxHeadItalic"/>
        <w:rPr>
          <w:rFonts w:ascii="Arial" w:hAnsi="Arial" w:cs="Arial"/>
        </w:rPr>
      </w:pPr>
      <w:r w:rsidRPr="00FB7257">
        <w:rPr>
          <w:rFonts w:ascii="Arial" w:hAnsi="Arial" w:cs="Arial"/>
        </w:rPr>
        <w:t>Method statement</w:t>
      </w:r>
    </w:p>
    <w:p w14:paraId="16D9CFA1" w14:textId="77777777" w:rsidR="00971B5C" w:rsidRPr="00FB7257" w:rsidRDefault="00971B5C" w:rsidP="00971B5C">
      <w:pPr>
        <w:pStyle w:val="BoxStep"/>
        <w:rPr>
          <w:rFonts w:ascii="Arial" w:hAnsi="Arial" w:cs="Arial"/>
          <w:color w:val="000000"/>
          <w:szCs w:val="22"/>
          <w:shd w:val="clear" w:color="auto" w:fill="FFFFFF"/>
        </w:rPr>
      </w:pPr>
      <w:r w:rsidRPr="00FB7257">
        <w:rPr>
          <w:rFonts w:ascii="Arial" w:hAnsi="Arial" w:cs="Arial"/>
        </w:rPr>
        <w:t>Step 1.</w:t>
      </w:r>
      <w:r w:rsidRPr="00FB7257">
        <w:rPr>
          <w:rFonts w:ascii="Arial" w:hAnsi="Arial" w:cs="Arial"/>
        </w:rPr>
        <w:tab/>
        <w:t>Work out the fund’s actual distribution for the 2019-20 financial year by dividing the fund’s distributions made in that financial year by t</w:t>
      </w:r>
      <w:r w:rsidRPr="00FB7257">
        <w:rPr>
          <w:rFonts w:ascii="Arial" w:hAnsi="Arial" w:cs="Arial"/>
          <w:color w:val="000000"/>
          <w:szCs w:val="22"/>
          <w:shd w:val="clear" w:color="auto" w:fill="FFFFFF"/>
        </w:rPr>
        <w:t>he </w:t>
      </w:r>
      <w:r w:rsidRPr="00FB7257">
        <w:rPr>
          <w:rFonts w:ascii="Arial" w:hAnsi="Arial" w:cs="Arial"/>
          <w:position w:val="6"/>
          <w:sz w:val="16"/>
        </w:rPr>
        <w:t>*</w:t>
      </w:r>
      <w:r w:rsidRPr="00FB7257">
        <w:rPr>
          <w:rFonts w:ascii="Arial" w:hAnsi="Arial" w:cs="Arial"/>
          <w:color w:val="000000"/>
          <w:szCs w:val="22"/>
          <w:shd w:val="clear" w:color="auto" w:fill="FFFFFF"/>
        </w:rPr>
        <w:t>market value of the fund’s net assets (as at the end of the previous financial year). The result should be expressed as a percentage and rounded to the nearest whole number.</w:t>
      </w:r>
    </w:p>
    <w:p w14:paraId="3CFF1B92" w14:textId="77777777" w:rsidR="00971B5C" w:rsidRPr="00FB7257" w:rsidRDefault="00971B5C" w:rsidP="00971B5C">
      <w:pPr>
        <w:pStyle w:val="BoxStep"/>
        <w:rPr>
          <w:rFonts w:ascii="Arial" w:hAnsi="Arial" w:cs="Arial"/>
          <w:color w:val="000000"/>
          <w:szCs w:val="22"/>
          <w:shd w:val="clear" w:color="auto" w:fill="FFFFFF"/>
        </w:rPr>
      </w:pPr>
      <w:r w:rsidRPr="00FB7257">
        <w:rPr>
          <w:rFonts w:ascii="Arial" w:hAnsi="Arial" w:cs="Arial"/>
          <w:color w:val="000000"/>
          <w:szCs w:val="22"/>
          <w:shd w:val="clear" w:color="auto" w:fill="FFFFFF"/>
        </w:rPr>
        <w:t>Step 2.</w:t>
      </w:r>
      <w:r w:rsidRPr="00FB7257">
        <w:rPr>
          <w:rFonts w:ascii="Arial" w:hAnsi="Arial" w:cs="Arial"/>
          <w:color w:val="000000"/>
          <w:szCs w:val="22"/>
          <w:shd w:val="clear" w:color="auto" w:fill="FFFFFF"/>
        </w:rPr>
        <w:tab/>
      </w:r>
      <w:r w:rsidRPr="00FB7257">
        <w:rPr>
          <w:rFonts w:ascii="Arial" w:hAnsi="Arial" w:cs="Arial"/>
        </w:rPr>
        <w:t>Work out the fund’s actual distribution for the 2020-21 financial year by dividing the fund’s distributions made in that financial year by t</w:t>
      </w:r>
      <w:r w:rsidRPr="00FB7257">
        <w:rPr>
          <w:rFonts w:ascii="Arial" w:hAnsi="Arial" w:cs="Arial"/>
          <w:color w:val="000000"/>
          <w:szCs w:val="22"/>
          <w:shd w:val="clear" w:color="auto" w:fill="FFFFFF"/>
        </w:rPr>
        <w:t>he market value of the fund’s net assets (as at the end of the previous financial year). The result should be expressed as a percentage and rounded to the nearest whole number.</w:t>
      </w:r>
    </w:p>
    <w:p w14:paraId="21D17FD7" w14:textId="77777777" w:rsidR="00971B5C" w:rsidRPr="00FB7257" w:rsidRDefault="00971B5C" w:rsidP="00971B5C">
      <w:pPr>
        <w:pStyle w:val="BoxStep"/>
        <w:rPr>
          <w:rFonts w:ascii="Arial" w:hAnsi="Arial" w:cs="Arial"/>
        </w:rPr>
      </w:pPr>
      <w:r w:rsidRPr="00FB7257">
        <w:rPr>
          <w:rFonts w:ascii="Arial" w:hAnsi="Arial" w:cs="Arial"/>
        </w:rPr>
        <w:t>Step 3.</w:t>
      </w:r>
      <w:r w:rsidRPr="00FB7257">
        <w:rPr>
          <w:rFonts w:ascii="Arial" w:hAnsi="Arial" w:cs="Arial"/>
        </w:rPr>
        <w:tab/>
        <w:t>Add the result of step 1 with the result of step 2.</w:t>
      </w:r>
    </w:p>
    <w:p w14:paraId="7D221FBD" w14:textId="03DC117B" w:rsidR="00971B5C" w:rsidRPr="00FB7257" w:rsidRDefault="00971B5C" w:rsidP="00971B5C">
      <w:pPr>
        <w:pStyle w:val="BoxStep"/>
        <w:rPr>
          <w:rFonts w:ascii="Arial" w:hAnsi="Arial" w:cs="Arial"/>
        </w:rPr>
      </w:pPr>
      <w:r w:rsidRPr="00FB7257">
        <w:rPr>
          <w:rFonts w:ascii="Arial" w:hAnsi="Arial" w:cs="Arial"/>
        </w:rPr>
        <w:t>Step 4.</w:t>
      </w:r>
      <w:r w:rsidRPr="00FB7257">
        <w:rPr>
          <w:rFonts w:ascii="Arial" w:hAnsi="Arial" w:cs="Arial"/>
        </w:rPr>
        <w:tab/>
        <w:t xml:space="preserve">Reduce the result of step 3 by </w:t>
      </w:r>
      <w:r w:rsidR="00FB7257" w:rsidRPr="00FB7257">
        <w:rPr>
          <w:rFonts w:ascii="Arial" w:hAnsi="Arial" w:cs="Arial"/>
        </w:rPr>
        <w:t>8</w:t>
      </w:r>
      <w:r w:rsidRPr="00FB7257">
        <w:rPr>
          <w:rFonts w:ascii="Arial" w:hAnsi="Arial" w:cs="Arial"/>
        </w:rPr>
        <w:t>, but not so as to reduce the result to an amount less than nil.  The result is how much a *</w:t>
      </w:r>
      <w:r w:rsidR="00F25F7C" w:rsidRPr="00FB7257">
        <w:rPr>
          <w:rFonts w:ascii="Arial" w:hAnsi="Arial" w:cs="Arial"/>
        </w:rPr>
        <w:t>public</w:t>
      </w:r>
      <w:r w:rsidRPr="00FB7257">
        <w:rPr>
          <w:rFonts w:ascii="Arial" w:hAnsi="Arial" w:cs="Arial"/>
        </w:rPr>
        <w:t xml:space="preserve"> ancillary fund exceeds its annual minimum distribution for the financial years 2019-20 to 2020-21.</w:t>
      </w:r>
    </w:p>
    <w:p w14:paraId="1F524935" w14:textId="7A72BE9E" w:rsidR="00F25F7C" w:rsidRDefault="00F25F7C" w:rsidP="00F25F7C">
      <w:pPr>
        <w:pStyle w:val="OutlineNumbered2"/>
        <w:tabs>
          <w:tab w:val="clear" w:pos="2727"/>
          <w:tab w:val="num" w:pos="1418"/>
        </w:tabs>
        <w:spacing w:before="240"/>
        <w:ind w:left="1418" w:hanging="851"/>
      </w:pPr>
      <w:r w:rsidRPr="00971B5C">
        <w:t>5</w:t>
      </w:r>
      <w:r>
        <w:t>7</w:t>
      </w:r>
      <w:r w:rsidRPr="00971B5C">
        <w:t>.</w:t>
      </w:r>
      <w:r>
        <w:t>2.</w:t>
      </w:r>
      <w:r>
        <w:tab/>
        <w:t xml:space="preserve">Where this </w:t>
      </w:r>
      <w:r w:rsidR="0017434D">
        <w:t>guideline</w:t>
      </w:r>
      <w:r>
        <w:t xml:space="preserve"> applies, the minimum annual distribution rate for a </w:t>
      </w:r>
      <w:r>
        <w:rPr>
          <w:position w:val="6"/>
          <w:sz w:val="16"/>
        </w:rPr>
        <w:t>*</w:t>
      </w:r>
      <w:r>
        <w:t xml:space="preserve">public ancillary fund </w:t>
      </w:r>
      <w:r w:rsidR="0017434D">
        <w:t xml:space="preserve">for </w:t>
      </w:r>
      <w:r>
        <w:t xml:space="preserve">the purposes of guideline 19 for a </w:t>
      </w:r>
      <w:r>
        <w:rPr>
          <w:position w:val="6"/>
          <w:sz w:val="16"/>
        </w:rPr>
        <w:t>*</w:t>
      </w:r>
      <w:r>
        <w:t xml:space="preserve">financial year covered by guideline 57.3 </w:t>
      </w:r>
      <w:r w:rsidRPr="00FB7257">
        <w:t>is 3 per cent.</w:t>
      </w:r>
    </w:p>
    <w:p w14:paraId="1FFF4866" w14:textId="6498F6D9" w:rsidR="00F25F7C" w:rsidRDefault="00F25F7C" w:rsidP="00F25F7C">
      <w:pPr>
        <w:pStyle w:val="OutlineNumbered2"/>
        <w:tabs>
          <w:tab w:val="clear" w:pos="2727"/>
          <w:tab w:val="num" w:pos="1418"/>
        </w:tabs>
        <w:ind w:left="1418" w:hanging="851"/>
      </w:pPr>
      <w:r w:rsidRPr="00971B5C">
        <w:t>5</w:t>
      </w:r>
      <w:r>
        <w:t>7</w:t>
      </w:r>
      <w:r w:rsidRPr="00971B5C">
        <w:t>.</w:t>
      </w:r>
      <w:r>
        <w:t>3.</w:t>
      </w:r>
      <w:r>
        <w:tab/>
        <w:t xml:space="preserve">The following are the </w:t>
      </w:r>
      <w:r>
        <w:rPr>
          <w:position w:val="6"/>
          <w:sz w:val="16"/>
        </w:rPr>
        <w:t>*</w:t>
      </w:r>
      <w:r>
        <w:t xml:space="preserve">financial years covered by this guideline for a </w:t>
      </w:r>
      <w:r>
        <w:rPr>
          <w:position w:val="6"/>
          <w:sz w:val="16"/>
        </w:rPr>
        <w:t>*</w:t>
      </w:r>
      <w:r>
        <w:t>public ancillary fund:</w:t>
      </w:r>
    </w:p>
    <w:p w14:paraId="5001300B" w14:textId="38F0678E" w:rsidR="00F25F7C" w:rsidRDefault="00F25F7C" w:rsidP="00F25F7C">
      <w:pPr>
        <w:pStyle w:val="bulletlevel2"/>
        <w:numPr>
          <w:ilvl w:val="0"/>
          <w:numId w:val="15"/>
        </w:numPr>
        <w:tabs>
          <w:tab w:val="clear" w:pos="607"/>
          <w:tab w:val="num" w:pos="1440"/>
        </w:tabs>
        <w:ind w:left="1980" w:hanging="360"/>
      </w:pPr>
      <w:r>
        <w:lastRenderedPageBreak/>
        <w:t>the 2021-22 financial year; and</w:t>
      </w:r>
    </w:p>
    <w:p w14:paraId="79C192B7" w14:textId="61AE9FE8" w:rsidR="00F25F7C" w:rsidRDefault="00F25F7C" w:rsidP="00F25F7C">
      <w:pPr>
        <w:pStyle w:val="bulletlevel2"/>
        <w:numPr>
          <w:ilvl w:val="0"/>
          <w:numId w:val="15"/>
        </w:numPr>
        <w:tabs>
          <w:tab w:val="clear" w:pos="607"/>
          <w:tab w:val="num" w:pos="1440"/>
        </w:tabs>
        <w:ind w:left="1980" w:hanging="360"/>
      </w:pPr>
      <w:r>
        <w:t>the 2022-23 financial year; and</w:t>
      </w:r>
    </w:p>
    <w:p w14:paraId="03397E7F" w14:textId="493490C9" w:rsidR="00F25F7C" w:rsidRDefault="00F25F7C" w:rsidP="00F25F7C">
      <w:pPr>
        <w:pStyle w:val="bulletlevel2"/>
        <w:numPr>
          <w:ilvl w:val="0"/>
          <w:numId w:val="15"/>
        </w:numPr>
        <w:tabs>
          <w:tab w:val="clear" w:pos="607"/>
          <w:tab w:val="num" w:pos="1440"/>
        </w:tabs>
        <w:ind w:left="1980" w:hanging="360"/>
      </w:pPr>
      <w:r>
        <w:t xml:space="preserve">a subsequent financial year or years for </w:t>
      </w:r>
      <w:r w:rsidR="0017434D">
        <w:t>each amount of</w:t>
      </w:r>
      <w:r>
        <w:t xml:space="preserve"> 2 the result of the method statement in guideline 57.1 exceeds 4.</w:t>
      </w:r>
    </w:p>
    <w:p w14:paraId="672CBFAF" w14:textId="07FC5A73" w:rsidR="00F25F7C" w:rsidRDefault="00F25F7C" w:rsidP="00F25F7C">
      <w:pPr>
        <w:pStyle w:val="Notelevel1"/>
        <w:ind w:left="607"/>
      </w:pPr>
      <w:r w:rsidRPr="00821A9D">
        <w:t xml:space="preserve">Example: </w:t>
      </w:r>
      <w:r>
        <w:t xml:space="preserve">If the result of the method statement is 7 for a </w:t>
      </w:r>
      <w:r w:rsidR="00FB7257">
        <w:t>public</w:t>
      </w:r>
      <w:r>
        <w:t xml:space="preserve"> ancillary fund, the 2023-24 financial year is also covered by </w:t>
      </w:r>
      <w:r w:rsidR="00FB7257">
        <w:t>this guideline</w:t>
      </w:r>
      <w:r>
        <w:t>.</w:t>
      </w:r>
    </w:p>
    <w:p w14:paraId="0961FE6C" w14:textId="0AE2148E" w:rsidR="00CB22EA" w:rsidRDefault="00CB22EA" w:rsidP="00CB22EA">
      <w:pPr>
        <w:pStyle w:val="ActHead9"/>
      </w:pPr>
      <w:bookmarkStart w:id="24" w:name="_Toc40424457"/>
      <w:r>
        <w:t>Taxation Administration (Private Ancillary Fund) Guidelines 2019</w:t>
      </w:r>
      <w:bookmarkEnd w:id="24"/>
    </w:p>
    <w:p w14:paraId="5E649FAD" w14:textId="0A80761E" w:rsidR="00F5638C" w:rsidRPr="00CB22EA" w:rsidRDefault="004978CF" w:rsidP="00F5638C">
      <w:pPr>
        <w:pStyle w:val="ItemHead"/>
      </w:pPr>
      <w:r>
        <w:t>2</w:t>
      </w:r>
      <w:r w:rsidR="00F5638C" w:rsidRPr="00CB22EA">
        <w:t xml:space="preserve">  </w:t>
      </w:r>
      <w:r w:rsidR="00C3751A">
        <w:t>At the end of the instrument</w:t>
      </w:r>
    </w:p>
    <w:p w14:paraId="554E9167" w14:textId="5FC5BB75" w:rsidR="00F5638C" w:rsidRDefault="00C3751A" w:rsidP="00F5638C">
      <w:pPr>
        <w:pStyle w:val="Item"/>
      </w:pPr>
      <w:r>
        <w:t>Add:</w:t>
      </w:r>
    </w:p>
    <w:p w14:paraId="3FB55431" w14:textId="39AD0856" w:rsidR="00C3751A" w:rsidRDefault="00C3751A" w:rsidP="00C3751A">
      <w:pPr>
        <w:pStyle w:val="ActHead3"/>
      </w:pPr>
      <w:bookmarkStart w:id="25" w:name="_Toc40424458"/>
      <w:r>
        <w:t>Division 3—Transitional rule: coronavirus economic response</w:t>
      </w:r>
      <w:bookmarkEnd w:id="25"/>
    </w:p>
    <w:p w14:paraId="06167A5A" w14:textId="479D4641" w:rsidR="00C3751A" w:rsidRDefault="00C3751A" w:rsidP="00C3751A">
      <w:pPr>
        <w:pStyle w:val="ActHead5"/>
      </w:pPr>
      <w:bookmarkStart w:id="26" w:name="_Toc40424459"/>
      <w:r>
        <w:t xml:space="preserve">31  Carry forward </w:t>
      </w:r>
      <w:r w:rsidR="00CA261B">
        <w:t>credit for</w:t>
      </w:r>
      <w:r>
        <w:t xml:space="preserve"> distributions in excess of minimum</w:t>
      </w:r>
      <w:bookmarkEnd w:id="26"/>
    </w:p>
    <w:p w14:paraId="6F2AE1EB" w14:textId="7B5043BA" w:rsidR="00C3751A" w:rsidRDefault="00E84278" w:rsidP="00C3751A">
      <w:pPr>
        <w:pStyle w:val="subsection"/>
      </w:pPr>
      <w:r>
        <w:tab/>
        <w:t>(1)</w:t>
      </w:r>
      <w:r>
        <w:tab/>
      </w:r>
      <w:r w:rsidR="00D85FE8">
        <w:t xml:space="preserve">This section applies to a </w:t>
      </w:r>
      <w:r w:rsidR="00A42D6C">
        <w:rPr>
          <w:position w:val="6"/>
          <w:sz w:val="16"/>
        </w:rPr>
        <w:t>*</w:t>
      </w:r>
      <w:r w:rsidR="00D85FE8">
        <w:t xml:space="preserve">private ancillary fund if </w:t>
      </w:r>
      <w:r w:rsidR="006D7171">
        <w:t>the fund</w:t>
      </w:r>
      <w:r w:rsidR="00D85FE8">
        <w:t xml:space="preserve"> </w:t>
      </w:r>
      <w:r w:rsidR="0048781D">
        <w:t xml:space="preserve">exceeds its annual minimum distribution for the </w:t>
      </w:r>
      <w:r w:rsidR="00561987">
        <w:t>*financial years</w:t>
      </w:r>
      <w:r w:rsidR="0048781D">
        <w:t xml:space="preserve"> 2019-20 to 2020-21, as calculated under subsection (2), by more than</w:t>
      </w:r>
      <w:r w:rsidR="00D85FE8">
        <w:t xml:space="preserve"> 4.</w:t>
      </w:r>
    </w:p>
    <w:p w14:paraId="5937A830" w14:textId="0105261C" w:rsidR="00D85FE8" w:rsidRDefault="00D85FE8" w:rsidP="00C3751A">
      <w:pPr>
        <w:pStyle w:val="subsection"/>
      </w:pPr>
      <w:r>
        <w:tab/>
        <w:t>(2)</w:t>
      </w:r>
      <w:r>
        <w:tab/>
      </w:r>
      <w:r w:rsidR="0048781D">
        <w:t xml:space="preserve">Work out how much a </w:t>
      </w:r>
      <w:r w:rsidR="00A42D6C">
        <w:rPr>
          <w:position w:val="6"/>
          <w:sz w:val="16"/>
        </w:rPr>
        <w:t>*</w:t>
      </w:r>
      <w:r w:rsidR="0048781D">
        <w:t xml:space="preserve">private ancillary fund exceeds its annual minimum distribution for the </w:t>
      </w:r>
      <w:r w:rsidR="00A42D6C">
        <w:rPr>
          <w:position w:val="6"/>
          <w:sz w:val="16"/>
        </w:rPr>
        <w:t>*</w:t>
      </w:r>
      <w:r w:rsidR="00561987">
        <w:t>financial years</w:t>
      </w:r>
      <w:r w:rsidR="0048781D">
        <w:t xml:space="preserve"> 2019-20 to 2020-21 as follows:</w:t>
      </w:r>
    </w:p>
    <w:p w14:paraId="1D396BA3" w14:textId="328FF87C" w:rsidR="0048781D" w:rsidRDefault="00657D93" w:rsidP="00657D93">
      <w:pPr>
        <w:pStyle w:val="BoxHeadItalic"/>
      </w:pPr>
      <w:r>
        <w:t>Method statement</w:t>
      </w:r>
    </w:p>
    <w:p w14:paraId="583C85B9" w14:textId="0BCCA9E5" w:rsidR="00657D93" w:rsidRDefault="00A917BB" w:rsidP="00657D93">
      <w:pPr>
        <w:pStyle w:val="BoxStep"/>
        <w:rPr>
          <w:color w:val="000000"/>
          <w:szCs w:val="22"/>
          <w:shd w:val="clear" w:color="auto" w:fill="FFFFFF"/>
        </w:rPr>
      </w:pPr>
      <w:r>
        <w:t>Step 1.</w:t>
      </w:r>
      <w:r>
        <w:tab/>
      </w:r>
      <w:r w:rsidR="00D63A4F">
        <w:t xml:space="preserve">Work out the fund’s actual distribution for the 2019-20 financial year by dividing </w:t>
      </w:r>
      <w:r w:rsidR="006D7171">
        <w:t>the fund’s distributions made in that financial year by t</w:t>
      </w:r>
      <w:r w:rsidR="006D7171">
        <w:rPr>
          <w:color w:val="000000"/>
          <w:szCs w:val="22"/>
          <w:shd w:val="clear" w:color="auto" w:fill="FFFFFF"/>
        </w:rPr>
        <w:t>he </w:t>
      </w:r>
      <w:r w:rsidR="00A42D6C">
        <w:rPr>
          <w:position w:val="6"/>
          <w:sz w:val="16"/>
        </w:rPr>
        <w:t>*</w:t>
      </w:r>
      <w:r w:rsidR="006D7171">
        <w:rPr>
          <w:color w:val="000000"/>
          <w:szCs w:val="22"/>
          <w:shd w:val="clear" w:color="auto" w:fill="FFFFFF"/>
        </w:rPr>
        <w:t>market value of the fund’s net assets (as at the end of the previous financial year).</w:t>
      </w:r>
      <w:r w:rsidR="00CA261B">
        <w:rPr>
          <w:color w:val="000000"/>
          <w:szCs w:val="22"/>
          <w:shd w:val="clear" w:color="auto" w:fill="FFFFFF"/>
        </w:rPr>
        <w:t xml:space="preserve"> The result should be expressed as a percentage and rounded to</w:t>
      </w:r>
      <w:r w:rsidR="009C4265">
        <w:rPr>
          <w:color w:val="000000"/>
          <w:szCs w:val="22"/>
          <w:shd w:val="clear" w:color="auto" w:fill="FFFFFF"/>
        </w:rPr>
        <w:t xml:space="preserve"> the</w:t>
      </w:r>
      <w:r w:rsidR="00CA261B">
        <w:rPr>
          <w:color w:val="000000"/>
          <w:szCs w:val="22"/>
          <w:shd w:val="clear" w:color="auto" w:fill="FFFFFF"/>
        </w:rPr>
        <w:t xml:space="preserve"> </w:t>
      </w:r>
      <w:r w:rsidR="00CA261B" w:rsidRPr="00095D3E">
        <w:rPr>
          <w:color w:val="000000"/>
          <w:szCs w:val="22"/>
          <w:shd w:val="clear" w:color="auto" w:fill="FFFFFF"/>
        </w:rPr>
        <w:t xml:space="preserve">nearest whole </w:t>
      </w:r>
      <w:r w:rsidR="00694D8F" w:rsidRPr="00095D3E">
        <w:rPr>
          <w:color w:val="000000"/>
          <w:szCs w:val="22"/>
          <w:shd w:val="clear" w:color="auto" w:fill="FFFFFF"/>
        </w:rPr>
        <w:t>number</w:t>
      </w:r>
      <w:r w:rsidR="00CA261B">
        <w:rPr>
          <w:color w:val="000000"/>
          <w:szCs w:val="22"/>
          <w:shd w:val="clear" w:color="auto" w:fill="FFFFFF"/>
        </w:rPr>
        <w:t>.</w:t>
      </w:r>
    </w:p>
    <w:p w14:paraId="5F76E179" w14:textId="2D74FB8B" w:rsidR="006D7171" w:rsidRDefault="006D7171" w:rsidP="00657D93">
      <w:pPr>
        <w:pStyle w:val="BoxStep"/>
        <w:rPr>
          <w:color w:val="000000"/>
          <w:szCs w:val="22"/>
          <w:shd w:val="clear" w:color="auto" w:fill="FFFFFF"/>
        </w:rPr>
      </w:pPr>
      <w:r>
        <w:rPr>
          <w:color w:val="000000"/>
          <w:szCs w:val="22"/>
          <w:shd w:val="clear" w:color="auto" w:fill="FFFFFF"/>
        </w:rPr>
        <w:t>Step 2.</w:t>
      </w:r>
      <w:r>
        <w:rPr>
          <w:color w:val="000000"/>
          <w:szCs w:val="22"/>
          <w:shd w:val="clear" w:color="auto" w:fill="FFFFFF"/>
        </w:rPr>
        <w:tab/>
      </w:r>
      <w:r>
        <w:t>Work out the fund’s actual distribution for the 2020-21 financial year by dividing the fund’s distributions made in that financial year by t</w:t>
      </w:r>
      <w:r>
        <w:rPr>
          <w:color w:val="000000"/>
          <w:szCs w:val="22"/>
          <w:shd w:val="clear" w:color="auto" w:fill="FFFFFF"/>
        </w:rPr>
        <w:t>he market value of the fund’s net assets (as at the end of the previous financial year).</w:t>
      </w:r>
      <w:r w:rsidR="00CA261B">
        <w:rPr>
          <w:color w:val="000000"/>
          <w:szCs w:val="22"/>
          <w:shd w:val="clear" w:color="auto" w:fill="FFFFFF"/>
        </w:rPr>
        <w:t xml:space="preserve"> The result should be expressed as a percentage and rounded to </w:t>
      </w:r>
      <w:r w:rsidR="009C4265">
        <w:rPr>
          <w:color w:val="000000"/>
          <w:szCs w:val="22"/>
          <w:shd w:val="clear" w:color="auto" w:fill="FFFFFF"/>
        </w:rPr>
        <w:t xml:space="preserve">the </w:t>
      </w:r>
      <w:r w:rsidR="00CA261B" w:rsidRPr="00095D3E">
        <w:rPr>
          <w:color w:val="000000"/>
          <w:szCs w:val="22"/>
          <w:shd w:val="clear" w:color="auto" w:fill="FFFFFF"/>
        </w:rPr>
        <w:t xml:space="preserve">nearest whole </w:t>
      </w:r>
      <w:r w:rsidR="000C77FA" w:rsidRPr="00095D3E">
        <w:rPr>
          <w:color w:val="000000"/>
          <w:szCs w:val="22"/>
          <w:shd w:val="clear" w:color="auto" w:fill="FFFFFF"/>
        </w:rPr>
        <w:t>number</w:t>
      </w:r>
      <w:r w:rsidR="00CA261B">
        <w:rPr>
          <w:color w:val="000000"/>
          <w:szCs w:val="22"/>
          <w:shd w:val="clear" w:color="auto" w:fill="FFFFFF"/>
        </w:rPr>
        <w:t>.</w:t>
      </w:r>
    </w:p>
    <w:p w14:paraId="15F1AED7" w14:textId="65EE80FB" w:rsidR="006D7171" w:rsidRDefault="00BC2348" w:rsidP="00657D93">
      <w:pPr>
        <w:pStyle w:val="BoxStep"/>
      </w:pPr>
      <w:r>
        <w:t>Step 3.</w:t>
      </w:r>
      <w:r>
        <w:tab/>
      </w:r>
      <w:r w:rsidR="00CA261B">
        <w:t>Add the result of step 1 with the result of step 2.</w:t>
      </w:r>
    </w:p>
    <w:p w14:paraId="09D71CCA" w14:textId="7A75B4AA" w:rsidR="00CA261B" w:rsidRDefault="00CA261B" w:rsidP="00657D93">
      <w:pPr>
        <w:pStyle w:val="BoxStep"/>
      </w:pPr>
      <w:r>
        <w:t>Step 4.</w:t>
      </w:r>
      <w:r>
        <w:tab/>
        <w:t xml:space="preserve">Reduce the result of step 3 </w:t>
      </w:r>
      <w:r w:rsidRPr="00FB7257">
        <w:t xml:space="preserve">by 10, but </w:t>
      </w:r>
      <w:r w:rsidR="004D3283" w:rsidRPr="00FB7257">
        <w:t>no</w:t>
      </w:r>
      <w:r w:rsidR="004D3283">
        <w:t>t so as to reduce the result to an amount less than</w:t>
      </w:r>
      <w:r>
        <w:t xml:space="preserve"> </w:t>
      </w:r>
      <w:r w:rsidR="004D3283">
        <w:t>nil</w:t>
      </w:r>
      <w:r>
        <w:t xml:space="preserve">.  The result is </w:t>
      </w:r>
      <w:r w:rsidR="00976559">
        <w:t xml:space="preserve">how much a *private ancillary fund exceeds its annual minimum distribution for the </w:t>
      </w:r>
      <w:r w:rsidR="00B73668">
        <w:t>financial years</w:t>
      </w:r>
      <w:r w:rsidR="00976559">
        <w:t xml:space="preserve"> 2019-20 to 2020-21.</w:t>
      </w:r>
    </w:p>
    <w:p w14:paraId="56EED393" w14:textId="4C9EB99E" w:rsidR="00976559" w:rsidRDefault="003445A3" w:rsidP="00976559">
      <w:pPr>
        <w:pStyle w:val="subsection"/>
      </w:pPr>
      <w:r>
        <w:tab/>
      </w:r>
      <w:r w:rsidR="00741E9F">
        <w:t>(3)</w:t>
      </w:r>
      <w:r w:rsidR="00741E9F">
        <w:tab/>
      </w:r>
      <w:r w:rsidR="00F0571D">
        <w:t xml:space="preserve">Where this section applies, the minimum annual distribution rate for a </w:t>
      </w:r>
      <w:r w:rsidR="00A42D6C">
        <w:rPr>
          <w:position w:val="6"/>
          <w:sz w:val="16"/>
        </w:rPr>
        <w:t>*</w:t>
      </w:r>
      <w:r w:rsidR="00F0571D">
        <w:t xml:space="preserve">private ancillary fund the purposes of subsection 15(1) for a </w:t>
      </w:r>
      <w:r w:rsidR="00A42D6C">
        <w:rPr>
          <w:position w:val="6"/>
          <w:sz w:val="16"/>
        </w:rPr>
        <w:t>*</w:t>
      </w:r>
      <w:r w:rsidR="00F0571D">
        <w:t>financ</w:t>
      </w:r>
      <w:r w:rsidR="00E837D6">
        <w:t xml:space="preserve">ial year covered by subsection (4) of this section </w:t>
      </w:r>
      <w:r w:rsidR="00F0571D" w:rsidRPr="00FB7257">
        <w:t>is 4</w:t>
      </w:r>
      <w:r w:rsidR="00E837D6" w:rsidRPr="00FB7257">
        <w:t xml:space="preserve"> per cent.</w:t>
      </w:r>
    </w:p>
    <w:p w14:paraId="78974696" w14:textId="0238B8F9" w:rsidR="00E837D6" w:rsidRDefault="00E837D6" w:rsidP="00976559">
      <w:pPr>
        <w:pStyle w:val="subsection"/>
      </w:pPr>
      <w:r>
        <w:lastRenderedPageBreak/>
        <w:tab/>
        <w:t>(4)</w:t>
      </w:r>
      <w:r>
        <w:tab/>
      </w:r>
      <w:r w:rsidR="00833D6F">
        <w:t xml:space="preserve">The following are the </w:t>
      </w:r>
      <w:r w:rsidR="00A42D6C">
        <w:rPr>
          <w:position w:val="6"/>
          <w:sz w:val="16"/>
        </w:rPr>
        <w:t>*</w:t>
      </w:r>
      <w:r>
        <w:t>financial year</w:t>
      </w:r>
      <w:r w:rsidR="00942EDE">
        <w:t>s</w:t>
      </w:r>
      <w:r>
        <w:t xml:space="preserve"> covered by this subsection for a </w:t>
      </w:r>
      <w:r w:rsidR="00A42D6C">
        <w:rPr>
          <w:position w:val="6"/>
          <w:sz w:val="16"/>
        </w:rPr>
        <w:t>*</w:t>
      </w:r>
      <w:r>
        <w:t>private ancillary fund</w:t>
      </w:r>
      <w:r w:rsidR="00F9591B">
        <w:t>:</w:t>
      </w:r>
    </w:p>
    <w:p w14:paraId="3EC0E4B0" w14:textId="5C0DDBD0" w:rsidR="00F9591B" w:rsidRDefault="00F9591B" w:rsidP="00F9591B">
      <w:pPr>
        <w:pStyle w:val="paragraph"/>
      </w:pPr>
      <w:r>
        <w:tab/>
        <w:t>(a)</w:t>
      </w:r>
      <w:r>
        <w:tab/>
      </w:r>
      <w:r w:rsidR="00833D6F">
        <w:t xml:space="preserve">the </w:t>
      </w:r>
      <w:r>
        <w:t>2021-22 financial year; and</w:t>
      </w:r>
    </w:p>
    <w:p w14:paraId="1DD29A46" w14:textId="43C1CBEB" w:rsidR="00F9591B" w:rsidRDefault="00F9591B" w:rsidP="00F9591B">
      <w:pPr>
        <w:pStyle w:val="paragraph"/>
      </w:pPr>
      <w:r>
        <w:tab/>
        <w:t>(b)</w:t>
      </w:r>
      <w:r>
        <w:tab/>
      </w:r>
      <w:r w:rsidR="00833D6F">
        <w:t xml:space="preserve">the </w:t>
      </w:r>
      <w:r>
        <w:t xml:space="preserve">2022-23 </w:t>
      </w:r>
      <w:r w:rsidR="00095D3E">
        <w:t>financial</w:t>
      </w:r>
      <w:r>
        <w:t xml:space="preserve"> year; and</w:t>
      </w:r>
    </w:p>
    <w:p w14:paraId="6C4B1225" w14:textId="514C190F" w:rsidR="008E09FB" w:rsidRDefault="008E09FB" w:rsidP="00F9591B">
      <w:pPr>
        <w:pStyle w:val="paragraph"/>
      </w:pPr>
      <w:r>
        <w:tab/>
        <w:t>(</w:t>
      </w:r>
      <w:r w:rsidR="00095D3E">
        <w:t>c</w:t>
      </w:r>
      <w:r>
        <w:t>)</w:t>
      </w:r>
      <w:r>
        <w:tab/>
        <w:t xml:space="preserve">a </w:t>
      </w:r>
      <w:r w:rsidR="00943C0B">
        <w:t xml:space="preserve">subsequent </w:t>
      </w:r>
      <w:r>
        <w:t xml:space="preserve">financial year </w:t>
      </w:r>
      <w:r w:rsidR="00833D6F">
        <w:t xml:space="preserve">or years </w:t>
      </w:r>
      <w:r>
        <w:t xml:space="preserve">for </w:t>
      </w:r>
      <w:r w:rsidR="0017434D">
        <w:t>each amount of</w:t>
      </w:r>
      <w:r w:rsidR="00095D3E">
        <w:t xml:space="preserve"> 2</w:t>
      </w:r>
      <w:r>
        <w:t xml:space="preserve"> the result of the method statement in subsection (2) exceeds 4.</w:t>
      </w:r>
    </w:p>
    <w:p w14:paraId="71FC2589" w14:textId="2065DCFD" w:rsidR="00095D3E" w:rsidRDefault="00095D3E" w:rsidP="00095D3E">
      <w:pPr>
        <w:pStyle w:val="notetext"/>
      </w:pPr>
      <w:r>
        <w:t>Example:</w:t>
      </w:r>
      <w:r>
        <w:tab/>
        <w:t>If the result of the method statement in subsection (2) is 7</w:t>
      </w:r>
      <w:r w:rsidR="00E41641">
        <w:t xml:space="preserve"> for a private ancillary fund</w:t>
      </w:r>
      <w:r>
        <w:t xml:space="preserve">, the 2023-24 financial year </w:t>
      </w:r>
      <w:r w:rsidR="00E41641">
        <w:t>is also covered by subsection (4).</w:t>
      </w:r>
    </w:p>
    <w:sectPr w:rsidR="00095D3E" w:rsidSect="007F48ED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C34E2" w14:textId="77777777" w:rsidR="004A32F1" w:rsidRDefault="004A32F1" w:rsidP="00F5638C">
      <w:pPr>
        <w:spacing w:line="240" w:lineRule="auto"/>
      </w:pPr>
      <w:r>
        <w:separator/>
      </w:r>
    </w:p>
  </w:endnote>
  <w:endnote w:type="continuationSeparator" w:id="0">
    <w:p w14:paraId="6ED6B024" w14:textId="77777777" w:rsidR="004A32F1" w:rsidRDefault="004A32F1" w:rsidP="00F563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325E0" w14:textId="2DEDD077" w:rsidR="00F5638C" w:rsidRPr="005F1388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B60103" w14:textId="75DCEF84" w:rsidR="00F5638C" w:rsidRDefault="00F5638C" w:rsidP="00E97334">
    <w:bookmarkStart w:id="1" w:name="_Hlk26285905"/>
    <w:bookmarkStart w:id="2" w:name="_Hlk26285906"/>
    <w:bookmarkStart w:id="3" w:name="_Hlk26285909"/>
    <w:bookmarkStart w:id="4" w:name="_Hlk26285910"/>
  </w:p>
  <w:bookmarkEnd w:id="1"/>
  <w:bookmarkEnd w:id="2"/>
  <w:bookmarkEnd w:id="3"/>
  <w:bookmarkEnd w:id="4"/>
  <w:p w14:paraId="495C7A54" w14:textId="77777777" w:rsidR="00F5638C" w:rsidRPr="00E97334" w:rsidRDefault="00F5638C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C0404D" w14:textId="77777777" w:rsidR="00F5638C" w:rsidRPr="00ED79B6" w:rsidRDefault="00F5638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7" w:name="_Hlk26285907"/>
    <w:bookmarkStart w:id="8" w:name="_Hlk26285908"/>
    <w:bookmarkStart w:id="9" w:name="_Hlk26285919"/>
    <w:bookmarkStart w:id="10" w:name="_Hlk26285920"/>
    <w:bookmarkEnd w:id="7"/>
    <w:bookmarkEnd w:id="8"/>
    <w:bookmarkEnd w:id="9"/>
    <w:bookmarkEnd w:id="10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F23B7" w14:textId="5C448053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67BBF964" w14:textId="77777777" w:rsidTr="00CB22E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EA0D47" w14:textId="77777777" w:rsidR="00F5638C" w:rsidRDefault="00F5638C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C0C48EB" w14:textId="5A1BCEE3" w:rsidR="00F5638C" w:rsidRDefault="00F5638C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D867F7">
            <w:rPr>
              <w:i/>
              <w:noProof/>
              <w:sz w:val="18"/>
            </w:rPr>
            <w:t>Taxation Administration (Coronavirus Economic Response Package—Ancillary Funds) Amendment Guidelines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E5616F8" w14:textId="77777777" w:rsidR="00F5638C" w:rsidRDefault="00F5638C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125D4628" w14:textId="77777777" w:rsidR="00F5638C" w:rsidRPr="00ED79B6" w:rsidRDefault="00F5638C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D77EF" w14:textId="71A1E7F0" w:rsidR="00F5638C" w:rsidRPr="00E33C1C" w:rsidRDefault="00F5638C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11" w:name="_Hlk26285917"/>
    <w:bookmarkStart w:id="12" w:name="_Hlk26285918"/>
    <w:bookmarkStart w:id="13" w:name="_Hlk26285921"/>
    <w:bookmarkStart w:id="14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3DB5202E" w14:textId="77777777" w:rsidTr="00CB22EA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4AED6FA" w14:textId="77777777" w:rsidR="00F5638C" w:rsidRDefault="00F5638C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7A15C7" w14:textId="28AF6CD7" w:rsidR="00F5638C" w:rsidRDefault="00F5638C" w:rsidP="00195CA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747CB">
            <w:rPr>
              <w:i/>
              <w:noProof/>
              <w:sz w:val="18"/>
            </w:rPr>
            <w:t>Taxation Administration (Coronavirus Economic Response Package—Ancillary Funds) Amendment Guidelines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0A24EC9" w14:textId="301E7629" w:rsidR="00F5638C" w:rsidRDefault="00F5638C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47C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11"/>
    <w:bookmarkEnd w:id="12"/>
    <w:bookmarkEnd w:id="13"/>
    <w:bookmarkEnd w:id="14"/>
  </w:tbl>
  <w:p w14:paraId="78F07792" w14:textId="77777777" w:rsidR="00F5638C" w:rsidRPr="00ED79B6" w:rsidRDefault="00F5638C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3DDC0" w14:textId="395A050F" w:rsidR="00A136F5" w:rsidRPr="00E33C1C" w:rsidRDefault="00B747C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9CBB823" w14:textId="77777777" w:rsidTr="00CB22E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8EFDDE" w14:textId="5232E78F" w:rsidR="00A136F5" w:rsidRDefault="003C1503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47CB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2AE15CE" w14:textId="0343F139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747CB">
            <w:rPr>
              <w:i/>
              <w:noProof/>
              <w:sz w:val="18"/>
            </w:rPr>
            <w:t>Taxation Administration (Coronavirus Economic Response Package—Ancillary Funds) Amendment Guidelines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871F61" w14:textId="77777777" w:rsidR="00A136F5" w:rsidRDefault="00B747CB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AF2012F" w14:textId="77777777" w:rsidR="00A136F5" w:rsidRPr="00ED79B6" w:rsidRDefault="00B747CB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B7FA1" w14:textId="7FDFD8DA" w:rsidR="007A6863" w:rsidRPr="00E33C1C" w:rsidRDefault="00B747CB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31" w:name="_Hlk26285929"/>
    <w:bookmarkStart w:id="32" w:name="_Hlk26285930"/>
    <w:bookmarkStart w:id="33" w:name="_Hlk26285933"/>
    <w:bookmarkStart w:id="34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08B924B2" w14:textId="77777777" w:rsidTr="00CB22E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99BE49A" w14:textId="77777777" w:rsidR="007A6863" w:rsidRDefault="00B747CB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C9DF316" w14:textId="4A35BFBC" w:rsidR="007A6863" w:rsidRDefault="003C1503" w:rsidP="000C45A2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B747CB">
            <w:rPr>
              <w:i/>
              <w:noProof/>
              <w:sz w:val="18"/>
            </w:rPr>
            <w:t>Taxation Administration (Coronavirus Economic Response Package—Ancillary Funds) Amendment Guidelines 2020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28378AD" w14:textId="0260FD69" w:rsidR="007A6863" w:rsidRDefault="003C150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B747C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1"/>
    <w:bookmarkEnd w:id="32"/>
    <w:bookmarkEnd w:id="33"/>
    <w:bookmarkEnd w:id="34"/>
  </w:tbl>
  <w:p w14:paraId="298D3462" w14:textId="77777777" w:rsidR="007A6863" w:rsidRPr="00ED79B6" w:rsidRDefault="00B747CB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19283" w14:textId="77777777" w:rsidR="00A136F5" w:rsidRPr="00E33C1C" w:rsidRDefault="00B747CB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37" w:name="_Hlk26285931"/>
    <w:bookmarkStart w:id="38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41D41D97" w14:textId="77777777" w:rsidTr="00CB22E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2E87E7" w14:textId="77777777" w:rsidR="00A136F5" w:rsidRDefault="00B747CB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207A5D" w14:textId="1DFF90AC" w:rsidR="00A136F5" w:rsidRDefault="003C1503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867F7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032CA3" w14:textId="77777777" w:rsidR="00A136F5" w:rsidRDefault="003C1503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37"/>
    <w:bookmarkEnd w:id="38"/>
  </w:tbl>
  <w:p w14:paraId="6F32D57D" w14:textId="77777777" w:rsidR="00A136F5" w:rsidRPr="00ED79B6" w:rsidRDefault="00B747CB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F20A0" w14:textId="77777777" w:rsidR="004A32F1" w:rsidRDefault="004A32F1" w:rsidP="00F5638C">
      <w:pPr>
        <w:spacing w:line="240" w:lineRule="auto"/>
      </w:pPr>
      <w:r>
        <w:separator/>
      </w:r>
    </w:p>
  </w:footnote>
  <w:footnote w:type="continuationSeparator" w:id="0">
    <w:p w14:paraId="1A6F9B42" w14:textId="77777777" w:rsidR="004A32F1" w:rsidRDefault="004A32F1" w:rsidP="00F563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FA11C" w14:textId="1BD49AD6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5D746" w14:textId="08DF4D71" w:rsidR="00F5638C" w:rsidRPr="005F1388" w:rsidRDefault="00F5638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10264" w14:textId="77777777" w:rsidR="00F5638C" w:rsidRPr="005F1388" w:rsidRDefault="00F5638C" w:rsidP="0048364F">
    <w:pPr>
      <w:pStyle w:val="Header"/>
      <w:tabs>
        <w:tab w:val="clear" w:pos="4150"/>
        <w:tab w:val="clear" w:pos="8307"/>
      </w:tabs>
    </w:pPr>
    <w:bookmarkStart w:id="5" w:name="_Hlk26285901"/>
    <w:bookmarkStart w:id="6" w:name="_Hlk26285902"/>
    <w:bookmarkEnd w:id="5"/>
    <w:bookmarkEnd w:id="6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E9DE1" w14:textId="72B1C312" w:rsidR="00F5638C" w:rsidRPr="00ED79B6" w:rsidRDefault="00F5638C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0D996" w14:textId="127BAD88" w:rsidR="00F5638C" w:rsidRPr="00ED79B6" w:rsidRDefault="00F5638C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AB3F6" w14:textId="77777777" w:rsidR="00F5638C" w:rsidRPr="00ED79B6" w:rsidRDefault="00F5638C" w:rsidP="0048364F">
    <w:pPr>
      <w:pStyle w:val="Header"/>
      <w:tabs>
        <w:tab w:val="clear" w:pos="4150"/>
        <w:tab w:val="clear" w:pos="8307"/>
      </w:tabs>
    </w:pPr>
    <w:bookmarkStart w:id="15" w:name="_Hlk26285913"/>
    <w:bookmarkStart w:id="16" w:name="_Hlk26285914"/>
    <w:bookmarkEnd w:id="15"/>
    <w:bookmarkEnd w:id="16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FB65C" w14:textId="7CAF49BF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B747C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B747CB">
      <w:rPr>
        <w:noProof/>
        <w:sz w:val="20"/>
      </w:rPr>
      <w:t>Amendments</w:t>
    </w:r>
    <w:r>
      <w:rPr>
        <w:sz w:val="20"/>
      </w:rPr>
      <w:fldChar w:fldCharType="end"/>
    </w:r>
  </w:p>
  <w:p w14:paraId="7C03C0BC" w14:textId="5EA2C491" w:rsidR="0048364F" w:rsidRPr="00A961C4" w:rsidRDefault="003C1503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3705D9EB" w14:textId="77777777" w:rsidR="0048364F" w:rsidRPr="00A961C4" w:rsidRDefault="00B747CB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27" w:name="_Hlk26285923"/>
  <w:bookmarkStart w:id="28" w:name="_Hlk26285924"/>
  <w:bookmarkStart w:id="29" w:name="_Hlk26285927"/>
  <w:bookmarkStart w:id="30" w:name="_Hlk26285928"/>
  <w:p w14:paraId="0862085D" w14:textId="0B69037C" w:rsidR="0048364F" w:rsidRPr="00A961C4" w:rsidRDefault="003C1503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="00B747CB">
      <w:rPr>
        <w:sz w:val="20"/>
      </w:rPr>
      <w:fldChar w:fldCharType="separate"/>
    </w:r>
    <w:r w:rsidR="00B747CB">
      <w:rPr>
        <w:noProof/>
        <w:sz w:val="20"/>
      </w:rPr>
      <w:t>Amendments</w: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B747CB">
      <w:rPr>
        <w:b/>
        <w:sz w:val="20"/>
      </w:rPr>
      <w:fldChar w:fldCharType="separate"/>
    </w:r>
    <w:r w:rsidR="00B747CB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33E791DB" w14:textId="27563DF0" w:rsidR="0048364F" w:rsidRPr="00A961C4" w:rsidRDefault="003C1503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27"/>
  <w:bookmarkEnd w:id="28"/>
  <w:bookmarkEnd w:id="29"/>
  <w:bookmarkEnd w:id="30"/>
  <w:p w14:paraId="55D34FA1" w14:textId="77777777" w:rsidR="0048364F" w:rsidRPr="00A961C4" w:rsidRDefault="00B747CB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3D0DF" w14:textId="77777777" w:rsidR="0048364F" w:rsidRPr="00A961C4" w:rsidRDefault="00B747CB" w:rsidP="0048364F">
    <w:bookmarkStart w:id="35" w:name="_Hlk26285925"/>
    <w:bookmarkStart w:id="36" w:name="_Hlk26285926"/>
    <w:bookmarkEnd w:id="35"/>
    <w:bookmarkEnd w:id="3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9701B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E804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E5C57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042E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0846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7422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0E90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C0B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F04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748E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B1658"/>
    <w:multiLevelType w:val="multilevel"/>
    <w:tmpl w:val="BC64EDC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(%5)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(%6)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>
      <w:start w:val="1"/>
      <w:numFmt w:val="lowerRoman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12" w15:restartNumberingAfterBreak="0">
    <w:nsid w:val="209247A2"/>
    <w:multiLevelType w:val="multilevel"/>
    <w:tmpl w:val="F9468ABE"/>
    <w:lvl w:ilvl="0">
      <w:start w:val="1"/>
      <w:numFmt w:val="bullet"/>
      <w:lvlText w:val="•"/>
      <w:lvlJc w:val="left"/>
      <w:pPr>
        <w:tabs>
          <w:tab w:val="num" w:pos="607"/>
        </w:tabs>
        <w:ind w:left="607" w:hanging="472"/>
      </w:pPr>
      <w:rPr>
        <w:rFonts w:ascii="Times New Roman" w:hAnsi="Times New Roman" w:cs="Times New Roman"/>
      </w:rPr>
    </w:lvl>
    <w:lvl w:ilvl="1">
      <w:start w:val="1"/>
      <w:numFmt w:val="bullet"/>
      <w:pStyle w:val="dash0"/>
      <w:lvlText w:val="–"/>
      <w:lvlJc w:val="left"/>
      <w:pPr>
        <w:tabs>
          <w:tab w:val="num" w:pos="1079"/>
        </w:tabs>
        <w:ind w:left="1079" w:hanging="472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51"/>
        </w:tabs>
        <w:ind w:left="1551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575"/>
        </w:tabs>
        <w:ind w:left="1575" w:hanging="360"/>
      </w:pPr>
    </w:lvl>
    <w:lvl w:ilvl="4">
      <w:start w:val="1"/>
      <w:numFmt w:val="lowerLetter"/>
      <w:lvlText w:val="(%5)"/>
      <w:lvlJc w:val="left"/>
      <w:pPr>
        <w:tabs>
          <w:tab w:val="num" w:pos="1935"/>
        </w:tabs>
        <w:ind w:left="1935" w:hanging="360"/>
      </w:pPr>
    </w:lvl>
    <w:lvl w:ilvl="5">
      <w:start w:val="1"/>
      <w:numFmt w:val="lowerRoman"/>
      <w:lvlText w:val="(%6)"/>
      <w:lvlJc w:val="left"/>
      <w:pPr>
        <w:tabs>
          <w:tab w:val="num" w:pos="2295"/>
        </w:tabs>
        <w:ind w:left="2295" w:hanging="360"/>
      </w:pPr>
    </w:lvl>
    <w:lvl w:ilvl="6">
      <w:start w:val="1"/>
      <w:numFmt w:val="decimal"/>
      <w:lvlText w:val="%7."/>
      <w:lvlJc w:val="left"/>
      <w:pPr>
        <w:tabs>
          <w:tab w:val="num" w:pos="2655"/>
        </w:tabs>
        <w:ind w:left="2655" w:hanging="360"/>
      </w:pPr>
    </w:lvl>
    <w:lvl w:ilvl="7">
      <w:start w:val="1"/>
      <w:numFmt w:val="lowerLetter"/>
      <w:lvlText w:val="%8."/>
      <w:lvlJc w:val="left"/>
      <w:pPr>
        <w:tabs>
          <w:tab w:val="num" w:pos="3015"/>
        </w:tabs>
        <w:ind w:left="3015" w:hanging="360"/>
      </w:pPr>
    </w:lvl>
    <w:lvl w:ilvl="8">
      <w:start w:val="1"/>
      <w:numFmt w:val="lowerRoman"/>
      <w:lvlText w:val="%9."/>
      <w:lvlJc w:val="left"/>
      <w:pPr>
        <w:tabs>
          <w:tab w:val="num" w:pos="3375"/>
        </w:tabs>
        <w:ind w:left="3375" w:hanging="360"/>
      </w:pPr>
    </w:lvl>
  </w:abstractNum>
  <w:abstractNum w:abstractNumId="13" w15:restartNumberingAfterBreak="0">
    <w:nsid w:val="2BB207F8"/>
    <w:multiLevelType w:val="hybridMultilevel"/>
    <w:tmpl w:val="EE782A92"/>
    <w:lvl w:ilvl="0" w:tplc="0C090001">
      <w:start w:val="1"/>
      <w:numFmt w:val="bullet"/>
      <w:pStyle w:val="bulletlevel2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1"/>
  </w:num>
  <w:num w:numId="14">
    <w:abstractNumId w:val="13"/>
  </w:num>
  <w:num w:numId="15">
    <w:abstractNumId w:val="1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2F1"/>
    <w:rsid w:val="00095D3E"/>
    <w:rsid w:val="000C77FA"/>
    <w:rsid w:val="0017434D"/>
    <w:rsid w:val="00242E95"/>
    <w:rsid w:val="003445A3"/>
    <w:rsid w:val="00383FC6"/>
    <w:rsid w:val="003C1503"/>
    <w:rsid w:val="0048781D"/>
    <w:rsid w:val="004978CF"/>
    <w:rsid w:val="004A32F1"/>
    <w:rsid w:val="004D3283"/>
    <w:rsid w:val="004E215D"/>
    <w:rsid w:val="005268A3"/>
    <w:rsid w:val="00561987"/>
    <w:rsid w:val="005946D8"/>
    <w:rsid w:val="00596C58"/>
    <w:rsid w:val="005E0DEC"/>
    <w:rsid w:val="00657D93"/>
    <w:rsid w:val="00694D8F"/>
    <w:rsid w:val="006A4F75"/>
    <w:rsid w:val="006D7171"/>
    <w:rsid w:val="00735883"/>
    <w:rsid w:val="00741E9F"/>
    <w:rsid w:val="00832F34"/>
    <w:rsid w:val="00833D6F"/>
    <w:rsid w:val="008504E3"/>
    <w:rsid w:val="008E09FB"/>
    <w:rsid w:val="00942EDE"/>
    <w:rsid w:val="00943C0B"/>
    <w:rsid w:val="0095074A"/>
    <w:rsid w:val="00971B5C"/>
    <w:rsid w:val="00976559"/>
    <w:rsid w:val="009C4265"/>
    <w:rsid w:val="00A2304D"/>
    <w:rsid w:val="00A42D6C"/>
    <w:rsid w:val="00A917BB"/>
    <w:rsid w:val="00B73668"/>
    <w:rsid w:val="00B747CB"/>
    <w:rsid w:val="00BC2348"/>
    <w:rsid w:val="00C02E1C"/>
    <w:rsid w:val="00C3751A"/>
    <w:rsid w:val="00C9209D"/>
    <w:rsid w:val="00C9500F"/>
    <w:rsid w:val="00CA261B"/>
    <w:rsid w:val="00CB22EA"/>
    <w:rsid w:val="00D10904"/>
    <w:rsid w:val="00D129C2"/>
    <w:rsid w:val="00D57F85"/>
    <w:rsid w:val="00D63A4F"/>
    <w:rsid w:val="00D85FE8"/>
    <w:rsid w:val="00D864BA"/>
    <w:rsid w:val="00D867F7"/>
    <w:rsid w:val="00DD714A"/>
    <w:rsid w:val="00E41641"/>
    <w:rsid w:val="00E837D6"/>
    <w:rsid w:val="00E84278"/>
    <w:rsid w:val="00EE6D77"/>
    <w:rsid w:val="00F0571D"/>
    <w:rsid w:val="00F25F7C"/>
    <w:rsid w:val="00F3552C"/>
    <w:rsid w:val="00F5638C"/>
    <w:rsid w:val="00F9591B"/>
    <w:rsid w:val="00FB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620C0C"/>
  <w15:chartTrackingRefBased/>
  <w15:docId w15:val="{CABB754C-E1A8-4BFF-8908-5929011B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5638C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5638C"/>
  </w:style>
  <w:style w:type="paragraph" w:customStyle="1" w:styleId="Blocks">
    <w:name w:val="Blocks"/>
    <w:aliases w:val="bb"/>
    <w:basedOn w:val="OPCParaBase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5638C"/>
    <w:rPr>
      <w:i/>
    </w:rPr>
  </w:style>
  <w:style w:type="paragraph" w:customStyle="1" w:styleId="BoxList">
    <w:name w:val="BoxList"/>
    <w:aliases w:val="bl"/>
    <w:basedOn w:val="BoxText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563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rsid w:val="00F5638C"/>
  </w:style>
  <w:style w:type="paragraph" w:customStyle="1" w:styleId="TableHeading">
    <w:name w:val="TableHeading"/>
    <w:aliases w:val="th"/>
    <w:basedOn w:val="OPCParaBase"/>
    <w:next w:val="Tabletext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OutlineNumbered1">
    <w:name w:val="Outline Numbered 1"/>
    <w:basedOn w:val="Normal"/>
    <w:rsid w:val="00971B5C"/>
    <w:pPr>
      <w:tabs>
        <w:tab w:val="num" w:pos="709"/>
      </w:tabs>
      <w:spacing w:after="240" w:line="260" w:lineRule="exact"/>
      <w:ind w:left="709" w:hanging="567"/>
      <w:jc w:val="both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OutlineNumbered2">
    <w:name w:val="Outline Numbered 2"/>
    <w:basedOn w:val="Normal"/>
    <w:rsid w:val="00971B5C"/>
    <w:pPr>
      <w:tabs>
        <w:tab w:val="num" w:pos="2727"/>
      </w:tabs>
      <w:spacing w:after="240" w:line="260" w:lineRule="exact"/>
      <w:ind w:left="2727" w:hanging="567"/>
      <w:jc w:val="both"/>
    </w:pPr>
    <w:rPr>
      <w:rFonts w:ascii="Arial" w:eastAsia="Times New Roman" w:hAnsi="Arial" w:cs="Arial"/>
      <w:color w:val="000000"/>
      <w:sz w:val="24"/>
      <w:szCs w:val="24"/>
      <w:lang w:eastAsia="en-AU"/>
    </w:rPr>
  </w:style>
  <w:style w:type="paragraph" w:customStyle="1" w:styleId="bullet">
    <w:name w:val="bullet"/>
    <w:basedOn w:val="Normal"/>
    <w:rsid w:val="00F25F7C"/>
    <w:pPr>
      <w:numPr>
        <w:numId w:val="13"/>
      </w:numPr>
      <w:spacing w:after="160" w:line="240" w:lineRule="auto"/>
    </w:pPr>
    <w:rPr>
      <w:rFonts w:ascii="Arial" w:eastAsia="Times New Roman" w:hAnsi="Arial" w:cs="Arial"/>
      <w:sz w:val="24"/>
      <w:lang w:eastAsia="en-AU"/>
    </w:rPr>
  </w:style>
  <w:style w:type="paragraph" w:customStyle="1" w:styleId="Dash">
    <w:name w:val="Dash"/>
    <w:basedOn w:val="Normal"/>
    <w:rsid w:val="00F25F7C"/>
    <w:pPr>
      <w:numPr>
        <w:ilvl w:val="1"/>
        <w:numId w:val="13"/>
      </w:numPr>
      <w:spacing w:after="240" w:line="260" w:lineRule="exact"/>
    </w:pPr>
    <w:rPr>
      <w:rFonts w:eastAsia="Times New Roman" w:cs="Times New Roman"/>
      <w:b/>
      <w:color w:val="000000"/>
      <w:sz w:val="24"/>
      <w:szCs w:val="24"/>
      <w:lang w:eastAsia="en-AU"/>
    </w:rPr>
  </w:style>
  <w:style w:type="paragraph" w:customStyle="1" w:styleId="DoubleDot">
    <w:name w:val="Double Dot"/>
    <w:basedOn w:val="Normal"/>
    <w:rsid w:val="00F25F7C"/>
    <w:pPr>
      <w:numPr>
        <w:ilvl w:val="2"/>
        <w:numId w:val="13"/>
      </w:numPr>
      <w:spacing w:after="240" w:line="260" w:lineRule="exact"/>
    </w:pPr>
    <w:rPr>
      <w:rFonts w:eastAsia="Times New Roman" w:cs="Times New Roman"/>
      <w:b/>
      <w:color w:val="000000"/>
      <w:sz w:val="24"/>
      <w:szCs w:val="24"/>
      <w:lang w:eastAsia="en-AU"/>
    </w:rPr>
  </w:style>
  <w:style w:type="paragraph" w:customStyle="1" w:styleId="bulletlevel2">
    <w:name w:val="bullet level 2"/>
    <w:basedOn w:val="bullet"/>
    <w:rsid w:val="00F25F7C"/>
    <w:pPr>
      <w:keepNext/>
      <w:keepLines/>
      <w:numPr>
        <w:numId w:val="14"/>
      </w:numPr>
      <w:tabs>
        <w:tab w:val="num" w:pos="1440"/>
      </w:tabs>
      <w:ind w:left="1980"/>
    </w:pPr>
    <w:rPr>
      <w:szCs w:val="24"/>
    </w:rPr>
  </w:style>
  <w:style w:type="paragraph" w:customStyle="1" w:styleId="dash0">
    <w:name w:val="dash"/>
    <w:basedOn w:val="Normal"/>
    <w:rsid w:val="00F25F7C"/>
    <w:pPr>
      <w:numPr>
        <w:ilvl w:val="1"/>
        <w:numId w:val="15"/>
      </w:numPr>
      <w:spacing w:line="240" w:lineRule="auto"/>
    </w:pPr>
    <w:rPr>
      <w:rFonts w:ascii="Arial" w:eastAsia="Times New Roman" w:hAnsi="Arial" w:cs="Arial"/>
      <w:color w:val="000080"/>
      <w:sz w:val="20"/>
      <w:lang w:eastAsia="en-AU"/>
    </w:rPr>
  </w:style>
  <w:style w:type="paragraph" w:customStyle="1" w:styleId="Notelevel1">
    <w:name w:val="Note level 1"/>
    <w:basedOn w:val="OutlineNumbered2"/>
    <w:rsid w:val="00F25F7C"/>
    <w:pPr>
      <w:tabs>
        <w:tab w:val="clear" w:pos="2727"/>
      </w:tabs>
      <w:ind w:left="540" w:firstLine="0"/>
    </w:pPr>
    <w:rPr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D5C18F41BA18FB44827A222ACD6776F5" ma:contentTypeVersion="29685" ma:contentTypeDescription=" " ma:contentTypeScope="" ma:versionID="588eadfd9d3567daa6e2bfddf069e45e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5="http://schemas.microsoft.com/sharepoint/v4" targetNamespace="http://schemas.microsoft.com/office/2006/metadata/properties" ma:root="true" ma:fieldsID="e075020021329a76efb76bd10c493362" ns1:_="" ns2:_="" ns3:_="" ns5:_="">
    <xsd:import namespace="http://schemas.microsoft.com/sharepoint/v3"/>
    <xsd:import namespace="0f563589-9cf9-4143-b1eb-fb0534803d38"/>
    <xsd:import namespace="9f7bc583-7cbe-45b9-a2bd-8bbb6543b37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2" nillable="true" ma:taxonomy="true" ma:internalName="lb508a4dc5e84436a0fe496b536466aa" ma:taxonomyFieldName="TSYRecordClass" ma:displayName="Record Class" ma:readOnly="false" ma:default="11;#TSY RA-9237 - Destroy 5 years after action completed|9f1a030e-81bf-44c5-98eb-4d5d869a40d5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IconOverlay xmlns="http://schemas.microsoft.com/sharepoint/v4" xsi:nil="true"/>
    <TaxCatchAll xmlns="0f563589-9cf9-4143-b1eb-fb0534803d38">
      <Value>7</Value>
    </TaxCatchAll>
    <_dlc_DocId xmlns="0f563589-9cf9-4143-b1eb-fb0534803d38">2020RG-111-14760</_dlc_DocId>
    <_dlc_DocIdUrl xmlns="0f563589-9cf9-4143-b1eb-fb0534803d38">
      <Url>http://tweb/sites/rg/ldp/lmu/_layouts/15/DocIdRedir.aspx?ID=2020RG-111-14760</Url>
      <Description>2020RG-111-14760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CB453-ECB3-451B-91DF-DBC537E94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34411C-9766-47DC-A86A-7565742ADB6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088DB51-DAF0-4066-9012-F11EF140BEFE}">
  <ds:schemaRefs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sharepoint/v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3824D5-D28A-423B-8922-0442A4BC25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D2DAA8-DBDD-4523-A5F2-E9EC8E87C889}">
  <ds:schemaRefs>
    <ds:schemaRef ds:uri="office.server.policy"/>
  </ds:schemaRefs>
</ds:datastoreItem>
</file>

<file path=customXml/itemProps6.xml><?xml version="1.0" encoding="utf-8"?>
<ds:datastoreItem xmlns:ds="http://schemas.openxmlformats.org/officeDocument/2006/customXml" ds:itemID="{0602C084-5E48-4C48-A0F5-6695228A5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340</TotalTime>
  <Pages>8</Pages>
  <Words>957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200514-LI-TSY_46_392-COVID19-ancillary fund changes.master</dc:title>
  <dc:subject/>
  <dc:creator>Leggett, Chris</dc:creator>
  <cp:keywords/>
  <dc:description/>
  <cp:lastModifiedBy>Rolfe, Jacqueline</cp:lastModifiedBy>
  <cp:revision>41</cp:revision>
  <cp:lastPrinted>2020-06-02T01:38:00Z</cp:lastPrinted>
  <dcterms:created xsi:type="dcterms:W3CDTF">2020-05-14T22:22:00Z</dcterms:created>
  <dcterms:modified xsi:type="dcterms:W3CDTF">2020-06-10T02:36:00Z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0x01010036BB8DE7EC542E42A8B2E98CC20CB69700D5C18F41BA18FB44827A222ACD6776F5</vt:lpwstr>
  </property>
  <property fmtid="{D5CDD505-2E9C-101B-9397-08002B2CF9AE}" pid="14" name="TSYRecordClass">
    <vt:lpwstr>7;#TSY RA-9236 - Retain as national archives|c6a225b4-6b93-473e-bcbb-6bc6ab25b623</vt:lpwstr>
  </property>
  <property fmtid="{D5CDD505-2E9C-101B-9397-08002B2CF9AE}" pid="15" name="_dlc_DocIdItemGuid">
    <vt:lpwstr>d6117800-c0bb-4fe0-89d2-5662203fcae3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UniqueId">
    <vt:lpwstr>{eecb4ffb-3687-4a16-acab-d5a5b31284da}</vt:lpwstr>
  </property>
  <property fmtid="{D5CDD505-2E9C-101B-9397-08002B2CF9AE}" pid="18" name="RecordPoint_ActiveItemWebId">
    <vt:lpwstr>{09392e0d-4618-463d-b4d2-50a90b9447cf}</vt:lpwstr>
  </property>
  <property fmtid="{D5CDD505-2E9C-101B-9397-08002B2CF9AE}" pid="19" name="RecordPoint_ActiveItemSiteId">
    <vt:lpwstr>{5b52b9a5-e5b2-4521-8814-a1e24ca2869d}</vt:lpwstr>
  </property>
  <property fmtid="{D5CDD505-2E9C-101B-9397-08002B2CF9AE}" pid="20" name="RecordPoint_ActiveItemListId">
    <vt:lpwstr>{687b78b0-2ddd-4441-8a8b-c9638c2a1939}</vt:lpwstr>
  </property>
  <property fmtid="{D5CDD505-2E9C-101B-9397-08002B2CF9AE}" pid="21" name="RecordPoint_RecordNumberSubmitted">
    <vt:lpwstr>R0002265729</vt:lpwstr>
  </property>
  <property fmtid="{D5CDD505-2E9C-101B-9397-08002B2CF9AE}" pid="22" name="RecordPoint_SubmissionCompleted">
    <vt:lpwstr>2020-06-03T10:41:53.9563722+10:00</vt:lpwstr>
  </property>
  <property fmtid="{D5CDD505-2E9C-101B-9397-08002B2CF9AE}" pid="23" name="Order">
    <vt:r8>1476000</vt:r8>
  </property>
  <property fmtid="{D5CDD505-2E9C-101B-9397-08002B2CF9AE}" pid="24" name="oae75e2df9d943898d59cb03ca0993c5">
    <vt:lpwstr/>
  </property>
  <property fmtid="{D5CDD505-2E9C-101B-9397-08002B2CF9AE}" pid="25" name="Topics">
    <vt:lpwstr/>
  </property>
</Properties>
</file>