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73" w:rsidRPr="00C0284F" w:rsidRDefault="00DC0573">
      <w:pPr>
        <w:pStyle w:val="Title"/>
        <w:rPr>
          <w:b/>
          <w:bCs/>
        </w:rPr>
      </w:pPr>
      <w:r w:rsidRPr="00C0284F">
        <w:rPr>
          <w:b/>
          <w:bCs/>
        </w:rPr>
        <w:t>EXPLANATORY STATEMENT</w:t>
      </w:r>
    </w:p>
    <w:p w:rsidR="00DC0573" w:rsidRPr="00C0284F" w:rsidRDefault="00DC0573">
      <w:pPr>
        <w:jc w:val="center"/>
        <w:rPr>
          <w:sz w:val="24"/>
        </w:rPr>
      </w:pPr>
    </w:p>
    <w:p w:rsidR="00A93501" w:rsidRPr="00C0284F" w:rsidRDefault="00583D8B" w:rsidP="0060539A">
      <w:pPr>
        <w:jc w:val="center"/>
        <w:rPr>
          <w:b/>
          <w:sz w:val="24"/>
          <w:u w:val="single"/>
        </w:rPr>
      </w:pPr>
      <w:r w:rsidRPr="00C0284F">
        <w:rPr>
          <w:b/>
          <w:sz w:val="24"/>
          <w:u w:val="single"/>
        </w:rPr>
        <w:t>Legislative Instrumen</w:t>
      </w:r>
      <w:r w:rsidRPr="009307C7">
        <w:rPr>
          <w:b/>
          <w:sz w:val="24"/>
          <w:u w:val="single"/>
        </w:rPr>
        <w:t>t</w:t>
      </w:r>
      <w:r w:rsidR="006C00EE" w:rsidRPr="009307C7">
        <w:rPr>
          <w:b/>
          <w:sz w:val="24"/>
          <w:u w:val="single"/>
        </w:rPr>
        <w:t xml:space="preserve"> </w:t>
      </w:r>
      <w:r w:rsidR="005C283E" w:rsidRPr="009307C7">
        <w:rPr>
          <w:b/>
          <w:sz w:val="24"/>
          <w:u w:val="single"/>
        </w:rPr>
        <w:t>No</w:t>
      </w:r>
      <w:r w:rsidR="007421EB" w:rsidRPr="009307C7">
        <w:rPr>
          <w:b/>
          <w:sz w:val="24"/>
          <w:u w:val="single"/>
        </w:rPr>
        <w:t>.</w:t>
      </w:r>
      <w:r w:rsidR="00C53FA3" w:rsidRPr="009307C7">
        <w:rPr>
          <w:b/>
          <w:sz w:val="24"/>
          <w:u w:val="single"/>
        </w:rPr>
        <w:t xml:space="preserve"> </w:t>
      </w:r>
      <w:r w:rsidR="00C709A3" w:rsidRPr="009307C7">
        <w:rPr>
          <w:b/>
          <w:sz w:val="24"/>
          <w:u w:val="single"/>
        </w:rPr>
        <w:t>[assigned when lodged]</w:t>
      </w:r>
      <w:r w:rsidR="00E205FA" w:rsidRPr="009307C7">
        <w:rPr>
          <w:b/>
          <w:sz w:val="24"/>
          <w:u w:val="single"/>
        </w:rPr>
        <w:t>,</w:t>
      </w:r>
      <w:r w:rsidR="00A46A7B" w:rsidRPr="00C0284F">
        <w:rPr>
          <w:b/>
          <w:sz w:val="24"/>
          <w:u w:val="single"/>
        </w:rPr>
        <w:t xml:space="preserve"> 20</w:t>
      </w:r>
      <w:r w:rsidR="00FC45D9" w:rsidRPr="00C0284F">
        <w:rPr>
          <w:b/>
          <w:sz w:val="24"/>
          <w:u w:val="single"/>
        </w:rPr>
        <w:t>20</w:t>
      </w:r>
    </w:p>
    <w:p w:rsidR="00A93501" w:rsidRPr="00C0284F" w:rsidRDefault="00A93501" w:rsidP="00A93501">
      <w:pPr>
        <w:jc w:val="center"/>
        <w:rPr>
          <w:sz w:val="24"/>
        </w:rPr>
      </w:pPr>
    </w:p>
    <w:p w:rsidR="00A93501" w:rsidRPr="00C0284F" w:rsidRDefault="00A93501" w:rsidP="00A93501">
      <w:pPr>
        <w:jc w:val="center"/>
        <w:rPr>
          <w:sz w:val="24"/>
        </w:rPr>
      </w:pPr>
      <w:r w:rsidRPr="00C0284F">
        <w:rPr>
          <w:sz w:val="24"/>
        </w:rPr>
        <w:t>Issued by the Authority of the Minister for Foreign Affairs</w:t>
      </w:r>
    </w:p>
    <w:p w:rsidR="00A93501" w:rsidRPr="00C0284F" w:rsidRDefault="00A93501" w:rsidP="00A93501">
      <w:pPr>
        <w:jc w:val="center"/>
        <w:rPr>
          <w:sz w:val="24"/>
        </w:rPr>
      </w:pPr>
    </w:p>
    <w:p w:rsidR="00A93501" w:rsidRPr="00C0284F" w:rsidRDefault="00FC45D9" w:rsidP="00A93501">
      <w:pPr>
        <w:jc w:val="center"/>
        <w:rPr>
          <w:sz w:val="24"/>
        </w:rPr>
      </w:pPr>
      <w:r w:rsidRPr="00C0284F">
        <w:rPr>
          <w:i/>
          <w:sz w:val="24"/>
        </w:rPr>
        <w:t>Chemical Weapons (Prohibition) Act 1994</w:t>
      </w:r>
    </w:p>
    <w:p w:rsidR="00A93501" w:rsidRPr="00C0284F" w:rsidRDefault="00A93501" w:rsidP="00A93501">
      <w:pPr>
        <w:jc w:val="center"/>
        <w:rPr>
          <w:sz w:val="24"/>
        </w:rPr>
      </w:pPr>
    </w:p>
    <w:p w:rsidR="00A93501" w:rsidRPr="00C0284F" w:rsidRDefault="00FC45D9" w:rsidP="00754240">
      <w:pPr>
        <w:jc w:val="center"/>
        <w:rPr>
          <w:i/>
          <w:iCs/>
          <w:sz w:val="24"/>
        </w:rPr>
      </w:pPr>
      <w:r w:rsidRPr="00C0284F">
        <w:rPr>
          <w:i/>
          <w:iCs/>
          <w:sz w:val="24"/>
        </w:rPr>
        <w:t>Chemical Weapons (Prohibition) Amendment (Annex on Chemicals) Regulations 2020</w:t>
      </w:r>
    </w:p>
    <w:p w:rsidR="00A93501" w:rsidRPr="00C0284F" w:rsidRDefault="00A93501" w:rsidP="00A93501">
      <w:pPr>
        <w:rPr>
          <w:sz w:val="24"/>
        </w:rPr>
      </w:pPr>
    </w:p>
    <w:p w:rsidR="00F15455" w:rsidRPr="00C0284F" w:rsidRDefault="00F15455" w:rsidP="00746428">
      <w:pPr>
        <w:spacing w:after="120"/>
        <w:rPr>
          <w:sz w:val="24"/>
        </w:rPr>
      </w:pPr>
      <w:r w:rsidRPr="00C0284F">
        <w:rPr>
          <w:sz w:val="24"/>
        </w:rPr>
        <w:t xml:space="preserve">Australia is party to the Convention on the Prohibition of the Development, Production, Stockpiling and Use of Chemical Weapons and on their Destruction (the Convention) which entered into force generally, and for Australia, on 29 April 1997. The Convention bans the development, production, acquisition, stockpiling, retention, transfer and use of chemical weapons and provides for the destruction of all existing stocks of chemical weapons. </w:t>
      </w:r>
    </w:p>
    <w:p w:rsidR="00011011" w:rsidRPr="00C0284F" w:rsidRDefault="00011011" w:rsidP="00746428">
      <w:pPr>
        <w:spacing w:after="120"/>
        <w:rPr>
          <w:sz w:val="24"/>
        </w:rPr>
      </w:pPr>
      <w:r w:rsidRPr="00C0284F">
        <w:rPr>
          <w:sz w:val="24"/>
        </w:rPr>
        <w:t>The Convention also provides for the production and use of toxic chemicals and precursors for activities not prohibited under the Convention</w:t>
      </w:r>
      <w:r w:rsidR="0026420E" w:rsidRPr="00C0284F">
        <w:rPr>
          <w:sz w:val="24"/>
        </w:rPr>
        <w:t>, including</w:t>
      </w:r>
      <w:r w:rsidRPr="00C0284F">
        <w:rPr>
          <w:sz w:val="24"/>
        </w:rPr>
        <w:t xml:space="preserve"> research, medical, pharmaceutical or protective purposes. Australia’s obligations under the Convention are implemented by the </w:t>
      </w:r>
      <w:r w:rsidRPr="00C0284F">
        <w:rPr>
          <w:i/>
          <w:sz w:val="24"/>
        </w:rPr>
        <w:t>Chemical Weapons (Prohibition) Act 1994</w:t>
      </w:r>
      <w:r w:rsidRPr="00C0284F">
        <w:rPr>
          <w:sz w:val="24"/>
        </w:rPr>
        <w:t xml:space="preserve"> (the Act) and the </w:t>
      </w:r>
      <w:r w:rsidRPr="00C0284F">
        <w:rPr>
          <w:i/>
          <w:sz w:val="24"/>
        </w:rPr>
        <w:t>Chemical Weapons (Prohibition) Regulations 1997</w:t>
      </w:r>
      <w:r w:rsidRPr="00C0284F">
        <w:rPr>
          <w:sz w:val="24"/>
        </w:rPr>
        <w:t xml:space="preserve"> (the Principal Regulations). </w:t>
      </w:r>
    </w:p>
    <w:p w:rsidR="006C00EE" w:rsidRPr="00C0284F" w:rsidRDefault="006C00EE" w:rsidP="00746428">
      <w:pPr>
        <w:spacing w:after="120"/>
        <w:rPr>
          <w:sz w:val="24"/>
        </w:rPr>
      </w:pPr>
      <w:r w:rsidRPr="00C0284F">
        <w:rPr>
          <w:sz w:val="24"/>
        </w:rPr>
        <w:t xml:space="preserve">Section </w:t>
      </w:r>
      <w:r w:rsidR="000D0316" w:rsidRPr="00C0284F">
        <w:rPr>
          <w:sz w:val="24"/>
        </w:rPr>
        <w:t>104</w:t>
      </w:r>
      <w:r w:rsidRPr="00C0284F">
        <w:rPr>
          <w:sz w:val="24"/>
        </w:rPr>
        <w:t xml:space="preserve"> of the Act provides, in part, that the Governor-General may make regulations prescribing matters required or permitted by the Act to be prescribed, or necessary or convenient to be prescribed for carrying </w:t>
      </w:r>
      <w:r w:rsidR="007421EB" w:rsidRPr="00C0284F">
        <w:rPr>
          <w:sz w:val="24"/>
        </w:rPr>
        <w:t>out or giving effect to the Act</w:t>
      </w:r>
      <w:r w:rsidRPr="00C0284F">
        <w:rPr>
          <w:sz w:val="24"/>
        </w:rPr>
        <w:t xml:space="preserve">.  </w:t>
      </w:r>
    </w:p>
    <w:p w:rsidR="00F15455" w:rsidRPr="00C0284F" w:rsidRDefault="00F15455" w:rsidP="00746428">
      <w:pPr>
        <w:spacing w:after="120"/>
        <w:rPr>
          <w:sz w:val="24"/>
        </w:rPr>
      </w:pPr>
      <w:r w:rsidRPr="00C0284F">
        <w:rPr>
          <w:sz w:val="24"/>
        </w:rPr>
        <w:t xml:space="preserve">Subsection 7(1) of the Act provides that the term Convention means “the Convention (including the annexes to the Convention) a copy of the English text of which is set out in the Schedule, as amended by any amendment to the Convention that is accepted by Australia and a copy of the English text of which is set out in the regulations”. </w:t>
      </w:r>
    </w:p>
    <w:p w:rsidR="00746428" w:rsidRPr="00C0284F" w:rsidRDefault="00746428" w:rsidP="00746428">
      <w:pPr>
        <w:spacing w:after="120"/>
        <w:rPr>
          <w:sz w:val="24"/>
        </w:rPr>
      </w:pPr>
      <w:bookmarkStart w:id="0" w:name="_GoBack"/>
      <w:bookmarkEnd w:id="0"/>
      <w:r w:rsidRPr="00C0284F">
        <w:rPr>
          <w:sz w:val="24"/>
        </w:rPr>
        <w:t>The 24</w:t>
      </w:r>
      <w:r w:rsidRPr="00C0284F">
        <w:rPr>
          <w:sz w:val="24"/>
          <w:vertAlign w:val="superscript"/>
        </w:rPr>
        <w:t>th</w:t>
      </w:r>
      <w:r w:rsidRPr="00C0284F">
        <w:rPr>
          <w:sz w:val="24"/>
        </w:rPr>
        <w:t xml:space="preserve"> Conference of States Parties to the Convention </w:t>
      </w:r>
      <w:r w:rsidR="00F453BC" w:rsidRPr="00C0284F">
        <w:rPr>
          <w:sz w:val="24"/>
        </w:rPr>
        <w:t xml:space="preserve">in 2019 decided to </w:t>
      </w:r>
      <w:r w:rsidRPr="00C0284F">
        <w:rPr>
          <w:sz w:val="24"/>
        </w:rPr>
        <w:t>list four additional Schedule 1 chemicals/chemical families in the Annex on Chemicals to the Convention. The chemicals have no known industrial use but could be used for chemical warfare or terrorism purposes.</w:t>
      </w:r>
    </w:p>
    <w:p w:rsidR="00F15455" w:rsidRPr="00C0284F" w:rsidRDefault="00F15455" w:rsidP="00746428">
      <w:pPr>
        <w:spacing w:after="120"/>
        <w:rPr>
          <w:sz w:val="24"/>
        </w:rPr>
      </w:pPr>
      <w:r w:rsidRPr="00C0284F">
        <w:rPr>
          <w:sz w:val="24"/>
        </w:rPr>
        <w:t xml:space="preserve">The </w:t>
      </w:r>
      <w:r w:rsidR="0026420E" w:rsidRPr="00C0284F">
        <w:rPr>
          <w:i/>
          <w:sz w:val="24"/>
        </w:rPr>
        <w:t>Chemical Weapons (Prohibition) Amendment (Annex on Chemicals) Regulations 2020</w:t>
      </w:r>
      <w:r w:rsidR="0026420E" w:rsidRPr="00C0284F">
        <w:rPr>
          <w:sz w:val="24"/>
        </w:rPr>
        <w:t xml:space="preserve"> </w:t>
      </w:r>
      <w:r w:rsidR="00F453BC" w:rsidRPr="00C0284F">
        <w:rPr>
          <w:sz w:val="24"/>
        </w:rPr>
        <w:t xml:space="preserve">are as </w:t>
      </w:r>
      <w:r w:rsidRPr="00C0284F">
        <w:rPr>
          <w:sz w:val="24"/>
        </w:rPr>
        <w:t>set out in the Principal Regulation</w:t>
      </w:r>
      <w:r w:rsidR="00746428" w:rsidRPr="00C0284F">
        <w:rPr>
          <w:sz w:val="24"/>
        </w:rPr>
        <w:t>s</w:t>
      </w:r>
      <w:r w:rsidRPr="00C0284F">
        <w:rPr>
          <w:sz w:val="24"/>
        </w:rPr>
        <w:t xml:space="preserve"> amendments made to the Annex of Chemicals to the Convention on </w:t>
      </w:r>
      <w:r w:rsidR="00812BCC" w:rsidRPr="00C0284F">
        <w:rPr>
          <w:sz w:val="24"/>
        </w:rPr>
        <w:t>27</w:t>
      </w:r>
      <w:r w:rsidRPr="00C0284F">
        <w:rPr>
          <w:sz w:val="24"/>
        </w:rPr>
        <w:t xml:space="preserve"> November 2019</w:t>
      </w:r>
      <w:r w:rsidR="00011011" w:rsidRPr="00C0284F">
        <w:rPr>
          <w:sz w:val="24"/>
        </w:rPr>
        <w:t xml:space="preserve"> and as advised by the Director-General of the Organisation for the Prohibition of Chemical Weapons on </w:t>
      </w:r>
      <w:r w:rsidR="00812BCC" w:rsidRPr="00C0284F">
        <w:rPr>
          <w:sz w:val="24"/>
        </w:rPr>
        <w:t>10</w:t>
      </w:r>
      <w:r w:rsidR="00011011" w:rsidRPr="00C0284F">
        <w:rPr>
          <w:sz w:val="24"/>
        </w:rPr>
        <w:t xml:space="preserve"> December 2019</w:t>
      </w:r>
      <w:r w:rsidRPr="00C0284F">
        <w:rPr>
          <w:sz w:val="24"/>
        </w:rPr>
        <w:t xml:space="preserve">. </w:t>
      </w:r>
      <w:r w:rsidR="00A02D9A" w:rsidRPr="00C0284F">
        <w:rPr>
          <w:sz w:val="24"/>
          <w:szCs w:val="24"/>
        </w:rPr>
        <w:t xml:space="preserve">Details of the Regulations are set out in </w:t>
      </w:r>
      <w:r w:rsidR="00A02D9A" w:rsidRPr="00C0284F">
        <w:rPr>
          <w:sz w:val="24"/>
          <w:szCs w:val="24"/>
          <w:u w:val="single"/>
        </w:rPr>
        <w:t>Attachment A</w:t>
      </w:r>
      <w:r w:rsidR="00A02D9A" w:rsidRPr="00C0284F">
        <w:rPr>
          <w:sz w:val="24"/>
          <w:szCs w:val="24"/>
        </w:rPr>
        <w:t xml:space="preserve">. </w:t>
      </w:r>
    </w:p>
    <w:p w:rsidR="00F11CE1" w:rsidRPr="00C0284F" w:rsidRDefault="00161494" w:rsidP="00746428">
      <w:pPr>
        <w:spacing w:after="120"/>
        <w:rPr>
          <w:sz w:val="24"/>
          <w:szCs w:val="24"/>
        </w:rPr>
      </w:pPr>
      <w:r w:rsidRPr="00C0284F">
        <w:rPr>
          <w:sz w:val="24"/>
          <w:szCs w:val="24"/>
        </w:rPr>
        <w:t>The Of</w:t>
      </w:r>
      <w:r w:rsidR="00F11CE1" w:rsidRPr="00C0284F">
        <w:rPr>
          <w:sz w:val="24"/>
          <w:szCs w:val="24"/>
        </w:rPr>
        <w:t xml:space="preserve">fice of </w:t>
      </w:r>
      <w:r w:rsidR="00251F90" w:rsidRPr="00C0284F">
        <w:rPr>
          <w:sz w:val="24"/>
          <w:szCs w:val="24"/>
        </w:rPr>
        <w:t>Best Practice Regulation</w:t>
      </w:r>
      <w:r w:rsidR="00A02D9A" w:rsidRPr="00C0284F">
        <w:rPr>
          <w:sz w:val="24"/>
          <w:szCs w:val="24"/>
        </w:rPr>
        <w:t xml:space="preserve"> (OBPR)</w:t>
      </w:r>
      <w:r w:rsidR="00F11CE1" w:rsidRPr="00C0284F">
        <w:rPr>
          <w:sz w:val="24"/>
          <w:szCs w:val="24"/>
        </w:rPr>
        <w:t xml:space="preserve"> </w:t>
      </w:r>
      <w:r w:rsidRPr="00C0284F">
        <w:rPr>
          <w:sz w:val="24"/>
          <w:szCs w:val="24"/>
        </w:rPr>
        <w:t xml:space="preserve">advised </w:t>
      </w:r>
      <w:r w:rsidR="00F11CE1" w:rsidRPr="00C0284F">
        <w:rPr>
          <w:sz w:val="24"/>
          <w:szCs w:val="24"/>
        </w:rPr>
        <w:t xml:space="preserve">on </w:t>
      </w:r>
      <w:r w:rsidR="00251F90" w:rsidRPr="00C0284F">
        <w:rPr>
          <w:sz w:val="24"/>
          <w:szCs w:val="24"/>
        </w:rPr>
        <w:t>20</w:t>
      </w:r>
      <w:r w:rsidR="00F11CE1" w:rsidRPr="00C0284F">
        <w:rPr>
          <w:sz w:val="24"/>
          <w:szCs w:val="24"/>
        </w:rPr>
        <w:t xml:space="preserve"> January</w:t>
      </w:r>
      <w:r w:rsidRPr="00C0284F">
        <w:rPr>
          <w:sz w:val="24"/>
          <w:szCs w:val="24"/>
        </w:rPr>
        <w:t xml:space="preserve"> 20</w:t>
      </w:r>
      <w:r w:rsidR="00251F90" w:rsidRPr="00C0284F">
        <w:rPr>
          <w:sz w:val="24"/>
          <w:szCs w:val="24"/>
        </w:rPr>
        <w:t>20</w:t>
      </w:r>
      <w:r w:rsidRPr="00C0284F">
        <w:rPr>
          <w:sz w:val="24"/>
          <w:szCs w:val="24"/>
        </w:rPr>
        <w:t xml:space="preserve"> </w:t>
      </w:r>
      <w:r w:rsidR="00746428" w:rsidRPr="00C0284F">
        <w:rPr>
          <w:sz w:val="24"/>
          <w:szCs w:val="24"/>
        </w:rPr>
        <w:t xml:space="preserve">that </w:t>
      </w:r>
      <w:r w:rsidR="00251F90" w:rsidRPr="00C0284F">
        <w:rPr>
          <w:sz w:val="24"/>
          <w:szCs w:val="24"/>
        </w:rPr>
        <w:t xml:space="preserve">a Regulation Impact Statement (RIS) </w:t>
      </w:r>
      <w:r w:rsidR="00746428" w:rsidRPr="00C0284F">
        <w:rPr>
          <w:sz w:val="24"/>
          <w:szCs w:val="24"/>
        </w:rPr>
        <w:t>was</w:t>
      </w:r>
      <w:r w:rsidR="00251F90" w:rsidRPr="00C0284F">
        <w:rPr>
          <w:sz w:val="24"/>
          <w:szCs w:val="24"/>
        </w:rPr>
        <w:t xml:space="preserve"> not required</w:t>
      </w:r>
      <w:r w:rsidR="00A02D9A" w:rsidRPr="00C0284F">
        <w:rPr>
          <w:sz w:val="24"/>
          <w:szCs w:val="24"/>
        </w:rPr>
        <w:t xml:space="preserve"> (OBPR ID number</w:t>
      </w:r>
      <w:r w:rsidR="00216E4E" w:rsidRPr="00C0284F">
        <w:rPr>
          <w:sz w:val="24"/>
          <w:szCs w:val="24"/>
        </w:rPr>
        <w:t>:</w:t>
      </w:r>
      <w:r w:rsidR="00A02D9A" w:rsidRPr="00C0284F">
        <w:rPr>
          <w:sz w:val="24"/>
          <w:szCs w:val="24"/>
        </w:rPr>
        <w:t xml:space="preserve"> </w:t>
      </w:r>
      <w:r w:rsidR="00216E4E" w:rsidRPr="00C0284F">
        <w:rPr>
          <w:sz w:val="24"/>
          <w:szCs w:val="24"/>
        </w:rPr>
        <w:t>25580</w:t>
      </w:r>
      <w:r w:rsidR="00A02D9A" w:rsidRPr="00C0284F">
        <w:rPr>
          <w:sz w:val="24"/>
          <w:szCs w:val="24"/>
        </w:rPr>
        <w:t>)</w:t>
      </w:r>
      <w:r w:rsidR="00251F90" w:rsidRPr="00C0284F">
        <w:rPr>
          <w:sz w:val="24"/>
          <w:szCs w:val="24"/>
        </w:rPr>
        <w:t>. As there is no known commercial activities involving these chemicals in Australia</w:t>
      </w:r>
      <w:r w:rsidR="00746428" w:rsidRPr="00C0284F">
        <w:rPr>
          <w:sz w:val="24"/>
          <w:szCs w:val="24"/>
        </w:rPr>
        <w:t>,</w:t>
      </w:r>
      <w:r w:rsidR="00251F90" w:rsidRPr="00C0284F">
        <w:rPr>
          <w:sz w:val="24"/>
          <w:szCs w:val="24"/>
        </w:rPr>
        <w:t xml:space="preserve"> regulating the additional chemicals/families of chemicals would likely have no more than a minor impact</w:t>
      </w:r>
      <w:r w:rsidR="00211C0E" w:rsidRPr="00C0284F">
        <w:rPr>
          <w:sz w:val="24"/>
          <w:szCs w:val="24"/>
        </w:rPr>
        <w:t xml:space="preserve">. </w:t>
      </w:r>
      <w:r w:rsidR="00955AC0" w:rsidRPr="00C0284F">
        <w:rPr>
          <w:sz w:val="24"/>
          <w:szCs w:val="24"/>
        </w:rPr>
        <w:t xml:space="preserve">The Australian Safeguards and Non-Proliferation </w:t>
      </w:r>
      <w:r w:rsidR="00747AF2" w:rsidRPr="00C0284F">
        <w:rPr>
          <w:sz w:val="24"/>
          <w:szCs w:val="24"/>
        </w:rPr>
        <w:t>O</w:t>
      </w:r>
      <w:r w:rsidR="00955AC0" w:rsidRPr="00C0284F">
        <w:rPr>
          <w:sz w:val="24"/>
          <w:szCs w:val="24"/>
        </w:rPr>
        <w:t>ffice consulted more than</w:t>
      </w:r>
      <w:r w:rsidR="00746428" w:rsidRPr="00C0284F">
        <w:rPr>
          <w:sz w:val="24"/>
          <w:szCs w:val="24"/>
        </w:rPr>
        <w:t xml:space="preserve"> two hundred </w:t>
      </w:r>
      <w:r w:rsidR="009E5B00" w:rsidRPr="00C0284F">
        <w:rPr>
          <w:sz w:val="24"/>
          <w:szCs w:val="24"/>
        </w:rPr>
        <w:t>organisations</w:t>
      </w:r>
      <w:r w:rsidR="00955AC0" w:rsidRPr="00C0284F">
        <w:rPr>
          <w:sz w:val="24"/>
          <w:szCs w:val="24"/>
        </w:rPr>
        <w:t xml:space="preserve"> before the Conference of States Parties</w:t>
      </w:r>
      <w:r w:rsidR="00350D3C" w:rsidRPr="00C0284F">
        <w:rPr>
          <w:sz w:val="24"/>
          <w:szCs w:val="24"/>
        </w:rPr>
        <w:t xml:space="preserve"> in November 2019</w:t>
      </w:r>
      <w:r w:rsidR="00955AC0" w:rsidRPr="00C0284F">
        <w:rPr>
          <w:sz w:val="24"/>
          <w:szCs w:val="24"/>
        </w:rPr>
        <w:t xml:space="preserve">; </w:t>
      </w:r>
      <w:r w:rsidR="00E12899" w:rsidRPr="00C0284F">
        <w:rPr>
          <w:sz w:val="24"/>
          <w:szCs w:val="24"/>
        </w:rPr>
        <w:t>organisations</w:t>
      </w:r>
      <w:r w:rsidR="00955AC0" w:rsidRPr="00C0284F">
        <w:rPr>
          <w:sz w:val="24"/>
          <w:szCs w:val="24"/>
        </w:rPr>
        <w:t xml:space="preserve"> were provided with an opportunity to comment on the proposed</w:t>
      </w:r>
      <w:r w:rsidR="000D0316" w:rsidRPr="00C0284F">
        <w:rPr>
          <w:sz w:val="24"/>
          <w:szCs w:val="24"/>
        </w:rPr>
        <w:t xml:space="preserve"> addition of new chemicals/chemical families to the Annex of Chemicals to the Convention</w:t>
      </w:r>
      <w:r w:rsidRPr="00C0284F">
        <w:rPr>
          <w:sz w:val="24"/>
          <w:szCs w:val="24"/>
        </w:rPr>
        <w:t>.</w:t>
      </w:r>
      <w:r w:rsidR="00C53FA3" w:rsidRPr="00C0284F">
        <w:rPr>
          <w:sz w:val="24"/>
          <w:szCs w:val="24"/>
        </w:rPr>
        <w:t xml:space="preserve"> No organisation expressed concern about the potential regulation of these chemicals/chemical families. </w:t>
      </w:r>
    </w:p>
    <w:p w:rsidR="000A19C3" w:rsidRPr="00C0284F" w:rsidRDefault="00A02D9A" w:rsidP="00746428">
      <w:pPr>
        <w:spacing w:after="120"/>
        <w:rPr>
          <w:sz w:val="24"/>
          <w:szCs w:val="24"/>
        </w:rPr>
      </w:pPr>
      <w:r w:rsidRPr="00C0284F">
        <w:rPr>
          <w:sz w:val="24"/>
          <w:szCs w:val="24"/>
        </w:rPr>
        <w:t xml:space="preserve">A Statement of Compatibility with Human Rights is included at </w:t>
      </w:r>
      <w:r w:rsidRPr="00C0284F">
        <w:rPr>
          <w:sz w:val="24"/>
          <w:szCs w:val="24"/>
          <w:u w:val="single"/>
        </w:rPr>
        <w:t>Attachment B</w:t>
      </w:r>
      <w:r w:rsidRPr="00C0284F">
        <w:rPr>
          <w:sz w:val="24"/>
          <w:szCs w:val="24"/>
        </w:rPr>
        <w:t xml:space="preserve">. The Regulations have been assessed as compatible with Australia’s human rights obligations as they promote the protection of the applicable rights and freedoms. </w:t>
      </w:r>
    </w:p>
    <w:p w:rsidR="003D73ED" w:rsidRPr="00C0284F" w:rsidRDefault="003D73ED" w:rsidP="00C53FA3">
      <w:pPr>
        <w:spacing w:after="120"/>
        <w:rPr>
          <w:sz w:val="24"/>
          <w:szCs w:val="24"/>
        </w:rPr>
      </w:pPr>
      <w:r w:rsidRPr="00C0284F">
        <w:rPr>
          <w:sz w:val="24"/>
          <w:szCs w:val="24"/>
        </w:rPr>
        <w:t>The Regulation commence</w:t>
      </w:r>
      <w:r w:rsidR="00251F90" w:rsidRPr="00C0284F">
        <w:rPr>
          <w:sz w:val="24"/>
          <w:szCs w:val="24"/>
        </w:rPr>
        <w:t>s</w:t>
      </w:r>
      <w:r w:rsidRPr="00C0284F">
        <w:rPr>
          <w:sz w:val="24"/>
          <w:szCs w:val="24"/>
        </w:rPr>
        <w:t xml:space="preserve"> on </w:t>
      </w:r>
      <w:r w:rsidR="00251F90" w:rsidRPr="00C0284F">
        <w:rPr>
          <w:sz w:val="24"/>
          <w:szCs w:val="24"/>
        </w:rPr>
        <w:t>7 June 2020</w:t>
      </w:r>
      <w:r w:rsidRPr="00C0284F">
        <w:rPr>
          <w:sz w:val="24"/>
          <w:szCs w:val="24"/>
        </w:rPr>
        <w:t xml:space="preserve"> and is a legislative instrument for the purposes of the </w:t>
      </w:r>
      <w:r w:rsidRPr="00C0284F">
        <w:rPr>
          <w:i/>
          <w:sz w:val="24"/>
          <w:szCs w:val="24"/>
        </w:rPr>
        <w:t>Legislative Instruments Act 2003</w:t>
      </w:r>
      <w:r w:rsidRPr="00C0284F">
        <w:rPr>
          <w:sz w:val="24"/>
          <w:szCs w:val="24"/>
        </w:rPr>
        <w:t>.</w:t>
      </w:r>
      <w:r w:rsidRPr="00C0284F">
        <w:rPr>
          <w:sz w:val="24"/>
          <w:szCs w:val="24"/>
        </w:rPr>
        <w:br w:type="page"/>
      </w:r>
    </w:p>
    <w:p w:rsidR="00597C7F" w:rsidRPr="00C0284F" w:rsidRDefault="00597C7F" w:rsidP="00597C7F">
      <w:pPr>
        <w:jc w:val="right"/>
        <w:rPr>
          <w:sz w:val="24"/>
          <w:u w:val="single"/>
        </w:rPr>
      </w:pPr>
      <w:r w:rsidRPr="00C0284F">
        <w:rPr>
          <w:sz w:val="24"/>
          <w:u w:val="single"/>
        </w:rPr>
        <w:lastRenderedPageBreak/>
        <w:t>ATTACHMENT</w:t>
      </w:r>
      <w:r w:rsidR="00A02D9A" w:rsidRPr="00C0284F">
        <w:rPr>
          <w:sz w:val="24"/>
          <w:u w:val="single"/>
        </w:rPr>
        <w:t xml:space="preserve"> A</w:t>
      </w:r>
    </w:p>
    <w:p w:rsidR="00597C7F" w:rsidRPr="00C0284F" w:rsidRDefault="00597C7F" w:rsidP="00597C7F">
      <w:pPr>
        <w:tabs>
          <w:tab w:val="left" w:pos="3686"/>
          <w:tab w:val="left" w:pos="5103"/>
        </w:tabs>
        <w:contextualSpacing/>
        <w:jc w:val="both"/>
        <w:rPr>
          <w:sz w:val="24"/>
          <w:u w:val="single"/>
        </w:rPr>
      </w:pPr>
    </w:p>
    <w:p w:rsidR="00597C7F" w:rsidRPr="00C0284F" w:rsidRDefault="00597C7F" w:rsidP="00597C7F">
      <w:pPr>
        <w:tabs>
          <w:tab w:val="left" w:pos="3686"/>
          <w:tab w:val="left" w:pos="5103"/>
        </w:tabs>
        <w:contextualSpacing/>
        <w:jc w:val="both"/>
        <w:rPr>
          <w:b/>
          <w:sz w:val="24"/>
          <w:szCs w:val="24"/>
          <w:u w:val="single"/>
        </w:rPr>
      </w:pPr>
      <w:r w:rsidRPr="00C0284F">
        <w:rPr>
          <w:b/>
          <w:sz w:val="24"/>
          <w:szCs w:val="24"/>
          <w:u w:val="single"/>
        </w:rPr>
        <w:t xml:space="preserve">Details of the </w:t>
      </w:r>
      <w:r w:rsidR="00FC45D9" w:rsidRPr="00C0284F">
        <w:rPr>
          <w:b/>
          <w:i/>
          <w:sz w:val="24"/>
          <w:szCs w:val="24"/>
          <w:u w:val="single"/>
        </w:rPr>
        <w:t>Chemical Weapons (Prohibition) Amendment (Annex on Chemicals) Regulations 2020</w:t>
      </w:r>
    </w:p>
    <w:p w:rsidR="00597C7F" w:rsidRPr="00C0284F" w:rsidRDefault="00597C7F" w:rsidP="00291FCD">
      <w:pPr>
        <w:rPr>
          <w:sz w:val="24"/>
          <w:szCs w:val="24"/>
        </w:rPr>
      </w:pPr>
    </w:p>
    <w:p w:rsidR="00125402" w:rsidRPr="00C0284F" w:rsidRDefault="00125402" w:rsidP="00125402">
      <w:pPr>
        <w:tabs>
          <w:tab w:val="left" w:pos="3686"/>
          <w:tab w:val="left" w:pos="5103"/>
        </w:tabs>
        <w:contextualSpacing/>
        <w:jc w:val="both"/>
        <w:rPr>
          <w:bCs/>
          <w:sz w:val="24"/>
          <w:szCs w:val="24"/>
          <w:u w:val="single"/>
        </w:rPr>
      </w:pPr>
      <w:r w:rsidRPr="00C0284F">
        <w:rPr>
          <w:bCs/>
          <w:sz w:val="24"/>
          <w:szCs w:val="24"/>
          <w:u w:val="single"/>
        </w:rPr>
        <w:t>Section 1 – Name of the Regulations</w:t>
      </w:r>
    </w:p>
    <w:p w:rsidR="00125402" w:rsidRPr="00C0284F" w:rsidRDefault="00125402" w:rsidP="00125402">
      <w:pPr>
        <w:tabs>
          <w:tab w:val="left" w:pos="3686"/>
          <w:tab w:val="left" w:pos="5103"/>
        </w:tabs>
        <w:ind w:left="284"/>
        <w:contextualSpacing/>
        <w:jc w:val="both"/>
        <w:rPr>
          <w:sz w:val="24"/>
          <w:szCs w:val="24"/>
        </w:rPr>
      </w:pPr>
    </w:p>
    <w:p w:rsidR="00125402" w:rsidRPr="00C0284F" w:rsidRDefault="00125402" w:rsidP="00125402">
      <w:pPr>
        <w:tabs>
          <w:tab w:val="left" w:pos="3686"/>
          <w:tab w:val="left" w:pos="5103"/>
        </w:tabs>
        <w:contextualSpacing/>
        <w:jc w:val="both"/>
        <w:rPr>
          <w:sz w:val="24"/>
          <w:szCs w:val="24"/>
        </w:rPr>
      </w:pPr>
      <w:r w:rsidRPr="00C0284F">
        <w:rPr>
          <w:sz w:val="24"/>
          <w:szCs w:val="24"/>
        </w:rPr>
        <w:t xml:space="preserve">This section would provide that the title of the Regulations is the </w:t>
      </w:r>
      <w:r w:rsidRPr="00C0284F">
        <w:rPr>
          <w:i/>
          <w:iCs/>
          <w:sz w:val="24"/>
          <w:szCs w:val="24"/>
        </w:rPr>
        <w:t>Chemical Weapons (Prohibition) Amendment (Annex on Chemicals) Regulations 2020</w:t>
      </w:r>
      <w:r w:rsidRPr="00C0284F">
        <w:rPr>
          <w:sz w:val="24"/>
          <w:szCs w:val="24"/>
        </w:rPr>
        <w:t xml:space="preserve">. </w:t>
      </w:r>
    </w:p>
    <w:p w:rsidR="00125402" w:rsidRPr="00C0284F" w:rsidRDefault="00125402" w:rsidP="00125402">
      <w:pPr>
        <w:tabs>
          <w:tab w:val="left" w:pos="3686"/>
          <w:tab w:val="left" w:pos="5103"/>
        </w:tabs>
        <w:ind w:left="284"/>
        <w:contextualSpacing/>
        <w:jc w:val="both"/>
        <w:rPr>
          <w:sz w:val="24"/>
          <w:szCs w:val="24"/>
        </w:rPr>
      </w:pPr>
    </w:p>
    <w:p w:rsidR="00125402" w:rsidRPr="00C0284F" w:rsidRDefault="00125402" w:rsidP="00125402">
      <w:pPr>
        <w:tabs>
          <w:tab w:val="left" w:pos="3686"/>
          <w:tab w:val="left" w:pos="5103"/>
        </w:tabs>
        <w:contextualSpacing/>
        <w:jc w:val="both"/>
        <w:rPr>
          <w:bCs/>
          <w:sz w:val="24"/>
          <w:szCs w:val="24"/>
          <w:u w:val="single"/>
        </w:rPr>
      </w:pPr>
      <w:r w:rsidRPr="00C0284F">
        <w:rPr>
          <w:bCs/>
          <w:sz w:val="24"/>
          <w:szCs w:val="24"/>
          <w:u w:val="single"/>
        </w:rPr>
        <w:t xml:space="preserve">Section 2 – Commencement </w:t>
      </w:r>
    </w:p>
    <w:p w:rsidR="00125402" w:rsidRPr="00C0284F" w:rsidRDefault="00125402" w:rsidP="00125402">
      <w:pPr>
        <w:tabs>
          <w:tab w:val="left" w:pos="3686"/>
          <w:tab w:val="left" w:pos="5103"/>
        </w:tabs>
        <w:ind w:left="284"/>
        <w:contextualSpacing/>
        <w:jc w:val="both"/>
        <w:rPr>
          <w:sz w:val="24"/>
          <w:szCs w:val="24"/>
        </w:rPr>
      </w:pPr>
    </w:p>
    <w:p w:rsidR="00125402" w:rsidRPr="00C0284F" w:rsidRDefault="00125402" w:rsidP="00125402">
      <w:pPr>
        <w:tabs>
          <w:tab w:val="left" w:pos="3686"/>
          <w:tab w:val="left" w:pos="5103"/>
        </w:tabs>
        <w:contextualSpacing/>
        <w:jc w:val="both"/>
        <w:rPr>
          <w:sz w:val="24"/>
          <w:szCs w:val="24"/>
        </w:rPr>
      </w:pPr>
      <w:r w:rsidRPr="00C0284F">
        <w:rPr>
          <w:sz w:val="24"/>
          <w:szCs w:val="24"/>
        </w:rPr>
        <w:t xml:space="preserve">This section would provide for the Regulations to commence on 7 June 2020. </w:t>
      </w:r>
    </w:p>
    <w:p w:rsidR="00125402" w:rsidRPr="00C0284F" w:rsidRDefault="00125402" w:rsidP="00125402">
      <w:pPr>
        <w:tabs>
          <w:tab w:val="left" w:pos="3686"/>
          <w:tab w:val="left" w:pos="5103"/>
        </w:tabs>
        <w:ind w:left="284"/>
        <w:contextualSpacing/>
        <w:jc w:val="both"/>
        <w:rPr>
          <w:sz w:val="24"/>
          <w:szCs w:val="24"/>
        </w:rPr>
      </w:pPr>
    </w:p>
    <w:p w:rsidR="00125402" w:rsidRPr="00C0284F" w:rsidRDefault="00125402" w:rsidP="00125402">
      <w:pPr>
        <w:tabs>
          <w:tab w:val="left" w:pos="3686"/>
          <w:tab w:val="left" w:pos="5103"/>
        </w:tabs>
        <w:contextualSpacing/>
        <w:jc w:val="both"/>
        <w:rPr>
          <w:sz w:val="24"/>
          <w:szCs w:val="24"/>
          <w:u w:val="single"/>
        </w:rPr>
      </w:pPr>
      <w:r w:rsidRPr="00C0284F">
        <w:rPr>
          <w:sz w:val="24"/>
          <w:szCs w:val="24"/>
          <w:u w:val="single"/>
        </w:rPr>
        <w:t xml:space="preserve">Section 3 – Authority </w:t>
      </w:r>
    </w:p>
    <w:p w:rsidR="00125402" w:rsidRPr="00C0284F" w:rsidRDefault="00125402" w:rsidP="00125402">
      <w:pPr>
        <w:tabs>
          <w:tab w:val="left" w:pos="3686"/>
          <w:tab w:val="left" w:pos="5103"/>
        </w:tabs>
        <w:ind w:left="284"/>
        <w:contextualSpacing/>
        <w:jc w:val="both"/>
        <w:rPr>
          <w:sz w:val="24"/>
          <w:szCs w:val="24"/>
          <w:highlight w:val="yellow"/>
        </w:rPr>
      </w:pPr>
    </w:p>
    <w:p w:rsidR="00125402" w:rsidRPr="00C0284F" w:rsidRDefault="00125402" w:rsidP="00125402">
      <w:pPr>
        <w:tabs>
          <w:tab w:val="left" w:pos="3686"/>
          <w:tab w:val="left" w:pos="5103"/>
        </w:tabs>
        <w:contextualSpacing/>
        <w:jc w:val="both"/>
        <w:rPr>
          <w:sz w:val="24"/>
          <w:szCs w:val="24"/>
        </w:rPr>
      </w:pPr>
      <w:r w:rsidRPr="00C0284F">
        <w:rPr>
          <w:sz w:val="24"/>
          <w:szCs w:val="24"/>
        </w:rPr>
        <w:t xml:space="preserve">This section would provide that the Regulation is made under the authority of the </w:t>
      </w:r>
      <w:r w:rsidRPr="00C0284F">
        <w:rPr>
          <w:i/>
          <w:sz w:val="24"/>
          <w:szCs w:val="24"/>
        </w:rPr>
        <w:t>Chemical Weapons (Prohibition) Act 1994</w:t>
      </w:r>
      <w:r w:rsidRPr="00C0284F">
        <w:rPr>
          <w:sz w:val="24"/>
          <w:szCs w:val="24"/>
        </w:rPr>
        <w:t>.</w:t>
      </w:r>
    </w:p>
    <w:p w:rsidR="00125402" w:rsidRPr="00C0284F" w:rsidRDefault="00125402" w:rsidP="00125402">
      <w:pPr>
        <w:tabs>
          <w:tab w:val="left" w:pos="3686"/>
          <w:tab w:val="left" w:pos="5103"/>
        </w:tabs>
        <w:ind w:left="284"/>
        <w:contextualSpacing/>
        <w:jc w:val="both"/>
        <w:rPr>
          <w:sz w:val="24"/>
          <w:szCs w:val="24"/>
          <w:highlight w:val="yellow"/>
        </w:rPr>
      </w:pPr>
    </w:p>
    <w:p w:rsidR="00125402" w:rsidRPr="00C0284F" w:rsidRDefault="00125402" w:rsidP="00125402">
      <w:pPr>
        <w:tabs>
          <w:tab w:val="left" w:pos="3686"/>
          <w:tab w:val="left" w:pos="5103"/>
        </w:tabs>
        <w:contextualSpacing/>
        <w:jc w:val="both"/>
        <w:rPr>
          <w:sz w:val="24"/>
          <w:szCs w:val="24"/>
          <w:u w:val="single"/>
        </w:rPr>
      </w:pPr>
      <w:r w:rsidRPr="00C0284F">
        <w:rPr>
          <w:sz w:val="24"/>
          <w:szCs w:val="24"/>
          <w:u w:val="single"/>
        </w:rPr>
        <w:t xml:space="preserve">Section 4 – Schedules </w:t>
      </w:r>
    </w:p>
    <w:p w:rsidR="00125402" w:rsidRPr="00C0284F" w:rsidRDefault="00125402" w:rsidP="00125402">
      <w:pPr>
        <w:tabs>
          <w:tab w:val="left" w:pos="3686"/>
          <w:tab w:val="left" w:pos="5103"/>
        </w:tabs>
        <w:ind w:left="284"/>
        <w:contextualSpacing/>
        <w:jc w:val="both"/>
        <w:rPr>
          <w:sz w:val="24"/>
          <w:szCs w:val="24"/>
        </w:rPr>
      </w:pPr>
    </w:p>
    <w:p w:rsidR="00125402" w:rsidRPr="00C0284F" w:rsidRDefault="00125402" w:rsidP="00125402">
      <w:pPr>
        <w:tabs>
          <w:tab w:val="left" w:pos="3686"/>
          <w:tab w:val="left" w:pos="5103"/>
        </w:tabs>
        <w:contextualSpacing/>
        <w:jc w:val="both"/>
        <w:rPr>
          <w:sz w:val="24"/>
          <w:szCs w:val="24"/>
        </w:rPr>
      </w:pPr>
      <w:r w:rsidRPr="00C0284F">
        <w:rPr>
          <w:sz w:val="24"/>
          <w:szCs w:val="24"/>
        </w:rPr>
        <w:t xml:space="preserve">This section would provide that each instrument that is specified in a Schedule to this instrument is amended or repealed as set out in the applicable items in the Schedule concerned, and any other item in a Schedule to this instrument has effect according to its terms. </w:t>
      </w:r>
    </w:p>
    <w:p w:rsidR="00125402" w:rsidRPr="00C0284F" w:rsidRDefault="00125402" w:rsidP="00125402">
      <w:pPr>
        <w:tabs>
          <w:tab w:val="left" w:pos="3686"/>
          <w:tab w:val="left" w:pos="5103"/>
        </w:tabs>
        <w:ind w:left="284"/>
        <w:contextualSpacing/>
        <w:jc w:val="both"/>
        <w:rPr>
          <w:sz w:val="24"/>
          <w:szCs w:val="24"/>
          <w:u w:val="single"/>
        </w:rPr>
      </w:pPr>
    </w:p>
    <w:p w:rsidR="00125402" w:rsidRPr="00C0284F" w:rsidRDefault="00125402" w:rsidP="00125402">
      <w:pPr>
        <w:tabs>
          <w:tab w:val="left" w:pos="3686"/>
          <w:tab w:val="left" w:pos="5103"/>
        </w:tabs>
        <w:contextualSpacing/>
        <w:jc w:val="both"/>
        <w:rPr>
          <w:sz w:val="24"/>
          <w:szCs w:val="24"/>
          <w:u w:val="single"/>
        </w:rPr>
      </w:pPr>
      <w:r w:rsidRPr="00C0284F">
        <w:rPr>
          <w:sz w:val="24"/>
          <w:szCs w:val="24"/>
          <w:u w:val="single"/>
        </w:rPr>
        <w:t xml:space="preserve">Schedule 1 – Amendments </w:t>
      </w:r>
    </w:p>
    <w:p w:rsidR="00125402" w:rsidRPr="00C0284F" w:rsidRDefault="00125402" w:rsidP="00125402">
      <w:pPr>
        <w:tabs>
          <w:tab w:val="left" w:pos="3686"/>
          <w:tab w:val="left" w:pos="5103"/>
        </w:tabs>
        <w:ind w:left="284"/>
        <w:contextualSpacing/>
        <w:jc w:val="both"/>
        <w:rPr>
          <w:sz w:val="24"/>
          <w:szCs w:val="24"/>
          <w:highlight w:val="yellow"/>
        </w:rPr>
      </w:pPr>
    </w:p>
    <w:p w:rsidR="00125402" w:rsidRPr="00C0284F" w:rsidRDefault="00125402" w:rsidP="00125402">
      <w:pPr>
        <w:tabs>
          <w:tab w:val="left" w:pos="3686"/>
          <w:tab w:val="left" w:pos="5103"/>
        </w:tabs>
        <w:contextualSpacing/>
        <w:jc w:val="both"/>
        <w:rPr>
          <w:sz w:val="24"/>
          <w:szCs w:val="24"/>
        </w:rPr>
      </w:pPr>
      <w:r w:rsidRPr="00C0284F">
        <w:rPr>
          <w:sz w:val="24"/>
          <w:szCs w:val="24"/>
        </w:rPr>
        <w:t>This schedule inserts four chemicals/classes of chemicals into the Annex of Chemicals to the Convention</w:t>
      </w:r>
      <w:r w:rsidR="00A9160C" w:rsidRPr="00C0284F">
        <w:rPr>
          <w:sz w:val="24"/>
          <w:szCs w:val="24"/>
        </w:rPr>
        <w:t>.</w:t>
      </w:r>
      <w:r w:rsidR="00A9160C" w:rsidRPr="00C0284F">
        <w:t xml:space="preserve"> </w:t>
      </w:r>
      <w:r w:rsidR="00A9160C" w:rsidRPr="00C0284F">
        <w:rPr>
          <w:sz w:val="24"/>
          <w:szCs w:val="24"/>
        </w:rPr>
        <w:t xml:space="preserve">The changes were approved by the Conference of the States Parties to the Convention on 27 November 2019 and will enter into force for all States Parties on 7 June 2020. </w:t>
      </w:r>
      <w:r w:rsidRPr="00C0284F">
        <w:rPr>
          <w:sz w:val="24"/>
          <w:szCs w:val="24"/>
        </w:rPr>
        <w:t xml:space="preserve"> </w:t>
      </w:r>
    </w:p>
    <w:p w:rsidR="00125402" w:rsidRPr="00C0284F" w:rsidRDefault="00125402" w:rsidP="00125402">
      <w:pPr>
        <w:tabs>
          <w:tab w:val="left" w:pos="3686"/>
          <w:tab w:val="left" w:pos="5103"/>
        </w:tabs>
        <w:ind w:left="284"/>
        <w:contextualSpacing/>
        <w:jc w:val="both"/>
        <w:rPr>
          <w:sz w:val="24"/>
          <w:szCs w:val="24"/>
          <w:u w:val="single"/>
        </w:rPr>
      </w:pPr>
    </w:p>
    <w:p w:rsidR="00A02D9A" w:rsidRPr="00C0284F" w:rsidRDefault="00A02D9A" w:rsidP="00291FCD">
      <w:pPr>
        <w:rPr>
          <w:sz w:val="24"/>
          <w:szCs w:val="24"/>
        </w:rPr>
      </w:pPr>
    </w:p>
    <w:p w:rsidR="00A02D9A" w:rsidRPr="00C0284F" w:rsidRDefault="00A02D9A" w:rsidP="00291FCD">
      <w:pPr>
        <w:rPr>
          <w:sz w:val="24"/>
          <w:szCs w:val="24"/>
        </w:rPr>
      </w:pPr>
      <w:r w:rsidRPr="00C0284F">
        <w:rPr>
          <w:sz w:val="24"/>
          <w:szCs w:val="24"/>
        </w:rPr>
        <w:br w:type="page"/>
      </w:r>
    </w:p>
    <w:p w:rsidR="00A02D9A" w:rsidRPr="00C0284F" w:rsidRDefault="00A02D9A" w:rsidP="00A02D9A">
      <w:pPr>
        <w:jc w:val="right"/>
        <w:rPr>
          <w:sz w:val="24"/>
          <w:u w:val="single"/>
        </w:rPr>
      </w:pPr>
      <w:r w:rsidRPr="00C0284F">
        <w:rPr>
          <w:sz w:val="24"/>
          <w:u w:val="single"/>
        </w:rPr>
        <w:lastRenderedPageBreak/>
        <w:t>ATTACHMENT B</w:t>
      </w:r>
    </w:p>
    <w:p w:rsidR="00A02D9A" w:rsidRPr="00C0284F" w:rsidRDefault="00A02D9A" w:rsidP="00291FCD">
      <w:pPr>
        <w:rPr>
          <w:sz w:val="24"/>
          <w:szCs w:val="24"/>
        </w:rPr>
      </w:pPr>
    </w:p>
    <w:p w:rsidR="00A02D9A" w:rsidRPr="00C0284F" w:rsidRDefault="00A02D9A" w:rsidP="00A02D9A">
      <w:pPr>
        <w:spacing w:before="360" w:after="120"/>
        <w:jc w:val="center"/>
        <w:outlineLvl w:val="1"/>
        <w:rPr>
          <w:rFonts w:eastAsia="Calibri"/>
          <w:b/>
          <w:sz w:val="28"/>
          <w:szCs w:val="28"/>
          <w:lang w:eastAsia="en-US"/>
        </w:rPr>
      </w:pPr>
      <w:r w:rsidRPr="00C0284F">
        <w:rPr>
          <w:rFonts w:eastAsia="Calibri"/>
          <w:b/>
          <w:sz w:val="28"/>
          <w:szCs w:val="28"/>
          <w:lang w:eastAsia="en-US"/>
        </w:rPr>
        <w:t>Statement of Compatibility with Human Rights</w:t>
      </w:r>
    </w:p>
    <w:p w:rsidR="00A02D9A" w:rsidRPr="00C0284F" w:rsidRDefault="00A02D9A" w:rsidP="00A02D9A">
      <w:pPr>
        <w:spacing w:before="120" w:after="120"/>
        <w:jc w:val="center"/>
        <w:rPr>
          <w:rFonts w:eastAsia="Calibri"/>
          <w:sz w:val="24"/>
          <w:szCs w:val="24"/>
          <w:lang w:eastAsia="en-US"/>
        </w:rPr>
      </w:pPr>
      <w:r w:rsidRPr="00C0284F">
        <w:rPr>
          <w:rFonts w:eastAsia="Calibri"/>
          <w:i/>
          <w:sz w:val="24"/>
          <w:szCs w:val="24"/>
          <w:lang w:eastAsia="en-US"/>
        </w:rPr>
        <w:t>Prepared in accordance with Part 3 of the Human Rights (Parliamentary Scrutiny) Act 2011</w:t>
      </w:r>
    </w:p>
    <w:p w:rsidR="00A02D9A" w:rsidRPr="00C0284F" w:rsidRDefault="00A02D9A" w:rsidP="00A02D9A">
      <w:pPr>
        <w:spacing w:before="120" w:after="120"/>
        <w:jc w:val="center"/>
        <w:rPr>
          <w:rFonts w:eastAsia="Calibri"/>
          <w:sz w:val="24"/>
          <w:szCs w:val="24"/>
          <w:lang w:eastAsia="en-US"/>
        </w:rPr>
      </w:pPr>
    </w:p>
    <w:p w:rsidR="00A02D9A" w:rsidRPr="00C0284F" w:rsidRDefault="00A02D9A" w:rsidP="00A02D9A">
      <w:pPr>
        <w:spacing w:after="200" w:line="276" w:lineRule="auto"/>
        <w:ind w:left="567"/>
        <w:contextualSpacing/>
        <w:rPr>
          <w:rFonts w:eastAsia="Calibri"/>
          <w:i/>
          <w:sz w:val="24"/>
          <w:szCs w:val="24"/>
          <w:lang w:eastAsia="en-US"/>
        </w:rPr>
      </w:pPr>
      <w:r w:rsidRPr="00C0284F">
        <w:rPr>
          <w:rFonts w:eastAsia="Calibri"/>
          <w:i/>
          <w:sz w:val="24"/>
          <w:szCs w:val="24"/>
          <w:lang w:eastAsia="en-US"/>
        </w:rPr>
        <w:t>Chemical Weapons (Prohibition) Amendment (Annex on Chemicals) Regulations 2020</w:t>
      </w:r>
    </w:p>
    <w:p w:rsidR="00A02D9A" w:rsidRPr="00C0284F" w:rsidRDefault="00A02D9A" w:rsidP="00A02D9A">
      <w:pPr>
        <w:spacing w:before="120" w:after="120"/>
        <w:jc w:val="both"/>
        <w:rPr>
          <w:rFonts w:eastAsia="Calibri"/>
          <w:sz w:val="24"/>
          <w:szCs w:val="24"/>
          <w:lang w:eastAsia="en-US"/>
        </w:rPr>
      </w:pPr>
    </w:p>
    <w:p w:rsidR="00A02D9A" w:rsidRPr="00C0284F" w:rsidRDefault="00A02D9A" w:rsidP="00A02D9A">
      <w:pPr>
        <w:spacing w:before="120" w:after="200"/>
        <w:jc w:val="both"/>
        <w:rPr>
          <w:rFonts w:eastAsia="Calibri"/>
          <w:sz w:val="24"/>
          <w:szCs w:val="24"/>
          <w:lang w:eastAsia="en-US"/>
        </w:rPr>
      </w:pPr>
      <w:r w:rsidRPr="00C0284F">
        <w:rPr>
          <w:rFonts w:eastAsia="Calibri"/>
          <w:sz w:val="24"/>
          <w:szCs w:val="24"/>
          <w:lang w:eastAsia="en-US"/>
        </w:rPr>
        <w:t xml:space="preserve">This Disallowable Legislative Instrument is compatible with the human rights and freedoms recognised or declared in the international instruments listed in section 3 of the </w:t>
      </w:r>
      <w:r w:rsidRPr="00C0284F">
        <w:rPr>
          <w:rFonts w:eastAsia="Calibri"/>
          <w:i/>
          <w:sz w:val="24"/>
          <w:szCs w:val="24"/>
          <w:lang w:eastAsia="en-US"/>
        </w:rPr>
        <w:t>Human Rights (Parliamentary Scrutiny) Act 2011</w:t>
      </w:r>
      <w:r w:rsidRPr="00C0284F">
        <w:rPr>
          <w:rFonts w:eastAsia="Calibri"/>
          <w:sz w:val="24"/>
          <w:szCs w:val="24"/>
          <w:lang w:eastAsia="en-US"/>
        </w:rPr>
        <w:t>.</w:t>
      </w:r>
    </w:p>
    <w:p w:rsidR="00A02D9A" w:rsidRPr="00C0284F" w:rsidRDefault="00A02D9A" w:rsidP="00A02D9A">
      <w:pPr>
        <w:spacing w:after="200"/>
        <w:jc w:val="both"/>
        <w:outlineLvl w:val="2"/>
        <w:rPr>
          <w:rFonts w:eastAsia="Calibri"/>
          <w:b/>
          <w:sz w:val="24"/>
          <w:szCs w:val="24"/>
          <w:lang w:eastAsia="en-US"/>
        </w:rPr>
      </w:pPr>
      <w:r w:rsidRPr="00C0284F">
        <w:rPr>
          <w:rFonts w:eastAsia="Calibri"/>
          <w:b/>
          <w:sz w:val="24"/>
          <w:szCs w:val="24"/>
          <w:lang w:eastAsia="en-US"/>
        </w:rPr>
        <w:t>Overview of the Disallowable Legislative Instrument</w:t>
      </w:r>
    </w:p>
    <w:p w:rsidR="00A02D9A" w:rsidRPr="00C0284F" w:rsidRDefault="00A02D9A" w:rsidP="00A02D9A">
      <w:pPr>
        <w:spacing w:after="200" w:line="276" w:lineRule="auto"/>
        <w:jc w:val="both"/>
        <w:rPr>
          <w:rFonts w:eastAsia="Calibri"/>
          <w:sz w:val="24"/>
          <w:szCs w:val="24"/>
          <w:lang w:eastAsia="en-US"/>
        </w:rPr>
      </w:pPr>
      <w:r w:rsidRPr="00C0284F">
        <w:rPr>
          <w:rFonts w:eastAsia="Calibri"/>
          <w:sz w:val="24"/>
          <w:szCs w:val="24"/>
          <w:lang w:eastAsia="en-US"/>
        </w:rPr>
        <w:t xml:space="preserve">The </w:t>
      </w:r>
      <w:r w:rsidRPr="00C0284F">
        <w:rPr>
          <w:rFonts w:eastAsia="Calibri"/>
          <w:i/>
          <w:sz w:val="24"/>
          <w:szCs w:val="24"/>
          <w:lang w:eastAsia="en-US"/>
        </w:rPr>
        <w:t xml:space="preserve">Chemical Weapons (Prohibition) Act 1994 </w:t>
      </w:r>
      <w:r w:rsidRPr="00C0284F">
        <w:rPr>
          <w:rFonts w:eastAsia="Calibri"/>
          <w:sz w:val="24"/>
          <w:szCs w:val="24"/>
          <w:lang w:eastAsia="en-US"/>
        </w:rPr>
        <w:t>(the Act) gives effect to certain obligations that Australia has to the Convention on the Prohibition of the Development, Production, Stockpiling and Use of Chemical Weapons and on their Destruction (the Convention).</w:t>
      </w:r>
    </w:p>
    <w:p w:rsidR="00A02D9A" w:rsidRPr="00C0284F" w:rsidRDefault="00A02D9A" w:rsidP="00A02D9A">
      <w:pPr>
        <w:spacing w:after="200" w:line="276" w:lineRule="auto"/>
        <w:jc w:val="both"/>
        <w:rPr>
          <w:rFonts w:eastAsia="Calibri"/>
          <w:sz w:val="24"/>
          <w:szCs w:val="24"/>
          <w:lang w:eastAsia="en-US"/>
        </w:rPr>
      </w:pPr>
      <w:r w:rsidRPr="00C0284F">
        <w:rPr>
          <w:rFonts w:eastAsia="Calibri"/>
          <w:sz w:val="24"/>
          <w:szCs w:val="24"/>
          <w:lang w:eastAsia="en-US"/>
        </w:rPr>
        <w:t xml:space="preserve">On the 27 November 2019, the Annex of Chemicals to the Convention was amended to include new </w:t>
      </w:r>
      <w:r w:rsidR="00830D10" w:rsidRPr="00C0284F">
        <w:rPr>
          <w:rFonts w:eastAsia="Calibri"/>
          <w:sz w:val="24"/>
          <w:szCs w:val="24"/>
          <w:lang w:eastAsia="en-US"/>
        </w:rPr>
        <w:t xml:space="preserve">chemicals and </w:t>
      </w:r>
      <w:r w:rsidRPr="00C0284F">
        <w:rPr>
          <w:rFonts w:eastAsia="Calibri"/>
          <w:sz w:val="24"/>
          <w:szCs w:val="24"/>
          <w:lang w:eastAsia="en-US"/>
        </w:rPr>
        <w:t xml:space="preserve">classes of chemical nerve agents known as ‘Novichok’ agents. The changes proposed in the </w:t>
      </w:r>
      <w:r w:rsidRPr="00C0284F">
        <w:rPr>
          <w:rFonts w:eastAsia="Calibri"/>
          <w:i/>
          <w:sz w:val="24"/>
          <w:szCs w:val="24"/>
          <w:lang w:eastAsia="en-US"/>
        </w:rPr>
        <w:t xml:space="preserve">Chemical Weapons (Prohibition) Amendment (Annex on Chemicals) Regulations 2020 </w:t>
      </w:r>
      <w:r w:rsidRPr="00C0284F">
        <w:rPr>
          <w:rFonts w:eastAsia="Calibri"/>
          <w:sz w:val="24"/>
          <w:szCs w:val="24"/>
          <w:lang w:eastAsia="en-US"/>
        </w:rPr>
        <w:t xml:space="preserve">seek to implement the amendments to Annex of Chemicals to the Convention for Australia to include four new classes off chemicals known as ‘Novichok’ agents.  </w:t>
      </w:r>
    </w:p>
    <w:p w:rsidR="00A02D9A" w:rsidRPr="00C0284F" w:rsidRDefault="00A02D9A" w:rsidP="00A02D9A">
      <w:pPr>
        <w:spacing w:after="200"/>
        <w:jc w:val="both"/>
        <w:outlineLvl w:val="2"/>
        <w:rPr>
          <w:rFonts w:eastAsia="Calibri"/>
          <w:b/>
          <w:sz w:val="24"/>
          <w:szCs w:val="24"/>
          <w:lang w:eastAsia="en-US"/>
        </w:rPr>
      </w:pPr>
      <w:r w:rsidRPr="00C0284F">
        <w:rPr>
          <w:rFonts w:eastAsia="Calibri"/>
          <w:b/>
          <w:sz w:val="24"/>
          <w:szCs w:val="24"/>
          <w:lang w:eastAsia="en-US"/>
        </w:rPr>
        <w:t>Human rights implications</w:t>
      </w:r>
    </w:p>
    <w:p w:rsidR="00A02D9A" w:rsidRPr="00C0284F" w:rsidRDefault="00A02D9A" w:rsidP="00A02D9A">
      <w:pPr>
        <w:spacing w:before="120" w:after="120"/>
        <w:jc w:val="both"/>
        <w:rPr>
          <w:rFonts w:eastAsia="Calibri"/>
          <w:sz w:val="24"/>
          <w:szCs w:val="24"/>
          <w:lang w:eastAsia="en-US"/>
        </w:rPr>
      </w:pPr>
      <w:r w:rsidRPr="00C0284F">
        <w:rPr>
          <w:rFonts w:eastAsia="Calibri"/>
          <w:sz w:val="24"/>
          <w:szCs w:val="24"/>
          <w:lang w:eastAsia="en-US"/>
        </w:rPr>
        <w:t>This Disallowable Legislative Instrument engages the following rights:</w:t>
      </w:r>
    </w:p>
    <w:p w:rsidR="00A02D9A" w:rsidRPr="00C0284F" w:rsidRDefault="00A02D9A" w:rsidP="00A02D9A">
      <w:pPr>
        <w:numPr>
          <w:ilvl w:val="0"/>
          <w:numId w:val="25"/>
        </w:numPr>
        <w:spacing w:after="200" w:line="276" w:lineRule="auto"/>
        <w:jc w:val="both"/>
        <w:rPr>
          <w:rFonts w:eastAsia="Calibri"/>
          <w:sz w:val="24"/>
          <w:szCs w:val="24"/>
          <w:lang w:eastAsia="en-US"/>
        </w:rPr>
      </w:pPr>
      <w:r w:rsidRPr="00C0284F">
        <w:rPr>
          <w:rFonts w:eastAsia="Calibri"/>
          <w:sz w:val="24"/>
          <w:szCs w:val="24"/>
          <w:lang w:eastAsia="en-US"/>
        </w:rPr>
        <w:t>Article 6(1) of the International Covenant on Civil and Political Rights (ICCPR) – Right to life</w:t>
      </w:r>
    </w:p>
    <w:p w:rsidR="00A02D9A" w:rsidRPr="00C0284F" w:rsidRDefault="00A02D9A" w:rsidP="00A02D9A">
      <w:pPr>
        <w:numPr>
          <w:ilvl w:val="0"/>
          <w:numId w:val="25"/>
        </w:numPr>
        <w:spacing w:after="200" w:line="276" w:lineRule="auto"/>
        <w:jc w:val="both"/>
        <w:rPr>
          <w:rFonts w:eastAsia="Calibri"/>
          <w:sz w:val="24"/>
          <w:szCs w:val="24"/>
          <w:lang w:eastAsia="en-US"/>
        </w:rPr>
      </w:pPr>
      <w:r w:rsidRPr="00C0284F">
        <w:rPr>
          <w:rFonts w:eastAsia="Calibri"/>
          <w:sz w:val="24"/>
          <w:szCs w:val="24"/>
          <w:lang w:eastAsia="en-US"/>
        </w:rPr>
        <w:t xml:space="preserve">Article 7 of the ICCPR, and the Convention Against Torture (CAT) – Prohibition on torture and cruel, inhuman and degrading treatment or punishment. </w:t>
      </w:r>
    </w:p>
    <w:p w:rsidR="00A02D9A" w:rsidRPr="00C0284F" w:rsidRDefault="00A02D9A" w:rsidP="00A02D9A">
      <w:pPr>
        <w:spacing w:after="200" w:line="276" w:lineRule="auto"/>
        <w:jc w:val="both"/>
        <w:rPr>
          <w:rFonts w:eastAsia="Calibri"/>
          <w:b/>
          <w:sz w:val="24"/>
          <w:szCs w:val="24"/>
          <w:lang w:eastAsia="en-US"/>
        </w:rPr>
      </w:pPr>
      <w:r w:rsidRPr="00C0284F">
        <w:rPr>
          <w:rFonts w:eastAsia="Calibri"/>
          <w:b/>
          <w:sz w:val="24"/>
          <w:szCs w:val="24"/>
          <w:lang w:eastAsia="en-US"/>
        </w:rPr>
        <w:t xml:space="preserve">Right to life and the prohibition on torture and cruel, inhuman and degrading treatment or punishment </w:t>
      </w:r>
    </w:p>
    <w:p w:rsidR="00A02D9A" w:rsidRPr="00C0284F" w:rsidRDefault="00A02D9A" w:rsidP="00A02D9A">
      <w:pPr>
        <w:spacing w:before="120" w:line="276" w:lineRule="auto"/>
        <w:jc w:val="both"/>
        <w:rPr>
          <w:rFonts w:eastAsia="Calibri"/>
          <w:sz w:val="24"/>
          <w:szCs w:val="24"/>
          <w:lang w:eastAsia="en-US"/>
        </w:rPr>
      </w:pPr>
      <w:r w:rsidRPr="00C0284F">
        <w:rPr>
          <w:rFonts w:eastAsia="Calibri"/>
          <w:sz w:val="24"/>
          <w:szCs w:val="24"/>
          <w:lang w:eastAsia="en-US"/>
        </w:rPr>
        <w:t xml:space="preserve">Article 6(1) states that every human being has the inherent right to life. The right to life prohibits countries and agents of countries from depriving a person of life arbitrarily or unlawfully. It obliges countries to take appropriate steps to protect the right to life, investigate arbitrary or unlawful killings and punish offenders. </w:t>
      </w:r>
    </w:p>
    <w:p w:rsidR="00A02D9A" w:rsidRPr="00D97978" w:rsidRDefault="00A02D9A" w:rsidP="00A02D9A">
      <w:pPr>
        <w:spacing w:before="120"/>
        <w:jc w:val="both"/>
        <w:rPr>
          <w:rFonts w:eastAsia="Calibri"/>
          <w:sz w:val="24"/>
          <w:szCs w:val="24"/>
          <w:lang w:eastAsia="en-US"/>
        </w:rPr>
      </w:pPr>
      <w:r w:rsidRPr="00C0284F">
        <w:rPr>
          <w:rFonts w:eastAsia="Calibri"/>
          <w:sz w:val="24"/>
          <w:szCs w:val="24"/>
          <w:lang w:eastAsia="en-US"/>
        </w:rPr>
        <w:t xml:space="preserve">Article 7 of the ICCPR and the CAT contain the prohibition on torture or cruel, inhuman or degrading treatment or punishment. </w:t>
      </w:r>
    </w:p>
    <w:p w:rsidR="00A02D9A" w:rsidRPr="00D97978" w:rsidRDefault="00A02D9A" w:rsidP="00A02D9A">
      <w:pPr>
        <w:spacing w:before="120" w:line="276" w:lineRule="auto"/>
        <w:jc w:val="both"/>
        <w:rPr>
          <w:rFonts w:eastAsia="Calibri"/>
          <w:sz w:val="24"/>
          <w:szCs w:val="24"/>
          <w:lang w:eastAsia="en-US"/>
        </w:rPr>
      </w:pPr>
      <w:r w:rsidRPr="00D97978">
        <w:rPr>
          <w:rFonts w:eastAsia="Calibri"/>
          <w:sz w:val="24"/>
          <w:szCs w:val="24"/>
          <w:lang w:eastAsia="en-US"/>
        </w:rPr>
        <w:t xml:space="preserve">Novichok nerve agents are chemicals that have no known industrial use, but can cause severe pain, incapacitation and death upon exposure. Novichok nerve agents are both highly toxic and highly persistent in the environment.  A single use of these chemicals against a population can lead to gross contamination and can cause multiple exposures over a prolonged period. Unregulated, Novichok nerve agents would limit the right to life and the prohibition on torture and cruel, inhuman and degrading treatment of punishment (ill treatment).  </w:t>
      </w:r>
    </w:p>
    <w:p w:rsidR="00A02D9A" w:rsidRPr="00D97978" w:rsidRDefault="00A02D9A" w:rsidP="00A02D9A">
      <w:pPr>
        <w:spacing w:before="120" w:line="276" w:lineRule="auto"/>
        <w:jc w:val="both"/>
        <w:rPr>
          <w:rFonts w:eastAsia="Calibri"/>
          <w:sz w:val="24"/>
          <w:szCs w:val="24"/>
          <w:lang w:eastAsia="en-US"/>
        </w:rPr>
      </w:pPr>
      <w:r w:rsidRPr="00D97978">
        <w:rPr>
          <w:rFonts w:eastAsia="Calibri"/>
          <w:sz w:val="24"/>
          <w:szCs w:val="24"/>
          <w:lang w:eastAsia="en-US"/>
        </w:rPr>
        <w:lastRenderedPageBreak/>
        <w:t xml:space="preserve">These nerve agents came to international attention and condemnation when used in an attempted assassination in the United Kingdom in 2018. Exposure to the Novichok nerve agent resulted in one fatality and the severe pain and suffering of a number of other people, including the intended target, his daughter and a first responder.  </w:t>
      </w:r>
    </w:p>
    <w:p w:rsidR="00A02D9A" w:rsidRPr="00D97978" w:rsidRDefault="00A02D9A" w:rsidP="00A02D9A">
      <w:pPr>
        <w:spacing w:before="120" w:line="276" w:lineRule="auto"/>
        <w:jc w:val="both"/>
        <w:rPr>
          <w:rFonts w:eastAsia="Calibri"/>
          <w:sz w:val="24"/>
          <w:szCs w:val="24"/>
          <w:lang w:eastAsia="en-US"/>
        </w:rPr>
      </w:pPr>
      <w:r w:rsidRPr="00D97978">
        <w:rPr>
          <w:rFonts w:eastAsia="Calibri"/>
          <w:sz w:val="24"/>
          <w:szCs w:val="24"/>
          <w:lang w:eastAsia="en-US"/>
        </w:rPr>
        <w:t xml:space="preserve">The Novichok incidents in Salisbury and Amesbury in 2018 cost the United Kingdom millions of pounds in response, treatment and decontamination. With no known industrial use, but a high potential for these chemical nerve agents to cause pain, injury and loss of life, the States Parties to the Convention voted in November 2019 to add them to the Annex on Chemicals controlled under the Convention. Through the proposed amendment regulations, Australia seeks to update the </w:t>
      </w:r>
      <w:r w:rsidRPr="00D97978">
        <w:rPr>
          <w:rFonts w:eastAsia="Calibri"/>
          <w:i/>
          <w:sz w:val="24"/>
          <w:szCs w:val="24"/>
          <w:lang w:eastAsia="en-US"/>
        </w:rPr>
        <w:t xml:space="preserve">Chemical Weapons (Prohibition) Regulations 1997 </w:t>
      </w:r>
      <w:r w:rsidRPr="00D97978">
        <w:rPr>
          <w:rFonts w:eastAsia="Calibri"/>
          <w:sz w:val="24"/>
          <w:szCs w:val="24"/>
          <w:lang w:eastAsia="en-US"/>
        </w:rPr>
        <w:t xml:space="preserve">to implement the changes made to the Convention and protect the right to life and prohibition on torture and ill treatment.  </w:t>
      </w:r>
    </w:p>
    <w:p w:rsidR="00A02D9A" w:rsidRPr="00D97978" w:rsidRDefault="00A02D9A" w:rsidP="00A02D9A">
      <w:pPr>
        <w:spacing w:before="120" w:line="276" w:lineRule="auto"/>
        <w:jc w:val="both"/>
        <w:rPr>
          <w:rFonts w:eastAsia="Calibri"/>
          <w:sz w:val="24"/>
          <w:szCs w:val="24"/>
          <w:lang w:eastAsia="en-US"/>
        </w:rPr>
      </w:pPr>
      <w:r w:rsidRPr="00D97978">
        <w:rPr>
          <w:rFonts w:eastAsia="Calibri"/>
          <w:sz w:val="24"/>
          <w:szCs w:val="24"/>
          <w:lang w:eastAsia="en-US"/>
        </w:rPr>
        <w:t xml:space="preserve">Although there are no known legitimate industrial uses of Novichok nerve agents, amendment of the </w:t>
      </w:r>
      <w:r w:rsidRPr="00D97978">
        <w:rPr>
          <w:rFonts w:eastAsia="Calibri"/>
          <w:i/>
          <w:sz w:val="24"/>
          <w:szCs w:val="24"/>
          <w:lang w:eastAsia="en-US"/>
        </w:rPr>
        <w:t xml:space="preserve">Chemical Weapons (Prohibition) Regulations 1997 </w:t>
      </w:r>
      <w:r w:rsidRPr="00D97978">
        <w:rPr>
          <w:rFonts w:eastAsia="Calibri"/>
          <w:sz w:val="24"/>
          <w:szCs w:val="24"/>
          <w:lang w:eastAsia="en-US"/>
        </w:rPr>
        <w:t>enables the Australian Safeguards and Non-Proliferation Office to regulate these chemicals. Companies seeking to use these chemicals in the future would be able to apply for a permit from the Australian Safeguards and Non-Proliferation Office to do so.  Conditions of their permit would be required for them to meet a number of obligations under the C</w:t>
      </w:r>
      <w:r w:rsidRPr="00D97978">
        <w:rPr>
          <w:rFonts w:eastAsia="Calibri"/>
          <w:i/>
          <w:sz w:val="24"/>
          <w:szCs w:val="24"/>
          <w:lang w:eastAsia="en-US"/>
        </w:rPr>
        <w:t>hemical Weapons (Prohibition) Act 1994</w:t>
      </w:r>
      <w:r w:rsidRPr="00D97978">
        <w:rPr>
          <w:rFonts w:eastAsia="Calibri"/>
          <w:sz w:val="24"/>
          <w:szCs w:val="24"/>
          <w:lang w:eastAsia="en-US"/>
        </w:rPr>
        <w:t>.</w:t>
      </w:r>
    </w:p>
    <w:p w:rsidR="00A02D9A" w:rsidRPr="00D97978" w:rsidRDefault="00A02D9A" w:rsidP="00A02D9A">
      <w:pPr>
        <w:spacing w:before="120" w:line="276" w:lineRule="auto"/>
        <w:rPr>
          <w:rFonts w:eastAsia="Calibri"/>
          <w:sz w:val="24"/>
          <w:szCs w:val="24"/>
          <w:lang w:eastAsia="en-US"/>
        </w:rPr>
      </w:pPr>
      <w:r w:rsidRPr="00D97978">
        <w:rPr>
          <w:rFonts w:eastAsia="Calibri"/>
          <w:sz w:val="24"/>
          <w:szCs w:val="24"/>
          <w:lang w:eastAsia="en-US"/>
        </w:rPr>
        <w:t xml:space="preserve">Amending the </w:t>
      </w:r>
      <w:r w:rsidRPr="00D97978">
        <w:rPr>
          <w:rFonts w:eastAsia="Calibri"/>
          <w:i/>
          <w:sz w:val="24"/>
          <w:szCs w:val="24"/>
          <w:lang w:eastAsia="en-US"/>
        </w:rPr>
        <w:t xml:space="preserve">Chemical Weapons (Prohibition) Regulations 1997 </w:t>
      </w:r>
      <w:r w:rsidRPr="00D97978">
        <w:rPr>
          <w:rFonts w:eastAsia="Calibri"/>
          <w:sz w:val="24"/>
          <w:szCs w:val="24"/>
          <w:lang w:eastAsia="en-US"/>
        </w:rPr>
        <w:t xml:space="preserve">to implement changes to the Annex of Chemicals to the Convention allows Australia to regulate the use of these chemicals in Australia, in line with the other States Party to the Convention. This protects the public against the use of this class of chemical nerve agents in Australia, or by Australians abroad, thereby protecting the public from potential torture or loss of life due to Novichok chemical nerve agent use and promoting the right to life and the prohibition on torture and ill treatment. </w:t>
      </w:r>
    </w:p>
    <w:p w:rsidR="00A02D9A" w:rsidRPr="00D97978" w:rsidRDefault="00A02D9A" w:rsidP="00A02D9A">
      <w:pPr>
        <w:spacing w:before="120" w:after="200" w:line="276" w:lineRule="auto"/>
        <w:rPr>
          <w:rFonts w:ascii="Calibri" w:eastAsia="Calibri" w:hAnsi="Calibri"/>
          <w:b/>
          <w:sz w:val="22"/>
          <w:szCs w:val="22"/>
          <w:lang w:eastAsia="en-US"/>
        </w:rPr>
      </w:pPr>
      <w:r w:rsidRPr="00D97978">
        <w:rPr>
          <w:rFonts w:eastAsia="Calibri"/>
          <w:b/>
          <w:sz w:val="24"/>
          <w:szCs w:val="24"/>
          <w:lang w:eastAsia="en-US"/>
        </w:rPr>
        <w:t xml:space="preserve">Conclusion </w:t>
      </w:r>
    </w:p>
    <w:p w:rsidR="00A02D9A" w:rsidRPr="00D97978" w:rsidRDefault="00A02D9A" w:rsidP="00A02D9A">
      <w:pPr>
        <w:spacing w:after="200" w:line="276" w:lineRule="auto"/>
        <w:rPr>
          <w:rFonts w:eastAsia="Calibri"/>
          <w:sz w:val="24"/>
          <w:szCs w:val="24"/>
          <w:lang w:eastAsia="en-US"/>
        </w:rPr>
      </w:pPr>
      <w:r w:rsidRPr="00D97978">
        <w:rPr>
          <w:rFonts w:eastAsia="Calibri"/>
          <w:sz w:val="24"/>
          <w:szCs w:val="24"/>
          <w:lang w:eastAsia="en-US"/>
        </w:rPr>
        <w:t xml:space="preserve">The proposed </w:t>
      </w:r>
      <w:r w:rsidRPr="00D97978">
        <w:rPr>
          <w:rFonts w:eastAsia="Calibri"/>
          <w:i/>
          <w:sz w:val="24"/>
          <w:szCs w:val="24"/>
          <w:lang w:eastAsia="en-US"/>
        </w:rPr>
        <w:t>Chemical Weapons (Prohibition) Amendment (Annex on Chemicals) Regulations 2020</w:t>
      </w:r>
      <w:r w:rsidRPr="00D97978">
        <w:rPr>
          <w:rFonts w:eastAsia="Calibri"/>
          <w:sz w:val="24"/>
          <w:szCs w:val="24"/>
          <w:lang w:eastAsia="en-US"/>
        </w:rPr>
        <w:t xml:space="preserve"> is compatible with human rights because it promotes </w:t>
      </w:r>
      <w:r w:rsidRPr="00D97978">
        <w:rPr>
          <w:rFonts w:eastAsia="Calibri"/>
          <w:sz w:val="24"/>
          <w:szCs w:val="24"/>
          <w:lang w:val="en-GB" w:eastAsia="en-US"/>
        </w:rPr>
        <w:t>the right to life and protects</w:t>
      </w:r>
      <w:r w:rsidRPr="00D97978">
        <w:rPr>
          <w:rFonts w:eastAsia="Calibri"/>
          <w:sz w:val="24"/>
          <w:szCs w:val="24"/>
          <w:lang w:eastAsia="en-US"/>
        </w:rPr>
        <w:t xml:space="preserve"> the prohibition of a class of chemicals that, if used, could inflict</w:t>
      </w:r>
      <w:r w:rsidRPr="00D97978">
        <w:rPr>
          <w:rFonts w:eastAsia="Calibri"/>
          <w:sz w:val="24"/>
          <w:szCs w:val="24"/>
          <w:lang w:val="en-GB" w:eastAsia="en-US"/>
        </w:rPr>
        <w:t xml:space="preserve"> torture and cruel, inhuman or degrading treatment or punishment.</w:t>
      </w:r>
    </w:p>
    <w:p w:rsidR="00A02D9A" w:rsidRPr="00D97978" w:rsidRDefault="00A02D9A" w:rsidP="00291FCD">
      <w:pPr>
        <w:rPr>
          <w:sz w:val="24"/>
          <w:szCs w:val="24"/>
        </w:rPr>
      </w:pPr>
    </w:p>
    <w:p w:rsidR="009D3698" w:rsidRPr="00291FCD" w:rsidRDefault="009D3698" w:rsidP="00597C7F">
      <w:pPr>
        <w:jc w:val="right"/>
        <w:rPr>
          <w:sz w:val="24"/>
          <w:szCs w:val="24"/>
        </w:rPr>
      </w:pPr>
    </w:p>
    <w:sectPr w:rsidR="009D3698" w:rsidRPr="00291FCD" w:rsidSect="00F24436">
      <w:footerReference w:type="default" r:id="rId7"/>
      <w:pgSz w:w="11907" w:h="16840"/>
      <w:pgMar w:top="851"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6C" w:rsidRDefault="00EB326C">
      <w:r>
        <w:separator/>
      </w:r>
    </w:p>
  </w:endnote>
  <w:endnote w:type="continuationSeparator" w:id="0">
    <w:p w:rsidR="00EB326C" w:rsidRDefault="00EB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6C" w:rsidRDefault="00EB326C" w:rsidP="003953E4">
    <w:pPr>
      <w:pStyle w:val="Footer"/>
      <w:jc w:val="center"/>
    </w:pPr>
    <w:r>
      <w:rPr>
        <w:rStyle w:val="PageNumber"/>
      </w:rPr>
      <w:fldChar w:fldCharType="begin"/>
    </w:r>
    <w:r>
      <w:rPr>
        <w:rStyle w:val="PageNumber"/>
      </w:rPr>
      <w:instrText xml:space="preserve"> PAGE </w:instrText>
    </w:r>
    <w:r>
      <w:rPr>
        <w:rStyle w:val="PageNumber"/>
      </w:rPr>
      <w:fldChar w:fldCharType="separate"/>
    </w:r>
    <w:r w:rsidR="009307C7">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6C" w:rsidRDefault="00EB326C">
      <w:r>
        <w:separator/>
      </w:r>
    </w:p>
  </w:footnote>
  <w:footnote w:type="continuationSeparator" w:id="0">
    <w:p w:rsidR="00EB326C" w:rsidRDefault="00EB3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6C3"/>
    <w:multiLevelType w:val="singleLevel"/>
    <w:tmpl w:val="3E328788"/>
    <w:lvl w:ilvl="0">
      <w:start w:val="21"/>
      <w:numFmt w:val="decimal"/>
      <w:lvlText w:val="%1."/>
      <w:legacy w:legacy="1" w:legacySpace="0" w:legacyIndent="340"/>
      <w:lvlJc w:val="left"/>
      <w:pPr>
        <w:ind w:left="340" w:hanging="340"/>
      </w:pPr>
    </w:lvl>
  </w:abstractNum>
  <w:abstractNum w:abstractNumId="1" w15:restartNumberingAfterBreak="0">
    <w:nsid w:val="107D3DB9"/>
    <w:multiLevelType w:val="singleLevel"/>
    <w:tmpl w:val="59C40A60"/>
    <w:lvl w:ilvl="0">
      <w:start w:val="30"/>
      <w:numFmt w:val="decimal"/>
      <w:lvlText w:val="%1."/>
      <w:legacy w:legacy="1" w:legacySpace="0" w:legacyIndent="340"/>
      <w:lvlJc w:val="left"/>
      <w:pPr>
        <w:ind w:left="340" w:hanging="340"/>
      </w:pPr>
    </w:lvl>
  </w:abstractNum>
  <w:abstractNum w:abstractNumId="2" w15:restartNumberingAfterBreak="0">
    <w:nsid w:val="1D3E0AFA"/>
    <w:multiLevelType w:val="singleLevel"/>
    <w:tmpl w:val="B8E81B44"/>
    <w:lvl w:ilvl="0">
      <w:start w:val="16"/>
      <w:numFmt w:val="decimal"/>
      <w:lvlText w:val="%1."/>
      <w:legacy w:legacy="1" w:legacySpace="0" w:legacyIndent="340"/>
      <w:lvlJc w:val="left"/>
      <w:pPr>
        <w:ind w:left="340" w:hanging="340"/>
      </w:pPr>
    </w:lvl>
  </w:abstractNum>
  <w:abstractNum w:abstractNumId="3" w15:restartNumberingAfterBreak="0">
    <w:nsid w:val="1DBA107B"/>
    <w:multiLevelType w:val="hybridMultilevel"/>
    <w:tmpl w:val="FB861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4740AA"/>
    <w:multiLevelType w:val="multilevel"/>
    <w:tmpl w:val="DA82709C"/>
    <w:lvl w:ilvl="0">
      <w:start w:val="1"/>
      <w:numFmt w:val="lowerRoman"/>
      <w:lvlText w:val="(%1)"/>
      <w:legacy w:legacy="1" w:legacySpace="0" w:legacyIndent="720"/>
      <w:lvlJc w:val="left"/>
      <w:pPr>
        <w:ind w:left="720" w:hanging="720"/>
      </w:pPr>
    </w:lvl>
    <w:lvl w:ilvl="1">
      <w:start w:val="1"/>
      <w:numFmt w:val="none"/>
      <w:lvlText w:val=""/>
      <w:legacy w:legacy="1" w:legacySpace="113" w:legacyIndent="454"/>
      <w:lvlJc w:val="left"/>
      <w:pPr>
        <w:ind w:left="1174" w:hanging="454"/>
      </w:pPr>
      <w:rPr>
        <w:rFonts w:ascii="Symbol" w:hAnsi="Symbol" w:hint="default"/>
      </w:rPr>
    </w:lvl>
    <w:lvl w:ilvl="2">
      <w:start w:val="1"/>
      <w:numFmt w:val="decimal"/>
      <w:lvlText w:val="%3."/>
      <w:legacy w:legacy="1" w:legacySpace="0" w:legacyIndent="720"/>
      <w:lvlJc w:val="left"/>
      <w:pPr>
        <w:ind w:left="1894" w:hanging="720"/>
      </w:pPr>
    </w:lvl>
    <w:lvl w:ilvl="3">
      <w:start w:val="1"/>
      <w:numFmt w:val="lowerLetter"/>
      <w:lvlText w:val="%4)"/>
      <w:legacy w:legacy="1" w:legacySpace="0" w:legacyIndent="720"/>
      <w:lvlJc w:val="left"/>
      <w:pPr>
        <w:ind w:left="2614" w:hanging="720"/>
      </w:pPr>
    </w:lvl>
    <w:lvl w:ilvl="4">
      <w:start w:val="1"/>
      <w:numFmt w:val="decimal"/>
      <w:lvlText w:val="(%5)"/>
      <w:legacy w:legacy="1" w:legacySpace="0" w:legacyIndent="720"/>
      <w:lvlJc w:val="left"/>
      <w:pPr>
        <w:ind w:left="3334" w:hanging="720"/>
      </w:pPr>
    </w:lvl>
    <w:lvl w:ilvl="5">
      <w:start w:val="1"/>
      <w:numFmt w:val="lowerLetter"/>
      <w:lvlText w:val="(%6)"/>
      <w:legacy w:legacy="1" w:legacySpace="0" w:legacyIndent="720"/>
      <w:lvlJc w:val="left"/>
      <w:pPr>
        <w:ind w:left="4054" w:hanging="720"/>
      </w:pPr>
    </w:lvl>
    <w:lvl w:ilvl="6">
      <w:start w:val="1"/>
      <w:numFmt w:val="lowerRoman"/>
      <w:lvlText w:val="(%7)"/>
      <w:legacy w:legacy="1" w:legacySpace="0" w:legacyIndent="720"/>
      <w:lvlJc w:val="left"/>
      <w:pPr>
        <w:ind w:left="4774" w:hanging="720"/>
      </w:pPr>
    </w:lvl>
    <w:lvl w:ilvl="7">
      <w:start w:val="1"/>
      <w:numFmt w:val="lowerLetter"/>
      <w:lvlText w:val="(%8)"/>
      <w:legacy w:legacy="1" w:legacySpace="0" w:legacyIndent="720"/>
      <w:lvlJc w:val="left"/>
      <w:pPr>
        <w:ind w:left="5494" w:hanging="720"/>
      </w:pPr>
    </w:lvl>
    <w:lvl w:ilvl="8">
      <w:start w:val="1"/>
      <w:numFmt w:val="lowerRoman"/>
      <w:lvlText w:val="(%9)"/>
      <w:legacy w:legacy="1" w:legacySpace="0" w:legacyIndent="720"/>
      <w:lvlJc w:val="left"/>
      <w:pPr>
        <w:ind w:left="6214" w:hanging="720"/>
      </w:pPr>
    </w:lvl>
  </w:abstractNum>
  <w:abstractNum w:abstractNumId="5" w15:restartNumberingAfterBreak="0">
    <w:nsid w:val="2E0A69E6"/>
    <w:multiLevelType w:val="singleLevel"/>
    <w:tmpl w:val="59C40A60"/>
    <w:lvl w:ilvl="0">
      <w:start w:val="30"/>
      <w:numFmt w:val="decimal"/>
      <w:lvlText w:val="%1."/>
      <w:legacy w:legacy="1" w:legacySpace="0" w:legacyIndent="340"/>
      <w:lvlJc w:val="left"/>
      <w:pPr>
        <w:ind w:left="340" w:hanging="340"/>
      </w:pPr>
    </w:lvl>
  </w:abstractNum>
  <w:abstractNum w:abstractNumId="6" w15:restartNumberingAfterBreak="0">
    <w:nsid w:val="32385E44"/>
    <w:multiLevelType w:val="singleLevel"/>
    <w:tmpl w:val="57F6FCD4"/>
    <w:lvl w:ilvl="0">
      <w:start w:val="19"/>
      <w:numFmt w:val="decimal"/>
      <w:lvlText w:val="%1."/>
      <w:legacy w:legacy="1" w:legacySpace="0" w:legacyIndent="340"/>
      <w:lvlJc w:val="left"/>
      <w:pPr>
        <w:ind w:left="340" w:hanging="340"/>
      </w:pPr>
    </w:lvl>
  </w:abstractNum>
  <w:abstractNum w:abstractNumId="7" w15:restartNumberingAfterBreak="0">
    <w:nsid w:val="331C0605"/>
    <w:multiLevelType w:val="singleLevel"/>
    <w:tmpl w:val="40847D20"/>
    <w:lvl w:ilvl="0">
      <w:start w:val="36"/>
      <w:numFmt w:val="decimal"/>
      <w:lvlText w:val="%1."/>
      <w:legacy w:legacy="1" w:legacySpace="0" w:legacyIndent="340"/>
      <w:lvlJc w:val="left"/>
      <w:pPr>
        <w:ind w:left="340" w:hanging="340"/>
      </w:pPr>
    </w:lvl>
  </w:abstractNum>
  <w:abstractNum w:abstractNumId="8" w15:restartNumberingAfterBreak="0">
    <w:nsid w:val="3D04134F"/>
    <w:multiLevelType w:val="singleLevel"/>
    <w:tmpl w:val="E2CC26D2"/>
    <w:lvl w:ilvl="0">
      <w:start w:val="1"/>
      <w:numFmt w:val="decimal"/>
      <w:lvlText w:val="%1."/>
      <w:legacy w:legacy="1" w:legacySpace="0" w:legacyIndent="340"/>
      <w:lvlJc w:val="left"/>
      <w:pPr>
        <w:ind w:left="340" w:hanging="340"/>
      </w:pPr>
    </w:lvl>
  </w:abstractNum>
  <w:abstractNum w:abstractNumId="9" w15:restartNumberingAfterBreak="0">
    <w:nsid w:val="4447176B"/>
    <w:multiLevelType w:val="singleLevel"/>
    <w:tmpl w:val="0C403FF4"/>
    <w:lvl w:ilvl="0">
      <w:start w:val="3"/>
      <w:numFmt w:val="decimal"/>
      <w:lvlText w:val="%1."/>
      <w:legacy w:legacy="1" w:legacySpace="0" w:legacyIndent="340"/>
      <w:lvlJc w:val="left"/>
      <w:pPr>
        <w:ind w:left="340" w:hanging="340"/>
      </w:pPr>
    </w:lvl>
  </w:abstractNum>
  <w:abstractNum w:abstractNumId="10" w15:restartNumberingAfterBreak="0">
    <w:nsid w:val="49627D39"/>
    <w:multiLevelType w:val="singleLevel"/>
    <w:tmpl w:val="AA34FB80"/>
    <w:lvl w:ilvl="0">
      <w:start w:val="27"/>
      <w:numFmt w:val="decimal"/>
      <w:lvlText w:val="%1."/>
      <w:legacy w:legacy="1" w:legacySpace="0" w:legacyIndent="340"/>
      <w:lvlJc w:val="left"/>
      <w:pPr>
        <w:ind w:left="340" w:hanging="340"/>
      </w:pPr>
    </w:lvl>
  </w:abstractNum>
  <w:abstractNum w:abstractNumId="11" w15:restartNumberingAfterBreak="0">
    <w:nsid w:val="4B8167B8"/>
    <w:multiLevelType w:val="singleLevel"/>
    <w:tmpl w:val="A6CA2DC0"/>
    <w:lvl w:ilvl="0">
      <w:start w:val="34"/>
      <w:numFmt w:val="decimal"/>
      <w:lvlText w:val="%1."/>
      <w:legacy w:legacy="1" w:legacySpace="0" w:legacyIndent="340"/>
      <w:lvlJc w:val="left"/>
      <w:pPr>
        <w:ind w:left="340" w:hanging="340"/>
      </w:pPr>
    </w:lvl>
  </w:abstractNum>
  <w:abstractNum w:abstractNumId="12" w15:restartNumberingAfterBreak="0">
    <w:nsid w:val="546571EF"/>
    <w:multiLevelType w:val="multilevel"/>
    <w:tmpl w:val="78FCC89A"/>
    <w:lvl w:ilvl="0">
      <w:start w:val="1"/>
      <w:numFmt w:val="lowerRoman"/>
      <w:lvlText w:val="(%1)"/>
      <w:legacy w:legacy="1" w:legacySpace="113" w:legacyIndent="454"/>
      <w:lvlJc w:val="left"/>
      <w:pPr>
        <w:ind w:left="454" w:hanging="454"/>
      </w:pPr>
    </w:lvl>
    <w:lvl w:ilvl="1">
      <w:start w:val="1"/>
      <w:numFmt w:val="none"/>
      <w:lvlText w:val=""/>
      <w:legacy w:legacy="1" w:legacySpace="57" w:legacyIndent="284"/>
      <w:lvlJc w:val="left"/>
      <w:pPr>
        <w:ind w:left="738" w:hanging="284"/>
      </w:pPr>
      <w:rPr>
        <w:rFonts w:ascii="Symbol" w:hAnsi="Symbol" w:hint="default"/>
      </w:rPr>
    </w:lvl>
    <w:lvl w:ilvl="2">
      <w:start w:val="1"/>
      <w:numFmt w:val="none"/>
      <w:lvlText w:val=""/>
      <w:legacy w:legacy="1" w:legacySpace="0" w:legacyIndent="283"/>
      <w:lvlJc w:val="left"/>
      <w:rPr>
        <w:rFonts w:ascii="Symbol" w:hAnsi="Symbol" w:hint="default"/>
      </w:rPr>
    </w:lvl>
    <w:lvl w:ilvl="3">
      <w:start w:val="1"/>
      <w:numFmt w:val="none"/>
      <w:lvlText w:val=""/>
      <w:legacy w:legacy="1" w:legacySpace="0" w:legacyIndent="283"/>
      <w:lvlJc w:val="left"/>
      <w:rPr>
        <w:rFonts w:ascii="Symbol" w:hAnsi="Symbol" w:hint="default"/>
      </w:rPr>
    </w:lvl>
    <w:lvl w:ilvl="4">
      <w:start w:val="1"/>
      <w:numFmt w:val="none"/>
      <w:lvlText w:val=""/>
      <w:legacy w:legacy="1" w:legacySpace="0" w:legacyIndent="283"/>
      <w:lvlJc w:val="left"/>
      <w:rPr>
        <w:rFonts w:ascii="Symbol" w:hAnsi="Symbol" w:hint="default"/>
      </w:rPr>
    </w:lvl>
    <w:lvl w:ilvl="5">
      <w:start w:val="1"/>
      <w:numFmt w:val="none"/>
      <w:lvlText w:val=""/>
      <w:legacy w:legacy="1" w:legacySpace="0" w:legacyIndent="283"/>
      <w:lvlJc w:val="left"/>
      <w:rPr>
        <w:rFonts w:ascii="Symbol" w:hAnsi="Symbol" w:hint="default"/>
      </w:rPr>
    </w:lvl>
    <w:lvl w:ilvl="6">
      <w:start w:val="1"/>
      <w:numFmt w:val="none"/>
      <w:lvlText w:val=""/>
      <w:legacy w:legacy="1" w:legacySpace="0" w:legacyIndent="283"/>
      <w:lvlJc w:val="left"/>
      <w:rPr>
        <w:rFonts w:ascii="Symbol" w:hAnsi="Symbol" w:hint="default"/>
      </w:rPr>
    </w:lvl>
    <w:lvl w:ilvl="7">
      <w:start w:val="1"/>
      <w:numFmt w:val="none"/>
      <w:lvlText w:val=""/>
      <w:legacy w:legacy="1" w:legacySpace="0" w:legacyIndent="283"/>
      <w:lvlJc w:val="left"/>
      <w:rPr>
        <w:rFonts w:ascii="Symbol" w:hAnsi="Symbol" w:hint="default"/>
      </w:rPr>
    </w:lvl>
    <w:lvl w:ilvl="8">
      <w:start w:val="1"/>
      <w:numFmt w:val="none"/>
      <w:lvlText w:val=""/>
      <w:legacy w:legacy="1" w:legacySpace="0" w:legacyIndent="283"/>
      <w:lvlJc w:val="left"/>
      <w:rPr>
        <w:rFonts w:ascii="Symbol" w:hAnsi="Symbol" w:hint="default"/>
      </w:rPr>
    </w:lvl>
  </w:abstractNum>
  <w:abstractNum w:abstractNumId="13" w15:restartNumberingAfterBreak="0">
    <w:nsid w:val="595019B3"/>
    <w:multiLevelType w:val="singleLevel"/>
    <w:tmpl w:val="18B065DA"/>
    <w:lvl w:ilvl="0">
      <w:start w:val="1"/>
      <w:numFmt w:val="decimal"/>
      <w:lvlText w:val="%1."/>
      <w:legacy w:legacy="1" w:legacySpace="0" w:legacyIndent="340"/>
      <w:lvlJc w:val="left"/>
      <w:pPr>
        <w:ind w:left="340" w:hanging="340"/>
      </w:pPr>
    </w:lvl>
  </w:abstractNum>
  <w:abstractNum w:abstractNumId="14" w15:restartNumberingAfterBreak="0">
    <w:nsid w:val="668A7716"/>
    <w:multiLevelType w:val="singleLevel"/>
    <w:tmpl w:val="A6F22C86"/>
    <w:lvl w:ilvl="0">
      <w:start w:val="2"/>
      <w:numFmt w:val="decimal"/>
      <w:lvlText w:val="%1."/>
      <w:legacy w:legacy="1" w:legacySpace="0" w:legacyIndent="340"/>
      <w:lvlJc w:val="left"/>
      <w:pPr>
        <w:ind w:left="340" w:hanging="340"/>
      </w:pPr>
    </w:lvl>
  </w:abstractNum>
  <w:abstractNum w:abstractNumId="15" w15:restartNumberingAfterBreak="0">
    <w:nsid w:val="66E9488A"/>
    <w:multiLevelType w:val="singleLevel"/>
    <w:tmpl w:val="515454A0"/>
    <w:lvl w:ilvl="0">
      <w:start w:val="8"/>
      <w:numFmt w:val="decimal"/>
      <w:lvlText w:val="%1."/>
      <w:legacy w:legacy="1" w:legacySpace="0" w:legacyIndent="340"/>
      <w:lvlJc w:val="left"/>
      <w:pPr>
        <w:ind w:left="340" w:hanging="340"/>
      </w:pPr>
    </w:lvl>
  </w:abstractNum>
  <w:abstractNum w:abstractNumId="16" w15:restartNumberingAfterBreak="0">
    <w:nsid w:val="67D1196A"/>
    <w:multiLevelType w:val="singleLevel"/>
    <w:tmpl w:val="48E61D56"/>
    <w:lvl w:ilvl="0">
      <w:start w:val="4"/>
      <w:numFmt w:val="decimal"/>
      <w:lvlText w:val="%1."/>
      <w:legacy w:legacy="1" w:legacySpace="0" w:legacyIndent="340"/>
      <w:lvlJc w:val="left"/>
      <w:pPr>
        <w:ind w:left="340" w:hanging="340"/>
      </w:pPr>
    </w:lvl>
  </w:abstractNum>
  <w:abstractNum w:abstractNumId="17" w15:restartNumberingAfterBreak="0">
    <w:nsid w:val="69621376"/>
    <w:multiLevelType w:val="singleLevel"/>
    <w:tmpl w:val="93FA89BC"/>
    <w:lvl w:ilvl="0">
      <w:start w:val="26"/>
      <w:numFmt w:val="decimal"/>
      <w:lvlText w:val="%1."/>
      <w:legacy w:legacy="1" w:legacySpace="0" w:legacyIndent="340"/>
      <w:lvlJc w:val="left"/>
      <w:pPr>
        <w:ind w:left="340" w:hanging="340"/>
      </w:pPr>
    </w:lvl>
  </w:abstractNum>
  <w:abstractNum w:abstractNumId="18" w15:restartNumberingAfterBreak="0">
    <w:nsid w:val="6FE3236D"/>
    <w:multiLevelType w:val="singleLevel"/>
    <w:tmpl w:val="A26A69FA"/>
    <w:lvl w:ilvl="0">
      <w:start w:val="28"/>
      <w:numFmt w:val="decimal"/>
      <w:lvlText w:val="%1."/>
      <w:legacy w:legacy="1" w:legacySpace="0" w:legacyIndent="340"/>
      <w:lvlJc w:val="left"/>
      <w:pPr>
        <w:ind w:left="340" w:hanging="340"/>
      </w:pPr>
    </w:lvl>
  </w:abstractNum>
  <w:abstractNum w:abstractNumId="19" w15:restartNumberingAfterBreak="0">
    <w:nsid w:val="77B23BD8"/>
    <w:multiLevelType w:val="singleLevel"/>
    <w:tmpl w:val="2FA2E43C"/>
    <w:lvl w:ilvl="0">
      <w:start w:val="32"/>
      <w:numFmt w:val="decimal"/>
      <w:lvlText w:val="%1."/>
      <w:legacy w:legacy="1" w:legacySpace="0" w:legacyIndent="340"/>
      <w:lvlJc w:val="left"/>
      <w:pPr>
        <w:ind w:left="340" w:hanging="340"/>
      </w:pPr>
    </w:lvl>
  </w:abstractNum>
  <w:abstractNum w:abstractNumId="20" w15:restartNumberingAfterBreak="0">
    <w:nsid w:val="7984189B"/>
    <w:multiLevelType w:val="singleLevel"/>
    <w:tmpl w:val="321E0B34"/>
    <w:lvl w:ilvl="0">
      <w:start w:val="12"/>
      <w:numFmt w:val="decimal"/>
      <w:lvlText w:val="%1."/>
      <w:legacy w:legacy="1" w:legacySpace="0" w:legacyIndent="340"/>
      <w:lvlJc w:val="left"/>
      <w:pPr>
        <w:ind w:left="340" w:hanging="340"/>
      </w:pPr>
    </w:lvl>
  </w:abstractNum>
  <w:abstractNum w:abstractNumId="21" w15:restartNumberingAfterBreak="0">
    <w:nsid w:val="7E92734E"/>
    <w:multiLevelType w:val="singleLevel"/>
    <w:tmpl w:val="936E73DC"/>
    <w:lvl w:ilvl="0">
      <w:start w:val="29"/>
      <w:numFmt w:val="decimal"/>
      <w:lvlText w:val="%1."/>
      <w:legacy w:legacy="1" w:legacySpace="0" w:legacyIndent="340"/>
      <w:lvlJc w:val="left"/>
      <w:pPr>
        <w:ind w:left="340" w:hanging="340"/>
      </w:pPr>
    </w:lvl>
  </w:abstractNum>
  <w:num w:numId="1">
    <w:abstractNumId w:val="4"/>
  </w:num>
  <w:num w:numId="2">
    <w:abstractNumId w:val="13"/>
  </w:num>
  <w:num w:numId="3">
    <w:abstractNumId w:val="14"/>
  </w:num>
  <w:num w:numId="4">
    <w:abstractNumId w:val="9"/>
  </w:num>
  <w:num w:numId="5">
    <w:abstractNumId w:val="16"/>
  </w:num>
  <w:num w:numId="6">
    <w:abstractNumId w:val="15"/>
  </w:num>
  <w:num w:numId="7">
    <w:abstractNumId w:val="20"/>
  </w:num>
  <w:num w:numId="8">
    <w:abstractNumId w:val="2"/>
  </w:num>
  <w:num w:numId="9">
    <w:abstractNumId w:val="6"/>
  </w:num>
  <w:num w:numId="10">
    <w:abstractNumId w:val="0"/>
  </w:num>
  <w:num w:numId="11">
    <w:abstractNumId w:val="17"/>
  </w:num>
  <w:num w:numId="12">
    <w:abstractNumId w:val="10"/>
  </w:num>
  <w:num w:numId="13">
    <w:abstractNumId w:val="18"/>
  </w:num>
  <w:num w:numId="14">
    <w:abstractNumId w:val="21"/>
  </w:num>
  <w:num w:numId="15">
    <w:abstractNumId w:val="1"/>
  </w:num>
  <w:num w:numId="16">
    <w:abstractNumId w:val="5"/>
  </w:num>
  <w:num w:numId="17">
    <w:abstractNumId w:val="19"/>
  </w:num>
  <w:num w:numId="18">
    <w:abstractNumId w:val="11"/>
  </w:num>
  <w:num w:numId="19">
    <w:abstractNumId w:val="7"/>
  </w:num>
  <w:num w:numId="20">
    <w:abstractNumId w:val="12"/>
  </w:num>
  <w:num w:numId="21">
    <w:abstractNumId w:val="12"/>
    <w:lvlOverride w:ilvl="0">
      <w:lvl w:ilvl="0">
        <w:start w:val="1"/>
        <w:numFmt w:val="lowerRoman"/>
        <w:lvlText w:val="(%1)"/>
        <w:legacy w:legacy="1" w:legacySpace="113" w:legacyIndent="454"/>
        <w:lvlJc w:val="left"/>
        <w:pPr>
          <w:ind w:left="454" w:hanging="454"/>
        </w:pPr>
      </w:lvl>
    </w:lvlOverride>
    <w:lvlOverride w:ilvl="1">
      <w:lvl w:ilvl="1">
        <w:start w:val="1"/>
        <w:numFmt w:val="none"/>
        <w:lvlText w:val=""/>
        <w:legacy w:legacy="1" w:legacySpace="57" w:legacyIndent="284"/>
        <w:lvlJc w:val="left"/>
        <w:pPr>
          <w:ind w:left="738" w:hanging="284"/>
        </w:pPr>
        <w:rPr>
          <w:rFonts w:ascii="Symbol" w:hAnsi="Symbol" w:hint="default"/>
        </w:rPr>
      </w:lvl>
    </w:lvlOverride>
    <w:lvlOverride w:ilvl="2">
      <w:lvl w:ilvl="2">
        <w:start w:val="1"/>
        <w:numFmt w:val="none"/>
        <w:lvlText w:val=""/>
        <w:legacy w:legacy="1" w:legacySpace="0" w:legacyIndent="283"/>
        <w:lvlJc w:val="left"/>
        <w:rPr>
          <w:rFonts w:ascii="Symbol" w:hAnsi="Symbol" w:hint="default"/>
        </w:rPr>
      </w:lvl>
    </w:lvlOverride>
    <w:lvlOverride w:ilvl="3">
      <w:lvl w:ilvl="3">
        <w:start w:val="1"/>
        <w:numFmt w:val="none"/>
        <w:lvlText w:val=""/>
        <w:legacy w:legacy="1" w:legacySpace="0" w:legacyIndent="283"/>
        <w:lvlJc w:val="left"/>
        <w:rPr>
          <w:rFonts w:ascii="Symbol" w:hAnsi="Symbol" w:hint="default"/>
        </w:rPr>
      </w:lvl>
    </w:lvlOverride>
    <w:lvlOverride w:ilvl="4">
      <w:lvl w:ilvl="4">
        <w:start w:val="1"/>
        <w:numFmt w:val="none"/>
        <w:lvlText w:val=""/>
        <w:legacy w:legacy="1" w:legacySpace="0" w:legacyIndent="283"/>
        <w:lvlJc w:val="left"/>
        <w:rPr>
          <w:rFonts w:ascii="Symbol" w:hAnsi="Symbol" w:hint="default"/>
        </w:rPr>
      </w:lvl>
    </w:lvlOverride>
    <w:lvlOverride w:ilvl="5">
      <w:lvl w:ilvl="5">
        <w:start w:val="1"/>
        <w:numFmt w:val="none"/>
        <w:lvlText w:val=""/>
        <w:legacy w:legacy="1" w:legacySpace="0" w:legacyIndent="283"/>
        <w:lvlJc w:val="left"/>
        <w:rPr>
          <w:rFonts w:ascii="Symbol" w:hAnsi="Symbol" w:hint="default"/>
        </w:rPr>
      </w:lvl>
    </w:lvlOverride>
    <w:lvlOverride w:ilvl="6">
      <w:lvl w:ilvl="6">
        <w:start w:val="1"/>
        <w:numFmt w:val="none"/>
        <w:lvlText w:val=""/>
        <w:legacy w:legacy="1" w:legacySpace="0" w:legacyIndent="283"/>
        <w:lvlJc w:val="left"/>
        <w:rPr>
          <w:rFonts w:ascii="Symbol" w:hAnsi="Symbol" w:hint="default"/>
        </w:rPr>
      </w:lvl>
    </w:lvlOverride>
    <w:lvlOverride w:ilvl="7">
      <w:lvl w:ilvl="7">
        <w:start w:val="1"/>
        <w:numFmt w:val="none"/>
        <w:lvlText w:val=""/>
        <w:legacy w:legacy="1" w:legacySpace="0" w:legacyIndent="283"/>
        <w:lvlJc w:val="left"/>
        <w:rPr>
          <w:rFonts w:ascii="Symbol" w:hAnsi="Symbol" w:hint="default"/>
        </w:rPr>
      </w:lvl>
    </w:lvlOverride>
    <w:lvlOverride w:ilvl="8">
      <w:lvl w:ilvl="8">
        <w:start w:val="1"/>
        <w:numFmt w:val="none"/>
        <w:lvlText w:val=""/>
        <w:legacy w:legacy="1" w:legacySpace="0" w:legacyIndent="283"/>
        <w:lvlJc w:val="left"/>
        <w:rPr>
          <w:rFonts w:ascii="Symbol" w:hAnsi="Symbol" w:hint="default"/>
        </w:rPr>
      </w:lvl>
    </w:lvlOverride>
  </w:num>
  <w:num w:numId="22">
    <w:abstractNumId w:val="12"/>
    <w:lvlOverride w:ilvl="0">
      <w:lvl w:ilvl="0">
        <w:start w:val="1"/>
        <w:numFmt w:val="lowerRoman"/>
        <w:lvlText w:val="(%1)"/>
        <w:legacy w:legacy="1" w:legacySpace="113" w:legacyIndent="454"/>
        <w:lvlJc w:val="left"/>
        <w:pPr>
          <w:ind w:left="454" w:hanging="454"/>
        </w:pPr>
      </w:lvl>
    </w:lvlOverride>
    <w:lvlOverride w:ilvl="1">
      <w:lvl w:ilvl="1">
        <w:start w:val="1"/>
        <w:numFmt w:val="none"/>
        <w:lvlText w:val=""/>
        <w:legacy w:legacy="1" w:legacySpace="57" w:legacyIndent="284"/>
        <w:lvlJc w:val="left"/>
        <w:pPr>
          <w:ind w:left="738" w:hanging="284"/>
        </w:pPr>
        <w:rPr>
          <w:rFonts w:ascii="Symbol" w:hAnsi="Symbol" w:hint="default"/>
        </w:rPr>
      </w:lvl>
    </w:lvlOverride>
    <w:lvlOverride w:ilvl="2">
      <w:lvl w:ilvl="2">
        <w:start w:val="1"/>
        <w:numFmt w:val="none"/>
        <w:lvlText w:val=""/>
        <w:legacy w:legacy="1" w:legacySpace="0" w:legacyIndent="283"/>
        <w:lvlJc w:val="left"/>
        <w:rPr>
          <w:rFonts w:ascii="Symbol" w:hAnsi="Symbol" w:hint="default"/>
        </w:rPr>
      </w:lvl>
    </w:lvlOverride>
    <w:lvlOverride w:ilvl="3">
      <w:lvl w:ilvl="3">
        <w:start w:val="1"/>
        <w:numFmt w:val="none"/>
        <w:lvlText w:val=""/>
        <w:legacy w:legacy="1" w:legacySpace="0" w:legacyIndent="283"/>
        <w:lvlJc w:val="left"/>
        <w:rPr>
          <w:rFonts w:ascii="Symbol" w:hAnsi="Symbol" w:hint="default"/>
        </w:rPr>
      </w:lvl>
    </w:lvlOverride>
    <w:lvlOverride w:ilvl="4">
      <w:lvl w:ilvl="4">
        <w:start w:val="1"/>
        <w:numFmt w:val="none"/>
        <w:lvlText w:val=""/>
        <w:legacy w:legacy="1" w:legacySpace="0" w:legacyIndent="283"/>
        <w:lvlJc w:val="left"/>
        <w:rPr>
          <w:rFonts w:ascii="Symbol" w:hAnsi="Symbol" w:hint="default"/>
        </w:rPr>
      </w:lvl>
    </w:lvlOverride>
    <w:lvlOverride w:ilvl="5">
      <w:lvl w:ilvl="5">
        <w:start w:val="1"/>
        <w:numFmt w:val="none"/>
        <w:lvlText w:val=""/>
        <w:legacy w:legacy="1" w:legacySpace="0" w:legacyIndent="283"/>
        <w:lvlJc w:val="left"/>
        <w:rPr>
          <w:rFonts w:ascii="Symbol" w:hAnsi="Symbol" w:hint="default"/>
        </w:rPr>
      </w:lvl>
    </w:lvlOverride>
    <w:lvlOverride w:ilvl="6">
      <w:lvl w:ilvl="6">
        <w:start w:val="1"/>
        <w:numFmt w:val="none"/>
        <w:lvlText w:val=""/>
        <w:legacy w:legacy="1" w:legacySpace="0" w:legacyIndent="283"/>
        <w:lvlJc w:val="left"/>
        <w:rPr>
          <w:rFonts w:ascii="Symbol" w:hAnsi="Symbol" w:hint="default"/>
        </w:rPr>
      </w:lvl>
    </w:lvlOverride>
    <w:lvlOverride w:ilvl="7">
      <w:lvl w:ilvl="7">
        <w:start w:val="1"/>
        <w:numFmt w:val="none"/>
        <w:lvlText w:val=""/>
        <w:legacy w:legacy="1" w:legacySpace="0" w:legacyIndent="283"/>
        <w:lvlJc w:val="left"/>
        <w:rPr>
          <w:rFonts w:ascii="Symbol" w:hAnsi="Symbol" w:hint="default"/>
        </w:rPr>
      </w:lvl>
    </w:lvlOverride>
    <w:lvlOverride w:ilvl="8">
      <w:lvl w:ilvl="8">
        <w:start w:val="1"/>
        <w:numFmt w:val="none"/>
        <w:lvlText w:val=""/>
        <w:legacy w:legacy="1" w:legacySpace="0" w:legacyIndent="283"/>
        <w:lvlJc w:val="left"/>
        <w:rPr>
          <w:rFonts w:ascii="Symbol" w:hAnsi="Symbol" w:hint="default"/>
        </w:rPr>
      </w:lvl>
    </w:lvlOverride>
  </w:num>
  <w:num w:numId="23">
    <w:abstractNumId w:val="12"/>
    <w:lvlOverride w:ilvl="0">
      <w:lvl w:ilvl="0">
        <w:start w:val="1"/>
        <w:numFmt w:val="lowerRoman"/>
        <w:lvlText w:val="(%1)"/>
        <w:legacy w:legacy="1" w:legacySpace="113" w:legacyIndent="454"/>
        <w:lvlJc w:val="left"/>
        <w:pPr>
          <w:ind w:left="454" w:hanging="454"/>
        </w:pPr>
      </w:lvl>
    </w:lvlOverride>
    <w:lvlOverride w:ilvl="1">
      <w:lvl w:ilvl="1">
        <w:start w:val="1"/>
        <w:numFmt w:val="none"/>
        <w:lvlText w:val=""/>
        <w:legacy w:legacy="1" w:legacySpace="57" w:legacyIndent="284"/>
        <w:lvlJc w:val="left"/>
        <w:pPr>
          <w:ind w:left="738" w:hanging="284"/>
        </w:pPr>
        <w:rPr>
          <w:rFonts w:ascii="Symbol" w:hAnsi="Symbol" w:hint="default"/>
        </w:rPr>
      </w:lvl>
    </w:lvlOverride>
    <w:lvlOverride w:ilvl="2">
      <w:lvl w:ilvl="2">
        <w:start w:val="1"/>
        <w:numFmt w:val="none"/>
        <w:lvlText w:val=""/>
        <w:legacy w:legacy="1" w:legacySpace="0" w:legacyIndent="283"/>
        <w:lvlJc w:val="left"/>
        <w:rPr>
          <w:rFonts w:ascii="Symbol" w:hAnsi="Symbol" w:hint="default"/>
        </w:rPr>
      </w:lvl>
    </w:lvlOverride>
    <w:lvlOverride w:ilvl="3">
      <w:lvl w:ilvl="3">
        <w:start w:val="1"/>
        <w:numFmt w:val="none"/>
        <w:lvlText w:val=""/>
        <w:legacy w:legacy="1" w:legacySpace="0" w:legacyIndent="283"/>
        <w:lvlJc w:val="left"/>
        <w:rPr>
          <w:rFonts w:ascii="Symbol" w:hAnsi="Symbol" w:hint="default"/>
        </w:rPr>
      </w:lvl>
    </w:lvlOverride>
    <w:lvlOverride w:ilvl="4">
      <w:lvl w:ilvl="4">
        <w:start w:val="1"/>
        <w:numFmt w:val="none"/>
        <w:lvlText w:val=""/>
        <w:legacy w:legacy="1" w:legacySpace="0" w:legacyIndent="283"/>
        <w:lvlJc w:val="left"/>
        <w:rPr>
          <w:rFonts w:ascii="Symbol" w:hAnsi="Symbol" w:hint="default"/>
        </w:rPr>
      </w:lvl>
    </w:lvlOverride>
    <w:lvlOverride w:ilvl="5">
      <w:lvl w:ilvl="5">
        <w:start w:val="1"/>
        <w:numFmt w:val="none"/>
        <w:lvlText w:val=""/>
        <w:legacy w:legacy="1" w:legacySpace="0" w:legacyIndent="283"/>
        <w:lvlJc w:val="left"/>
        <w:rPr>
          <w:rFonts w:ascii="Symbol" w:hAnsi="Symbol" w:hint="default"/>
        </w:rPr>
      </w:lvl>
    </w:lvlOverride>
    <w:lvlOverride w:ilvl="6">
      <w:lvl w:ilvl="6">
        <w:start w:val="1"/>
        <w:numFmt w:val="none"/>
        <w:lvlText w:val=""/>
        <w:legacy w:legacy="1" w:legacySpace="0" w:legacyIndent="283"/>
        <w:lvlJc w:val="left"/>
        <w:rPr>
          <w:rFonts w:ascii="Symbol" w:hAnsi="Symbol" w:hint="default"/>
        </w:rPr>
      </w:lvl>
    </w:lvlOverride>
    <w:lvlOverride w:ilvl="7">
      <w:lvl w:ilvl="7">
        <w:start w:val="1"/>
        <w:numFmt w:val="none"/>
        <w:lvlText w:val=""/>
        <w:legacy w:legacy="1" w:legacySpace="0" w:legacyIndent="283"/>
        <w:lvlJc w:val="left"/>
        <w:rPr>
          <w:rFonts w:ascii="Symbol" w:hAnsi="Symbol" w:hint="default"/>
        </w:rPr>
      </w:lvl>
    </w:lvlOverride>
    <w:lvlOverride w:ilvl="8">
      <w:lvl w:ilvl="8">
        <w:start w:val="1"/>
        <w:numFmt w:val="none"/>
        <w:lvlText w:val=""/>
        <w:legacy w:legacy="1" w:legacySpace="0" w:legacyIndent="283"/>
        <w:lvlJc w:val="left"/>
        <w:rPr>
          <w:rFonts w:ascii="Symbol" w:hAnsi="Symbol" w:hint="default"/>
        </w:rPr>
      </w:lvl>
    </w:lvlOverride>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01"/>
    <w:rsid w:val="00011011"/>
    <w:rsid w:val="00052233"/>
    <w:rsid w:val="00082054"/>
    <w:rsid w:val="000959D4"/>
    <w:rsid w:val="000A19C3"/>
    <w:rsid w:val="000A5856"/>
    <w:rsid w:val="000B7D15"/>
    <w:rsid w:val="000C3876"/>
    <w:rsid w:val="000D0316"/>
    <w:rsid w:val="000D5EF5"/>
    <w:rsid w:val="000E5663"/>
    <w:rsid w:val="000E5C2A"/>
    <w:rsid w:val="00106B89"/>
    <w:rsid w:val="00114FAB"/>
    <w:rsid w:val="00125402"/>
    <w:rsid w:val="001323A9"/>
    <w:rsid w:val="0014093D"/>
    <w:rsid w:val="00144D05"/>
    <w:rsid w:val="00147997"/>
    <w:rsid w:val="001601B8"/>
    <w:rsid w:val="00161494"/>
    <w:rsid w:val="00196363"/>
    <w:rsid w:val="00204764"/>
    <w:rsid w:val="00211C0E"/>
    <w:rsid w:val="00216E4E"/>
    <w:rsid w:val="00221BC7"/>
    <w:rsid w:val="002375C4"/>
    <w:rsid w:val="00251F90"/>
    <w:rsid w:val="0026420E"/>
    <w:rsid w:val="00277E78"/>
    <w:rsid w:val="00291FCD"/>
    <w:rsid w:val="002A63E0"/>
    <w:rsid w:val="002E4283"/>
    <w:rsid w:val="002F2F84"/>
    <w:rsid w:val="003103D5"/>
    <w:rsid w:val="00350D3C"/>
    <w:rsid w:val="00353385"/>
    <w:rsid w:val="00361209"/>
    <w:rsid w:val="00367B82"/>
    <w:rsid w:val="00372179"/>
    <w:rsid w:val="00384B35"/>
    <w:rsid w:val="003953E4"/>
    <w:rsid w:val="003A2AEC"/>
    <w:rsid w:val="003D73ED"/>
    <w:rsid w:val="00422E30"/>
    <w:rsid w:val="0047556D"/>
    <w:rsid w:val="00476E90"/>
    <w:rsid w:val="004933FE"/>
    <w:rsid w:val="004A3B5F"/>
    <w:rsid w:val="004A5517"/>
    <w:rsid w:val="004F1FCD"/>
    <w:rsid w:val="00514B5B"/>
    <w:rsid w:val="00544F58"/>
    <w:rsid w:val="0056403C"/>
    <w:rsid w:val="00583D88"/>
    <w:rsid w:val="00583D8B"/>
    <w:rsid w:val="00592E78"/>
    <w:rsid w:val="00597C7F"/>
    <w:rsid w:val="005B43CB"/>
    <w:rsid w:val="005B6B34"/>
    <w:rsid w:val="005C283E"/>
    <w:rsid w:val="005F773E"/>
    <w:rsid w:val="0060539A"/>
    <w:rsid w:val="00625BE6"/>
    <w:rsid w:val="00630886"/>
    <w:rsid w:val="006440E7"/>
    <w:rsid w:val="00662917"/>
    <w:rsid w:val="00696764"/>
    <w:rsid w:val="006A3E56"/>
    <w:rsid w:val="006C00EE"/>
    <w:rsid w:val="006C0DF6"/>
    <w:rsid w:val="006C1637"/>
    <w:rsid w:val="006C66DA"/>
    <w:rsid w:val="006E3674"/>
    <w:rsid w:val="006F2F3B"/>
    <w:rsid w:val="00704CA7"/>
    <w:rsid w:val="00722EFC"/>
    <w:rsid w:val="007421EB"/>
    <w:rsid w:val="00746428"/>
    <w:rsid w:val="00747A2F"/>
    <w:rsid w:val="00747AF2"/>
    <w:rsid w:val="007508E0"/>
    <w:rsid w:val="00754240"/>
    <w:rsid w:val="00772C36"/>
    <w:rsid w:val="007D02A1"/>
    <w:rsid w:val="007D5BB3"/>
    <w:rsid w:val="007D7A16"/>
    <w:rsid w:val="007F77B7"/>
    <w:rsid w:val="00800C70"/>
    <w:rsid w:val="00805B4E"/>
    <w:rsid w:val="00812BCC"/>
    <w:rsid w:val="00812D55"/>
    <w:rsid w:val="00830D10"/>
    <w:rsid w:val="00865702"/>
    <w:rsid w:val="008E1DEC"/>
    <w:rsid w:val="009135BD"/>
    <w:rsid w:val="009307C7"/>
    <w:rsid w:val="00933A46"/>
    <w:rsid w:val="00955AC0"/>
    <w:rsid w:val="009746CA"/>
    <w:rsid w:val="009927BF"/>
    <w:rsid w:val="009B3450"/>
    <w:rsid w:val="009C3149"/>
    <w:rsid w:val="009D3698"/>
    <w:rsid w:val="009E5B00"/>
    <w:rsid w:val="009F7ADB"/>
    <w:rsid w:val="00A02D9A"/>
    <w:rsid w:val="00A03335"/>
    <w:rsid w:val="00A06BBD"/>
    <w:rsid w:val="00A25570"/>
    <w:rsid w:val="00A46A7B"/>
    <w:rsid w:val="00A627FF"/>
    <w:rsid w:val="00A62DDF"/>
    <w:rsid w:val="00A630F4"/>
    <w:rsid w:val="00A9160C"/>
    <w:rsid w:val="00A93501"/>
    <w:rsid w:val="00A93BA2"/>
    <w:rsid w:val="00A97C37"/>
    <w:rsid w:val="00AB0FCE"/>
    <w:rsid w:val="00AE3980"/>
    <w:rsid w:val="00B1348A"/>
    <w:rsid w:val="00B21B80"/>
    <w:rsid w:val="00B358E9"/>
    <w:rsid w:val="00B37D54"/>
    <w:rsid w:val="00B449CD"/>
    <w:rsid w:val="00B82240"/>
    <w:rsid w:val="00B91C36"/>
    <w:rsid w:val="00BD1C63"/>
    <w:rsid w:val="00BE4C39"/>
    <w:rsid w:val="00C0284F"/>
    <w:rsid w:val="00C07504"/>
    <w:rsid w:val="00C2525A"/>
    <w:rsid w:val="00C316A4"/>
    <w:rsid w:val="00C51DA5"/>
    <w:rsid w:val="00C53FA3"/>
    <w:rsid w:val="00C700C0"/>
    <w:rsid w:val="00C709A3"/>
    <w:rsid w:val="00C852DA"/>
    <w:rsid w:val="00CA2622"/>
    <w:rsid w:val="00D1631E"/>
    <w:rsid w:val="00D52EC4"/>
    <w:rsid w:val="00D603C0"/>
    <w:rsid w:val="00D654FA"/>
    <w:rsid w:val="00D67E13"/>
    <w:rsid w:val="00D73D7C"/>
    <w:rsid w:val="00D9060A"/>
    <w:rsid w:val="00D97978"/>
    <w:rsid w:val="00DC0573"/>
    <w:rsid w:val="00DC6AA3"/>
    <w:rsid w:val="00DF09E2"/>
    <w:rsid w:val="00E0039D"/>
    <w:rsid w:val="00E12899"/>
    <w:rsid w:val="00E205FA"/>
    <w:rsid w:val="00E245A2"/>
    <w:rsid w:val="00E44D76"/>
    <w:rsid w:val="00EB0FE9"/>
    <w:rsid w:val="00EB326C"/>
    <w:rsid w:val="00ED6AA4"/>
    <w:rsid w:val="00F11CE1"/>
    <w:rsid w:val="00F15455"/>
    <w:rsid w:val="00F21C60"/>
    <w:rsid w:val="00F21D18"/>
    <w:rsid w:val="00F24436"/>
    <w:rsid w:val="00F26AFF"/>
    <w:rsid w:val="00F453BC"/>
    <w:rsid w:val="00F67CC6"/>
    <w:rsid w:val="00F8379C"/>
    <w:rsid w:val="00FC45D9"/>
    <w:rsid w:val="00FE7484"/>
    <w:rsid w:val="00FF1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docId w15:val="{C1E8CE41-891B-4749-A4FC-94BDC6FC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0E7"/>
    <w:rPr>
      <w:lang w:eastAsia="zh-CN"/>
    </w:rPr>
  </w:style>
  <w:style w:type="paragraph" w:styleId="Heading1">
    <w:name w:val="heading 1"/>
    <w:basedOn w:val="Normal"/>
    <w:next w:val="Normal"/>
    <w:qFormat/>
    <w:rsid w:val="006440E7"/>
    <w:pPr>
      <w:keepNext/>
      <w:jc w:val="both"/>
      <w:outlineLvl w:val="0"/>
    </w:pPr>
    <w:rPr>
      <w:sz w:val="24"/>
      <w:szCs w:val="24"/>
      <w:u w:val="single"/>
    </w:rPr>
  </w:style>
  <w:style w:type="paragraph" w:styleId="Heading2">
    <w:name w:val="heading 2"/>
    <w:basedOn w:val="Normal"/>
    <w:next w:val="Normal"/>
    <w:link w:val="Heading2Char"/>
    <w:semiHidden/>
    <w:unhideWhenUsed/>
    <w:qFormat/>
    <w:rsid w:val="00A02D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02D9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40E7"/>
    <w:pPr>
      <w:tabs>
        <w:tab w:val="center" w:pos="4153"/>
        <w:tab w:val="right" w:pos="8306"/>
      </w:tabs>
    </w:pPr>
  </w:style>
  <w:style w:type="character" w:styleId="PageNumber">
    <w:name w:val="page number"/>
    <w:basedOn w:val="DefaultParagraphFont"/>
    <w:rsid w:val="006440E7"/>
  </w:style>
  <w:style w:type="paragraph" w:styleId="Header">
    <w:name w:val="header"/>
    <w:basedOn w:val="Normal"/>
    <w:link w:val="HeaderChar"/>
    <w:rsid w:val="006440E7"/>
    <w:pPr>
      <w:tabs>
        <w:tab w:val="center" w:pos="4153"/>
        <w:tab w:val="right" w:pos="8306"/>
      </w:tabs>
    </w:pPr>
  </w:style>
  <w:style w:type="paragraph" w:styleId="Title">
    <w:name w:val="Title"/>
    <w:basedOn w:val="Normal"/>
    <w:qFormat/>
    <w:rsid w:val="006440E7"/>
    <w:pPr>
      <w:jc w:val="center"/>
    </w:pPr>
    <w:rPr>
      <w:sz w:val="24"/>
      <w:szCs w:val="24"/>
    </w:rPr>
  </w:style>
  <w:style w:type="paragraph" w:styleId="BodyText">
    <w:name w:val="Body Text"/>
    <w:basedOn w:val="Normal"/>
    <w:rsid w:val="006440E7"/>
    <w:pPr>
      <w:spacing w:after="240"/>
      <w:jc w:val="both"/>
    </w:pPr>
    <w:rPr>
      <w:sz w:val="24"/>
      <w:szCs w:val="24"/>
    </w:rPr>
  </w:style>
  <w:style w:type="paragraph" w:styleId="BalloonText">
    <w:name w:val="Balloon Text"/>
    <w:basedOn w:val="Normal"/>
    <w:semiHidden/>
    <w:rsid w:val="0056403C"/>
    <w:rPr>
      <w:rFonts w:ascii="Tahoma" w:hAnsi="Tahoma" w:cs="Tahoma"/>
      <w:sz w:val="16"/>
      <w:szCs w:val="16"/>
    </w:rPr>
  </w:style>
  <w:style w:type="character" w:styleId="CommentReference">
    <w:name w:val="annotation reference"/>
    <w:basedOn w:val="DefaultParagraphFont"/>
    <w:semiHidden/>
    <w:unhideWhenUsed/>
    <w:rsid w:val="00B358E9"/>
    <w:rPr>
      <w:sz w:val="16"/>
      <w:szCs w:val="16"/>
    </w:rPr>
  </w:style>
  <w:style w:type="paragraph" w:styleId="CommentText">
    <w:name w:val="annotation text"/>
    <w:basedOn w:val="Normal"/>
    <w:link w:val="CommentTextChar"/>
    <w:semiHidden/>
    <w:unhideWhenUsed/>
    <w:rsid w:val="00B358E9"/>
  </w:style>
  <w:style w:type="character" w:customStyle="1" w:styleId="CommentTextChar">
    <w:name w:val="Comment Text Char"/>
    <w:basedOn w:val="DefaultParagraphFont"/>
    <w:link w:val="CommentText"/>
    <w:semiHidden/>
    <w:rsid w:val="00B358E9"/>
    <w:rPr>
      <w:lang w:eastAsia="zh-CN"/>
    </w:rPr>
  </w:style>
  <w:style w:type="paragraph" w:styleId="CommentSubject">
    <w:name w:val="annotation subject"/>
    <w:basedOn w:val="CommentText"/>
    <w:next w:val="CommentText"/>
    <w:link w:val="CommentSubjectChar"/>
    <w:semiHidden/>
    <w:unhideWhenUsed/>
    <w:rsid w:val="00B358E9"/>
    <w:rPr>
      <w:b/>
      <w:bCs/>
    </w:rPr>
  </w:style>
  <w:style w:type="character" w:customStyle="1" w:styleId="CommentSubjectChar">
    <w:name w:val="Comment Subject Char"/>
    <w:basedOn w:val="CommentTextChar"/>
    <w:link w:val="CommentSubject"/>
    <w:semiHidden/>
    <w:rsid w:val="00B358E9"/>
    <w:rPr>
      <w:b/>
      <w:bCs/>
      <w:lang w:eastAsia="zh-CN"/>
    </w:rPr>
  </w:style>
  <w:style w:type="character" w:customStyle="1" w:styleId="HeaderChar">
    <w:name w:val="Header Char"/>
    <w:basedOn w:val="DefaultParagraphFont"/>
    <w:link w:val="Header"/>
    <w:rsid w:val="00597C7F"/>
    <w:rPr>
      <w:lang w:eastAsia="zh-CN"/>
    </w:rPr>
  </w:style>
  <w:style w:type="character" w:customStyle="1" w:styleId="ActHead5Char">
    <w:name w:val="ActHead 5 Char"/>
    <w:aliases w:val="s Char"/>
    <w:link w:val="ActHead5"/>
    <w:locked/>
    <w:rsid w:val="00597C7F"/>
    <w:rPr>
      <w:b/>
      <w:kern w:val="28"/>
      <w:sz w:val="24"/>
    </w:rPr>
  </w:style>
  <w:style w:type="paragraph" w:customStyle="1" w:styleId="subsection">
    <w:name w:val="subsection"/>
    <w:aliases w:val="ss"/>
    <w:basedOn w:val="Normal"/>
    <w:link w:val="subsectionChar"/>
    <w:rsid w:val="00597C7F"/>
    <w:pPr>
      <w:tabs>
        <w:tab w:val="right" w:pos="1021"/>
      </w:tabs>
      <w:spacing w:before="180"/>
      <w:ind w:left="1134" w:hanging="1134"/>
    </w:pPr>
    <w:rPr>
      <w:sz w:val="22"/>
      <w:lang w:eastAsia="en-AU"/>
    </w:rPr>
  </w:style>
  <w:style w:type="paragraph" w:customStyle="1" w:styleId="ActHead5">
    <w:name w:val="ActHead 5"/>
    <w:aliases w:val="s"/>
    <w:basedOn w:val="Normal"/>
    <w:next w:val="subsection"/>
    <w:link w:val="ActHead5Char"/>
    <w:qFormat/>
    <w:rsid w:val="00597C7F"/>
    <w:pPr>
      <w:keepNext/>
      <w:keepLines/>
      <w:spacing w:before="280"/>
      <w:ind w:left="1134" w:hanging="1134"/>
      <w:outlineLvl w:val="4"/>
    </w:pPr>
    <w:rPr>
      <w:b/>
      <w:kern w:val="28"/>
      <w:sz w:val="24"/>
      <w:lang w:eastAsia="en-AU"/>
    </w:rPr>
  </w:style>
  <w:style w:type="paragraph" w:customStyle="1" w:styleId="ItemHead">
    <w:name w:val="ItemHead"/>
    <w:aliases w:val="ih"/>
    <w:basedOn w:val="Normal"/>
    <w:next w:val="Item"/>
    <w:link w:val="ItemHeadChar"/>
    <w:rsid w:val="00597C7F"/>
    <w:pPr>
      <w:keepNext/>
      <w:keepLines/>
      <w:spacing w:before="220"/>
      <w:ind w:left="709" w:hanging="709"/>
    </w:pPr>
    <w:rPr>
      <w:rFonts w:ascii="Arial" w:hAnsi="Arial"/>
      <w:b/>
      <w:kern w:val="28"/>
      <w:sz w:val="24"/>
      <w:lang w:eastAsia="en-AU"/>
    </w:rPr>
  </w:style>
  <w:style w:type="paragraph" w:customStyle="1" w:styleId="ActHead9">
    <w:name w:val="ActHead 9"/>
    <w:aliases w:val="aat"/>
    <w:basedOn w:val="Normal"/>
    <w:next w:val="ItemHead"/>
    <w:qFormat/>
    <w:rsid w:val="00597C7F"/>
    <w:pPr>
      <w:keepNext/>
      <w:keepLines/>
      <w:spacing w:before="280"/>
      <w:ind w:left="1134" w:hanging="1134"/>
      <w:outlineLvl w:val="8"/>
    </w:pPr>
    <w:rPr>
      <w:b/>
      <w:i/>
      <w:kern w:val="28"/>
      <w:sz w:val="28"/>
      <w:lang w:eastAsia="en-AU"/>
    </w:rPr>
  </w:style>
  <w:style w:type="character" w:customStyle="1" w:styleId="subsectionChar">
    <w:name w:val="subsection Char"/>
    <w:aliases w:val="ss Char"/>
    <w:link w:val="subsection"/>
    <w:locked/>
    <w:rsid w:val="00597C7F"/>
    <w:rPr>
      <w:sz w:val="22"/>
    </w:rPr>
  </w:style>
  <w:style w:type="paragraph" w:customStyle="1" w:styleId="Item">
    <w:name w:val="Item"/>
    <w:aliases w:val="i"/>
    <w:basedOn w:val="Normal"/>
    <w:next w:val="ItemHead"/>
    <w:rsid w:val="00597C7F"/>
    <w:pPr>
      <w:keepLines/>
      <w:spacing w:before="80"/>
      <w:ind w:left="709"/>
    </w:pPr>
    <w:rPr>
      <w:sz w:val="22"/>
      <w:lang w:eastAsia="en-AU"/>
    </w:rPr>
  </w:style>
  <w:style w:type="paragraph" w:customStyle="1" w:styleId="Tabletext">
    <w:name w:val="Tabletext"/>
    <w:aliases w:val="tt"/>
    <w:basedOn w:val="Normal"/>
    <w:rsid w:val="00597C7F"/>
    <w:pPr>
      <w:spacing w:before="60" w:line="240" w:lineRule="atLeast"/>
    </w:pPr>
    <w:rPr>
      <w:lang w:eastAsia="en-AU"/>
    </w:rPr>
  </w:style>
  <w:style w:type="character" w:customStyle="1" w:styleId="notetextChar">
    <w:name w:val="note(text) Char"/>
    <w:aliases w:val="n Char"/>
    <w:link w:val="notetext"/>
    <w:locked/>
    <w:rsid w:val="00597C7F"/>
    <w:rPr>
      <w:sz w:val="18"/>
    </w:rPr>
  </w:style>
  <w:style w:type="paragraph" w:customStyle="1" w:styleId="notetext">
    <w:name w:val="note(text)"/>
    <w:aliases w:val="n"/>
    <w:basedOn w:val="Normal"/>
    <w:link w:val="notetextChar"/>
    <w:rsid w:val="00597C7F"/>
    <w:pPr>
      <w:spacing w:before="122"/>
      <w:ind w:left="1985" w:hanging="851"/>
    </w:pPr>
    <w:rPr>
      <w:sz w:val="18"/>
      <w:lang w:eastAsia="en-AU"/>
    </w:rPr>
  </w:style>
  <w:style w:type="paragraph" w:customStyle="1" w:styleId="TableHeading">
    <w:name w:val="TableHeading"/>
    <w:aliases w:val="th"/>
    <w:basedOn w:val="Normal"/>
    <w:next w:val="Tabletext"/>
    <w:rsid w:val="00597C7F"/>
    <w:pPr>
      <w:keepNext/>
      <w:spacing w:before="60" w:line="240" w:lineRule="atLeast"/>
    </w:pPr>
    <w:rPr>
      <w:b/>
      <w:lang w:eastAsia="en-AU"/>
    </w:rPr>
  </w:style>
  <w:style w:type="character" w:customStyle="1" w:styleId="CharAmPartNo">
    <w:name w:val="CharAmPartNo"/>
    <w:basedOn w:val="DefaultParagraphFont"/>
    <w:qFormat/>
    <w:rsid w:val="00597C7F"/>
  </w:style>
  <w:style w:type="character" w:customStyle="1" w:styleId="CharAmPartText">
    <w:name w:val="CharAmPartText"/>
    <w:basedOn w:val="DefaultParagraphFont"/>
    <w:qFormat/>
    <w:rsid w:val="00597C7F"/>
  </w:style>
  <w:style w:type="character" w:customStyle="1" w:styleId="CharSectno">
    <w:name w:val="CharSectno"/>
    <w:basedOn w:val="DefaultParagraphFont"/>
    <w:qFormat/>
    <w:rsid w:val="00597C7F"/>
  </w:style>
  <w:style w:type="paragraph" w:customStyle="1" w:styleId="Specialih">
    <w:name w:val="Special ih"/>
    <w:basedOn w:val="ItemHead"/>
    <w:link w:val="SpecialihChar"/>
    <w:rsid w:val="00F26AFF"/>
  </w:style>
  <w:style w:type="character" w:customStyle="1" w:styleId="ItemHeadChar">
    <w:name w:val="ItemHead Char"/>
    <w:aliases w:val="ih Char"/>
    <w:basedOn w:val="DefaultParagraphFont"/>
    <w:link w:val="ItemHead"/>
    <w:rsid w:val="00F26AFF"/>
    <w:rPr>
      <w:rFonts w:ascii="Arial" w:hAnsi="Arial"/>
      <w:b/>
      <w:kern w:val="28"/>
      <w:sz w:val="24"/>
    </w:rPr>
  </w:style>
  <w:style w:type="character" w:customStyle="1" w:styleId="SpecialihChar">
    <w:name w:val="Special ih Char"/>
    <w:basedOn w:val="ItemHeadChar"/>
    <w:link w:val="Specialih"/>
    <w:rsid w:val="00F26AFF"/>
    <w:rPr>
      <w:rFonts w:ascii="Arial" w:hAnsi="Arial"/>
      <w:b/>
      <w:kern w:val="28"/>
      <w:sz w:val="24"/>
    </w:rPr>
  </w:style>
  <w:style w:type="character" w:customStyle="1" w:styleId="Heading2Char">
    <w:name w:val="Heading 2 Char"/>
    <w:basedOn w:val="DefaultParagraphFont"/>
    <w:link w:val="Heading2"/>
    <w:semiHidden/>
    <w:rsid w:val="00A02D9A"/>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semiHidden/>
    <w:rsid w:val="00A02D9A"/>
    <w:rPr>
      <w:rFonts w:asciiTheme="majorHAnsi" w:eastAsiaTheme="majorEastAsia" w:hAnsiTheme="majorHAnsi" w:cstheme="majorBidi"/>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61824">
      <w:bodyDiv w:val="1"/>
      <w:marLeft w:val="0"/>
      <w:marRight w:val="0"/>
      <w:marTop w:val="0"/>
      <w:marBottom w:val="0"/>
      <w:divBdr>
        <w:top w:val="none" w:sz="0" w:space="0" w:color="auto"/>
        <w:left w:val="none" w:sz="0" w:space="0" w:color="auto"/>
        <w:bottom w:val="none" w:sz="0" w:space="0" w:color="auto"/>
        <w:right w:val="none" w:sz="0" w:space="0" w:color="auto"/>
      </w:divBdr>
    </w:div>
    <w:div w:id="509490729">
      <w:bodyDiv w:val="1"/>
      <w:marLeft w:val="0"/>
      <w:marRight w:val="0"/>
      <w:marTop w:val="0"/>
      <w:marBottom w:val="0"/>
      <w:divBdr>
        <w:top w:val="none" w:sz="0" w:space="0" w:color="auto"/>
        <w:left w:val="none" w:sz="0" w:space="0" w:color="auto"/>
        <w:bottom w:val="none" w:sz="0" w:space="0" w:color="auto"/>
        <w:right w:val="none" w:sz="0" w:space="0" w:color="auto"/>
      </w:divBdr>
    </w:div>
    <w:div w:id="183556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1467</Words>
  <Characters>8255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Department of Foreign Affairs and Trade</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ceverton</dc:creator>
  <cp:keywords/>
  <cp:lastModifiedBy>Nell Shipley</cp:lastModifiedBy>
  <cp:revision>2</cp:revision>
  <cp:lastPrinted>2018-09-28T01:07:00Z</cp:lastPrinted>
  <dcterms:created xsi:type="dcterms:W3CDTF">2020-05-28T02:23:00Z</dcterms:created>
  <dcterms:modified xsi:type="dcterms:W3CDTF">2020-05-28T02:23:00Z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7be70503-7c1f-4ac7-b7ca-ebefca0d3eda</vt:lpwstr>
  </property>
  <property fmtid="{D5CDD505-2E9C-101B-9397-08002B2CF9AE}" pid="3" name="SEC">
    <vt:lpwstr>UNCLASSIFIED</vt:lpwstr>
  </property>
  <property fmtid="{D5CDD505-2E9C-101B-9397-08002B2CF9AE}" pid="4" name="DLM">
    <vt:lpwstr>No DLM</vt:lpwstr>
  </property>
</Properties>
</file>