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D4E3F" w14:textId="77777777" w:rsidR="00254A9F" w:rsidRDefault="00254A9F" w:rsidP="00254A9F">
      <w:pPr>
        <w:spacing w:before="280" w:after="240"/>
        <w:rPr>
          <w:b/>
          <w:sz w:val="32"/>
          <w:szCs w:val="32"/>
        </w:rPr>
      </w:pPr>
    </w:p>
    <w:p w14:paraId="516FA06D" w14:textId="5FAB8CDA" w:rsidR="00254A9F" w:rsidRDefault="00254A9F" w:rsidP="00254A9F">
      <w:pPr>
        <w:spacing w:before="280" w:after="240"/>
        <w:rPr>
          <w:b/>
          <w:sz w:val="32"/>
          <w:szCs w:val="32"/>
        </w:rPr>
      </w:pPr>
      <w:r w:rsidRPr="00062B85">
        <w:rPr>
          <w:noProof/>
          <w:highlight w:val="yellow"/>
        </w:rPr>
        <w:drawing>
          <wp:anchor distT="0" distB="0" distL="114300" distR="114300" simplePos="0" relativeHeight="251658240" behindDoc="0" locked="0" layoutInCell="1" allowOverlap="1" wp14:anchorId="448A0641" wp14:editId="7E1EC320">
            <wp:simplePos x="0" y="0"/>
            <wp:positionH relativeFrom="margin">
              <wp:align>center</wp:align>
            </wp:positionH>
            <wp:positionV relativeFrom="margin">
              <wp:align>top</wp:align>
            </wp:positionV>
            <wp:extent cx="3542030" cy="746760"/>
            <wp:effectExtent l="0" t="0" r="1270" b="0"/>
            <wp:wrapSquare wrapText="bothSides"/>
            <wp:docPr id="2" name="Picture 2"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26A51C2" w14:textId="77777777" w:rsidR="00254A9F" w:rsidRDefault="00254A9F" w:rsidP="00254A9F">
      <w:pPr>
        <w:pStyle w:val="LI-Title"/>
        <w:pBdr>
          <w:top w:val="none" w:sz="0" w:space="0" w:color="auto"/>
        </w:pBdr>
        <w:jc w:val="center"/>
      </w:pPr>
    </w:p>
    <w:p w14:paraId="03CF695B" w14:textId="77777777" w:rsidR="00254A9F" w:rsidRDefault="00254A9F" w:rsidP="00254A9F">
      <w:pPr>
        <w:pStyle w:val="LI-Title"/>
        <w:pBdr>
          <w:top w:val="none" w:sz="0" w:space="0" w:color="auto"/>
        </w:pBdr>
        <w:jc w:val="center"/>
      </w:pPr>
      <w:r>
        <w:t>Explanatory Statement</w:t>
      </w:r>
    </w:p>
    <w:p w14:paraId="47096E6C" w14:textId="77777777" w:rsidR="00254A9F" w:rsidRDefault="00254A9F" w:rsidP="00254A9F">
      <w:pPr>
        <w:rPr>
          <w:lang w:eastAsia="en-AU"/>
        </w:rPr>
      </w:pPr>
    </w:p>
    <w:p w14:paraId="781BFDFD" w14:textId="77777777" w:rsidR="007C1E4A" w:rsidRPr="002A4D87" w:rsidRDefault="007C1E4A" w:rsidP="007C1E4A">
      <w:pPr>
        <w:jc w:val="center"/>
        <w:rPr>
          <w:b/>
          <w:i/>
          <w:sz w:val="28"/>
          <w:szCs w:val="28"/>
          <w:lang w:eastAsia="en-AU"/>
        </w:rPr>
      </w:pPr>
      <w:r w:rsidRPr="002A4D87">
        <w:rPr>
          <w:b/>
          <w:i/>
          <w:sz w:val="28"/>
          <w:szCs w:val="28"/>
          <w:lang w:eastAsia="en-AU"/>
        </w:rPr>
        <w:t>ASIC Corporations (Deferral of Design and Distribution Obligations) Instrument 2020/</w:t>
      </w:r>
      <w:r>
        <w:rPr>
          <w:b/>
          <w:i/>
          <w:sz w:val="28"/>
          <w:szCs w:val="28"/>
          <w:lang w:eastAsia="en-AU"/>
        </w:rPr>
        <w:t>486</w:t>
      </w:r>
    </w:p>
    <w:p w14:paraId="64EBC9AB" w14:textId="77777777" w:rsidR="007C1E4A" w:rsidRPr="00C4170B" w:rsidRDefault="007C1E4A" w:rsidP="007C1E4A">
      <w:pPr>
        <w:jc w:val="center"/>
        <w:rPr>
          <w:b/>
          <w:i/>
          <w:sz w:val="28"/>
          <w:szCs w:val="28"/>
          <w:lang w:eastAsia="en-AU"/>
        </w:rPr>
      </w:pPr>
    </w:p>
    <w:p w14:paraId="4FDDFF13" w14:textId="4C881F88" w:rsidR="00254A9F" w:rsidRPr="002A4D87" w:rsidRDefault="001E7884" w:rsidP="00254A9F">
      <w:pPr>
        <w:jc w:val="center"/>
        <w:rPr>
          <w:b/>
          <w:i/>
          <w:sz w:val="28"/>
          <w:szCs w:val="28"/>
          <w:lang w:eastAsia="en-AU"/>
        </w:rPr>
      </w:pPr>
      <w:r w:rsidRPr="002A4D87">
        <w:rPr>
          <w:b/>
          <w:i/>
          <w:sz w:val="28"/>
          <w:szCs w:val="28"/>
          <w:lang w:eastAsia="en-AU"/>
        </w:rPr>
        <w:t xml:space="preserve">ASIC </w:t>
      </w:r>
      <w:r w:rsidR="009A3B94" w:rsidRPr="002A4D87">
        <w:rPr>
          <w:b/>
          <w:i/>
          <w:sz w:val="28"/>
          <w:szCs w:val="28"/>
          <w:lang w:eastAsia="en-AU"/>
        </w:rPr>
        <w:t>Credit</w:t>
      </w:r>
      <w:r w:rsidRPr="002A4D87">
        <w:rPr>
          <w:b/>
          <w:i/>
          <w:sz w:val="28"/>
          <w:szCs w:val="28"/>
          <w:lang w:eastAsia="en-AU"/>
        </w:rPr>
        <w:t xml:space="preserve"> (</w:t>
      </w:r>
      <w:r w:rsidR="009A3B94" w:rsidRPr="002A4D87">
        <w:rPr>
          <w:b/>
          <w:i/>
          <w:sz w:val="28"/>
          <w:szCs w:val="28"/>
          <w:lang w:eastAsia="en-AU"/>
        </w:rPr>
        <w:t xml:space="preserve">Deferral of Mortgage Broker </w:t>
      </w:r>
      <w:r w:rsidR="00DA4EEF" w:rsidRPr="002A4D87">
        <w:rPr>
          <w:b/>
          <w:i/>
          <w:sz w:val="28"/>
          <w:szCs w:val="28"/>
          <w:lang w:eastAsia="en-AU"/>
        </w:rPr>
        <w:t>Obligations</w:t>
      </w:r>
      <w:r w:rsidRPr="002A4D87">
        <w:rPr>
          <w:b/>
          <w:i/>
          <w:sz w:val="28"/>
          <w:szCs w:val="28"/>
          <w:lang w:eastAsia="en-AU"/>
        </w:rPr>
        <w:t>) Instrument</w:t>
      </w:r>
      <w:r w:rsidR="002A4D87">
        <w:rPr>
          <w:b/>
          <w:i/>
          <w:sz w:val="28"/>
          <w:szCs w:val="28"/>
          <w:lang w:eastAsia="en-AU"/>
        </w:rPr>
        <w:t> </w:t>
      </w:r>
      <w:r w:rsidRPr="002A4D87">
        <w:rPr>
          <w:b/>
          <w:i/>
          <w:sz w:val="28"/>
          <w:szCs w:val="28"/>
          <w:lang w:eastAsia="en-AU"/>
        </w:rPr>
        <w:t>2020/</w:t>
      </w:r>
      <w:r w:rsidR="00EC168D">
        <w:rPr>
          <w:b/>
          <w:i/>
          <w:sz w:val="28"/>
          <w:szCs w:val="28"/>
          <w:lang w:eastAsia="en-AU"/>
        </w:rPr>
        <w:t>487</w:t>
      </w:r>
      <w:r w:rsidR="002A4D87">
        <w:rPr>
          <w:b/>
          <w:i/>
          <w:sz w:val="28"/>
          <w:szCs w:val="28"/>
          <w:lang w:eastAsia="en-AU"/>
        </w:rPr>
        <w:br/>
      </w:r>
    </w:p>
    <w:p w14:paraId="66EF1410" w14:textId="77777777" w:rsidR="002A4D87" w:rsidRDefault="00254A9F" w:rsidP="00254A9F">
      <w:pPr>
        <w:pStyle w:val="LI-BodyTextParaa"/>
        <w:ind w:left="0" w:firstLine="0"/>
      </w:pPr>
      <w:bookmarkStart w:id="0" w:name="BK_S3P1L1C1"/>
      <w:bookmarkEnd w:id="0"/>
      <w:r>
        <w:t>This is the Explanatory Statement for</w:t>
      </w:r>
      <w:r w:rsidR="002A4D87">
        <w:t xml:space="preserve"> the:</w:t>
      </w:r>
      <w:r w:rsidR="001E7884">
        <w:t xml:space="preserve"> </w:t>
      </w:r>
    </w:p>
    <w:p w14:paraId="02A42697" w14:textId="5079A659" w:rsidR="007C1E4A" w:rsidRDefault="007C1E4A" w:rsidP="007C1E4A">
      <w:pPr>
        <w:pStyle w:val="LI-BodyTextParaa"/>
        <w:ind w:left="567"/>
      </w:pPr>
      <w:r w:rsidRPr="002A4D87">
        <w:t>(</w:t>
      </w:r>
      <w:r>
        <w:t>a</w:t>
      </w:r>
      <w:r w:rsidRPr="002A4D87">
        <w:t>)</w:t>
      </w:r>
      <w:r>
        <w:tab/>
      </w:r>
      <w:r>
        <w:rPr>
          <w:i/>
        </w:rPr>
        <w:t>ASIC Corporations (Deferral of Design and Distribution Obligations) Instrument </w:t>
      </w:r>
      <w:r w:rsidRPr="00A112BD">
        <w:rPr>
          <w:i/>
        </w:rPr>
        <w:t xml:space="preserve">2020/486 </w:t>
      </w:r>
      <w:r w:rsidRPr="00A112BD">
        <w:t xml:space="preserve">(the </w:t>
      </w:r>
      <w:r w:rsidRPr="00A112BD">
        <w:rPr>
          <w:b/>
        </w:rPr>
        <w:t>DDO Deferral Instrument</w:t>
      </w:r>
      <w:r w:rsidRPr="00A112BD">
        <w:t>)</w:t>
      </w:r>
      <w:r w:rsidR="00AF1D98" w:rsidRPr="00A112BD">
        <w:t>; and</w:t>
      </w:r>
    </w:p>
    <w:p w14:paraId="2BD3AAA5" w14:textId="43B70AAF" w:rsidR="002A4D87" w:rsidRPr="00A112BD" w:rsidRDefault="002A4D87" w:rsidP="007C1E4A">
      <w:pPr>
        <w:pStyle w:val="LI-BodyTextParaa"/>
        <w:ind w:left="567"/>
      </w:pPr>
      <w:r>
        <w:t>(</w:t>
      </w:r>
      <w:r w:rsidR="007C1E4A">
        <w:t>b</w:t>
      </w:r>
      <w:r>
        <w:t>)</w:t>
      </w:r>
      <w:r>
        <w:tab/>
      </w:r>
      <w:r w:rsidR="001E7884" w:rsidRPr="00A112BD">
        <w:rPr>
          <w:i/>
        </w:rPr>
        <w:t xml:space="preserve">ASIC </w:t>
      </w:r>
      <w:r w:rsidR="009A3B94" w:rsidRPr="00A112BD">
        <w:rPr>
          <w:i/>
        </w:rPr>
        <w:t>Credit</w:t>
      </w:r>
      <w:r w:rsidR="001E7884" w:rsidRPr="00A112BD">
        <w:rPr>
          <w:i/>
        </w:rPr>
        <w:t xml:space="preserve"> (</w:t>
      </w:r>
      <w:r w:rsidR="009A3B94" w:rsidRPr="00A112BD">
        <w:rPr>
          <w:i/>
        </w:rPr>
        <w:t>Deferral of Mort</w:t>
      </w:r>
      <w:bookmarkStart w:id="1" w:name="_GoBack"/>
      <w:bookmarkEnd w:id="1"/>
      <w:r w:rsidR="009A3B94" w:rsidRPr="00A112BD">
        <w:rPr>
          <w:i/>
        </w:rPr>
        <w:t xml:space="preserve">gage Broker </w:t>
      </w:r>
      <w:r w:rsidR="001D7D0A" w:rsidRPr="00A112BD">
        <w:rPr>
          <w:i/>
        </w:rPr>
        <w:t>Obligations</w:t>
      </w:r>
      <w:r w:rsidR="001E7884" w:rsidRPr="00A112BD">
        <w:rPr>
          <w:i/>
        </w:rPr>
        <w:t>) Instrument 2020/</w:t>
      </w:r>
      <w:r w:rsidR="007C1E4A" w:rsidRPr="00A112BD">
        <w:rPr>
          <w:i/>
        </w:rPr>
        <w:t>487</w:t>
      </w:r>
      <w:r w:rsidR="00E02F87" w:rsidRPr="00A112BD">
        <w:rPr>
          <w:i/>
        </w:rPr>
        <w:t xml:space="preserve"> </w:t>
      </w:r>
      <w:r w:rsidR="00B926F6" w:rsidRPr="00A112BD">
        <w:t>(</w:t>
      </w:r>
      <w:bookmarkStart w:id="2" w:name="_Hlk40268199"/>
      <w:r w:rsidRPr="00A112BD">
        <w:t xml:space="preserve">the </w:t>
      </w:r>
      <w:r w:rsidR="00B926F6" w:rsidRPr="00A112BD">
        <w:rPr>
          <w:b/>
        </w:rPr>
        <w:t>Mortgage Broker Deferral Instrument</w:t>
      </w:r>
      <w:bookmarkEnd w:id="2"/>
      <w:r w:rsidR="00B926F6" w:rsidRPr="00A112BD">
        <w:t>)</w:t>
      </w:r>
      <w:r w:rsidR="00AF1D98" w:rsidRPr="00A112BD">
        <w:t>.</w:t>
      </w:r>
      <w:r w:rsidRPr="00A112BD">
        <w:t> </w:t>
      </w:r>
    </w:p>
    <w:p w14:paraId="1E9FD9CB" w14:textId="7B1AF227" w:rsidR="00254A9F" w:rsidRPr="00A112BD" w:rsidRDefault="00254A9F" w:rsidP="00254A9F">
      <w:pPr>
        <w:pStyle w:val="LI-BodyTextParaa"/>
        <w:ind w:left="0" w:firstLine="0"/>
      </w:pPr>
      <w:r w:rsidRPr="00A112BD">
        <w:t>The Explanatory Statement is approved by the Australian Securities and Investments Commission (</w:t>
      </w:r>
      <w:r w:rsidRPr="00A112BD">
        <w:rPr>
          <w:b/>
        </w:rPr>
        <w:t>ASIC</w:t>
      </w:r>
      <w:r w:rsidRPr="00A112BD">
        <w:t>).</w:t>
      </w:r>
    </w:p>
    <w:p w14:paraId="75730EF8" w14:textId="77777777" w:rsidR="00254A9F" w:rsidRPr="0018659E" w:rsidRDefault="00254A9F" w:rsidP="0091521B">
      <w:pPr>
        <w:pStyle w:val="LI-BodyTextNumbered"/>
        <w:numPr>
          <w:ilvl w:val="0"/>
          <w:numId w:val="0"/>
        </w:numPr>
        <w:rPr>
          <w:b/>
        </w:rPr>
      </w:pPr>
      <w:r>
        <w:rPr>
          <w:b/>
        </w:rPr>
        <w:t>Summary</w:t>
      </w:r>
    </w:p>
    <w:p w14:paraId="2F9A8821" w14:textId="7199262A" w:rsidR="00B63839" w:rsidRPr="000957E9" w:rsidRDefault="002A4D87" w:rsidP="002A4D87">
      <w:pPr>
        <w:pStyle w:val="LI-BodyTextParaa"/>
        <w:ind w:left="567"/>
      </w:pPr>
      <w:r>
        <w:t>1.</w:t>
      </w:r>
      <w:r>
        <w:tab/>
      </w:r>
      <w:r w:rsidR="00B63839">
        <w:t xml:space="preserve">The </w:t>
      </w:r>
      <w:r w:rsidR="00FA07A2">
        <w:t>DDO Deferral Instrument and the</w:t>
      </w:r>
      <w:r w:rsidR="00B63839">
        <w:t xml:space="preserve"> Mortgage Broker Deferral Instrument provide </w:t>
      </w:r>
      <w:r w:rsidR="00B63839" w:rsidRPr="00A112BD">
        <w:t>relief in relation to two upcoming sets of r</w:t>
      </w:r>
      <w:r w:rsidR="0081000B" w:rsidRPr="00A112BD">
        <w:t>eforms</w:t>
      </w:r>
      <w:r w:rsidR="0004253C" w:rsidRPr="00A112BD">
        <w:t>: the design and distribution obligations</w:t>
      </w:r>
      <w:r w:rsidR="003D55EE" w:rsidRPr="00A112BD">
        <w:t xml:space="preserve"> (</w:t>
      </w:r>
      <w:r w:rsidR="003D55EE" w:rsidRPr="00A112BD">
        <w:rPr>
          <w:b/>
        </w:rPr>
        <w:t>DDO</w:t>
      </w:r>
      <w:r w:rsidR="00F24184" w:rsidRPr="00A112BD">
        <w:t xml:space="preserve">) and the </w:t>
      </w:r>
      <w:r w:rsidR="0004253C" w:rsidRPr="00A112BD">
        <w:t>mortgage broker reforms</w:t>
      </w:r>
      <w:r w:rsidR="00F24184" w:rsidRPr="00A112BD">
        <w:t>.</w:t>
      </w:r>
      <w:r w:rsidR="0004253C" w:rsidRPr="00A112BD">
        <w:t xml:space="preserve"> </w:t>
      </w:r>
      <w:bookmarkStart w:id="3" w:name="_Hlk40895810"/>
      <w:r w:rsidR="0081000B" w:rsidRPr="00A112BD">
        <w:t>This relief is provided</w:t>
      </w:r>
      <w:r w:rsidR="00B63839" w:rsidRPr="00A112BD">
        <w:t xml:space="preserve"> in response to the significant </w:t>
      </w:r>
      <w:r w:rsidR="00176C7E" w:rsidRPr="00A112BD">
        <w:t>effect</w:t>
      </w:r>
      <w:r w:rsidR="00B63839" w:rsidRPr="00A112BD">
        <w:t xml:space="preserve"> of COVID-19 on the Australian economy, especially on the financial system</w:t>
      </w:r>
      <w:r w:rsidR="007C1E4A" w:rsidRPr="00A112BD">
        <w:t xml:space="preserve">, financial services providers </w:t>
      </w:r>
      <w:r w:rsidR="00B63839" w:rsidRPr="00A112BD">
        <w:t>and consumers.</w:t>
      </w:r>
    </w:p>
    <w:bookmarkEnd w:id="3"/>
    <w:p w14:paraId="2114B8BC" w14:textId="305F0041" w:rsidR="00F24184" w:rsidRDefault="002A4D87" w:rsidP="00F24184">
      <w:pPr>
        <w:pStyle w:val="LI-BodyTextParaa"/>
        <w:ind w:left="567"/>
      </w:pPr>
      <w:r>
        <w:t>2.</w:t>
      </w:r>
      <w:r>
        <w:tab/>
      </w:r>
      <w:r w:rsidR="00F24184" w:rsidRPr="00A112BD">
        <w:t>The DDO Deferral Instrument</w:t>
      </w:r>
      <w:r w:rsidR="00F24184" w:rsidRPr="00A112BD">
        <w:rPr>
          <w:i/>
        </w:rPr>
        <w:t xml:space="preserve"> </w:t>
      </w:r>
      <w:r w:rsidR="00F24184" w:rsidRPr="00A112BD">
        <w:t xml:space="preserve">provides a temporary exemption for six months from the </w:t>
      </w:r>
      <w:r w:rsidR="00124ACF" w:rsidRPr="00A112BD">
        <w:t>DDO</w:t>
      </w:r>
      <w:r w:rsidR="00F24184" w:rsidRPr="00A112BD">
        <w:t xml:space="preserve"> which will be found in Part 7.8A of the </w:t>
      </w:r>
      <w:r w:rsidR="00F24184" w:rsidRPr="00A112BD">
        <w:rPr>
          <w:i/>
        </w:rPr>
        <w:t xml:space="preserve">Corporations Act 2001 </w:t>
      </w:r>
      <w:r w:rsidR="00F24184" w:rsidRPr="00A112BD">
        <w:t xml:space="preserve">(the </w:t>
      </w:r>
      <w:r w:rsidR="00F24184" w:rsidRPr="00A112BD">
        <w:rPr>
          <w:b/>
        </w:rPr>
        <w:t>Corporations Act</w:t>
      </w:r>
      <w:r w:rsidR="00F24184" w:rsidRPr="00A112BD">
        <w:t>).</w:t>
      </w:r>
    </w:p>
    <w:p w14:paraId="32FFD2F9" w14:textId="3420711A" w:rsidR="00F24184" w:rsidRDefault="00F24184" w:rsidP="00F24184">
      <w:pPr>
        <w:pStyle w:val="LI-BodyTextParaa"/>
        <w:ind w:left="567"/>
      </w:pPr>
      <w:r>
        <w:t>3.</w:t>
      </w:r>
      <w:r>
        <w:tab/>
        <w:t xml:space="preserve">The </w:t>
      </w:r>
      <w:r w:rsidR="00210B85">
        <w:t>DDO</w:t>
      </w:r>
      <w:r>
        <w:t xml:space="preserve"> </w:t>
      </w:r>
      <w:r w:rsidRPr="00A112BD">
        <w:t xml:space="preserve">will be inserted into the Corporations Act by the </w:t>
      </w:r>
      <w:r w:rsidRPr="00A112BD">
        <w:rPr>
          <w:i/>
        </w:rPr>
        <w:t>Treasury Laws Amendment (Design and Distribution Obligations and Product Intervention Powers) Act 2019</w:t>
      </w:r>
      <w:r w:rsidRPr="00A112BD">
        <w:t xml:space="preserve"> on </w:t>
      </w:r>
      <w:proofErr w:type="gramStart"/>
      <w:r w:rsidRPr="00A112BD">
        <w:t>5 April 2021, and</w:t>
      </w:r>
      <w:proofErr w:type="gramEnd"/>
      <w:r w:rsidRPr="00A112BD">
        <w:t xml:space="preserve"> will apply from that date. The effect of the temporary exemption is that persons will only be required to comply with these obligations from 5 October 2021.</w:t>
      </w:r>
    </w:p>
    <w:p w14:paraId="1515ED32" w14:textId="7A5BFBA3" w:rsidR="0082292D" w:rsidRDefault="00F24184" w:rsidP="002A4D87">
      <w:pPr>
        <w:pStyle w:val="LI-BodyTextParaa"/>
        <w:ind w:left="567"/>
      </w:pPr>
      <w:r>
        <w:t xml:space="preserve">4. </w:t>
      </w:r>
      <w:r w:rsidR="002A4D87">
        <w:tab/>
      </w:r>
      <w:r w:rsidR="00B63839">
        <w:t>T</w:t>
      </w:r>
      <w:r w:rsidR="00D57E12">
        <w:t xml:space="preserve">he </w:t>
      </w:r>
      <w:r w:rsidR="00B926F6" w:rsidRPr="000957E9">
        <w:t>Mortgage Broker Deferral Instrument</w:t>
      </w:r>
      <w:r w:rsidR="009A3B94" w:rsidDel="00371536">
        <w:t xml:space="preserve"> </w:t>
      </w:r>
      <w:r w:rsidR="00371536">
        <w:t>provides</w:t>
      </w:r>
      <w:r w:rsidR="00B91FCF">
        <w:t xml:space="preserve"> temporary</w:t>
      </w:r>
      <w:r w:rsidR="00371536">
        <w:t xml:space="preserve"> exemptions </w:t>
      </w:r>
      <w:r w:rsidR="001A5B75">
        <w:t xml:space="preserve">for </w:t>
      </w:r>
      <w:r w:rsidR="00176C7E">
        <w:t>six</w:t>
      </w:r>
      <w:r w:rsidR="001A5B75">
        <w:t xml:space="preserve"> months </w:t>
      </w:r>
      <w:r w:rsidR="006A4C7A">
        <w:t xml:space="preserve">from obligations under the </w:t>
      </w:r>
      <w:r w:rsidR="0007534F">
        <w:rPr>
          <w:i/>
        </w:rPr>
        <w:t xml:space="preserve">National </w:t>
      </w:r>
      <w:r w:rsidR="006A4C7A" w:rsidRPr="0064578E">
        <w:rPr>
          <w:i/>
        </w:rPr>
        <w:t>Consumer Credit Protection Act 2009</w:t>
      </w:r>
      <w:r w:rsidR="006A4C7A">
        <w:rPr>
          <w:i/>
        </w:rPr>
        <w:t xml:space="preserve"> </w:t>
      </w:r>
      <w:r w:rsidR="006A4C7A" w:rsidRPr="00B91FCF">
        <w:t>(</w:t>
      </w:r>
      <w:r w:rsidR="00011390">
        <w:t xml:space="preserve">the </w:t>
      </w:r>
      <w:r w:rsidR="00B22093" w:rsidRPr="000957E9">
        <w:rPr>
          <w:b/>
        </w:rPr>
        <w:t xml:space="preserve">National Credit </w:t>
      </w:r>
      <w:r w:rsidR="006A4C7A" w:rsidRPr="000957E9">
        <w:rPr>
          <w:b/>
        </w:rPr>
        <w:t>Act</w:t>
      </w:r>
      <w:r w:rsidR="006A4C7A" w:rsidRPr="00B91FCF">
        <w:t>)</w:t>
      </w:r>
      <w:r w:rsidR="006A4C7A">
        <w:t xml:space="preserve"> including</w:t>
      </w:r>
      <w:r w:rsidR="0082292D">
        <w:t>:</w:t>
      </w:r>
    </w:p>
    <w:p w14:paraId="3F4B409E" w14:textId="7FE6EAAD" w:rsidR="0082292D" w:rsidRPr="00A112BD" w:rsidRDefault="002A4D87" w:rsidP="002A4D87">
      <w:pPr>
        <w:pStyle w:val="LI-BodyTextParaa"/>
        <w:ind w:left="1134"/>
      </w:pPr>
      <w:r>
        <w:lastRenderedPageBreak/>
        <w:t>(a)</w:t>
      </w:r>
      <w:r>
        <w:tab/>
      </w:r>
      <w:r w:rsidR="00B22093" w:rsidRPr="00A112BD">
        <w:t xml:space="preserve">the </w:t>
      </w:r>
      <w:r w:rsidR="006339D4" w:rsidRPr="00A112BD">
        <w:t>duty to act in the best interests of the consumer in relation to credit assistance (</w:t>
      </w:r>
      <w:r w:rsidRPr="00A112BD">
        <w:t xml:space="preserve">the </w:t>
      </w:r>
      <w:r w:rsidR="006339D4" w:rsidRPr="00A112BD">
        <w:rPr>
          <w:b/>
        </w:rPr>
        <w:t xml:space="preserve">best </w:t>
      </w:r>
      <w:proofErr w:type="gramStart"/>
      <w:r w:rsidR="006339D4" w:rsidRPr="00A112BD">
        <w:rPr>
          <w:b/>
        </w:rPr>
        <w:t>interests</w:t>
      </w:r>
      <w:proofErr w:type="gramEnd"/>
      <w:r w:rsidR="006339D4" w:rsidRPr="00A112BD">
        <w:rPr>
          <w:b/>
        </w:rPr>
        <w:t xml:space="preserve"> duty</w:t>
      </w:r>
      <w:r w:rsidR="006339D4" w:rsidRPr="00A112BD">
        <w:t>)</w:t>
      </w:r>
      <w:r w:rsidR="0082292D" w:rsidRPr="00A112BD">
        <w:t>;</w:t>
      </w:r>
    </w:p>
    <w:p w14:paraId="000EB6F4" w14:textId="5B9FCF35" w:rsidR="006A4C7A" w:rsidRPr="00A112BD" w:rsidRDefault="002A4D87" w:rsidP="002A4D87">
      <w:pPr>
        <w:pStyle w:val="LI-BodyTextParaa"/>
        <w:ind w:left="1134"/>
      </w:pPr>
      <w:r w:rsidRPr="00A112BD">
        <w:t>(b)</w:t>
      </w:r>
      <w:r w:rsidRPr="00A112BD">
        <w:tab/>
      </w:r>
      <w:r w:rsidR="006A4C7A" w:rsidRPr="00A112BD">
        <w:t>the requirement to prioritise consumers’ interests when providing credit assistance</w:t>
      </w:r>
      <w:r w:rsidR="006339D4" w:rsidRPr="00A112BD">
        <w:t xml:space="preserve"> (</w:t>
      </w:r>
      <w:r w:rsidRPr="00A112BD">
        <w:t xml:space="preserve">the </w:t>
      </w:r>
      <w:r w:rsidR="006339D4" w:rsidRPr="00A112BD">
        <w:rPr>
          <w:b/>
        </w:rPr>
        <w:t>conflict priority rule</w:t>
      </w:r>
      <w:r w:rsidR="006339D4" w:rsidRPr="00A112BD">
        <w:t>)</w:t>
      </w:r>
      <w:r w:rsidR="006A4C7A" w:rsidRPr="00A112BD">
        <w:t xml:space="preserve">; and </w:t>
      </w:r>
    </w:p>
    <w:p w14:paraId="21D8E66F" w14:textId="7A4FD1E5" w:rsidR="006A4C7A" w:rsidRPr="00A112BD" w:rsidRDefault="002A4D87" w:rsidP="002A4D87">
      <w:pPr>
        <w:pStyle w:val="LI-BodyTextParaa"/>
        <w:ind w:left="1134"/>
      </w:pPr>
      <w:r w:rsidRPr="00A112BD">
        <w:t>(c)</w:t>
      </w:r>
      <w:r w:rsidRPr="00A112BD">
        <w:tab/>
      </w:r>
      <w:r w:rsidR="006A4C7A" w:rsidRPr="00A112BD">
        <w:t>the ban on conflicted remuneration.</w:t>
      </w:r>
    </w:p>
    <w:p w14:paraId="036931C7" w14:textId="411C44B0" w:rsidR="00B22093" w:rsidRPr="00A112BD" w:rsidRDefault="00F24184" w:rsidP="002A4D87">
      <w:pPr>
        <w:pStyle w:val="LI-BodyTextParaa"/>
        <w:ind w:left="567"/>
      </w:pPr>
      <w:r w:rsidRPr="00A112BD">
        <w:t>5</w:t>
      </w:r>
      <w:r w:rsidR="002A4D87" w:rsidRPr="00A112BD">
        <w:t>.</w:t>
      </w:r>
      <w:r w:rsidR="002A4D87" w:rsidRPr="00A112BD">
        <w:tab/>
      </w:r>
      <w:r w:rsidR="001A5B75" w:rsidRPr="00A112BD">
        <w:t>These</w:t>
      </w:r>
      <w:r w:rsidR="00B91FCF" w:rsidRPr="00A112BD">
        <w:t xml:space="preserve"> reforms </w:t>
      </w:r>
      <w:r w:rsidR="001A5B75" w:rsidRPr="00A112BD">
        <w:t>were inserted into the</w:t>
      </w:r>
      <w:r w:rsidR="00B22093" w:rsidRPr="00A112BD">
        <w:t xml:space="preserve"> National Credit</w:t>
      </w:r>
      <w:r w:rsidR="00CD3E99" w:rsidRPr="00A112BD">
        <w:t xml:space="preserve"> </w:t>
      </w:r>
      <w:r w:rsidR="001A5B75" w:rsidRPr="00A112BD">
        <w:t>Act by</w:t>
      </w:r>
      <w:r w:rsidR="00B91FCF" w:rsidRPr="00A112BD">
        <w:t xml:space="preserve"> Schedule 3 </w:t>
      </w:r>
      <w:r w:rsidR="001A5B75" w:rsidRPr="00A112BD">
        <w:t>t</w:t>
      </w:r>
      <w:r w:rsidR="00B91FCF" w:rsidRPr="00A112BD">
        <w:t xml:space="preserve">o the </w:t>
      </w:r>
      <w:r w:rsidR="00B91FCF" w:rsidRPr="00A112BD">
        <w:rPr>
          <w:i/>
          <w:iCs/>
        </w:rPr>
        <w:t>Financial Sector Reform (Hayne Royal Commission Response—Protecting Consumers (2019 Measures)) Act 2020</w:t>
      </w:r>
      <w:r w:rsidR="00B91FCF" w:rsidRPr="00A112BD">
        <w:rPr>
          <w:iCs/>
        </w:rPr>
        <w:t xml:space="preserve"> (</w:t>
      </w:r>
      <w:r w:rsidR="002A4D87" w:rsidRPr="00A112BD">
        <w:rPr>
          <w:iCs/>
        </w:rPr>
        <w:t xml:space="preserve">the </w:t>
      </w:r>
      <w:r w:rsidR="00B91FCF" w:rsidRPr="00A112BD">
        <w:rPr>
          <w:b/>
          <w:iCs/>
        </w:rPr>
        <w:t>mortgage broker reforms)</w:t>
      </w:r>
      <w:r w:rsidR="001A5B75" w:rsidRPr="00A112BD">
        <w:rPr>
          <w:b/>
          <w:iCs/>
        </w:rPr>
        <w:t xml:space="preserve"> </w:t>
      </w:r>
      <w:r w:rsidR="001A5B75" w:rsidRPr="00A112BD">
        <w:rPr>
          <w:iCs/>
        </w:rPr>
        <w:t xml:space="preserve">and apply from 1 July 2020. The effect of the temporary exemptions </w:t>
      </w:r>
      <w:r w:rsidR="00CA354D" w:rsidRPr="00A112BD">
        <w:rPr>
          <w:iCs/>
        </w:rPr>
        <w:t>is</w:t>
      </w:r>
      <w:r w:rsidR="001A5B75" w:rsidRPr="00A112BD">
        <w:rPr>
          <w:iCs/>
        </w:rPr>
        <w:t xml:space="preserve"> that persons </w:t>
      </w:r>
      <w:r w:rsidR="002654B3" w:rsidRPr="00A112BD">
        <w:rPr>
          <w:iCs/>
        </w:rPr>
        <w:t xml:space="preserve">will only be required to </w:t>
      </w:r>
      <w:r w:rsidR="001A5B75" w:rsidRPr="00A112BD">
        <w:rPr>
          <w:iCs/>
        </w:rPr>
        <w:t xml:space="preserve">comply with these </w:t>
      </w:r>
      <w:r w:rsidR="00B22093" w:rsidRPr="00A112BD">
        <w:rPr>
          <w:iCs/>
        </w:rPr>
        <w:t xml:space="preserve">obligations </w:t>
      </w:r>
      <w:r w:rsidR="002654B3" w:rsidRPr="00A112BD">
        <w:rPr>
          <w:iCs/>
        </w:rPr>
        <w:t>from</w:t>
      </w:r>
      <w:r w:rsidR="00D12124" w:rsidRPr="00A112BD">
        <w:t xml:space="preserve"> 1 January 2021. </w:t>
      </w:r>
    </w:p>
    <w:p w14:paraId="071D0DAC" w14:textId="7D95B6E1" w:rsidR="00254A9F" w:rsidRDefault="00254A9F" w:rsidP="002A4D87">
      <w:pPr>
        <w:pStyle w:val="LI-BodyTextNumbered"/>
        <w:numPr>
          <w:ilvl w:val="0"/>
          <w:numId w:val="0"/>
        </w:numPr>
        <w:rPr>
          <w:b/>
        </w:rPr>
      </w:pPr>
      <w:r>
        <w:rPr>
          <w:b/>
        </w:rPr>
        <w:t>Purpose of the instrument</w:t>
      </w:r>
      <w:r w:rsidR="00C72AED">
        <w:rPr>
          <w:b/>
        </w:rPr>
        <w:t>s</w:t>
      </w:r>
    </w:p>
    <w:p w14:paraId="7EF456EE" w14:textId="746FD873" w:rsidR="0081000B" w:rsidRDefault="00527425" w:rsidP="002A4D87">
      <w:pPr>
        <w:pStyle w:val="LI-BodyTextParaa"/>
        <w:ind w:left="567"/>
      </w:pPr>
      <w:r>
        <w:t>6.</w:t>
      </w:r>
      <w:r>
        <w:tab/>
      </w:r>
      <w:r w:rsidR="000A19AF">
        <w:t>The</w:t>
      </w:r>
      <w:r w:rsidR="00F22E4C">
        <w:t>se</w:t>
      </w:r>
      <w:r w:rsidR="000A19AF">
        <w:t xml:space="preserve"> instruments facilitate industry participants focusing on immediate priorities and the needs of their customers during the COVID-19 pandemic period, by extending the time they have to prepare for the </w:t>
      </w:r>
      <w:proofErr w:type="gramStart"/>
      <w:r w:rsidR="004342B4">
        <w:t>DDO</w:t>
      </w:r>
      <w:proofErr w:type="gramEnd"/>
      <w:r w:rsidR="00F24184">
        <w:t xml:space="preserve"> </w:t>
      </w:r>
      <w:r w:rsidR="000A19AF">
        <w:t xml:space="preserve">and the </w:t>
      </w:r>
      <w:r w:rsidR="00F24184">
        <w:t>mortgage broker reforms</w:t>
      </w:r>
      <w:r w:rsidR="001D3B0C">
        <w:t>.</w:t>
      </w:r>
    </w:p>
    <w:p w14:paraId="468C9D21" w14:textId="29B7FD91" w:rsidR="000112E6" w:rsidRPr="002464B0" w:rsidRDefault="00527425" w:rsidP="002A4D87">
      <w:pPr>
        <w:pStyle w:val="LI-BodyTextParaa"/>
        <w:ind w:left="567"/>
        <w:rPr>
          <w:bCs/>
        </w:rPr>
      </w:pPr>
      <w:r>
        <w:rPr>
          <w:bCs/>
        </w:rPr>
        <w:t>7.</w:t>
      </w:r>
      <w:r>
        <w:rPr>
          <w:bCs/>
        </w:rPr>
        <w:tab/>
      </w:r>
      <w:r w:rsidR="0018212C">
        <w:rPr>
          <w:bCs/>
        </w:rPr>
        <w:t>The purpose of the</w:t>
      </w:r>
      <w:r w:rsidR="00F22E4C">
        <w:rPr>
          <w:bCs/>
        </w:rPr>
        <w:t>se</w:t>
      </w:r>
      <w:r w:rsidR="0018212C">
        <w:rPr>
          <w:bCs/>
        </w:rPr>
        <w:t xml:space="preserve"> </w:t>
      </w:r>
      <w:r w:rsidR="00F22E4C">
        <w:rPr>
          <w:bCs/>
        </w:rPr>
        <w:t>i</w:t>
      </w:r>
      <w:r w:rsidR="0018212C">
        <w:rPr>
          <w:bCs/>
        </w:rPr>
        <w:t>nstrument</w:t>
      </w:r>
      <w:r w:rsidR="004F1BD5">
        <w:rPr>
          <w:bCs/>
        </w:rPr>
        <w:t>s</w:t>
      </w:r>
      <w:r w:rsidR="0018212C">
        <w:rPr>
          <w:bCs/>
        </w:rPr>
        <w:t xml:space="preserve"> is to </w:t>
      </w:r>
      <w:r w:rsidR="001A5B75">
        <w:rPr>
          <w:bCs/>
        </w:rPr>
        <w:t>ensure that</w:t>
      </w:r>
      <w:r w:rsidR="004F1BD5">
        <w:rPr>
          <w:bCs/>
        </w:rPr>
        <w:t>, in response to COVID-19,</w:t>
      </w:r>
      <w:r w:rsidR="001A5B75">
        <w:rPr>
          <w:bCs/>
        </w:rPr>
        <w:t xml:space="preserve"> persons do not need to comply with </w:t>
      </w:r>
      <w:r w:rsidR="0018212C">
        <w:rPr>
          <w:bCs/>
        </w:rPr>
        <w:t xml:space="preserve">the </w:t>
      </w:r>
      <w:proofErr w:type="gramStart"/>
      <w:r w:rsidR="004342B4">
        <w:rPr>
          <w:bCs/>
        </w:rPr>
        <w:t>DDO</w:t>
      </w:r>
      <w:proofErr w:type="gramEnd"/>
      <w:r w:rsidR="003B7580">
        <w:rPr>
          <w:bCs/>
        </w:rPr>
        <w:t xml:space="preserve"> </w:t>
      </w:r>
      <w:r w:rsidR="00F24184">
        <w:rPr>
          <w:bCs/>
        </w:rPr>
        <w:t xml:space="preserve">and </w:t>
      </w:r>
      <w:r w:rsidR="0018212C">
        <w:rPr>
          <w:bCs/>
        </w:rPr>
        <w:t xml:space="preserve">the mortgage broker reforms </w:t>
      </w:r>
      <w:r w:rsidR="001A5B75">
        <w:rPr>
          <w:bCs/>
        </w:rPr>
        <w:t>for an additional six months</w:t>
      </w:r>
      <w:r w:rsidR="0018212C">
        <w:rPr>
          <w:bCs/>
        </w:rPr>
        <w:t xml:space="preserve">. </w:t>
      </w:r>
      <w:r w:rsidR="001A5B75">
        <w:rPr>
          <w:bCs/>
        </w:rPr>
        <w:t>This is consistent with other Government announcements about the timeframes for implementing reforms that reflect the recommendations of the Royal Commission</w:t>
      </w:r>
      <w:r w:rsidR="00AE320A">
        <w:rPr>
          <w:bCs/>
        </w:rPr>
        <w:t xml:space="preserve"> into Misconduct in the Banking, Superannuation and Financial Services Industry</w:t>
      </w:r>
      <w:r w:rsidR="001A5B75">
        <w:rPr>
          <w:bCs/>
        </w:rPr>
        <w:t>.</w:t>
      </w:r>
    </w:p>
    <w:p w14:paraId="6BA360DA" w14:textId="77777777" w:rsidR="00254A9F" w:rsidRDefault="00254A9F" w:rsidP="00527425">
      <w:pPr>
        <w:pStyle w:val="LI-BodyTextNumbered"/>
        <w:numPr>
          <w:ilvl w:val="0"/>
          <w:numId w:val="0"/>
        </w:numPr>
        <w:rPr>
          <w:b/>
        </w:rPr>
      </w:pPr>
      <w:bookmarkStart w:id="4" w:name="_Hlk534291624"/>
      <w:r>
        <w:rPr>
          <w:b/>
        </w:rPr>
        <w:t>Consultation</w:t>
      </w:r>
    </w:p>
    <w:p w14:paraId="795C9CDD" w14:textId="740D5D39" w:rsidR="00570C6B" w:rsidRDefault="00527425" w:rsidP="00527425">
      <w:pPr>
        <w:pStyle w:val="LI-BodyTextParaa"/>
        <w:ind w:left="567"/>
      </w:pPr>
      <w:r>
        <w:t>8.</w:t>
      </w:r>
      <w:r>
        <w:tab/>
      </w:r>
      <w:r w:rsidR="00F24184">
        <w:t xml:space="preserve">During ASIC’s consultation on draft guidance for the </w:t>
      </w:r>
      <w:r w:rsidR="003B7580">
        <w:t>DDO</w:t>
      </w:r>
      <w:r w:rsidR="00F24184">
        <w:t xml:space="preserve"> (</w:t>
      </w:r>
      <w:hyperlink r:id="rId13" w:history="1">
        <w:r w:rsidR="00F24184" w:rsidRPr="005066A7">
          <w:rPr>
            <w:rStyle w:val="Hyperlink"/>
          </w:rPr>
          <w:t>Consultation Paper 325</w:t>
        </w:r>
      </w:hyperlink>
      <w:r w:rsidR="00F24184">
        <w:t xml:space="preserve"> </w:t>
      </w:r>
      <w:r w:rsidR="00F24184">
        <w:rPr>
          <w:i/>
        </w:rPr>
        <w:t>Product design and distribution obligations</w:t>
      </w:r>
      <w:r w:rsidR="00F24184">
        <w:t>) ASIC heard from a number of stakeholders that work being undertaken to implement the obligations was being disrupted as a result of COVID-19 and that more time would be required to implement this reform.</w:t>
      </w:r>
    </w:p>
    <w:p w14:paraId="0089588F" w14:textId="01F6B6CB" w:rsidR="0081000B" w:rsidRDefault="00527425" w:rsidP="00527425">
      <w:pPr>
        <w:pStyle w:val="LI-BodyTextParaa"/>
        <w:ind w:left="567"/>
      </w:pPr>
      <w:r>
        <w:t>9.</w:t>
      </w:r>
      <w:r>
        <w:tab/>
      </w:r>
      <w:r w:rsidR="00F24184">
        <w:t>During ASIC’s consultation on draft guidance about the mortgage broker reforms (</w:t>
      </w:r>
      <w:hyperlink r:id="rId14" w:history="1">
        <w:r w:rsidR="00F24184" w:rsidRPr="00533A0E">
          <w:rPr>
            <w:rStyle w:val="Hyperlink"/>
          </w:rPr>
          <w:t>Consultation Paper 327</w:t>
        </w:r>
      </w:hyperlink>
      <w:r w:rsidR="00F24184">
        <w:t xml:space="preserve"> </w:t>
      </w:r>
      <w:r w:rsidR="00F24184" w:rsidRPr="00C54EB6">
        <w:rPr>
          <w:i/>
        </w:rPr>
        <w:t>Implementing the Royal Commission recommendations: Mortgage brokers and the best interests duty</w:t>
      </w:r>
      <w:r w:rsidR="00F24184">
        <w:t>), many industry stakeholders advocated for a deferral to the start date of the obligations. These stakeholders suggested that COVID-19 has disrupted or delayed their</w:t>
      </w:r>
      <w:r w:rsidR="009C63A5">
        <w:t xml:space="preserve"> </w:t>
      </w:r>
      <w:r w:rsidR="00F24184">
        <w:t>preparatory training and compliance activities and it would be difficult to ensure compliance by the scheduled start date of 1 July 2020.</w:t>
      </w:r>
    </w:p>
    <w:p w14:paraId="547FA7FF" w14:textId="55553F17" w:rsidR="001A5B75" w:rsidRDefault="00527425" w:rsidP="00527425">
      <w:pPr>
        <w:pStyle w:val="LI-BodyTextParaa"/>
        <w:ind w:left="567"/>
      </w:pPr>
      <w:r>
        <w:t>10.</w:t>
      </w:r>
      <w:r>
        <w:tab/>
      </w:r>
      <w:r w:rsidR="001A5B75">
        <w:t>ASIC has also consulted with Treasury and the Treasurer about the exemptions in th</w:t>
      </w:r>
      <w:r w:rsidR="00C72AED">
        <w:t>ese</w:t>
      </w:r>
      <w:r w:rsidR="001A5B75">
        <w:t xml:space="preserve"> instrument</w:t>
      </w:r>
      <w:r w:rsidR="00C72AED">
        <w:t>s</w:t>
      </w:r>
      <w:r w:rsidR="001A5B75">
        <w:t>.</w:t>
      </w:r>
    </w:p>
    <w:p w14:paraId="5889CB8A" w14:textId="617DD737" w:rsidR="00570C6B" w:rsidRDefault="00527425" w:rsidP="00527425">
      <w:pPr>
        <w:pStyle w:val="LI-BodyTextParaa"/>
        <w:ind w:left="567"/>
      </w:pPr>
      <w:r>
        <w:t>11.</w:t>
      </w:r>
      <w:r>
        <w:tab/>
      </w:r>
      <w:r w:rsidR="00570C6B">
        <w:t>The Prime Minister has granted an exemption from the need to complete regulatory impact analysis in the form of Regulation Impact Statements for all Australian Government measures made in response to COVID-19.</w:t>
      </w:r>
    </w:p>
    <w:p w14:paraId="02A90BDD" w14:textId="07D847D6" w:rsidR="00254A9F" w:rsidRDefault="00254A9F" w:rsidP="00527425">
      <w:pPr>
        <w:pStyle w:val="LI-BodyTextNumbered"/>
        <w:numPr>
          <w:ilvl w:val="0"/>
          <w:numId w:val="0"/>
        </w:numPr>
        <w:rPr>
          <w:b/>
        </w:rPr>
      </w:pPr>
      <w:r>
        <w:rPr>
          <w:b/>
        </w:rPr>
        <w:lastRenderedPageBreak/>
        <w:t>Operation of the instrument</w:t>
      </w:r>
      <w:r w:rsidR="00C72AED">
        <w:rPr>
          <w:b/>
        </w:rPr>
        <w:t>s</w:t>
      </w:r>
    </w:p>
    <w:p w14:paraId="2A9D4806" w14:textId="77777777" w:rsidR="00F24184" w:rsidRPr="00A112BD" w:rsidRDefault="00F24184" w:rsidP="00F24184">
      <w:pPr>
        <w:pStyle w:val="LI-BodyTextNumbered"/>
        <w:numPr>
          <w:ilvl w:val="0"/>
          <w:numId w:val="0"/>
        </w:numPr>
        <w:rPr>
          <w:i/>
          <w:u w:val="single"/>
        </w:rPr>
      </w:pPr>
      <w:r w:rsidRPr="00A112BD">
        <w:rPr>
          <w:i/>
          <w:u w:val="single"/>
        </w:rPr>
        <w:t>DDO Deferral Instrument</w:t>
      </w:r>
    </w:p>
    <w:p w14:paraId="1F7EA246" w14:textId="70CF4815" w:rsidR="003B7580" w:rsidRPr="00A112BD" w:rsidRDefault="00F24184" w:rsidP="003B7580">
      <w:pPr>
        <w:pStyle w:val="LI-BodyTextParaa"/>
        <w:tabs>
          <w:tab w:val="left" w:pos="3544"/>
        </w:tabs>
        <w:ind w:left="567"/>
      </w:pPr>
      <w:r w:rsidRPr="00A112BD">
        <w:t>1</w:t>
      </w:r>
      <w:r w:rsidR="000E3617" w:rsidRPr="00A112BD">
        <w:t>2</w:t>
      </w:r>
      <w:r w:rsidRPr="00A112BD">
        <w:t>.</w:t>
      </w:r>
      <w:r w:rsidRPr="00A112BD">
        <w:tab/>
      </w:r>
      <w:r w:rsidR="003B7580" w:rsidRPr="00A112BD">
        <w:t>The DDO reform is intended to assist consumers to obtain appropriate financial products by requiring issuers and distributors to have a customer-centric approach to designing, marketing and distributing financial products.</w:t>
      </w:r>
    </w:p>
    <w:p w14:paraId="6EE0C5C6" w14:textId="545EE472" w:rsidR="00F24184" w:rsidRPr="00A112BD" w:rsidRDefault="003B7580" w:rsidP="00F24184">
      <w:pPr>
        <w:pStyle w:val="LI-BodyTextParaa"/>
        <w:tabs>
          <w:tab w:val="left" w:pos="3544"/>
        </w:tabs>
        <w:ind w:left="567"/>
        <w:rPr>
          <w:lang w:val="en-US"/>
        </w:rPr>
      </w:pPr>
      <w:r w:rsidRPr="00A112BD">
        <w:t>13</w:t>
      </w:r>
      <w:r w:rsidRPr="00A112BD">
        <w:tab/>
      </w:r>
      <w:r w:rsidR="00F24184" w:rsidRPr="00A112BD">
        <w:t xml:space="preserve">The </w:t>
      </w:r>
      <w:r w:rsidR="00F24184" w:rsidRPr="00A112BD">
        <w:rPr>
          <w:i/>
        </w:rPr>
        <w:t>design</w:t>
      </w:r>
      <w:r w:rsidR="00F24184" w:rsidRPr="00A112BD">
        <w:t xml:space="preserve"> obligations require issuers of financial products to:</w:t>
      </w:r>
    </w:p>
    <w:p w14:paraId="40103497" w14:textId="77777777" w:rsidR="00F24184" w:rsidRPr="00A112BD" w:rsidRDefault="00F24184" w:rsidP="00F24184">
      <w:pPr>
        <w:pStyle w:val="LI-BodyTextParaa"/>
        <w:tabs>
          <w:tab w:val="left" w:pos="3544"/>
        </w:tabs>
        <w:ind w:left="1134"/>
      </w:pPr>
      <w:r w:rsidRPr="00A112BD">
        <w:t>(a)</w:t>
      </w:r>
      <w:r w:rsidRPr="00A112BD">
        <w:tab/>
        <w:t>make a publicly available target market determination;</w:t>
      </w:r>
    </w:p>
    <w:p w14:paraId="48BE61D7" w14:textId="77777777" w:rsidR="00F24184" w:rsidRPr="00A112BD" w:rsidRDefault="00F24184" w:rsidP="00F24184">
      <w:pPr>
        <w:pStyle w:val="LI-BodyTextParaa"/>
        <w:tabs>
          <w:tab w:val="left" w:pos="3544"/>
        </w:tabs>
        <w:ind w:left="1134"/>
        <w:rPr>
          <w:lang w:val="en-US"/>
        </w:rPr>
      </w:pPr>
      <w:r w:rsidRPr="00A112BD">
        <w:t>(b)</w:t>
      </w:r>
      <w:r w:rsidRPr="00A112BD">
        <w:tab/>
        <w:t>to take reasonable steps so that retail product distribution conduct is consistent with the target market determination;</w:t>
      </w:r>
    </w:p>
    <w:p w14:paraId="4ABC5EE7" w14:textId="77777777" w:rsidR="00F24184" w:rsidRPr="00A112BD" w:rsidRDefault="00F24184" w:rsidP="00F24184">
      <w:pPr>
        <w:pStyle w:val="LI-BodyTextParaa"/>
        <w:tabs>
          <w:tab w:val="left" w:pos="3544"/>
        </w:tabs>
        <w:ind w:left="1134"/>
        <w:rPr>
          <w:lang w:val="en-US"/>
        </w:rPr>
      </w:pPr>
      <w:r w:rsidRPr="00A112BD">
        <w:t>(c)</w:t>
      </w:r>
      <w:r w:rsidRPr="00A112BD">
        <w:tab/>
        <w:t>review the target market determination as required to ensure it remains appropriate; and</w:t>
      </w:r>
    </w:p>
    <w:p w14:paraId="3791B00A" w14:textId="77777777" w:rsidR="00F24184" w:rsidRPr="00A112BD" w:rsidRDefault="00F24184" w:rsidP="00F24184">
      <w:pPr>
        <w:pStyle w:val="LI-BodyTextParaa"/>
        <w:tabs>
          <w:tab w:val="left" w:pos="3544"/>
        </w:tabs>
        <w:ind w:left="1134"/>
        <w:rPr>
          <w:lang w:val="en-US"/>
        </w:rPr>
      </w:pPr>
      <w:r w:rsidRPr="00A112BD">
        <w:t>(d)</w:t>
      </w:r>
      <w:r w:rsidRPr="00A112BD">
        <w:tab/>
        <w:t>notify ASIC of any significant dealings in a product that are not consistent with the product’s target market determination.</w:t>
      </w:r>
    </w:p>
    <w:p w14:paraId="6B1B4D97" w14:textId="2927C4C7" w:rsidR="00F24184" w:rsidRPr="00A112BD" w:rsidRDefault="00F24184" w:rsidP="00F24184">
      <w:pPr>
        <w:pStyle w:val="LI-BodyTextParaa"/>
        <w:tabs>
          <w:tab w:val="left" w:pos="3544"/>
        </w:tabs>
        <w:ind w:left="567"/>
        <w:rPr>
          <w:lang w:val="en-US"/>
        </w:rPr>
      </w:pPr>
      <w:r w:rsidRPr="00A112BD">
        <w:t>1</w:t>
      </w:r>
      <w:r w:rsidR="003B7580" w:rsidRPr="00A112BD">
        <w:t>4</w:t>
      </w:r>
      <w:r w:rsidRPr="00A112BD">
        <w:t>.</w:t>
      </w:r>
      <w:r w:rsidRPr="00A112BD">
        <w:tab/>
        <w:t xml:space="preserve">The </w:t>
      </w:r>
      <w:r w:rsidRPr="00A112BD">
        <w:rPr>
          <w:i/>
        </w:rPr>
        <w:t>distribution</w:t>
      </w:r>
      <w:r w:rsidRPr="00A112BD">
        <w:t xml:space="preserve"> obligations require distributors of financial products:</w:t>
      </w:r>
    </w:p>
    <w:p w14:paraId="117C9185" w14:textId="77777777" w:rsidR="00F24184" w:rsidRPr="00A112BD" w:rsidRDefault="00F24184" w:rsidP="00F24184">
      <w:pPr>
        <w:pStyle w:val="LI-BodyTextParaa"/>
        <w:tabs>
          <w:tab w:val="left" w:pos="3544"/>
        </w:tabs>
        <w:ind w:left="1134"/>
        <w:rPr>
          <w:lang w:val="en-US"/>
        </w:rPr>
      </w:pPr>
      <w:r w:rsidRPr="00A112BD">
        <w:t>(a)</w:t>
      </w:r>
      <w:r w:rsidRPr="00A112BD">
        <w:tab/>
        <w:t>not to engage in ‘retail product distribution conduct’ in relation to a product unless a target market determination has been made;</w:t>
      </w:r>
    </w:p>
    <w:p w14:paraId="72E751F0" w14:textId="77777777" w:rsidR="00F24184" w:rsidRPr="00A112BD" w:rsidRDefault="00F24184" w:rsidP="00F24184">
      <w:pPr>
        <w:pStyle w:val="LI-BodyTextParaa"/>
        <w:tabs>
          <w:tab w:val="left" w:pos="3544"/>
        </w:tabs>
        <w:ind w:left="1134"/>
        <w:rPr>
          <w:lang w:val="en-US"/>
        </w:rPr>
      </w:pPr>
      <w:r w:rsidRPr="00A112BD">
        <w:t>(b)</w:t>
      </w:r>
      <w:r w:rsidRPr="00A112BD">
        <w:tab/>
        <w:t>not to engage in retail product distribution conduct where a target market determination may no longer be appropriate;</w:t>
      </w:r>
    </w:p>
    <w:p w14:paraId="2F3F4DFD" w14:textId="77777777" w:rsidR="00F24184" w:rsidRPr="00A112BD" w:rsidRDefault="00F24184" w:rsidP="00F24184">
      <w:pPr>
        <w:pStyle w:val="LI-BodyTextParaa"/>
        <w:tabs>
          <w:tab w:val="left" w:pos="3544"/>
        </w:tabs>
        <w:ind w:left="1134"/>
        <w:rPr>
          <w:lang w:val="en-US"/>
        </w:rPr>
      </w:pPr>
      <w:r w:rsidRPr="00A112BD">
        <w:t>(c)</w:t>
      </w:r>
      <w:r w:rsidRPr="00A112BD">
        <w:tab/>
        <w:t>to take reasonable steps so that retail product distribution conduct is consistent with the target market determination;</w:t>
      </w:r>
    </w:p>
    <w:p w14:paraId="2A9FA8AC" w14:textId="77777777" w:rsidR="00F24184" w:rsidRPr="00A112BD" w:rsidRDefault="00F24184" w:rsidP="00F24184">
      <w:pPr>
        <w:pStyle w:val="LI-BodyTextParaa"/>
        <w:tabs>
          <w:tab w:val="left" w:pos="3544"/>
        </w:tabs>
        <w:ind w:left="1134"/>
        <w:rPr>
          <w:lang w:val="en-US"/>
        </w:rPr>
      </w:pPr>
      <w:r w:rsidRPr="00A112BD">
        <w:t>(d)</w:t>
      </w:r>
      <w:r w:rsidRPr="00A112BD">
        <w:tab/>
        <w:t>to collect information specified by the issuer and complaints related to a product and provide both to the issuer; and</w:t>
      </w:r>
    </w:p>
    <w:p w14:paraId="4A168615" w14:textId="77777777" w:rsidR="00F24184" w:rsidRPr="00A112BD" w:rsidRDefault="00F24184" w:rsidP="00F24184">
      <w:pPr>
        <w:pStyle w:val="LI-BodyTextParaa"/>
        <w:tabs>
          <w:tab w:val="left" w:pos="3544"/>
        </w:tabs>
        <w:ind w:left="1134"/>
        <w:rPr>
          <w:lang w:val="en-US"/>
        </w:rPr>
      </w:pPr>
      <w:r w:rsidRPr="00A112BD">
        <w:t>(e)</w:t>
      </w:r>
      <w:r w:rsidRPr="00A112BD">
        <w:tab/>
        <w:t>to notify the issuer of a product of any significant dealings in the product that are not consistent with the product’s target market determination.</w:t>
      </w:r>
    </w:p>
    <w:p w14:paraId="5D22A4ED" w14:textId="76114F5C" w:rsidR="00F24184" w:rsidRPr="00A112BD" w:rsidRDefault="000E3617" w:rsidP="00F24184">
      <w:pPr>
        <w:pStyle w:val="LI-BodyTextParaa"/>
        <w:ind w:left="567"/>
      </w:pPr>
      <w:r w:rsidRPr="00A112BD">
        <w:t>1</w:t>
      </w:r>
      <w:r w:rsidR="003B7580" w:rsidRPr="00A112BD">
        <w:t>5</w:t>
      </w:r>
      <w:r w:rsidR="00F24184" w:rsidRPr="00A112BD">
        <w:t>.</w:t>
      </w:r>
      <w:r w:rsidR="00F24184" w:rsidRPr="00A112BD">
        <w:tab/>
        <w:t xml:space="preserve">Section 5 of the instrument temporarily exempts regulated persons (essentially issuers and distributors of financial products), and any other person who is required to make a target market determination, from the </w:t>
      </w:r>
      <w:r w:rsidR="003B7580" w:rsidRPr="00A112BD">
        <w:t xml:space="preserve">DDO </w:t>
      </w:r>
      <w:r w:rsidR="00F24184" w:rsidRPr="00A112BD">
        <w:t>to be found in Part 7.8A of the Corporations Act until end of 4 October 2021. But for the exemption, these classes of persons would be required to comply with those obligations from 5 April 2021.</w:t>
      </w:r>
    </w:p>
    <w:p w14:paraId="151DF503" w14:textId="55A645A7" w:rsidR="00F24184" w:rsidRPr="00A112BD" w:rsidRDefault="000E3617" w:rsidP="00F24184">
      <w:pPr>
        <w:pStyle w:val="LI-BodyTextParaa"/>
        <w:ind w:left="567"/>
      </w:pPr>
      <w:r w:rsidRPr="00A112BD">
        <w:t>1</w:t>
      </w:r>
      <w:r w:rsidR="003B7580" w:rsidRPr="00A112BD">
        <w:t>6</w:t>
      </w:r>
      <w:r w:rsidR="00F24184" w:rsidRPr="00A112BD">
        <w:t>.</w:t>
      </w:r>
      <w:r w:rsidR="00F24184" w:rsidRPr="00A112BD">
        <w:tab/>
        <w:t xml:space="preserve">The instrument commences on the later of 5 April 2021 and the day after it is registered on the Federal Register of Legislation. </w:t>
      </w:r>
    </w:p>
    <w:p w14:paraId="0F488D86" w14:textId="6D6A0AAB" w:rsidR="00F22E4C" w:rsidRPr="00ED3AA9" w:rsidRDefault="00F22E4C" w:rsidP="00527425">
      <w:pPr>
        <w:pStyle w:val="LI-BodyTextNumbered"/>
        <w:numPr>
          <w:ilvl w:val="0"/>
          <w:numId w:val="0"/>
        </w:numPr>
        <w:ind w:firstLine="11"/>
        <w:rPr>
          <w:i/>
          <w:u w:val="single"/>
        </w:rPr>
      </w:pPr>
      <w:r w:rsidRPr="00ED3AA9">
        <w:rPr>
          <w:i/>
          <w:u w:val="single"/>
        </w:rPr>
        <w:t>Mortgage Broker Deferral Instrument</w:t>
      </w:r>
    </w:p>
    <w:p w14:paraId="364764FE" w14:textId="13C22CD7" w:rsidR="00CB4D53" w:rsidRPr="00C54EB6" w:rsidRDefault="00CB4D53" w:rsidP="00CB4D53">
      <w:pPr>
        <w:pStyle w:val="dotpoint"/>
        <w:numPr>
          <w:ilvl w:val="0"/>
          <w:numId w:val="0"/>
        </w:numPr>
        <w:spacing w:before="240" w:after="0"/>
        <w:ind w:left="567" w:hanging="567"/>
        <w:rPr>
          <w:sz w:val="24"/>
          <w:szCs w:val="24"/>
        </w:rPr>
      </w:pPr>
      <w:r>
        <w:rPr>
          <w:sz w:val="24"/>
          <w:szCs w:val="24"/>
        </w:rPr>
        <w:t>1</w:t>
      </w:r>
      <w:r w:rsidR="003B7580">
        <w:rPr>
          <w:sz w:val="24"/>
          <w:szCs w:val="24"/>
        </w:rPr>
        <w:t>7</w:t>
      </w:r>
      <w:r>
        <w:rPr>
          <w:sz w:val="24"/>
          <w:szCs w:val="24"/>
        </w:rPr>
        <w:t>.</w:t>
      </w:r>
      <w:r>
        <w:rPr>
          <w:sz w:val="24"/>
          <w:szCs w:val="24"/>
        </w:rPr>
        <w:tab/>
      </w:r>
      <w:r w:rsidRPr="00C54EB6">
        <w:rPr>
          <w:sz w:val="24"/>
          <w:szCs w:val="24"/>
        </w:rPr>
        <w:t xml:space="preserve">The </w:t>
      </w:r>
      <w:r>
        <w:rPr>
          <w:sz w:val="24"/>
          <w:szCs w:val="24"/>
        </w:rPr>
        <w:t>mortgage broker</w:t>
      </w:r>
      <w:r w:rsidRPr="00C54EB6">
        <w:rPr>
          <w:sz w:val="24"/>
          <w:szCs w:val="24"/>
        </w:rPr>
        <w:t xml:space="preserve"> reforms </w:t>
      </w:r>
      <w:r w:rsidR="005B6CDC">
        <w:rPr>
          <w:sz w:val="24"/>
          <w:szCs w:val="24"/>
        </w:rPr>
        <w:t>impose the following obligations</w:t>
      </w:r>
      <w:r w:rsidRPr="00C54EB6">
        <w:rPr>
          <w:sz w:val="24"/>
          <w:szCs w:val="24"/>
        </w:rPr>
        <w:t>:</w:t>
      </w:r>
    </w:p>
    <w:p w14:paraId="6BFA3A70" w14:textId="7005CFDE" w:rsidR="00CB4D53" w:rsidRPr="00A112BD" w:rsidRDefault="00CB4D53" w:rsidP="00CB4D53">
      <w:pPr>
        <w:pStyle w:val="dotpoint"/>
        <w:numPr>
          <w:ilvl w:val="0"/>
          <w:numId w:val="0"/>
        </w:numPr>
        <w:spacing w:before="240" w:after="0"/>
        <w:ind w:left="1134" w:hanging="567"/>
        <w:rPr>
          <w:sz w:val="24"/>
          <w:szCs w:val="24"/>
        </w:rPr>
      </w:pPr>
      <w:r w:rsidRPr="00A112BD">
        <w:rPr>
          <w:sz w:val="24"/>
        </w:rPr>
        <w:lastRenderedPageBreak/>
        <w:t>(a)</w:t>
      </w:r>
      <w:r w:rsidRPr="00A112BD">
        <w:rPr>
          <w:sz w:val="24"/>
        </w:rPr>
        <w:tab/>
        <w:t xml:space="preserve">mortgage brokers must act in the best interests of consumers </w:t>
      </w:r>
      <w:r w:rsidR="005B6CDC" w:rsidRPr="00A112BD">
        <w:rPr>
          <w:sz w:val="24"/>
        </w:rPr>
        <w:t xml:space="preserve">and, where there is a conflict of interest, must give priority to consumers, </w:t>
      </w:r>
      <w:r w:rsidRPr="00A112BD">
        <w:rPr>
          <w:sz w:val="24"/>
        </w:rPr>
        <w:t xml:space="preserve">when providing credit assistance in relation to credit </w:t>
      </w:r>
      <w:r w:rsidRPr="00A112BD">
        <w:rPr>
          <w:sz w:val="24"/>
          <w:szCs w:val="24"/>
        </w:rPr>
        <w:t>contracts</w:t>
      </w:r>
      <w:r w:rsidR="005B6CDC" w:rsidRPr="00A112BD">
        <w:rPr>
          <w:sz w:val="24"/>
          <w:szCs w:val="24"/>
        </w:rPr>
        <w:t xml:space="preserve"> (see Division 2 of Part 3-5A of the National Credit Act)</w:t>
      </w:r>
      <w:r w:rsidRPr="00A112BD">
        <w:rPr>
          <w:sz w:val="24"/>
          <w:szCs w:val="24"/>
        </w:rPr>
        <w:t>;</w:t>
      </w:r>
    </w:p>
    <w:p w14:paraId="4C8E246A" w14:textId="2F7E1F27" w:rsidR="005B6CDC" w:rsidRPr="00A112BD" w:rsidRDefault="00CB4D53" w:rsidP="005B6CDC">
      <w:pPr>
        <w:pStyle w:val="dotpoint"/>
        <w:numPr>
          <w:ilvl w:val="0"/>
          <w:numId w:val="0"/>
        </w:numPr>
        <w:spacing w:before="240" w:after="0"/>
        <w:ind w:left="1134" w:hanging="567"/>
        <w:rPr>
          <w:sz w:val="24"/>
        </w:rPr>
      </w:pPr>
      <w:r w:rsidRPr="00A112BD">
        <w:rPr>
          <w:sz w:val="24"/>
        </w:rPr>
        <w:t>(</w:t>
      </w:r>
      <w:r w:rsidR="005B6CDC" w:rsidRPr="00A112BD">
        <w:rPr>
          <w:sz w:val="24"/>
        </w:rPr>
        <w:t>b</w:t>
      </w:r>
      <w:r w:rsidRPr="00A112BD">
        <w:rPr>
          <w:sz w:val="24"/>
        </w:rPr>
        <w:t>)</w:t>
      </w:r>
      <w:r w:rsidRPr="00A112BD">
        <w:rPr>
          <w:sz w:val="24"/>
        </w:rPr>
        <w:tab/>
        <w:t>mortgage brokers and mortgage intermediaries must not accept conflicted remuneration</w:t>
      </w:r>
      <w:r w:rsidR="005B6CDC" w:rsidRPr="00A112BD">
        <w:rPr>
          <w:sz w:val="24"/>
        </w:rPr>
        <w:t xml:space="preserve">, </w:t>
      </w:r>
      <w:r w:rsidRPr="00A112BD">
        <w:rPr>
          <w:sz w:val="24"/>
        </w:rPr>
        <w:t>and</w:t>
      </w:r>
      <w:r w:rsidR="005B6CDC" w:rsidRPr="00A112BD">
        <w:rPr>
          <w:sz w:val="24"/>
        </w:rPr>
        <w:t xml:space="preserve"> </w:t>
      </w:r>
      <w:r w:rsidRPr="00A112BD">
        <w:rPr>
          <w:sz w:val="24"/>
        </w:rPr>
        <w:t>employers, credit providers and mortgage intermediaries must not give conflicted remuneration to mortgage brokers or mortgage intermediaries</w:t>
      </w:r>
      <w:r w:rsidR="005B6CDC" w:rsidRPr="00A112BD">
        <w:rPr>
          <w:sz w:val="24"/>
        </w:rPr>
        <w:t xml:space="preserve"> (see Division 4 of Part 3-5A of the National Credit Act).</w:t>
      </w:r>
    </w:p>
    <w:p w14:paraId="5041D99F" w14:textId="5813279E" w:rsidR="005354D4" w:rsidRPr="00A112BD" w:rsidRDefault="005354D4" w:rsidP="00527425">
      <w:pPr>
        <w:pStyle w:val="LI-BodyTextParaa"/>
        <w:ind w:left="567"/>
      </w:pPr>
      <w:r w:rsidRPr="00A112BD">
        <w:t>1</w:t>
      </w:r>
      <w:r w:rsidR="003B7580" w:rsidRPr="00A112BD">
        <w:t>8</w:t>
      </w:r>
      <w:r w:rsidRPr="00A112BD">
        <w:t>.</w:t>
      </w:r>
      <w:r w:rsidRPr="00A112BD">
        <w:tab/>
      </w:r>
      <w:r w:rsidR="005B6CDC" w:rsidRPr="00A112BD">
        <w:t>S</w:t>
      </w:r>
      <w:r w:rsidR="002B32B6" w:rsidRPr="00A112BD">
        <w:t>ubs</w:t>
      </w:r>
      <w:r w:rsidR="0059207E" w:rsidRPr="00A112BD">
        <w:t>ections 5</w:t>
      </w:r>
      <w:r w:rsidR="002B32B6" w:rsidRPr="00A112BD">
        <w:t>(1)</w:t>
      </w:r>
      <w:r w:rsidR="0059207E" w:rsidRPr="00A112BD">
        <w:t xml:space="preserve"> and 6</w:t>
      </w:r>
      <w:r w:rsidR="002B32B6" w:rsidRPr="00A112BD">
        <w:t>(1)</w:t>
      </w:r>
      <w:r w:rsidR="00E866B1" w:rsidRPr="00A112BD">
        <w:t xml:space="preserve"> of the </w:t>
      </w:r>
      <w:proofErr w:type="gramStart"/>
      <w:r w:rsidR="00E10394" w:rsidRPr="00A112BD">
        <w:t>instrument</w:t>
      </w:r>
      <w:proofErr w:type="gramEnd"/>
      <w:r w:rsidR="00E10394" w:rsidRPr="00A112BD">
        <w:t xml:space="preserve"> </w:t>
      </w:r>
      <w:r w:rsidRPr="00A112BD">
        <w:t>respectively grant exemptions</w:t>
      </w:r>
      <w:r w:rsidR="0074669B" w:rsidRPr="00A112BD">
        <w:t xml:space="preserve"> from</w:t>
      </w:r>
      <w:r w:rsidRPr="00A112BD">
        <w:t>:</w:t>
      </w:r>
    </w:p>
    <w:p w14:paraId="6FF92C08" w14:textId="250E5324" w:rsidR="005354D4" w:rsidRPr="00A112BD" w:rsidRDefault="005354D4" w:rsidP="0074669B">
      <w:pPr>
        <w:pStyle w:val="LI-BodyTextParaa"/>
        <w:ind w:left="1134"/>
      </w:pPr>
      <w:r w:rsidRPr="00A112BD">
        <w:t>(a)</w:t>
      </w:r>
      <w:r w:rsidRPr="00A112BD">
        <w:tab/>
        <w:t xml:space="preserve">Division 2 of Part 3-5A of the </w:t>
      </w:r>
      <w:r w:rsidR="0074669B" w:rsidRPr="00A112BD">
        <w:t xml:space="preserve">National </w:t>
      </w:r>
      <w:r w:rsidRPr="00A112BD">
        <w:t>Credit Act in relation to the provision of credit assistance to a consumer before 1 January 2021; and</w:t>
      </w:r>
    </w:p>
    <w:p w14:paraId="3AE60538" w14:textId="06B8AD50" w:rsidR="005354D4" w:rsidRPr="00A112BD" w:rsidRDefault="005354D4" w:rsidP="0074669B">
      <w:pPr>
        <w:pStyle w:val="LI-BodyTextParaa"/>
        <w:ind w:left="1134"/>
      </w:pPr>
      <w:r w:rsidRPr="00A112BD">
        <w:t>(b)</w:t>
      </w:r>
      <w:r w:rsidRPr="00A112BD">
        <w:tab/>
        <w:t>Division 4 of Part 3-5A of th</w:t>
      </w:r>
      <w:r w:rsidR="0074669B" w:rsidRPr="00A112BD">
        <w:t>at</w:t>
      </w:r>
      <w:r w:rsidRPr="00A112BD">
        <w:t xml:space="preserve"> Act in relation to a benefit given before 1 January 2021 to a credit licensee or a representative of a credit licensee.</w:t>
      </w:r>
    </w:p>
    <w:p w14:paraId="7A30219F" w14:textId="494D67E8" w:rsidR="002B32B6" w:rsidRPr="00A112BD" w:rsidRDefault="002B32B6" w:rsidP="00ED3AA9">
      <w:pPr>
        <w:pStyle w:val="LI-BodyTextParaa"/>
        <w:ind w:left="567"/>
      </w:pPr>
      <w:bookmarkStart w:id="5" w:name="_Hlk40892701"/>
      <w:r w:rsidRPr="00A112BD">
        <w:t>1</w:t>
      </w:r>
      <w:r w:rsidR="003B7580" w:rsidRPr="00A112BD">
        <w:t>9</w:t>
      </w:r>
      <w:r w:rsidRPr="00A112BD">
        <w:t>.</w:t>
      </w:r>
      <w:r w:rsidRPr="00A112BD">
        <w:tab/>
        <w:t xml:space="preserve">Subsection 5(2) </w:t>
      </w:r>
      <w:r w:rsidR="00E10394" w:rsidRPr="00A112BD">
        <w:t xml:space="preserve">of the instrument </w:t>
      </w:r>
      <w:r w:rsidRPr="00A112BD">
        <w:t xml:space="preserve">specifies the classes of persons who may rely on the exemption from the best </w:t>
      </w:r>
      <w:proofErr w:type="gramStart"/>
      <w:r w:rsidRPr="00A112BD">
        <w:t>interests</w:t>
      </w:r>
      <w:proofErr w:type="gramEnd"/>
      <w:r w:rsidRPr="00A112BD">
        <w:t xml:space="preserve"> duty and conflict priority rule under Division 2 of Part 3-5A of the National Credit Act. </w:t>
      </w:r>
      <w:bookmarkStart w:id="6" w:name="_Hlk40945816"/>
      <w:r w:rsidRPr="00A112BD">
        <w:t>But for the exemption, these</w:t>
      </w:r>
      <w:r w:rsidR="00E10394" w:rsidRPr="00A112BD">
        <w:t> </w:t>
      </w:r>
      <w:r w:rsidRPr="00A112BD">
        <w:t xml:space="preserve">classes of persons would be required to comply </w:t>
      </w:r>
      <w:r w:rsidR="00E02EB0" w:rsidRPr="00A112BD">
        <w:t xml:space="preserve">with </w:t>
      </w:r>
      <w:r w:rsidRPr="00A112BD">
        <w:t>those obligations from 1</w:t>
      </w:r>
      <w:r w:rsidR="00E10394" w:rsidRPr="00A112BD">
        <w:t> </w:t>
      </w:r>
      <w:r w:rsidRPr="00A112BD">
        <w:t>July 2020.</w:t>
      </w:r>
      <w:bookmarkEnd w:id="6"/>
    </w:p>
    <w:bookmarkEnd w:id="5"/>
    <w:p w14:paraId="1184DF81" w14:textId="0E916AA8" w:rsidR="002B32B6" w:rsidRPr="00A112BD" w:rsidRDefault="003B7580" w:rsidP="002B32B6">
      <w:pPr>
        <w:pStyle w:val="LI-BodyTextParaa"/>
        <w:ind w:left="567"/>
      </w:pPr>
      <w:r w:rsidRPr="00A112BD">
        <w:t>20</w:t>
      </w:r>
      <w:r w:rsidR="002B32B6" w:rsidRPr="00A112BD">
        <w:t>.</w:t>
      </w:r>
      <w:r w:rsidR="002B32B6" w:rsidRPr="00A112BD">
        <w:tab/>
        <w:t xml:space="preserve">Subsection 6(2) </w:t>
      </w:r>
      <w:r w:rsidR="00E10394" w:rsidRPr="00A112BD">
        <w:t xml:space="preserve">of the instrument </w:t>
      </w:r>
      <w:r w:rsidR="002B32B6" w:rsidRPr="00A112BD">
        <w:t xml:space="preserve">specifies the classes of persons who may rely on the exemption from the ban on accepting and giving conflicted remuneration under Division 4 of Part 3-5A of the National Credit Act. But for the exemption, these classes of persons would be required to comply </w:t>
      </w:r>
      <w:r w:rsidR="00E02EB0" w:rsidRPr="00A112BD">
        <w:t xml:space="preserve">with </w:t>
      </w:r>
      <w:r w:rsidR="002B32B6" w:rsidRPr="00A112BD">
        <w:t>those obligations from 1</w:t>
      </w:r>
      <w:r w:rsidR="00E10394" w:rsidRPr="00A112BD">
        <w:t> </w:t>
      </w:r>
      <w:r w:rsidR="002B32B6" w:rsidRPr="00A112BD">
        <w:t>July 2020.</w:t>
      </w:r>
    </w:p>
    <w:p w14:paraId="641B10E2" w14:textId="5FD8D92A" w:rsidR="00252D41" w:rsidRPr="00A112BD" w:rsidRDefault="000E3617" w:rsidP="00ED3AA9">
      <w:pPr>
        <w:pStyle w:val="LI-BodyTextParaa"/>
        <w:ind w:left="567"/>
      </w:pPr>
      <w:bookmarkStart w:id="7" w:name="_Hlk40894638"/>
      <w:r w:rsidRPr="00A112BD">
        <w:t>2</w:t>
      </w:r>
      <w:r w:rsidR="003B7580" w:rsidRPr="00A112BD">
        <w:t>1</w:t>
      </w:r>
      <w:r w:rsidR="0074669B" w:rsidRPr="00A112BD">
        <w:t>.</w:t>
      </w:r>
      <w:r w:rsidR="0074669B" w:rsidRPr="00A112BD">
        <w:tab/>
      </w:r>
      <w:r w:rsidR="00252D41" w:rsidRPr="00A112BD">
        <w:t>The</w:t>
      </w:r>
      <w:r w:rsidR="0074669B" w:rsidRPr="00A112BD">
        <w:t xml:space="preserve">se exemptions have </w:t>
      </w:r>
      <w:r w:rsidR="00252D41" w:rsidRPr="00A112BD">
        <w:t xml:space="preserve">the effect of delaying by six months the application of amendments to the </w:t>
      </w:r>
      <w:r w:rsidR="000E1BD4" w:rsidRPr="00A112BD">
        <w:t xml:space="preserve">National Credit Act </w:t>
      </w:r>
      <w:r w:rsidR="00252D41" w:rsidRPr="00A112BD">
        <w:t>to require mortgage brokers to act in the best interests of consumers and to address conflicted remuneration for mortgage brokers and mortgage intermediaries such as aggregators.</w:t>
      </w:r>
    </w:p>
    <w:bookmarkEnd w:id="7"/>
    <w:p w14:paraId="68E54317" w14:textId="027A3EE3" w:rsidR="005B6CDC" w:rsidRPr="00A112BD" w:rsidRDefault="000E3617" w:rsidP="005B6CDC">
      <w:pPr>
        <w:pStyle w:val="LI-BodyTextParaa"/>
        <w:ind w:left="567"/>
      </w:pPr>
      <w:r w:rsidRPr="00A112BD">
        <w:t>2</w:t>
      </w:r>
      <w:r w:rsidR="003B7580" w:rsidRPr="00A112BD">
        <w:t>2</w:t>
      </w:r>
      <w:r w:rsidR="005B6CDC" w:rsidRPr="00A112BD">
        <w:t>.</w:t>
      </w:r>
      <w:r w:rsidR="005B6CDC" w:rsidRPr="00A112BD">
        <w:tab/>
      </w:r>
      <w:r w:rsidR="002B32B6" w:rsidRPr="00A112BD">
        <w:t>T</w:t>
      </w:r>
      <w:r w:rsidR="005B6CDC" w:rsidRPr="00A112BD">
        <w:t>he instrument commences on the day after it is registered on the Federal</w:t>
      </w:r>
      <w:r w:rsidR="002B32B6" w:rsidRPr="00A112BD">
        <w:t xml:space="preserve"> </w:t>
      </w:r>
      <w:r w:rsidR="005B6CDC" w:rsidRPr="00A112BD">
        <w:t xml:space="preserve">Register of Legislation. </w:t>
      </w:r>
    </w:p>
    <w:p w14:paraId="272B76EE" w14:textId="77777777" w:rsidR="00254A9F" w:rsidRPr="00C52E7C" w:rsidRDefault="00254A9F" w:rsidP="00254A9F">
      <w:pPr>
        <w:pStyle w:val="LI-BodyTextParaa"/>
        <w:ind w:left="567"/>
        <w:rPr>
          <w:u w:val="single"/>
        </w:rPr>
      </w:pPr>
      <w:r>
        <w:rPr>
          <w:u w:val="single"/>
        </w:rPr>
        <w:t>Legislative instrument and p</w:t>
      </w:r>
      <w:r w:rsidRPr="00C52E7C">
        <w:rPr>
          <w:u w:val="single"/>
        </w:rPr>
        <w:t xml:space="preserve">rimary legislation  </w:t>
      </w:r>
    </w:p>
    <w:p w14:paraId="1A3606AB" w14:textId="26CB44E9" w:rsidR="00353A06" w:rsidRDefault="00CB4D53" w:rsidP="00CB4D53">
      <w:pPr>
        <w:pStyle w:val="LI-BodyTextParaa"/>
        <w:ind w:left="567"/>
      </w:pPr>
      <w:r>
        <w:t>2</w:t>
      </w:r>
      <w:r w:rsidR="003B7580">
        <w:t>3</w:t>
      </w:r>
      <w:r>
        <w:t>.</w:t>
      </w:r>
      <w:r>
        <w:tab/>
      </w:r>
      <w:r w:rsidR="00254A9F">
        <w:t xml:space="preserve">The subject matter and policy implemented by </w:t>
      </w:r>
      <w:r w:rsidR="00000BBB" w:rsidRPr="00000BBB">
        <w:t>the</w:t>
      </w:r>
      <w:r w:rsidR="002830DA">
        <w:t>se</w:t>
      </w:r>
      <w:r w:rsidR="00000BBB" w:rsidRPr="00000BBB">
        <w:t xml:space="preserve"> </w:t>
      </w:r>
      <w:r w:rsidR="008C756E">
        <w:t>i</w:t>
      </w:r>
      <w:r w:rsidR="00000BBB" w:rsidRPr="00000BBB">
        <w:t>nstrument</w:t>
      </w:r>
      <w:r w:rsidR="008C756E">
        <w:t>s</w:t>
      </w:r>
      <w:r w:rsidR="00000BBB" w:rsidRPr="00000BBB">
        <w:t xml:space="preserve"> </w:t>
      </w:r>
      <w:r w:rsidR="00254A9F">
        <w:t>is more appropriate for a legislative</w:t>
      </w:r>
      <w:r w:rsidR="00000BBB" w:rsidRPr="00000BBB">
        <w:t xml:space="preserve"> </w:t>
      </w:r>
      <w:r w:rsidR="00254A9F">
        <w:t>instrument rather than primary legislation</w:t>
      </w:r>
      <w:r w:rsidR="00000BBB" w:rsidRPr="00000BBB">
        <w:t xml:space="preserve">. The </w:t>
      </w:r>
      <w:r w:rsidR="008C756E">
        <w:t>i</w:t>
      </w:r>
      <w:r w:rsidR="00000BBB" w:rsidRPr="00000BBB">
        <w:t>nstrument</w:t>
      </w:r>
      <w:r w:rsidR="008C756E">
        <w:t>s</w:t>
      </w:r>
      <w:r w:rsidR="00000BBB" w:rsidRPr="00000BBB">
        <w:t xml:space="preserve"> use powers given by Parliament to ASIC, which allow ASIC to</w:t>
      </w:r>
      <w:r w:rsidR="00215A8C">
        <w:t xml:space="preserve"> exempt persons from specified provisions in the</w:t>
      </w:r>
      <w:r w:rsidR="00176C7E">
        <w:t xml:space="preserve"> National Credit</w:t>
      </w:r>
      <w:r w:rsidR="00215A8C">
        <w:t xml:space="preserve"> Act</w:t>
      </w:r>
      <w:r w:rsidR="00176C7E">
        <w:t xml:space="preserve"> and Corporations Act</w:t>
      </w:r>
      <w:r w:rsidR="00000BBB">
        <w:t>.</w:t>
      </w:r>
      <w:r w:rsidR="00215A8C">
        <w:t xml:space="preserve"> Use of th</w:t>
      </w:r>
      <w:r w:rsidR="008C756E">
        <w:t>ese</w:t>
      </w:r>
      <w:r w:rsidR="00215A8C">
        <w:t xml:space="preserve"> power</w:t>
      </w:r>
      <w:r w:rsidR="008C756E">
        <w:t>s</w:t>
      </w:r>
      <w:r w:rsidR="00215A8C">
        <w:t xml:space="preserve"> allows </w:t>
      </w:r>
      <w:r w:rsidR="00615610">
        <w:t xml:space="preserve">ASIC to respond quickly and temporarily to </w:t>
      </w:r>
      <w:r w:rsidR="00215A8C" w:rsidRPr="00215A8C">
        <w:t xml:space="preserve">issues </w:t>
      </w:r>
      <w:r w:rsidR="00615610">
        <w:t>in connection with or arising from</w:t>
      </w:r>
      <w:r w:rsidR="00215A8C" w:rsidRPr="00215A8C">
        <w:t xml:space="preserve"> COVID-19</w:t>
      </w:r>
      <w:r w:rsidR="00615610">
        <w:t>.</w:t>
      </w:r>
      <w:r w:rsidR="00215A8C">
        <w:t xml:space="preserve"> </w:t>
      </w:r>
    </w:p>
    <w:p w14:paraId="27F4A96B" w14:textId="5F1F6C32" w:rsidR="00254A9F" w:rsidRDefault="00CB4D53" w:rsidP="00CB4D53">
      <w:pPr>
        <w:pStyle w:val="LI-BodyTextParaa"/>
        <w:ind w:left="567"/>
      </w:pPr>
      <w:r>
        <w:t>2</w:t>
      </w:r>
      <w:r w:rsidR="003B7580">
        <w:t>4</w:t>
      </w:r>
      <w:r>
        <w:t>.</w:t>
      </w:r>
      <w:r>
        <w:tab/>
      </w:r>
      <w:r w:rsidR="00215A8C">
        <w:t>A timely response is important to provide certainty to industry about the deferral before the scheduled commencement o</w:t>
      </w:r>
      <w:r w:rsidR="008C756E">
        <w:t>f these reforms.</w:t>
      </w:r>
    </w:p>
    <w:bookmarkEnd w:id="4"/>
    <w:p w14:paraId="7014259D" w14:textId="77777777" w:rsidR="00254A9F" w:rsidRDefault="00254A9F" w:rsidP="00254A9F">
      <w:pPr>
        <w:pStyle w:val="LI-BodyTextParaa"/>
        <w:ind w:left="0" w:firstLine="0"/>
        <w:rPr>
          <w:b/>
        </w:rPr>
      </w:pPr>
      <w:r>
        <w:rPr>
          <w:b/>
        </w:rPr>
        <w:lastRenderedPageBreak/>
        <w:t>Legislative authority</w:t>
      </w:r>
    </w:p>
    <w:p w14:paraId="4EC3C004" w14:textId="7BA3D94B" w:rsidR="00232043" w:rsidRPr="00A112BD" w:rsidRDefault="00CB4D53" w:rsidP="00CB4D53">
      <w:pPr>
        <w:pStyle w:val="LI-BodyTextParaa"/>
        <w:ind w:left="567"/>
      </w:pPr>
      <w:r>
        <w:t>2</w:t>
      </w:r>
      <w:r w:rsidR="003B7580">
        <w:t>5</w:t>
      </w:r>
      <w:r>
        <w:t>.</w:t>
      </w:r>
      <w:r>
        <w:tab/>
      </w:r>
      <w:r w:rsidR="00F24184">
        <w:t xml:space="preserve">The DDO </w:t>
      </w:r>
      <w:r w:rsidR="00F24184" w:rsidRPr="00A112BD">
        <w:t>Deferral Instrument is made under subsection 994</w:t>
      </w:r>
      <w:proofErr w:type="gramStart"/>
      <w:r w:rsidR="00F24184" w:rsidRPr="00A112BD">
        <w:t>L(</w:t>
      </w:r>
      <w:proofErr w:type="gramEnd"/>
      <w:r w:rsidR="00F24184" w:rsidRPr="00A112BD">
        <w:t>2) of the Corporations Act. From 5 April 2021, subsection 994</w:t>
      </w:r>
      <w:proofErr w:type="gramStart"/>
      <w:r w:rsidR="00F24184" w:rsidRPr="00A112BD">
        <w:t>L(</w:t>
      </w:r>
      <w:proofErr w:type="gramEnd"/>
      <w:r w:rsidR="00F24184" w:rsidRPr="00A112BD">
        <w:t xml:space="preserve">2) will provide that ASIC may, by legislative instrument, exempt a class of persons from all or specified provisions of Part 7.8A of the Corporations Act. Even though the section that confers the power to make the instrument has yet to come into operation, ASIC can make the instrument as if it had come into operation: see subsection 4(1) of the </w:t>
      </w:r>
      <w:r w:rsidR="00F24184" w:rsidRPr="00A112BD">
        <w:rPr>
          <w:i/>
        </w:rPr>
        <w:t>Acts Interpretation Act 1901</w:t>
      </w:r>
      <w:r w:rsidR="00F24184" w:rsidRPr="00A112BD">
        <w:t xml:space="preserve"> (as in force on 1 Jan 2005). </w:t>
      </w:r>
    </w:p>
    <w:p w14:paraId="153EE9E7" w14:textId="57D41931" w:rsidR="00232043" w:rsidRDefault="00CB4D53" w:rsidP="00CB4D53">
      <w:pPr>
        <w:pStyle w:val="LI-BodyTextParaa"/>
        <w:ind w:left="567"/>
      </w:pPr>
      <w:r>
        <w:t>2</w:t>
      </w:r>
      <w:r w:rsidR="003B7580">
        <w:t>6</w:t>
      </w:r>
      <w:r>
        <w:t>.</w:t>
      </w:r>
      <w:r>
        <w:tab/>
      </w:r>
      <w:r w:rsidR="00F24184">
        <w:t>The</w:t>
      </w:r>
      <w:r w:rsidR="00F24184" w:rsidRPr="00232043">
        <w:t xml:space="preserve"> Mortgage Broker Deferral Instrument</w:t>
      </w:r>
      <w:r w:rsidR="00F24184">
        <w:t xml:space="preserve"> is made under subsection 163(3) of the National Credit Act. Subsection 163(3) provides that ASIC may, by legislative instrument, exempt a class of persons from specified provisions in Chapter 3. </w:t>
      </w:r>
      <w:r w:rsidR="00DC1CD4" w:rsidRPr="00EC168D">
        <w:rPr>
          <w:color w:val="FF0000"/>
        </w:rPr>
        <w:t xml:space="preserve"> </w:t>
      </w:r>
    </w:p>
    <w:p w14:paraId="4FF3FDA2" w14:textId="7ED74BE2" w:rsidR="00254A9F" w:rsidRPr="00214E81" w:rsidRDefault="00CB4D53" w:rsidP="00CB4D53">
      <w:pPr>
        <w:pStyle w:val="LI-BodyTextParaa"/>
        <w:ind w:left="567"/>
      </w:pPr>
      <w:r>
        <w:t>2</w:t>
      </w:r>
      <w:r w:rsidR="003B7580">
        <w:t>7</w:t>
      </w:r>
      <w:r>
        <w:t>.</w:t>
      </w:r>
      <w:r>
        <w:tab/>
      </w:r>
      <w:r w:rsidR="00232043">
        <w:t>These instruments are disallowable legislative instruments.</w:t>
      </w:r>
    </w:p>
    <w:p w14:paraId="4E0B6645" w14:textId="77777777" w:rsidR="00254A9F" w:rsidRPr="00EA17A6" w:rsidRDefault="00254A9F" w:rsidP="00254A9F">
      <w:pPr>
        <w:pStyle w:val="LI-BodyTextParaa"/>
        <w:ind w:left="567"/>
        <w:rPr>
          <w:b/>
        </w:rPr>
      </w:pPr>
      <w:r w:rsidRPr="00EA17A6">
        <w:rPr>
          <w:b/>
        </w:rPr>
        <w:t xml:space="preserve">Statement of Compatibility with Human Rights  </w:t>
      </w:r>
    </w:p>
    <w:p w14:paraId="265F3A1D" w14:textId="24870A33" w:rsidR="00254A9F" w:rsidRPr="00EA17A6" w:rsidRDefault="00CB4D53" w:rsidP="00CB4D53">
      <w:pPr>
        <w:pStyle w:val="LI-BodyTextParaa"/>
        <w:ind w:left="567"/>
      </w:pPr>
      <w:r>
        <w:t>2</w:t>
      </w:r>
      <w:r w:rsidR="003B7580">
        <w:t>8</w:t>
      </w:r>
      <w:r>
        <w:t>.</w:t>
      </w:r>
      <w:r>
        <w:tab/>
      </w:r>
      <w:r w:rsidR="00254A9F" w:rsidRPr="00EA17A6">
        <w:t xml:space="preserve">The Explanatory Statement for a disallowable legislative instrument must contain a Statement of Compatibility with Human Rights under subsection 9(1) of the </w:t>
      </w:r>
      <w:r w:rsidR="00254A9F" w:rsidRPr="00EA17A6">
        <w:rPr>
          <w:i/>
          <w:iCs/>
        </w:rPr>
        <w:t>Human Rights (Parliamentary Scrutiny) Act 2011.</w:t>
      </w:r>
      <w:r w:rsidR="00254A9F" w:rsidRPr="00EA17A6">
        <w:rPr>
          <w:iCs/>
        </w:rPr>
        <w:t xml:space="preserve"> </w:t>
      </w:r>
      <w:r w:rsidR="00254A9F" w:rsidRPr="00EA17A6">
        <w:t xml:space="preserve">A Statement of Compatibility with Human Rights is in the </w:t>
      </w:r>
      <w:r w:rsidR="00254A9F" w:rsidRPr="00EA17A6">
        <w:rPr>
          <w:u w:val="single"/>
        </w:rPr>
        <w:t>Attachment</w:t>
      </w:r>
      <w:r w:rsidR="00254A9F" w:rsidRPr="00EA17A6">
        <w:t xml:space="preserve">. </w:t>
      </w:r>
    </w:p>
    <w:p w14:paraId="2E45243B" w14:textId="77777777" w:rsidR="00254A9F" w:rsidRPr="00EA17A6" w:rsidRDefault="00254A9F" w:rsidP="00254A9F">
      <w:pPr>
        <w:pStyle w:val="LI-BodyTextParaa"/>
        <w:ind w:left="567"/>
        <w:jc w:val="right"/>
        <w:rPr>
          <w:u w:val="single"/>
        </w:rPr>
      </w:pPr>
      <w:r>
        <w:rPr>
          <w:color w:val="FF0000"/>
        </w:rPr>
        <w:br w:type="page"/>
      </w:r>
      <w:r w:rsidRPr="00EA17A6">
        <w:rPr>
          <w:u w:val="single"/>
        </w:rPr>
        <w:lastRenderedPageBreak/>
        <w:t xml:space="preserve">Attachment </w:t>
      </w:r>
    </w:p>
    <w:p w14:paraId="2D8BC007" w14:textId="77777777" w:rsidR="00254A9F" w:rsidRPr="00EA17A6" w:rsidRDefault="00254A9F" w:rsidP="00254A9F">
      <w:pPr>
        <w:pStyle w:val="LI-BodyTextParaa"/>
        <w:ind w:left="567"/>
        <w:jc w:val="center"/>
        <w:rPr>
          <w:b/>
          <w:sz w:val="28"/>
          <w:szCs w:val="28"/>
        </w:rPr>
      </w:pPr>
      <w:r w:rsidRPr="00EA17A6">
        <w:rPr>
          <w:b/>
          <w:sz w:val="28"/>
          <w:szCs w:val="28"/>
        </w:rPr>
        <w:t>Statement of Compatibility with Human Rights</w:t>
      </w:r>
    </w:p>
    <w:p w14:paraId="2F302A7D" w14:textId="77777777" w:rsidR="00254A9F" w:rsidRPr="00EA17A6" w:rsidRDefault="00254A9F" w:rsidP="00C66D76">
      <w:pPr>
        <w:pStyle w:val="LI-BodyTextNumbered"/>
        <w:numPr>
          <w:ilvl w:val="0"/>
          <w:numId w:val="0"/>
        </w:numPr>
        <w:rPr>
          <w:iCs/>
        </w:rPr>
      </w:pPr>
      <w:bookmarkStart w:id="8" w:name="_Hlk534286677"/>
      <w:r w:rsidRPr="00EA17A6">
        <w:rPr>
          <w:iCs/>
        </w:rPr>
        <w:t xml:space="preserve">This Statement of Compatibility with Human Rights is prepared in accordance with Part 3 of </w:t>
      </w:r>
      <w:bookmarkStart w:id="9" w:name="_Hlk4054932"/>
      <w:r w:rsidRPr="00EA17A6">
        <w:rPr>
          <w:iCs/>
        </w:rPr>
        <w:t xml:space="preserve">the </w:t>
      </w:r>
      <w:r w:rsidRPr="00EA17A6">
        <w:rPr>
          <w:i/>
          <w:iCs/>
        </w:rPr>
        <w:t>Human Rights (Parliamentary Scrutiny) Act 2011</w:t>
      </w:r>
      <w:bookmarkEnd w:id="9"/>
      <w:r w:rsidRPr="00EA17A6">
        <w:rPr>
          <w:iCs/>
        </w:rPr>
        <w:t xml:space="preserve">.   </w:t>
      </w:r>
    </w:p>
    <w:p w14:paraId="4CB9B446" w14:textId="4F94A9E7" w:rsidR="007C1E4A" w:rsidRPr="00EA17A6" w:rsidRDefault="007C1E4A" w:rsidP="00A83465">
      <w:pPr>
        <w:pStyle w:val="LI-BodyTextNumbered"/>
        <w:numPr>
          <w:ilvl w:val="0"/>
          <w:numId w:val="0"/>
        </w:numPr>
        <w:ind w:left="284"/>
        <w:rPr>
          <w:b/>
          <w:i/>
        </w:rPr>
      </w:pPr>
      <w:r w:rsidRPr="00353A06">
        <w:rPr>
          <w:b/>
          <w:i/>
        </w:rPr>
        <w:t>ASIC Corporations (Deferral of Design and Distribution Obligations) Instrument</w:t>
      </w:r>
      <w:r>
        <w:rPr>
          <w:b/>
          <w:i/>
        </w:rPr>
        <w:t> </w:t>
      </w:r>
      <w:r w:rsidRPr="00353A06">
        <w:rPr>
          <w:b/>
          <w:i/>
        </w:rPr>
        <w:t>2020/</w:t>
      </w:r>
      <w:r>
        <w:rPr>
          <w:b/>
          <w:i/>
        </w:rPr>
        <w:t>486</w:t>
      </w:r>
    </w:p>
    <w:p w14:paraId="65DAD7C6" w14:textId="3C972472" w:rsidR="00254A9F" w:rsidRDefault="00C66D76" w:rsidP="00A83465">
      <w:pPr>
        <w:pStyle w:val="LI-BodyTextNumbered"/>
        <w:numPr>
          <w:ilvl w:val="0"/>
          <w:numId w:val="0"/>
        </w:numPr>
        <w:ind w:left="284"/>
        <w:rPr>
          <w:b/>
          <w:i/>
        </w:rPr>
      </w:pPr>
      <w:r>
        <w:rPr>
          <w:b/>
          <w:i/>
        </w:rPr>
        <w:t xml:space="preserve">ASIC </w:t>
      </w:r>
      <w:r w:rsidR="00747755">
        <w:rPr>
          <w:b/>
          <w:i/>
        </w:rPr>
        <w:t>Credit</w:t>
      </w:r>
      <w:r>
        <w:rPr>
          <w:b/>
          <w:i/>
        </w:rPr>
        <w:t xml:space="preserve"> (</w:t>
      </w:r>
      <w:r w:rsidR="00747755">
        <w:rPr>
          <w:b/>
          <w:i/>
        </w:rPr>
        <w:t xml:space="preserve">Deferral of Mortgage Broker </w:t>
      </w:r>
      <w:r w:rsidR="00DF2421">
        <w:rPr>
          <w:b/>
          <w:i/>
        </w:rPr>
        <w:t>Obligations</w:t>
      </w:r>
      <w:r>
        <w:rPr>
          <w:b/>
          <w:i/>
        </w:rPr>
        <w:t>) Instrument 2020/</w:t>
      </w:r>
      <w:r w:rsidR="007C1E4A">
        <w:rPr>
          <w:b/>
          <w:i/>
        </w:rPr>
        <w:t>487</w:t>
      </w:r>
    </w:p>
    <w:p w14:paraId="1794A305" w14:textId="485F7236" w:rsidR="00254A9F" w:rsidRPr="00A112BD" w:rsidRDefault="00254A9F" w:rsidP="007C1E4A">
      <w:pPr>
        <w:pStyle w:val="LI-BodyTextNumbered"/>
        <w:numPr>
          <w:ilvl w:val="0"/>
          <w:numId w:val="0"/>
        </w:numPr>
        <w:rPr>
          <w:u w:val="single"/>
        </w:rPr>
      </w:pPr>
      <w:r w:rsidRPr="00A112BD">
        <w:rPr>
          <w:u w:val="single"/>
        </w:rPr>
        <w:t>Overview</w:t>
      </w:r>
    </w:p>
    <w:p w14:paraId="1F3997B1" w14:textId="348D20B3" w:rsidR="007C1E4A" w:rsidRPr="00A112BD" w:rsidRDefault="007C1E4A" w:rsidP="007C1E4A">
      <w:pPr>
        <w:pStyle w:val="LI-BodyTextParaa"/>
        <w:ind w:left="567"/>
      </w:pPr>
      <w:r w:rsidRPr="00A112BD">
        <w:t>1.</w:t>
      </w:r>
      <w:r w:rsidRPr="00A112BD">
        <w:tab/>
      </w:r>
      <w:proofErr w:type="gramStart"/>
      <w:r w:rsidRPr="00A112BD">
        <w:t>Both of these</w:t>
      </w:r>
      <w:proofErr w:type="gramEnd"/>
      <w:r w:rsidRPr="00A112BD">
        <w:t xml:space="preserve"> instruments are made in response to the significant effect of COVID-19 on the Australian economy, especially on the financial system, financial services providers and consumers.</w:t>
      </w:r>
    </w:p>
    <w:p w14:paraId="622AB060" w14:textId="4F9BAAFF" w:rsidR="00413A74" w:rsidRPr="00A112BD" w:rsidRDefault="00413A74" w:rsidP="00413A74">
      <w:pPr>
        <w:pStyle w:val="LI-BodyTextNumbered"/>
        <w:numPr>
          <w:ilvl w:val="0"/>
          <w:numId w:val="0"/>
        </w:numPr>
        <w:ind w:left="567" w:hanging="567"/>
      </w:pPr>
      <w:r w:rsidRPr="00A112BD">
        <w:t>2.</w:t>
      </w:r>
      <w:r w:rsidRPr="00A112BD">
        <w:tab/>
        <w:t xml:space="preserve">The </w:t>
      </w:r>
      <w:r w:rsidRPr="00A112BD">
        <w:rPr>
          <w:i/>
        </w:rPr>
        <w:t>ASIC Corporations (Deferral of Design and Distribution Obligations) Instrument 2020/486</w:t>
      </w:r>
      <w:r w:rsidRPr="00A112BD">
        <w:t xml:space="preserve"> provides a temporary exemption for </w:t>
      </w:r>
      <w:r w:rsidR="004B5F36" w:rsidRPr="00A112BD">
        <w:t>six</w:t>
      </w:r>
      <w:r w:rsidRPr="00A112BD">
        <w:t xml:space="preserve"> months from the design and distribution obligations imposed on financial product issuers and distributors which will be found in Part 7.8A of the </w:t>
      </w:r>
      <w:r w:rsidRPr="00A112BD">
        <w:rPr>
          <w:i/>
        </w:rPr>
        <w:t>Corporations Act 2001</w:t>
      </w:r>
      <w:r w:rsidRPr="00A112BD">
        <w:t xml:space="preserve">. These reforms will apply from 5 April 2021. The effect of the temporary exemption is that </w:t>
      </w:r>
      <w:r w:rsidR="0085029E" w:rsidRPr="00A112BD">
        <w:t xml:space="preserve">financial product issuers and distributors will only be required </w:t>
      </w:r>
      <w:r w:rsidRPr="00A112BD">
        <w:t xml:space="preserve">to comply with these obligations </w:t>
      </w:r>
      <w:r w:rsidR="0085029E" w:rsidRPr="00A112BD">
        <w:t>from 5</w:t>
      </w:r>
      <w:r w:rsidRPr="00A112BD">
        <w:t> October 2021.</w:t>
      </w:r>
    </w:p>
    <w:p w14:paraId="01F96AEE" w14:textId="371E182B" w:rsidR="00AE320A" w:rsidRPr="00A112BD" w:rsidRDefault="00413A74" w:rsidP="00413A74">
      <w:pPr>
        <w:pStyle w:val="LI-BodyTextParaa"/>
        <w:ind w:left="567"/>
      </w:pPr>
      <w:r w:rsidRPr="00A112BD">
        <w:t>3</w:t>
      </w:r>
      <w:r w:rsidR="007C1E4A" w:rsidRPr="00A112BD">
        <w:t>.</w:t>
      </w:r>
      <w:r w:rsidR="007C1E4A" w:rsidRPr="00A112BD">
        <w:tab/>
        <w:t>T</w:t>
      </w:r>
      <w:r w:rsidR="00647A3C" w:rsidRPr="00A112BD">
        <w:t>he</w:t>
      </w:r>
      <w:r w:rsidR="00DF6A60" w:rsidRPr="00A112BD">
        <w:t xml:space="preserve"> </w:t>
      </w:r>
      <w:r w:rsidR="00DF6A60" w:rsidRPr="00A112BD">
        <w:rPr>
          <w:i/>
        </w:rPr>
        <w:t xml:space="preserve">ASIC Credit (Deferral of Mortgage Broker </w:t>
      </w:r>
      <w:r w:rsidR="00D40576" w:rsidRPr="00A112BD">
        <w:rPr>
          <w:i/>
        </w:rPr>
        <w:t>Obligations</w:t>
      </w:r>
      <w:r w:rsidR="00DF6A60" w:rsidRPr="00A112BD">
        <w:rPr>
          <w:i/>
        </w:rPr>
        <w:t>) Instrument 2020/</w:t>
      </w:r>
      <w:r w:rsidR="007C1E4A" w:rsidRPr="00A112BD">
        <w:rPr>
          <w:i/>
        </w:rPr>
        <w:t>487</w:t>
      </w:r>
      <w:r w:rsidR="00DF6A60" w:rsidRPr="00A112BD">
        <w:t xml:space="preserve"> provides </w:t>
      </w:r>
      <w:r w:rsidR="00647A3C" w:rsidRPr="00A112BD">
        <w:t xml:space="preserve">temporary </w:t>
      </w:r>
      <w:r w:rsidR="00DF6A60" w:rsidRPr="00A112BD">
        <w:t xml:space="preserve">exemptions </w:t>
      </w:r>
      <w:r w:rsidR="00212B8B" w:rsidRPr="00A112BD">
        <w:t xml:space="preserve">for </w:t>
      </w:r>
      <w:r w:rsidR="004B5F36" w:rsidRPr="00A112BD">
        <w:t>six</w:t>
      </w:r>
      <w:r w:rsidR="007C1E4A" w:rsidRPr="00A112BD">
        <w:t> </w:t>
      </w:r>
      <w:r w:rsidR="00212B8B" w:rsidRPr="00A112BD">
        <w:t>months</w:t>
      </w:r>
      <w:r w:rsidR="00DF6A60" w:rsidRPr="00A112BD">
        <w:t xml:space="preserve"> </w:t>
      </w:r>
      <w:r w:rsidR="00647A3C" w:rsidRPr="00A112BD">
        <w:t>from</w:t>
      </w:r>
      <w:r w:rsidR="00DF6A60" w:rsidRPr="00A112BD">
        <w:t xml:space="preserve"> obligations </w:t>
      </w:r>
      <w:r w:rsidR="00647A3C" w:rsidRPr="00A112BD">
        <w:t>under</w:t>
      </w:r>
      <w:r w:rsidR="00DF6A60" w:rsidRPr="00A112BD">
        <w:t xml:space="preserve"> the </w:t>
      </w:r>
      <w:r w:rsidR="00EE3951" w:rsidRPr="00A112BD">
        <w:rPr>
          <w:i/>
        </w:rPr>
        <w:t xml:space="preserve">National </w:t>
      </w:r>
      <w:r w:rsidR="00DF6A60" w:rsidRPr="00A112BD">
        <w:rPr>
          <w:i/>
        </w:rPr>
        <w:t xml:space="preserve">Consumer Credit Protection Act 2009 </w:t>
      </w:r>
      <w:r w:rsidR="006266BB" w:rsidRPr="00A112BD">
        <w:t>to act in the best interests of the consumer in relation to credit</w:t>
      </w:r>
      <w:r w:rsidR="007C1E4A" w:rsidRPr="00A112BD">
        <w:t> </w:t>
      </w:r>
      <w:r w:rsidR="006266BB" w:rsidRPr="00A112BD">
        <w:t>assistance</w:t>
      </w:r>
      <w:r w:rsidRPr="00A112BD">
        <w:t xml:space="preserve"> and </w:t>
      </w:r>
      <w:r w:rsidR="00DF6A60" w:rsidRPr="00A112BD">
        <w:t xml:space="preserve">to </w:t>
      </w:r>
      <w:r w:rsidR="00647A3C" w:rsidRPr="00A112BD">
        <w:t>prioritise consumers’ interests</w:t>
      </w:r>
      <w:r w:rsidRPr="00A112BD">
        <w:t xml:space="preserve">, </w:t>
      </w:r>
      <w:r w:rsidR="00647A3C" w:rsidRPr="00A112BD">
        <w:t xml:space="preserve">and </w:t>
      </w:r>
      <w:r w:rsidR="007A5352" w:rsidRPr="00A112BD">
        <w:t>a</w:t>
      </w:r>
      <w:r w:rsidRPr="00A112BD">
        <w:t xml:space="preserve"> </w:t>
      </w:r>
      <w:r w:rsidR="00647A3C" w:rsidRPr="00A112BD">
        <w:t xml:space="preserve">ban on </w:t>
      </w:r>
      <w:r w:rsidRPr="00A112BD">
        <w:t xml:space="preserve">giving or accepting </w:t>
      </w:r>
      <w:r w:rsidR="00647A3C" w:rsidRPr="00A112BD">
        <w:t>conflicted remuneration.</w:t>
      </w:r>
      <w:r w:rsidRPr="00A112BD">
        <w:t xml:space="preserve"> </w:t>
      </w:r>
      <w:r w:rsidR="005B76CD" w:rsidRPr="00A112BD">
        <w:t xml:space="preserve">These reforms </w:t>
      </w:r>
      <w:r w:rsidRPr="00A112BD">
        <w:t xml:space="preserve">will </w:t>
      </w:r>
      <w:r w:rsidR="005B76CD" w:rsidRPr="00A112BD">
        <w:rPr>
          <w:iCs/>
        </w:rPr>
        <w:t xml:space="preserve">apply from 1 July 2020. The effect of the temporary exemptions </w:t>
      </w:r>
      <w:r w:rsidR="004E6EBA" w:rsidRPr="00A112BD">
        <w:rPr>
          <w:iCs/>
        </w:rPr>
        <w:t>is</w:t>
      </w:r>
      <w:r w:rsidR="0085029E" w:rsidRPr="00A112BD">
        <w:rPr>
          <w:iCs/>
        </w:rPr>
        <w:t> </w:t>
      </w:r>
      <w:r w:rsidR="005B76CD" w:rsidRPr="00A112BD">
        <w:rPr>
          <w:iCs/>
        </w:rPr>
        <w:t xml:space="preserve">that </w:t>
      </w:r>
      <w:r w:rsidR="008673C5" w:rsidRPr="00A112BD">
        <w:rPr>
          <w:iCs/>
        </w:rPr>
        <w:t>credit businesses</w:t>
      </w:r>
      <w:r w:rsidR="00F84112" w:rsidRPr="00A112BD">
        <w:rPr>
          <w:iCs/>
        </w:rPr>
        <w:t xml:space="preserve"> </w:t>
      </w:r>
      <w:r w:rsidR="0085029E" w:rsidRPr="00A112BD">
        <w:rPr>
          <w:iCs/>
        </w:rPr>
        <w:t xml:space="preserve">will only </w:t>
      </w:r>
      <w:r w:rsidR="00F84112" w:rsidRPr="00A112BD">
        <w:rPr>
          <w:iCs/>
        </w:rPr>
        <w:t xml:space="preserve">be required </w:t>
      </w:r>
      <w:r w:rsidR="005B76CD" w:rsidRPr="00A112BD">
        <w:rPr>
          <w:iCs/>
        </w:rPr>
        <w:t xml:space="preserve">to comply with these </w:t>
      </w:r>
      <w:r w:rsidR="00F84112" w:rsidRPr="00A112BD">
        <w:rPr>
          <w:iCs/>
        </w:rPr>
        <w:t>obligations from</w:t>
      </w:r>
      <w:r w:rsidR="005B76CD" w:rsidRPr="00A112BD">
        <w:t xml:space="preserve"> 1 January 2021. </w:t>
      </w:r>
    </w:p>
    <w:p w14:paraId="4C73A145" w14:textId="6D7C263A" w:rsidR="00254A9F" w:rsidRPr="00A112BD" w:rsidRDefault="00254A9F" w:rsidP="00A83465">
      <w:pPr>
        <w:pStyle w:val="LI-BodyTextNumbered"/>
        <w:numPr>
          <w:ilvl w:val="0"/>
          <w:numId w:val="0"/>
        </w:numPr>
        <w:rPr>
          <w:u w:val="single"/>
        </w:rPr>
      </w:pPr>
      <w:bookmarkStart w:id="10" w:name="_Hlk534286807"/>
      <w:bookmarkEnd w:id="8"/>
      <w:r w:rsidRPr="00A112BD">
        <w:rPr>
          <w:u w:val="single"/>
        </w:rPr>
        <w:t>Assessment of human rights implications</w:t>
      </w:r>
    </w:p>
    <w:bookmarkEnd w:id="10"/>
    <w:p w14:paraId="0AFEAD89" w14:textId="086A9DED" w:rsidR="00254A9F" w:rsidRPr="00EA17A6" w:rsidRDefault="00413A74" w:rsidP="00413A74">
      <w:pPr>
        <w:pStyle w:val="LI-BodyTextNumbered"/>
        <w:numPr>
          <w:ilvl w:val="0"/>
          <w:numId w:val="0"/>
        </w:numPr>
        <w:ind w:left="567" w:hanging="570"/>
      </w:pPr>
      <w:r>
        <w:t>4.</w:t>
      </w:r>
      <w:r>
        <w:tab/>
      </w:r>
      <w:r w:rsidR="00254A9F" w:rsidRPr="00EA17A6">
        <w:t>Th</w:t>
      </w:r>
      <w:r w:rsidR="004E6EBA">
        <w:t>ese</w:t>
      </w:r>
      <w:r w:rsidR="00254A9F" w:rsidRPr="00EA17A6">
        <w:t xml:space="preserve"> instrument</w:t>
      </w:r>
      <w:r w:rsidR="004E6EBA">
        <w:t>s</w:t>
      </w:r>
      <w:r w:rsidR="00254A9F" w:rsidRPr="00EA17A6">
        <w:t xml:space="preserve"> do not engage any of the applicable rights or freedoms</w:t>
      </w:r>
      <w:r w:rsidR="00C66D76">
        <w:t>.</w:t>
      </w:r>
    </w:p>
    <w:p w14:paraId="67540F99" w14:textId="77777777" w:rsidR="00254A9F" w:rsidRPr="00EA17A6" w:rsidRDefault="00254A9F" w:rsidP="00A83465">
      <w:pPr>
        <w:pStyle w:val="LI-BodyTextNumbered"/>
        <w:numPr>
          <w:ilvl w:val="0"/>
          <w:numId w:val="0"/>
        </w:numPr>
        <w:rPr>
          <w:u w:val="single"/>
        </w:rPr>
      </w:pPr>
      <w:r w:rsidRPr="00EA17A6">
        <w:rPr>
          <w:u w:val="single"/>
        </w:rPr>
        <w:t>Conclusion</w:t>
      </w:r>
    </w:p>
    <w:p w14:paraId="1EE74E94" w14:textId="4E1452FE" w:rsidR="00254A9F" w:rsidRPr="00EA17A6" w:rsidRDefault="00413A74" w:rsidP="00413A74">
      <w:pPr>
        <w:pStyle w:val="LI-BodyTextNumbered"/>
        <w:numPr>
          <w:ilvl w:val="0"/>
          <w:numId w:val="0"/>
        </w:numPr>
        <w:ind w:left="567" w:hanging="570"/>
      </w:pPr>
      <w:r>
        <w:t>5.</w:t>
      </w:r>
      <w:r>
        <w:tab/>
      </w:r>
      <w:r w:rsidR="00254A9F" w:rsidRPr="00EA17A6">
        <w:t>Th</w:t>
      </w:r>
      <w:r w:rsidR="004E6EBA">
        <w:t>ese</w:t>
      </w:r>
      <w:r w:rsidR="00254A9F" w:rsidRPr="00EA17A6">
        <w:t xml:space="preserve"> instrument</w:t>
      </w:r>
      <w:r w:rsidR="004E6EBA">
        <w:t>s</w:t>
      </w:r>
      <w:r w:rsidR="00254A9F" w:rsidRPr="00EA17A6">
        <w:t xml:space="preserve"> </w:t>
      </w:r>
      <w:r w:rsidR="004E6EBA">
        <w:t>are</w:t>
      </w:r>
      <w:r w:rsidR="00254A9F" w:rsidRPr="00EA17A6">
        <w:t xml:space="preserve"> compatible with the human rights and freedoms recognised or declared in the international instruments listed in section 3 of </w:t>
      </w:r>
      <w:r w:rsidR="00254A9F" w:rsidRPr="00EA17A6">
        <w:rPr>
          <w:iCs/>
        </w:rPr>
        <w:t xml:space="preserve">the </w:t>
      </w:r>
      <w:r w:rsidR="00254A9F" w:rsidRPr="00EA17A6">
        <w:rPr>
          <w:i/>
          <w:iCs/>
        </w:rPr>
        <w:t>Human Rights (Parliamentary Scrutiny) Act 2011</w:t>
      </w:r>
      <w:r w:rsidR="00254A9F" w:rsidRPr="00EA17A6">
        <w:t>.</w:t>
      </w:r>
    </w:p>
    <w:p w14:paraId="2ABE501F" w14:textId="77777777" w:rsidR="00254A9F" w:rsidRPr="00EA17A6" w:rsidRDefault="00254A9F" w:rsidP="00C66D76">
      <w:pPr>
        <w:pStyle w:val="LI-BodyTextNumbered"/>
        <w:numPr>
          <w:ilvl w:val="0"/>
          <w:numId w:val="0"/>
        </w:numPr>
        <w:ind w:left="567"/>
      </w:pPr>
    </w:p>
    <w:p w14:paraId="62146C42" w14:textId="77777777" w:rsidR="00C61A28" w:rsidRPr="00254A9F" w:rsidRDefault="00C61A28" w:rsidP="00254A9F"/>
    <w:sectPr w:rsidR="00C61A28" w:rsidRPr="00254A9F" w:rsidSect="0054765F">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12150" w14:textId="77777777" w:rsidR="00C3681C" w:rsidRDefault="00C3681C">
      <w:pPr>
        <w:spacing w:line="240" w:lineRule="auto"/>
      </w:pPr>
      <w:r>
        <w:separator/>
      </w:r>
    </w:p>
  </w:endnote>
  <w:endnote w:type="continuationSeparator" w:id="0">
    <w:p w14:paraId="0F972808" w14:textId="77777777" w:rsidR="00C3681C" w:rsidRDefault="00C3681C">
      <w:pPr>
        <w:spacing w:line="240" w:lineRule="auto"/>
      </w:pPr>
      <w:r>
        <w:continuationSeparator/>
      </w:r>
    </w:p>
  </w:endnote>
  <w:endnote w:type="continuationNotice" w:id="1">
    <w:p w14:paraId="2C30B679" w14:textId="77777777" w:rsidR="00C3681C" w:rsidRDefault="00C36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F95D" w14:textId="77777777" w:rsidR="006F26F4" w:rsidRDefault="006F26F4">
    <w:pPr>
      <w:pStyle w:val="Footer"/>
      <w:jc w:val="center"/>
    </w:pPr>
    <w:r>
      <w:fldChar w:fldCharType="begin"/>
    </w:r>
    <w:r>
      <w:instrText xml:space="preserve"> PAGE   \* MERGEFORMAT </w:instrText>
    </w:r>
    <w:r>
      <w:fldChar w:fldCharType="separate"/>
    </w:r>
    <w:r>
      <w:rPr>
        <w:noProof/>
      </w:rPr>
      <w:t>2</w:t>
    </w:r>
    <w:r>
      <w:rPr>
        <w:noProof/>
      </w:rPr>
      <w:fldChar w:fldCharType="end"/>
    </w:r>
  </w:p>
  <w:p w14:paraId="798E588C" w14:textId="77777777" w:rsidR="006F26F4" w:rsidRDefault="006F2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6A90" w14:textId="77777777" w:rsidR="00C3681C" w:rsidRDefault="00C3681C">
      <w:pPr>
        <w:spacing w:line="240" w:lineRule="auto"/>
      </w:pPr>
      <w:r>
        <w:separator/>
      </w:r>
    </w:p>
  </w:footnote>
  <w:footnote w:type="continuationSeparator" w:id="0">
    <w:p w14:paraId="416011D2" w14:textId="77777777" w:rsidR="00C3681C" w:rsidRDefault="00C3681C">
      <w:pPr>
        <w:spacing w:line="240" w:lineRule="auto"/>
      </w:pPr>
      <w:r>
        <w:continuationSeparator/>
      </w:r>
    </w:p>
  </w:footnote>
  <w:footnote w:type="continuationNotice" w:id="1">
    <w:p w14:paraId="0034D0F0" w14:textId="77777777" w:rsidR="00C3681C" w:rsidRDefault="00C368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0D69" w14:textId="77777777" w:rsidR="006F26F4" w:rsidRPr="00243EC0" w:rsidRDefault="006F26F4" w:rsidP="0054765F">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6F26F4" w:rsidRPr="00E40FF8" w14:paraId="0FC6D969" w14:textId="77777777" w:rsidTr="0054765F">
      <w:tc>
        <w:tcPr>
          <w:tcW w:w="4253" w:type="dxa"/>
          <w:shd w:val="clear" w:color="auto" w:fill="auto"/>
        </w:tcPr>
        <w:p w14:paraId="12C5BCBD" w14:textId="77777777" w:rsidR="006F26F4" w:rsidRDefault="006F26F4" w:rsidP="0054765F">
          <w:pPr>
            <w:pStyle w:val="LI-Header"/>
            <w:pBdr>
              <w:bottom w:val="none" w:sz="0" w:space="0" w:color="auto"/>
            </w:pBdr>
            <w:jc w:val="left"/>
          </w:pPr>
        </w:p>
      </w:tc>
      <w:tc>
        <w:tcPr>
          <w:tcW w:w="4060" w:type="dxa"/>
          <w:shd w:val="clear" w:color="auto" w:fill="auto"/>
        </w:tcPr>
        <w:p w14:paraId="46E6653E" w14:textId="77777777" w:rsidR="006F26F4" w:rsidRDefault="006F26F4" w:rsidP="0054765F">
          <w:pPr>
            <w:pStyle w:val="LI-BodyTextNumbered"/>
            <w:numPr>
              <w:ilvl w:val="0"/>
              <w:numId w:val="0"/>
            </w:numPr>
            <w:ind w:left="709" w:hanging="567"/>
          </w:pPr>
        </w:p>
      </w:tc>
    </w:tr>
  </w:tbl>
  <w:p w14:paraId="5A8F5B79" w14:textId="77777777" w:rsidR="006F26F4" w:rsidRPr="00F4215A" w:rsidRDefault="006F26F4" w:rsidP="0054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B86A31"/>
    <w:multiLevelType w:val="hybridMultilevel"/>
    <w:tmpl w:val="029A30F6"/>
    <w:lvl w:ilvl="0" w:tplc="FC76E7B4">
      <w:start w:val="1"/>
      <w:numFmt w:val="lowerLetter"/>
      <w:lvlText w:val="(%1)"/>
      <w:lvlJc w:val="left"/>
      <w:pPr>
        <w:ind w:left="1440" w:hanging="360"/>
      </w:pPr>
      <w:rPr>
        <w:rFonts w:ascii="Times New Roman" w:hAnsi="Times New Roman" w:hint="default"/>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9A8328C"/>
    <w:multiLevelType w:val="hybridMultilevel"/>
    <w:tmpl w:val="4E00DC8C"/>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1B6C75"/>
    <w:multiLevelType w:val="hybridMultilevel"/>
    <w:tmpl w:val="0BD8C9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7F6722"/>
    <w:multiLevelType w:val="hybridMultilevel"/>
    <w:tmpl w:val="C1A457DC"/>
    <w:lvl w:ilvl="0" w:tplc="D3BC50A2">
      <w:start w:val="1"/>
      <w:numFmt w:val="decimal"/>
      <w:lvlText w:val="%1."/>
      <w:lvlJc w:val="left"/>
      <w:pPr>
        <w:ind w:left="930" w:hanging="570"/>
      </w:pPr>
      <w:rPr>
        <w:rFonts w:hint="default"/>
      </w:rPr>
    </w:lvl>
    <w:lvl w:ilvl="1" w:tplc="FC76E7B4">
      <w:start w:val="1"/>
      <w:numFmt w:val="lowerLetter"/>
      <w:lvlText w:val="(%2)"/>
      <w:lvlJc w:val="lef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93BD4"/>
    <w:multiLevelType w:val="hybridMultilevel"/>
    <w:tmpl w:val="E13A2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57C6D"/>
    <w:multiLevelType w:val="hybridMultilevel"/>
    <w:tmpl w:val="72549A8C"/>
    <w:lvl w:ilvl="0" w:tplc="0C09000F">
      <w:start w:val="1"/>
      <w:numFmt w:val="decimal"/>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7" w15:restartNumberingAfterBreak="0">
    <w:nsid w:val="203C57B2"/>
    <w:multiLevelType w:val="hybridMultilevel"/>
    <w:tmpl w:val="FA02B456"/>
    <w:lvl w:ilvl="0" w:tplc="D3BC50A2">
      <w:start w:val="1"/>
      <w:numFmt w:val="decimal"/>
      <w:lvlText w:val="%1."/>
      <w:lvlJc w:val="left"/>
      <w:pPr>
        <w:ind w:left="930" w:hanging="570"/>
      </w:pPr>
      <w:rPr>
        <w:rFonts w:hint="default"/>
      </w:rPr>
    </w:lvl>
    <w:lvl w:ilvl="1" w:tplc="FC76E7B4">
      <w:start w:val="1"/>
      <w:numFmt w:val="lowerLetter"/>
      <w:lvlText w:val="(%2)"/>
      <w:lvlJc w:val="lef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7445CC"/>
    <w:multiLevelType w:val="hybridMultilevel"/>
    <w:tmpl w:val="04E05DD4"/>
    <w:lvl w:ilvl="0" w:tplc="5C0A4AEE">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0770F8"/>
    <w:multiLevelType w:val="hybridMultilevel"/>
    <w:tmpl w:val="60B0CBC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0" w15:restartNumberingAfterBreak="0">
    <w:nsid w:val="279B10EE"/>
    <w:multiLevelType w:val="hybridMultilevel"/>
    <w:tmpl w:val="732CCA38"/>
    <w:lvl w:ilvl="0" w:tplc="FC76E7B4">
      <w:start w:val="1"/>
      <w:numFmt w:val="lowerLetter"/>
      <w:lvlText w:val="(%1)"/>
      <w:lvlJc w:val="left"/>
      <w:pPr>
        <w:ind w:left="1800" w:hanging="360"/>
      </w:pPr>
      <w:rPr>
        <w:rFonts w:ascii="Times New Roman" w:hAnsi="Times New Roman"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B224FF8"/>
    <w:multiLevelType w:val="hybridMultilevel"/>
    <w:tmpl w:val="54080A72"/>
    <w:lvl w:ilvl="0" w:tplc="5C0A4AEE">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50960"/>
    <w:multiLevelType w:val="multilevel"/>
    <w:tmpl w:val="AD1C7528"/>
    <w:name w:val="DotPointList"/>
    <w:lvl w:ilvl="0">
      <w:start w:val="1"/>
      <w:numFmt w:val="bullet"/>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43F72368"/>
    <w:multiLevelType w:val="hybridMultilevel"/>
    <w:tmpl w:val="5F28F188"/>
    <w:lvl w:ilvl="0" w:tplc="64E401D8">
      <w:start w:val="1"/>
      <w:numFmt w:val="decimal"/>
      <w:pStyle w:val="LI-BodyTextNumbered"/>
      <w:lvlText w:val="%1"/>
      <w:lvlJc w:val="left"/>
      <w:pPr>
        <w:ind w:left="930" w:hanging="570"/>
      </w:pPr>
      <w:rPr>
        <w:rFonts w:hint="default"/>
      </w:rPr>
    </w:lvl>
    <w:lvl w:ilvl="1" w:tplc="519AD7E8">
      <w:start w:val="1"/>
      <w:numFmt w:val="lowerRoman"/>
      <w:pStyle w:val="LI-BodyTextSubparai"/>
      <w:lvlText w:val="(%2)"/>
      <w:lvlJc w:val="left"/>
      <w:pPr>
        <w:ind w:left="1440" w:hanging="360"/>
      </w:pPr>
      <w:rPr>
        <w:rFonts w:hint="default"/>
      </w:rPr>
    </w:lvl>
    <w:lvl w:ilvl="2" w:tplc="8656FBF4">
      <w:start w:val="1"/>
      <w:numFmt w:val="upperLetter"/>
      <w:pStyle w:val="LI-BodyTextSubsubparaA"/>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105187"/>
    <w:multiLevelType w:val="hybridMultilevel"/>
    <w:tmpl w:val="029A30F6"/>
    <w:lvl w:ilvl="0" w:tplc="FC76E7B4">
      <w:start w:val="1"/>
      <w:numFmt w:val="lowerLetter"/>
      <w:lvlText w:val="(%1)"/>
      <w:lvlJc w:val="left"/>
      <w:pPr>
        <w:ind w:left="1440" w:hanging="360"/>
      </w:pPr>
      <w:rPr>
        <w:rFonts w:ascii="Times New Roman" w:hAnsi="Times New Roman" w:hint="default"/>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5F57FC6"/>
    <w:multiLevelType w:val="hybridMultilevel"/>
    <w:tmpl w:val="C8E0BCE0"/>
    <w:lvl w:ilvl="0" w:tplc="5C0A4AEE">
      <w:numFmt w:val="bullet"/>
      <w:lvlText w:val="•"/>
      <w:lvlJc w:val="left"/>
      <w:pPr>
        <w:ind w:left="870" w:hanging="510"/>
      </w:pPr>
      <w:rPr>
        <w:rFonts w:ascii="Times New Roman" w:eastAsia="Times New Roman" w:hAnsi="Times New Roman" w:cs="Times New Roman" w:hint="default"/>
      </w:rPr>
    </w:lvl>
    <w:lvl w:ilvl="1" w:tplc="6798AE20">
      <w:numFmt w:val="bullet"/>
      <w:lvlText w:val="–"/>
      <w:lvlJc w:val="left"/>
      <w:pPr>
        <w:ind w:left="1560" w:hanging="48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31785"/>
    <w:multiLevelType w:val="hybridMultilevel"/>
    <w:tmpl w:val="044C4854"/>
    <w:lvl w:ilvl="0" w:tplc="FC76E7B4">
      <w:start w:val="1"/>
      <w:numFmt w:val="lowerLetter"/>
      <w:lvlText w:val="(%1)"/>
      <w:lvlJc w:val="left"/>
      <w:pPr>
        <w:ind w:left="1800" w:hanging="360"/>
      </w:pPr>
      <w:rPr>
        <w:rFonts w:ascii="Times New Roman" w:hAnsi="Times New Roman"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63D340D"/>
    <w:multiLevelType w:val="hybridMultilevel"/>
    <w:tmpl w:val="49D25EA6"/>
    <w:lvl w:ilvl="0" w:tplc="0C090017">
      <w:start w:val="1"/>
      <w:numFmt w:val="lowerLetter"/>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8" w15:restartNumberingAfterBreak="0">
    <w:nsid w:val="5A7326CE"/>
    <w:multiLevelType w:val="hybridMultilevel"/>
    <w:tmpl w:val="F2A8A18A"/>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rPr>
        <w:rFont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9C43CA"/>
    <w:multiLevelType w:val="hybridMultilevel"/>
    <w:tmpl w:val="D52CB504"/>
    <w:lvl w:ilvl="0" w:tplc="F3BC3794">
      <w:start w:val="1"/>
      <w:numFmt w:val="lowerLetter"/>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0" w15:restartNumberingAfterBreak="0">
    <w:nsid w:val="7E3518CA"/>
    <w:multiLevelType w:val="hybridMultilevel"/>
    <w:tmpl w:val="C7B4FA48"/>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3"/>
    <w:lvlOverride w:ilvl="0">
      <w:startOverride w:val="1"/>
    </w:lvlOverride>
  </w:num>
  <w:num w:numId="3">
    <w:abstractNumId w:val="2"/>
  </w:num>
  <w:num w:numId="4">
    <w:abstractNumId w:val="0"/>
  </w:num>
  <w:num w:numId="5">
    <w:abstractNumId w:val="4"/>
  </w:num>
  <w:num w:numId="6">
    <w:abstractNumId w:val="18"/>
  </w:num>
  <w:num w:numId="7">
    <w:abstractNumId w:val="3"/>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4"/>
  </w:num>
  <w:num w:numId="12">
    <w:abstractNumId w:val="6"/>
  </w:num>
  <w:num w:numId="13">
    <w:abstractNumId w:val="17"/>
  </w:num>
  <w:num w:numId="14">
    <w:abstractNumId w:val="19"/>
  </w:num>
  <w:num w:numId="15">
    <w:abstractNumId w:val="20"/>
  </w:num>
  <w:num w:numId="16">
    <w:abstractNumId w:val="13"/>
  </w:num>
  <w:num w:numId="17">
    <w:abstractNumId w:val="1"/>
  </w:num>
  <w:num w:numId="18">
    <w:abstractNumId w:val="16"/>
  </w:num>
  <w:num w:numId="19">
    <w:abstractNumId w:val="10"/>
  </w:num>
  <w:num w:numId="20">
    <w:abstractNumId w:val="5"/>
  </w:num>
  <w:num w:numId="21">
    <w:abstractNumId w:val="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A3"/>
    <w:rsid w:val="00000BBB"/>
    <w:rsid w:val="00001264"/>
    <w:rsid w:val="00010486"/>
    <w:rsid w:val="000112E6"/>
    <w:rsid w:val="00011390"/>
    <w:rsid w:val="00016680"/>
    <w:rsid w:val="000215D7"/>
    <w:rsid w:val="00021BC6"/>
    <w:rsid w:val="000232FA"/>
    <w:rsid w:val="000252F8"/>
    <w:rsid w:val="000254D6"/>
    <w:rsid w:val="00025D51"/>
    <w:rsid w:val="00027099"/>
    <w:rsid w:val="00034010"/>
    <w:rsid w:val="000373BA"/>
    <w:rsid w:val="00040E42"/>
    <w:rsid w:val="0004253C"/>
    <w:rsid w:val="00042C3A"/>
    <w:rsid w:val="00045223"/>
    <w:rsid w:val="00045B3C"/>
    <w:rsid w:val="00046950"/>
    <w:rsid w:val="00054657"/>
    <w:rsid w:val="00061499"/>
    <w:rsid w:val="000629EA"/>
    <w:rsid w:val="00063124"/>
    <w:rsid w:val="000643FF"/>
    <w:rsid w:val="000660F2"/>
    <w:rsid w:val="00066A7B"/>
    <w:rsid w:val="00072F94"/>
    <w:rsid w:val="0007534F"/>
    <w:rsid w:val="000769DE"/>
    <w:rsid w:val="0007786D"/>
    <w:rsid w:val="0008366C"/>
    <w:rsid w:val="0008536B"/>
    <w:rsid w:val="0009165D"/>
    <w:rsid w:val="00095077"/>
    <w:rsid w:val="000957E9"/>
    <w:rsid w:val="0009676F"/>
    <w:rsid w:val="000A19AF"/>
    <w:rsid w:val="000A298E"/>
    <w:rsid w:val="000A2D76"/>
    <w:rsid w:val="000B3D28"/>
    <w:rsid w:val="000C026A"/>
    <w:rsid w:val="000C14B2"/>
    <w:rsid w:val="000C2E77"/>
    <w:rsid w:val="000C7E83"/>
    <w:rsid w:val="000D5548"/>
    <w:rsid w:val="000D6106"/>
    <w:rsid w:val="000E0000"/>
    <w:rsid w:val="000E1662"/>
    <w:rsid w:val="000E1BD4"/>
    <w:rsid w:val="000E1F4C"/>
    <w:rsid w:val="000E3617"/>
    <w:rsid w:val="000E7267"/>
    <w:rsid w:val="000F0C9A"/>
    <w:rsid w:val="000F4066"/>
    <w:rsid w:val="00104AC9"/>
    <w:rsid w:val="00110E4F"/>
    <w:rsid w:val="00124ACF"/>
    <w:rsid w:val="00141DA1"/>
    <w:rsid w:val="001449A3"/>
    <w:rsid w:val="00144A4A"/>
    <w:rsid w:val="001463FB"/>
    <w:rsid w:val="00162669"/>
    <w:rsid w:val="00167AA9"/>
    <w:rsid w:val="0017266A"/>
    <w:rsid w:val="00176C7E"/>
    <w:rsid w:val="0018027A"/>
    <w:rsid w:val="001808C1"/>
    <w:rsid w:val="0018212C"/>
    <w:rsid w:val="00182142"/>
    <w:rsid w:val="001839CF"/>
    <w:rsid w:val="00193DFB"/>
    <w:rsid w:val="00194B02"/>
    <w:rsid w:val="001A1324"/>
    <w:rsid w:val="001A2169"/>
    <w:rsid w:val="001A5B75"/>
    <w:rsid w:val="001A689E"/>
    <w:rsid w:val="001B6F5C"/>
    <w:rsid w:val="001C3C26"/>
    <w:rsid w:val="001D3B0C"/>
    <w:rsid w:val="001D66ED"/>
    <w:rsid w:val="001D7AC9"/>
    <w:rsid w:val="001D7B66"/>
    <w:rsid w:val="001D7D0A"/>
    <w:rsid w:val="001E0F86"/>
    <w:rsid w:val="001E2307"/>
    <w:rsid w:val="001E3875"/>
    <w:rsid w:val="001E54CF"/>
    <w:rsid w:val="001E6964"/>
    <w:rsid w:val="001E7884"/>
    <w:rsid w:val="001F6DD5"/>
    <w:rsid w:val="0020005D"/>
    <w:rsid w:val="002035B0"/>
    <w:rsid w:val="0020395A"/>
    <w:rsid w:val="00203B4F"/>
    <w:rsid w:val="00204562"/>
    <w:rsid w:val="0020664E"/>
    <w:rsid w:val="00210B85"/>
    <w:rsid w:val="00212B8B"/>
    <w:rsid w:val="00214E81"/>
    <w:rsid w:val="00215A8C"/>
    <w:rsid w:val="00221F83"/>
    <w:rsid w:val="0022250C"/>
    <w:rsid w:val="00232043"/>
    <w:rsid w:val="00233C76"/>
    <w:rsid w:val="00233FD6"/>
    <w:rsid w:val="00235618"/>
    <w:rsid w:val="00242E2B"/>
    <w:rsid w:val="00245176"/>
    <w:rsid w:val="002464B0"/>
    <w:rsid w:val="00252D41"/>
    <w:rsid w:val="00252D82"/>
    <w:rsid w:val="002543CE"/>
    <w:rsid w:val="0025486C"/>
    <w:rsid w:val="00254A9F"/>
    <w:rsid w:val="00256A5A"/>
    <w:rsid w:val="00260164"/>
    <w:rsid w:val="002615B3"/>
    <w:rsid w:val="002643C5"/>
    <w:rsid w:val="00264CD9"/>
    <w:rsid w:val="002654B3"/>
    <w:rsid w:val="002800D9"/>
    <w:rsid w:val="0028057B"/>
    <w:rsid w:val="002830DA"/>
    <w:rsid w:val="0028410A"/>
    <w:rsid w:val="00284E31"/>
    <w:rsid w:val="002918CF"/>
    <w:rsid w:val="00291B63"/>
    <w:rsid w:val="002931CE"/>
    <w:rsid w:val="00294098"/>
    <w:rsid w:val="00294E32"/>
    <w:rsid w:val="002A099C"/>
    <w:rsid w:val="002A4D87"/>
    <w:rsid w:val="002B0398"/>
    <w:rsid w:val="002B2AE0"/>
    <w:rsid w:val="002B32B6"/>
    <w:rsid w:val="002B3F31"/>
    <w:rsid w:val="002B4142"/>
    <w:rsid w:val="002B4B17"/>
    <w:rsid w:val="002B4ECB"/>
    <w:rsid w:val="002B50E1"/>
    <w:rsid w:val="002C04E4"/>
    <w:rsid w:val="002C4AAF"/>
    <w:rsid w:val="002C5D37"/>
    <w:rsid w:val="002D097D"/>
    <w:rsid w:val="002D1054"/>
    <w:rsid w:val="002D29E7"/>
    <w:rsid w:val="002D2B9D"/>
    <w:rsid w:val="002D4C31"/>
    <w:rsid w:val="002D6198"/>
    <w:rsid w:val="002E17D7"/>
    <w:rsid w:val="002E33FB"/>
    <w:rsid w:val="002F13DE"/>
    <w:rsid w:val="002F2AC4"/>
    <w:rsid w:val="002F39CC"/>
    <w:rsid w:val="002F5A83"/>
    <w:rsid w:val="003010D7"/>
    <w:rsid w:val="00307BA3"/>
    <w:rsid w:val="00311FED"/>
    <w:rsid w:val="0031479F"/>
    <w:rsid w:val="0031646F"/>
    <w:rsid w:val="003176AD"/>
    <w:rsid w:val="00322F2E"/>
    <w:rsid w:val="003234FD"/>
    <w:rsid w:val="00330B53"/>
    <w:rsid w:val="00332B90"/>
    <w:rsid w:val="00332D5C"/>
    <w:rsid w:val="003359A6"/>
    <w:rsid w:val="003404CC"/>
    <w:rsid w:val="003408D2"/>
    <w:rsid w:val="00343AC8"/>
    <w:rsid w:val="00345083"/>
    <w:rsid w:val="003467A8"/>
    <w:rsid w:val="00346E12"/>
    <w:rsid w:val="00351A0B"/>
    <w:rsid w:val="00353A06"/>
    <w:rsid w:val="003579FB"/>
    <w:rsid w:val="00361374"/>
    <w:rsid w:val="003637F2"/>
    <w:rsid w:val="00366917"/>
    <w:rsid w:val="00371536"/>
    <w:rsid w:val="00373F10"/>
    <w:rsid w:val="00375C3B"/>
    <w:rsid w:val="003915AE"/>
    <w:rsid w:val="00391BCB"/>
    <w:rsid w:val="00393840"/>
    <w:rsid w:val="003946D4"/>
    <w:rsid w:val="00395EF2"/>
    <w:rsid w:val="003A2481"/>
    <w:rsid w:val="003A2E83"/>
    <w:rsid w:val="003A5FE1"/>
    <w:rsid w:val="003A6E78"/>
    <w:rsid w:val="003B6087"/>
    <w:rsid w:val="003B7580"/>
    <w:rsid w:val="003C19BD"/>
    <w:rsid w:val="003C1AD8"/>
    <w:rsid w:val="003D1AB9"/>
    <w:rsid w:val="003D4492"/>
    <w:rsid w:val="003D55EE"/>
    <w:rsid w:val="003D69ED"/>
    <w:rsid w:val="003E1E50"/>
    <w:rsid w:val="003E61A0"/>
    <w:rsid w:val="003E625F"/>
    <w:rsid w:val="003E6B4C"/>
    <w:rsid w:val="003F0BE1"/>
    <w:rsid w:val="003F1F60"/>
    <w:rsid w:val="003F3C45"/>
    <w:rsid w:val="004056F1"/>
    <w:rsid w:val="00410517"/>
    <w:rsid w:val="00410B90"/>
    <w:rsid w:val="00413A74"/>
    <w:rsid w:val="004155FE"/>
    <w:rsid w:val="00430040"/>
    <w:rsid w:val="00432268"/>
    <w:rsid w:val="00433CB3"/>
    <w:rsid w:val="004342B4"/>
    <w:rsid w:val="0043474E"/>
    <w:rsid w:val="0044215F"/>
    <w:rsid w:val="0044447D"/>
    <w:rsid w:val="0045518C"/>
    <w:rsid w:val="00456F01"/>
    <w:rsid w:val="0045711D"/>
    <w:rsid w:val="00464C8F"/>
    <w:rsid w:val="00465506"/>
    <w:rsid w:val="00470985"/>
    <w:rsid w:val="004774FE"/>
    <w:rsid w:val="0048420B"/>
    <w:rsid w:val="004844B7"/>
    <w:rsid w:val="00485CAF"/>
    <w:rsid w:val="00486019"/>
    <w:rsid w:val="0048770A"/>
    <w:rsid w:val="00490878"/>
    <w:rsid w:val="0049357E"/>
    <w:rsid w:val="0049455C"/>
    <w:rsid w:val="00494959"/>
    <w:rsid w:val="00495383"/>
    <w:rsid w:val="004954EC"/>
    <w:rsid w:val="00495A74"/>
    <w:rsid w:val="0049788D"/>
    <w:rsid w:val="004A03F0"/>
    <w:rsid w:val="004A226B"/>
    <w:rsid w:val="004A4ED0"/>
    <w:rsid w:val="004B45DD"/>
    <w:rsid w:val="004B4F26"/>
    <w:rsid w:val="004B5AD4"/>
    <w:rsid w:val="004B5F36"/>
    <w:rsid w:val="004C454B"/>
    <w:rsid w:val="004C45A2"/>
    <w:rsid w:val="004D0501"/>
    <w:rsid w:val="004E03DC"/>
    <w:rsid w:val="004E1600"/>
    <w:rsid w:val="004E6165"/>
    <w:rsid w:val="004E6EBA"/>
    <w:rsid w:val="004E797C"/>
    <w:rsid w:val="004E7E95"/>
    <w:rsid w:val="004F1BD5"/>
    <w:rsid w:val="004F1E94"/>
    <w:rsid w:val="004F6D45"/>
    <w:rsid w:val="005066A7"/>
    <w:rsid w:val="00513F6D"/>
    <w:rsid w:val="005206F8"/>
    <w:rsid w:val="00520864"/>
    <w:rsid w:val="00521A15"/>
    <w:rsid w:val="00522010"/>
    <w:rsid w:val="005228F0"/>
    <w:rsid w:val="00526733"/>
    <w:rsid w:val="00527425"/>
    <w:rsid w:val="0053048D"/>
    <w:rsid w:val="005320B2"/>
    <w:rsid w:val="00533A0E"/>
    <w:rsid w:val="005354D4"/>
    <w:rsid w:val="005372D0"/>
    <w:rsid w:val="00537DB8"/>
    <w:rsid w:val="00540098"/>
    <w:rsid w:val="0054171F"/>
    <w:rsid w:val="00544B0C"/>
    <w:rsid w:val="00545CAB"/>
    <w:rsid w:val="0054765F"/>
    <w:rsid w:val="00551557"/>
    <w:rsid w:val="00551DE8"/>
    <w:rsid w:val="00553080"/>
    <w:rsid w:val="00554159"/>
    <w:rsid w:val="00555543"/>
    <w:rsid w:val="00555BDC"/>
    <w:rsid w:val="005623AF"/>
    <w:rsid w:val="00563011"/>
    <w:rsid w:val="005645C6"/>
    <w:rsid w:val="00564C37"/>
    <w:rsid w:val="0056510C"/>
    <w:rsid w:val="00565A00"/>
    <w:rsid w:val="005662B1"/>
    <w:rsid w:val="00570C6B"/>
    <w:rsid w:val="00571118"/>
    <w:rsid w:val="00576F91"/>
    <w:rsid w:val="00581514"/>
    <w:rsid w:val="005819C8"/>
    <w:rsid w:val="00581D60"/>
    <w:rsid w:val="00586B3C"/>
    <w:rsid w:val="0058776B"/>
    <w:rsid w:val="00590AF5"/>
    <w:rsid w:val="0059207E"/>
    <w:rsid w:val="00594BC0"/>
    <w:rsid w:val="005A0B15"/>
    <w:rsid w:val="005A184F"/>
    <w:rsid w:val="005A19FB"/>
    <w:rsid w:val="005A57D0"/>
    <w:rsid w:val="005B1744"/>
    <w:rsid w:val="005B6CDC"/>
    <w:rsid w:val="005B76CD"/>
    <w:rsid w:val="005C0B7A"/>
    <w:rsid w:val="005C24C3"/>
    <w:rsid w:val="005D4F8D"/>
    <w:rsid w:val="005E472C"/>
    <w:rsid w:val="005E5DBA"/>
    <w:rsid w:val="005E6F0F"/>
    <w:rsid w:val="005F6FB7"/>
    <w:rsid w:val="005F7BB8"/>
    <w:rsid w:val="00602D58"/>
    <w:rsid w:val="00604660"/>
    <w:rsid w:val="00604CD6"/>
    <w:rsid w:val="00605F14"/>
    <w:rsid w:val="006072E3"/>
    <w:rsid w:val="00611E97"/>
    <w:rsid w:val="00614EA3"/>
    <w:rsid w:val="00615610"/>
    <w:rsid w:val="00617160"/>
    <w:rsid w:val="00620FE1"/>
    <w:rsid w:val="006219E3"/>
    <w:rsid w:val="00625EEA"/>
    <w:rsid w:val="006266BB"/>
    <w:rsid w:val="0063054B"/>
    <w:rsid w:val="00631D41"/>
    <w:rsid w:val="006326A6"/>
    <w:rsid w:val="0063383C"/>
    <w:rsid w:val="006339D4"/>
    <w:rsid w:val="00633F75"/>
    <w:rsid w:val="00634F66"/>
    <w:rsid w:val="006423E8"/>
    <w:rsid w:val="00643D6E"/>
    <w:rsid w:val="00645FF0"/>
    <w:rsid w:val="00647A3C"/>
    <w:rsid w:val="00650142"/>
    <w:rsid w:val="00654AF3"/>
    <w:rsid w:val="00654CEF"/>
    <w:rsid w:val="00655749"/>
    <w:rsid w:val="006571E1"/>
    <w:rsid w:val="00660225"/>
    <w:rsid w:val="006626B3"/>
    <w:rsid w:val="00663D6B"/>
    <w:rsid w:val="00666C62"/>
    <w:rsid w:val="0066762B"/>
    <w:rsid w:val="00671A74"/>
    <w:rsid w:val="00674844"/>
    <w:rsid w:val="0067644D"/>
    <w:rsid w:val="00682779"/>
    <w:rsid w:val="00682A9A"/>
    <w:rsid w:val="006837C5"/>
    <w:rsid w:val="006A1341"/>
    <w:rsid w:val="006A36AA"/>
    <w:rsid w:val="006A4358"/>
    <w:rsid w:val="006A4C7A"/>
    <w:rsid w:val="006A5EF9"/>
    <w:rsid w:val="006A7135"/>
    <w:rsid w:val="006B3A12"/>
    <w:rsid w:val="006B55C6"/>
    <w:rsid w:val="006B7481"/>
    <w:rsid w:val="006B7C6E"/>
    <w:rsid w:val="006C1CFF"/>
    <w:rsid w:val="006C1FDD"/>
    <w:rsid w:val="006C2DC2"/>
    <w:rsid w:val="006C34F7"/>
    <w:rsid w:val="006C5598"/>
    <w:rsid w:val="006C72B8"/>
    <w:rsid w:val="006D3A4B"/>
    <w:rsid w:val="006D4B5E"/>
    <w:rsid w:val="006D6B2E"/>
    <w:rsid w:val="006E38A2"/>
    <w:rsid w:val="006E50D2"/>
    <w:rsid w:val="006E559D"/>
    <w:rsid w:val="006E5BCE"/>
    <w:rsid w:val="006E7977"/>
    <w:rsid w:val="006F1807"/>
    <w:rsid w:val="006F1BC6"/>
    <w:rsid w:val="006F26F4"/>
    <w:rsid w:val="006F2F27"/>
    <w:rsid w:val="006F40F5"/>
    <w:rsid w:val="00700177"/>
    <w:rsid w:val="007007CD"/>
    <w:rsid w:val="00704020"/>
    <w:rsid w:val="00715A90"/>
    <w:rsid w:val="0072326E"/>
    <w:rsid w:val="007249CC"/>
    <w:rsid w:val="00730CFB"/>
    <w:rsid w:val="00731096"/>
    <w:rsid w:val="00732CA9"/>
    <w:rsid w:val="00741F8F"/>
    <w:rsid w:val="0074669B"/>
    <w:rsid w:val="007469F4"/>
    <w:rsid w:val="00747755"/>
    <w:rsid w:val="00750035"/>
    <w:rsid w:val="0076019A"/>
    <w:rsid w:val="00764C76"/>
    <w:rsid w:val="00767C2D"/>
    <w:rsid w:val="00767CB9"/>
    <w:rsid w:val="00772E5C"/>
    <w:rsid w:val="00775B84"/>
    <w:rsid w:val="00775EC1"/>
    <w:rsid w:val="00776038"/>
    <w:rsid w:val="00782238"/>
    <w:rsid w:val="00784E80"/>
    <w:rsid w:val="00787912"/>
    <w:rsid w:val="00790251"/>
    <w:rsid w:val="00793C07"/>
    <w:rsid w:val="007A01B8"/>
    <w:rsid w:val="007A0A78"/>
    <w:rsid w:val="007A1027"/>
    <w:rsid w:val="007A4CED"/>
    <w:rsid w:val="007A5352"/>
    <w:rsid w:val="007B45B3"/>
    <w:rsid w:val="007B630E"/>
    <w:rsid w:val="007B6A40"/>
    <w:rsid w:val="007B6AB8"/>
    <w:rsid w:val="007C1D98"/>
    <w:rsid w:val="007C1E4A"/>
    <w:rsid w:val="007C363B"/>
    <w:rsid w:val="007D3817"/>
    <w:rsid w:val="007E0070"/>
    <w:rsid w:val="007E135E"/>
    <w:rsid w:val="007E2F10"/>
    <w:rsid w:val="007E326F"/>
    <w:rsid w:val="007E5113"/>
    <w:rsid w:val="007E5615"/>
    <w:rsid w:val="007F02C6"/>
    <w:rsid w:val="007F347D"/>
    <w:rsid w:val="00802092"/>
    <w:rsid w:val="0080263D"/>
    <w:rsid w:val="0080275D"/>
    <w:rsid w:val="008028BE"/>
    <w:rsid w:val="00803BFA"/>
    <w:rsid w:val="0081000B"/>
    <w:rsid w:val="00810D8D"/>
    <w:rsid w:val="00811500"/>
    <w:rsid w:val="0081414B"/>
    <w:rsid w:val="0081563E"/>
    <w:rsid w:val="008164FA"/>
    <w:rsid w:val="008208CE"/>
    <w:rsid w:val="00821BF7"/>
    <w:rsid w:val="0082292D"/>
    <w:rsid w:val="00825065"/>
    <w:rsid w:val="00837D45"/>
    <w:rsid w:val="00837FBB"/>
    <w:rsid w:val="0085029E"/>
    <w:rsid w:val="008503E8"/>
    <w:rsid w:val="008507F2"/>
    <w:rsid w:val="008531A3"/>
    <w:rsid w:val="00857919"/>
    <w:rsid w:val="008579DB"/>
    <w:rsid w:val="0086223B"/>
    <w:rsid w:val="00862375"/>
    <w:rsid w:val="008673C5"/>
    <w:rsid w:val="008679F2"/>
    <w:rsid w:val="00871A76"/>
    <w:rsid w:val="00872C9E"/>
    <w:rsid w:val="008740AE"/>
    <w:rsid w:val="00875BEC"/>
    <w:rsid w:val="00881AA2"/>
    <w:rsid w:val="0088307F"/>
    <w:rsid w:val="008865BF"/>
    <w:rsid w:val="00890D1D"/>
    <w:rsid w:val="00891150"/>
    <w:rsid w:val="00891D05"/>
    <w:rsid w:val="00893949"/>
    <w:rsid w:val="00893ABC"/>
    <w:rsid w:val="008968E0"/>
    <w:rsid w:val="008A0A7B"/>
    <w:rsid w:val="008A22AD"/>
    <w:rsid w:val="008A2772"/>
    <w:rsid w:val="008A738E"/>
    <w:rsid w:val="008B4A96"/>
    <w:rsid w:val="008B4D27"/>
    <w:rsid w:val="008B690A"/>
    <w:rsid w:val="008B746C"/>
    <w:rsid w:val="008C0B89"/>
    <w:rsid w:val="008C0BAD"/>
    <w:rsid w:val="008C1FFD"/>
    <w:rsid w:val="008C6715"/>
    <w:rsid w:val="008C756E"/>
    <w:rsid w:val="008D27A6"/>
    <w:rsid w:val="008F514F"/>
    <w:rsid w:val="009004BF"/>
    <w:rsid w:val="00903050"/>
    <w:rsid w:val="00903B71"/>
    <w:rsid w:val="0091521B"/>
    <w:rsid w:val="0092038B"/>
    <w:rsid w:val="00924487"/>
    <w:rsid w:val="00930EE8"/>
    <w:rsid w:val="009324AA"/>
    <w:rsid w:val="00936671"/>
    <w:rsid w:val="009379D1"/>
    <w:rsid w:val="00946268"/>
    <w:rsid w:val="009474FB"/>
    <w:rsid w:val="00951641"/>
    <w:rsid w:val="00952157"/>
    <w:rsid w:val="00952EE8"/>
    <w:rsid w:val="009532BE"/>
    <w:rsid w:val="00954FF9"/>
    <w:rsid w:val="00963915"/>
    <w:rsid w:val="00964A10"/>
    <w:rsid w:val="00966DB2"/>
    <w:rsid w:val="0097006F"/>
    <w:rsid w:val="009709D8"/>
    <w:rsid w:val="00970FFD"/>
    <w:rsid w:val="00982B9E"/>
    <w:rsid w:val="00991AAD"/>
    <w:rsid w:val="009922DA"/>
    <w:rsid w:val="00993D14"/>
    <w:rsid w:val="009941BE"/>
    <w:rsid w:val="00994585"/>
    <w:rsid w:val="00995768"/>
    <w:rsid w:val="009A0140"/>
    <w:rsid w:val="009A1E35"/>
    <w:rsid w:val="009A3B94"/>
    <w:rsid w:val="009A7E38"/>
    <w:rsid w:val="009B2CC7"/>
    <w:rsid w:val="009B315B"/>
    <w:rsid w:val="009B4161"/>
    <w:rsid w:val="009C3FB6"/>
    <w:rsid w:val="009C42AF"/>
    <w:rsid w:val="009C63A5"/>
    <w:rsid w:val="009C6B26"/>
    <w:rsid w:val="009D1B8C"/>
    <w:rsid w:val="009D542A"/>
    <w:rsid w:val="009D656E"/>
    <w:rsid w:val="009D7F83"/>
    <w:rsid w:val="009E228D"/>
    <w:rsid w:val="009E6BB2"/>
    <w:rsid w:val="009E7063"/>
    <w:rsid w:val="009F1C66"/>
    <w:rsid w:val="009F7C27"/>
    <w:rsid w:val="00A01808"/>
    <w:rsid w:val="00A051FE"/>
    <w:rsid w:val="00A0552C"/>
    <w:rsid w:val="00A077A7"/>
    <w:rsid w:val="00A079AC"/>
    <w:rsid w:val="00A112BD"/>
    <w:rsid w:val="00A13414"/>
    <w:rsid w:val="00A1526E"/>
    <w:rsid w:val="00A17919"/>
    <w:rsid w:val="00A204E3"/>
    <w:rsid w:val="00A208CF"/>
    <w:rsid w:val="00A20ED0"/>
    <w:rsid w:val="00A24922"/>
    <w:rsid w:val="00A26429"/>
    <w:rsid w:val="00A27E28"/>
    <w:rsid w:val="00A3732D"/>
    <w:rsid w:val="00A411DB"/>
    <w:rsid w:val="00A427FF"/>
    <w:rsid w:val="00A51863"/>
    <w:rsid w:val="00A562C8"/>
    <w:rsid w:val="00A56CA0"/>
    <w:rsid w:val="00A57921"/>
    <w:rsid w:val="00A619BB"/>
    <w:rsid w:val="00A62B77"/>
    <w:rsid w:val="00A64996"/>
    <w:rsid w:val="00A65666"/>
    <w:rsid w:val="00A718FF"/>
    <w:rsid w:val="00A7383F"/>
    <w:rsid w:val="00A82AC5"/>
    <w:rsid w:val="00A83465"/>
    <w:rsid w:val="00A9050C"/>
    <w:rsid w:val="00A94381"/>
    <w:rsid w:val="00A94475"/>
    <w:rsid w:val="00A96D78"/>
    <w:rsid w:val="00AA20D4"/>
    <w:rsid w:val="00AA561B"/>
    <w:rsid w:val="00AA72A3"/>
    <w:rsid w:val="00AB0482"/>
    <w:rsid w:val="00AB2174"/>
    <w:rsid w:val="00AB5068"/>
    <w:rsid w:val="00AB5D8C"/>
    <w:rsid w:val="00AB680D"/>
    <w:rsid w:val="00AB76CD"/>
    <w:rsid w:val="00AC0E55"/>
    <w:rsid w:val="00AC0ECF"/>
    <w:rsid w:val="00AC24A3"/>
    <w:rsid w:val="00AC2C43"/>
    <w:rsid w:val="00AC69F5"/>
    <w:rsid w:val="00AC7FCB"/>
    <w:rsid w:val="00AD4BC4"/>
    <w:rsid w:val="00AD5C30"/>
    <w:rsid w:val="00AD646F"/>
    <w:rsid w:val="00AE0FFE"/>
    <w:rsid w:val="00AE320A"/>
    <w:rsid w:val="00AF1D98"/>
    <w:rsid w:val="00AF3680"/>
    <w:rsid w:val="00AF4D61"/>
    <w:rsid w:val="00AF6DE7"/>
    <w:rsid w:val="00B02561"/>
    <w:rsid w:val="00B07AEA"/>
    <w:rsid w:val="00B116BF"/>
    <w:rsid w:val="00B155FF"/>
    <w:rsid w:val="00B15908"/>
    <w:rsid w:val="00B22093"/>
    <w:rsid w:val="00B265A3"/>
    <w:rsid w:val="00B35D11"/>
    <w:rsid w:val="00B35FCD"/>
    <w:rsid w:val="00B4001E"/>
    <w:rsid w:val="00B4020B"/>
    <w:rsid w:val="00B41CF9"/>
    <w:rsid w:val="00B435F9"/>
    <w:rsid w:val="00B43944"/>
    <w:rsid w:val="00B466DC"/>
    <w:rsid w:val="00B53A6D"/>
    <w:rsid w:val="00B54FE0"/>
    <w:rsid w:val="00B61ADF"/>
    <w:rsid w:val="00B62A74"/>
    <w:rsid w:val="00B63839"/>
    <w:rsid w:val="00B671E1"/>
    <w:rsid w:val="00B70BA6"/>
    <w:rsid w:val="00B7154D"/>
    <w:rsid w:val="00B72E0E"/>
    <w:rsid w:val="00B8193C"/>
    <w:rsid w:val="00B83A4C"/>
    <w:rsid w:val="00B91FCF"/>
    <w:rsid w:val="00B926F6"/>
    <w:rsid w:val="00B95974"/>
    <w:rsid w:val="00B975AA"/>
    <w:rsid w:val="00BA37EF"/>
    <w:rsid w:val="00BA6A3E"/>
    <w:rsid w:val="00BB3603"/>
    <w:rsid w:val="00BB54A7"/>
    <w:rsid w:val="00BC177B"/>
    <w:rsid w:val="00BC2395"/>
    <w:rsid w:val="00BC2552"/>
    <w:rsid w:val="00BC2BAB"/>
    <w:rsid w:val="00BC5B75"/>
    <w:rsid w:val="00BC636C"/>
    <w:rsid w:val="00BD05C6"/>
    <w:rsid w:val="00BD52C3"/>
    <w:rsid w:val="00BD5738"/>
    <w:rsid w:val="00BE076A"/>
    <w:rsid w:val="00BE37C0"/>
    <w:rsid w:val="00BE468E"/>
    <w:rsid w:val="00BE4697"/>
    <w:rsid w:val="00BE4BD9"/>
    <w:rsid w:val="00BE4E64"/>
    <w:rsid w:val="00BE52E9"/>
    <w:rsid w:val="00BF10BB"/>
    <w:rsid w:val="00BF37EA"/>
    <w:rsid w:val="00C007B7"/>
    <w:rsid w:val="00C02485"/>
    <w:rsid w:val="00C0573F"/>
    <w:rsid w:val="00C05ACE"/>
    <w:rsid w:val="00C07B56"/>
    <w:rsid w:val="00C102B5"/>
    <w:rsid w:val="00C106BF"/>
    <w:rsid w:val="00C14B93"/>
    <w:rsid w:val="00C24216"/>
    <w:rsid w:val="00C33EF7"/>
    <w:rsid w:val="00C3681C"/>
    <w:rsid w:val="00C36B3E"/>
    <w:rsid w:val="00C36C2F"/>
    <w:rsid w:val="00C417E7"/>
    <w:rsid w:val="00C43FED"/>
    <w:rsid w:val="00C4486A"/>
    <w:rsid w:val="00C44AF3"/>
    <w:rsid w:val="00C45724"/>
    <w:rsid w:val="00C516DA"/>
    <w:rsid w:val="00C518B9"/>
    <w:rsid w:val="00C521CB"/>
    <w:rsid w:val="00C52B50"/>
    <w:rsid w:val="00C52E15"/>
    <w:rsid w:val="00C54775"/>
    <w:rsid w:val="00C54948"/>
    <w:rsid w:val="00C54EB6"/>
    <w:rsid w:val="00C61673"/>
    <w:rsid w:val="00C61A28"/>
    <w:rsid w:val="00C65A59"/>
    <w:rsid w:val="00C66D76"/>
    <w:rsid w:val="00C71CA3"/>
    <w:rsid w:val="00C72AED"/>
    <w:rsid w:val="00C749C1"/>
    <w:rsid w:val="00C86DB3"/>
    <w:rsid w:val="00C92131"/>
    <w:rsid w:val="00C945E7"/>
    <w:rsid w:val="00CA021A"/>
    <w:rsid w:val="00CA2209"/>
    <w:rsid w:val="00CA2BA3"/>
    <w:rsid w:val="00CA332D"/>
    <w:rsid w:val="00CA354D"/>
    <w:rsid w:val="00CA6C74"/>
    <w:rsid w:val="00CA7BD6"/>
    <w:rsid w:val="00CB31E7"/>
    <w:rsid w:val="00CB4D53"/>
    <w:rsid w:val="00CB4E92"/>
    <w:rsid w:val="00CB58C9"/>
    <w:rsid w:val="00CB7FBC"/>
    <w:rsid w:val="00CC762E"/>
    <w:rsid w:val="00CC7A63"/>
    <w:rsid w:val="00CD3E99"/>
    <w:rsid w:val="00CD4A33"/>
    <w:rsid w:val="00CD7E47"/>
    <w:rsid w:val="00CE06AB"/>
    <w:rsid w:val="00CF6EE5"/>
    <w:rsid w:val="00D00450"/>
    <w:rsid w:val="00D0055A"/>
    <w:rsid w:val="00D00AFF"/>
    <w:rsid w:val="00D04330"/>
    <w:rsid w:val="00D07DBF"/>
    <w:rsid w:val="00D12124"/>
    <w:rsid w:val="00D13AD7"/>
    <w:rsid w:val="00D20BF2"/>
    <w:rsid w:val="00D24E2A"/>
    <w:rsid w:val="00D27221"/>
    <w:rsid w:val="00D2764F"/>
    <w:rsid w:val="00D33FC1"/>
    <w:rsid w:val="00D350B6"/>
    <w:rsid w:val="00D3583A"/>
    <w:rsid w:val="00D36F16"/>
    <w:rsid w:val="00D40576"/>
    <w:rsid w:val="00D40801"/>
    <w:rsid w:val="00D4135B"/>
    <w:rsid w:val="00D41ED3"/>
    <w:rsid w:val="00D42ACA"/>
    <w:rsid w:val="00D510E3"/>
    <w:rsid w:val="00D5198A"/>
    <w:rsid w:val="00D56441"/>
    <w:rsid w:val="00D57E12"/>
    <w:rsid w:val="00D61457"/>
    <w:rsid w:val="00D61553"/>
    <w:rsid w:val="00D6442F"/>
    <w:rsid w:val="00D658E3"/>
    <w:rsid w:val="00D677AF"/>
    <w:rsid w:val="00D70E40"/>
    <w:rsid w:val="00D725F3"/>
    <w:rsid w:val="00D748EA"/>
    <w:rsid w:val="00D75075"/>
    <w:rsid w:val="00D769F3"/>
    <w:rsid w:val="00D90C83"/>
    <w:rsid w:val="00D910C0"/>
    <w:rsid w:val="00D91722"/>
    <w:rsid w:val="00D93D41"/>
    <w:rsid w:val="00D95289"/>
    <w:rsid w:val="00D95C69"/>
    <w:rsid w:val="00D961E1"/>
    <w:rsid w:val="00D96AC8"/>
    <w:rsid w:val="00DA237F"/>
    <w:rsid w:val="00DA4E16"/>
    <w:rsid w:val="00DA4EEF"/>
    <w:rsid w:val="00DB09C3"/>
    <w:rsid w:val="00DB5987"/>
    <w:rsid w:val="00DB709E"/>
    <w:rsid w:val="00DB7C0B"/>
    <w:rsid w:val="00DC0950"/>
    <w:rsid w:val="00DC1CD4"/>
    <w:rsid w:val="00DC4565"/>
    <w:rsid w:val="00DC601D"/>
    <w:rsid w:val="00DC6669"/>
    <w:rsid w:val="00DD1ED8"/>
    <w:rsid w:val="00DD3F84"/>
    <w:rsid w:val="00DD47DE"/>
    <w:rsid w:val="00DD5F31"/>
    <w:rsid w:val="00DD6CC3"/>
    <w:rsid w:val="00DD6E37"/>
    <w:rsid w:val="00DE656E"/>
    <w:rsid w:val="00DE6678"/>
    <w:rsid w:val="00DF072A"/>
    <w:rsid w:val="00DF2421"/>
    <w:rsid w:val="00DF4BDE"/>
    <w:rsid w:val="00DF6A60"/>
    <w:rsid w:val="00E02EB0"/>
    <w:rsid w:val="00E02F87"/>
    <w:rsid w:val="00E042A4"/>
    <w:rsid w:val="00E0492B"/>
    <w:rsid w:val="00E05279"/>
    <w:rsid w:val="00E077D3"/>
    <w:rsid w:val="00E10394"/>
    <w:rsid w:val="00E140CE"/>
    <w:rsid w:val="00E14140"/>
    <w:rsid w:val="00E17A1E"/>
    <w:rsid w:val="00E222B5"/>
    <w:rsid w:val="00E24965"/>
    <w:rsid w:val="00E301B1"/>
    <w:rsid w:val="00E352F7"/>
    <w:rsid w:val="00E36452"/>
    <w:rsid w:val="00E41082"/>
    <w:rsid w:val="00E448BF"/>
    <w:rsid w:val="00E52031"/>
    <w:rsid w:val="00E54CC3"/>
    <w:rsid w:val="00E604C7"/>
    <w:rsid w:val="00E60B93"/>
    <w:rsid w:val="00E64DA6"/>
    <w:rsid w:val="00E7059A"/>
    <w:rsid w:val="00E729C6"/>
    <w:rsid w:val="00E73A5B"/>
    <w:rsid w:val="00E81464"/>
    <w:rsid w:val="00E83E41"/>
    <w:rsid w:val="00E83E6D"/>
    <w:rsid w:val="00E866B1"/>
    <w:rsid w:val="00E87613"/>
    <w:rsid w:val="00E926F5"/>
    <w:rsid w:val="00E92791"/>
    <w:rsid w:val="00E947C7"/>
    <w:rsid w:val="00E9603D"/>
    <w:rsid w:val="00EA19BA"/>
    <w:rsid w:val="00EA38A2"/>
    <w:rsid w:val="00EA4B8A"/>
    <w:rsid w:val="00EA74FB"/>
    <w:rsid w:val="00EB4F90"/>
    <w:rsid w:val="00EB73A7"/>
    <w:rsid w:val="00EC09DB"/>
    <w:rsid w:val="00EC168D"/>
    <w:rsid w:val="00EC25B0"/>
    <w:rsid w:val="00EC6189"/>
    <w:rsid w:val="00ED0A54"/>
    <w:rsid w:val="00ED153B"/>
    <w:rsid w:val="00ED1C51"/>
    <w:rsid w:val="00ED3AA9"/>
    <w:rsid w:val="00ED4FDD"/>
    <w:rsid w:val="00ED5E6A"/>
    <w:rsid w:val="00ED7044"/>
    <w:rsid w:val="00ED73DC"/>
    <w:rsid w:val="00EE3951"/>
    <w:rsid w:val="00EE4ECA"/>
    <w:rsid w:val="00EE7918"/>
    <w:rsid w:val="00EF0256"/>
    <w:rsid w:val="00EF3D73"/>
    <w:rsid w:val="00EF5C97"/>
    <w:rsid w:val="00F0020C"/>
    <w:rsid w:val="00F0155D"/>
    <w:rsid w:val="00F0157D"/>
    <w:rsid w:val="00F22E4C"/>
    <w:rsid w:val="00F24184"/>
    <w:rsid w:val="00F26181"/>
    <w:rsid w:val="00F275F1"/>
    <w:rsid w:val="00F32806"/>
    <w:rsid w:val="00F3508F"/>
    <w:rsid w:val="00F378A3"/>
    <w:rsid w:val="00F406AB"/>
    <w:rsid w:val="00F46327"/>
    <w:rsid w:val="00F55EAB"/>
    <w:rsid w:val="00F624A8"/>
    <w:rsid w:val="00F644DD"/>
    <w:rsid w:val="00F672D2"/>
    <w:rsid w:val="00F728F5"/>
    <w:rsid w:val="00F76B6A"/>
    <w:rsid w:val="00F84112"/>
    <w:rsid w:val="00F86D70"/>
    <w:rsid w:val="00F91EFB"/>
    <w:rsid w:val="00F926AA"/>
    <w:rsid w:val="00F96146"/>
    <w:rsid w:val="00FA049C"/>
    <w:rsid w:val="00FA07A2"/>
    <w:rsid w:val="00FB2F62"/>
    <w:rsid w:val="00FB311C"/>
    <w:rsid w:val="00FB4E5D"/>
    <w:rsid w:val="00FC05BE"/>
    <w:rsid w:val="00FC5612"/>
    <w:rsid w:val="00FD3D08"/>
    <w:rsid w:val="00FD56CF"/>
    <w:rsid w:val="00FE35B7"/>
    <w:rsid w:val="00FE3DC7"/>
    <w:rsid w:val="00FE53E4"/>
    <w:rsid w:val="00FE73FA"/>
    <w:rsid w:val="00FF156B"/>
    <w:rsid w:val="00FF2807"/>
    <w:rsid w:val="00FF5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E4FF"/>
  <w15:chartTrackingRefBased/>
  <w15:docId w15:val="{845CA81F-9EC1-4046-B6A2-D9954C5B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449A3"/>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1449A3"/>
    <w:pPr>
      <w:pBdr>
        <w:top w:val="single" w:sz="4" w:space="1" w:color="auto"/>
      </w:pBdr>
      <w:spacing w:line="240" w:lineRule="auto"/>
    </w:pPr>
    <w:rPr>
      <w:rFonts w:eastAsia="Times New Roman"/>
      <w:b/>
      <w:sz w:val="40"/>
      <w:lang w:eastAsia="en-AU"/>
    </w:rPr>
  </w:style>
  <w:style w:type="paragraph" w:customStyle="1" w:styleId="LI-Heading2">
    <w:name w:val="LI - Heading 2"/>
    <w:basedOn w:val="Normal"/>
    <w:next w:val="Normal"/>
    <w:qFormat/>
    <w:rsid w:val="001449A3"/>
    <w:pPr>
      <w:keepNext/>
      <w:keepLines/>
      <w:spacing w:before="360" w:line="240" w:lineRule="auto"/>
      <w:ind w:left="567" w:hanging="567"/>
      <w:outlineLvl w:val="1"/>
    </w:pPr>
    <w:rPr>
      <w:rFonts w:eastAsia="Times New Roman"/>
      <w:b/>
      <w:kern w:val="28"/>
      <w:sz w:val="24"/>
      <w:lang w:eastAsia="en-AU"/>
    </w:rPr>
  </w:style>
  <w:style w:type="paragraph" w:styleId="Header">
    <w:name w:val="header"/>
    <w:basedOn w:val="Normal"/>
    <w:link w:val="HeaderChar"/>
    <w:unhideWhenUsed/>
    <w:rsid w:val="001449A3"/>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1449A3"/>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1449A3"/>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1449A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1449A3"/>
    <w:rPr>
      <w:rFonts w:ascii="Times New Roman" w:eastAsia="Times New Roman" w:hAnsi="Times New Roman" w:cs="Times New Roman"/>
      <w:szCs w:val="24"/>
      <w:lang w:eastAsia="en-AU"/>
    </w:rPr>
  </w:style>
  <w:style w:type="paragraph" w:customStyle="1" w:styleId="LI-BodyTextSubparai">
    <w:name w:val="LI - Body Text Subpara (i)"/>
    <w:basedOn w:val="LI-BodyTextNumbered"/>
    <w:link w:val="LI-BodyTextSubparaiChar"/>
    <w:qFormat/>
    <w:rsid w:val="001449A3"/>
    <w:pPr>
      <w:numPr>
        <w:ilvl w:val="1"/>
      </w:numPr>
      <w:tabs>
        <w:tab w:val="num" w:pos="360"/>
      </w:tabs>
      <w:ind w:hanging="589"/>
    </w:pPr>
  </w:style>
  <w:style w:type="paragraph" w:customStyle="1" w:styleId="LI-BodyTextSubsubparaA">
    <w:name w:val="LI - Body Text Subsubpara (A)"/>
    <w:basedOn w:val="LI-BodyTextSubparai"/>
    <w:qFormat/>
    <w:rsid w:val="001449A3"/>
    <w:pPr>
      <w:numPr>
        <w:ilvl w:val="2"/>
      </w:numPr>
      <w:tabs>
        <w:tab w:val="num" w:pos="360"/>
      </w:tabs>
    </w:pPr>
  </w:style>
  <w:style w:type="character" w:customStyle="1" w:styleId="LI-BodyTextParaaChar">
    <w:name w:val="LI - Body Text Para (a) Char"/>
    <w:link w:val="LI-BodyTextParaa"/>
    <w:rsid w:val="001449A3"/>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1449A3"/>
    <w:rPr>
      <w:rFonts w:ascii="Times New Roman" w:eastAsia="Times New Roman" w:hAnsi="Times New Roman" w:cs="Times New Roman"/>
      <w:sz w:val="24"/>
      <w:szCs w:val="24"/>
      <w:lang w:eastAsia="en-AU"/>
    </w:rPr>
  </w:style>
  <w:style w:type="paragraph" w:customStyle="1" w:styleId="LI-BodyTextNumbered">
    <w:name w:val="LI - Body Text Numbered"/>
    <w:basedOn w:val="LI-BodyTextParaa"/>
    <w:link w:val="LI-BodyTextNumberedChar"/>
    <w:qFormat/>
    <w:rsid w:val="001449A3"/>
    <w:pPr>
      <w:numPr>
        <w:numId w:val="1"/>
      </w:numPr>
    </w:pPr>
  </w:style>
  <w:style w:type="paragraph" w:customStyle="1" w:styleId="LI-Footer">
    <w:name w:val="LI - Footer"/>
    <w:basedOn w:val="Normal"/>
    <w:link w:val="LI-FooterChar"/>
    <w:qFormat/>
    <w:rsid w:val="001449A3"/>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1449A3"/>
    <w:rPr>
      <w:rFonts w:ascii="Times New Roman" w:eastAsia="Times New Roman" w:hAnsi="Times New Roman" w:cs="Times New Roman"/>
      <w:sz w:val="24"/>
      <w:szCs w:val="24"/>
      <w:lang w:eastAsia="en-AU"/>
    </w:rPr>
  </w:style>
  <w:style w:type="paragraph" w:customStyle="1" w:styleId="LI-SectionHeading">
    <w:name w:val="LI - Section Heading"/>
    <w:basedOn w:val="Normal"/>
    <w:link w:val="LI-SectionHeadingChar"/>
    <w:qFormat/>
    <w:rsid w:val="001449A3"/>
    <w:pPr>
      <w:spacing w:before="240" w:line="240" w:lineRule="auto"/>
      <w:ind w:left="2268" w:hanging="567"/>
    </w:pPr>
    <w:rPr>
      <w:rFonts w:eastAsia="Times New Roman"/>
      <w:b/>
      <w:sz w:val="24"/>
      <w:szCs w:val="24"/>
      <w:lang w:eastAsia="en-AU"/>
    </w:rPr>
  </w:style>
  <w:style w:type="character" w:customStyle="1" w:styleId="LI-FooterChar">
    <w:name w:val="LI - Footer Char"/>
    <w:link w:val="LI-Footer"/>
    <w:rsid w:val="001449A3"/>
    <w:rPr>
      <w:rFonts w:ascii="Times New Roman" w:eastAsia="Calibri" w:hAnsi="Times New Roman" w:cs="Times New Roman"/>
      <w:i/>
      <w:sz w:val="18"/>
      <w:szCs w:val="20"/>
    </w:rPr>
  </w:style>
  <w:style w:type="character" w:customStyle="1" w:styleId="LI-SectionHeadingChar">
    <w:name w:val="LI - Section Heading Char"/>
    <w:link w:val="LI-SectionHeading"/>
    <w:rsid w:val="001449A3"/>
    <w:rPr>
      <w:rFonts w:ascii="Times New Roman" w:eastAsia="Times New Roman" w:hAnsi="Times New Roman" w:cs="Times New Roman"/>
      <w:b/>
      <w:sz w:val="24"/>
      <w:szCs w:val="24"/>
      <w:lang w:eastAsia="en-AU"/>
    </w:rPr>
  </w:style>
  <w:style w:type="paragraph" w:customStyle="1" w:styleId="LI-Header">
    <w:name w:val="LI - Header"/>
    <w:basedOn w:val="LI-Footer"/>
    <w:link w:val="LI-HeaderChar"/>
    <w:qFormat/>
    <w:rsid w:val="001449A3"/>
    <w:pPr>
      <w:pBdr>
        <w:top w:val="none" w:sz="0" w:space="0" w:color="auto"/>
        <w:bottom w:val="single" w:sz="4" w:space="1" w:color="auto"/>
      </w:pBdr>
      <w:jc w:val="right"/>
    </w:pPr>
  </w:style>
  <w:style w:type="character" w:customStyle="1" w:styleId="LI-HeaderChar">
    <w:name w:val="LI - Header Char"/>
    <w:basedOn w:val="LI-FooterChar"/>
    <w:link w:val="LI-Header"/>
    <w:rsid w:val="001449A3"/>
    <w:rPr>
      <w:rFonts w:ascii="Times New Roman" w:eastAsia="Calibri" w:hAnsi="Times New Roman" w:cs="Times New Roman"/>
      <w:i/>
      <w:sz w:val="18"/>
      <w:szCs w:val="20"/>
    </w:rPr>
  </w:style>
  <w:style w:type="paragraph" w:customStyle="1" w:styleId="LI-Heading1">
    <w:name w:val="LI - Heading 1"/>
    <w:basedOn w:val="Normal"/>
    <w:next w:val="Normal"/>
    <w:qFormat/>
    <w:rsid w:val="003E61A0"/>
    <w:pPr>
      <w:keepNext/>
      <w:keepLines/>
      <w:spacing w:before="280" w:line="240" w:lineRule="auto"/>
      <w:ind w:left="1134" w:hanging="1134"/>
      <w:outlineLvl w:val="0"/>
    </w:pPr>
    <w:rPr>
      <w:rFonts w:eastAsia="Times New Roman"/>
      <w:b/>
      <w:kern w:val="28"/>
      <w:sz w:val="32"/>
      <w:lang w:eastAsia="en-AU"/>
    </w:rPr>
  </w:style>
  <w:style w:type="paragraph" w:styleId="Revision">
    <w:name w:val="Revision"/>
    <w:hidden/>
    <w:uiPriority w:val="99"/>
    <w:semiHidden/>
    <w:rsid w:val="00E87613"/>
    <w:pPr>
      <w:spacing w:after="0" w:line="240" w:lineRule="auto"/>
    </w:pPr>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E87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1536"/>
    <w:rPr>
      <w:sz w:val="16"/>
      <w:szCs w:val="16"/>
    </w:rPr>
  </w:style>
  <w:style w:type="paragraph" w:styleId="CommentText">
    <w:name w:val="annotation text"/>
    <w:basedOn w:val="Normal"/>
    <w:link w:val="CommentTextChar"/>
    <w:uiPriority w:val="99"/>
    <w:semiHidden/>
    <w:unhideWhenUsed/>
    <w:rsid w:val="00371536"/>
    <w:pPr>
      <w:spacing w:line="240" w:lineRule="auto"/>
    </w:pPr>
    <w:rPr>
      <w:sz w:val="20"/>
    </w:rPr>
  </w:style>
  <w:style w:type="character" w:customStyle="1" w:styleId="CommentTextChar">
    <w:name w:val="Comment Text Char"/>
    <w:basedOn w:val="DefaultParagraphFont"/>
    <w:link w:val="CommentText"/>
    <w:uiPriority w:val="99"/>
    <w:semiHidden/>
    <w:rsid w:val="0037153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536"/>
    <w:rPr>
      <w:b/>
      <w:bCs/>
    </w:rPr>
  </w:style>
  <w:style w:type="character" w:customStyle="1" w:styleId="CommentSubjectChar">
    <w:name w:val="Comment Subject Char"/>
    <w:basedOn w:val="CommentTextChar"/>
    <w:link w:val="CommentSubject"/>
    <w:uiPriority w:val="99"/>
    <w:semiHidden/>
    <w:rsid w:val="00371536"/>
    <w:rPr>
      <w:rFonts w:ascii="Times New Roman" w:eastAsia="Calibri" w:hAnsi="Times New Roman" w:cs="Times New Roman"/>
      <w:b/>
      <w:bCs/>
      <w:sz w:val="20"/>
      <w:szCs w:val="20"/>
    </w:rPr>
  </w:style>
  <w:style w:type="character" w:styleId="Hyperlink">
    <w:name w:val="Hyperlink"/>
    <w:basedOn w:val="DefaultParagraphFont"/>
    <w:uiPriority w:val="99"/>
    <w:unhideWhenUsed/>
    <w:rsid w:val="0049455C"/>
    <w:rPr>
      <w:color w:val="0563C1" w:themeColor="hyperlink"/>
      <w:u w:val="single"/>
    </w:rPr>
  </w:style>
  <w:style w:type="character" w:styleId="UnresolvedMention">
    <w:name w:val="Unresolved Mention"/>
    <w:basedOn w:val="DefaultParagraphFont"/>
    <w:uiPriority w:val="99"/>
    <w:semiHidden/>
    <w:unhideWhenUsed/>
    <w:rsid w:val="0049455C"/>
    <w:rPr>
      <w:color w:val="605E5C"/>
      <w:shd w:val="clear" w:color="auto" w:fill="E1DFDD"/>
    </w:rPr>
  </w:style>
  <w:style w:type="paragraph" w:styleId="ListParagraph">
    <w:name w:val="List Paragraph"/>
    <w:basedOn w:val="Normal"/>
    <w:uiPriority w:val="34"/>
    <w:qFormat/>
    <w:rsid w:val="0072326E"/>
    <w:pPr>
      <w:ind w:left="720"/>
      <w:contextualSpacing/>
    </w:pPr>
  </w:style>
  <w:style w:type="paragraph" w:customStyle="1" w:styleId="dotpoint">
    <w:name w:val="dot point"/>
    <w:basedOn w:val="Normal"/>
    <w:rsid w:val="005E472C"/>
    <w:pPr>
      <w:numPr>
        <w:numId w:val="8"/>
      </w:numPr>
      <w:spacing w:before="120" w:after="120" w:line="240" w:lineRule="auto"/>
    </w:pPr>
    <w:rPr>
      <w:rFonts w:eastAsia="Times New Roman"/>
      <w:lang w:eastAsia="en-AU"/>
    </w:rPr>
  </w:style>
  <w:style w:type="character" w:styleId="FollowedHyperlink">
    <w:name w:val="FollowedHyperlink"/>
    <w:basedOn w:val="DefaultParagraphFont"/>
    <w:uiPriority w:val="99"/>
    <w:semiHidden/>
    <w:unhideWhenUsed/>
    <w:rsid w:val="00C518B9"/>
    <w:rPr>
      <w:color w:val="954F72" w:themeColor="followedHyperlink"/>
      <w:u w:val="single"/>
    </w:rPr>
  </w:style>
  <w:style w:type="paragraph" w:customStyle="1" w:styleId="Default">
    <w:name w:val="Default"/>
    <w:rsid w:val="006F2F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4998">
      <w:bodyDiv w:val="1"/>
      <w:marLeft w:val="0"/>
      <w:marRight w:val="0"/>
      <w:marTop w:val="0"/>
      <w:marBottom w:val="0"/>
      <w:divBdr>
        <w:top w:val="none" w:sz="0" w:space="0" w:color="auto"/>
        <w:left w:val="none" w:sz="0" w:space="0" w:color="auto"/>
        <w:bottom w:val="none" w:sz="0" w:space="0" w:color="auto"/>
        <w:right w:val="none" w:sz="0" w:space="0" w:color="auto"/>
      </w:divBdr>
    </w:div>
    <w:div w:id="1029530944">
      <w:bodyDiv w:val="1"/>
      <w:marLeft w:val="0"/>
      <w:marRight w:val="0"/>
      <w:marTop w:val="0"/>
      <w:marBottom w:val="0"/>
      <w:divBdr>
        <w:top w:val="none" w:sz="0" w:space="0" w:color="auto"/>
        <w:left w:val="none" w:sz="0" w:space="0" w:color="auto"/>
        <w:bottom w:val="none" w:sz="0" w:space="0" w:color="auto"/>
        <w:right w:val="none" w:sz="0" w:space="0" w:color="auto"/>
      </w:divBdr>
      <w:divsChild>
        <w:div w:id="2095086367">
          <w:marLeft w:val="0"/>
          <w:marRight w:val="0"/>
          <w:marTop w:val="0"/>
          <w:marBottom w:val="0"/>
          <w:divBdr>
            <w:top w:val="none" w:sz="0" w:space="0" w:color="auto"/>
            <w:left w:val="none" w:sz="0" w:space="0" w:color="auto"/>
            <w:bottom w:val="none" w:sz="0" w:space="0" w:color="auto"/>
            <w:right w:val="none" w:sz="0" w:space="0" w:color="auto"/>
          </w:divBdr>
        </w:div>
        <w:div w:id="328142889">
          <w:marLeft w:val="0"/>
          <w:marRight w:val="0"/>
          <w:marTop w:val="0"/>
          <w:marBottom w:val="0"/>
          <w:divBdr>
            <w:top w:val="none" w:sz="0" w:space="0" w:color="auto"/>
            <w:left w:val="none" w:sz="0" w:space="0" w:color="auto"/>
            <w:bottom w:val="none" w:sz="0" w:space="0" w:color="auto"/>
            <w:right w:val="none" w:sz="0" w:space="0" w:color="auto"/>
          </w:divBdr>
        </w:div>
        <w:div w:id="45956672">
          <w:marLeft w:val="0"/>
          <w:marRight w:val="0"/>
          <w:marTop w:val="0"/>
          <w:marBottom w:val="0"/>
          <w:divBdr>
            <w:top w:val="none" w:sz="0" w:space="0" w:color="auto"/>
            <w:left w:val="none" w:sz="0" w:space="0" w:color="auto"/>
            <w:bottom w:val="none" w:sz="0" w:space="0" w:color="auto"/>
            <w:right w:val="none" w:sz="0" w:space="0" w:color="auto"/>
          </w:divBdr>
        </w:div>
        <w:div w:id="1146555291">
          <w:marLeft w:val="0"/>
          <w:marRight w:val="0"/>
          <w:marTop w:val="0"/>
          <w:marBottom w:val="0"/>
          <w:divBdr>
            <w:top w:val="none" w:sz="0" w:space="0" w:color="auto"/>
            <w:left w:val="none" w:sz="0" w:space="0" w:color="auto"/>
            <w:bottom w:val="none" w:sz="0" w:space="0" w:color="auto"/>
            <w:right w:val="none" w:sz="0" w:space="0" w:color="auto"/>
          </w:divBdr>
        </w:div>
        <w:div w:id="1265923334">
          <w:marLeft w:val="0"/>
          <w:marRight w:val="0"/>
          <w:marTop w:val="0"/>
          <w:marBottom w:val="0"/>
          <w:divBdr>
            <w:top w:val="none" w:sz="0" w:space="0" w:color="auto"/>
            <w:left w:val="none" w:sz="0" w:space="0" w:color="auto"/>
            <w:bottom w:val="none" w:sz="0" w:space="0" w:color="auto"/>
            <w:right w:val="none" w:sz="0" w:space="0" w:color="auto"/>
          </w:divBdr>
        </w:div>
        <w:div w:id="85882997">
          <w:marLeft w:val="0"/>
          <w:marRight w:val="0"/>
          <w:marTop w:val="0"/>
          <w:marBottom w:val="0"/>
          <w:divBdr>
            <w:top w:val="none" w:sz="0" w:space="0" w:color="auto"/>
            <w:left w:val="none" w:sz="0" w:space="0" w:color="auto"/>
            <w:bottom w:val="none" w:sz="0" w:space="0" w:color="auto"/>
            <w:right w:val="none" w:sz="0" w:space="0" w:color="auto"/>
          </w:divBdr>
        </w:div>
        <w:div w:id="995842164">
          <w:marLeft w:val="0"/>
          <w:marRight w:val="0"/>
          <w:marTop w:val="0"/>
          <w:marBottom w:val="0"/>
          <w:divBdr>
            <w:top w:val="none" w:sz="0" w:space="0" w:color="auto"/>
            <w:left w:val="none" w:sz="0" w:space="0" w:color="auto"/>
            <w:bottom w:val="none" w:sz="0" w:space="0" w:color="auto"/>
            <w:right w:val="none" w:sz="0" w:space="0" w:color="auto"/>
          </w:divBdr>
        </w:div>
        <w:div w:id="20791235">
          <w:marLeft w:val="0"/>
          <w:marRight w:val="0"/>
          <w:marTop w:val="0"/>
          <w:marBottom w:val="0"/>
          <w:divBdr>
            <w:top w:val="none" w:sz="0" w:space="0" w:color="auto"/>
            <w:left w:val="none" w:sz="0" w:space="0" w:color="auto"/>
            <w:bottom w:val="none" w:sz="0" w:space="0" w:color="auto"/>
            <w:right w:val="none" w:sz="0" w:space="0" w:color="auto"/>
          </w:divBdr>
        </w:div>
      </w:divsChild>
    </w:div>
    <w:div w:id="1330208991">
      <w:bodyDiv w:val="1"/>
      <w:marLeft w:val="0"/>
      <w:marRight w:val="0"/>
      <w:marTop w:val="0"/>
      <w:marBottom w:val="0"/>
      <w:divBdr>
        <w:top w:val="none" w:sz="0" w:space="0" w:color="auto"/>
        <w:left w:val="none" w:sz="0" w:space="0" w:color="auto"/>
        <w:bottom w:val="none" w:sz="0" w:space="0" w:color="auto"/>
        <w:right w:val="none" w:sz="0" w:space="0" w:color="auto"/>
      </w:divBdr>
      <w:divsChild>
        <w:div w:id="1742829395">
          <w:marLeft w:val="0"/>
          <w:marRight w:val="0"/>
          <w:marTop w:val="0"/>
          <w:marBottom w:val="0"/>
          <w:divBdr>
            <w:top w:val="none" w:sz="0" w:space="0" w:color="auto"/>
            <w:left w:val="none" w:sz="0" w:space="0" w:color="auto"/>
            <w:bottom w:val="none" w:sz="0" w:space="0" w:color="auto"/>
            <w:right w:val="none" w:sz="0" w:space="0" w:color="auto"/>
          </w:divBdr>
          <w:divsChild>
            <w:div w:id="425927281">
              <w:marLeft w:val="0"/>
              <w:marRight w:val="0"/>
              <w:marTop w:val="0"/>
              <w:marBottom w:val="0"/>
              <w:divBdr>
                <w:top w:val="none" w:sz="0" w:space="0" w:color="auto"/>
                <w:left w:val="none" w:sz="0" w:space="0" w:color="auto"/>
                <w:bottom w:val="none" w:sz="0" w:space="0" w:color="auto"/>
                <w:right w:val="none" w:sz="0" w:space="0" w:color="auto"/>
              </w:divBdr>
              <w:divsChild>
                <w:div w:id="2023775626">
                  <w:marLeft w:val="0"/>
                  <w:marRight w:val="0"/>
                  <w:marTop w:val="0"/>
                  <w:marBottom w:val="0"/>
                  <w:divBdr>
                    <w:top w:val="none" w:sz="0" w:space="0" w:color="auto"/>
                    <w:left w:val="none" w:sz="0" w:space="0" w:color="auto"/>
                    <w:bottom w:val="none" w:sz="0" w:space="0" w:color="auto"/>
                    <w:right w:val="none" w:sz="0" w:space="0" w:color="auto"/>
                  </w:divBdr>
                  <w:divsChild>
                    <w:div w:id="949780369">
                      <w:marLeft w:val="0"/>
                      <w:marRight w:val="0"/>
                      <w:marTop w:val="0"/>
                      <w:marBottom w:val="0"/>
                      <w:divBdr>
                        <w:top w:val="none" w:sz="0" w:space="0" w:color="auto"/>
                        <w:left w:val="none" w:sz="0" w:space="0" w:color="auto"/>
                        <w:bottom w:val="none" w:sz="0" w:space="0" w:color="auto"/>
                        <w:right w:val="none" w:sz="0" w:space="0" w:color="auto"/>
                      </w:divBdr>
                      <w:divsChild>
                        <w:div w:id="1251738322">
                          <w:marLeft w:val="0"/>
                          <w:marRight w:val="0"/>
                          <w:marTop w:val="0"/>
                          <w:marBottom w:val="0"/>
                          <w:divBdr>
                            <w:top w:val="none" w:sz="0" w:space="0" w:color="auto"/>
                            <w:left w:val="none" w:sz="0" w:space="0" w:color="auto"/>
                            <w:bottom w:val="none" w:sz="0" w:space="0" w:color="auto"/>
                            <w:right w:val="none" w:sz="0" w:space="0" w:color="auto"/>
                          </w:divBdr>
                          <w:divsChild>
                            <w:div w:id="870189225">
                              <w:marLeft w:val="0"/>
                              <w:marRight w:val="0"/>
                              <w:marTop w:val="0"/>
                              <w:marBottom w:val="0"/>
                              <w:divBdr>
                                <w:top w:val="none" w:sz="0" w:space="0" w:color="auto"/>
                                <w:left w:val="none" w:sz="0" w:space="0" w:color="auto"/>
                                <w:bottom w:val="none" w:sz="0" w:space="0" w:color="auto"/>
                                <w:right w:val="none" w:sz="0" w:space="0" w:color="auto"/>
                              </w:divBdr>
                              <w:divsChild>
                                <w:div w:id="1066222314">
                                  <w:marLeft w:val="0"/>
                                  <w:marRight w:val="0"/>
                                  <w:marTop w:val="0"/>
                                  <w:marBottom w:val="0"/>
                                  <w:divBdr>
                                    <w:top w:val="none" w:sz="0" w:space="0" w:color="auto"/>
                                    <w:left w:val="none" w:sz="0" w:space="0" w:color="auto"/>
                                    <w:bottom w:val="none" w:sz="0" w:space="0" w:color="auto"/>
                                    <w:right w:val="none" w:sz="0" w:space="0" w:color="auto"/>
                                  </w:divBdr>
                                  <w:divsChild>
                                    <w:div w:id="1890724171">
                                      <w:marLeft w:val="0"/>
                                      <w:marRight w:val="0"/>
                                      <w:marTop w:val="0"/>
                                      <w:marBottom w:val="0"/>
                                      <w:divBdr>
                                        <w:top w:val="none" w:sz="0" w:space="0" w:color="auto"/>
                                        <w:left w:val="none" w:sz="0" w:space="0" w:color="auto"/>
                                        <w:bottom w:val="none" w:sz="0" w:space="0" w:color="auto"/>
                                        <w:right w:val="none" w:sz="0" w:space="0" w:color="auto"/>
                                      </w:divBdr>
                                      <w:divsChild>
                                        <w:div w:id="394865410">
                                          <w:marLeft w:val="0"/>
                                          <w:marRight w:val="0"/>
                                          <w:marTop w:val="0"/>
                                          <w:marBottom w:val="0"/>
                                          <w:divBdr>
                                            <w:top w:val="none" w:sz="0" w:space="0" w:color="auto"/>
                                            <w:left w:val="none" w:sz="0" w:space="0" w:color="auto"/>
                                            <w:bottom w:val="none" w:sz="0" w:space="0" w:color="auto"/>
                                            <w:right w:val="none" w:sz="0" w:space="0" w:color="auto"/>
                                          </w:divBdr>
                                          <w:divsChild>
                                            <w:div w:id="774861512">
                                              <w:marLeft w:val="0"/>
                                              <w:marRight w:val="0"/>
                                              <w:marTop w:val="0"/>
                                              <w:marBottom w:val="0"/>
                                              <w:divBdr>
                                                <w:top w:val="none" w:sz="0" w:space="0" w:color="auto"/>
                                                <w:left w:val="none" w:sz="0" w:space="0" w:color="auto"/>
                                                <w:bottom w:val="none" w:sz="0" w:space="0" w:color="auto"/>
                                                <w:right w:val="none" w:sz="0" w:space="0" w:color="auto"/>
                                              </w:divBdr>
                                              <w:divsChild>
                                                <w:div w:id="27342309">
                                                  <w:marLeft w:val="0"/>
                                                  <w:marRight w:val="0"/>
                                                  <w:marTop w:val="0"/>
                                                  <w:marBottom w:val="0"/>
                                                  <w:divBdr>
                                                    <w:top w:val="none" w:sz="0" w:space="0" w:color="auto"/>
                                                    <w:left w:val="none" w:sz="0" w:space="0" w:color="auto"/>
                                                    <w:bottom w:val="none" w:sz="0" w:space="0" w:color="auto"/>
                                                    <w:right w:val="none" w:sz="0" w:space="0" w:color="auto"/>
                                                  </w:divBdr>
                                                  <w:divsChild>
                                                    <w:div w:id="246040594">
                                                      <w:marLeft w:val="0"/>
                                                      <w:marRight w:val="0"/>
                                                      <w:marTop w:val="0"/>
                                                      <w:marBottom w:val="0"/>
                                                      <w:divBdr>
                                                        <w:top w:val="none" w:sz="0" w:space="0" w:color="auto"/>
                                                        <w:left w:val="none" w:sz="0" w:space="0" w:color="auto"/>
                                                        <w:bottom w:val="none" w:sz="0" w:space="0" w:color="auto"/>
                                                        <w:right w:val="none" w:sz="0" w:space="0" w:color="auto"/>
                                                      </w:divBdr>
                                                      <w:divsChild>
                                                        <w:div w:id="21246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9664246">
      <w:bodyDiv w:val="1"/>
      <w:marLeft w:val="0"/>
      <w:marRight w:val="0"/>
      <w:marTop w:val="0"/>
      <w:marBottom w:val="0"/>
      <w:divBdr>
        <w:top w:val="none" w:sz="0" w:space="0" w:color="auto"/>
        <w:left w:val="none" w:sz="0" w:space="0" w:color="auto"/>
        <w:bottom w:val="none" w:sz="0" w:space="0" w:color="auto"/>
        <w:right w:val="none" w:sz="0" w:space="0" w:color="auto"/>
      </w:divBdr>
    </w:div>
    <w:div w:id="1946226795">
      <w:bodyDiv w:val="1"/>
      <w:marLeft w:val="0"/>
      <w:marRight w:val="0"/>
      <w:marTop w:val="0"/>
      <w:marBottom w:val="0"/>
      <w:divBdr>
        <w:top w:val="none" w:sz="0" w:space="0" w:color="auto"/>
        <w:left w:val="none" w:sz="0" w:space="0" w:color="auto"/>
        <w:bottom w:val="none" w:sz="0" w:space="0" w:color="auto"/>
        <w:right w:val="none" w:sz="0" w:space="0" w:color="auto"/>
      </w:divBdr>
      <w:divsChild>
        <w:div w:id="355815442">
          <w:marLeft w:val="0"/>
          <w:marRight w:val="0"/>
          <w:marTop w:val="0"/>
          <w:marBottom w:val="0"/>
          <w:divBdr>
            <w:top w:val="none" w:sz="0" w:space="0" w:color="auto"/>
            <w:left w:val="none" w:sz="0" w:space="0" w:color="auto"/>
            <w:bottom w:val="none" w:sz="0" w:space="0" w:color="auto"/>
            <w:right w:val="none" w:sz="0" w:space="0" w:color="auto"/>
          </w:divBdr>
          <w:divsChild>
            <w:div w:id="1264339080">
              <w:marLeft w:val="0"/>
              <w:marRight w:val="0"/>
              <w:marTop w:val="0"/>
              <w:marBottom w:val="0"/>
              <w:divBdr>
                <w:top w:val="none" w:sz="0" w:space="0" w:color="auto"/>
                <w:left w:val="none" w:sz="0" w:space="0" w:color="auto"/>
                <w:bottom w:val="none" w:sz="0" w:space="0" w:color="auto"/>
                <w:right w:val="none" w:sz="0" w:space="0" w:color="auto"/>
              </w:divBdr>
              <w:divsChild>
                <w:div w:id="369232091">
                  <w:marLeft w:val="0"/>
                  <w:marRight w:val="0"/>
                  <w:marTop w:val="0"/>
                  <w:marBottom w:val="0"/>
                  <w:divBdr>
                    <w:top w:val="none" w:sz="0" w:space="0" w:color="auto"/>
                    <w:left w:val="none" w:sz="0" w:space="0" w:color="auto"/>
                    <w:bottom w:val="none" w:sz="0" w:space="0" w:color="auto"/>
                    <w:right w:val="none" w:sz="0" w:space="0" w:color="auto"/>
                  </w:divBdr>
                  <w:divsChild>
                    <w:div w:id="850143168">
                      <w:marLeft w:val="0"/>
                      <w:marRight w:val="0"/>
                      <w:marTop w:val="0"/>
                      <w:marBottom w:val="0"/>
                      <w:divBdr>
                        <w:top w:val="none" w:sz="0" w:space="0" w:color="auto"/>
                        <w:left w:val="none" w:sz="0" w:space="0" w:color="auto"/>
                        <w:bottom w:val="none" w:sz="0" w:space="0" w:color="auto"/>
                        <w:right w:val="none" w:sz="0" w:space="0" w:color="auto"/>
                      </w:divBdr>
                      <w:divsChild>
                        <w:div w:id="1950549160">
                          <w:marLeft w:val="0"/>
                          <w:marRight w:val="0"/>
                          <w:marTop w:val="0"/>
                          <w:marBottom w:val="0"/>
                          <w:divBdr>
                            <w:top w:val="none" w:sz="0" w:space="0" w:color="auto"/>
                            <w:left w:val="none" w:sz="0" w:space="0" w:color="auto"/>
                            <w:bottom w:val="none" w:sz="0" w:space="0" w:color="auto"/>
                            <w:right w:val="none" w:sz="0" w:space="0" w:color="auto"/>
                          </w:divBdr>
                          <w:divsChild>
                            <w:div w:id="221867152">
                              <w:marLeft w:val="0"/>
                              <w:marRight w:val="0"/>
                              <w:marTop w:val="0"/>
                              <w:marBottom w:val="0"/>
                              <w:divBdr>
                                <w:top w:val="none" w:sz="0" w:space="0" w:color="auto"/>
                                <w:left w:val="none" w:sz="0" w:space="0" w:color="auto"/>
                                <w:bottom w:val="none" w:sz="0" w:space="0" w:color="auto"/>
                                <w:right w:val="none" w:sz="0" w:space="0" w:color="auto"/>
                              </w:divBdr>
                              <w:divsChild>
                                <w:div w:id="1467579521">
                                  <w:marLeft w:val="0"/>
                                  <w:marRight w:val="0"/>
                                  <w:marTop w:val="0"/>
                                  <w:marBottom w:val="0"/>
                                  <w:divBdr>
                                    <w:top w:val="none" w:sz="0" w:space="0" w:color="auto"/>
                                    <w:left w:val="none" w:sz="0" w:space="0" w:color="auto"/>
                                    <w:bottom w:val="none" w:sz="0" w:space="0" w:color="auto"/>
                                    <w:right w:val="none" w:sz="0" w:space="0" w:color="auto"/>
                                  </w:divBdr>
                                  <w:divsChild>
                                    <w:div w:id="512719162">
                                      <w:marLeft w:val="0"/>
                                      <w:marRight w:val="0"/>
                                      <w:marTop w:val="0"/>
                                      <w:marBottom w:val="0"/>
                                      <w:divBdr>
                                        <w:top w:val="none" w:sz="0" w:space="0" w:color="auto"/>
                                        <w:left w:val="none" w:sz="0" w:space="0" w:color="auto"/>
                                        <w:bottom w:val="none" w:sz="0" w:space="0" w:color="auto"/>
                                        <w:right w:val="none" w:sz="0" w:space="0" w:color="auto"/>
                                      </w:divBdr>
                                      <w:divsChild>
                                        <w:div w:id="186022121">
                                          <w:marLeft w:val="0"/>
                                          <w:marRight w:val="0"/>
                                          <w:marTop w:val="0"/>
                                          <w:marBottom w:val="0"/>
                                          <w:divBdr>
                                            <w:top w:val="none" w:sz="0" w:space="0" w:color="auto"/>
                                            <w:left w:val="none" w:sz="0" w:space="0" w:color="auto"/>
                                            <w:bottom w:val="none" w:sz="0" w:space="0" w:color="auto"/>
                                            <w:right w:val="none" w:sz="0" w:space="0" w:color="auto"/>
                                          </w:divBdr>
                                          <w:divsChild>
                                            <w:div w:id="913588662">
                                              <w:marLeft w:val="0"/>
                                              <w:marRight w:val="0"/>
                                              <w:marTop w:val="0"/>
                                              <w:marBottom w:val="0"/>
                                              <w:divBdr>
                                                <w:top w:val="none" w:sz="0" w:space="0" w:color="auto"/>
                                                <w:left w:val="none" w:sz="0" w:space="0" w:color="auto"/>
                                                <w:bottom w:val="none" w:sz="0" w:space="0" w:color="auto"/>
                                                <w:right w:val="none" w:sz="0" w:space="0" w:color="auto"/>
                                              </w:divBdr>
                                              <w:divsChild>
                                                <w:div w:id="1787655037">
                                                  <w:marLeft w:val="0"/>
                                                  <w:marRight w:val="0"/>
                                                  <w:marTop w:val="0"/>
                                                  <w:marBottom w:val="0"/>
                                                  <w:divBdr>
                                                    <w:top w:val="none" w:sz="0" w:space="0" w:color="auto"/>
                                                    <w:left w:val="none" w:sz="0" w:space="0" w:color="auto"/>
                                                    <w:bottom w:val="none" w:sz="0" w:space="0" w:color="auto"/>
                                                    <w:right w:val="none" w:sz="0" w:space="0" w:color="auto"/>
                                                  </w:divBdr>
                                                  <w:divsChild>
                                                    <w:div w:id="1585261597">
                                                      <w:marLeft w:val="0"/>
                                                      <w:marRight w:val="0"/>
                                                      <w:marTop w:val="0"/>
                                                      <w:marBottom w:val="0"/>
                                                      <w:divBdr>
                                                        <w:top w:val="none" w:sz="0" w:space="0" w:color="auto"/>
                                                        <w:left w:val="none" w:sz="0" w:space="0" w:color="auto"/>
                                                        <w:bottom w:val="none" w:sz="0" w:space="0" w:color="auto"/>
                                                        <w:right w:val="none" w:sz="0" w:space="0" w:color="auto"/>
                                                      </w:divBdr>
                                                      <w:divsChild>
                                                        <w:div w:id="21182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ic.gov.au/regulatory-resources/find-a-document/consultation-papers/cp-325-product-design-and-distribution-oblig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ic.gov.au/regulatory-resources/find-a-document/consultation-papers/cp-327-implementing-the-royal-commission-recommendations-mortgage-brokers-and-the-best-interests-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R20200000307585</RecordNumber>
    <ObjectiveID xmlns="da7a9ac0-bc47-4684-84e6-3a8e9ac80c12" xsi:nil="true"/>
    <SignificantFlag xmlns="da7a9ac0-bc47-4684-84e6-3a8e9ac80c12">false</SignificantFlag>
    <SenateOrder12 xmlns="da7a9ac0-bc47-4684-84e6-3a8e9ac80c12">false</SenateOrder12>
    <Approvers xmlns="17f478ab-373e-4295-9ff0-9b833ad01319">
      <UserInfo>
        <DisplayName>Annabel Gibson</DisplayName>
        <AccountId>26</AccountId>
        <AccountType/>
      </UserInfo>
      <UserInfo>
        <DisplayName>Ray Merrick</DisplayName>
        <AccountId>492</AccountId>
        <AccountType/>
      </UserInfo>
      <UserInfo>
        <DisplayName>Natasha Nguyen</DisplayName>
        <AccountId>512</AccountId>
        <AccountType/>
      </UserInfo>
      <UserInfo>
        <DisplayName>Vanessa Keir</DisplayName>
        <AccountId>502</AccountId>
        <AccountType/>
      </UserInfo>
    </Approvers>
    <ded95d7ab059406991d558011d18c177 xmlns="da7a9ac0-bc47-4684-84e6-3a8e9ac80c12" xsi:nil="true"/>
    <Reviewers xmlns="17f478ab-373e-4295-9ff0-9b833ad01319">
      <UserInfo>
        <DisplayName>Annabel Gibson</DisplayName>
        <AccountId>26</AccountId>
        <AccountType/>
      </UserInfo>
      <UserInfo>
        <DisplayName>Ray Merrick</DisplayName>
        <AccountId>492</AccountId>
        <AccountType/>
      </UserInfo>
      <UserInfo>
        <DisplayName>Natasha Nguyen</DisplayName>
        <AccountId>512</AccountId>
        <AccountType/>
      </UserInfo>
      <UserInfo>
        <DisplayName>Vanessa Keir</DisplayName>
        <AccountId>502</AccountId>
        <AccountType/>
      </UserInfo>
    </Reviewers>
    <SignificantReason xmlns="da7a9ac0-bc47-4684-84e6-3a8e9ac80c12" xsi:nil="true"/>
    <NotesLinks xmlns="da7a9ac0-bc47-4684-84e6-3a8e9ac80c12" xsi:nil="true"/>
    <TaxCatchAll xmlns="a6fd680d-2161-48eb-a9ee-9070ec61f910">
      <Value>81</Value>
    </TaxCatchAll>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241154dc-31f7-4149-a296-821d3855117c</TermId>
        </TermInfo>
      </Terms>
    </cf8e12e123484f339606504ca2e41be1>
  </documentManagement>
</p:properti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ca4bb1866b0f19e95f9a5c2790b48aeb">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56a5a2b97377908f4a4b2913191b755f"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Sensitive|19fd2cb8-3e97-4464-ae71-8c2c2095d028"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F1FA-1FAC-4A64-AC44-8A5DD627F9F9}">
  <ds:schemaRefs>
    <ds:schemaRef ds:uri="http://schemas.microsoft.com/sharepoint/events"/>
  </ds:schemaRefs>
</ds:datastoreItem>
</file>

<file path=customXml/itemProps2.xml><?xml version="1.0" encoding="utf-8"?>
<ds:datastoreItem xmlns:ds="http://schemas.openxmlformats.org/officeDocument/2006/customXml" ds:itemID="{135BB244-9A24-4BA8-AC79-67728A0BED66}">
  <ds:schemaRefs>
    <ds:schemaRef ds:uri="http://schemas.microsoft.com/sharepoint/v3/contenttype/forms"/>
  </ds:schemaRefs>
</ds:datastoreItem>
</file>

<file path=customXml/itemProps3.xml><?xml version="1.0" encoding="utf-8"?>
<ds:datastoreItem xmlns:ds="http://schemas.openxmlformats.org/officeDocument/2006/customXml" ds:itemID="{7E6E6828-B940-4155-BCA8-C4631679435F}">
  <ds:schemaRefs>
    <ds:schemaRef ds:uri="http://schemas.microsoft.com/office/2006/documentManagement/types"/>
    <ds:schemaRef ds:uri="17f478ab-373e-4295-9ff0-9b833ad01319"/>
    <ds:schemaRef ds:uri="a6fd680d-2161-48eb-a9ee-9070ec61f910"/>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da7a9ac0-bc47-4684-84e6-3a8e9ac80c12"/>
    <ds:schemaRef ds:uri="http://purl.org/dc/dcmitype/"/>
    <ds:schemaRef ds:uri="http://purl.org/dc/terms/"/>
  </ds:schemaRefs>
</ds:datastoreItem>
</file>

<file path=customXml/itemProps4.xml><?xml version="1.0" encoding="utf-8"?>
<ds:datastoreItem xmlns:ds="http://schemas.openxmlformats.org/officeDocument/2006/customXml" ds:itemID="{5EE2073B-73CC-43B2-8FC2-425B72811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D5B38E-95CF-4455-BFD8-4D4C9E2E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10F9BB00.dotm</Template>
  <TotalTime>0</TotalTime>
  <Pages>6</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20200512 - Draft Explanatory Statement - Mortgage Broker Reforms and DDO</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20200512 - Draft Explanatory Statement - Mortgage Broker Reforms and DDO</dc:title>
  <dc:subject/>
  <dc:creator>nick kavass</dc:creator>
  <cp:keywords/>
  <dc:description/>
  <cp:lastModifiedBy>Bethany White</cp:lastModifiedBy>
  <cp:revision>2</cp:revision>
  <dcterms:created xsi:type="dcterms:W3CDTF">2020-05-25T23:11:00Z</dcterms:created>
  <dcterms:modified xsi:type="dcterms:W3CDTF">2020-05-25T23:11:00Z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0x010100B5F685A1365F544391EF8C813B164F3A00B51948D52B815E4F87AE454C75D7BFDD</vt:lpwstr>
  </property>
  <property fmtid="{D5CDD505-2E9C-101B-9397-08002B2CF9AE}" pid="3" name="RecordPoint_ActiveItemWebId">
    <vt:lpwstr>{a6fd680d-2161-48eb-a9ee-9070ec61f910}</vt:lpwstr>
  </property>
  <property fmtid="{D5CDD505-2E9C-101B-9397-08002B2CF9AE}" pid="4" name="RecordPoint_ActiveItemSiteId">
    <vt:lpwstr>{3e50770f-3e10-45f6-ae8f-e7aff96f3084}</vt:lpwstr>
  </property>
  <property fmtid="{D5CDD505-2E9C-101B-9397-08002B2CF9AE}" pid="5" name="RecordPoint_ActiveItemListId">
    <vt:lpwstr>{d4fcf75b-8bef-40a8-9af6-4dd828aa23ef}</vt:lpwstr>
  </property>
  <property fmtid="{D5CDD505-2E9C-101B-9397-08002B2CF9AE}" pid="6" name="DCIApplicationDocumentType">
    <vt:lpwstr/>
  </property>
  <property fmtid="{D5CDD505-2E9C-101B-9397-08002B2CF9AE}" pid="7" name="DCI Application &amp; Licensing Category">
    <vt:lpwstr/>
  </property>
  <property fmtid="{D5CDD505-2E9C-101B-9397-08002B2CF9AE}" pid="8" name="Entity">
    <vt:lpwstr/>
  </property>
  <property fmtid="{D5CDD505-2E9C-101B-9397-08002B2CF9AE}" pid="9" name="SecurityClassification">
    <vt:lpwstr>81;#For Official Use Only|241154dc-31f7-4149-a296-821d3855117c</vt:lpwstr>
  </property>
  <property fmtid="{D5CDD505-2E9C-101B-9397-08002B2CF9AE}" pid="10" name="RecordPoint_WorkflowType">
    <vt:lpwstr>ActiveSubmitStub</vt:lpwstr>
  </property>
  <property fmtid="{D5CDD505-2E9C-101B-9397-08002B2CF9AE}" pid="11" name="RecordPoint_ActiveItemUniqueId">
    <vt:lpwstr>{3f782536-31f0-4470-b8af-439cf0fa7e41}</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RecordNumberSubmitted">
    <vt:lpwstr>R20200000307585</vt:lpwstr>
  </property>
  <property fmtid="{D5CDD505-2E9C-101B-9397-08002B2CF9AE}" pid="16" name="Order">
    <vt:r8>280500</vt:r8>
  </property>
  <property fmtid="{D5CDD505-2E9C-101B-9397-08002B2CF9AE}" pid="17" name="RecordPoint_SubmissionCompleted">
    <vt:lpwstr>2020-05-25T20:56:20.2193202+10:00</vt:lpwstr>
  </property>
</Properties>
</file>