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5D932" w14:textId="77777777" w:rsidR="008E358E" w:rsidRPr="008E358E" w:rsidRDefault="008E358E" w:rsidP="008E358E">
      <w:pPr>
        <w:jc w:val="center"/>
        <w:rPr>
          <w:rFonts w:ascii="Times New Roman" w:hAnsi="Times New Roman" w:cs="Times New Roman"/>
          <w:sz w:val="24"/>
          <w:u w:val="single"/>
        </w:rPr>
      </w:pPr>
      <w:r w:rsidRPr="008E358E">
        <w:rPr>
          <w:rFonts w:ascii="Times New Roman" w:hAnsi="Times New Roman" w:cs="Times New Roman"/>
          <w:sz w:val="24"/>
          <w:u w:val="single"/>
        </w:rPr>
        <w:t>EXPLANATORY STATEMENT</w:t>
      </w:r>
    </w:p>
    <w:p w14:paraId="4B3A43C8" w14:textId="77777777" w:rsidR="008E358E" w:rsidRPr="008E358E" w:rsidRDefault="008E358E" w:rsidP="008E358E">
      <w:pPr>
        <w:jc w:val="center"/>
        <w:rPr>
          <w:rFonts w:ascii="Times New Roman" w:hAnsi="Times New Roman" w:cs="Times New Roman"/>
          <w:sz w:val="24"/>
          <w:szCs w:val="24"/>
        </w:rPr>
      </w:pPr>
      <w:r w:rsidRPr="008E358E">
        <w:rPr>
          <w:rFonts w:ascii="Times New Roman" w:hAnsi="Times New Roman" w:cs="Times New Roman"/>
          <w:sz w:val="24"/>
          <w:szCs w:val="24"/>
        </w:rPr>
        <w:t>Issued by Authority of the Minister for Home Affairs</w:t>
      </w:r>
    </w:p>
    <w:p w14:paraId="154729CC" w14:textId="77777777" w:rsidR="008E358E" w:rsidRPr="008E358E" w:rsidRDefault="008E358E" w:rsidP="008E358E">
      <w:pPr>
        <w:jc w:val="center"/>
        <w:rPr>
          <w:rFonts w:ascii="Times New Roman" w:hAnsi="Times New Roman" w:cs="Times New Roman"/>
          <w:i/>
          <w:sz w:val="24"/>
          <w:szCs w:val="24"/>
        </w:rPr>
      </w:pPr>
      <w:r w:rsidRPr="008E358E">
        <w:rPr>
          <w:rFonts w:ascii="Times New Roman" w:hAnsi="Times New Roman" w:cs="Times New Roman"/>
          <w:i/>
          <w:sz w:val="24"/>
          <w:szCs w:val="24"/>
        </w:rPr>
        <w:t>Telecommunications (Interception and Access) Act 1979</w:t>
      </w:r>
    </w:p>
    <w:p w14:paraId="661B3E4A" w14:textId="77777777" w:rsidR="008E358E" w:rsidRPr="008E358E" w:rsidRDefault="008E358E" w:rsidP="008E358E">
      <w:pPr>
        <w:spacing w:after="200" w:line="240" w:lineRule="auto"/>
        <w:jc w:val="center"/>
        <w:rPr>
          <w:rFonts w:ascii="Times New Roman" w:hAnsi="Times New Roman" w:cs="Times New Roman"/>
          <w:sz w:val="24"/>
          <w:szCs w:val="24"/>
        </w:rPr>
      </w:pPr>
      <w:r w:rsidRPr="008E358E">
        <w:rPr>
          <w:rFonts w:ascii="Times New Roman" w:hAnsi="Times New Roman" w:cs="Times New Roman"/>
          <w:i/>
          <w:sz w:val="24"/>
          <w:szCs w:val="24"/>
        </w:rPr>
        <w:t>Telecommunications (Interception and Access) (Emergency Service Facilities – Victoria) Instrument 2020</w:t>
      </w:r>
    </w:p>
    <w:p w14:paraId="3E318C27" w14:textId="77777777" w:rsidR="008E358E" w:rsidRPr="008E358E" w:rsidRDefault="008E358E" w:rsidP="008E358E">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Legislative authority</w:t>
      </w:r>
    </w:p>
    <w:p w14:paraId="0DDA83E5" w14:textId="77777777" w:rsidR="008E358E" w:rsidRPr="008E358E" w:rsidRDefault="008E358E" w:rsidP="008E358E">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The </w:t>
      </w:r>
      <w:r w:rsidRPr="008E358E">
        <w:rPr>
          <w:rFonts w:ascii="Times New Roman" w:hAnsi="Times New Roman" w:cs="Times New Roman"/>
          <w:i/>
          <w:sz w:val="24"/>
          <w:szCs w:val="24"/>
        </w:rPr>
        <w:t>Telecommunications (Interception and Access) (Emergency Services Facilities – Victoria) Instrument 2020</w:t>
      </w:r>
      <w:r w:rsidRPr="008E358E">
        <w:rPr>
          <w:rFonts w:ascii="Times New Roman" w:hAnsi="Times New Roman" w:cs="Times New Roman"/>
          <w:sz w:val="24"/>
          <w:szCs w:val="24"/>
        </w:rPr>
        <w:t xml:space="preserve"> (the 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1302A5DC" w14:textId="77777777" w:rsidR="008E358E" w:rsidRPr="008E358E" w:rsidRDefault="008E358E" w:rsidP="008E358E">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The Act establishes a general prohibition against the interception of communications passing over a telecommunications system. However, subsection 6(2F) of the Act provides that a person who is lawfully engaged in duties relating to the receiving and handling of communications to or from an ‘emergency service facility’ may listen to or record the communications without contravening the general prohibition. </w:t>
      </w:r>
    </w:p>
    <w:p w14:paraId="67A1AF34" w14:textId="77777777" w:rsidR="008E358E" w:rsidRPr="008E358E" w:rsidRDefault="008E358E" w:rsidP="008E358E">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This exception only applies to communications to or from premises declared by the Minister for Home Affairs (the Minister) to be an emergency service facility pursuant to subsection 6(2B) of the Act. The Minister can only declare premises to be an emergency service facility if he or she is satisfied that the premises are operated by one of the types of forces or services listed in paragraphs 6(2B</w:t>
      </w:r>
      <w:proofErr w:type="gramStart"/>
      <w:r w:rsidRPr="008E358E">
        <w:rPr>
          <w:rFonts w:ascii="Times New Roman" w:hAnsi="Times New Roman" w:cs="Times New Roman"/>
          <w:sz w:val="24"/>
          <w:szCs w:val="24"/>
        </w:rPr>
        <w:t>)(</w:t>
      </w:r>
      <w:proofErr w:type="gramEnd"/>
      <w:r w:rsidRPr="008E358E">
        <w:rPr>
          <w:rFonts w:ascii="Times New Roman" w:hAnsi="Times New Roman" w:cs="Times New Roman"/>
          <w:sz w:val="24"/>
          <w:szCs w:val="24"/>
        </w:rPr>
        <w:t xml:space="preserve">a) to (d) of the Act, to enable that force or service (or another force or service) to deal with a request for assistance in an emergency. </w:t>
      </w:r>
    </w:p>
    <w:p w14:paraId="40CB4644" w14:textId="77777777" w:rsidR="008E358E" w:rsidRPr="008E358E" w:rsidRDefault="008E358E" w:rsidP="008E358E">
      <w:pPr>
        <w:numPr>
          <w:ilvl w:val="0"/>
          <w:numId w:val="1"/>
        </w:numPr>
        <w:spacing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Under subsection 6(2B) of the Act, the Minister has declared certain premises in Victoria that are operated by Ambulance Victoria, Emergency Services Telecommunications Authority (ESTA), Telstra 000, the Australian Volunteer Coast Guard, Airservices Australia – Aviation Rescue and Fire Fighting Service (Airservices Australia), and Concentrix Services in Victoria to be emergency service facilities. </w:t>
      </w:r>
    </w:p>
    <w:p w14:paraId="51537984" w14:textId="77777777" w:rsidR="008E358E" w:rsidRPr="008E358E" w:rsidRDefault="008E358E" w:rsidP="008E358E">
      <w:pPr>
        <w:numPr>
          <w:ilvl w:val="0"/>
          <w:numId w:val="1"/>
        </w:numPr>
        <w:spacing w:after="120" w:line="240" w:lineRule="auto"/>
        <w:rPr>
          <w:rFonts w:ascii="Times New Roman" w:hAnsi="Times New Roman" w:cs="Times New Roman"/>
          <w:sz w:val="24"/>
          <w:szCs w:val="24"/>
        </w:rPr>
      </w:pPr>
      <w:r w:rsidRPr="008E358E">
        <w:rPr>
          <w:rFonts w:ascii="Times New Roman" w:hAnsi="Times New Roman" w:cs="Times New Roman"/>
          <w:sz w:val="24"/>
          <w:szCs w:val="24"/>
        </w:rPr>
        <w:t>Concentrix Services operates the National Relay Service. This service allows people who are deaf, hard of hearing, and/or have a speech impairment</w:t>
      </w:r>
      <w:r w:rsidRPr="008E358E" w:rsidDel="007D4676">
        <w:rPr>
          <w:rFonts w:ascii="Times New Roman" w:hAnsi="Times New Roman" w:cs="Times New Roman"/>
          <w:sz w:val="24"/>
          <w:szCs w:val="24"/>
        </w:rPr>
        <w:t xml:space="preserve"> </w:t>
      </w:r>
      <w:r w:rsidRPr="008E358E">
        <w:rPr>
          <w:rFonts w:ascii="Times New Roman" w:hAnsi="Times New Roman" w:cs="Times New Roman"/>
          <w:sz w:val="24"/>
          <w:szCs w:val="24"/>
        </w:rPr>
        <w:t xml:space="preserve">to make and receive phone calls, including emergency calls. </w:t>
      </w:r>
    </w:p>
    <w:p w14:paraId="0A699C7E" w14:textId="77777777" w:rsidR="008E358E" w:rsidRPr="008E358E" w:rsidRDefault="008E358E" w:rsidP="008E358E">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Subsection 6(2D) of the Act provides that, if the Minister makes a declaration under subsection 6(2B) of the Act, the Minister must, by legislative instrument specify:</w:t>
      </w:r>
    </w:p>
    <w:p w14:paraId="10A53198" w14:textId="77777777" w:rsidR="008E358E" w:rsidRPr="008E358E" w:rsidRDefault="008E358E" w:rsidP="008E358E">
      <w:pPr>
        <w:numPr>
          <w:ilvl w:val="0"/>
          <w:numId w:val="13"/>
        </w:numPr>
        <w:contextualSpacing/>
        <w:rPr>
          <w:rFonts w:ascii="Times New Roman" w:hAnsi="Times New Roman" w:cs="Times New Roman"/>
          <w:sz w:val="24"/>
          <w:szCs w:val="24"/>
        </w:rPr>
      </w:pPr>
      <w:r w:rsidRPr="008E358E">
        <w:rPr>
          <w:rFonts w:ascii="Times New Roman" w:hAnsi="Times New Roman" w:cs="Times New Roman"/>
          <w:sz w:val="24"/>
          <w:szCs w:val="24"/>
        </w:rPr>
        <w:t>the name of the force or service operating the premises to which the declaration relates; and</w:t>
      </w:r>
    </w:p>
    <w:p w14:paraId="2C6C40F4" w14:textId="77777777" w:rsidR="008E358E" w:rsidRPr="008E358E" w:rsidRDefault="008E358E" w:rsidP="008E358E">
      <w:pPr>
        <w:numPr>
          <w:ilvl w:val="0"/>
          <w:numId w:val="13"/>
        </w:numPr>
        <w:spacing w:after="200" w:line="240" w:lineRule="auto"/>
        <w:ind w:left="1077" w:hanging="357"/>
        <w:rPr>
          <w:rFonts w:ascii="Times New Roman" w:hAnsi="Times New Roman" w:cs="Times New Roman"/>
          <w:sz w:val="24"/>
          <w:szCs w:val="24"/>
        </w:rPr>
      </w:pPr>
      <w:proofErr w:type="gramStart"/>
      <w:r w:rsidRPr="008E358E">
        <w:rPr>
          <w:rFonts w:ascii="Times New Roman" w:hAnsi="Times New Roman" w:cs="Times New Roman"/>
          <w:sz w:val="24"/>
          <w:szCs w:val="24"/>
        </w:rPr>
        <w:t>the</w:t>
      </w:r>
      <w:proofErr w:type="gramEnd"/>
      <w:r w:rsidRPr="008E358E">
        <w:rPr>
          <w:rFonts w:ascii="Times New Roman" w:hAnsi="Times New Roman" w:cs="Times New Roman"/>
          <w:sz w:val="24"/>
          <w:szCs w:val="24"/>
        </w:rPr>
        <w:t xml:space="preserve"> geographical region in which those premises are located.</w:t>
      </w:r>
    </w:p>
    <w:p w14:paraId="500494F9" w14:textId="77777777" w:rsidR="008E358E" w:rsidRPr="008E358E" w:rsidRDefault="008E358E" w:rsidP="008E358E">
      <w:pPr>
        <w:spacing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Purpose of the Instrument</w:t>
      </w:r>
    </w:p>
    <w:p w14:paraId="5AD40778" w14:textId="77777777" w:rsidR="008E358E" w:rsidRPr="008E358E" w:rsidRDefault="008E358E" w:rsidP="008E358E">
      <w:pPr>
        <w:numPr>
          <w:ilvl w:val="0"/>
          <w:numId w:val="1"/>
        </w:numPr>
        <w:spacing w:after="200" w:line="240" w:lineRule="auto"/>
        <w:ind w:left="714" w:hanging="357"/>
        <w:rPr>
          <w:sz w:val="24"/>
          <w:szCs w:val="24"/>
        </w:rPr>
      </w:pPr>
      <w:r w:rsidRPr="008E358E">
        <w:rPr>
          <w:rFonts w:ascii="Times New Roman" w:hAnsi="Times New Roman" w:cs="Times New Roman"/>
          <w:sz w:val="24"/>
          <w:szCs w:val="24"/>
        </w:rPr>
        <w:t xml:space="preserve">The purpose of the Instrument is to give legal effect to operational changes to facilities taking emergency calls operated by relevant forces and services in Victoria, to ensure that those forces and services are operating lawfully in Victoria, for the purposes of the Act.  </w:t>
      </w:r>
    </w:p>
    <w:p w14:paraId="132F7FD5" w14:textId="77777777" w:rsidR="008E358E" w:rsidRPr="008E358E" w:rsidRDefault="008E358E" w:rsidP="008E358E">
      <w:pPr>
        <w:spacing w:before="120" w:after="200" w:line="240" w:lineRule="auto"/>
        <w:ind w:left="142"/>
        <w:rPr>
          <w:rFonts w:ascii="Times New Roman" w:hAnsi="Times New Roman" w:cs="Times New Roman"/>
          <w:b/>
          <w:i/>
          <w:sz w:val="24"/>
          <w:szCs w:val="24"/>
        </w:rPr>
      </w:pPr>
      <w:r w:rsidRPr="008E358E">
        <w:rPr>
          <w:rFonts w:ascii="Times New Roman" w:hAnsi="Times New Roman" w:cs="Times New Roman"/>
          <w:b/>
          <w:i/>
          <w:sz w:val="24"/>
          <w:szCs w:val="24"/>
        </w:rPr>
        <w:t>Privacy considerations</w:t>
      </w:r>
    </w:p>
    <w:p w14:paraId="2047BDD0" w14:textId="77777777" w:rsidR="008E358E" w:rsidRPr="008E358E" w:rsidRDefault="008E358E" w:rsidP="008E358E">
      <w:pPr>
        <w:numPr>
          <w:ilvl w:val="0"/>
          <w:numId w:val="1"/>
        </w:numPr>
        <w:spacing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Subsection 6(2G) of the Act provides that subsection 6(2F) (exemption to the general prohibition against the interception of communications passing over a telecommunications system) only applies in relation to an emergency service facility if signs notifying persons that communications to or from that facility may be listened to or recorded are clearly visible at each entrance to the facility. Consultation with the emergency service facilities </w:t>
      </w:r>
      <w:r w:rsidRPr="008E358E">
        <w:rPr>
          <w:rFonts w:ascii="Times New Roman" w:hAnsi="Times New Roman" w:cs="Times New Roman"/>
          <w:sz w:val="24"/>
          <w:szCs w:val="24"/>
        </w:rPr>
        <w:lastRenderedPageBreak/>
        <w:t>operators has confirmed that the premises specified in the Instrument have clearly visible notification signs, as required.</w:t>
      </w:r>
    </w:p>
    <w:p w14:paraId="7B498736" w14:textId="77777777" w:rsidR="008E358E" w:rsidRPr="008E358E" w:rsidRDefault="008E358E" w:rsidP="008E358E">
      <w:pPr>
        <w:numPr>
          <w:ilvl w:val="0"/>
          <w:numId w:val="1"/>
        </w:numPr>
        <w:spacing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The organisations specified in the Instrument have published organisational privacy principles and policies on their respective websites, and operate under a privacy and secrecy framework as set out in relevant Victorian legislation, as well as the </w:t>
      </w:r>
      <w:r w:rsidRPr="008E358E">
        <w:rPr>
          <w:rFonts w:ascii="Times New Roman" w:hAnsi="Times New Roman" w:cs="Times New Roman"/>
          <w:i/>
          <w:sz w:val="24"/>
          <w:szCs w:val="24"/>
        </w:rPr>
        <w:t xml:space="preserve">Privacy Act 1988 </w:t>
      </w:r>
      <w:r w:rsidRPr="008E358E">
        <w:rPr>
          <w:rFonts w:ascii="Times New Roman" w:hAnsi="Times New Roman" w:cs="Times New Roman"/>
          <w:sz w:val="24"/>
          <w:szCs w:val="24"/>
        </w:rPr>
        <w:t xml:space="preserve">(the Privacy Act). </w:t>
      </w:r>
    </w:p>
    <w:p w14:paraId="4ED51ABA" w14:textId="77777777" w:rsidR="008E358E" w:rsidRPr="008E358E" w:rsidRDefault="008E358E" w:rsidP="008E358E">
      <w:pPr>
        <w:numPr>
          <w:ilvl w:val="0"/>
          <w:numId w:val="1"/>
        </w:numPr>
        <w:spacing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All the specified emergency service facilities have privacy policies underpinned by the principle that individuals’ personal information may only be collected, used, stored or disclosed to the extent that it is reasonably necessary for the operators of the premises to execute their functions as an emergency service facility. Further, all emergency service facilities operators require staff members in all their premises to uphold employee agreements to only access, use, or disclose personal information in the course of their duties, and for no other purpose.</w:t>
      </w:r>
    </w:p>
    <w:p w14:paraId="606F3200"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Certain specified emergency service facilities operators also incorporate secrecy provisions in Victorian legislation into their operations. Specifically, Ambulance Australia’s premises adhere to the </w:t>
      </w:r>
      <w:r w:rsidRPr="008E358E">
        <w:rPr>
          <w:rFonts w:ascii="Times New Roman" w:hAnsi="Times New Roman" w:cs="Times New Roman"/>
          <w:i/>
          <w:sz w:val="24"/>
          <w:szCs w:val="24"/>
        </w:rPr>
        <w:t>Privacy Data and Protection Act 2014 (Vic)</w:t>
      </w:r>
      <w:r w:rsidRPr="008E358E">
        <w:rPr>
          <w:rFonts w:ascii="Times New Roman" w:hAnsi="Times New Roman" w:cs="Times New Roman"/>
          <w:sz w:val="24"/>
          <w:szCs w:val="24"/>
        </w:rPr>
        <w:t xml:space="preserve"> and the </w:t>
      </w:r>
      <w:r w:rsidRPr="008E358E">
        <w:rPr>
          <w:rFonts w:ascii="Times New Roman" w:hAnsi="Times New Roman" w:cs="Times New Roman"/>
          <w:i/>
          <w:sz w:val="24"/>
          <w:szCs w:val="24"/>
        </w:rPr>
        <w:t>Health Records Act 2001 (Vic)</w:t>
      </w:r>
      <w:r w:rsidRPr="008E358E">
        <w:rPr>
          <w:rFonts w:ascii="Times New Roman" w:hAnsi="Times New Roman" w:cs="Times New Roman"/>
          <w:sz w:val="24"/>
          <w:szCs w:val="24"/>
        </w:rPr>
        <w:t xml:space="preserve">, which are state-based privacy and health Acts that set standards on collection, use, disclosure, storage, access, transmission and disposal of personal and health information, respectively. Similarly, ESTA’s facilities operate in accordance with the secrecy provision relating to confidential information set out in section 33 of the </w:t>
      </w:r>
      <w:r w:rsidRPr="008E358E">
        <w:rPr>
          <w:rFonts w:ascii="Times New Roman" w:hAnsi="Times New Roman" w:cs="Times New Roman"/>
          <w:i/>
          <w:sz w:val="24"/>
          <w:szCs w:val="24"/>
        </w:rPr>
        <w:t xml:space="preserve">Emergency Services Telecommunications Authority Act 2004 </w:t>
      </w:r>
      <w:r w:rsidRPr="008E358E">
        <w:rPr>
          <w:rFonts w:ascii="Times New Roman" w:hAnsi="Times New Roman" w:cs="Times New Roman"/>
          <w:sz w:val="24"/>
          <w:szCs w:val="24"/>
        </w:rPr>
        <w:t>(Vic).</w:t>
      </w:r>
    </w:p>
    <w:p w14:paraId="24DE2170" w14:textId="77777777" w:rsidR="008E358E" w:rsidRPr="008E358E" w:rsidRDefault="008E358E" w:rsidP="008E358E">
      <w:pPr>
        <w:numPr>
          <w:ilvl w:val="0"/>
          <w:numId w:val="1"/>
        </w:numPr>
        <w:spacing w:before="120"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The Australian Volunteer Coast Guard, Airservices Australia and Concentrix Services explicitly apply their own organisational privacy principles, as well as the Australian Privacy Principles in Schedule 1 to the Privacy Act, to their operations. </w:t>
      </w:r>
    </w:p>
    <w:p w14:paraId="78B58DB1" w14:textId="77777777" w:rsidR="008E358E" w:rsidRPr="008E358E" w:rsidRDefault="008E358E" w:rsidP="008E358E">
      <w:pPr>
        <w:ind w:left="709"/>
        <w:rPr>
          <w:rFonts w:ascii="Times New Roman" w:hAnsi="Times New Roman" w:cs="Times New Roman"/>
          <w:sz w:val="24"/>
          <w:szCs w:val="24"/>
        </w:rPr>
      </w:pPr>
      <w:r w:rsidRPr="008E358E">
        <w:rPr>
          <w:rFonts w:ascii="Times New Roman" w:hAnsi="Times New Roman" w:cs="Times New Roman"/>
          <w:i/>
          <w:sz w:val="24"/>
          <w:szCs w:val="24"/>
        </w:rPr>
        <w:t>Limiting recording of and listening to calls</w:t>
      </w:r>
    </w:p>
    <w:p w14:paraId="6809AE7E" w14:textId="77777777" w:rsidR="008E358E" w:rsidRPr="008E358E" w:rsidRDefault="008E358E" w:rsidP="008E358E">
      <w:pPr>
        <w:numPr>
          <w:ilvl w:val="0"/>
          <w:numId w:val="1"/>
        </w:numPr>
        <w:spacing w:after="12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 xml:space="preserve">In addition to receiving emergency calls, the emergency service facilities operated by Ambulance Victoria, Telstra 000 Centre, ESTA, the Australia Volunteer Coast Guard, Airservices Australia and Concentrix Services have the capability to receive and record non-emergency calls, and for staff members to receive personal calls. However, the service operators have policies, procedures and physical measures in place to restrict the recording of communications to only emergency calls. </w:t>
      </w:r>
    </w:p>
    <w:p w14:paraId="567806E4" w14:textId="77777777" w:rsidR="008E358E" w:rsidRPr="008E358E" w:rsidRDefault="008E358E" w:rsidP="008E358E">
      <w:pPr>
        <w:numPr>
          <w:ilvl w:val="0"/>
          <w:numId w:val="1"/>
        </w:numPr>
        <w:spacing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Physical measures commonly implemented include having phone lines for business calls and personal calls located in separate rooms within the emergency service facility. It is also standard policy procedure across the specified emergency service facilities that staff are trained not to make or receive non-emergency personal calls on phone lines that receive or record emergency calls.</w:t>
      </w:r>
    </w:p>
    <w:p w14:paraId="55AD40FA" w14:textId="77777777" w:rsidR="008E358E" w:rsidRPr="008E358E" w:rsidRDefault="008E358E" w:rsidP="008E358E">
      <w:pPr>
        <w:rPr>
          <w:rFonts w:ascii="Times New Roman" w:hAnsi="Times New Roman" w:cs="Times New Roman"/>
          <w:b/>
          <w:i/>
          <w:sz w:val="24"/>
          <w:szCs w:val="24"/>
        </w:rPr>
      </w:pPr>
      <w:r w:rsidRPr="008E358E">
        <w:rPr>
          <w:rFonts w:ascii="Times New Roman" w:hAnsi="Times New Roman" w:cs="Times New Roman"/>
          <w:b/>
          <w:i/>
          <w:sz w:val="24"/>
          <w:szCs w:val="24"/>
        </w:rPr>
        <w:t>Details of the Instrument</w:t>
      </w:r>
      <w:bookmarkStart w:id="0" w:name="_GoBack"/>
      <w:bookmarkEnd w:id="0"/>
    </w:p>
    <w:p w14:paraId="72A2A317" w14:textId="223869AF"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Section 1 of the Instrument provides that this instrument is the</w:t>
      </w:r>
      <w:r w:rsidR="006B43D2" w:rsidRPr="006B43D2">
        <w:rPr>
          <w:rFonts w:ascii="Times New Roman" w:hAnsi="Times New Roman" w:cs="Times New Roman"/>
          <w:i/>
          <w:sz w:val="24"/>
          <w:szCs w:val="24"/>
        </w:rPr>
        <w:t xml:space="preserve"> </w:t>
      </w:r>
      <w:r w:rsidR="006B43D2" w:rsidRPr="008E358E">
        <w:rPr>
          <w:rFonts w:ascii="Times New Roman" w:hAnsi="Times New Roman" w:cs="Times New Roman"/>
          <w:i/>
          <w:sz w:val="24"/>
          <w:szCs w:val="24"/>
        </w:rPr>
        <w:t>Telecommunications (Interception and Access) (Emergency Service Facili</w:t>
      </w:r>
      <w:r w:rsidR="00D4556D">
        <w:rPr>
          <w:rFonts w:ascii="Times New Roman" w:hAnsi="Times New Roman" w:cs="Times New Roman"/>
          <w:i/>
          <w:sz w:val="24"/>
          <w:szCs w:val="24"/>
        </w:rPr>
        <w:t>ties – Victoria) Instrument 2020</w:t>
      </w:r>
      <w:r w:rsidRPr="008E358E">
        <w:rPr>
          <w:rFonts w:ascii="Times New Roman" w:hAnsi="Times New Roman" w:cs="Times New Roman"/>
          <w:sz w:val="24"/>
          <w:szCs w:val="24"/>
        </w:rPr>
        <w:t>.</w:t>
      </w:r>
    </w:p>
    <w:p w14:paraId="64579540"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Section 2 provides that the Instrument commences the day after it is registered on the Federal Register of Legislation.</w:t>
      </w:r>
    </w:p>
    <w:p w14:paraId="0F05A7AC"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Section 3 provides that, by this Instrument, the </w:t>
      </w:r>
      <w:r w:rsidRPr="008E358E">
        <w:rPr>
          <w:rFonts w:ascii="Times New Roman" w:hAnsi="Times New Roman" w:cs="Times New Roman"/>
          <w:i/>
          <w:sz w:val="24"/>
          <w:szCs w:val="24"/>
        </w:rPr>
        <w:t>Telecommunications (Interception and Access) (Emergency Service Facilities – Victoria) Instrument 2012</w:t>
      </w:r>
      <w:r w:rsidRPr="008E358E">
        <w:rPr>
          <w:rFonts w:ascii="Times New Roman" w:hAnsi="Times New Roman" w:cs="Times New Roman"/>
          <w:sz w:val="24"/>
          <w:szCs w:val="24"/>
        </w:rPr>
        <w:t xml:space="preserve"> (the 2012 Instrument), is revoked.</w:t>
      </w:r>
    </w:p>
    <w:p w14:paraId="66FE28C8"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lastRenderedPageBreak/>
        <w:t xml:space="preserve">Section 4 is the main operative provision of the Instrument relating to premises the Minister has declared as emergency service facilities for the purposes of subsection 6(2B) of the Act. Section 4 of the Instrument provides, for the purposes of subsection 6(2D) of the Act, that the name of the force or service operating the declared premises and the geographical region in which those premises are located are specified in the table.    </w:t>
      </w:r>
    </w:p>
    <w:p w14:paraId="3F6F5C72" w14:textId="77777777" w:rsidR="008E358E" w:rsidRPr="008E358E" w:rsidRDefault="008E358E" w:rsidP="008E358E">
      <w:pPr>
        <w:numPr>
          <w:ilvl w:val="0"/>
          <w:numId w:val="1"/>
        </w:numPr>
        <w:spacing w:before="120" w:after="200" w:line="240" w:lineRule="auto"/>
        <w:ind w:left="714" w:hanging="357"/>
        <w:rPr>
          <w:rFonts w:ascii="Times New Roman" w:hAnsi="Times New Roman" w:cs="Times New Roman"/>
          <w:sz w:val="24"/>
          <w:szCs w:val="24"/>
        </w:rPr>
      </w:pPr>
      <w:r w:rsidRPr="008E358E">
        <w:rPr>
          <w:rFonts w:ascii="Times New Roman" w:hAnsi="Times New Roman" w:cs="Times New Roman"/>
          <w:sz w:val="24"/>
          <w:szCs w:val="24"/>
        </w:rPr>
        <w:t>In relation to ESTA, for operational reasons, paragraph 4(2</w:t>
      </w:r>
      <w:proofErr w:type="gramStart"/>
      <w:r w:rsidRPr="008E358E">
        <w:rPr>
          <w:rFonts w:ascii="Times New Roman" w:hAnsi="Times New Roman" w:cs="Times New Roman"/>
          <w:sz w:val="24"/>
          <w:szCs w:val="24"/>
        </w:rPr>
        <w:t>)(</w:t>
      </w:r>
      <w:proofErr w:type="gramEnd"/>
      <w:r w:rsidRPr="008E358E">
        <w:rPr>
          <w:rFonts w:ascii="Times New Roman" w:hAnsi="Times New Roman" w:cs="Times New Roman"/>
          <w:sz w:val="24"/>
          <w:szCs w:val="24"/>
        </w:rPr>
        <w:t>a) of the Instrument provides that the inclusion of the premises in the geographical region of Williams Landing (item 2 of the table) has effect only after 17 May 2020. Also, paragraph 4(2)(b) provides that the inclusion of the declared premises located in the geographical region of Melbourne operated by ESTA ceases to have effect from 1 August 2020, on which date those premises are to be decommissioned.</w:t>
      </w:r>
    </w:p>
    <w:p w14:paraId="2E3A4873" w14:textId="77777777" w:rsidR="008E358E" w:rsidRPr="008E358E" w:rsidRDefault="008E358E" w:rsidP="008E358E">
      <w:pPr>
        <w:spacing w:before="120" w:after="120" w:line="240" w:lineRule="auto"/>
        <w:rPr>
          <w:rFonts w:ascii="Times New Roman" w:hAnsi="Times New Roman" w:cs="Times New Roman"/>
          <w:b/>
          <w:i/>
          <w:sz w:val="24"/>
          <w:szCs w:val="24"/>
        </w:rPr>
      </w:pPr>
      <w:r w:rsidRPr="008E358E">
        <w:rPr>
          <w:rFonts w:ascii="Times New Roman" w:hAnsi="Times New Roman" w:cs="Times New Roman"/>
          <w:b/>
          <w:i/>
          <w:sz w:val="24"/>
          <w:szCs w:val="24"/>
        </w:rPr>
        <w:t>Consultation</w:t>
      </w:r>
    </w:p>
    <w:p w14:paraId="0CFA1EC0"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Extensive consultation was undertaken with the service operators for the emergency service facilities specified in the 2012 Instrument, and included: Ambulance Victoria, ESTA, Telstra 000 Centre, Australian Volunteer Coast Guard (Victoria), Airservices Australia and Concentrix Services, Police Force of Victoria, and Metropolitan Fire and Emergency Services Board. The Department consulted with each individual emergency service facility operator specified in the Instrument.</w:t>
      </w:r>
    </w:p>
    <w:p w14:paraId="727A5D5A"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The Office of Best Practice Regulation (OBPR) has confirmed that a Regulatory Impact Statement is not required (OBPR Reference 26410).</w:t>
      </w:r>
    </w:p>
    <w:p w14:paraId="5B5C28F9" w14:textId="77777777" w:rsidR="008E358E" w:rsidRPr="008E358E" w:rsidRDefault="008E358E" w:rsidP="008E358E">
      <w:pPr>
        <w:numPr>
          <w:ilvl w:val="0"/>
          <w:numId w:val="1"/>
        </w:numPr>
        <w:spacing w:before="120" w:after="120" w:line="240" w:lineRule="auto"/>
        <w:rPr>
          <w:rFonts w:ascii="Times New Roman" w:hAnsi="Times New Roman" w:cs="Times New Roman"/>
          <w:sz w:val="24"/>
          <w:szCs w:val="24"/>
        </w:rPr>
      </w:pPr>
      <w:r w:rsidRPr="008E358E">
        <w:rPr>
          <w:rFonts w:ascii="Times New Roman" w:hAnsi="Times New Roman" w:cs="Times New Roman"/>
          <w:sz w:val="24"/>
          <w:szCs w:val="24"/>
        </w:rPr>
        <w:t xml:space="preserve">The Instrument is a disallowable instrument under section 42 of the </w:t>
      </w:r>
      <w:r w:rsidRPr="008E358E">
        <w:rPr>
          <w:rFonts w:ascii="Times New Roman" w:hAnsi="Times New Roman" w:cs="Times New Roman"/>
          <w:i/>
          <w:sz w:val="24"/>
          <w:szCs w:val="24"/>
        </w:rPr>
        <w:t>Legislation Act 2003</w:t>
      </w:r>
      <w:r w:rsidRPr="008E358E">
        <w:rPr>
          <w:rFonts w:ascii="Times New Roman" w:hAnsi="Times New Roman" w:cs="Times New Roman"/>
          <w:sz w:val="24"/>
          <w:szCs w:val="24"/>
        </w:rPr>
        <w:t>. A Statement of Compatibility with Human Rights has been prepared and is attached.</w:t>
      </w:r>
    </w:p>
    <w:p w14:paraId="799CCC38" w14:textId="77777777" w:rsidR="008E358E" w:rsidRPr="008E358E" w:rsidRDefault="008E358E" w:rsidP="008E358E">
      <w:pPr>
        <w:spacing w:before="120" w:after="120" w:line="240" w:lineRule="auto"/>
        <w:rPr>
          <w:rFonts w:ascii="Times New Roman" w:hAnsi="Times New Roman" w:cs="Times New Roman"/>
          <w:sz w:val="24"/>
          <w:szCs w:val="24"/>
        </w:rPr>
      </w:pPr>
    </w:p>
    <w:p w14:paraId="0F53728A" w14:textId="77777777" w:rsidR="008E358E" w:rsidRPr="008E358E" w:rsidRDefault="008E358E" w:rsidP="008E358E">
      <w:pPr>
        <w:spacing w:before="120" w:after="120" w:line="240" w:lineRule="auto"/>
        <w:ind w:left="720"/>
        <w:rPr>
          <w:rFonts w:ascii="Times New Roman" w:hAnsi="Times New Roman" w:cs="Times New Roman"/>
          <w:sz w:val="24"/>
          <w:szCs w:val="24"/>
        </w:rPr>
      </w:pPr>
    </w:p>
    <w:p w14:paraId="0F5DC4B8" w14:textId="77777777" w:rsidR="008E358E" w:rsidRPr="008E358E" w:rsidRDefault="008E358E" w:rsidP="008E358E">
      <w:pPr>
        <w:rPr>
          <w:rFonts w:ascii="Times New Roman" w:hAnsi="Times New Roman" w:cs="Times New Roman"/>
        </w:rPr>
      </w:pPr>
      <w:r w:rsidRPr="008E358E">
        <w:rPr>
          <w:rFonts w:ascii="Times New Roman" w:hAnsi="Times New Roman" w:cs="Times New Roman"/>
          <w:sz w:val="24"/>
          <w:szCs w:val="24"/>
        </w:rPr>
        <w:br w:type="page"/>
      </w:r>
    </w:p>
    <w:p w14:paraId="1B507D3F" w14:textId="77777777" w:rsidR="008E358E" w:rsidRPr="008E358E" w:rsidRDefault="008E358E" w:rsidP="008E358E">
      <w:pPr>
        <w:widowControl w:val="0"/>
        <w:shd w:val="clear" w:color="auto" w:fill="FFFFFF"/>
        <w:spacing w:before="180" w:after="0" w:line="240" w:lineRule="auto"/>
        <w:ind w:right="-1"/>
        <w:jc w:val="center"/>
        <w:rPr>
          <w:rFonts w:ascii="Times New Roman" w:eastAsia="Times New Roman" w:hAnsi="Times New Roman" w:cs="Times New Roman"/>
          <w:sz w:val="19"/>
          <w:szCs w:val="19"/>
          <w:lang w:val="en-US" w:eastAsia="en-AU"/>
        </w:rPr>
      </w:pPr>
      <w:r w:rsidRPr="008E358E">
        <w:rPr>
          <w:rFonts w:ascii="Times New Roman" w:eastAsia="Times New Roman" w:hAnsi="Times New Roman" w:cs="Times New Roman"/>
          <w:b/>
          <w:bCs/>
          <w:sz w:val="28"/>
          <w:szCs w:val="28"/>
          <w:lang w:eastAsia="en-AU"/>
        </w:rPr>
        <w:lastRenderedPageBreak/>
        <w:t>Statement of Compatibility with Human Rights</w:t>
      </w:r>
    </w:p>
    <w:p w14:paraId="79E1886A" w14:textId="77777777" w:rsidR="008E358E" w:rsidRPr="008E358E" w:rsidRDefault="008E358E" w:rsidP="008E358E">
      <w:pPr>
        <w:widowControl w:val="0"/>
        <w:shd w:val="clear" w:color="auto" w:fill="FFFFFF"/>
        <w:spacing w:before="180" w:after="0" w:line="240" w:lineRule="auto"/>
        <w:ind w:right="-1"/>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Prepared in accordance with Part 3 of the Human Rights (Parliamentary Scrutiny) Act 2011</w:t>
      </w:r>
    </w:p>
    <w:p w14:paraId="5C3B42FE" w14:textId="77777777" w:rsidR="008E358E" w:rsidRPr="008E358E" w:rsidRDefault="008E358E" w:rsidP="008E358E">
      <w:pPr>
        <w:widowControl w:val="0"/>
        <w:shd w:val="clear" w:color="auto" w:fill="FFFFFF"/>
        <w:spacing w:before="180" w:after="0" w:line="240" w:lineRule="auto"/>
        <w:ind w:right="-1"/>
        <w:jc w:val="center"/>
        <w:rPr>
          <w:rFonts w:ascii="Times New Roman" w:eastAsia="Times New Roman" w:hAnsi="Times New Roman" w:cs="Times New Roman"/>
          <w:b/>
          <w:sz w:val="24"/>
          <w:szCs w:val="24"/>
          <w:lang w:eastAsia="en-AU"/>
        </w:rPr>
      </w:pPr>
      <w:r w:rsidRPr="008E358E">
        <w:rPr>
          <w:rFonts w:ascii="Times New Roman" w:eastAsia="Times New Roman" w:hAnsi="Times New Roman" w:cs="Times New Roman"/>
          <w:b/>
          <w:sz w:val="24"/>
          <w:szCs w:val="24"/>
          <w:lang w:eastAsia="en-AU"/>
        </w:rPr>
        <w:t>Telecommunications (Interception and Access) (Emergency Service Facilities – Victoria) Instrument 2020</w:t>
      </w:r>
    </w:p>
    <w:p w14:paraId="6885E71C" w14:textId="77777777" w:rsidR="008E358E" w:rsidRPr="008E358E" w:rsidRDefault="008E358E" w:rsidP="008E358E">
      <w:pPr>
        <w:widowControl w:val="0"/>
        <w:shd w:val="clear" w:color="auto" w:fill="FFFFFF"/>
        <w:spacing w:before="180" w:after="0" w:line="240" w:lineRule="auto"/>
        <w:ind w:right="-1"/>
        <w:jc w:val="center"/>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This Disallowable Legislative Instrument (the Instrument) is compatible with the human rights and freedoms recognised or declared in the international instruments listed in section 3 of the </w:t>
      </w:r>
      <w:r w:rsidRPr="008E358E">
        <w:rPr>
          <w:rFonts w:ascii="Times New Roman" w:eastAsia="Times New Roman" w:hAnsi="Times New Roman" w:cs="Times New Roman"/>
          <w:i/>
          <w:iCs/>
          <w:sz w:val="24"/>
          <w:szCs w:val="24"/>
          <w:lang w:eastAsia="en-AU"/>
        </w:rPr>
        <w:t>Human Rights (Parliamentary Scrutiny) Act 2011</w:t>
      </w:r>
      <w:r w:rsidRPr="008E358E">
        <w:rPr>
          <w:rFonts w:ascii="Times New Roman" w:eastAsia="Times New Roman" w:hAnsi="Times New Roman" w:cs="Times New Roman"/>
          <w:sz w:val="24"/>
          <w:szCs w:val="24"/>
          <w:lang w:eastAsia="en-AU"/>
        </w:rPr>
        <w:t>.</w:t>
      </w:r>
    </w:p>
    <w:p w14:paraId="73FFF908" w14:textId="77777777" w:rsidR="008E358E" w:rsidRPr="008E358E" w:rsidRDefault="008E358E" w:rsidP="008E358E">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b/>
          <w:bCs/>
          <w:iCs/>
          <w:sz w:val="24"/>
          <w:szCs w:val="24"/>
          <w:lang w:eastAsia="en-AU"/>
        </w:rPr>
        <w:t>Overview of the Disallowable Legislative Instrument</w:t>
      </w:r>
    </w:p>
    <w:p w14:paraId="3E019C45" w14:textId="77777777" w:rsidR="008E358E" w:rsidRPr="008E358E" w:rsidRDefault="008E358E" w:rsidP="008E358E">
      <w:pPr>
        <w:widowControl w:val="0"/>
        <w:shd w:val="clear" w:color="auto" w:fill="FFFFFF"/>
        <w:spacing w:before="180" w:after="0" w:line="240" w:lineRule="auto"/>
        <w:ind w:right="-1"/>
        <w:rPr>
          <w:rFonts w:ascii="Times New Roman" w:hAnsi="Times New Roman" w:cs="Times New Roman"/>
          <w:b/>
          <w:bCs/>
          <w:iCs/>
          <w:sz w:val="24"/>
          <w:szCs w:val="24"/>
          <w:lang w:eastAsia="en-AU"/>
        </w:rPr>
      </w:pPr>
      <w:r w:rsidRPr="008E358E">
        <w:rPr>
          <w:rFonts w:ascii="Times New Roman" w:hAnsi="Times New Roman" w:cs="Times New Roman"/>
          <w:sz w:val="24"/>
          <w:szCs w:val="24"/>
        </w:rPr>
        <w:t xml:space="preserve">The Instrument is made under subsection 6(2D) of the </w:t>
      </w:r>
      <w:r w:rsidRPr="008E358E">
        <w:rPr>
          <w:rFonts w:ascii="Times New Roman" w:hAnsi="Times New Roman" w:cs="Times New Roman"/>
          <w:i/>
          <w:sz w:val="24"/>
          <w:szCs w:val="24"/>
        </w:rPr>
        <w:t>Telecommunications (Interception and Access) Act 1979</w:t>
      </w:r>
      <w:r w:rsidRPr="008E358E">
        <w:rPr>
          <w:rFonts w:ascii="Times New Roman" w:hAnsi="Times New Roman" w:cs="Times New Roman"/>
          <w:sz w:val="24"/>
          <w:szCs w:val="24"/>
        </w:rPr>
        <w:t xml:space="preserve"> (the Act). </w:t>
      </w:r>
    </w:p>
    <w:p w14:paraId="5ED4E05A" w14:textId="77777777" w:rsidR="008E358E" w:rsidRPr="008E358E" w:rsidRDefault="008E358E" w:rsidP="008E358E">
      <w:pPr>
        <w:widowControl w:val="0"/>
        <w:shd w:val="clear" w:color="auto" w:fill="FFFFFF"/>
        <w:spacing w:before="180" w:after="0" w:line="240" w:lineRule="auto"/>
        <w:ind w:right="-1"/>
        <w:rPr>
          <w:rFonts w:ascii="Times New Roman" w:hAnsi="Times New Roman" w:cs="Times New Roman"/>
          <w:sz w:val="24"/>
          <w:szCs w:val="24"/>
        </w:rPr>
      </w:pPr>
      <w:r w:rsidRPr="008E358E">
        <w:rPr>
          <w:rFonts w:ascii="Times New Roman" w:hAnsi="Times New Roman" w:cs="Times New Roman"/>
          <w:sz w:val="24"/>
          <w:szCs w:val="24"/>
        </w:rPr>
        <w:t xml:space="preserve">The Act establishes a general prohibition against the interception of communications passing over a telecommunications system (section 7 refers). </w:t>
      </w:r>
      <w:r w:rsidRPr="008E358E">
        <w:rPr>
          <w:rFonts w:ascii="Times New Roman" w:hAnsi="Times New Roman" w:cs="Times New Roman"/>
          <w:sz w:val="24"/>
          <w:szCs w:val="24"/>
          <w:lang w:val="en-US" w:eastAsia="en-AU"/>
        </w:rPr>
        <w:t xml:space="preserve">However, </w:t>
      </w:r>
      <w:r w:rsidRPr="008E358E">
        <w:rPr>
          <w:rFonts w:ascii="Times New Roman" w:hAnsi="Times New Roman" w:cs="Times New Roman"/>
          <w:sz w:val="24"/>
          <w:szCs w:val="24"/>
        </w:rPr>
        <w:t xml:space="preserve">subsection 6(2F) of the Act provides that a person who is lawfully engaged in duties relating to the receiving and handling of communications to or from an ‘emergency service facility’ may listen to or record the communications without contravening the general prohibition. </w:t>
      </w:r>
    </w:p>
    <w:p w14:paraId="27AFBC02" w14:textId="77777777" w:rsidR="008E358E" w:rsidRPr="008E358E" w:rsidRDefault="008E358E" w:rsidP="008E358E">
      <w:pPr>
        <w:widowControl w:val="0"/>
        <w:shd w:val="clear" w:color="auto" w:fill="FFFFFF"/>
        <w:spacing w:before="180" w:after="0" w:line="240" w:lineRule="auto"/>
        <w:ind w:right="-1"/>
        <w:rPr>
          <w:rFonts w:ascii="Times New Roman" w:hAnsi="Times New Roman" w:cs="Times New Roman"/>
          <w:sz w:val="24"/>
          <w:szCs w:val="24"/>
          <w:lang w:val="en-US" w:eastAsia="en-AU"/>
        </w:rPr>
      </w:pPr>
      <w:r w:rsidRPr="008E358E">
        <w:rPr>
          <w:rFonts w:ascii="Times New Roman" w:hAnsi="Times New Roman" w:cs="Times New Roman"/>
          <w:sz w:val="24"/>
          <w:szCs w:val="24"/>
        </w:rPr>
        <w:t xml:space="preserve">This exception only applies to communications to or from premises declared by the Minister as emergency service facilities pursuant to subsection 6(2B) of the Act. Such a declaration is made on the basis that </w:t>
      </w:r>
      <w:r w:rsidRPr="008E358E">
        <w:rPr>
          <w:rFonts w:ascii="Times New Roman" w:hAnsi="Times New Roman" w:cs="Times New Roman"/>
          <w:sz w:val="24"/>
          <w:szCs w:val="24"/>
          <w:lang w:val="en-US" w:eastAsia="en-AU"/>
        </w:rPr>
        <w:t>the Minister is satisfied that specified conditions set out in the subsection are met.</w:t>
      </w:r>
    </w:p>
    <w:p w14:paraId="1BCC4E01" w14:textId="77777777" w:rsidR="008E358E" w:rsidRPr="008E358E" w:rsidRDefault="008E358E" w:rsidP="008E358E">
      <w:pPr>
        <w:spacing w:before="120" w:after="120" w:line="240" w:lineRule="auto"/>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When the Minister makes a declaration under subsection 6(2B) of the Act, subsection 6(2D) requires the Minister to specify in a legislative instrument the name of the force or service operating the premises to which the declaration relates and the geographical region in which those premises are located. </w:t>
      </w:r>
    </w:p>
    <w:p w14:paraId="07D93576" w14:textId="77777777" w:rsidR="008E358E" w:rsidRPr="008E358E" w:rsidRDefault="008E358E" w:rsidP="008E358E">
      <w:pPr>
        <w:spacing w:before="120" w:after="200" w:line="240" w:lineRule="auto"/>
        <w:rPr>
          <w:rFonts w:ascii="Times New Roman" w:eastAsia="Times New Roman" w:hAnsi="Times New Roman" w:cs="Times New Roman"/>
          <w:bCs/>
          <w:sz w:val="24"/>
          <w:szCs w:val="24"/>
          <w:lang w:eastAsia="en-AU"/>
        </w:rPr>
      </w:pPr>
      <w:r w:rsidRPr="008E358E">
        <w:rPr>
          <w:rFonts w:ascii="Times New Roman" w:eastAsia="Times New Roman" w:hAnsi="Times New Roman" w:cs="Times New Roman"/>
          <w:sz w:val="24"/>
          <w:szCs w:val="24"/>
          <w:lang w:eastAsia="en-AU"/>
        </w:rPr>
        <w:t xml:space="preserve">The purpose of the Instrument is to specify the forces or services operating premises that have been declared as an ‘emergency service facility’, for the purposes of the Act. This includes premises operated by Concentrix Services, which operates the National Relay Service. This service allows people who are deaf, hard of hearing and/or have a speech impairment to make and receive phone calls, including emergency calls.  </w:t>
      </w:r>
    </w:p>
    <w:p w14:paraId="32E4B314" w14:textId="77777777" w:rsidR="008E358E" w:rsidRPr="008E358E" w:rsidRDefault="008E358E" w:rsidP="008E358E">
      <w:pPr>
        <w:widowControl w:val="0"/>
        <w:shd w:val="clear" w:color="auto" w:fill="FFFFFF"/>
        <w:spacing w:before="180" w:after="0" w:line="240" w:lineRule="auto"/>
        <w:ind w:right="-1"/>
        <w:rPr>
          <w:rFonts w:ascii="Times New Roman" w:eastAsia="Times New Roman" w:hAnsi="Times New Roman" w:cs="Times New Roman"/>
          <w:iCs/>
          <w:sz w:val="24"/>
          <w:szCs w:val="24"/>
          <w:lang w:eastAsia="en-AU"/>
        </w:rPr>
      </w:pPr>
      <w:r w:rsidRPr="008E358E">
        <w:rPr>
          <w:rFonts w:ascii="Times New Roman" w:eastAsia="Times New Roman" w:hAnsi="Times New Roman" w:cs="Times New Roman"/>
          <w:b/>
          <w:bCs/>
          <w:iCs/>
          <w:sz w:val="24"/>
          <w:szCs w:val="24"/>
          <w:lang w:eastAsia="en-AU"/>
        </w:rPr>
        <w:t>Human rights implications</w:t>
      </w:r>
    </w:p>
    <w:p w14:paraId="0AB6DD7C"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
          <w:iCs/>
          <w:sz w:val="24"/>
          <w:szCs w:val="24"/>
          <w:lang w:eastAsia="en-AU"/>
        </w:rPr>
        <w:t>Interference with a person’s privacy or correspondence</w:t>
      </w:r>
    </w:p>
    <w:p w14:paraId="245BA202"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Article 17 of the International Covenant on Civil and Political Rights (ICCPR)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 </w:t>
      </w:r>
    </w:p>
    <w:p w14:paraId="6A62F6E6"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right to privacy under Article 17 can be permissibly limited in order to achieve a legitimate objective and where the limitations are lawful and not arbitrary. The term ‘arbitrary’ means that any interference with privacy must be in accordance with the provisions, aims and objectives of the ICCPR and should be reasonable in the particular circumstances. The United Nations Human Rights Committee has interpreted ‘reasonableness’ in this context to imply that ‘any interference with privacy must be proportional to the end sought and be necessary in the circumstances of any given case’.</w:t>
      </w:r>
    </w:p>
    <w:p w14:paraId="71A6BD07"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Despite the general prohibition on the interception of communications in subsection 7(1) of the TIA Act, subsection 6(2F) ensures that listening to or recording a communication passing over a telecommunications system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by a person who is </w:t>
      </w:r>
      <w:r w:rsidRPr="008E358E">
        <w:rPr>
          <w:rFonts w:ascii="Times New Roman" w:eastAsia="Times New Roman" w:hAnsi="Times New Roman" w:cs="Times New Roman"/>
          <w:sz w:val="24"/>
          <w:szCs w:val="24"/>
          <w:lang w:eastAsia="en-AU"/>
        </w:rPr>
        <w:lastRenderedPageBreak/>
        <w:t xml:space="preserve">lawfully engaged in duties related to the receiving and handling of communications is not an interception of communication. </w:t>
      </w:r>
    </w:p>
    <w:p w14:paraId="24AEAFD4"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purpose of this exception is to ensure that emergency services are able to assist an emergency caller, and respond to an emergency situation as quickly as possible, without the requirement to first obtain a caller’s consent to recording of the call. This ensures that persons requiring emergency assistance are provided with efficient and timely assistance. Recording of a call enables an emergency service to undertake appropriate clarification, review and audit in dealing with an emergency situation which may involve a threat to life. </w:t>
      </w:r>
    </w:p>
    <w:p w14:paraId="5C9C1C46"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The Instrument furthers this purpose by </w:t>
      </w:r>
      <w:r w:rsidRPr="008E358E">
        <w:rPr>
          <w:rFonts w:ascii="Times New Roman" w:eastAsia="Times New Roman" w:hAnsi="Times New Roman" w:cs="Times New Roman"/>
          <w:bCs/>
          <w:sz w:val="24"/>
          <w:szCs w:val="24"/>
          <w:lang w:eastAsia="en-AU"/>
        </w:rPr>
        <w:t xml:space="preserve">ensuring premises which are specified in the Instrument and are responsible for taking such calls are captured by the exception in subsection 6(2F). </w:t>
      </w:r>
    </w:p>
    <w:p w14:paraId="6BF59579"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measures in the Instrument are reasonable and proportionate to achieving the objective of providing assistance in emergency situations. The Instrument is subject to a number of safeguards, including: </w:t>
      </w:r>
    </w:p>
    <w:p w14:paraId="47744050" w14:textId="77777777" w:rsidR="008E358E" w:rsidRPr="008E358E" w:rsidRDefault="008E358E" w:rsidP="008E358E">
      <w:pPr>
        <w:widowControl w:val="0"/>
        <w:numPr>
          <w:ilvl w:val="0"/>
          <w:numId w:val="23"/>
        </w:numPr>
        <w:shd w:val="clear" w:color="auto" w:fill="FFFFFF"/>
        <w:spacing w:before="180" w:after="0" w:line="240" w:lineRule="auto"/>
        <w:ind w:right="-46"/>
        <w:contextualSpacing/>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exception for recording calls to and from a declared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applies only if the Minister for Home Affairs is satisfied that the premises are operated by a police force or service of the Commonwealth, State or </w:t>
      </w:r>
      <w:r w:rsidRPr="008E358E">
        <w:rPr>
          <w:rFonts w:ascii="Times New Roman" w:hAnsi="Times New Roman" w:cs="Times New Roman"/>
          <w:sz w:val="24"/>
          <w:szCs w:val="24"/>
          <w:lang w:val="en-US" w:eastAsia="en-AU"/>
        </w:rPr>
        <w:t>Australian Capital Territory</w:t>
      </w:r>
      <w:r w:rsidRPr="008E358E">
        <w:rPr>
          <w:rFonts w:ascii="Times New Roman" w:eastAsia="Times New Roman" w:hAnsi="Times New Roman" w:cs="Times New Roman"/>
          <w:sz w:val="24"/>
          <w:szCs w:val="24"/>
          <w:lang w:eastAsia="en-AU"/>
        </w:rPr>
        <w:t xml:space="preserve">; or a fire or ambulance service of a State or </w:t>
      </w:r>
      <w:r w:rsidRPr="008E358E">
        <w:rPr>
          <w:rFonts w:ascii="Times New Roman" w:hAnsi="Times New Roman" w:cs="Times New Roman"/>
          <w:sz w:val="24"/>
          <w:szCs w:val="24"/>
          <w:lang w:val="en-US" w:eastAsia="en-AU"/>
        </w:rPr>
        <w:t>Australian Capital Territory</w:t>
      </w:r>
      <w:r w:rsidRPr="008E358E">
        <w:rPr>
          <w:rFonts w:ascii="Times New Roman" w:eastAsia="Times New Roman" w:hAnsi="Times New Roman" w:cs="Times New Roman"/>
          <w:sz w:val="24"/>
          <w:szCs w:val="24"/>
          <w:lang w:eastAsia="en-AU"/>
        </w:rPr>
        <w:t>; or a service for despatching, or referring matters for the attention of, those services, and</w:t>
      </w:r>
    </w:p>
    <w:p w14:paraId="51D4128E" w14:textId="77777777" w:rsidR="008E358E" w:rsidRPr="008E358E" w:rsidRDefault="008E358E" w:rsidP="008E358E">
      <w:pPr>
        <w:widowControl w:val="0"/>
        <w:numPr>
          <w:ilvl w:val="0"/>
          <w:numId w:val="23"/>
        </w:numPr>
        <w:shd w:val="clear" w:color="auto" w:fill="FFFFFF"/>
        <w:spacing w:before="180" w:after="0" w:line="240" w:lineRule="auto"/>
        <w:ind w:right="-46"/>
        <w:contextualSpacing/>
        <w:rPr>
          <w:rFonts w:ascii="Times New Roman" w:eastAsia="Times New Roman" w:hAnsi="Times New Roman" w:cs="Times New Roman"/>
          <w:sz w:val="24"/>
          <w:szCs w:val="24"/>
          <w:lang w:val="en-US" w:eastAsia="en-AU"/>
        </w:rPr>
      </w:pPr>
      <w:proofErr w:type="gramStart"/>
      <w:r w:rsidRPr="008E358E">
        <w:rPr>
          <w:rFonts w:ascii="Times New Roman" w:eastAsia="Times New Roman" w:hAnsi="Times New Roman" w:cs="Times New Roman"/>
          <w:sz w:val="24"/>
          <w:szCs w:val="24"/>
          <w:lang w:eastAsia="en-AU"/>
        </w:rPr>
        <w:t>the</w:t>
      </w:r>
      <w:proofErr w:type="gramEnd"/>
      <w:r w:rsidRPr="008E358E">
        <w:rPr>
          <w:rFonts w:ascii="Times New Roman" w:eastAsia="Times New Roman" w:hAnsi="Times New Roman" w:cs="Times New Roman"/>
          <w:sz w:val="24"/>
          <w:szCs w:val="24"/>
          <w:lang w:eastAsia="en-AU"/>
        </w:rPr>
        <w:t xml:space="preserve">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exception is subject to the requirement in subsection 6(2G) to ensure signs are clearly visible at each entrance to the facility notifying persons that communications to or from the facility may be listened to or recorded.  </w:t>
      </w:r>
    </w:p>
    <w:p w14:paraId="4FD8B517"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Accordingly, to the extent that the measures in the Instrument may limit the prohibition on arbitrary and unlawful interference with privacy in Article 17 of the ICCPR and, the limitation is proportionate to the legitimate objectives of protecting public order, public health, public safety and the rights and freedoms of others, such as the right to life under Article 6 of the ICCPR. </w:t>
      </w:r>
    </w:p>
    <w:p w14:paraId="47A81596"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i/>
          <w:sz w:val="24"/>
          <w:szCs w:val="24"/>
          <w:lang w:eastAsia="en-AU"/>
        </w:rPr>
        <w:t>Right to life</w:t>
      </w:r>
    </w:p>
    <w:p w14:paraId="1650FA5B"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The right to life under Article 6 of the ICCPR includes obligations to promote life, including taking appropriate steps to protect the right to life of those within its jurisdiction.</w:t>
      </w:r>
      <w:r w:rsidRPr="008E358E">
        <w:t xml:space="preserve"> </w:t>
      </w:r>
      <w:r w:rsidRPr="008E358E">
        <w:rPr>
          <w:rFonts w:ascii="Times New Roman" w:eastAsia="Times New Roman" w:hAnsi="Times New Roman" w:cs="Times New Roman"/>
          <w:sz w:val="24"/>
          <w:szCs w:val="24"/>
          <w:lang w:eastAsia="en-AU"/>
        </w:rPr>
        <w:t>Further, Article 10 of the Convention on the Rights of Persons with a Disability (CPRD) reaffirms that every human being has the inherent right to life and shall take all necessary measures to ensure its effective enjoyment by persons with disabilities on an equal basis with others.</w:t>
      </w:r>
    </w:p>
    <w:p w14:paraId="3BA126E3"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xml:space="preserve">As discussed above, the Instrument ensures that premises in Victoria, which are declared as an </w:t>
      </w:r>
      <w:r w:rsidRPr="008E358E">
        <w:rPr>
          <w:rFonts w:ascii="Times New Roman" w:eastAsia="Times New Roman" w:hAnsi="Times New Roman" w:cs="Times New Roman"/>
          <w:i/>
          <w:sz w:val="24"/>
          <w:szCs w:val="24"/>
          <w:lang w:eastAsia="en-AU"/>
        </w:rPr>
        <w:t>emergency service facility</w:t>
      </w:r>
      <w:r w:rsidRPr="008E358E">
        <w:rPr>
          <w:rFonts w:ascii="Times New Roman" w:eastAsia="Times New Roman" w:hAnsi="Times New Roman" w:cs="Times New Roman"/>
          <w:sz w:val="24"/>
          <w:szCs w:val="24"/>
          <w:lang w:eastAsia="en-AU"/>
        </w:rPr>
        <w:t xml:space="preserve">, can </w:t>
      </w:r>
      <w:r w:rsidRPr="008E358E">
        <w:rPr>
          <w:rFonts w:ascii="Times New Roman" w:eastAsia="Times New Roman" w:hAnsi="Times New Roman" w:cs="Times New Roman"/>
          <w:bCs/>
          <w:sz w:val="24"/>
          <w:szCs w:val="24"/>
          <w:lang w:val="en-US" w:eastAsia="en-AU"/>
        </w:rPr>
        <w:t>provide appropriate and timely assistance for persons in emergency situations. E</w:t>
      </w:r>
      <w:r w:rsidRPr="008E358E">
        <w:rPr>
          <w:rFonts w:ascii="Times New Roman" w:eastAsia="Times New Roman" w:hAnsi="Times New Roman" w:cs="Times New Roman"/>
          <w:sz w:val="24"/>
          <w:szCs w:val="24"/>
          <w:lang w:val="en-US" w:eastAsia="en-AU"/>
        </w:rPr>
        <w:t>mergency services are critical to delivering first responder functions to people located in Victoria, including</w:t>
      </w:r>
      <w:r w:rsidRPr="008E358E">
        <w:rPr>
          <w:rFonts w:ascii="Times New Roman" w:eastAsia="Times New Roman" w:hAnsi="Times New Roman" w:cs="Times New Roman"/>
          <w:sz w:val="24"/>
          <w:szCs w:val="24"/>
          <w:lang w:eastAsia="en-AU"/>
        </w:rPr>
        <w:t xml:space="preserve"> facilitating medical treatment to patients, as well as facilitating police or fire fighter responses to emergency (including life threatening) situations, in addition to other emergency functions related to protecting the right to life of people in Victoria. In this regard, the Instrument promotes the right to life under Article 6 of the ICCPR and Article 10 of the CRPD.</w:t>
      </w:r>
    </w:p>
    <w:p w14:paraId="305DA44A"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i/>
          <w:iCs/>
          <w:sz w:val="24"/>
          <w:szCs w:val="24"/>
          <w:lang w:eastAsia="en-AU"/>
        </w:rPr>
      </w:pPr>
      <w:r w:rsidRPr="008E358E">
        <w:rPr>
          <w:rFonts w:ascii="Times New Roman" w:eastAsia="Times New Roman" w:hAnsi="Times New Roman" w:cs="Times New Roman"/>
          <w:i/>
          <w:iCs/>
          <w:sz w:val="24"/>
          <w:szCs w:val="24"/>
          <w:lang w:eastAsia="en-AU"/>
        </w:rPr>
        <w:t>Accessibility for persons with disabilities</w:t>
      </w:r>
    </w:p>
    <w:p w14:paraId="13746BD9"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iCs/>
          <w:sz w:val="24"/>
          <w:szCs w:val="24"/>
          <w:lang w:eastAsia="en-AU"/>
        </w:rPr>
        <w:t xml:space="preserve">Article 9 of the CRPD provides that appropriate measures must be taken to ensure to persons with disabilities have access, on an equal basis, to information and communications technologies and systems, and to other facilities and services open or provided to the public, both in urban and in rural areas to enable persons with disabilities to live independently and participate fully in all aspects of life. These measures, which include the identification and elimination of obstacles and barriers to accessibility, apply to information, communications and other services, including electronic services and emergency services. </w:t>
      </w:r>
      <w:r w:rsidRPr="008E358E">
        <w:rPr>
          <w:rFonts w:ascii="Times New Roman" w:eastAsia="Times New Roman" w:hAnsi="Times New Roman" w:cs="Times New Roman"/>
          <w:sz w:val="24"/>
          <w:szCs w:val="24"/>
          <w:lang w:val="en-US" w:eastAsia="en-AU"/>
        </w:rPr>
        <w:t xml:space="preserve">Under Article 9 of the CRPD, appropriate measures must be taken to </w:t>
      </w:r>
      <w:r w:rsidRPr="008E358E">
        <w:rPr>
          <w:rFonts w:ascii="Times New Roman" w:eastAsia="Times New Roman" w:hAnsi="Times New Roman" w:cs="Times New Roman"/>
          <w:sz w:val="24"/>
          <w:szCs w:val="24"/>
          <w:lang w:val="en-US" w:eastAsia="en-AU"/>
        </w:rPr>
        <w:lastRenderedPageBreak/>
        <w:t>promote access for persons with disabilities to new information and communications technologies and systems.</w:t>
      </w:r>
    </w:p>
    <w:p w14:paraId="745A29D0"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val="en-US" w:eastAsia="en-AU"/>
        </w:rPr>
        <w:t xml:space="preserve">The Instrument promotes the right to accessibility by ensuring that persons with disabilities who use of the National Relay Service, operated by Concentrix in their </w:t>
      </w:r>
      <w:proofErr w:type="spellStart"/>
      <w:r w:rsidRPr="008E358E">
        <w:rPr>
          <w:rFonts w:ascii="Times New Roman" w:eastAsia="Times New Roman" w:hAnsi="Times New Roman" w:cs="Times New Roman"/>
          <w:sz w:val="24"/>
          <w:szCs w:val="24"/>
          <w:lang w:val="en-US" w:eastAsia="en-AU"/>
        </w:rPr>
        <w:t>Ballarat</w:t>
      </w:r>
      <w:proofErr w:type="spellEnd"/>
      <w:r w:rsidRPr="008E358E">
        <w:rPr>
          <w:rFonts w:ascii="Times New Roman" w:eastAsia="Times New Roman" w:hAnsi="Times New Roman" w:cs="Times New Roman"/>
          <w:sz w:val="24"/>
          <w:szCs w:val="24"/>
          <w:lang w:val="en-US" w:eastAsia="en-AU"/>
        </w:rPr>
        <w:t xml:space="preserve"> premises, receive appropriate and timely assistance in emergency situations and access to emergency services on an equal basis. The inclusion of this premise which delivers an emergency dispatch and referral function for emergency services through the National Relay Service is critical to ensuring accessibility to emergency services for people who are deaf, hard of hearing, and/or have a speech impairment. </w:t>
      </w:r>
    </w:p>
    <w:p w14:paraId="4203036E"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iCs/>
          <w:sz w:val="24"/>
          <w:szCs w:val="24"/>
          <w:lang w:eastAsia="en-AU"/>
        </w:rPr>
        <w:t>Conclusion</w:t>
      </w:r>
    </w:p>
    <w:p w14:paraId="08A757F9" w14:textId="77777777" w:rsidR="008E358E" w:rsidRP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sz w:val="24"/>
          <w:szCs w:val="24"/>
          <w:lang w:eastAsia="en-AU"/>
        </w:rPr>
        <w:t xml:space="preserve">The Instrument is compatible with human rights because it promotes the right to life under Article 6 of the ICCPR. To the extent that the Instrument limits human rights under Article 17 of the ICCPR, those limitations are permissible because they are authorised by law and are necessary, reasonable and proportionate to achieve a legitimate objective.  </w:t>
      </w:r>
    </w:p>
    <w:p w14:paraId="16E6AA1A" w14:textId="51704C51" w:rsidR="008E358E" w:rsidRDefault="008E358E" w:rsidP="008E358E">
      <w:pPr>
        <w:widowControl w:val="0"/>
        <w:shd w:val="clear" w:color="auto" w:fill="FFFFFF"/>
        <w:spacing w:before="180" w:after="0" w:line="240" w:lineRule="auto"/>
        <w:ind w:right="-46"/>
        <w:rPr>
          <w:rFonts w:ascii="Times New Roman" w:eastAsia="Times New Roman" w:hAnsi="Times New Roman" w:cs="Times New Roman"/>
          <w:sz w:val="24"/>
          <w:szCs w:val="24"/>
          <w:lang w:eastAsia="en-AU"/>
        </w:rPr>
      </w:pPr>
      <w:r w:rsidRPr="008E358E">
        <w:rPr>
          <w:rFonts w:ascii="Times New Roman" w:eastAsia="Times New Roman" w:hAnsi="Times New Roman" w:cs="Times New Roman"/>
          <w:sz w:val="24"/>
          <w:szCs w:val="24"/>
          <w:lang w:eastAsia="en-AU"/>
        </w:rPr>
        <w:t> </w:t>
      </w:r>
    </w:p>
    <w:p w14:paraId="5C2CA926" w14:textId="77B96069" w:rsidR="005D265D" w:rsidRPr="008E358E" w:rsidRDefault="005D265D" w:rsidP="005D265D">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Peter Dutton</w:t>
      </w:r>
    </w:p>
    <w:p w14:paraId="2A18553A" w14:textId="77777777" w:rsidR="008E358E" w:rsidRPr="008E358E" w:rsidRDefault="008E358E" w:rsidP="008E358E">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The Hon Peter Dutton MP</w:t>
      </w:r>
    </w:p>
    <w:p w14:paraId="256692FC" w14:textId="415A73F7" w:rsidR="00E64A23" w:rsidRPr="00F61E2D" w:rsidRDefault="008E358E" w:rsidP="00F61E2D">
      <w:pPr>
        <w:widowControl w:val="0"/>
        <w:shd w:val="clear" w:color="auto" w:fill="FFFFFF"/>
        <w:spacing w:before="180" w:after="0" w:line="240" w:lineRule="auto"/>
        <w:ind w:right="-46"/>
        <w:jc w:val="center"/>
        <w:rPr>
          <w:rFonts w:ascii="Times New Roman" w:eastAsia="Times New Roman" w:hAnsi="Times New Roman" w:cs="Times New Roman"/>
          <w:sz w:val="24"/>
          <w:szCs w:val="24"/>
          <w:lang w:val="en-US" w:eastAsia="en-AU"/>
        </w:rPr>
      </w:pPr>
      <w:r w:rsidRPr="008E358E">
        <w:rPr>
          <w:rFonts w:ascii="Times New Roman" w:eastAsia="Times New Roman" w:hAnsi="Times New Roman" w:cs="Times New Roman"/>
          <w:b/>
          <w:bCs/>
          <w:sz w:val="24"/>
          <w:szCs w:val="24"/>
          <w:lang w:eastAsia="en-AU"/>
        </w:rPr>
        <w:t>Minister for Home Affairs</w:t>
      </w:r>
    </w:p>
    <w:sectPr w:rsidR="00E64A23" w:rsidRPr="00F61E2D" w:rsidSect="00D3032A">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8BF1A" w14:textId="77777777" w:rsidR="00251EDF" w:rsidRDefault="00251EDF" w:rsidP="00251EDF">
      <w:pPr>
        <w:spacing w:after="0" w:line="240" w:lineRule="auto"/>
      </w:pPr>
      <w:r>
        <w:separator/>
      </w:r>
    </w:p>
  </w:endnote>
  <w:endnote w:type="continuationSeparator" w:id="0">
    <w:p w14:paraId="02746276" w14:textId="77777777" w:rsidR="00251EDF" w:rsidRDefault="00251EDF" w:rsidP="0025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34493066"/>
      <w:docPartObj>
        <w:docPartGallery w:val="Page Numbers (Bottom of Page)"/>
        <w:docPartUnique/>
      </w:docPartObj>
    </w:sdtPr>
    <w:sdtEndPr>
      <w:rPr>
        <w:noProof/>
      </w:rPr>
    </w:sdtEndPr>
    <w:sdtContent>
      <w:p w14:paraId="2733315C" w14:textId="4A8AA9FF" w:rsidR="00C1298F" w:rsidRPr="00CE21DF" w:rsidRDefault="00C1298F">
        <w:pPr>
          <w:pStyle w:val="Footer"/>
          <w:jc w:val="center"/>
          <w:rPr>
            <w:rFonts w:ascii="Times New Roman" w:hAnsi="Times New Roman" w:cs="Times New Roman"/>
          </w:rPr>
        </w:pPr>
        <w:r w:rsidRPr="00CE21DF">
          <w:rPr>
            <w:rFonts w:ascii="Times New Roman" w:hAnsi="Times New Roman" w:cs="Times New Roman"/>
          </w:rPr>
          <w:fldChar w:fldCharType="begin"/>
        </w:r>
        <w:r w:rsidRPr="00CE21DF">
          <w:rPr>
            <w:rFonts w:ascii="Times New Roman" w:hAnsi="Times New Roman" w:cs="Times New Roman"/>
          </w:rPr>
          <w:instrText xml:space="preserve"> PAGE   \* MERGEFORMAT </w:instrText>
        </w:r>
        <w:r w:rsidRPr="00CE21DF">
          <w:rPr>
            <w:rFonts w:ascii="Times New Roman" w:hAnsi="Times New Roman" w:cs="Times New Roman"/>
          </w:rPr>
          <w:fldChar w:fldCharType="separate"/>
        </w:r>
        <w:r w:rsidR="00A963BB">
          <w:rPr>
            <w:rFonts w:ascii="Times New Roman" w:hAnsi="Times New Roman" w:cs="Times New Roman"/>
            <w:noProof/>
          </w:rPr>
          <w:t>6</w:t>
        </w:r>
        <w:r w:rsidRPr="00CE21DF">
          <w:rPr>
            <w:rFonts w:ascii="Times New Roman" w:hAnsi="Times New Roman" w:cs="Times New Roman"/>
            <w:noProof/>
          </w:rPr>
          <w:fldChar w:fldCharType="end"/>
        </w:r>
      </w:p>
    </w:sdtContent>
  </w:sdt>
  <w:p w14:paraId="46D2F193" w14:textId="77777777" w:rsidR="00C1298F" w:rsidRPr="00CE21DF" w:rsidRDefault="00C1298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E419F" w14:textId="77777777" w:rsidR="00251EDF" w:rsidRDefault="00251EDF" w:rsidP="00251EDF">
      <w:pPr>
        <w:spacing w:after="0" w:line="240" w:lineRule="auto"/>
      </w:pPr>
      <w:r>
        <w:separator/>
      </w:r>
    </w:p>
  </w:footnote>
  <w:footnote w:type="continuationSeparator" w:id="0">
    <w:p w14:paraId="1B07918D" w14:textId="77777777" w:rsidR="00251EDF" w:rsidRDefault="00251EDF" w:rsidP="0025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775"/>
    <w:multiLevelType w:val="hybridMultilevel"/>
    <w:tmpl w:val="5DD07680"/>
    <w:lvl w:ilvl="0" w:tplc="9D28957C">
      <w:start w:val="1"/>
      <w:numFmt w:val="lowerLetter"/>
      <w:lvlText w:val="(%1)"/>
      <w:lvlJc w:val="left"/>
      <w:pPr>
        <w:ind w:left="153" w:hanging="360"/>
      </w:pPr>
    </w:lvl>
    <w:lvl w:ilvl="1" w:tplc="0C090019">
      <w:start w:val="1"/>
      <w:numFmt w:val="lowerLetter"/>
      <w:lvlText w:val="%2."/>
      <w:lvlJc w:val="left"/>
      <w:pPr>
        <w:ind w:left="873" w:hanging="360"/>
      </w:pPr>
    </w:lvl>
    <w:lvl w:ilvl="2" w:tplc="0C09001B">
      <w:start w:val="1"/>
      <w:numFmt w:val="lowerRoman"/>
      <w:lvlText w:val="%3."/>
      <w:lvlJc w:val="right"/>
      <w:pPr>
        <w:ind w:left="1593" w:hanging="180"/>
      </w:pPr>
    </w:lvl>
    <w:lvl w:ilvl="3" w:tplc="0C09000F">
      <w:start w:val="1"/>
      <w:numFmt w:val="decimal"/>
      <w:lvlText w:val="%4."/>
      <w:lvlJc w:val="left"/>
      <w:pPr>
        <w:ind w:left="2313" w:hanging="360"/>
      </w:pPr>
    </w:lvl>
    <w:lvl w:ilvl="4" w:tplc="0C090019">
      <w:start w:val="1"/>
      <w:numFmt w:val="lowerLetter"/>
      <w:lvlText w:val="%5."/>
      <w:lvlJc w:val="left"/>
      <w:pPr>
        <w:ind w:left="3033" w:hanging="360"/>
      </w:pPr>
    </w:lvl>
    <w:lvl w:ilvl="5" w:tplc="0C09001B">
      <w:start w:val="1"/>
      <w:numFmt w:val="lowerRoman"/>
      <w:lvlText w:val="%6."/>
      <w:lvlJc w:val="right"/>
      <w:pPr>
        <w:ind w:left="3753" w:hanging="180"/>
      </w:pPr>
    </w:lvl>
    <w:lvl w:ilvl="6" w:tplc="0C09000F">
      <w:start w:val="1"/>
      <w:numFmt w:val="decimal"/>
      <w:lvlText w:val="%7."/>
      <w:lvlJc w:val="left"/>
      <w:pPr>
        <w:ind w:left="4473" w:hanging="360"/>
      </w:pPr>
    </w:lvl>
    <w:lvl w:ilvl="7" w:tplc="0C090019">
      <w:start w:val="1"/>
      <w:numFmt w:val="lowerLetter"/>
      <w:lvlText w:val="%8."/>
      <w:lvlJc w:val="left"/>
      <w:pPr>
        <w:ind w:left="5193" w:hanging="360"/>
      </w:pPr>
    </w:lvl>
    <w:lvl w:ilvl="8" w:tplc="0C09001B">
      <w:start w:val="1"/>
      <w:numFmt w:val="lowerRoman"/>
      <w:lvlText w:val="%9."/>
      <w:lvlJc w:val="right"/>
      <w:pPr>
        <w:ind w:left="5913" w:hanging="180"/>
      </w:pPr>
    </w:lvl>
  </w:abstractNum>
  <w:abstractNum w:abstractNumId="1" w15:restartNumberingAfterBreak="0">
    <w:nsid w:val="0B974F8D"/>
    <w:multiLevelType w:val="hybridMultilevel"/>
    <w:tmpl w:val="1BEA3A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A3B7027"/>
    <w:multiLevelType w:val="hybridMultilevel"/>
    <w:tmpl w:val="C142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60183A"/>
    <w:multiLevelType w:val="hybridMultilevel"/>
    <w:tmpl w:val="9B98835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6026413"/>
    <w:multiLevelType w:val="multilevel"/>
    <w:tmpl w:val="9D0C7EB8"/>
    <w:lvl w:ilvl="0">
      <w:start w:val="1"/>
      <w:numFmt w:val="bullet"/>
      <w:pStyle w:val="List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 w15:restartNumberingAfterBreak="0">
    <w:nsid w:val="27535557"/>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576567"/>
    <w:multiLevelType w:val="hybridMultilevel"/>
    <w:tmpl w:val="BECE5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02208"/>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170A32"/>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0C5630"/>
    <w:multiLevelType w:val="hybridMultilevel"/>
    <w:tmpl w:val="D35A9A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DA754C"/>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E5332B"/>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2705E5"/>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AC7B27"/>
    <w:multiLevelType w:val="hybridMultilevel"/>
    <w:tmpl w:val="2D78D06E"/>
    <w:lvl w:ilvl="0" w:tplc="0BA88E06">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3C47AB"/>
    <w:multiLevelType w:val="hybridMultilevel"/>
    <w:tmpl w:val="410A6F0C"/>
    <w:lvl w:ilvl="0" w:tplc="8F92642C">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3B7161"/>
    <w:multiLevelType w:val="hybridMultilevel"/>
    <w:tmpl w:val="31224E8A"/>
    <w:lvl w:ilvl="0" w:tplc="E09A28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0B82BF1"/>
    <w:multiLevelType w:val="hybridMultilevel"/>
    <w:tmpl w:val="097E94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F1267A6"/>
    <w:multiLevelType w:val="hybridMultilevel"/>
    <w:tmpl w:val="4BF6A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A448D5"/>
    <w:multiLevelType w:val="hybridMultilevel"/>
    <w:tmpl w:val="62DC2488"/>
    <w:lvl w:ilvl="0" w:tplc="A88ECE0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210FBA"/>
    <w:multiLevelType w:val="hybridMultilevel"/>
    <w:tmpl w:val="00062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CB75536"/>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F30EC0"/>
    <w:multiLevelType w:val="hybridMultilevel"/>
    <w:tmpl w:val="6B924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
  </w:num>
  <w:num w:numId="3">
    <w:abstractNumId w:val="9"/>
  </w:num>
  <w:num w:numId="4">
    <w:abstractNumId w:val="2"/>
  </w:num>
  <w:num w:numId="5">
    <w:abstractNumId w:val="10"/>
  </w:num>
  <w:num w:numId="6">
    <w:abstractNumId w:val="21"/>
  </w:num>
  <w:num w:numId="7">
    <w:abstractNumId w:val="20"/>
  </w:num>
  <w:num w:numId="8">
    <w:abstractNumId w:val="8"/>
  </w:num>
  <w:num w:numId="9">
    <w:abstractNumId w:val="15"/>
  </w:num>
  <w:num w:numId="10">
    <w:abstractNumId w:val="3"/>
  </w:num>
  <w:num w:numId="11">
    <w:abstractNumId w:val="6"/>
  </w:num>
  <w:num w:numId="12">
    <w:abstractNumId w:val="18"/>
  </w:num>
  <w:num w:numId="13">
    <w:abstractNumId w:val="19"/>
  </w:num>
  <w:num w:numId="14">
    <w:abstractNumId w:val="16"/>
  </w:num>
  <w:num w:numId="1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1"/>
  </w:num>
  <w:num w:numId="20">
    <w:abstractNumId w:val="7"/>
  </w:num>
  <w:num w:numId="21">
    <w:abstractNumId w:val="5"/>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2A"/>
    <w:rsid w:val="00003DC4"/>
    <w:rsid w:val="00021960"/>
    <w:rsid w:val="0004723F"/>
    <w:rsid w:val="00047761"/>
    <w:rsid w:val="00053DD9"/>
    <w:rsid w:val="00056538"/>
    <w:rsid w:val="00073813"/>
    <w:rsid w:val="00077CD7"/>
    <w:rsid w:val="000857AC"/>
    <w:rsid w:val="00086423"/>
    <w:rsid w:val="000A4319"/>
    <w:rsid w:val="000A6CD4"/>
    <w:rsid w:val="000A6D9C"/>
    <w:rsid w:val="000B1D0E"/>
    <w:rsid w:val="000B51D8"/>
    <w:rsid w:val="000B6B8E"/>
    <w:rsid w:val="000D0691"/>
    <w:rsid w:val="000D2249"/>
    <w:rsid w:val="000D3203"/>
    <w:rsid w:val="000D3C83"/>
    <w:rsid w:val="000E23F3"/>
    <w:rsid w:val="000E3CB9"/>
    <w:rsid w:val="000E4E6E"/>
    <w:rsid w:val="000F099F"/>
    <w:rsid w:val="000F4F76"/>
    <w:rsid w:val="00101A1D"/>
    <w:rsid w:val="001077BB"/>
    <w:rsid w:val="00111ACC"/>
    <w:rsid w:val="00111BC4"/>
    <w:rsid w:val="001124BE"/>
    <w:rsid w:val="00121E69"/>
    <w:rsid w:val="00127862"/>
    <w:rsid w:val="0013003D"/>
    <w:rsid w:val="00145BEE"/>
    <w:rsid w:val="00146EFC"/>
    <w:rsid w:val="001567D9"/>
    <w:rsid w:val="00156A20"/>
    <w:rsid w:val="00162D70"/>
    <w:rsid w:val="00172EDB"/>
    <w:rsid w:val="001743F1"/>
    <w:rsid w:val="0017651A"/>
    <w:rsid w:val="0018063A"/>
    <w:rsid w:val="0018409B"/>
    <w:rsid w:val="0018491B"/>
    <w:rsid w:val="001853F4"/>
    <w:rsid w:val="0018762B"/>
    <w:rsid w:val="00191160"/>
    <w:rsid w:val="00194CBE"/>
    <w:rsid w:val="00195158"/>
    <w:rsid w:val="001A0D57"/>
    <w:rsid w:val="001A48EA"/>
    <w:rsid w:val="001D3622"/>
    <w:rsid w:val="001E1718"/>
    <w:rsid w:val="001E4236"/>
    <w:rsid w:val="001E4301"/>
    <w:rsid w:val="001E68B7"/>
    <w:rsid w:val="001F3B35"/>
    <w:rsid w:val="001F3EB8"/>
    <w:rsid w:val="002011A6"/>
    <w:rsid w:val="0020170E"/>
    <w:rsid w:val="00201917"/>
    <w:rsid w:val="00207AEE"/>
    <w:rsid w:val="00216EBE"/>
    <w:rsid w:val="00220B7B"/>
    <w:rsid w:val="002210AC"/>
    <w:rsid w:val="0022122F"/>
    <w:rsid w:val="00225356"/>
    <w:rsid w:val="00226E8E"/>
    <w:rsid w:val="00235CB3"/>
    <w:rsid w:val="00236F12"/>
    <w:rsid w:val="00240E29"/>
    <w:rsid w:val="0024183C"/>
    <w:rsid w:val="00244067"/>
    <w:rsid w:val="002468BF"/>
    <w:rsid w:val="0024706A"/>
    <w:rsid w:val="002512F8"/>
    <w:rsid w:val="00251EDF"/>
    <w:rsid w:val="002539DF"/>
    <w:rsid w:val="00272DAB"/>
    <w:rsid w:val="00272F01"/>
    <w:rsid w:val="00276A57"/>
    <w:rsid w:val="00276A6E"/>
    <w:rsid w:val="00284AB4"/>
    <w:rsid w:val="002874B0"/>
    <w:rsid w:val="002910CD"/>
    <w:rsid w:val="0029672B"/>
    <w:rsid w:val="002A0CB4"/>
    <w:rsid w:val="002A306F"/>
    <w:rsid w:val="002A428E"/>
    <w:rsid w:val="002A5CC1"/>
    <w:rsid w:val="002B2601"/>
    <w:rsid w:val="002C0E9F"/>
    <w:rsid w:val="002C21E5"/>
    <w:rsid w:val="002C26D8"/>
    <w:rsid w:val="002C2E7B"/>
    <w:rsid w:val="002C761D"/>
    <w:rsid w:val="002E6E41"/>
    <w:rsid w:val="002E7893"/>
    <w:rsid w:val="002F0A98"/>
    <w:rsid w:val="002F2205"/>
    <w:rsid w:val="002F7322"/>
    <w:rsid w:val="00300E8D"/>
    <w:rsid w:val="003072A1"/>
    <w:rsid w:val="0031452A"/>
    <w:rsid w:val="00315F64"/>
    <w:rsid w:val="003233C4"/>
    <w:rsid w:val="00327E88"/>
    <w:rsid w:val="00333E67"/>
    <w:rsid w:val="00336DFC"/>
    <w:rsid w:val="00347411"/>
    <w:rsid w:val="00354961"/>
    <w:rsid w:val="00355D6B"/>
    <w:rsid w:val="00363C96"/>
    <w:rsid w:val="003710A0"/>
    <w:rsid w:val="00371ABE"/>
    <w:rsid w:val="003731D7"/>
    <w:rsid w:val="003826B1"/>
    <w:rsid w:val="00382D1F"/>
    <w:rsid w:val="00386850"/>
    <w:rsid w:val="00391F48"/>
    <w:rsid w:val="003927B5"/>
    <w:rsid w:val="00396DFA"/>
    <w:rsid w:val="003A1AE8"/>
    <w:rsid w:val="003A1F1B"/>
    <w:rsid w:val="003B07F3"/>
    <w:rsid w:val="003B1334"/>
    <w:rsid w:val="003B1736"/>
    <w:rsid w:val="003B602F"/>
    <w:rsid w:val="003C62EF"/>
    <w:rsid w:val="003E5D75"/>
    <w:rsid w:val="003E78CD"/>
    <w:rsid w:val="003F2F6C"/>
    <w:rsid w:val="003F6D60"/>
    <w:rsid w:val="004057D2"/>
    <w:rsid w:val="004125A7"/>
    <w:rsid w:val="00431C13"/>
    <w:rsid w:val="00436A20"/>
    <w:rsid w:val="00442CB4"/>
    <w:rsid w:val="00445AAF"/>
    <w:rsid w:val="00446B1C"/>
    <w:rsid w:val="00451CF9"/>
    <w:rsid w:val="004557E9"/>
    <w:rsid w:val="0046129B"/>
    <w:rsid w:val="00462BA5"/>
    <w:rsid w:val="00465A27"/>
    <w:rsid w:val="00466044"/>
    <w:rsid w:val="00466511"/>
    <w:rsid w:val="004719D6"/>
    <w:rsid w:val="004721FE"/>
    <w:rsid w:val="0047764F"/>
    <w:rsid w:val="004858A8"/>
    <w:rsid w:val="00485F44"/>
    <w:rsid w:val="00492A0A"/>
    <w:rsid w:val="004A556E"/>
    <w:rsid w:val="004B14D1"/>
    <w:rsid w:val="004C68FF"/>
    <w:rsid w:val="004D0B4F"/>
    <w:rsid w:val="004D25DC"/>
    <w:rsid w:val="004D27CD"/>
    <w:rsid w:val="004D3C4C"/>
    <w:rsid w:val="004D4794"/>
    <w:rsid w:val="004E3A29"/>
    <w:rsid w:val="004E63AE"/>
    <w:rsid w:val="004F2004"/>
    <w:rsid w:val="004F6351"/>
    <w:rsid w:val="00513ACC"/>
    <w:rsid w:val="00516144"/>
    <w:rsid w:val="00516F4B"/>
    <w:rsid w:val="00517864"/>
    <w:rsid w:val="00522C9C"/>
    <w:rsid w:val="00523D3F"/>
    <w:rsid w:val="00533E3B"/>
    <w:rsid w:val="00534DDA"/>
    <w:rsid w:val="0053531B"/>
    <w:rsid w:val="00535D73"/>
    <w:rsid w:val="005427B4"/>
    <w:rsid w:val="00542F8B"/>
    <w:rsid w:val="005433B1"/>
    <w:rsid w:val="00543D9E"/>
    <w:rsid w:val="00543D9F"/>
    <w:rsid w:val="005443FE"/>
    <w:rsid w:val="00545655"/>
    <w:rsid w:val="00547714"/>
    <w:rsid w:val="005536EF"/>
    <w:rsid w:val="005567C1"/>
    <w:rsid w:val="00560B0D"/>
    <w:rsid w:val="00563C76"/>
    <w:rsid w:val="00570A27"/>
    <w:rsid w:val="00580D91"/>
    <w:rsid w:val="005815C4"/>
    <w:rsid w:val="0058344B"/>
    <w:rsid w:val="00585011"/>
    <w:rsid w:val="005869A0"/>
    <w:rsid w:val="00590AFC"/>
    <w:rsid w:val="005926DE"/>
    <w:rsid w:val="00592D2A"/>
    <w:rsid w:val="0059387E"/>
    <w:rsid w:val="00594BFE"/>
    <w:rsid w:val="00595E89"/>
    <w:rsid w:val="00597174"/>
    <w:rsid w:val="005A4409"/>
    <w:rsid w:val="005A6F6A"/>
    <w:rsid w:val="005B6407"/>
    <w:rsid w:val="005C57FE"/>
    <w:rsid w:val="005D0D1C"/>
    <w:rsid w:val="005D265D"/>
    <w:rsid w:val="005D6408"/>
    <w:rsid w:val="005E7C54"/>
    <w:rsid w:val="005F1469"/>
    <w:rsid w:val="005F49E1"/>
    <w:rsid w:val="00600C56"/>
    <w:rsid w:val="00600E7A"/>
    <w:rsid w:val="00603307"/>
    <w:rsid w:val="00604E10"/>
    <w:rsid w:val="00605CA3"/>
    <w:rsid w:val="0061043B"/>
    <w:rsid w:val="006173D0"/>
    <w:rsid w:val="00617602"/>
    <w:rsid w:val="00620379"/>
    <w:rsid w:val="006237A2"/>
    <w:rsid w:val="00625CA6"/>
    <w:rsid w:val="00626A36"/>
    <w:rsid w:val="00626BB4"/>
    <w:rsid w:val="006315B8"/>
    <w:rsid w:val="00633631"/>
    <w:rsid w:val="00643812"/>
    <w:rsid w:val="0064589D"/>
    <w:rsid w:val="00650483"/>
    <w:rsid w:val="00673BF2"/>
    <w:rsid w:val="00676B9C"/>
    <w:rsid w:val="00681BB9"/>
    <w:rsid w:val="006831A0"/>
    <w:rsid w:val="006868DD"/>
    <w:rsid w:val="00691837"/>
    <w:rsid w:val="00693DDC"/>
    <w:rsid w:val="00693DF9"/>
    <w:rsid w:val="0069523B"/>
    <w:rsid w:val="006A0AB8"/>
    <w:rsid w:val="006A0BD6"/>
    <w:rsid w:val="006A5905"/>
    <w:rsid w:val="006A7F5B"/>
    <w:rsid w:val="006B0850"/>
    <w:rsid w:val="006B1B60"/>
    <w:rsid w:val="006B43D2"/>
    <w:rsid w:val="006C294B"/>
    <w:rsid w:val="006C2E6F"/>
    <w:rsid w:val="006E1493"/>
    <w:rsid w:val="006E76D2"/>
    <w:rsid w:val="006F1CE6"/>
    <w:rsid w:val="006F6E0C"/>
    <w:rsid w:val="006F7F76"/>
    <w:rsid w:val="00700C4F"/>
    <w:rsid w:val="007068F3"/>
    <w:rsid w:val="0070709C"/>
    <w:rsid w:val="00710348"/>
    <w:rsid w:val="0072353C"/>
    <w:rsid w:val="0072575C"/>
    <w:rsid w:val="007262D6"/>
    <w:rsid w:val="00732A76"/>
    <w:rsid w:val="007471DD"/>
    <w:rsid w:val="00747372"/>
    <w:rsid w:val="007565AA"/>
    <w:rsid w:val="00762B06"/>
    <w:rsid w:val="00764F64"/>
    <w:rsid w:val="007669F9"/>
    <w:rsid w:val="00766C9F"/>
    <w:rsid w:val="00770790"/>
    <w:rsid w:val="00776B02"/>
    <w:rsid w:val="0077772A"/>
    <w:rsid w:val="00784856"/>
    <w:rsid w:val="00785916"/>
    <w:rsid w:val="007906C9"/>
    <w:rsid w:val="00797126"/>
    <w:rsid w:val="007A0AC0"/>
    <w:rsid w:val="007A2B46"/>
    <w:rsid w:val="007A2CB7"/>
    <w:rsid w:val="007A3E6C"/>
    <w:rsid w:val="007A3EDA"/>
    <w:rsid w:val="007A7251"/>
    <w:rsid w:val="007A74D2"/>
    <w:rsid w:val="007B301C"/>
    <w:rsid w:val="007B7295"/>
    <w:rsid w:val="007C040F"/>
    <w:rsid w:val="007C6622"/>
    <w:rsid w:val="007D016C"/>
    <w:rsid w:val="007D3B86"/>
    <w:rsid w:val="007D4676"/>
    <w:rsid w:val="007D63FA"/>
    <w:rsid w:val="007E7CA0"/>
    <w:rsid w:val="007F3A1C"/>
    <w:rsid w:val="00802D43"/>
    <w:rsid w:val="00805FA8"/>
    <w:rsid w:val="0080722C"/>
    <w:rsid w:val="0081271B"/>
    <w:rsid w:val="00813C94"/>
    <w:rsid w:val="00814C21"/>
    <w:rsid w:val="0082082E"/>
    <w:rsid w:val="008325AF"/>
    <w:rsid w:val="00835082"/>
    <w:rsid w:val="008355DF"/>
    <w:rsid w:val="0084293D"/>
    <w:rsid w:val="00857867"/>
    <w:rsid w:val="008678B1"/>
    <w:rsid w:val="0088526D"/>
    <w:rsid w:val="00891B06"/>
    <w:rsid w:val="00892E4C"/>
    <w:rsid w:val="00893D90"/>
    <w:rsid w:val="008C608D"/>
    <w:rsid w:val="008D0A84"/>
    <w:rsid w:val="008D7B0F"/>
    <w:rsid w:val="008E00D4"/>
    <w:rsid w:val="008E1884"/>
    <w:rsid w:val="008E1C30"/>
    <w:rsid w:val="008E358E"/>
    <w:rsid w:val="008F0405"/>
    <w:rsid w:val="008F1D4E"/>
    <w:rsid w:val="008F47CE"/>
    <w:rsid w:val="008F4CCD"/>
    <w:rsid w:val="008F4E7E"/>
    <w:rsid w:val="008F769B"/>
    <w:rsid w:val="0090283F"/>
    <w:rsid w:val="0090669D"/>
    <w:rsid w:val="009101F6"/>
    <w:rsid w:val="009133F4"/>
    <w:rsid w:val="00933053"/>
    <w:rsid w:val="009368D9"/>
    <w:rsid w:val="00942424"/>
    <w:rsid w:val="009429F9"/>
    <w:rsid w:val="00944138"/>
    <w:rsid w:val="009448AC"/>
    <w:rsid w:val="00951BAB"/>
    <w:rsid w:val="0095306B"/>
    <w:rsid w:val="00953E7C"/>
    <w:rsid w:val="0095424F"/>
    <w:rsid w:val="00954C50"/>
    <w:rsid w:val="00954E59"/>
    <w:rsid w:val="00963A07"/>
    <w:rsid w:val="00964A6C"/>
    <w:rsid w:val="0096536D"/>
    <w:rsid w:val="00965DA9"/>
    <w:rsid w:val="00967A8A"/>
    <w:rsid w:val="00986DB6"/>
    <w:rsid w:val="009A30DF"/>
    <w:rsid w:val="009A6F4C"/>
    <w:rsid w:val="009B3AEA"/>
    <w:rsid w:val="009C470A"/>
    <w:rsid w:val="009D3F92"/>
    <w:rsid w:val="009D49AF"/>
    <w:rsid w:val="009D56F1"/>
    <w:rsid w:val="009D5763"/>
    <w:rsid w:val="009D63C5"/>
    <w:rsid w:val="009E2EE2"/>
    <w:rsid w:val="009E34F8"/>
    <w:rsid w:val="009E3C88"/>
    <w:rsid w:val="009E3E03"/>
    <w:rsid w:val="009F3A20"/>
    <w:rsid w:val="00A11FD1"/>
    <w:rsid w:val="00A20FB4"/>
    <w:rsid w:val="00A224BA"/>
    <w:rsid w:val="00A26AAA"/>
    <w:rsid w:val="00A301EB"/>
    <w:rsid w:val="00A32013"/>
    <w:rsid w:val="00A32D90"/>
    <w:rsid w:val="00A4385D"/>
    <w:rsid w:val="00A57BBD"/>
    <w:rsid w:val="00A607C5"/>
    <w:rsid w:val="00A70F3E"/>
    <w:rsid w:val="00A80972"/>
    <w:rsid w:val="00A833DB"/>
    <w:rsid w:val="00A841DC"/>
    <w:rsid w:val="00A84CD5"/>
    <w:rsid w:val="00A86416"/>
    <w:rsid w:val="00A918D8"/>
    <w:rsid w:val="00A963BB"/>
    <w:rsid w:val="00AA018E"/>
    <w:rsid w:val="00AA624F"/>
    <w:rsid w:val="00AA6D9E"/>
    <w:rsid w:val="00AB523E"/>
    <w:rsid w:val="00AB6AA9"/>
    <w:rsid w:val="00AB7EEE"/>
    <w:rsid w:val="00AC1A63"/>
    <w:rsid w:val="00AC1B88"/>
    <w:rsid w:val="00AD44F9"/>
    <w:rsid w:val="00AE5951"/>
    <w:rsid w:val="00B0183D"/>
    <w:rsid w:val="00B14014"/>
    <w:rsid w:val="00B204FB"/>
    <w:rsid w:val="00B30847"/>
    <w:rsid w:val="00B32168"/>
    <w:rsid w:val="00B44BD8"/>
    <w:rsid w:val="00B50976"/>
    <w:rsid w:val="00B5563B"/>
    <w:rsid w:val="00B56C3E"/>
    <w:rsid w:val="00B614F5"/>
    <w:rsid w:val="00B71844"/>
    <w:rsid w:val="00B736DE"/>
    <w:rsid w:val="00B7435F"/>
    <w:rsid w:val="00B807DA"/>
    <w:rsid w:val="00B8377F"/>
    <w:rsid w:val="00B85BA1"/>
    <w:rsid w:val="00B94456"/>
    <w:rsid w:val="00BA14C2"/>
    <w:rsid w:val="00BA407F"/>
    <w:rsid w:val="00BA56ED"/>
    <w:rsid w:val="00BB2B37"/>
    <w:rsid w:val="00BB77EE"/>
    <w:rsid w:val="00BC169B"/>
    <w:rsid w:val="00BC44C6"/>
    <w:rsid w:val="00BC7F78"/>
    <w:rsid w:val="00BD07CD"/>
    <w:rsid w:val="00BD2648"/>
    <w:rsid w:val="00BD2AE1"/>
    <w:rsid w:val="00BF0877"/>
    <w:rsid w:val="00BF7B6D"/>
    <w:rsid w:val="00BF7DD0"/>
    <w:rsid w:val="00C10B32"/>
    <w:rsid w:val="00C1298F"/>
    <w:rsid w:val="00C203BC"/>
    <w:rsid w:val="00C215FB"/>
    <w:rsid w:val="00C23C3F"/>
    <w:rsid w:val="00C243FF"/>
    <w:rsid w:val="00C3421B"/>
    <w:rsid w:val="00C4302C"/>
    <w:rsid w:val="00C46298"/>
    <w:rsid w:val="00C50147"/>
    <w:rsid w:val="00C50E72"/>
    <w:rsid w:val="00C55DC7"/>
    <w:rsid w:val="00C57D2E"/>
    <w:rsid w:val="00C7022F"/>
    <w:rsid w:val="00C70B26"/>
    <w:rsid w:val="00C809C0"/>
    <w:rsid w:val="00C811CB"/>
    <w:rsid w:val="00C816CF"/>
    <w:rsid w:val="00C84E2C"/>
    <w:rsid w:val="00C91A6E"/>
    <w:rsid w:val="00CA1692"/>
    <w:rsid w:val="00CA213D"/>
    <w:rsid w:val="00CB01C5"/>
    <w:rsid w:val="00CB13E8"/>
    <w:rsid w:val="00CB2585"/>
    <w:rsid w:val="00CB2D5B"/>
    <w:rsid w:val="00CB4721"/>
    <w:rsid w:val="00CB6C27"/>
    <w:rsid w:val="00CC392A"/>
    <w:rsid w:val="00CC3DF4"/>
    <w:rsid w:val="00CC4ACE"/>
    <w:rsid w:val="00CE0413"/>
    <w:rsid w:val="00CE21DF"/>
    <w:rsid w:val="00CE2521"/>
    <w:rsid w:val="00CF45EF"/>
    <w:rsid w:val="00CF4C8A"/>
    <w:rsid w:val="00D00C2D"/>
    <w:rsid w:val="00D01731"/>
    <w:rsid w:val="00D07AB0"/>
    <w:rsid w:val="00D20F34"/>
    <w:rsid w:val="00D24ECB"/>
    <w:rsid w:val="00D24F5E"/>
    <w:rsid w:val="00D3032A"/>
    <w:rsid w:val="00D333D6"/>
    <w:rsid w:val="00D33809"/>
    <w:rsid w:val="00D36AFE"/>
    <w:rsid w:val="00D40B90"/>
    <w:rsid w:val="00D4556D"/>
    <w:rsid w:val="00D60102"/>
    <w:rsid w:val="00D61D83"/>
    <w:rsid w:val="00D6557C"/>
    <w:rsid w:val="00D66CD0"/>
    <w:rsid w:val="00D71FE1"/>
    <w:rsid w:val="00D72AB4"/>
    <w:rsid w:val="00D75180"/>
    <w:rsid w:val="00D77E46"/>
    <w:rsid w:val="00D82846"/>
    <w:rsid w:val="00D91AB3"/>
    <w:rsid w:val="00D94DDA"/>
    <w:rsid w:val="00DA2541"/>
    <w:rsid w:val="00DA4D5F"/>
    <w:rsid w:val="00DA663C"/>
    <w:rsid w:val="00DB6BFD"/>
    <w:rsid w:val="00DC3AB7"/>
    <w:rsid w:val="00DE0AC2"/>
    <w:rsid w:val="00DE15E3"/>
    <w:rsid w:val="00DE1C98"/>
    <w:rsid w:val="00DF030F"/>
    <w:rsid w:val="00DF4209"/>
    <w:rsid w:val="00DF6B4C"/>
    <w:rsid w:val="00E02FA5"/>
    <w:rsid w:val="00E04FCF"/>
    <w:rsid w:val="00E133F0"/>
    <w:rsid w:val="00E14197"/>
    <w:rsid w:val="00E16D59"/>
    <w:rsid w:val="00E279E1"/>
    <w:rsid w:val="00E32940"/>
    <w:rsid w:val="00E33366"/>
    <w:rsid w:val="00E34200"/>
    <w:rsid w:val="00E441A0"/>
    <w:rsid w:val="00E56C53"/>
    <w:rsid w:val="00E60B92"/>
    <w:rsid w:val="00E611D1"/>
    <w:rsid w:val="00E64578"/>
    <w:rsid w:val="00E64A23"/>
    <w:rsid w:val="00E6505F"/>
    <w:rsid w:val="00E71F18"/>
    <w:rsid w:val="00E75A38"/>
    <w:rsid w:val="00E8007B"/>
    <w:rsid w:val="00E8450A"/>
    <w:rsid w:val="00E84A9E"/>
    <w:rsid w:val="00E91DF7"/>
    <w:rsid w:val="00E945A3"/>
    <w:rsid w:val="00EA0A6E"/>
    <w:rsid w:val="00EA2C56"/>
    <w:rsid w:val="00EA351D"/>
    <w:rsid w:val="00EB2AAD"/>
    <w:rsid w:val="00EC414F"/>
    <w:rsid w:val="00ED1095"/>
    <w:rsid w:val="00ED4E74"/>
    <w:rsid w:val="00EE3B85"/>
    <w:rsid w:val="00EE65CE"/>
    <w:rsid w:val="00EF3619"/>
    <w:rsid w:val="00EF6B02"/>
    <w:rsid w:val="00F12736"/>
    <w:rsid w:val="00F1715A"/>
    <w:rsid w:val="00F17772"/>
    <w:rsid w:val="00F22BB5"/>
    <w:rsid w:val="00F323A6"/>
    <w:rsid w:val="00F342E7"/>
    <w:rsid w:val="00F346E7"/>
    <w:rsid w:val="00F4073D"/>
    <w:rsid w:val="00F61E2D"/>
    <w:rsid w:val="00F6263C"/>
    <w:rsid w:val="00F643AE"/>
    <w:rsid w:val="00F6680F"/>
    <w:rsid w:val="00F7352B"/>
    <w:rsid w:val="00F77346"/>
    <w:rsid w:val="00F7755F"/>
    <w:rsid w:val="00F92EA0"/>
    <w:rsid w:val="00FA4FEE"/>
    <w:rsid w:val="00FA58B2"/>
    <w:rsid w:val="00FA7B21"/>
    <w:rsid w:val="00FB0628"/>
    <w:rsid w:val="00FB3D7D"/>
    <w:rsid w:val="00FC4041"/>
    <w:rsid w:val="00FC71C1"/>
    <w:rsid w:val="00FC74F0"/>
    <w:rsid w:val="00FD1CBE"/>
    <w:rsid w:val="00FD2FA7"/>
    <w:rsid w:val="00FD3424"/>
    <w:rsid w:val="00FD3481"/>
    <w:rsid w:val="00FD7709"/>
    <w:rsid w:val="00FE7740"/>
    <w:rsid w:val="00FF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590A76"/>
  <w15:chartTrackingRefBased/>
  <w15:docId w15:val="{93662CF9-A4B0-41FA-B4AC-52AD427F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2A"/>
    <w:pPr>
      <w:ind w:left="720"/>
      <w:contextualSpacing/>
    </w:pPr>
  </w:style>
  <w:style w:type="character" w:styleId="CommentReference">
    <w:name w:val="annotation reference"/>
    <w:basedOn w:val="DefaultParagraphFont"/>
    <w:uiPriority w:val="99"/>
    <w:semiHidden/>
    <w:unhideWhenUsed/>
    <w:rsid w:val="00E33366"/>
    <w:rPr>
      <w:sz w:val="16"/>
      <w:szCs w:val="16"/>
    </w:rPr>
  </w:style>
  <w:style w:type="paragraph" w:styleId="CommentText">
    <w:name w:val="annotation text"/>
    <w:basedOn w:val="Normal"/>
    <w:link w:val="CommentTextChar"/>
    <w:uiPriority w:val="99"/>
    <w:unhideWhenUsed/>
    <w:rsid w:val="00E33366"/>
    <w:pPr>
      <w:spacing w:line="240" w:lineRule="auto"/>
    </w:pPr>
    <w:rPr>
      <w:sz w:val="20"/>
      <w:szCs w:val="20"/>
    </w:rPr>
  </w:style>
  <w:style w:type="character" w:customStyle="1" w:styleId="CommentTextChar">
    <w:name w:val="Comment Text Char"/>
    <w:basedOn w:val="DefaultParagraphFont"/>
    <w:link w:val="CommentText"/>
    <w:uiPriority w:val="99"/>
    <w:rsid w:val="00E33366"/>
    <w:rPr>
      <w:sz w:val="20"/>
      <w:szCs w:val="20"/>
    </w:rPr>
  </w:style>
  <w:style w:type="paragraph" w:styleId="CommentSubject">
    <w:name w:val="annotation subject"/>
    <w:basedOn w:val="CommentText"/>
    <w:next w:val="CommentText"/>
    <w:link w:val="CommentSubjectChar"/>
    <w:uiPriority w:val="99"/>
    <w:semiHidden/>
    <w:unhideWhenUsed/>
    <w:rsid w:val="00E33366"/>
    <w:rPr>
      <w:b/>
      <w:bCs/>
    </w:rPr>
  </w:style>
  <w:style w:type="character" w:customStyle="1" w:styleId="CommentSubjectChar">
    <w:name w:val="Comment Subject Char"/>
    <w:basedOn w:val="CommentTextChar"/>
    <w:link w:val="CommentSubject"/>
    <w:uiPriority w:val="99"/>
    <w:semiHidden/>
    <w:rsid w:val="00E33366"/>
    <w:rPr>
      <w:b/>
      <w:bCs/>
      <w:sz w:val="20"/>
      <w:szCs w:val="20"/>
    </w:rPr>
  </w:style>
  <w:style w:type="paragraph" w:styleId="BalloonText">
    <w:name w:val="Balloon Text"/>
    <w:basedOn w:val="Normal"/>
    <w:link w:val="BalloonTextChar"/>
    <w:uiPriority w:val="99"/>
    <w:semiHidden/>
    <w:unhideWhenUsed/>
    <w:rsid w:val="00E33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66"/>
    <w:rPr>
      <w:rFonts w:ascii="Segoe UI" w:hAnsi="Segoe UI" w:cs="Segoe UI"/>
      <w:sz w:val="18"/>
      <w:szCs w:val="18"/>
    </w:rPr>
  </w:style>
  <w:style w:type="paragraph" w:styleId="Header">
    <w:name w:val="header"/>
    <w:basedOn w:val="Normal"/>
    <w:link w:val="HeaderChar"/>
    <w:uiPriority w:val="99"/>
    <w:unhideWhenUsed/>
    <w:rsid w:val="00251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DF"/>
  </w:style>
  <w:style w:type="paragraph" w:styleId="Footer">
    <w:name w:val="footer"/>
    <w:basedOn w:val="Normal"/>
    <w:link w:val="FooterChar"/>
    <w:uiPriority w:val="99"/>
    <w:unhideWhenUsed/>
    <w:rsid w:val="00251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DF"/>
  </w:style>
  <w:style w:type="paragraph" w:styleId="ListBullet">
    <w:name w:val="List Bullet"/>
    <w:basedOn w:val="Normal"/>
    <w:uiPriority w:val="3"/>
    <w:semiHidden/>
    <w:unhideWhenUsed/>
    <w:qFormat/>
    <w:rsid w:val="00C816CF"/>
    <w:pPr>
      <w:numPr>
        <w:numId w:val="15"/>
      </w:numPr>
      <w:spacing w:after="0" w:line="240" w:lineRule="auto"/>
      <w:contextualSpacing/>
    </w:pPr>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28149">
      <w:bodyDiv w:val="1"/>
      <w:marLeft w:val="0"/>
      <w:marRight w:val="0"/>
      <w:marTop w:val="0"/>
      <w:marBottom w:val="0"/>
      <w:divBdr>
        <w:top w:val="none" w:sz="0" w:space="0" w:color="auto"/>
        <w:left w:val="none" w:sz="0" w:space="0" w:color="auto"/>
        <w:bottom w:val="none" w:sz="0" w:space="0" w:color="auto"/>
        <w:right w:val="none" w:sz="0" w:space="0" w:color="auto"/>
      </w:divBdr>
      <w:divsChild>
        <w:div w:id="1960257260">
          <w:marLeft w:val="0"/>
          <w:marRight w:val="0"/>
          <w:marTop w:val="0"/>
          <w:marBottom w:val="0"/>
          <w:divBdr>
            <w:top w:val="none" w:sz="0" w:space="0" w:color="auto"/>
            <w:left w:val="none" w:sz="0" w:space="0" w:color="auto"/>
            <w:bottom w:val="none" w:sz="0" w:space="0" w:color="auto"/>
            <w:right w:val="none" w:sz="0" w:space="0" w:color="auto"/>
          </w:divBdr>
          <w:divsChild>
            <w:div w:id="598217892">
              <w:marLeft w:val="0"/>
              <w:marRight w:val="0"/>
              <w:marTop w:val="0"/>
              <w:marBottom w:val="0"/>
              <w:divBdr>
                <w:top w:val="none" w:sz="0" w:space="0" w:color="auto"/>
                <w:left w:val="none" w:sz="0" w:space="0" w:color="auto"/>
                <w:bottom w:val="none" w:sz="0" w:space="0" w:color="auto"/>
                <w:right w:val="none" w:sz="0" w:space="0" w:color="auto"/>
              </w:divBdr>
              <w:divsChild>
                <w:div w:id="1376350534">
                  <w:marLeft w:val="0"/>
                  <w:marRight w:val="0"/>
                  <w:marTop w:val="0"/>
                  <w:marBottom w:val="0"/>
                  <w:divBdr>
                    <w:top w:val="none" w:sz="0" w:space="0" w:color="auto"/>
                    <w:left w:val="none" w:sz="0" w:space="0" w:color="auto"/>
                    <w:bottom w:val="none" w:sz="0" w:space="0" w:color="auto"/>
                    <w:right w:val="none" w:sz="0" w:space="0" w:color="auto"/>
                  </w:divBdr>
                  <w:divsChild>
                    <w:div w:id="1628050158">
                      <w:marLeft w:val="0"/>
                      <w:marRight w:val="0"/>
                      <w:marTop w:val="0"/>
                      <w:marBottom w:val="0"/>
                      <w:divBdr>
                        <w:top w:val="none" w:sz="0" w:space="0" w:color="auto"/>
                        <w:left w:val="none" w:sz="0" w:space="0" w:color="auto"/>
                        <w:bottom w:val="none" w:sz="0" w:space="0" w:color="auto"/>
                        <w:right w:val="none" w:sz="0" w:space="0" w:color="auto"/>
                      </w:divBdr>
                      <w:divsChild>
                        <w:div w:id="1715346366">
                          <w:marLeft w:val="0"/>
                          <w:marRight w:val="0"/>
                          <w:marTop w:val="0"/>
                          <w:marBottom w:val="0"/>
                          <w:divBdr>
                            <w:top w:val="none" w:sz="0" w:space="0" w:color="auto"/>
                            <w:left w:val="none" w:sz="0" w:space="0" w:color="auto"/>
                            <w:bottom w:val="none" w:sz="0" w:space="0" w:color="auto"/>
                            <w:right w:val="none" w:sz="0" w:space="0" w:color="auto"/>
                          </w:divBdr>
                          <w:divsChild>
                            <w:div w:id="1353071723">
                              <w:marLeft w:val="0"/>
                              <w:marRight w:val="0"/>
                              <w:marTop w:val="0"/>
                              <w:marBottom w:val="0"/>
                              <w:divBdr>
                                <w:top w:val="none" w:sz="0" w:space="0" w:color="auto"/>
                                <w:left w:val="none" w:sz="0" w:space="0" w:color="auto"/>
                                <w:bottom w:val="none" w:sz="0" w:space="0" w:color="auto"/>
                                <w:right w:val="none" w:sz="0" w:space="0" w:color="auto"/>
                              </w:divBdr>
                              <w:divsChild>
                                <w:div w:id="133329196">
                                  <w:marLeft w:val="0"/>
                                  <w:marRight w:val="0"/>
                                  <w:marTop w:val="0"/>
                                  <w:marBottom w:val="0"/>
                                  <w:divBdr>
                                    <w:top w:val="none" w:sz="0" w:space="0" w:color="auto"/>
                                    <w:left w:val="none" w:sz="0" w:space="0" w:color="auto"/>
                                    <w:bottom w:val="none" w:sz="0" w:space="0" w:color="auto"/>
                                    <w:right w:val="none" w:sz="0" w:space="0" w:color="auto"/>
                                  </w:divBdr>
                                  <w:divsChild>
                                    <w:div w:id="1389188042">
                                      <w:marLeft w:val="0"/>
                                      <w:marRight w:val="0"/>
                                      <w:marTop w:val="0"/>
                                      <w:marBottom w:val="0"/>
                                      <w:divBdr>
                                        <w:top w:val="none" w:sz="0" w:space="0" w:color="auto"/>
                                        <w:left w:val="none" w:sz="0" w:space="0" w:color="auto"/>
                                        <w:bottom w:val="none" w:sz="0" w:space="0" w:color="auto"/>
                                        <w:right w:val="none" w:sz="0" w:space="0" w:color="auto"/>
                                      </w:divBdr>
                                      <w:divsChild>
                                        <w:div w:id="1889490949">
                                          <w:marLeft w:val="0"/>
                                          <w:marRight w:val="0"/>
                                          <w:marTop w:val="0"/>
                                          <w:marBottom w:val="0"/>
                                          <w:divBdr>
                                            <w:top w:val="none" w:sz="0" w:space="0" w:color="auto"/>
                                            <w:left w:val="none" w:sz="0" w:space="0" w:color="auto"/>
                                            <w:bottom w:val="none" w:sz="0" w:space="0" w:color="auto"/>
                                            <w:right w:val="none" w:sz="0" w:space="0" w:color="auto"/>
                                          </w:divBdr>
                                          <w:divsChild>
                                            <w:div w:id="416248519">
                                              <w:marLeft w:val="0"/>
                                              <w:marRight w:val="0"/>
                                              <w:marTop w:val="0"/>
                                              <w:marBottom w:val="0"/>
                                              <w:divBdr>
                                                <w:top w:val="none" w:sz="0" w:space="0" w:color="auto"/>
                                                <w:left w:val="none" w:sz="0" w:space="0" w:color="auto"/>
                                                <w:bottom w:val="none" w:sz="0" w:space="0" w:color="auto"/>
                                                <w:right w:val="none" w:sz="0" w:space="0" w:color="auto"/>
                                              </w:divBdr>
                                              <w:divsChild>
                                                <w:div w:id="541021144">
                                                  <w:marLeft w:val="0"/>
                                                  <w:marRight w:val="0"/>
                                                  <w:marTop w:val="0"/>
                                                  <w:marBottom w:val="0"/>
                                                  <w:divBdr>
                                                    <w:top w:val="none" w:sz="0" w:space="0" w:color="auto"/>
                                                    <w:left w:val="none" w:sz="0" w:space="0" w:color="auto"/>
                                                    <w:bottom w:val="none" w:sz="0" w:space="0" w:color="auto"/>
                                                    <w:right w:val="none" w:sz="0" w:space="0" w:color="auto"/>
                                                  </w:divBdr>
                                                  <w:divsChild>
                                                    <w:div w:id="166410602">
                                                      <w:marLeft w:val="0"/>
                                                      <w:marRight w:val="0"/>
                                                      <w:marTop w:val="0"/>
                                                      <w:marBottom w:val="0"/>
                                                      <w:divBdr>
                                                        <w:top w:val="none" w:sz="0" w:space="0" w:color="auto"/>
                                                        <w:left w:val="none" w:sz="0" w:space="0" w:color="auto"/>
                                                        <w:bottom w:val="none" w:sz="0" w:space="0" w:color="auto"/>
                                                        <w:right w:val="none" w:sz="0" w:space="0" w:color="auto"/>
                                                      </w:divBdr>
                                                      <w:divsChild>
                                                        <w:div w:id="18202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0403661">
      <w:bodyDiv w:val="1"/>
      <w:marLeft w:val="0"/>
      <w:marRight w:val="0"/>
      <w:marTop w:val="0"/>
      <w:marBottom w:val="0"/>
      <w:divBdr>
        <w:top w:val="none" w:sz="0" w:space="0" w:color="auto"/>
        <w:left w:val="none" w:sz="0" w:space="0" w:color="auto"/>
        <w:bottom w:val="none" w:sz="0" w:space="0" w:color="auto"/>
        <w:right w:val="none" w:sz="0" w:space="0" w:color="auto"/>
      </w:divBdr>
    </w:div>
    <w:div w:id="1311059824">
      <w:bodyDiv w:val="1"/>
      <w:marLeft w:val="0"/>
      <w:marRight w:val="0"/>
      <w:marTop w:val="0"/>
      <w:marBottom w:val="0"/>
      <w:divBdr>
        <w:top w:val="none" w:sz="0" w:space="0" w:color="auto"/>
        <w:left w:val="none" w:sz="0" w:space="0" w:color="auto"/>
        <w:bottom w:val="none" w:sz="0" w:space="0" w:color="auto"/>
        <w:right w:val="none" w:sz="0" w:space="0" w:color="auto"/>
      </w:divBdr>
    </w:div>
    <w:div w:id="1575159835">
      <w:bodyDiv w:val="1"/>
      <w:marLeft w:val="0"/>
      <w:marRight w:val="0"/>
      <w:marTop w:val="0"/>
      <w:marBottom w:val="0"/>
      <w:divBdr>
        <w:top w:val="none" w:sz="0" w:space="0" w:color="auto"/>
        <w:left w:val="none" w:sz="0" w:space="0" w:color="auto"/>
        <w:bottom w:val="none" w:sz="0" w:space="0" w:color="auto"/>
        <w:right w:val="none" w:sz="0" w:space="0" w:color="auto"/>
      </w:divBdr>
    </w:div>
    <w:div w:id="2017264453">
      <w:bodyDiv w:val="1"/>
      <w:marLeft w:val="0"/>
      <w:marRight w:val="0"/>
      <w:marTop w:val="0"/>
      <w:marBottom w:val="0"/>
      <w:divBdr>
        <w:top w:val="none" w:sz="0" w:space="0" w:color="auto"/>
        <w:left w:val="none" w:sz="0" w:space="0" w:color="auto"/>
        <w:bottom w:val="none" w:sz="0" w:space="0" w:color="auto"/>
        <w:right w:val="none" w:sz="0" w:space="0" w:color="auto"/>
      </w:divBdr>
      <w:divsChild>
        <w:div w:id="137501311">
          <w:marLeft w:val="0"/>
          <w:marRight w:val="0"/>
          <w:marTop w:val="0"/>
          <w:marBottom w:val="0"/>
          <w:divBdr>
            <w:top w:val="none" w:sz="0" w:space="0" w:color="auto"/>
            <w:left w:val="none" w:sz="0" w:space="0" w:color="auto"/>
            <w:bottom w:val="none" w:sz="0" w:space="0" w:color="auto"/>
            <w:right w:val="none" w:sz="0" w:space="0" w:color="auto"/>
          </w:divBdr>
          <w:divsChild>
            <w:div w:id="2100321777">
              <w:marLeft w:val="0"/>
              <w:marRight w:val="0"/>
              <w:marTop w:val="0"/>
              <w:marBottom w:val="0"/>
              <w:divBdr>
                <w:top w:val="none" w:sz="0" w:space="0" w:color="auto"/>
                <w:left w:val="none" w:sz="0" w:space="0" w:color="auto"/>
                <w:bottom w:val="none" w:sz="0" w:space="0" w:color="auto"/>
                <w:right w:val="none" w:sz="0" w:space="0" w:color="auto"/>
              </w:divBdr>
              <w:divsChild>
                <w:div w:id="710542249">
                  <w:marLeft w:val="0"/>
                  <w:marRight w:val="0"/>
                  <w:marTop w:val="0"/>
                  <w:marBottom w:val="0"/>
                  <w:divBdr>
                    <w:top w:val="none" w:sz="0" w:space="0" w:color="auto"/>
                    <w:left w:val="none" w:sz="0" w:space="0" w:color="auto"/>
                    <w:bottom w:val="none" w:sz="0" w:space="0" w:color="auto"/>
                    <w:right w:val="none" w:sz="0" w:space="0" w:color="auto"/>
                  </w:divBdr>
                  <w:divsChild>
                    <w:div w:id="1469938401">
                      <w:marLeft w:val="0"/>
                      <w:marRight w:val="0"/>
                      <w:marTop w:val="0"/>
                      <w:marBottom w:val="0"/>
                      <w:divBdr>
                        <w:top w:val="none" w:sz="0" w:space="0" w:color="auto"/>
                        <w:left w:val="none" w:sz="0" w:space="0" w:color="auto"/>
                        <w:bottom w:val="none" w:sz="0" w:space="0" w:color="auto"/>
                        <w:right w:val="none" w:sz="0" w:space="0" w:color="auto"/>
                      </w:divBdr>
                      <w:divsChild>
                        <w:div w:id="1327048986">
                          <w:marLeft w:val="0"/>
                          <w:marRight w:val="0"/>
                          <w:marTop w:val="0"/>
                          <w:marBottom w:val="0"/>
                          <w:divBdr>
                            <w:top w:val="none" w:sz="0" w:space="0" w:color="auto"/>
                            <w:left w:val="none" w:sz="0" w:space="0" w:color="auto"/>
                            <w:bottom w:val="none" w:sz="0" w:space="0" w:color="auto"/>
                            <w:right w:val="none" w:sz="0" w:space="0" w:color="auto"/>
                          </w:divBdr>
                          <w:divsChild>
                            <w:div w:id="1619412285">
                              <w:marLeft w:val="0"/>
                              <w:marRight w:val="0"/>
                              <w:marTop w:val="0"/>
                              <w:marBottom w:val="0"/>
                              <w:divBdr>
                                <w:top w:val="none" w:sz="0" w:space="0" w:color="auto"/>
                                <w:left w:val="none" w:sz="0" w:space="0" w:color="auto"/>
                                <w:bottom w:val="none" w:sz="0" w:space="0" w:color="auto"/>
                                <w:right w:val="none" w:sz="0" w:space="0" w:color="auto"/>
                              </w:divBdr>
                              <w:divsChild>
                                <w:div w:id="271788234">
                                  <w:marLeft w:val="0"/>
                                  <w:marRight w:val="0"/>
                                  <w:marTop w:val="0"/>
                                  <w:marBottom w:val="0"/>
                                  <w:divBdr>
                                    <w:top w:val="none" w:sz="0" w:space="0" w:color="auto"/>
                                    <w:left w:val="none" w:sz="0" w:space="0" w:color="auto"/>
                                    <w:bottom w:val="none" w:sz="0" w:space="0" w:color="auto"/>
                                    <w:right w:val="none" w:sz="0" w:space="0" w:color="auto"/>
                                  </w:divBdr>
                                  <w:divsChild>
                                    <w:div w:id="1778671713">
                                      <w:marLeft w:val="0"/>
                                      <w:marRight w:val="0"/>
                                      <w:marTop w:val="0"/>
                                      <w:marBottom w:val="0"/>
                                      <w:divBdr>
                                        <w:top w:val="none" w:sz="0" w:space="0" w:color="auto"/>
                                        <w:left w:val="none" w:sz="0" w:space="0" w:color="auto"/>
                                        <w:bottom w:val="none" w:sz="0" w:space="0" w:color="auto"/>
                                        <w:right w:val="none" w:sz="0" w:space="0" w:color="auto"/>
                                      </w:divBdr>
                                      <w:divsChild>
                                        <w:div w:id="5864923">
                                          <w:marLeft w:val="0"/>
                                          <w:marRight w:val="0"/>
                                          <w:marTop w:val="0"/>
                                          <w:marBottom w:val="0"/>
                                          <w:divBdr>
                                            <w:top w:val="none" w:sz="0" w:space="0" w:color="auto"/>
                                            <w:left w:val="none" w:sz="0" w:space="0" w:color="auto"/>
                                            <w:bottom w:val="none" w:sz="0" w:space="0" w:color="auto"/>
                                            <w:right w:val="none" w:sz="0" w:space="0" w:color="auto"/>
                                          </w:divBdr>
                                          <w:divsChild>
                                            <w:div w:id="1054043711">
                                              <w:marLeft w:val="0"/>
                                              <w:marRight w:val="0"/>
                                              <w:marTop w:val="0"/>
                                              <w:marBottom w:val="0"/>
                                              <w:divBdr>
                                                <w:top w:val="none" w:sz="0" w:space="0" w:color="auto"/>
                                                <w:left w:val="none" w:sz="0" w:space="0" w:color="auto"/>
                                                <w:bottom w:val="none" w:sz="0" w:space="0" w:color="auto"/>
                                                <w:right w:val="none" w:sz="0" w:space="0" w:color="auto"/>
                                              </w:divBdr>
                                              <w:divsChild>
                                                <w:div w:id="872309839">
                                                  <w:marLeft w:val="0"/>
                                                  <w:marRight w:val="0"/>
                                                  <w:marTop w:val="0"/>
                                                  <w:marBottom w:val="0"/>
                                                  <w:divBdr>
                                                    <w:top w:val="none" w:sz="0" w:space="0" w:color="auto"/>
                                                    <w:left w:val="none" w:sz="0" w:space="0" w:color="auto"/>
                                                    <w:bottom w:val="none" w:sz="0" w:space="0" w:color="auto"/>
                                                    <w:right w:val="none" w:sz="0" w:space="0" w:color="auto"/>
                                                  </w:divBdr>
                                                  <w:divsChild>
                                                    <w:div w:id="1822430688">
                                                      <w:marLeft w:val="0"/>
                                                      <w:marRight w:val="0"/>
                                                      <w:marTop w:val="0"/>
                                                      <w:marBottom w:val="0"/>
                                                      <w:divBdr>
                                                        <w:top w:val="none" w:sz="0" w:space="0" w:color="auto"/>
                                                        <w:left w:val="none" w:sz="0" w:space="0" w:color="auto"/>
                                                        <w:bottom w:val="none" w:sz="0" w:space="0" w:color="auto"/>
                                                        <w:right w:val="none" w:sz="0" w:space="0" w:color="auto"/>
                                                      </w:divBdr>
                                                      <w:divsChild>
                                                        <w:div w:id="18877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56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40AC-500C-4087-8BB1-02CAD2BA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WOO</dc:creator>
  <cp:keywords/>
  <dc:description/>
  <cp:lastModifiedBy>Sophia WOO</cp:lastModifiedBy>
  <cp:revision>10</cp:revision>
  <dcterms:created xsi:type="dcterms:W3CDTF">2020-05-14T01:07:00Z</dcterms:created>
  <dcterms:modified xsi:type="dcterms:W3CDTF">2020-05-15T05:09:00Z</dcterms:modified>
</cp:coreProperties>
</file>