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7B2D6E" wp14:editId="598AC4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5A13C1" w:rsidP="005E317F">
      <w:pPr>
        <w:pStyle w:val="ShortT"/>
      </w:pPr>
      <w:r w:rsidRPr="005A13C1">
        <w:t>Therapeutic Goods</w:t>
      </w:r>
      <w:r w:rsidR="005E317F" w:rsidRPr="005A13C1">
        <w:t xml:space="preserve"> Amendment (</w:t>
      </w:r>
      <w:r w:rsidRPr="005A13C1">
        <w:t>Excluded Goods—Hand Sanitisers</w:t>
      </w:r>
      <w:r w:rsidR="005E317F" w:rsidRPr="005A13C1">
        <w:t xml:space="preserve">) </w:t>
      </w:r>
      <w:r w:rsidRPr="005A13C1">
        <w:t>Determination</w:t>
      </w:r>
      <w:r w:rsidR="00F0709B">
        <w:t xml:space="preserve"> (No. 2)</w:t>
      </w:r>
      <w:r w:rsidRPr="005A13C1">
        <w:t xml:space="preserve"> 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0709B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B11BC9">
        <w:rPr>
          <w:szCs w:val="22"/>
        </w:rPr>
        <w:t>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11BC9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11BC9">
        <w:rPr>
          <w:szCs w:val="22"/>
        </w:rPr>
        <w:t xml:space="preserve"> </w:t>
      </w:r>
      <w:r w:rsidR="00B117A7">
        <w:rPr>
          <w:szCs w:val="22"/>
        </w:rPr>
        <w:t>1</w:t>
      </w:r>
      <w:r w:rsidR="0062290D">
        <w:rPr>
          <w:szCs w:val="22"/>
        </w:rPr>
        <w:t xml:space="preserve"> </w:t>
      </w:r>
      <w:r w:rsidR="00B117A7">
        <w:rPr>
          <w:szCs w:val="22"/>
        </w:rPr>
        <w:t>May</w:t>
      </w:r>
      <w:r w:rsidR="00B11BC9">
        <w:rPr>
          <w:szCs w:val="22"/>
        </w:rPr>
        <w:t xml:space="preserve"> 2020</w:t>
      </w:r>
    </w:p>
    <w:p w:rsidR="005E317F" w:rsidRPr="00D16F2C" w:rsidRDefault="00F0709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Jane Cook</w:t>
      </w:r>
    </w:p>
    <w:p w:rsidR="00F0709B" w:rsidRDefault="00F0709B" w:rsidP="00F0709B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F0709B" w:rsidRPr="00930264" w:rsidRDefault="00F0709B" w:rsidP="00F0709B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:rsidR="00D16F2C" w:rsidRPr="00D16F2C" w:rsidRDefault="00D16F2C" w:rsidP="005E317F">
      <w:pPr>
        <w:pStyle w:val="SignCoverPageEnd"/>
        <w:ind w:right="91"/>
        <w:rPr>
          <w:sz w:val="22"/>
        </w:rPr>
      </w:pPr>
      <w:r w:rsidRPr="00D16F2C">
        <w:rPr>
          <w:sz w:val="22"/>
        </w:rPr>
        <w:t>Health Products Regulation Group</w:t>
      </w:r>
    </w:p>
    <w:p w:rsidR="005E317F" w:rsidRPr="000D3FB9" w:rsidRDefault="00D16F2C" w:rsidP="005E317F">
      <w:pPr>
        <w:pStyle w:val="SignCoverPageEnd"/>
        <w:ind w:right="91"/>
        <w:rPr>
          <w:sz w:val="22"/>
        </w:rPr>
      </w:pPr>
      <w:r w:rsidRPr="00D16F2C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E327C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327C6">
        <w:rPr>
          <w:noProof/>
        </w:rPr>
        <w:t>1  Name</w:t>
      </w:r>
      <w:r w:rsidR="00E327C6">
        <w:rPr>
          <w:noProof/>
        </w:rPr>
        <w:tab/>
      </w:r>
      <w:r w:rsidR="00E327C6">
        <w:rPr>
          <w:noProof/>
        </w:rPr>
        <w:fldChar w:fldCharType="begin"/>
      </w:r>
      <w:r w:rsidR="00E327C6">
        <w:rPr>
          <w:noProof/>
        </w:rPr>
        <w:instrText xml:space="preserve"> PAGEREF _Toc39229945 \h </w:instrText>
      </w:r>
      <w:r w:rsidR="00E327C6">
        <w:rPr>
          <w:noProof/>
        </w:rPr>
      </w:r>
      <w:r w:rsidR="00E327C6">
        <w:rPr>
          <w:noProof/>
        </w:rPr>
        <w:fldChar w:fldCharType="separate"/>
      </w:r>
      <w:r w:rsidR="00E327C6">
        <w:rPr>
          <w:noProof/>
        </w:rPr>
        <w:t>1</w:t>
      </w:r>
      <w:r w:rsidR="00E327C6">
        <w:rPr>
          <w:noProof/>
        </w:rPr>
        <w:fldChar w:fldCharType="end"/>
      </w:r>
    </w:p>
    <w:p w:rsidR="00E327C6" w:rsidRDefault="00E327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_Toc39229946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327C6" w:rsidRDefault="00E327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_Toc39229947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327C6" w:rsidRDefault="00E327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_Toc39229948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327C6" w:rsidRDefault="00E327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_Toc39229949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327C6" w:rsidRDefault="00E327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Goods—Hand Sanitisers)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_Toc39229950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5A13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3922994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5A13C1">
        <w:t xml:space="preserve">the </w:t>
      </w:r>
      <w:bookmarkStart w:id="2" w:name="BKCheck15B_3"/>
      <w:bookmarkEnd w:id="2"/>
      <w:r w:rsidR="005A13C1" w:rsidRPr="005A13C1">
        <w:rPr>
          <w:i/>
        </w:rPr>
        <w:t xml:space="preserve">Therapeutic Goods Amendment (Excluded Goods—Hand Sanitisers) Determination </w:t>
      </w:r>
      <w:r w:rsidR="00F0709B">
        <w:rPr>
          <w:i/>
        </w:rPr>
        <w:t xml:space="preserve">(No. 2) </w:t>
      </w:r>
      <w:r w:rsidR="005A13C1" w:rsidRPr="005A13C1">
        <w:rPr>
          <w:i/>
        </w:rPr>
        <w:t>2020</w:t>
      </w:r>
      <w:r w:rsidRPr="005A13C1">
        <w:t>.</w:t>
      </w:r>
    </w:p>
    <w:p w:rsidR="005E317F" w:rsidRDefault="005E317F" w:rsidP="005E317F">
      <w:pPr>
        <w:pStyle w:val="ActHead5"/>
      </w:pPr>
      <w:bookmarkStart w:id="3" w:name="_Toc3922994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5A13C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5A13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5A13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5A13C1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5A13C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5A13C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5A13C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5A13C1" w:rsidRDefault="005A13C1" w:rsidP="005A13C1">
            <w:pPr>
              <w:pStyle w:val="Tabletext"/>
              <w:rPr>
                <w:i/>
              </w:rPr>
            </w:pPr>
            <w:r w:rsidRPr="005A13C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5A13C1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4" w:name="_Toc3922994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5A13C1">
        <w:t xml:space="preserve">section 7AA of the </w:t>
      </w:r>
      <w:r w:rsidR="005A13C1" w:rsidRPr="005A13C1">
        <w:rPr>
          <w:i/>
        </w:rPr>
        <w:t>Therapeutic Goods Act 1989</w:t>
      </w:r>
      <w:r w:rsidR="005A13C1">
        <w:t>.</w:t>
      </w:r>
    </w:p>
    <w:p w:rsidR="005E317F" w:rsidRPr="006065DA" w:rsidRDefault="005E317F" w:rsidP="005E317F">
      <w:pPr>
        <w:pStyle w:val="ActHead5"/>
      </w:pPr>
      <w:bookmarkStart w:id="5" w:name="_Toc39229948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3922994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5A13C1" w:rsidP="005E317F">
      <w:pPr>
        <w:pStyle w:val="ActHead9"/>
      </w:pPr>
      <w:bookmarkStart w:id="7" w:name="_Toc39229950"/>
      <w:r w:rsidRPr="005A13C1">
        <w:t>Therapeutic Goods (Excluded Goods—Hand Sanitisers) Determination 2020</w:t>
      </w:r>
      <w:bookmarkEnd w:id="7"/>
    </w:p>
    <w:p w:rsidR="00B87AD4" w:rsidRDefault="00B87AD4" w:rsidP="00B87AD4">
      <w:pPr>
        <w:pStyle w:val="ItemHead"/>
      </w:pPr>
      <w:proofErr w:type="gramStart"/>
      <w:r>
        <w:t>1  Before</w:t>
      </w:r>
      <w:proofErr w:type="gramEnd"/>
      <w:r>
        <w:t xml:space="preserve"> section 1</w:t>
      </w:r>
    </w:p>
    <w:p w:rsidR="00B87AD4" w:rsidRDefault="00B87AD4" w:rsidP="00B87AD4">
      <w:pPr>
        <w:pStyle w:val="Item"/>
      </w:pPr>
      <w:r>
        <w:t>Insert:</w:t>
      </w:r>
    </w:p>
    <w:p w:rsidR="00C22014" w:rsidRPr="00C22014" w:rsidRDefault="00C22014" w:rsidP="00285E26">
      <w:pPr>
        <w:pStyle w:val="ItemHead"/>
        <w:rPr>
          <w:rFonts w:ascii="Times New Roman" w:hAnsi="Times New Roman"/>
          <w:sz w:val="32"/>
          <w:szCs w:val="32"/>
        </w:rPr>
      </w:pPr>
      <w:r w:rsidRPr="00C22014">
        <w:rPr>
          <w:rFonts w:ascii="Times New Roman" w:hAnsi="Times New Roman"/>
          <w:sz w:val="32"/>
          <w:szCs w:val="32"/>
        </w:rPr>
        <w:t>Part 1—Preliminary</w:t>
      </w:r>
    </w:p>
    <w:p w:rsidR="00285E26" w:rsidRDefault="00073003" w:rsidP="00285E26">
      <w:pPr>
        <w:pStyle w:val="ItemHead"/>
      </w:pPr>
      <w:proofErr w:type="gramStart"/>
      <w:r>
        <w:t>2</w:t>
      </w:r>
      <w:r w:rsidR="00285E26">
        <w:t xml:space="preserve">  Section</w:t>
      </w:r>
      <w:proofErr w:type="gramEnd"/>
      <w:r w:rsidR="00285E26">
        <w:t xml:space="preserve"> </w:t>
      </w:r>
      <w:r w:rsidR="00D311EE">
        <w:t xml:space="preserve">4 </w:t>
      </w:r>
      <w:r w:rsidR="00285E26">
        <w:t>(</w:t>
      </w:r>
      <w:r w:rsidR="00D311EE">
        <w:t>note</w:t>
      </w:r>
      <w:r w:rsidR="00285E26">
        <w:t>)</w:t>
      </w:r>
    </w:p>
    <w:p w:rsidR="00285E26" w:rsidRDefault="00285E26" w:rsidP="00285E26">
      <w:pPr>
        <w:pStyle w:val="Item"/>
      </w:pPr>
      <w:r>
        <w:t xml:space="preserve">Repeal the </w:t>
      </w:r>
      <w:r w:rsidR="00D311EE">
        <w:t>note</w:t>
      </w:r>
      <w:r>
        <w:t>, substitute:</w:t>
      </w:r>
    </w:p>
    <w:p w:rsidR="00D311EE" w:rsidRPr="009C2562" w:rsidRDefault="00D311EE" w:rsidP="00D311EE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>
        <w:t>section 3 of the Act</w:t>
      </w:r>
      <w:r w:rsidRPr="009C2562">
        <w:t>, including the following:</w:t>
      </w:r>
    </w:p>
    <w:p w:rsidR="00D311EE" w:rsidRDefault="00D311EE" w:rsidP="00D311EE">
      <w:pPr>
        <w:pStyle w:val="notepara"/>
        <w:numPr>
          <w:ilvl w:val="0"/>
          <w:numId w:val="14"/>
        </w:numPr>
      </w:pPr>
      <w:r>
        <w:t>advertise;</w:t>
      </w:r>
    </w:p>
    <w:p w:rsidR="00D311EE" w:rsidRDefault="00D311EE" w:rsidP="00D311EE">
      <w:pPr>
        <w:pStyle w:val="notepara"/>
      </w:pPr>
      <w:r>
        <w:t>(b)</w:t>
      </w:r>
      <w:r>
        <w:tab/>
      </w:r>
      <w:proofErr w:type="gramStart"/>
      <w:r>
        <w:t>batch</w:t>
      </w:r>
      <w:proofErr w:type="gramEnd"/>
      <w:r>
        <w:t>;</w:t>
      </w:r>
    </w:p>
    <w:p w:rsidR="00D311EE" w:rsidRDefault="00D311EE" w:rsidP="00D311EE">
      <w:pPr>
        <w:pStyle w:val="notepara"/>
      </w:pPr>
      <w:r>
        <w:t>(c)</w:t>
      </w:r>
      <w:r>
        <w:tab/>
        <w:t>British Pharmacopoeia;</w:t>
      </w:r>
    </w:p>
    <w:p w:rsidR="00D311EE" w:rsidRDefault="00D311EE" w:rsidP="00D311EE">
      <w:pPr>
        <w:pStyle w:val="notepara"/>
      </w:pPr>
      <w:r>
        <w:t>(d)</w:t>
      </w:r>
      <w:r>
        <w:tab/>
      </w:r>
      <w:proofErr w:type="gramStart"/>
      <w:r>
        <w:t>default</w:t>
      </w:r>
      <w:proofErr w:type="gramEnd"/>
      <w:r>
        <w:t xml:space="preserve"> standard;</w:t>
      </w:r>
    </w:p>
    <w:p w:rsidR="00D311EE" w:rsidRDefault="00D311EE" w:rsidP="00D311EE">
      <w:pPr>
        <w:pStyle w:val="notepara"/>
      </w:pPr>
      <w:r>
        <w:t>(e)</w:t>
      </w:r>
      <w:r>
        <w:tab/>
        <w:t>European Pharmacopoeia;</w:t>
      </w:r>
    </w:p>
    <w:p w:rsidR="00D311EE" w:rsidRDefault="00D311EE" w:rsidP="00D311EE">
      <w:pPr>
        <w:pStyle w:val="notepara"/>
      </w:pPr>
      <w:r>
        <w:t>(f)</w:t>
      </w:r>
      <w:r>
        <w:tab/>
      </w:r>
      <w:proofErr w:type="gramStart"/>
      <w:r>
        <w:t>label</w:t>
      </w:r>
      <w:proofErr w:type="gramEnd"/>
      <w:r>
        <w:t>;</w:t>
      </w:r>
    </w:p>
    <w:p w:rsidR="00D311EE" w:rsidRDefault="00D311EE" w:rsidP="00D311EE">
      <w:pPr>
        <w:pStyle w:val="notepara"/>
      </w:pPr>
      <w:r>
        <w:t>(g)</w:t>
      </w:r>
      <w:r>
        <w:tab/>
      </w:r>
      <w:proofErr w:type="gramStart"/>
      <w:r>
        <w:t>supply</w:t>
      </w:r>
      <w:proofErr w:type="gramEnd"/>
      <w:r>
        <w:t>; and</w:t>
      </w:r>
    </w:p>
    <w:p w:rsidR="00D311EE" w:rsidRPr="009C2562" w:rsidRDefault="00D311EE" w:rsidP="00D311EE">
      <w:pPr>
        <w:pStyle w:val="notepara"/>
      </w:pPr>
      <w:r>
        <w:t>(h)</w:t>
      </w:r>
      <w:r>
        <w:tab/>
        <w:t>United States Pharmacopoeia-National Formulary.</w:t>
      </w:r>
    </w:p>
    <w:p w:rsidR="00285E26" w:rsidRDefault="00073003" w:rsidP="00285E26">
      <w:pPr>
        <w:pStyle w:val="ItemHead"/>
      </w:pPr>
      <w:proofErr w:type="gramStart"/>
      <w:r>
        <w:t>3</w:t>
      </w:r>
      <w:r w:rsidR="00285E26">
        <w:t xml:space="preserve">  </w:t>
      </w:r>
      <w:r w:rsidR="00DD32C3">
        <w:t>Section</w:t>
      </w:r>
      <w:proofErr w:type="gramEnd"/>
      <w:r w:rsidR="00DD32C3">
        <w:t xml:space="preserve"> 4</w:t>
      </w:r>
    </w:p>
    <w:p w:rsidR="00285E26" w:rsidRDefault="00DD32C3" w:rsidP="00285E26">
      <w:pPr>
        <w:pStyle w:val="Item"/>
      </w:pPr>
      <w:r>
        <w:t>Insert:</w:t>
      </w:r>
    </w:p>
    <w:p w:rsidR="00C7631F" w:rsidRDefault="00C7631F" w:rsidP="00C7631F">
      <w:pPr>
        <w:pStyle w:val="Definition"/>
        <w:rPr>
          <w:b/>
          <w:i/>
        </w:rPr>
      </w:pPr>
      <w:proofErr w:type="gramStart"/>
      <w:r w:rsidRPr="00C0218B">
        <w:rPr>
          <w:b/>
          <w:i/>
        </w:rPr>
        <w:t>acceptable</w:t>
      </w:r>
      <w:proofErr w:type="gramEnd"/>
      <w:r w:rsidRPr="00C0218B">
        <w:rPr>
          <w:b/>
          <w:i/>
        </w:rPr>
        <w:t xml:space="preserve"> microbiological quality</w:t>
      </w:r>
      <w:r w:rsidRPr="00C0218B">
        <w:t xml:space="preserve">, in relation to water, means </w:t>
      </w:r>
      <w:r>
        <w:t xml:space="preserve">a </w:t>
      </w:r>
      <w:r w:rsidRPr="00EA0EE0">
        <w:t xml:space="preserve">microbial count that is less than 100 </w:t>
      </w:r>
      <w:r>
        <w:t xml:space="preserve">colony forming units </w:t>
      </w:r>
      <w:r w:rsidRPr="00EA0EE0">
        <w:t xml:space="preserve">per </w:t>
      </w:r>
      <w:proofErr w:type="spellStart"/>
      <w:r w:rsidRPr="00EA0EE0">
        <w:t>mL</w:t>
      </w:r>
      <w:r>
        <w:t>.</w:t>
      </w:r>
      <w:proofErr w:type="spellEnd"/>
    </w:p>
    <w:p w:rsidR="00C7631F" w:rsidRDefault="00C7631F" w:rsidP="00C7631F">
      <w:pPr>
        <w:pStyle w:val="Definition"/>
      </w:pPr>
      <w:proofErr w:type="gramStart"/>
      <w:r>
        <w:rPr>
          <w:b/>
          <w:i/>
        </w:rPr>
        <w:t>other</w:t>
      </w:r>
      <w:proofErr w:type="gramEnd"/>
      <w:r>
        <w:rPr>
          <w:b/>
          <w:i/>
        </w:rPr>
        <w:t xml:space="preserve"> purification process</w:t>
      </w:r>
      <w:r w:rsidRPr="00F814C2">
        <w:t>, in relation to water,</w:t>
      </w:r>
      <w:r w:rsidRPr="00F814C2">
        <w:rPr>
          <w:b/>
        </w:rPr>
        <w:t xml:space="preserve"> </w:t>
      </w:r>
      <w:r w:rsidRPr="00F814C2">
        <w:t>m</w:t>
      </w:r>
      <w:r w:rsidRPr="00567D84">
        <w:t>eans a process, such as reverse osmosis</w:t>
      </w:r>
      <w:r>
        <w:t>,</w:t>
      </w:r>
      <w:r w:rsidRPr="00567D84">
        <w:t xml:space="preserve"> that </w:t>
      </w:r>
      <w:r>
        <w:t xml:space="preserve">meets </w:t>
      </w:r>
      <w:r w:rsidRPr="00567D84">
        <w:t xml:space="preserve">the following </w:t>
      </w:r>
      <w:r>
        <w:t>requirements:</w:t>
      </w:r>
    </w:p>
    <w:p w:rsidR="00C7631F" w:rsidRDefault="00C7631F" w:rsidP="00C7631F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process is validated to produce and distribute water that is of acceptable chemical quality and acceptable microbiological quality; and</w:t>
      </w:r>
    </w:p>
    <w:p w:rsidR="00C7631F" w:rsidRPr="00F14E23" w:rsidRDefault="00C7631F" w:rsidP="00C7631F">
      <w:pPr>
        <w:pStyle w:val="paragraph"/>
        <w:rPr>
          <w:szCs w:val="22"/>
        </w:rPr>
      </w:pPr>
      <w:r>
        <w:tab/>
        <w:t>(b)</w:t>
      </w:r>
      <w:r>
        <w:tab/>
      </w:r>
      <w:proofErr w:type="gramStart"/>
      <w:r w:rsidRPr="000F735D">
        <w:rPr>
          <w:szCs w:val="22"/>
        </w:rPr>
        <w:t>regular</w:t>
      </w:r>
      <w:proofErr w:type="gramEnd"/>
      <w:r w:rsidRPr="000F735D">
        <w:rPr>
          <w:szCs w:val="22"/>
        </w:rPr>
        <w:t xml:space="preserve"> microbiological testing of the water is </w:t>
      </w:r>
      <w:r w:rsidRPr="00CF261C">
        <w:rPr>
          <w:szCs w:val="22"/>
        </w:rPr>
        <w:t>undertaken</w:t>
      </w:r>
      <w:r w:rsidRPr="00542318">
        <w:rPr>
          <w:szCs w:val="22"/>
        </w:rPr>
        <w:t>, including sampling at the point of use</w:t>
      </w:r>
      <w:r w:rsidRPr="00976AFA">
        <w:rPr>
          <w:szCs w:val="22"/>
        </w:rPr>
        <w:t xml:space="preserve">, using one of </w:t>
      </w:r>
      <w:r w:rsidRPr="00C35E88">
        <w:rPr>
          <w:szCs w:val="22"/>
        </w:rPr>
        <w:t xml:space="preserve">the </w:t>
      </w:r>
      <w:r w:rsidRPr="003B7F29">
        <w:rPr>
          <w:szCs w:val="22"/>
        </w:rPr>
        <w:t>following methods:</w:t>
      </w:r>
    </w:p>
    <w:p w:rsidR="00C7631F" w:rsidRPr="00155474" w:rsidRDefault="00C7631F" w:rsidP="00C7631F">
      <w:pPr>
        <w:pStyle w:val="paragraphsub"/>
        <w:rPr>
          <w:szCs w:val="22"/>
        </w:rPr>
      </w:pPr>
      <w:r w:rsidRPr="00F14E23">
        <w:rPr>
          <w:szCs w:val="22"/>
        </w:rPr>
        <w:tab/>
        <w:t>(</w:t>
      </w:r>
      <w:proofErr w:type="spellStart"/>
      <w:r w:rsidRPr="00F14E23">
        <w:rPr>
          <w:szCs w:val="22"/>
        </w:rPr>
        <w:t>i</w:t>
      </w:r>
      <w:proofErr w:type="spellEnd"/>
      <w:r w:rsidRPr="00F14E23">
        <w:rPr>
          <w:szCs w:val="22"/>
        </w:rPr>
        <w:t>)</w:t>
      </w:r>
      <w:r w:rsidRPr="00F14E23">
        <w:rPr>
          <w:szCs w:val="22"/>
        </w:rPr>
        <w:tab/>
        <w:t>filtration of a suitable sample size through a membrane of nominal pore size not greater than 0.45 µm, using R2A agar and incubating on a single plate at 30-35°C</w:t>
      </w:r>
      <w:r w:rsidRPr="00155474">
        <w:rPr>
          <w:szCs w:val="22"/>
        </w:rPr>
        <w:t xml:space="preserve"> for not less than 5 days; or</w:t>
      </w:r>
    </w:p>
    <w:p w:rsidR="00C7631F" w:rsidRPr="00C0218B" w:rsidRDefault="00C7631F" w:rsidP="00C7631F">
      <w:pPr>
        <w:pStyle w:val="paragraphsub"/>
        <w:rPr>
          <w:szCs w:val="22"/>
        </w:rPr>
      </w:pPr>
      <w:r w:rsidRPr="00155474">
        <w:rPr>
          <w:szCs w:val="22"/>
        </w:rPr>
        <w:tab/>
      </w:r>
      <w:r w:rsidRPr="00B04FE9">
        <w:rPr>
          <w:szCs w:val="22"/>
        </w:rPr>
        <w:t>(ii)</w:t>
      </w:r>
      <w:r w:rsidRPr="00B04FE9">
        <w:rPr>
          <w:szCs w:val="22"/>
        </w:rPr>
        <w:tab/>
        <w:t xml:space="preserve">filtration of a suitable sample size through a membrane of nominal pore size not greater than 0.45 µm, using R2A agar and incubating on separate plates at </w:t>
      </w:r>
      <w:r w:rsidRPr="00DE70B4">
        <w:rPr>
          <w:szCs w:val="22"/>
        </w:rPr>
        <w:t>35-37°C and 20-22°C for not less than 5 days.</w:t>
      </w:r>
    </w:p>
    <w:p w:rsidR="00B87AD4" w:rsidRDefault="00073003" w:rsidP="00B87AD4">
      <w:pPr>
        <w:pStyle w:val="ItemHead"/>
      </w:pPr>
      <w:bookmarkStart w:id="8" w:name="_Toc37162417"/>
      <w:bookmarkStart w:id="9" w:name="_Toc4068952"/>
      <w:proofErr w:type="gramStart"/>
      <w:r>
        <w:t>4</w:t>
      </w:r>
      <w:r w:rsidR="00B87AD4">
        <w:t xml:space="preserve">  </w:t>
      </w:r>
      <w:r w:rsidR="003D4220">
        <w:t>Before</w:t>
      </w:r>
      <w:proofErr w:type="gramEnd"/>
      <w:r w:rsidR="00B87AD4">
        <w:t xml:space="preserve"> section </w:t>
      </w:r>
      <w:r w:rsidR="003D4220">
        <w:t>5</w:t>
      </w:r>
    </w:p>
    <w:p w:rsidR="00B87AD4" w:rsidRPr="00B87AD4" w:rsidRDefault="00B87AD4" w:rsidP="00B87AD4">
      <w:pPr>
        <w:pStyle w:val="Item"/>
      </w:pPr>
      <w:r>
        <w:t>Insert:</w:t>
      </w:r>
    </w:p>
    <w:bookmarkEnd w:id="8"/>
    <w:bookmarkEnd w:id="9"/>
    <w:p w:rsidR="00C22014" w:rsidRPr="00C22014" w:rsidRDefault="00C22014" w:rsidP="00BB16BF">
      <w:pPr>
        <w:pStyle w:val="ItemHead"/>
        <w:keepNext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2</w:t>
      </w:r>
      <w:r w:rsidRPr="00C22014"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>Excluded goods</w:t>
      </w:r>
    </w:p>
    <w:p w:rsidR="00B87AD4" w:rsidRDefault="00073003" w:rsidP="00BB16BF">
      <w:pPr>
        <w:pStyle w:val="ItemHead"/>
      </w:pPr>
      <w:proofErr w:type="gramStart"/>
      <w:r>
        <w:lastRenderedPageBreak/>
        <w:t>5</w:t>
      </w:r>
      <w:r w:rsidR="00B87AD4">
        <w:t xml:space="preserve">  After</w:t>
      </w:r>
      <w:proofErr w:type="gramEnd"/>
      <w:r w:rsidR="00B87AD4">
        <w:t xml:space="preserve"> section 5</w:t>
      </w:r>
    </w:p>
    <w:p w:rsidR="00B87AD4" w:rsidRPr="00B87AD4" w:rsidRDefault="00B87AD4" w:rsidP="00BB16BF">
      <w:pPr>
        <w:pStyle w:val="Item"/>
        <w:keepNext/>
      </w:pPr>
      <w:r>
        <w:t>Insert:</w:t>
      </w:r>
    </w:p>
    <w:p w:rsidR="00C22014" w:rsidRPr="00C22014" w:rsidRDefault="00C22014" w:rsidP="00C22014">
      <w:pPr>
        <w:pStyle w:val="ItemHead"/>
        <w:rPr>
          <w:rFonts w:ascii="Times New Roman" w:hAnsi="Times New Roman"/>
          <w:sz w:val="32"/>
          <w:szCs w:val="32"/>
        </w:rPr>
      </w:pPr>
      <w:r w:rsidRPr="00AF7893">
        <w:rPr>
          <w:rFonts w:ascii="Times New Roman" w:hAnsi="Times New Roman"/>
          <w:sz w:val="32"/>
          <w:szCs w:val="32"/>
        </w:rPr>
        <w:t>Part 3—Application, saving and transitional provisions</w:t>
      </w:r>
    </w:p>
    <w:p w:rsidR="00206962" w:rsidRPr="00763FB3" w:rsidRDefault="00206962" w:rsidP="008E7C37">
      <w:pPr>
        <w:pStyle w:val="subsection"/>
        <w:rPr>
          <w:b/>
          <w:sz w:val="24"/>
          <w:szCs w:val="24"/>
        </w:rPr>
      </w:pPr>
      <w:proofErr w:type="gramStart"/>
      <w:r w:rsidRPr="00763FB3">
        <w:rPr>
          <w:b/>
          <w:sz w:val="24"/>
          <w:szCs w:val="24"/>
        </w:rPr>
        <w:t>6</w:t>
      </w:r>
      <w:r w:rsidR="00763FB3">
        <w:rPr>
          <w:b/>
          <w:sz w:val="24"/>
          <w:szCs w:val="24"/>
        </w:rPr>
        <w:t xml:space="preserve">  Transitional</w:t>
      </w:r>
      <w:proofErr w:type="gramEnd"/>
      <w:r w:rsidR="00763FB3">
        <w:rPr>
          <w:b/>
          <w:sz w:val="24"/>
          <w:szCs w:val="24"/>
        </w:rPr>
        <w:t xml:space="preserve"> provision</w:t>
      </w:r>
    </w:p>
    <w:p w:rsidR="00150CB2" w:rsidRPr="00150CB2" w:rsidRDefault="00150CB2" w:rsidP="00150CB2">
      <w:pPr>
        <w:pStyle w:val="subsection"/>
      </w:pPr>
      <w:r>
        <w:tab/>
        <w:t>(1)</w:t>
      </w:r>
      <w:r>
        <w:tab/>
      </w:r>
      <w:r w:rsidRPr="00150CB2">
        <w:t>In this section:</w:t>
      </w:r>
    </w:p>
    <w:p w:rsidR="00150CB2" w:rsidRPr="002A7152" w:rsidRDefault="0062290D" w:rsidP="00150CB2">
      <w:pPr>
        <w:pStyle w:val="Definition"/>
        <w:tabs>
          <w:tab w:val="left" w:pos="6946"/>
        </w:tabs>
      </w:pPr>
      <w:r>
        <w:rPr>
          <w:b/>
          <w:bCs/>
          <w:i/>
          <w:iCs/>
          <w:szCs w:val="22"/>
        </w:rPr>
        <w:t>A</w:t>
      </w:r>
      <w:r w:rsidR="00150CB2" w:rsidRPr="00150CB2">
        <w:rPr>
          <w:b/>
          <w:bCs/>
          <w:i/>
          <w:iCs/>
          <w:szCs w:val="22"/>
        </w:rPr>
        <w:t xml:space="preserve">mendment </w:t>
      </w:r>
      <w:r>
        <w:rPr>
          <w:b/>
          <w:bCs/>
          <w:i/>
          <w:iCs/>
          <w:szCs w:val="22"/>
        </w:rPr>
        <w:t>D</w:t>
      </w:r>
      <w:r w:rsidR="00150CB2" w:rsidRPr="00150CB2">
        <w:rPr>
          <w:b/>
          <w:bCs/>
          <w:i/>
          <w:iCs/>
          <w:szCs w:val="22"/>
        </w:rPr>
        <w:t>etermination</w:t>
      </w:r>
      <w:r w:rsidR="00150CB2">
        <w:rPr>
          <w:bCs/>
          <w:i/>
          <w:iCs/>
          <w:szCs w:val="22"/>
        </w:rPr>
        <w:t xml:space="preserve"> </w:t>
      </w:r>
      <w:r w:rsidR="00150CB2" w:rsidRPr="00792E0E">
        <w:rPr>
          <w:bCs/>
          <w:iCs/>
          <w:szCs w:val="22"/>
        </w:rPr>
        <w:t xml:space="preserve">means the </w:t>
      </w:r>
      <w:r w:rsidR="00150CB2" w:rsidRPr="00792E0E">
        <w:rPr>
          <w:bCs/>
          <w:i/>
          <w:iCs/>
          <w:szCs w:val="22"/>
        </w:rPr>
        <w:t>Therapeutic Goods Amendment (Excluded Goods—Hand Sanitisers) Determination (No. 2) 2020</w:t>
      </w:r>
      <w:r w:rsidR="00150CB2">
        <w:rPr>
          <w:bCs/>
          <w:iCs/>
          <w:szCs w:val="22"/>
        </w:rPr>
        <w:t>.</w:t>
      </w:r>
    </w:p>
    <w:p w:rsidR="00150CB2" w:rsidRPr="002A7152" w:rsidRDefault="00150CB2" w:rsidP="00150CB2">
      <w:pPr>
        <w:pStyle w:val="Definition"/>
        <w:tabs>
          <w:tab w:val="left" w:pos="6946"/>
        </w:tabs>
      </w:pPr>
      <w:proofErr w:type="gramStart"/>
      <w:r w:rsidRPr="00150CB2">
        <w:rPr>
          <w:b/>
          <w:bCs/>
          <w:i/>
          <w:iCs/>
          <w:szCs w:val="22"/>
        </w:rPr>
        <w:t>commencement</w:t>
      </w:r>
      <w:proofErr w:type="gramEnd"/>
      <w:r w:rsidRPr="00150CB2">
        <w:rPr>
          <w:b/>
          <w:bCs/>
          <w:i/>
          <w:iCs/>
          <w:szCs w:val="22"/>
        </w:rPr>
        <w:t xml:space="preserve"> date</w:t>
      </w:r>
      <w:r>
        <w:rPr>
          <w:bCs/>
          <w:i/>
          <w:iCs/>
          <w:szCs w:val="22"/>
        </w:rPr>
        <w:t xml:space="preserve"> </w:t>
      </w:r>
      <w:r>
        <w:rPr>
          <w:bCs/>
          <w:iCs/>
          <w:szCs w:val="22"/>
        </w:rPr>
        <w:t xml:space="preserve">means the day on which the </w:t>
      </w:r>
      <w:r w:rsidR="007A0725">
        <w:rPr>
          <w:bCs/>
          <w:iCs/>
          <w:szCs w:val="22"/>
        </w:rPr>
        <w:t>A</w:t>
      </w:r>
      <w:r w:rsidRPr="00150CB2">
        <w:rPr>
          <w:iCs/>
          <w:szCs w:val="22"/>
        </w:rPr>
        <w:t xml:space="preserve">mendment </w:t>
      </w:r>
      <w:r w:rsidR="007A0725">
        <w:rPr>
          <w:iCs/>
          <w:szCs w:val="22"/>
        </w:rPr>
        <w:t>D</w:t>
      </w:r>
      <w:r w:rsidRPr="00150CB2">
        <w:rPr>
          <w:iCs/>
          <w:szCs w:val="22"/>
        </w:rPr>
        <w:t>etermination</w:t>
      </w:r>
      <w:r>
        <w:rPr>
          <w:i/>
          <w:iCs/>
          <w:szCs w:val="22"/>
        </w:rPr>
        <w:t xml:space="preserve"> </w:t>
      </w:r>
      <w:r>
        <w:rPr>
          <w:iCs/>
          <w:szCs w:val="22"/>
        </w:rPr>
        <w:t>commences.</w:t>
      </w:r>
    </w:p>
    <w:p w:rsidR="00150CB2" w:rsidRPr="002A7152" w:rsidRDefault="0062290D" w:rsidP="00150CB2">
      <w:pPr>
        <w:pStyle w:val="Definition"/>
        <w:tabs>
          <w:tab w:val="left" w:pos="6946"/>
        </w:tabs>
      </w:pPr>
      <w:r>
        <w:rPr>
          <w:b/>
          <w:bCs/>
          <w:i/>
          <w:iCs/>
          <w:szCs w:val="22"/>
        </w:rPr>
        <w:t>F</w:t>
      </w:r>
      <w:r w:rsidR="00150CB2" w:rsidRPr="00150CB2">
        <w:rPr>
          <w:b/>
          <w:bCs/>
          <w:i/>
          <w:iCs/>
          <w:szCs w:val="22"/>
        </w:rPr>
        <w:t xml:space="preserve">ormer </w:t>
      </w:r>
      <w:r>
        <w:rPr>
          <w:b/>
          <w:bCs/>
          <w:i/>
          <w:iCs/>
          <w:szCs w:val="22"/>
        </w:rPr>
        <w:t>D</w:t>
      </w:r>
      <w:r w:rsidR="00150CB2" w:rsidRPr="00150CB2">
        <w:rPr>
          <w:b/>
          <w:bCs/>
          <w:i/>
          <w:iCs/>
          <w:szCs w:val="22"/>
        </w:rPr>
        <w:t>etermination</w:t>
      </w:r>
      <w:r w:rsidR="00150CB2" w:rsidRPr="00792E0E">
        <w:rPr>
          <w:bCs/>
          <w:i/>
          <w:iCs/>
          <w:szCs w:val="22"/>
        </w:rPr>
        <w:t xml:space="preserve"> </w:t>
      </w:r>
      <w:r w:rsidR="00150CB2" w:rsidRPr="00792E0E">
        <w:rPr>
          <w:szCs w:val="22"/>
        </w:rPr>
        <w:t>means</w:t>
      </w:r>
      <w:r w:rsidR="00150CB2" w:rsidRPr="00792E0E">
        <w:rPr>
          <w:bCs/>
          <w:szCs w:val="22"/>
        </w:rPr>
        <w:t xml:space="preserve"> </w:t>
      </w:r>
      <w:r w:rsidR="00150CB2" w:rsidRPr="00792E0E">
        <w:rPr>
          <w:szCs w:val="22"/>
        </w:rPr>
        <w:t xml:space="preserve">the </w:t>
      </w:r>
      <w:r w:rsidR="00150CB2" w:rsidRPr="00792E0E">
        <w:rPr>
          <w:i/>
          <w:iCs/>
          <w:szCs w:val="22"/>
        </w:rPr>
        <w:t>Therapeutic Goods (Excluded Goods—Hand Sanitiser) Determination 2020</w:t>
      </w:r>
      <w:r w:rsidR="00150CB2" w:rsidRPr="00792E0E">
        <w:rPr>
          <w:szCs w:val="22"/>
        </w:rPr>
        <w:t xml:space="preserve">, as in force immediately before the commencement </w:t>
      </w:r>
      <w:r w:rsidR="00150CB2">
        <w:rPr>
          <w:szCs w:val="22"/>
        </w:rPr>
        <w:t>date</w:t>
      </w:r>
      <w:r w:rsidR="00150CB2" w:rsidRPr="00792E0E">
        <w:rPr>
          <w:szCs w:val="22"/>
        </w:rPr>
        <w:t>.</w:t>
      </w:r>
    </w:p>
    <w:p w:rsidR="00150CB2" w:rsidRPr="002A7152" w:rsidRDefault="00150CB2" w:rsidP="00150CB2">
      <w:pPr>
        <w:pStyle w:val="Definition"/>
        <w:tabs>
          <w:tab w:val="left" w:pos="6946"/>
        </w:tabs>
      </w:pPr>
      <w:proofErr w:type="gramStart"/>
      <w:r w:rsidRPr="00150CB2">
        <w:rPr>
          <w:b/>
          <w:bCs/>
          <w:i/>
          <w:iCs/>
          <w:szCs w:val="22"/>
        </w:rPr>
        <w:t>transition</w:t>
      </w:r>
      <w:proofErr w:type="gramEnd"/>
      <w:r w:rsidRPr="00150CB2">
        <w:rPr>
          <w:b/>
          <w:bCs/>
          <w:i/>
          <w:iCs/>
          <w:szCs w:val="22"/>
        </w:rPr>
        <w:t xml:space="preserve"> period</w:t>
      </w:r>
      <w:r w:rsidRPr="00792E0E">
        <w:rPr>
          <w:szCs w:val="22"/>
        </w:rPr>
        <w:t xml:space="preserve"> means the period beginning on the commencement </w:t>
      </w:r>
      <w:r>
        <w:rPr>
          <w:szCs w:val="22"/>
        </w:rPr>
        <w:t xml:space="preserve">date </w:t>
      </w:r>
      <w:r w:rsidRPr="00792E0E">
        <w:rPr>
          <w:szCs w:val="22"/>
        </w:rPr>
        <w:t xml:space="preserve">and ending on </w:t>
      </w:r>
      <w:r>
        <w:rPr>
          <w:szCs w:val="22"/>
        </w:rPr>
        <w:t>30</w:t>
      </w:r>
      <w:r w:rsidRPr="00792E0E">
        <w:rPr>
          <w:szCs w:val="22"/>
        </w:rPr>
        <w:t xml:space="preserve"> </w:t>
      </w:r>
      <w:r>
        <w:rPr>
          <w:szCs w:val="22"/>
        </w:rPr>
        <w:t>June</w:t>
      </w:r>
      <w:r w:rsidRPr="00792E0E">
        <w:rPr>
          <w:szCs w:val="22"/>
        </w:rPr>
        <w:t xml:space="preserve"> 2020.</w:t>
      </w:r>
    </w:p>
    <w:p w:rsidR="00150CB2" w:rsidRPr="00150CB2" w:rsidRDefault="00150CB2" w:rsidP="00150CB2">
      <w:pPr>
        <w:pStyle w:val="subsection"/>
      </w:pPr>
      <w:r>
        <w:tab/>
        <w:t>(2)</w:t>
      </w:r>
      <w:r>
        <w:tab/>
      </w:r>
      <w:r w:rsidRPr="00150CB2">
        <w:t xml:space="preserve">Despite the </w:t>
      </w:r>
      <w:r w:rsidR="0062290D">
        <w:t>amendments made by the A</w:t>
      </w:r>
      <w:r w:rsidRPr="00150CB2">
        <w:t xml:space="preserve">mendment </w:t>
      </w:r>
      <w:r w:rsidR="0062290D">
        <w:t>D</w:t>
      </w:r>
      <w:r w:rsidRPr="00150CB2">
        <w:t xml:space="preserve">etermination, the Former Determination continues to apply for the duration of the transition period in relation to the manufacture and supply of goods specified in items 1 and 2 of the table in Schedule 1 to the </w:t>
      </w:r>
      <w:r w:rsidR="0062290D">
        <w:t>F</w:t>
      </w:r>
      <w:r w:rsidRPr="00150CB2">
        <w:t xml:space="preserve">ormer </w:t>
      </w:r>
      <w:r w:rsidR="0062290D">
        <w:t>D</w:t>
      </w:r>
      <w:r w:rsidRPr="00150CB2">
        <w:t>etermination.</w:t>
      </w:r>
    </w:p>
    <w:p w:rsidR="00EE3A86" w:rsidRDefault="00073003" w:rsidP="00EE3A86">
      <w:pPr>
        <w:pStyle w:val="ItemHead"/>
      </w:pPr>
      <w:proofErr w:type="gramStart"/>
      <w:r>
        <w:t>6</w:t>
      </w:r>
      <w:r w:rsidR="00EE3A86">
        <w:t xml:space="preserve">  Schedule</w:t>
      </w:r>
      <w:proofErr w:type="gramEnd"/>
      <w:r w:rsidR="00EE3A86">
        <w:t xml:space="preserve"> 1 </w:t>
      </w:r>
      <w:r w:rsidR="00EE3A86" w:rsidRPr="00B22958">
        <w:t>(table item 1, column 2</w:t>
      </w:r>
      <w:r w:rsidR="00B22958" w:rsidRPr="00B22958">
        <w:t>, subparagraph (a)(</w:t>
      </w:r>
      <w:proofErr w:type="spellStart"/>
      <w:r w:rsidR="00B22958" w:rsidRPr="00B22958">
        <w:t>i</w:t>
      </w:r>
      <w:proofErr w:type="spellEnd"/>
      <w:r w:rsidR="00B22958" w:rsidRPr="00B22958">
        <w:t>)</w:t>
      </w:r>
      <w:r w:rsidR="00EE3A86" w:rsidRPr="00B22958">
        <w:t>)</w:t>
      </w:r>
    </w:p>
    <w:p w:rsidR="00DE3788" w:rsidRPr="00B92216" w:rsidRDefault="00B22958" w:rsidP="00B92216">
      <w:pPr>
        <w:pStyle w:val="Item"/>
      </w:pPr>
      <w:r w:rsidRPr="00B22958">
        <w:t>After “solution”</w:t>
      </w:r>
      <w:r w:rsidR="00D836F4">
        <w:t>,</w:t>
      </w:r>
      <w:r w:rsidRPr="00B22958">
        <w:t xml:space="preserve"> </w:t>
      </w:r>
      <w:r w:rsidRPr="00C7631F">
        <w:t>insert</w:t>
      </w:r>
      <w:r w:rsidR="00B92216" w:rsidRPr="00C7631F">
        <w:t xml:space="preserve"> “</w:t>
      </w:r>
      <w:r w:rsidR="00C7631F" w:rsidRPr="00C7631F">
        <w:t xml:space="preserve">that may contain a denaturant such as </w:t>
      </w:r>
      <w:proofErr w:type="spellStart"/>
      <w:r w:rsidR="00C7631F" w:rsidRPr="00C7631F">
        <w:t>denatonium</w:t>
      </w:r>
      <w:proofErr w:type="spellEnd"/>
      <w:r w:rsidR="00C7631F" w:rsidRPr="00C7631F">
        <w:t xml:space="preserve"> benzoate (NLT 5ppm), sucrose </w:t>
      </w:r>
      <w:proofErr w:type="spellStart"/>
      <w:r w:rsidR="00C7631F" w:rsidRPr="00C7631F">
        <w:t>octaacetate</w:t>
      </w:r>
      <w:proofErr w:type="spellEnd"/>
      <w:r w:rsidR="00C7631F" w:rsidRPr="00C7631F">
        <w:t xml:space="preserve"> (0.12%w/v) or tertiary butyl alcohol (0.25%v/v)</w:t>
      </w:r>
      <w:r w:rsidR="00B92216" w:rsidRPr="00C7631F">
        <w:t>”.</w:t>
      </w:r>
    </w:p>
    <w:p w:rsidR="00285E26" w:rsidRDefault="00073003" w:rsidP="00285E26">
      <w:pPr>
        <w:pStyle w:val="ItemHead"/>
      </w:pPr>
      <w:proofErr w:type="gramStart"/>
      <w:r>
        <w:t>7</w:t>
      </w:r>
      <w:r w:rsidR="00285E26">
        <w:t xml:space="preserve">  Schedule</w:t>
      </w:r>
      <w:proofErr w:type="gramEnd"/>
      <w:r w:rsidR="00285E26">
        <w:t xml:space="preserve"> 1 (table</w:t>
      </w:r>
      <w:r w:rsidR="00CE5C7C">
        <w:t xml:space="preserve"> item 1, column 2, subparagraph (a)(ii)</w:t>
      </w:r>
      <w:r w:rsidR="00285E26">
        <w:t>)</w:t>
      </w:r>
    </w:p>
    <w:p w:rsidR="00285E26" w:rsidRDefault="00285E26" w:rsidP="00285E26">
      <w:pPr>
        <w:pStyle w:val="Item"/>
      </w:pPr>
      <w:r>
        <w:t xml:space="preserve">Repeal the </w:t>
      </w:r>
      <w:r w:rsidR="00CE5C7C">
        <w:t>subparagraph</w:t>
      </w:r>
      <w:r>
        <w:t>, substitute:</w:t>
      </w:r>
    </w:p>
    <w:p w:rsidR="00FE5184" w:rsidRPr="00C7631F" w:rsidRDefault="00CE5C7C" w:rsidP="00C7631F">
      <w:pPr>
        <w:pStyle w:val="Tabletext"/>
        <w:ind w:left="1448" w:right="4202" w:hanging="426"/>
      </w:pPr>
      <w:r w:rsidRPr="00AF7893">
        <w:t>(ii)</w:t>
      </w:r>
      <w:r w:rsidRPr="00AF7893">
        <w:tab/>
      </w:r>
      <w:proofErr w:type="gramStart"/>
      <w:r w:rsidR="00C7631F" w:rsidRPr="00AF7893">
        <w:t>purified</w:t>
      </w:r>
      <w:proofErr w:type="gramEnd"/>
      <w:r w:rsidR="00C7631F" w:rsidRPr="00AF7893">
        <w:t xml:space="preserve"> water derived from potable water that has been rendered sterile or otherwise purified by boiling, distillation or other purification process</w:t>
      </w:r>
      <w:r w:rsidRPr="00AF7893">
        <w:t>;</w:t>
      </w:r>
    </w:p>
    <w:p w:rsidR="00CE5C7C" w:rsidRDefault="00073003" w:rsidP="00CE5C7C">
      <w:pPr>
        <w:pStyle w:val="ItemHead"/>
      </w:pPr>
      <w:proofErr w:type="gramStart"/>
      <w:r>
        <w:t>8</w:t>
      </w:r>
      <w:r w:rsidR="00CE5C7C">
        <w:t xml:space="preserve">  Schedule</w:t>
      </w:r>
      <w:proofErr w:type="gramEnd"/>
      <w:r w:rsidR="00CE5C7C">
        <w:t xml:space="preserve"> 1 (table item 1, column 2, subparagraph (a)(ii</w:t>
      </w:r>
      <w:r w:rsidR="004037AD">
        <w:t>i</w:t>
      </w:r>
      <w:r w:rsidR="00CE5C7C">
        <w:t>))</w:t>
      </w:r>
    </w:p>
    <w:p w:rsidR="00CE5C7C" w:rsidRPr="00E7697B" w:rsidRDefault="004037AD" w:rsidP="004037AD">
      <w:pPr>
        <w:pStyle w:val="Item"/>
      </w:pPr>
      <w:r>
        <w:t>After “grade”, insert “or food standard grade”.</w:t>
      </w:r>
    </w:p>
    <w:p w:rsidR="00CE5C7C" w:rsidRDefault="00BB16BF" w:rsidP="00CE5C7C">
      <w:pPr>
        <w:pStyle w:val="ItemHead"/>
      </w:pPr>
      <w:proofErr w:type="gramStart"/>
      <w:r>
        <w:t>9</w:t>
      </w:r>
      <w:r w:rsidR="00CE5C7C">
        <w:t xml:space="preserve">  Schedule</w:t>
      </w:r>
      <w:proofErr w:type="gramEnd"/>
      <w:r w:rsidR="00CE5C7C">
        <w:t xml:space="preserve"> 1 (table i</w:t>
      </w:r>
      <w:r w:rsidR="00FE5184">
        <w:t xml:space="preserve">tem 1, column 2, after </w:t>
      </w:r>
      <w:r w:rsidR="00CE5C7C">
        <w:t>paragraph (</w:t>
      </w:r>
      <w:r w:rsidR="00FE5184">
        <w:t>b))</w:t>
      </w:r>
    </w:p>
    <w:p w:rsidR="00CE5C7C" w:rsidRDefault="00FE5184" w:rsidP="00CE5C7C">
      <w:pPr>
        <w:pStyle w:val="Item"/>
      </w:pPr>
      <w:r>
        <w:t>Insert:</w:t>
      </w:r>
    </w:p>
    <w:p w:rsidR="00FE5184" w:rsidRPr="0009432B" w:rsidRDefault="00FE5184" w:rsidP="00FE5184">
      <w:pPr>
        <w:pStyle w:val="Tabletext"/>
        <w:ind w:left="1022" w:right="4202" w:hanging="511"/>
        <w:rPr>
          <w:highlight w:val="yellow"/>
        </w:rPr>
      </w:pPr>
      <w:r>
        <w:t>(</w:t>
      </w:r>
      <w:proofErr w:type="spellStart"/>
      <w:r>
        <w:t>ba</w:t>
      </w:r>
      <w:proofErr w:type="spellEnd"/>
      <w:r>
        <w:t>)</w:t>
      </w:r>
      <w:r>
        <w:tab/>
      </w:r>
      <w:r w:rsidR="00F7115E" w:rsidRPr="00F7115E">
        <w:t>the purified water specified in subparagraph (a)(ii) is used as soon as practicable following purification to maintain the acceptable chemical quality, and the acceptable microbiological quality, of the water</w:t>
      </w:r>
      <w:r w:rsidR="00F7115E">
        <w:t>;</w:t>
      </w:r>
    </w:p>
    <w:p w:rsidR="001A1970" w:rsidRDefault="00BB16BF" w:rsidP="00BB16BF">
      <w:pPr>
        <w:pStyle w:val="ItemHead"/>
      </w:pPr>
      <w:proofErr w:type="gramStart"/>
      <w:r>
        <w:lastRenderedPageBreak/>
        <w:t>10</w:t>
      </w:r>
      <w:r w:rsidR="001A1970">
        <w:t xml:space="preserve">  Schedule</w:t>
      </w:r>
      <w:proofErr w:type="gramEnd"/>
      <w:r w:rsidR="001A1970">
        <w:t xml:space="preserve"> 1 (table item 1, column 2, paragraph (d))</w:t>
      </w:r>
    </w:p>
    <w:p w:rsidR="001A1970" w:rsidRPr="00E7697B" w:rsidRDefault="001A1970" w:rsidP="00BB16BF">
      <w:pPr>
        <w:pStyle w:val="Item"/>
        <w:keepNext/>
      </w:pPr>
      <w:r>
        <w:t>After “paragraphs (a), (b),</w:t>
      </w:r>
      <w:proofErr w:type="gramStart"/>
      <w:r>
        <w:t>”,</w:t>
      </w:r>
      <w:proofErr w:type="gramEnd"/>
      <w:r>
        <w:t xml:space="preserve"> insert “(</w:t>
      </w:r>
      <w:proofErr w:type="spellStart"/>
      <w:r>
        <w:t>ba</w:t>
      </w:r>
      <w:proofErr w:type="spellEnd"/>
      <w:r>
        <w:t>)”.</w:t>
      </w:r>
    </w:p>
    <w:p w:rsidR="00CE5C7C" w:rsidRPr="00A46BEB" w:rsidRDefault="00073003" w:rsidP="00172714">
      <w:pPr>
        <w:pStyle w:val="ItemHead"/>
      </w:pPr>
      <w:proofErr w:type="gramStart"/>
      <w:r>
        <w:t>11</w:t>
      </w:r>
      <w:r w:rsidR="00CE5C7C" w:rsidRPr="00A46BEB">
        <w:t xml:space="preserve">  Schedule</w:t>
      </w:r>
      <w:proofErr w:type="gramEnd"/>
      <w:r w:rsidR="00CE5C7C" w:rsidRPr="00A46BEB">
        <w:t xml:space="preserve"> 1 (</w:t>
      </w:r>
      <w:r w:rsidR="006C55C7">
        <w:t xml:space="preserve">cell at </w:t>
      </w:r>
      <w:r w:rsidR="00CE5C7C" w:rsidRPr="00A46BEB">
        <w:t xml:space="preserve">table item 1, column </w:t>
      </w:r>
      <w:r w:rsidR="00A46BEB" w:rsidRPr="00A46BEB">
        <w:t>3</w:t>
      </w:r>
      <w:r w:rsidR="00A46BEB">
        <w:t>)</w:t>
      </w:r>
    </w:p>
    <w:p w:rsidR="00CE5C7C" w:rsidRDefault="006C55C7" w:rsidP="00172714">
      <w:pPr>
        <w:pStyle w:val="Item"/>
        <w:keepNext/>
      </w:pPr>
      <w:r w:rsidRPr="00437776">
        <w:t>Repeal the cell, substitute:</w:t>
      </w:r>
    </w:p>
    <w:tbl>
      <w:tblPr>
        <w:tblpPr w:leftFromText="180" w:rightFromText="180" w:vertAnchor="text" w:tblpY="1"/>
        <w:tblOverlap w:val="never"/>
        <w:tblW w:w="6395" w:type="pct"/>
        <w:tblLook w:val="04A0" w:firstRow="1" w:lastRow="0" w:firstColumn="1" w:lastColumn="0" w:noHBand="0" w:noVBand="1"/>
      </w:tblPr>
      <w:tblGrid>
        <w:gridCol w:w="10632"/>
      </w:tblGrid>
      <w:tr w:rsidR="00437776" w:rsidTr="00437776">
        <w:trPr>
          <w:trHeight w:val="283"/>
        </w:trPr>
        <w:tc>
          <w:tcPr>
            <w:tcW w:w="5000" w:type="pct"/>
            <w:hideMark/>
          </w:tcPr>
          <w:p w:rsidR="00266D42" w:rsidRPr="00266D42" w:rsidRDefault="00266D42" w:rsidP="00266D42">
            <w:pPr>
              <w:pStyle w:val="Tabletext"/>
              <w:tabs>
                <w:tab w:val="left" w:pos="362"/>
              </w:tabs>
              <w:ind w:left="2158" w:right="4566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when:</w:t>
            </w:r>
          </w:p>
          <w:p w:rsidR="00266D42" w:rsidRDefault="00266D42" w:rsidP="00266D42">
            <w:pPr>
              <w:pStyle w:val="Tabletext"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(a)</w:t>
            </w:r>
            <w:r w:rsidRPr="00266D42">
              <w:rPr>
                <w:szCs w:val="22"/>
                <w:lang w:eastAsia="en-US"/>
              </w:rPr>
              <w:tab/>
              <w:t>presented for supply with the front and back labels set out in Part 1 of Schedule 2 attached to the goods, and not presented for supply in any other way, with the following exceptions: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</w:t>
            </w:r>
            <w:proofErr w:type="spellStart"/>
            <w:r w:rsidRPr="00266D42">
              <w:rPr>
                <w:szCs w:val="22"/>
                <w:lang w:eastAsia="en-US"/>
              </w:rPr>
              <w:t>i</w:t>
            </w:r>
            <w:proofErr w:type="spellEnd"/>
            <w:r w:rsidRPr="00266D42">
              <w:rPr>
                <w:szCs w:val="22"/>
                <w:lang w:eastAsia="en-US"/>
              </w:rPr>
              <w:t>)</w:t>
            </w:r>
            <w:r w:rsidRPr="00266D42">
              <w:rPr>
                <w:szCs w:val="22"/>
                <w:lang w:eastAsia="en-US"/>
              </w:rPr>
              <w:tab/>
              <w:t xml:space="preserve">the labels may include a business name or logo of the manufacturer or supplier, and a trade name for the goods, neither of which may suggest or imply </w:t>
            </w:r>
            <w:r w:rsidR="0062290D">
              <w:rPr>
                <w:szCs w:val="22"/>
                <w:lang w:eastAsia="en-US"/>
              </w:rPr>
              <w:t xml:space="preserve">that </w:t>
            </w:r>
            <w:r w:rsidRPr="00266D42">
              <w:rPr>
                <w:szCs w:val="22"/>
                <w:lang w:eastAsia="en-US"/>
              </w:rPr>
              <w:t>the goods have been recommended or approved by or on behalf of a gove</w:t>
            </w:r>
            <w:r>
              <w:rPr>
                <w:szCs w:val="22"/>
                <w:lang w:eastAsia="en-US"/>
              </w:rPr>
              <w:t>rnment or government authority;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(ii)</w:t>
            </w:r>
            <w:r w:rsidRPr="00266D42">
              <w:rPr>
                <w:szCs w:val="22"/>
                <w:lang w:eastAsia="en-US"/>
              </w:rPr>
              <w:tab/>
              <w:t>the labels may include a batch number;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(iii)</w:t>
            </w:r>
            <w:r w:rsidRPr="00266D42">
              <w:rPr>
                <w:szCs w:val="22"/>
                <w:lang w:eastAsia="en-US"/>
              </w:rPr>
              <w:tab/>
              <w:t>the labels may include an expiry date, which must not be more than 36 months after the completion of the manufacture of the goods;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(iv)</w:t>
            </w:r>
            <w:r w:rsidRPr="00266D42">
              <w:rPr>
                <w:szCs w:val="22"/>
                <w:lang w:eastAsia="en-US"/>
              </w:rPr>
              <w:tab/>
              <w:t xml:space="preserve">the labels may state that the formulation of the goods is based on the </w:t>
            </w:r>
            <w:proofErr w:type="spellStart"/>
            <w:r w:rsidR="00B92833" w:rsidRPr="00266D42">
              <w:rPr>
                <w:szCs w:val="22"/>
                <w:lang w:eastAsia="en-US"/>
              </w:rPr>
              <w:t>handrub</w:t>
            </w:r>
            <w:proofErr w:type="spellEnd"/>
            <w:r w:rsidR="00FB1A90">
              <w:rPr>
                <w:szCs w:val="22"/>
                <w:lang w:eastAsia="en-US"/>
              </w:rPr>
              <w:t xml:space="preserve"> formulation</w:t>
            </w:r>
            <w:r w:rsidR="00291387">
              <w:rPr>
                <w:szCs w:val="22"/>
                <w:lang w:eastAsia="en-US"/>
              </w:rPr>
              <w:t xml:space="preserve"> of the World Health Organization</w:t>
            </w:r>
            <w:r w:rsidR="00D8404E">
              <w:rPr>
                <w:szCs w:val="22"/>
                <w:lang w:eastAsia="en-US"/>
              </w:rPr>
              <w:t>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(v)</w:t>
            </w:r>
            <w:r w:rsidRPr="00266D42">
              <w:rPr>
                <w:szCs w:val="22"/>
                <w:lang w:eastAsia="en-US"/>
              </w:rPr>
              <w:tab/>
              <w:t>the labels may include any caution, warning or other marking that relates to the safe use, transpor</w:t>
            </w:r>
            <w:r w:rsidR="00D8404E">
              <w:rPr>
                <w:szCs w:val="22"/>
                <w:lang w:eastAsia="en-US"/>
              </w:rPr>
              <w:t>tation or storage of the goods;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(vi)</w:t>
            </w:r>
            <w:r w:rsidRPr="00266D42">
              <w:rPr>
                <w:szCs w:val="22"/>
                <w:lang w:eastAsia="en-US"/>
              </w:rPr>
              <w:tab/>
              <w:t>the l</w:t>
            </w:r>
            <w:r w:rsidR="00D8404E">
              <w:rPr>
                <w:szCs w:val="22"/>
                <w:lang w:eastAsia="en-US"/>
              </w:rPr>
              <w:t>abels may be printed in colour;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(vii)</w:t>
            </w:r>
            <w:r w:rsidRPr="00266D42">
              <w:rPr>
                <w:szCs w:val="22"/>
                <w:lang w:eastAsia="en-US"/>
              </w:rPr>
              <w:tab/>
              <w:t xml:space="preserve">the front and back labels may be combined into a single label or may otherwise be co-located on the goods; </w:t>
            </w:r>
            <w:r w:rsidRPr="00D8404E">
              <w:rPr>
                <w:szCs w:val="22"/>
                <w:lang w:eastAsia="en-US"/>
              </w:rPr>
              <w:t>and</w:t>
            </w:r>
          </w:p>
          <w:p w:rsidR="00266D42" w:rsidRDefault="00266D42" w:rsidP="00266D42">
            <w:pPr>
              <w:pStyle w:val="Tabletext"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(b)</w:t>
            </w:r>
            <w:r w:rsidRPr="00266D42">
              <w:rPr>
                <w:szCs w:val="22"/>
                <w:lang w:eastAsia="en-US"/>
              </w:rPr>
              <w:tab/>
              <w:t xml:space="preserve">not presented for supply in a </w:t>
            </w:r>
            <w:r w:rsidR="00D50A28">
              <w:rPr>
                <w:szCs w:val="22"/>
                <w:lang w:eastAsia="en-US"/>
              </w:rPr>
              <w:t xml:space="preserve">way that is likely to result in the goods being mistaken for or </w:t>
            </w:r>
            <w:r w:rsidR="00D50A28">
              <w:rPr>
                <w:szCs w:val="22"/>
                <w:lang w:eastAsia="en-US"/>
              </w:rPr>
              <w:lastRenderedPageBreak/>
              <w:t>confused with food or beverages</w:t>
            </w:r>
            <w:r w:rsidRPr="00266D42">
              <w:rPr>
                <w:szCs w:val="22"/>
                <w:lang w:eastAsia="en-US"/>
              </w:rPr>
              <w:t>; and</w:t>
            </w:r>
          </w:p>
          <w:p w:rsidR="00266D42" w:rsidRDefault="00266D42" w:rsidP="00266D42">
            <w:pPr>
              <w:pStyle w:val="Tabletext"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(c)</w:t>
            </w:r>
            <w:r w:rsidRPr="00266D42">
              <w:rPr>
                <w:szCs w:val="22"/>
                <w:lang w:eastAsia="en-US"/>
              </w:rPr>
              <w:tab/>
              <w:t>advertised in a manner that is consistent with the matters specified in paragraph (a) and not advertised in any other way with the following exceptions:</w:t>
            </w:r>
          </w:p>
          <w:p w:rsidR="00266D42" w:rsidRDefault="00266D42" w:rsidP="00266D42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</w:t>
            </w:r>
            <w:proofErr w:type="spellStart"/>
            <w:r w:rsidRPr="00266D42">
              <w:rPr>
                <w:szCs w:val="22"/>
                <w:lang w:eastAsia="en-US"/>
              </w:rPr>
              <w:t>i</w:t>
            </w:r>
            <w:proofErr w:type="spellEnd"/>
            <w:r w:rsidRPr="00266D42">
              <w:rPr>
                <w:szCs w:val="22"/>
                <w:lang w:eastAsia="en-US"/>
              </w:rPr>
              <w:t>)</w:t>
            </w:r>
            <w:r w:rsidRPr="00266D42">
              <w:rPr>
                <w:szCs w:val="22"/>
                <w:lang w:eastAsia="en-US"/>
              </w:rPr>
              <w:tab/>
              <w:t xml:space="preserve">an advertisement in relation to the goods may include </w:t>
            </w:r>
            <w:r w:rsidR="00FB1A90">
              <w:rPr>
                <w:szCs w:val="22"/>
                <w:lang w:eastAsia="en-US"/>
              </w:rPr>
              <w:t>information</w:t>
            </w:r>
            <w:r w:rsidRPr="00266D42">
              <w:rPr>
                <w:szCs w:val="22"/>
                <w:lang w:eastAsia="en-US"/>
              </w:rPr>
              <w:t xml:space="preserve"> as to wh</w:t>
            </w:r>
            <w:r w:rsidR="00D8404E">
              <w:rPr>
                <w:szCs w:val="22"/>
                <w:lang w:eastAsia="en-US"/>
              </w:rPr>
              <w:t>ere the goods may be purchased;</w:t>
            </w:r>
          </w:p>
          <w:p w:rsidR="00437776" w:rsidRDefault="00266D42" w:rsidP="004D33F8">
            <w:pPr>
              <w:pStyle w:val="Tabletext"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(ii)</w:t>
            </w:r>
            <w:r w:rsidRPr="00266D42">
              <w:rPr>
                <w:szCs w:val="22"/>
                <w:lang w:eastAsia="en-US"/>
              </w:rPr>
              <w:tab/>
              <w:t>an advertisement in relation to the goods may include price</w:t>
            </w:r>
            <w:r w:rsidR="00B92833">
              <w:rPr>
                <w:szCs w:val="22"/>
                <w:lang w:eastAsia="en-US"/>
              </w:rPr>
              <w:t xml:space="preserve"> information</w:t>
            </w:r>
          </w:p>
        </w:tc>
      </w:tr>
    </w:tbl>
    <w:p w:rsidR="00CE5C7C" w:rsidRPr="00172714" w:rsidRDefault="00073003" w:rsidP="00CE5C7C">
      <w:pPr>
        <w:pStyle w:val="ItemHead"/>
      </w:pPr>
      <w:proofErr w:type="gramStart"/>
      <w:r>
        <w:lastRenderedPageBreak/>
        <w:t>12</w:t>
      </w:r>
      <w:r w:rsidR="00CE5C7C" w:rsidRPr="00172714">
        <w:t xml:space="preserve">  Schedule</w:t>
      </w:r>
      <w:proofErr w:type="gramEnd"/>
      <w:r w:rsidR="00CE5C7C" w:rsidRPr="00172714">
        <w:t xml:space="preserve"> 1 (table i</w:t>
      </w:r>
      <w:r w:rsidR="009027BD" w:rsidRPr="00172714">
        <w:t>tem 2</w:t>
      </w:r>
      <w:r w:rsidR="00CE5C7C" w:rsidRPr="00172714">
        <w:t>, column 2, subparagraph (a)(ii))</w:t>
      </w:r>
    </w:p>
    <w:p w:rsidR="00A80B3E" w:rsidRDefault="00A80B3E" w:rsidP="00A80B3E">
      <w:pPr>
        <w:pStyle w:val="Item"/>
      </w:pPr>
      <w:r>
        <w:t>Repeal the subparagraph, substitute:</w:t>
      </w:r>
    </w:p>
    <w:p w:rsidR="00A80B3E" w:rsidRPr="00C7631F" w:rsidRDefault="00A80B3E" w:rsidP="00A80B3E">
      <w:pPr>
        <w:pStyle w:val="Tabletext"/>
        <w:ind w:left="1448" w:right="4202" w:hanging="426"/>
      </w:pPr>
      <w:r w:rsidRPr="00AF7893">
        <w:t>(ii)</w:t>
      </w:r>
      <w:r w:rsidRPr="00AF7893">
        <w:tab/>
      </w:r>
      <w:proofErr w:type="gramStart"/>
      <w:r w:rsidRPr="00AF7893">
        <w:t>purified</w:t>
      </w:r>
      <w:proofErr w:type="gramEnd"/>
      <w:r w:rsidRPr="00AF7893">
        <w:t xml:space="preserve"> water derived from potable water that has been rendered sterile or </w:t>
      </w:r>
      <w:r w:rsidR="00AF7893" w:rsidRPr="00AF7893">
        <w:t xml:space="preserve">otherwise </w:t>
      </w:r>
      <w:r w:rsidRPr="00AF7893">
        <w:t>purified by boiling, distillation or other purification process;</w:t>
      </w:r>
    </w:p>
    <w:p w:rsidR="00B22958" w:rsidRDefault="00073003" w:rsidP="00B22958">
      <w:pPr>
        <w:pStyle w:val="ItemHead"/>
      </w:pPr>
      <w:proofErr w:type="gramStart"/>
      <w:r>
        <w:t>13</w:t>
      </w:r>
      <w:r w:rsidR="00B22958">
        <w:t xml:space="preserve">  Schedule</w:t>
      </w:r>
      <w:proofErr w:type="gramEnd"/>
      <w:r w:rsidR="00B22958">
        <w:t xml:space="preserve"> 1 (table item 2, column 2, subparagraph (a)(iii))</w:t>
      </w:r>
    </w:p>
    <w:p w:rsidR="00B22958" w:rsidRDefault="00B22958" w:rsidP="00B22958">
      <w:pPr>
        <w:pStyle w:val="Item"/>
      </w:pPr>
      <w:r>
        <w:t>After “grade”, insert “or food standard grade”.</w:t>
      </w:r>
    </w:p>
    <w:p w:rsidR="00B22958" w:rsidRDefault="004268E0" w:rsidP="00B22958">
      <w:pPr>
        <w:pStyle w:val="ItemHead"/>
      </w:pPr>
      <w:proofErr w:type="gramStart"/>
      <w:r>
        <w:t>1</w:t>
      </w:r>
      <w:r w:rsidR="00BB16BF">
        <w:t>4</w:t>
      </w:r>
      <w:r w:rsidR="00B22958">
        <w:t xml:space="preserve">  Schedule</w:t>
      </w:r>
      <w:proofErr w:type="gramEnd"/>
      <w:r w:rsidR="00B22958">
        <w:t xml:space="preserve"> 1 (table item 2, column 2, after paragraph (b))</w:t>
      </w:r>
    </w:p>
    <w:p w:rsidR="00B22958" w:rsidRDefault="00B22958" w:rsidP="00B22958">
      <w:pPr>
        <w:pStyle w:val="Item"/>
      </w:pPr>
      <w:r>
        <w:t>Insert:</w:t>
      </w:r>
    </w:p>
    <w:p w:rsidR="00B22958" w:rsidRPr="00A80B3E" w:rsidRDefault="00B22958" w:rsidP="00B22958">
      <w:pPr>
        <w:pStyle w:val="Tabletext"/>
        <w:ind w:left="1022" w:right="4202" w:hanging="511"/>
      </w:pPr>
      <w:r>
        <w:t>(</w:t>
      </w:r>
      <w:proofErr w:type="spellStart"/>
      <w:r>
        <w:t>ba</w:t>
      </w:r>
      <w:proofErr w:type="spellEnd"/>
      <w:r>
        <w:t>)</w:t>
      </w:r>
      <w:r>
        <w:tab/>
      </w:r>
      <w:r w:rsidR="00A80B3E" w:rsidRPr="00A80B3E">
        <w:t>the purified water specified in subparagraph (a)(ii) is used as soon as practicable following purification to maintain the acceptable chemical quality, and the acceptable microbiological quality, of the water</w:t>
      </w:r>
      <w:r w:rsidR="00A80B3E">
        <w:t>;</w:t>
      </w:r>
    </w:p>
    <w:p w:rsidR="00A80B3E" w:rsidRDefault="00BB16BF" w:rsidP="00A80B3E">
      <w:pPr>
        <w:pStyle w:val="ItemHead"/>
      </w:pPr>
      <w:proofErr w:type="gramStart"/>
      <w:r>
        <w:t>15</w:t>
      </w:r>
      <w:r w:rsidR="00A80B3E">
        <w:t xml:space="preserve">  Schedule</w:t>
      </w:r>
      <w:proofErr w:type="gramEnd"/>
      <w:r w:rsidR="00A80B3E">
        <w:t xml:space="preserve"> 1 (table item 2, column 2, paragraph (d))</w:t>
      </w:r>
    </w:p>
    <w:p w:rsidR="00A80B3E" w:rsidRPr="00E7697B" w:rsidRDefault="00A80B3E" w:rsidP="00A80B3E">
      <w:pPr>
        <w:pStyle w:val="Item"/>
      </w:pPr>
      <w:r>
        <w:t>After “paragraphs (a), (b),</w:t>
      </w:r>
      <w:proofErr w:type="gramStart"/>
      <w:r>
        <w:t>”,</w:t>
      </w:r>
      <w:proofErr w:type="gramEnd"/>
      <w:r>
        <w:t xml:space="preserve"> insert “(</w:t>
      </w:r>
      <w:proofErr w:type="spellStart"/>
      <w:r>
        <w:t>ba</w:t>
      </w:r>
      <w:proofErr w:type="spellEnd"/>
      <w:r>
        <w:t>)”.</w:t>
      </w:r>
    </w:p>
    <w:p w:rsidR="00223977" w:rsidRPr="00A46BEB" w:rsidRDefault="00223977" w:rsidP="00BB16BF">
      <w:pPr>
        <w:pStyle w:val="ItemHead"/>
        <w:pageBreakBefore/>
      </w:pPr>
      <w:proofErr w:type="gramStart"/>
      <w:r>
        <w:lastRenderedPageBreak/>
        <w:t>1</w:t>
      </w:r>
      <w:r w:rsidR="00073003">
        <w:t>6</w:t>
      </w:r>
      <w:r w:rsidRPr="00A46BEB">
        <w:t xml:space="preserve">  Schedule</w:t>
      </w:r>
      <w:proofErr w:type="gramEnd"/>
      <w:r w:rsidRPr="00A46BEB">
        <w:t xml:space="preserve"> 1 (</w:t>
      </w:r>
      <w:r>
        <w:t>cell at table item 2</w:t>
      </w:r>
      <w:r w:rsidRPr="00A46BEB">
        <w:t>, column 3</w:t>
      </w:r>
      <w:r>
        <w:t>)</w:t>
      </w:r>
    </w:p>
    <w:p w:rsidR="00223977" w:rsidRDefault="00223977" w:rsidP="00BB16BF">
      <w:pPr>
        <w:pStyle w:val="Item"/>
        <w:keepNext/>
      </w:pPr>
      <w:r w:rsidRPr="00437776">
        <w:t>Repeal the cell, substitute:</w:t>
      </w:r>
    </w:p>
    <w:tbl>
      <w:tblPr>
        <w:tblpPr w:leftFromText="180" w:rightFromText="180" w:vertAnchor="text" w:tblpY="1"/>
        <w:tblOverlap w:val="never"/>
        <w:tblW w:w="6395" w:type="pct"/>
        <w:tblLook w:val="04A0" w:firstRow="1" w:lastRow="0" w:firstColumn="1" w:lastColumn="0" w:noHBand="0" w:noVBand="1"/>
      </w:tblPr>
      <w:tblGrid>
        <w:gridCol w:w="10632"/>
      </w:tblGrid>
      <w:tr w:rsidR="00223977" w:rsidTr="0044564D">
        <w:trPr>
          <w:trHeight w:val="283"/>
        </w:trPr>
        <w:tc>
          <w:tcPr>
            <w:tcW w:w="5000" w:type="pct"/>
            <w:hideMark/>
          </w:tcPr>
          <w:p w:rsidR="00A80B3E" w:rsidRPr="00266D42" w:rsidRDefault="00A80B3E" w:rsidP="00BB16BF">
            <w:pPr>
              <w:pStyle w:val="Tabletext"/>
              <w:keepNext/>
              <w:keepLines/>
              <w:tabs>
                <w:tab w:val="left" w:pos="362"/>
              </w:tabs>
              <w:ind w:left="2158" w:right="4566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when:</w:t>
            </w:r>
          </w:p>
          <w:p w:rsidR="00A80B3E" w:rsidRDefault="00A80B3E" w:rsidP="00BB16BF">
            <w:pPr>
              <w:pStyle w:val="Tabletext"/>
              <w:keepNext/>
              <w:keepLines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(a)</w:t>
            </w:r>
            <w:r w:rsidRPr="00266D42">
              <w:rPr>
                <w:szCs w:val="22"/>
                <w:lang w:eastAsia="en-US"/>
              </w:rPr>
              <w:tab/>
              <w:t xml:space="preserve">presented for supply with the front and back labels set out in Part </w:t>
            </w:r>
            <w:r>
              <w:rPr>
                <w:szCs w:val="22"/>
                <w:lang w:eastAsia="en-US"/>
              </w:rPr>
              <w:t>2</w:t>
            </w:r>
            <w:r w:rsidRPr="00266D42">
              <w:rPr>
                <w:szCs w:val="22"/>
                <w:lang w:eastAsia="en-US"/>
              </w:rPr>
              <w:t xml:space="preserve"> of Schedule 2 attached to the goods, and not presented for supply in any other way, with the following exceptions: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</w:t>
            </w:r>
            <w:proofErr w:type="spellStart"/>
            <w:r w:rsidRPr="00266D42">
              <w:rPr>
                <w:szCs w:val="22"/>
                <w:lang w:eastAsia="en-US"/>
              </w:rPr>
              <w:t>i</w:t>
            </w:r>
            <w:proofErr w:type="spellEnd"/>
            <w:r w:rsidRPr="00266D42">
              <w:rPr>
                <w:szCs w:val="22"/>
                <w:lang w:eastAsia="en-US"/>
              </w:rPr>
              <w:t>)</w:t>
            </w:r>
            <w:r w:rsidRPr="00266D42">
              <w:rPr>
                <w:szCs w:val="22"/>
                <w:lang w:eastAsia="en-US"/>
              </w:rPr>
              <w:tab/>
              <w:t xml:space="preserve">the labels may include a business name or logo of the manufacturer or supplier, and a trade name for the goods, neither of which may suggest or imply </w:t>
            </w:r>
            <w:r w:rsidR="0062290D">
              <w:rPr>
                <w:szCs w:val="22"/>
                <w:lang w:eastAsia="en-US"/>
              </w:rPr>
              <w:t xml:space="preserve">that </w:t>
            </w:r>
            <w:r w:rsidRPr="00266D42">
              <w:rPr>
                <w:szCs w:val="22"/>
                <w:lang w:eastAsia="en-US"/>
              </w:rPr>
              <w:t>the goods have been recommended or approved by or on behalf of a gove</w:t>
            </w:r>
            <w:r>
              <w:rPr>
                <w:szCs w:val="22"/>
                <w:lang w:eastAsia="en-US"/>
              </w:rPr>
              <w:t>rnment or government authority;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(ii)</w:t>
            </w:r>
            <w:r w:rsidRPr="00266D42">
              <w:rPr>
                <w:szCs w:val="22"/>
                <w:lang w:eastAsia="en-US"/>
              </w:rPr>
              <w:tab/>
              <w:t>the labels may include a batch number;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(iii)</w:t>
            </w:r>
            <w:r w:rsidRPr="00266D42">
              <w:rPr>
                <w:szCs w:val="22"/>
                <w:lang w:eastAsia="en-US"/>
              </w:rPr>
              <w:tab/>
              <w:t>the labels may include an expiry date, which must not be more than 36 months after the completion of the manufacture of the goods;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(iv)</w:t>
            </w:r>
            <w:r w:rsidRPr="00266D42">
              <w:rPr>
                <w:szCs w:val="22"/>
                <w:lang w:eastAsia="en-US"/>
              </w:rPr>
              <w:tab/>
              <w:t xml:space="preserve">the labels may state that the formulation of the goods is based </w:t>
            </w:r>
            <w:r w:rsidR="00291387" w:rsidRPr="00266D42">
              <w:rPr>
                <w:szCs w:val="22"/>
                <w:lang w:eastAsia="en-US"/>
              </w:rPr>
              <w:t xml:space="preserve">on the </w:t>
            </w:r>
            <w:proofErr w:type="spellStart"/>
            <w:r w:rsidR="00291387" w:rsidRPr="00266D42">
              <w:rPr>
                <w:szCs w:val="22"/>
                <w:lang w:eastAsia="en-US"/>
              </w:rPr>
              <w:t>handrub</w:t>
            </w:r>
            <w:proofErr w:type="spellEnd"/>
            <w:r w:rsidR="00291387">
              <w:rPr>
                <w:szCs w:val="22"/>
                <w:lang w:eastAsia="en-US"/>
              </w:rPr>
              <w:t xml:space="preserve"> formulation of the World Health Organization</w:t>
            </w:r>
            <w:r w:rsidR="00D8404E">
              <w:rPr>
                <w:szCs w:val="22"/>
                <w:lang w:eastAsia="en-US"/>
              </w:rPr>
              <w:t>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(v)</w:t>
            </w:r>
            <w:r w:rsidRPr="00266D42">
              <w:rPr>
                <w:szCs w:val="22"/>
                <w:lang w:eastAsia="en-US"/>
              </w:rPr>
              <w:tab/>
              <w:t>the labels may include any caution, warning or other marking that relates to the safe use, transportat</w:t>
            </w:r>
            <w:r w:rsidR="00D8404E">
              <w:rPr>
                <w:szCs w:val="22"/>
                <w:lang w:eastAsia="en-US"/>
              </w:rPr>
              <w:t>ion or storage of the goods;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(vi)</w:t>
            </w:r>
            <w:r w:rsidRPr="00266D42">
              <w:rPr>
                <w:szCs w:val="22"/>
                <w:lang w:eastAsia="en-US"/>
              </w:rPr>
              <w:tab/>
              <w:t>the labe</w:t>
            </w:r>
            <w:r w:rsidR="00D8404E">
              <w:rPr>
                <w:szCs w:val="22"/>
                <w:lang w:eastAsia="en-US"/>
              </w:rPr>
              <w:t>ls may be printed in colour;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(vii)</w:t>
            </w:r>
            <w:r w:rsidRPr="00266D42">
              <w:rPr>
                <w:szCs w:val="22"/>
                <w:lang w:eastAsia="en-US"/>
              </w:rPr>
              <w:tab/>
              <w:t>the front and back labels may be combined into a single label or may otherwise be co-located on the goods; and</w:t>
            </w:r>
          </w:p>
          <w:p w:rsidR="00A80B3E" w:rsidRDefault="00A80B3E" w:rsidP="00BB16BF">
            <w:pPr>
              <w:pStyle w:val="Tabletext"/>
              <w:keepNext/>
              <w:keepLines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(b)</w:t>
            </w:r>
            <w:r w:rsidRPr="00266D42">
              <w:rPr>
                <w:szCs w:val="22"/>
                <w:lang w:eastAsia="en-US"/>
              </w:rPr>
              <w:tab/>
            </w:r>
            <w:r w:rsidR="00D50A28" w:rsidRPr="00266D42">
              <w:rPr>
                <w:szCs w:val="22"/>
                <w:lang w:eastAsia="en-US"/>
              </w:rPr>
              <w:t xml:space="preserve">not presented for supply in a </w:t>
            </w:r>
            <w:r w:rsidR="00D50A28">
              <w:rPr>
                <w:szCs w:val="22"/>
                <w:lang w:eastAsia="en-US"/>
              </w:rPr>
              <w:t>way that is likely to result in the goods being mistaken for or confused with food or beverages</w:t>
            </w:r>
            <w:r w:rsidRPr="00266D42">
              <w:rPr>
                <w:szCs w:val="22"/>
                <w:lang w:eastAsia="en-US"/>
              </w:rPr>
              <w:t>; and</w:t>
            </w:r>
          </w:p>
          <w:p w:rsidR="00A80B3E" w:rsidRDefault="00A80B3E" w:rsidP="00BB16BF">
            <w:pPr>
              <w:pStyle w:val="Tabletext"/>
              <w:keepNext/>
              <w:keepLines/>
              <w:ind w:left="2725" w:right="4991" w:hanging="511"/>
              <w:rPr>
                <w:lang w:eastAsia="en-US"/>
              </w:rPr>
            </w:pPr>
            <w:r w:rsidRPr="00266D42">
              <w:rPr>
                <w:szCs w:val="22"/>
                <w:lang w:eastAsia="en-US"/>
              </w:rPr>
              <w:t>(c)</w:t>
            </w:r>
            <w:r w:rsidRPr="00266D42">
              <w:rPr>
                <w:szCs w:val="22"/>
                <w:lang w:eastAsia="en-US"/>
              </w:rPr>
              <w:tab/>
              <w:t xml:space="preserve">advertised in a manner that is consistent with the matters </w:t>
            </w:r>
            <w:r w:rsidRPr="00266D42">
              <w:rPr>
                <w:szCs w:val="22"/>
                <w:lang w:eastAsia="en-US"/>
              </w:rPr>
              <w:lastRenderedPageBreak/>
              <w:t>specified in paragraph (a) and not advertised in any other way with the following exceptions:</w:t>
            </w:r>
          </w:p>
          <w:p w:rsidR="00A80B3E" w:rsidRDefault="00A80B3E" w:rsidP="00BB16BF">
            <w:pPr>
              <w:pStyle w:val="Tabletext"/>
              <w:keepNext/>
              <w:keepLines/>
              <w:ind w:left="3151" w:right="4991" w:hanging="425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(</w:t>
            </w:r>
            <w:proofErr w:type="spellStart"/>
            <w:r w:rsidRPr="00266D42">
              <w:rPr>
                <w:szCs w:val="22"/>
                <w:lang w:eastAsia="en-US"/>
              </w:rPr>
              <w:t>i</w:t>
            </w:r>
            <w:proofErr w:type="spellEnd"/>
            <w:r w:rsidRPr="00266D42">
              <w:rPr>
                <w:szCs w:val="22"/>
                <w:lang w:eastAsia="en-US"/>
              </w:rPr>
              <w:t>)</w:t>
            </w:r>
            <w:r w:rsidRPr="00266D42">
              <w:rPr>
                <w:szCs w:val="22"/>
                <w:lang w:eastAsia="en-US"/>
              </w:rPr>
              <w:tab/>
              <w:t xml:space="preserve">an advertisement in relation to the goods may include </w:t>
            </w:r>
            <w:r w:rsidR="00F635C1">
              <w:rPr>
                <w:szCs w:val="22"/>
                <w:lang w:eastAsia="en-US"/>
              </w:rPr>
              <w:t>information</w:t>
            </w:r>
            <w:r w:rsidRPr="00266D42">
              <w:rPr>
                <w:szCs w:val="22"/>
                <w:lang w:eastAsia="en-US"/>
              </w:rPr>
              <w:t xml:space="preserve"> as to where</w:t>
            </w:r>
            <w:r w:rsidR="00D8404E">
              <w:rPr>
                <w:szCs w:val="22"/>
                <w:lang w:eastAsia="en-US"/>
              </w:rPr>
              <w:t xml:space="preserve"> the goods may be purchased;</w:t>
            </w:r>
          </w:p>
          <w:p w:rsidR="00223977" w:rsidRPr="00A80B3E" w:rsidRDefault="00A80B3E" w:rsidP="00D8404E">
            <w:pPr>
              <w:pStyle w:val="Tabletext"/>
              <w:keepNext/>
              <w:keepLines/>
              <w:ind w:left="3151" w:right="4991" w:hanging="425"/>
              <w:rPr>
                <w:szCs w:val="22"/>
                <w:lang w:eastAsia="en-US"/>
              </w:rPr>
            </w:pPr>
            <w:r w:rsidRPr="00266D42">
              <w:rPr>
                <w:szCs w:val="22"/>
                <w:lang w:eastAsia="en-US"/>
              </w:rPr>
              <w:t>(ii)</w:t>
            </w:r>
            <w:r w:rsidRPr="00266D42">
              <w:rPr>
                <w:szCs w:val="22"/>
                <w:lang w:eastAsia="en-US"/>
              </w:rPr>
              <w:tab/>
              <w:t>an advertisement in relation to the goods may include price</w:t>
            </w:r>
            <w:r w:rsidR="00F635C1">
              <w:rPr>
                <w:szCs w:val="22"/>
                <w:lang w:eastAsia="en-US"/>
              </w:rPr>
              <w:t xml:space="preserve"> information</w:t>
            </w:r>
          </w:p>
        </w:tc>
      </w:tr>
    </w:tbl>
    <w:p w:rsidR="00285E26" w:rsidRDefault="00285E26" w:rsidP="00172714">
      <w:pPr>
        <w:pStyle w:val="ItemHead"/>
      </w:pPr>
      <w:proofErr w:type="gramStart"/>
      <w:r w:rsidRPr="00223977">
        <w:lastRenderedPageBreak/>
        <w:t>1</w:t>
      </w:r>
      <w:r w:rsidR="00073003">
        <w:t>7</w:t>
      </w:r>
      <w:r>
        <w:t xml:space="preserve">  Schedule</w:t>
      </w:r>
      <w:proofErr w:type="gramEnd"/>
      <w:r>
        <w:t xml:space="preserve"> </w:t>
      </w:r>
      <w:r w:rsidR="009027BD">
        <w:t>2</w:t>
      </w:r>
    </w:p>
    <w:p w:rsidR="00285E26" w:rsidRDefault="00285E26" w:rsidP="00172714">
      <w:pPr>
        <w:pStyle w:val="Item"/>
        <w:keepNext/>
      </w:pPr>
      <w:r>
        <w:t xml:space="preserve">Repeal the </w:t>
      </w:r>
      <w:r w:rsidR="001013A2">
        <w:t>Schedule</w:t>
      </w:r>
      <w:r>
        <w:t xml:space="preserve">, </w:t>
      </w:r>
      <w:r w:rsidRPr="00BB16BF">
        <w:t>substitute</w:t>
      </w:r>
      <w:r>
        <w:t>:</w:t>
      </w:r>
    </w:p>
    <w:p w:rsidR="00BB16BF" w:rsidRDefault="00BB16BF">
      <w:pPr>
        <w:spacing w:line="240" w:lineRule="auto"/>
      </w:pPr>
      <w:r>
        <w:br w:type="page"/>
      </w:r>
    </w:p>
    <w:p w:rsidR="00AF7893" w:rsidRPr="00AF7893" w:rsidRDefault="00AF7893" w:rsidP="00AF7893">
      <w:pPr>
        <w:pStyle w:val="ItemHead"/>
        <w:keepNext w:val="0"/>
        <w:spacing w:before="0"/>
        <w:jc w:val="both"/>
        <w:rPr>
          <w:rFonts w:cs="Arial"/>
          <w:sz w:val="32"/>
          <w:szCs w:val="32"/>
        </w:rPr>
      </w:pPr>
      <w:bookmarkStart w:id="10" w:name="_Toc5717794"/>
      <w:bookmarkStart w:id="11" w:name="_Toc22294723"/>
      <w:bookmarkStart w:id="12" w:name="_Toc25316969"/>
      <w:bookmarkStart w:id="13" w:name="_Toc36546377"/>
      <w:bookmarkStart w:id="14" w:name="_Toc38384413"/>
      <w:r w:rsidRPr="00AF7893">
        <w:rPr>
          <w:rFonts w:cs="Arial"/>
          <w:sz w:val="32"/>
          <w:szCs w:val="32"/>
        </w:rPr>
        <w:lastRenderedPageBreak/>
        <w:t>Schedule 2—Labels</w:t>
      </w:r>
    </w:p>
    <w:p w:rsidR="00A80B3E" w:rsidRPr="00AF7893" w:rsidRDefault="00A80B3E" w:rsidP="00AF7893">
      <w:pPr>
        <w:pStyle w:val="ItemHead"/>
        <w:keepNext w:val="0"/>
        <w:spacing w:before="360" w:after="240"/>
        <w:rPr>
          <w:rFonts w:ascii="Times New Roman" w:hAnsi="Times New Roman"/>
          <w:sz w:val="32"/>
          <w:szCs w:val="32"/>
        </w:rPr>
      </w:pPr>
      <w:r w:rsidRPr="00AF7893">
        <w:rPr>
          <w:rFonts w:ascii="Times New Roman" w:hAnsi="Times New Roman"/>
          <w:sz w:val="32"/>
          <w:szCs w:val="32"/>
        </w:rPr>
        <w:t>Part 1—</w:t>
      </w:r>
      <w:bookmarkEnd w:id="10"/>
      <w:r w:rsidRPr="00AF7893">
        <w:rPr>
          <w:rFonts w:ascii="Times New Roman" w:hAnsi="Times New Roman"/>
          <w:sz w:val="32"/>
          <w:szCs w:val="32"/>
        </w:rPr>
        <w:t>Ethanol hand sanitiser</w:t>
      </w:r>
      <w:bookmarkEnd w:id="11"/>
      <w:bookmarkEnd w:id="12"/>
      <w:bookmarkEnd w:id="13"/>
      <w:bookmarkEnd w:id="14"/>
    </w:p>
    <w:p w:rsidR="00A80B3E" w:rsidRDefault="00A80B3E" w:rsidP="00A80B3E">
      <w:pPr>
        <w:pStyle w:val="notetext"/>
        <w:spacing w:after="300"/>
        <w:ind w:left="0" w:firstLine="0"/>
        <w:rPr>
          <w:snapToGrid w:val="0"/>
          <w:lang w:eastAsia="en-US"/>
        </w:rPr>
      </w:pPr>
      <w:r>
        <w:rPr>
          <w:snapToGrid w:val="0"/>
          <w:lang w:eastAsia="en-US"/>
        </w:rPr>
        <w:t>Note: See item 1 of Schedule 1</w:t>
      </w:r>
      <w:r w:rsidRPr="000E48C6">
        <w:rPr>
          <w:snapToGrid w:val="0"/>
          <w:lang w:eastAsia="en-US"/>
        </w:rPr>
        <w:t>.</w:t>
      </w:r>
    </w:p>
    <w:p w:rsidR="00A80B3E" w:rsidRPr="00AF7893" w:rsidRDefault="00A80B3E" w:rsidP="00AF7893">
      <w:pPr>
        <w:pStyle w:val="notetext"/>
        <w:spacing w:before="280" w:after="280" w:line="240" w:lineRule="auto"/>
        <w:ind w:left="0" w:firstLine="0"/>
        <w:rPr>
          <w:b/>
          <w:snapToGrid w:val="0"/>
          <w:sz w:val="24"/>
          <w:szCs w:val="24"/>
          <w:lang w:eastAsia="en-US"/>
        </w:rPr>
      </w:pPr>
      <w:bookmarkStart w:id="15" w:name="_Toc36546378"/>
      <w:bookmarkStart w:id="16" w:name="_Toc38384414"/>
      <w:proofErr w:type="gramStart"/>
      <w:r w:rsidRPr="00AF7893">
        <w:rPr>
          <w:b/>
          <w:snapToGrid w:val="0"/>
          <w:sz w:val="24"/>
          <w:szCs w:val="24"/>
          <w:lang w:eastAsia="en-US"/>
        </w:rPr>
        <w:t>1  Front</w:t>
      </w:r>
      <w:proofErr w:type="gramEnd"/>
      <w:r w:rsidRPr="00AF7893">
        <w:rPr>
          <w:b/>
          <w:snapToGrid w:val="0"/>
          <w:sz w:val="24"/>
          <w:szCs w:val="24"/>
          <w:lang w:eastAsia="en-US"/>
        </w:rPr>
        <w:t xml:space="preserve"> label</w:t>
      </w:r>
      <w:bookmarkEnd w:id="15"/>
      <w:bookmarkEnd w:id="16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A80B3E" w:rsidTr="00C0218B">
        <w:trPr>
          <w:trHeight w:val="2280"/>
        </w:trPr>
        <w:tc>
          <w:tcPr>
            <w:tcW w:w="6805" w:type="dxa"/>
          </w:tcPr>
          <w:p w:rsidR="00A80B3E" w:rsidRPr="003A31B6" w:rsidRDefault="00A80B3E" w:rsidP="00C0218B">
            <w:pPr>
              <w:pStyle w:val="subsection"/>
              <w:rPr>
                <w:b/>
                <w:sz w:val="28"/>
                <w:szCs w:val="28"/>
              </w:rPr>
            </w:pPr>
            <w:r w:rsidRPr="003A31B6">
              <w:rPr>
                <w:b/>
                <w:sz w:val="28"/>
                <w:szCs w:val="28"/>
              </w:rPr>
              <w:t>Ethanol hand sanitiser 80%</w:t>
            </w:r>
          </w:p>
          <w:p w:rsidR="00A80B3E" w:rsidRDefault="00A80B3E" w:rsidP="00C0218B">
            <w:pPr>
              <w:pStyle w:val="subsection"/>
              <w:tabs>
                <w:tab w:val="clear" w:pos="1021"/>
                <w:tab w:val="right" w:pos="0"/>
              </w:tabs>
              <w:ind w:left="0" w:firstLine="0"/>
              <w:rPr>
                <w:sz w:val="20"/>
              </w:rPr>
            </w:pPr>
            <w:bookmarkStart w:id="17" w:name="_GoBack"/>
            <w:bookmarkEnd w:id="17"/>
            <w:r>
              <w:rPr>
                <w:sz w:val="20"/>
              </w:rPr>
              <w:t xml:space="preserve">Hand rub </w:t>
            </w:r>
            <w:r w:rsidRPr="003A31B6">
              <w:rPr>
                <w:sz w:val="20"/>
              </w:rPr>
              <w:t>[</w:t>
            </w:r>
            <w:r>
              <w:rPr>
                <w:sz w:val="20"/>
              </w:rPr>
              <w:t>o</w:t>
            </w:r>
            <w:r w:rsidRPr="003A31B6">
              <w:rPr>
                <w:sz w:val="20"/>
              </w:rPr>
              <w:t xml:space="preserve">ptional text: </w:t>
            </w:r>
            <w:r>
              <w:rPr>
                <w:sz w:val="20"/>
              </w:rPr>
              <w:t>s</w:t>
            </w:r>
            <w:r w:rsidRPr="003A31B6">
              <w:rPr>
                <w:sz w:val="20"/>
              </w:rPr>
              <w:t>uitable for use in medical and health services]</w:t>
            </w:r>
          </w:p>
          <w:p w:rsidR="004E51B1" w:rsidRPr="004E51B1" w:rsidRDefault="004E51B1" w:rsidP="00C0218B">
            <w:pPr>
              <w:pStyle w:val="subsection"/>
              <w:rPr>
                <w:b/>
                <w:sz w:val="20"/>
              </w:rPr>
            </w:pPr>
            <w:r w:rsidRPr="004E51B1">
              <w:rPr>
                <w:b/>
                <w:sz w:val="20"/>
              </w:rPr>
              <w:t>DO NOT DRINK</w:t>
            </w:r>
          </w:p>
          <w:p w:rsidR="00A80B3E" w:rsidRPr="003A31B6" w:rsidRDefault="00A80B3E" w:rsidP="00C0218B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 xml:space="preserve">[Insert volume of the product in </w:t>
            </w:r>
            <w:proofErr w:type="spellStart"/>
            <w:r w:rsidRPr="003A31B6">
              <w:rPr>
                <w:sz w:val="20"/>
              </w:rPr>
              <w:t>mLs</w:t>
            </w:r>
            <w:proofErr w:type="spellEnd"/>
            <w:r w:rsidRPr="003A31B6">
              <w:rPr>
                <w:sz w:val="20"/>
              </w:rPr>
              <w:t>]</w:t>
            </w:r>
          </w:p>
          <w:p w:rsidR="00A80B3E" w:rsidRDefault="00A80B3E" w:rsidP="00C0218B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name of the manufacturer or supplier]</w:t>
            </w:r>
          </w:p>
          <w:p w:rsidR="00A80B3E" w:rsidRDefault="00A80B3E" w:rsidP="00C0218B">
            <w:pPr>
              <w:pStyle w:val="subsection"/>
            </w:pPr>
            <w:r>
              <w:rPr>
                <w:sz w:val="20"/>
              </w:rPr>
              <w:t>[Insert contact details of the manufacturer or supplier]</w:t>
            </w:r>
          </w:p>
        </w:tc>
      </w:tr>
    </w:tbl>
    <w:p w:rsidR="00A80B3E" w:rsidRPr="00AF7893" w:rsidRDefault="00A80B3E" w:rsidP="00AF7893">
      <w:pPr>
        <w:pStyle w:val="notetext"/>
        <w:spacing w:before="280" w:after="280" w:line="240" w:lineRule="auto"/>
        <w:ind w:left="0" w:firstLine="0"/>
        <w:rPr>
          <w:b/>
          <w:snapToGrid w:val="0"/>
          <w:sz w:val="24"/>
          <w:szCs w:val="24"/>
          <w:lang w:eastAsia="en-US"/>
        </w:rPr>
      </w:pPr>
      <w:bookmarkStart w:id="18" w:name="_Toc36546379"/>
      <w:bookmarkStart w:id="19" w:name="_Toc38384415"/>
      <w:proofErr w:type="gramStart"/>
      <w:r w:rsidRPr="00AF7893">
        <w:rPr>
          <w:b/>
          <w:snapToGrid w:val="0"/>
          <w:sz w:val="24"/>
          <w:szCs w:val="24"/>
          <w:lang w:eastAsia="en-US"/>
        </w:rPr>
        <w:t>2  Back</w:t>
      </w:r>
      <w:proofErr w:type="gramEnd"/>
      <w:r w:rsidRPr="00AF7893">
        <w:rPr>
          <w:b/>
          <w:snapToGrid w:val="0"/>
          <w:sz w:val="24"/>
          <w:szCs w:val="24"/>
          <w:lang w:eastAsia="en-US"/>
        </w:rPr>
        <w:t xml:space="preserve"> label</w:t>
      </w:r>
      <w:bookmarkEnd w:id="18"/>
      <w:bookmarkEnd w:id="19"/>
    </w:p>
    <w:tbl>
      <w:tblPr>
        <w:tblStyle w:val="TableGrid"/>
        <w:tblW w:w="6805" w:type="dxa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A80B3E" w:rsidTr="00C0218B">
        <w:trPr>
          <w:trHeight w:val="5798"/>
        </w:trPr>
        <w:tc>
          <w:tcPr>
            <w:tcW w:w="6805" w:type="dxa"/>
          </w:tcPr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Contains:</w:t>
            </w:r>
          </w:p>
          <w:p w:rsidR="00A80B3E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Ethanol 80% v/v, water, glycerol and hydrogen peroxide.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[Insert name of denaturant used, if applicable]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Pr="003A31B6">
              <w:rPr>
                <w:b/>
                <w:sz w:val="20"/>
              </w:rPr>
              <w:t>: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Antiseptic hand </w:t>
            </w:r>
            <w:r>
              <w:rPr>
                <w:sz w:val="20"/>
              </w:rPr>
              <w:t>rub</w:t>
            </w:r>
            <w:r w:rsidRPr="003A31B6">
              <w:rPr>
                <w:sz w:val="20"/>
              </w:rPr>
              <w:t xml:space="preserve"> when soap and water are not available.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Directions for use</w:t>
            </w:r>
            <w:r w:rsidRPr="003A31B6">
              <w:rPr>
                <w:b/>
                <w:sz w:val="20"/>
              </w:rPr>
              <w:t>:</w:t>
            </w:r>
          </w:p>
          <w:p w:rsidR="00A80B3E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Apply </w:t>
            </w:r>
            <w:r>
              <w:rPr>
                <w:sz w:val="20"/>
              </w:rPr>
              <w:t>sufficient amount of product on h</w:t>
            </w:r>
            <w:r w:rsidRPr="003A31B6">
              <w:rPr>
                <w:sz w:val="20"/>
              </w:rPr>
              <w:t>ands to cover all surfaces.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Rub hands together until dry.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Warnings: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For external use only. Flammable. Keep away from heat or flame.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328978C" wp14:editId="474A8ECE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116205</wp:posOffset>
                  </wp:positionV>
                  <wp:extent cx="619200" cy="619200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31B6">
              <w:rPr>
                <w:sz w:val="20"/>
              </w:rPr>
              <w:t>Keep out of eyes, ears and mouth.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Discontinue use if skin irritation or rash occurs.</w:t>
            </w:r>
          </w:p>
          <w:p w:rsidR="00A80B3E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Keep out of reach of children.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Poisons Information Centre 13 11 26.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Store below 30 °C.</w:t>
            </w:r>
          </w:p>
          <w:p w:rsidR="00A80B3E" w:rsidRDefault="00A80B3E" w:rsidP="00C0218B">
            <w:pPr>
              <w:pStyle w:val="subsection"/>
              <w:ind w:left="30" w:firstLine="0"/>
            </w:pPr>
            <w:r w:rsidRPr="003A31B6">
              <w:rPr>
                <w:sz w:val="20"/>
              </w:rPr>
              <w:t xml:space="preserve">Date of manufacture: </w:t>
            </w:r>
            <w:r>
              <w:rPr>
                <w:sz w:val="20"/>
              </w:rPr>
              <w:t xml:space="preserve">[Insert </w:t>
            </w:r>
            <w:proofErr w:type="spellStart"/>
            <w:r w:rsidRPr="003A31B6">
              <w:rPr>
                <w:sz w:val="20"/>
              </w:rPr>
              <w:t>dd</w:t>
            </w:r>
            <w:proofErr w:type="spellEnd"/>
            <w:r w:rsidRPr="003A31B6">
              <w:rPr>
                <w:sz w:val="20"/>
              </w:rPr>
              <w:t xml:space="preserve"> mm </w:t>
            </w:r>
            <w:proofErr w:type="spellStart"/>
            <w:r w:rsidRPr="003A31B6"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]</w:t>
            </w:r>
          </w:p>
        </w:tc>
      </w:tr>
    </w:tbl>
    <w:p w:rsidR="00AF7893" w:rsidRDefault="00AF7893" w:rsidP="00AF7893">
      <w:pPr>
        <w:spacing w:line="240" w:lineRule="auto"/>
      </w:pPr>
      <w:bookmarkStart w:id="20" w:name="_Toc36546380"/>
      <w:bookmarkStart w:id="21" w:name="_Toc38384416"/>
      <w:r>
        <w:br w:type="page"/>
      </w:r>
    </w:p>
    <w:p w:rsidR="00A80B3E" w:rsidRPr="00AF7893" w:rsidRDefault="00A80B3E" w:rsidP="00AF7893">
      <w:pPr>
        <w:pStyle w:val="ItemHead"/>
        <w:spacing w:before="360" w:after="240"/>
        <w:rPr>
          <w:rFonts w:ascii="Times New Roman" w:hAnsi="Times New Roman"/>
          <w:sz w:val="32"/>
          <w:szCs w:val="32"/>
        </w:rPr>
      </w:pPr>
      <w:r w:rsidRPr="00AF7893">
        <w:rPr>
          <w:rFonts w:ascii="Times New Roman" w:hAnsi="Times New Roman"/>
          <w:sz w:val="32"/>
          <w:szCs w:val="32"/>
        </w:rPr>
        <w:lastRenderedPageBreak/>
        <w:t>Part 2—Isopropyl alcohol hand sanitiser</w:t>
      </w:r>
      <w:bookmarkEnd w:id="20"/>
      <w:bookmarkEnd w:id="21"/>
    </w:p>
    <w:p w:rsidR="00A80B3E" w:rsidRDefault="00A80B3E" w:rsidP="00A80B3E">
      <w:pPr>
        <w:pStyle w:val="notetext"/>
        <w:spacing w:after="300"/>
        <w:ind w:left="0" w:firstLine="0"/>
        <w:rPr>
          <w:snapToGrid w:val="0"/>
          <w:lang w:eastAsia="en-US"/>
        </w:rPr>
      </w:pPr>
      <w:r>
        <w:rPr>
          <w:snapToGrid w:val="0"/>
          <w:lang w:eastAsia="en-US"/>
        </w:rPr>
        <w:t>Note: See item 2 of Schedule 1</w:t>
      </w:r>
      <w:r w:rsidRPr="000E48C6">
        <w:rPr>
          <w:snapToGrid w:val="0"/>
          <w:lang w:eastAsia="en-US"/>
        </w:rPr>
        <w:t>.</w:t>
      </w:r>
    </w:p>
    <w:p w:rsidR="00AF7893" w:rsidRPr="00AF7893" w:rsidRDefault="00AF7893" w:rsidP="00AF7893">
      <w:pPr>
        <w:pStyle w:val="notetext"/>
        <w:spacing w:before="280" w:after="280" w:line="240" w:lineRule="auto"/>
        <w:ind w:left="0" w:firstLine="0"/>
        <w:rPr>
          <w:b/>
          <w:snapToGrid w:val="0"/>
          <w:sz w:val="24"/>
          <w:szCs w:val="24"/>
          <w:lang w:eastAsia="en-US"/>
        </w:rPr>
      </w:pPr>
      <w:proofErr w:type="gramStart"/>
      <w:r w:rsidRPr="00AF7893">
        <w:rPr>
          <w:b/>
          <w:snapToGrid w:val="0"/>
          <w:sz w:val="24"/>
          <w:szCs w:val="24"/>
          <w:lang w:eastAsia="en-US"/>
        </w:rPr>
        <w:t>1  Front</w:t>
      </w:r>
      <w:proofErr w:type="gramEnd"/>
      <w:r w:rsidRPr="00AF7893">
        <w:rPr>
          <w:b/>
          <w:snapToGrid w:val="0"/>
          <w:sz w:val="24"/>
          <w:szCs w:val="24"/>
          <w:lang w:eastAsia="en-US"/>
        </w:rPr>
        <w:t xml:space="preserve"> label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A80B3E" w:rsidTr="00C0218B">
        <w:trPr>
          <w:trHeight w:val="2330"/>
        </w:trPr>
        <w:tc>
          <w:tcPr>
            <w:tcW w:w="6805" w:type="dxa"/>
          </w:tcPr>
          <w:p w:rsidR="00A80B3E" w:rsidRPr="004731C6" w:rsidRDefault="00A80B3E" w:rsidP="00C0218B">
            <w:pPr>
              <w:pStyle w:val="subsection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Isopropyl</w:t>
            </w:r>
            <w:r w:rsidRPr="004731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alcohol </w:t>
            </w:r>
            <w:r w:rsidRPr="004731C6">
              <w:rPr>
                <w:b/>
                <w:sz w:val="28"/>
                <w:szCs w:val="28"/>
              </w:rPr>
              <w:t xml:space="preserve">hand sanitiser </w:t>
            </w:r>
            <w:r>
              <w:rPr>
                <w:b/>
                <w:sz w:val="28"/>
                <w:szCs w:val="28"/>
              </w:rPr>
              <w:t>75</w:t>
            </w:r>
            <w:r w:rsidRPr="004731C6">
              <w:rPr>
                <w:b/>
                <w:sz w:val="28"/>
                <w:szCs w:val="28"/>
              </w:rPr>
              <w:t>%</w:t>
            </w:r>
          </w:p>
          <w:p w:rsidR="00A80B3E" w:rsidRPr="003A31B6" w:rsidRDefault="00A80B3E" w:rsidP="00C0218B">
            <w:pPr>
              <w:pStyle w:val="subsection"/>
              <w:tabs>
                <w:tab w:val="clear" w:pos="1021"/>
                <w:tab w:val="right" w:pos="0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Hand rub [optional text: s</w:t>
            </w:r>
            <w:r w:rsidRPr="003A31B6">
              <w:rPr>
                <w:sz w:val="20"/>
              </w:rPr>
              <w:t>uitable for use in medical and health services]</w:t>
            </w:r>
          </w:p>
          <w:p w:rsidR="004E51B1" w:rsidRPr="004E51B1" w:rsidRDefault="004E51B1" w:rsidP="00C0218B">
            <w:pPr>
              <w:pStyle w:val="subsection"/>
              <w:rPr>
                <w:b/>
                <w:sz w:val="20"/>
              </w:rPr>
            </w:pPr>
            <w:r w:rsidRPr="004E51B1">
              <w:rPr>
                <w:b/>
                <w:sz w:val="20"/>
              </w:rPr>
              <w:t>DO NOT DRINK</w:t>
            </w:r>
          </w:p>
          <w:p w:rsidR="00A80B3E" w:rsidRPr="003A31B6" w:rsidRDefault="00A80B3E" w:rsidP="00C0218B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 xml:space="preserve">[Insert volume of the product in </w:t>
            </w:r>
            <w:proofErr w:type="spellStart"/>
            <w:r w:rsidRPr="003A31B6">
              <w:rPr>
                <w:sz w:val="20"/>
              </w:rPr>
              <w:t>mLs</w:t>
            </w:r>
            <w:proofErr w:type="spellEnd"/>
            <w:r w:rsidRPr="003A31B6">
              <w:rPr>
                <w:sz w:val="20"/>
              </w:rPr>
              <w:t>]</w:t>
            </w:r>
          </w:p>
          <w:p w:rsidR="00A80B3E" w:rsidRDefault="00A80B3E" w:rsidP="00C0218B">
            <w:pPr>
              <w:pStyle w:val="subsection"/>
              <w:rPr>
                <w:sz w:val="20"/>
              </w:rPr>
            </w:pPr>
            <w:r w:rsidRPr="003A31B6">
              <w:rPr>
                <w:sz w:val="20"/>
              </w:rPr>
              <w:t>[Insert name of the manufacturer or supplier]</w:t>
            </w:r>
          </w:p>
          <w:p w:rsidR="00A80B3E" w:rsidRPr="0060207F" w:rsidRDefault="00A80B3E" w:rsidP="00C0218B">
            <w:pPr>
              <w:pStyle w:val="subsection"/>
              <w:rPr>
                <w:sz w:val="20"/>
              </w:rPr>
            </w:pPr>
            <w:r>
              <w:rPr>
                <w:sz w:val="20"/>
              </w:rPr>
              <w:t>[Insert contact details of the manufacturer or supplier]</w:t>
            </w:r>
          </w:p>
        </w:tc>
      </w:tr>
    </w:tbl>
    <w:p w:rsidR="00A80B3E" w:rsidRPr="00AF7893" w:rsidRDefault="00A80B3E" w:rsidP="00AF7893">
      <w:pPr>
        <w:pStyle w:val="notetext"/>
        <w:spacing w:before="280" w:after="280" w:line="240" w:lineRule="auto"/>
        <w:ind w:left="0" w:firstLine="0"/>
        <w:rPr>
          <w:b/>
          <w:snapToGrid w:val="0"/>
          <w:sz w:val="24"/>
          <w:szCs w:val="24"/>
          <w:lang w:eastAsia="en-US"/>
        </w:rPr>
      </w:pPr>
      <w:bookmarkStart w:id="22" w:name="_Toc36546382"/>
      <w:bookmarkStart w:id="23" w:name="_Toc38384418"/>
      <w:proofErr w:type="gramStart"/>
      <w:r w:rsidRPr="00AF7893">
        <w:rPr>
          <w:b/>
          <w:snapToGrid w:val="0"/>
          <w:sz w:val="24"/>
          <w:szCs w:val="24"/>
          <w:lang w:eastAsia="en-US"/>
        </w:rPr>
        <w:t>2  Back</w:t>
      </w:r>
      <w:proofErr w:type="gramEnd"/>
      <w:r w:rsidRPr="00AF7893">
        <w:rPr>
          <w:b/>
          <w:snapToGrid w:val="0"/>
          <w:sz w:val="24"/>
          <w:szCs w:val="24"/>
          <w:lang w:eastAsia="en-US"/>
        </w:rPr>
        <w:t xml:space="preserve"> label</w:t>
      </w:r>
      <w:bookmarkEnd w:id="22"/>
      <w:bookmarkEnd w:id="23"/>
    </w:p>
    <w:tbl>
      <w:tblPr>
        <w:tblStyle w:val="TableGrid"/>
        <w:tblW w:w="6805" w:type="dxa"/>
        <w:tblInd w:w="-5" w:type="dxa"/>
        <w:tblLook w:val="04A0" w:firstRow="1" w:lastRow="0" w:firstColumn="1" w:lastColumn="0" w:noHBand="0" w:noVBand="1"/>
      </w:tblPr>
      <w:tblGrid>
        <w:gridCol w:w="6805"/>
      </w:tblGrid>
      <w:tr w:rsidR="00A80B3E" w:rsidTr="00C0218B">
        <w:trPr>
          <w:trHeight w:val="5805"/>
        </w:trPr>
        <w:tc>
          <w:tcPr>
            <w:tcW w:w="6805" w:type="dxa"/>
          </w:tcPr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Contains: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Isopropyl alcohol</w:t>
            </w:r>
            <w:r>
              <w:rPr>
                <w:sz w:val="20"/>
              </w:rPr>
              <w:t xml:space="preserve"> 75</w:t>
            </w:r>
            <w:r w:rsidRPr="003A31B6">
              <w:rPr>
                <w:sz w:val="20"/>
              </w:rPr>
              <w:t>% v/v, water, glycerol and hydrogen peroxide.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Pr="003A31B6">
              <w:rPr>
                <w:b/>
                <w:sz w:val="20"/>
              </w:rPr>
              <w:t>: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Antiseptic hand </w:t>
            </w:r>
            <w:r>
              <w:rPr>
                <w:sz w:val="20"/>
              </w:rPr>
              <w:t>rub</w:t>
            </w:r>
            <w:r w:rsidRPr="003A31B6">
              <w:rPr>
                <w:sz w:val="20"/>
              </w:rPr>
              <w:t xml:space="preserve"> when soap and water are not available.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Directions</w:t>
            </w:r>
            <w:r>
              <w:rPr>
                <w:b/>
                <w:sz w:val="20"/>
              </w:rPr>
              <w:t xml:space="preserve"> for use</w:t>
            </w:r>
            <w:r w:rsidRPr="003A31B6">
              <w:rPr>
                <w:b/>
                <w:sz w:val="20"/>
              </w:rPr>
              <w:t>:</w:t>
            </w:r>
          </w:p>
          <w:p w:rsidR="00A80B3E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 xml:space="preserve">Apply </w:t>
            </w:r>
            <w:r>
              <w:rPr>
                <w:sz w:val="20"/>
              </w:rPr>
              <w:t>sufficient amount of product on h</w:t>
            </w:r>
            <w:r w:rsidRPr="003A31B6">
              <w:rPr>
                <w:sz w:val="20"/>
              </w:rPr>
              <w:t>ands to cover all surfaces.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Rub hands together until dry.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b/>
                <w:sz w:val="20"/>
              </w:rPr>
            </w:pPr>
            <w:r w:rsidRPr="003A31B6">
              <w:rPr>
                <w:b/>
                <w:sz w:val="20"/>
              </w:rPr>
              <w:t>Warnings: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For external use only. Flammable. Keep away from heat or flame.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255507B" wp14:editId="6DFD286B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116205</wp:posOffset>
                  </wp:positionV>
                  <wp:extent cx="619200" cy="619200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31B6">
              <w:rPr>
                <w:sz w:val="20"/>
              </w:rPr>
              <w:t>Keep out of eyes, ears and mouth.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Discontinue use if skin irritation or rash occurs.</w:t>
            </w:r>
          </w:p>
          <w:p w:rsidR="00A80B3E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Keep out of reach of children.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>
              <w:rPr>
                <w:sz w:val="20"/>
              </w:rPr>
              <w:t>Poisons Information Centre 13 11 26.</w:t>
            </w:r>
          </w:p>
          <w:p w:rsidR="00A80B3E" w:rsidRPr="003A31B6" w:rsidRDefault="00A80B3E" w:rsidP="00C0218B">
            <w:pPr>
              <w:pStyle w:val="subsection"/>
              <w:ind w:left="30" w:firstLine="0"/>
              <w:rPr>
                <w:sz w:val="20"/>
              </w:rPr>
            </w:pPr>
            <w:r w:rsidRPr="003A31B6">
              <w:rPr>
                <w:sz w:val="20"/>
              </w:rPr>
              <w:t>Store below 30 °C.</w:t>
            </w:r>
          </w:p>
          <w:p w:rsidR="00A80B3E" w:rsidRDefault="00A80B3E" w:rsidP="00C0218B">
            <w:pPr>
              <w:pStyle w:val="subsection"/>
              <w:ind w:left="30" w:firstLine="0"/>
            </w:pPr>
            <w:r w:rsidRPr="003A31B6">
              <w:rPr>
                <w:sz w:val="20"/>
              </w:rPr>
              <w:t xml:space="preserve">Date of manufacture: </w:t>
            </w:r>
            <w:r>
              <w:rPr>
                <w:sz w:val="20"/>
              </w:rPr>
              <w:t xml:space="preserve">[Insert </w:t>
            </w:r>
            <w:proofErr w:type="spellStart"/>
            <w:r w:rsidRPr="003A31B6">
              <w:rPr>
                <w:sz w:val="20"/>
              </w:rPr>
              <w:t>dd</w:t>
            </w:r>
            <w:proofErr w:type="spellEnd"/>
            <w:r w:rsidRPr="003A31B6">
              <w:rPr>
                <w:sz w:val="20"/>
              </w:rPr>
              <w:t xml:space="preserve"> mm </w:t>
            </w:r>
            <w:proofErr w:type="spellStart"/>
            <w:r w:rsidRPr="003A31B6"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]</w:t>
            </w:r>
          </w:p>
        </w:tc>
      </w:tr>
    </w:tbl>
    <w:p w:rsidR="00A80B3E" w:rsidRDefault="00A80B3E" w:rsidP="00A80B3E"/>
    <w:sectPr w:rsidR="00A80B3E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82" w:rsidRDefault="00FA6F82" w:rsidP="0048364F">
      <w:pPr>
        <w:spacing w:line="240" w:lineRule="auto"/>
      </w:pPr>
      <w:r>
        <w:separator/>
      </w:r>
    </w:p>
  </w:endnote>
  <w:endnote w:type="continuationSeparator" w:id="0">
    <w:p w:rsidR="00FA6F82" w:rsidRDefault="00FA6F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31B08" w:rsidTr="005A13C1">
      <w:tc>
        <w:tcPr>
          <w:tcW w:w="5000" w:type="pct"/>
        </w:tcPr>
        <w:p w:rsidR="00831B08" w:rsidRDefault="00831B08" w:rsidP="005A13C1">
          <w:pPr>
            <w:rPr>
              <w:sz w:val="18"/>
            </w:rPr>
          </w:pPr>
        </w:p>
      </w:tc>
    </w:tr>
  </w:tbl>
  <w:p w:rsidR="00831B08" w:rsidRPr="005F1388" w:rsidRDefault="00831B0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31B08" w:rsidTr="005A13C1">
      <w:tc>
        <w:tcPr>
          <w:tcW w:w="5000" w:type="pct"/>
        </w:tcPr>
        <w:p w:rsidR="00831B08" w:rsidRDefault="00831B08" w:rsidP="005A13C1">
          <w:pPr>
            <w:rPr>
              <w:sz w:val="18"/>
            </w:rPr>
          </w:pPr>
        </w:p>
      </w:tc>
    </w:tr>
  </w:tbl>
  <w:p w:rsidR="00831B08" w:rsidRPr="006D3667" w:rsidRDefault="00831B08" w:rsidP="005A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Default="00831B08" w:rsidP="005A13C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31B08" w:rsidTr="005A13C1">
      <w:tc>
        <w:tcPr>
          <w:tcW w:w="5000" w:type="pct"/>
        </w:tcPr>
        <w:p w:rsidR="00831B08" w:rsidRDefault="00831B08" w:rsidP="005A13C1">
          <w:pPr>
            <w:rPr>
              <w:sz w:val="18"/>
            </w:rPr>
          </w:pPr>
        </w:p>
      </w:tc>
    </w:tr>
  </w:tbl>
  <w:p w:rsidR="00831B08" w:rsidRPr="00486382" w:rsidRDefault="00831B0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33C1C" w:rsidRDefault="00831B08" w:rsidP="005A13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31B08" w:rsidTr="005A13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31B08" w:rsidRDefault="00831B08" w:rsidP="005A13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31B08" w:rsidRDefault="00831B08" w:rsidP="005A13C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193D">
            <w:rPr>
              <w:i/>
              <w:noProof/>
              <w:sz w:val="18"/>
            </w:rPr>
            <w:t>Therapeutic Goods Amendment (Excluded Goods—Hand Sanitisers) Determination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31B08" w:rsidRDefault="00831B08" w:rsidP="005A13C1">
          <w:pPr>
            <w:spacing w:line="0" w:lineRule="atLeast"/>
            <w:jc w:val="right"/>
            <w:rPr>
              <w:sz w:val="18"/>
            </w:rPr>
          </w:pPr>
        </w:p>
      </w:tc>
    </w:tr>
    <w:tr w:rsidR="00831B08" w:rsidTr="005A13C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31B08" w:rsidRDefault="00831B08" w:rsidP="005A13C1">
          <w:pPr>
            <w:jc w:val="right"/>
            <w:rPr>
              <w:sz w:val="18"/>
            </w:rPr>
          </w:pPr>
        </w:p>
      </w:tc>
    </w:tr>
  </w:tbl>
  <w:p w:rsidR="00831B08" w:rsidRPr="00ED79B6" w:rsidRDefault="00831B08" w:rsidP="005A13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33C1C" w:rsidRDefault="00831B08" w:rsidP="005A13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7"/>
      <w:gridCol w:w="6095"/>
      <w:gridCol w:w="1091"/>
    </w:tblGrid>
    <w:tr w:rsidR="00831B08" w:rsidTr="00EA5291">
      <w:tc>
        <w:tcPr>
          <w:tcW w:w="678" w:type="pct"/>
          <w:tcBorders>
            <w:top w:val="nil"/>
            <w:left w:val="nil"/>
            <w:bottom w:val="nil"/>
            <w:right w:val="nil"/>
          </w:tcBorders>
        </w:tcPr>
        <w:p w:rsidR="00831B08" w:rsidRDefault="00831B08" w:rsidP="005A13C1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:rsidR="00831B08" w:rsidRPr="00B20990" w:rsidRDefault="00831B08" w:rsidP="005A13C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Therapeutic Goods Amendment (Excluded Goods—Hand Sanitisers) Determination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:rsidR="00831B08" w:rsidRDefault="00831B08" w:rsidP="005A13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1B08" w:rsidTr="00EA529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31B08" w:rsidRDefault="00831B08" w:rsidP="005A13C1">
          <w:pPr>
            <w:rPr>
              <w:sz w:val="18"/>
            </w:rPr>
          </w:pPr>
        </w:p>
      </w:tc>
    </w:tr>
  </w:tbl>
  <w:p w:rsidR="00831B08" w:rsidRPr="00ED79B6" w:rsidRDefault="00831B08" w:rsidP="005A13C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33C1C" w:rsidRDefault="00831B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39" w:type="dxa"/>
      <w:tblLayout w:type="fixed"/>
      <w:tblLook w:val="04A0" w:firstRow="1" w:lastRow="0" w:firstColumn="1" w:lastColumn="0" w:noHBand="0" w:noVBand="1"/>
    </w:tblPr>
    <w:tblGrid>
      <w:gridCol w:w="1560"/>
      <w:gridCol w:w="5245"/>
      <w:gridCol w:w="1384"/>
      <w:gridCol w:w="850"/>
    </w:tblGrid>
    <w:tr w:rsidR="00831B08" w:rsidTr="00EA5291">
      <w:trPr>
        <w:gridAfter w:val="1"/>
        <w:wAfter w:w="850" w:type="dxa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Therapeutic Goods Amendment (Excluded Goods—Hand Sanitisers) Determination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31B08" w:rsidTr="00EA529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39" w:type="dxa"/>
          <w:gridSpan w:val="4"/>
        </w:tcPr>
        <w:p w:rsidR="00831B08" w:rsidRDefault="00831B08" w:rsidP="00EE57E8">
          <w:pPr>
            <w:jc w:val="right"/>
            <w:rPr>
              <w:sz w:val="18"/>
            </w:rPr>
          </w:pPr>
        </w:p>
      </w:tc>
    </w:tr>
  </w:tbl>
  <w:p w:rsidR="00831B08" w:rsidRPr="00ED79B6" w:rsidRDefault="00831B0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33C1C" w:rsidRDefault="00831B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1417"/>
    </w:tblGrid>
    <w:tr w:rsidR="00831B08" w:rsidTr="00EA5291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Therapeutic Goods Amendment (Excluded Goods—Hand Sanitisers) Determination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1B08" w:rsidTr="00EA529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831B08" w:rsidRDefault="00831B08" w:rsidP="00EE57E8">
          <w:pPr>
            <w:rPr>
              <w:sz w:val="18"/>
            </w:rPr>
          </w:pPr>
        </w:p>
      </w:tc>
    </w:tr>
  </w:tbl>
  <w:p w:rsidR="00831B08" w:rsidRPr="00ED79B6" w:rsidRDefault="00831B0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33C1C" w:rsidRDefault="00831B0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1B0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193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1B08" w:rsidRDefault="00831B0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1B0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1B08" w:rsidRDefault="00831B0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3193D">
            <w:rPr>
              <w:i/>
              <w:noProof/>
              <w:sz w:val="18"/>
            </w:rPr>
            <w:t>U:\Documents\HPRG Homedrive\Current instruments\COVID-19 Hand Sanitisers Excluded goods\DRAFT Therapeutic Goods Amendment (Excluded Goods - Hand Sanitisers) Determination (No. 2) 2020 - 1 May 20  v 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E51B1">
            <w:rPr>
              <w:i/>
              <w:noProof/>
              <w:sz w:val="18"/>
            </w:rPr>
            <w:t>1/5/2020 3:22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31B08" w:rsidRPr="00ED79B6" w:rsidRDefault="00831B0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82" w:rsidRDefault="00FA6F82" w:rsidP="0048364F">
      <w:pPr>
        <w:spacing w:line="240" w:lineRule="auto"/>
      </w:pPr>
      <w:r>
        <w:separator/>
      </w:r>
    </w:p>
  </w:footnote>
  <w:footnote w:type="continuationSeparator" w:id="0">
    <w:p w:rsidR="00FA6F82" w:rsidRDefault="00FA6F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5F1388" w:rsidRDefault="00831B0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5F1388" w:rsidRDefault="00831B0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5F1388" w:rsidRDefault="00831B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D79B6" w:rsidRDefault="00831B08" w:rsidP="005A13C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D79B6" w:rsidRDefault="00831B08" w:rsidP="005A13C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ED79B6" w:rsidRDefault="00831B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A961C4" w:rsidRDefault="00831B08" w:rsidP="0048364F">
    <w:pPr>
      <w:rPr>
        <w:b/>
        <w:sz w:val="20"/>
      </w:rPr>
    </w:pPr>
  </w:p>
  <w:p w:rsidR="00831B08" w:rsidRPr="00A961C4" w:rsidRDefault="00831B08" w:rsidP="0048364F">
    <w:pPr>
      <w:rPr>
        <w:b/>
        <w:sz w:val="20"/>
      </w:rPr>
    </w:pPr>
  </w:p>
  <w:p w:rsidR="00831B08" w:rsidRPr="00A961C4" w:rsidRDefault="00831B0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08" w:rsidRPr="00A961C4" w:rsidRDefault="00831B08" w:rsidP="0048364F">
    <w:pPr>
      <w:jc w:val="right"/>
      <w:rPr>
        <w:sz w:val="20"/>
      </w:rPr>
    </w:pPr>
  </w:p>
  <w:p w:rsidR="00831B08" w:rsidRPr="00A961C4" w:rsidRDefault="00831B08" w:rsidP="0048364F">
    <w:pPr>
      <w:jc w:val="right"/>
      <w:rPr>
        <w:b/>
        <w:sz w:val="20"/>
      </w:rPr>
    </w:pPr>
  </w:p>
  <w:p w:rsidR="00831B08" w:rsidRPr="00A961C4" w:rsidRDefault="00831B0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C3B63"/>
    <w:multiLevelType w:val="hybridMultilevel"/>
    <w:tmpl w:val="87043DC8"/>
    <w:lvl w:ilvl="0" w:tplc="24F06FEE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6634F1"/>
    <w:multiLevelType w:val="hybridMultilevel"/>
    <w:tmpl w:val="78FE101A"/>
    <w:lvl w:ilvl="0" w:tplc="FB822F56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D"/>
    <w:rsid w:val="00000263"/>
    <w:rsid w:val="00002BCC"/>
    <w:rsid w:val="000113BC"/>
    <w:rsid w:val="000136AF"/>
    <w:rsid w:val="00023B96"/>
    <w:rsid w:val="0004044E"/>
    <w:rsid w:val="0005120E"/>
    <w:rsid w:val="00054577"/>
    <w:rsid w:val="000614BF"/>
    <w:rsid w:val="000633DB"/>
    <w:rsid w:val="00064491"/>
    <w:rsid w:val="0007169C"/>
    <w:rsid w:val="00073003"/>
    <w:rsid w:val="00077593"/>
    <w:rsid w:val="00083F48"/>
    <w:rsid w:val="0009432B"/>
    <w:rsid w:val="000948B0"/>
    <w:rsid w:val="00096A0A"/>
    <w:rsid w:val="000A470C"/>
    <w:rsid w:val="000A479A"/>
    <w:rsid w:val="000A7DF9"/>
    <w:rsid w:val="000D05EF"/>
    <w:rsid w:val="000D3FB9"/>
    <w:rsid w:val="000D5485"/>
    <w:rsid w:val="000E598E"/>
    <w:rsid w:val="000E5A3D"/>
    <w:rsid w:val="000F0ADA"/>
    <w:rsid w:val="000F0C69"/>
    <w:rsid w:val="000F21C1"/>
    <w:rsid w:val="001013A2"/>
    <w:rsid w:val="0010745C"/>
    <w:rsid w:val="001122FF"/>
    <w:rsid w:val="00113350"/>
    <w:rsid w:val="001238F9"/>
    <w:rsid w:val="00145B59"/>
    <w:rsid w:val="0015067E"/>
    <w:rsid w:val="00150CB2"/>
    <w:rsid w:val="00160BD7"/>
    <w:rsid w:val="001643C9"/>
    <w:rsid w:val="00165568"/>
    <w:rsid w:val="00166082"/>
    <w:rsid w:val="00166C2F"/>
    <w:rsid w:val="001716C9"/>
    <w:rsid w:val="00172714"/>
    <w:rsid w:val="00177C49"/>
    <w:rsid w:val="00184261"/>
    <w:rsid w:val="00193461"/>
    <w:rsid w:val="001939E1"/>
    <w:rsid w:val="0019452E"/>
    <w:rsid w:val="00195382"/>
    <w:rsid w:val="001A1970"/>
    <w:rsid w:val="001A3B9F"/>
    <w:rsid w:val="001A5520"/>
    <w:rsid w:val="001A65C0"/>
    <w:rsid w:val="001B7A5D"/>
    <w:rsid w:val="001C69C4"/>
    <w:rsid w:val="001D6C4E"/>
    <w:rsid w:val="001E0A8D"/>
    <w:rsid w:val="001E3590"/>
    <w:rsid w:val="001E7407"/>
    <w:rsid w:val="001F1A46"/>
    <w:rsid w:val="00201D27"/>
    <w:rsid w:val="00206962"/>
    <w:rsid w:val="0021153A"/>
    <w:rsid w:val="002116FC"/>
    <w:rsid w:val="0021403F"/>
    <w:rsid w:val="00223977"/>
    <w:rsid w:val="002245A6"/>
    <w:rsid w:val="002302EA"/>
    <w:rsid w:val="00237614"/>
    <w:rsid w:val="00240749"/>
    <w:rsid w:val="00246247"/>
    <w:rsid w:val="002468D7"/>
    <w:rsid w:val="00247E97"/>
    <w:rsid w:val="00255287"/>
    <w:rsid w:val="00256C81"/>
    <w:rsid w:val="00266D42"/>
    <w:rsid w:val="002840A5"/>
    <w:rsid w:val="00285CDD"/>
    <w:rsid w:val="00285E26"/>
    <w:rsid w:val="00291167"/>
    <w:rsid w:val="00291387"/>
    <w:rsid w:val="0029489E"/>
    <w:rsid w:val="00297ECB"/>
    <w:rsid w:val="002A656C"/>
    <w:rsid w:val="002A7152"/>
    <w:rsid w:val="002C152A"/>
    <w:rsid w:val="002D043A"/>
    <w:rsid w:val="002D1FE0"/>
    <w:rsid w:val="002F7E7D"/>
    <w:rsid w:val="0031713F"/>
    <w:rsid w:val="003222D1"/>
    <w:rsid w:val="0032750F"/>
    <w:rsid w:val="003415D3"/>
    <w:rsid w:val="003424D9"/>
    <w:rsid w:val="003442F6"/>
    <w:rsid w:val="00346335"/>
    <w:rsid w:val="00352B0F"/>
    <w:rsid w:val="003561B0"/>
    <w:rsid w:val="00397893"/>
    <w:rsid w:val="003A15AC"/>
    <w:rsid w:val="003A712C"/>
    <w:rsid w:val="003B0627"/>
    <w:rsid w:val="003C5F2B"/>
    <w:rsid w:val="003C7D35"/>
    <w:rsid w:val="003D0BFE"/>
    <w:rsid w:val="003D4220"/>
    <w:rsid w:val="003D5700"/>
    <w:rsid w:val="003E1CF9"/>
    <w:rsid w:val="003F6F52"/>
    <w:rsid w:val="004022CA"/>
    <w:rsid w:val="0040304C"/>
    <w:rsid w:val="004037AD"/>
    <w:rsid w:val="004116CD"/>
    <w:rsid w:val="00414ADE"/>
    <w:rsid w:val="00424CA9"/>
    <w:rsid w:val="004257BB"/>
    <w:rsid w:val="004268E0"/>
    <w:rsid w:val="00437776"/>
    <w:rsid w:val="0044291A"/>
    <w:rsid w:val="004600B0"/>
    <w:rsid w:val="00460499"/>
    <w:rsid w:val="00460FBA"/>
    <w:rsid w:val="00465F6D"/>
    <w:rsid w:val="00470B1E"/>
    <w:rsid w:val="00474835"/>
    <w:rsid w:val="004819C7"/>
    <w:rsid w:val="0048364F"/>
    <w:rsid w:val="004846A8"/>
    <w:rsid w:val="004877FC"/>
    <w:rsid w:val="004906E2"/>
    <w:rsid w:val="00490F2E"/>
    <w:rsid w:val="0049531A"/>
    <w:rsid w:val="00496F97"/>
    <w:rsid w:val="004A53EA"/>
    <w:rsid w:val="004B35E7"/>
    <w:rsid w:val="004C354B"/>
    <w:rsid w:val="004D33F8"/>
    <w:rsid w:val="004E51B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3C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B92"/>
    <w:rsid w:val="00600219"/>
    <w:rsid w:val="006065DA"/>
    <w:rsid w:val="00606AA4"/>
    <w:rsid w:val="0062290D"/>
    <w:rsid w:val="00640402"/>
    <w:rsid w:val="00640F78"/>
    <w:rsid w:val="006465DF"/>
    <w:rsid w:val="00655D6A"/>
    <w:rsid w:val="00656DE9"/>
    <w:rsid w:val="00672876"/>
    <w:rsid w:val="006757BA"/>
    <w:rsid w:val="00677CC2"/>
    <w:rsid w:val="00680F0B"/>
    <w:rsid w:val="00685F42"/>
    <w:rsid w:val="0069207B"/>
    <w:rsid w:val="006A304E"/>
    <w:rsid w:val="006A47BC"/>
    <w:rsid w:val="006B7006"/>
    <w:rsid w:val="006C55C7"/>
    <w:rsid w:val="006C7F8C"/>
    <w:rsid w:val="006D7AB9"/>
    <w:rsid w:val="006E2C2D"/>
    <w:rsid w:val="00700B2C"/>
    <w:rsid w:val="00713084"/>
    <w:rsid w:val="00717463"/>
    <w:rsid w:val="00720FC2"/>
    <w:rsid w:val="00722E89"/>
    <w:rsid w:val="00731E00"/>
    <w:rsid w:val="007339C7"/>
    <w:rsid w:val="0074164D"/>
    <w:rsid w:val="007440B7"/>
    <w:rsid w:val="00747993"/>
    <w:rsid w:val="007634AD"/>
    <w:rsid w:val="00763FB3"/>
    <w:rsid w:val="007715C9"/>
    <w:rsid w:val="00774EDD"/>
    <w:rsid w:val="007757EC"/>
    <w:rsid w:val="00784462"/>
    <w:rsid w:val="007A0725"/>
    <w:rsid w:val="007A6863"/>
    <w:rsid w:val="007C3D15"/>
    <w:rsid w:val="007C78B4"/>
    <w:rsid w:val="007E32B6"/>
    <w:rsid w:val="007E486B"/>
    <w:rsid w:val="007E7D4A"/>
    <w:rsid w:val="007F48ED"/>
    <w:rsid w:val="007F5E3F"/>
    <w:rsid w:val="00812F45"/>
    <w:rsid w:val="0083193D"/>
    <w:rsid w:val="00831B08"/>
    <w:rsid w:val="00836FE9"/>
    <w:rsid w:val="0084172C"/>
    <w:rsid w:val="0085175E"/>
    <w:rsid w:val="00856A31"/>
    <w:rsid w:val="00864EF5"/>
    <w:rsid w:val="008754D0"/>
    <w:rsid w:val="00877C69"/>
    <w:rsid w:val="00877D48"/>
    <w:rsid w:val="0088345B"/>
    <w:rsid w:val="008A16A5"/>
    <w:rsid w:val="008A2B5A"/>
    <w:rsid w:val="008A5C57"/>
    <w:rsid w:val="008B593E"/>
    <w:rsid w:val="008C0629"/>
    <w:rsid w:val="008D0EE0"/>
    <w:rsid w:val="008D7A27"/>
    <w:rsid w:val="008E4702"/>
    <w:rsid w:val="008E69AA"/>
    <w:rsid w:val="008E7C37"/>
    <w:rsid w:val="008F4F1C"/>
    <w:rsid w:val="00900719"/>
    <w:rsid w:val="009027BD"/>
    <w:rsid w:val="00902ECA"/>
    <w:rsid w:val="009069AD"/>
    <w:rsid w:val="00910E64"/>
    <w:rsid w:val="009145AE"/>
    <w:rsid w:val="00922764"/>
    <w:rsid w:val="009278C1"/>
    <w:rsid w:val="00932377"/>
    <w:rsid w:val="00932738"/>
    <w:rsid w:val="009346E3"/>
    <w:rsid w:val="009357BA"/>
    <w:rsid w:val="0094523D"/>
    <w:rsid w:val="009463DD"/>
    <w:rsid w:val="00976A63"/>
    <w:rsid w:val="009A571B"/>
    <w:rsid w:val="009B2490"/>
    <w:rsid w:val="009B4151"/>
    <w:rsid w:val="009B50E5"/>
    <w:rsid w:val="009C3431"/>
    <w:rsid w:val="009C5989"/>
    <w:rsid w:val="009C6A32"/>
    <w:rsid w:val="009D08DA"/>
    <w:rsid w:val="00A06860"/>
    <w:rsid w:val="00A136F5"/>
    <w:rsid w:val="00A231E2"/>
    <w:rsid w:val="00A23BCE"/>
    <w:rsid w:val="00A2550D"/>
    <w:rsid w:val="00A3291F"/>
    <w:rsid w:val="00A33774"/>
    <w:rsid w:val="00A379BB"/>
    <w:rsid w:val="00A4169B"/>
    <w:rsid w:val="00A46BEB"/>
    <w:rsid w:val="00A50D55"/>
    <w:rsid w:val="00A52FDA"/>
    <w:rsid w:val="00A64912"/>
    <w:rsid w:val="00A70A74"/>
    <w:rsid w:val="00A80B3E"/>
    <w:rsid w:val="00A9231A"/>
    <w:rsid w:val="00A95BC7"/>
    <w:rsid w:val="00A97F73"/>
    <w:rsid w:val="00AA0343"/>
    <w:rsid w:val="00AA78CE"/>
    <w:rsid w:val="00AA7B26"/>
    <w:rsid w:val="00AC767C"/>
    <w:rsid w:val="00AD3467"/>
    <w:rsid w:val="00AD5641"/>
    <w:rsid w:val="00AF33DB"/>
    <w:rsid w:val="00AF7893"/>
    <w:rsid w:val="00B032D8"/>
    <w:rsid w:val="00B05D72"/>
    <w:rsid w:val="00B117A7"/>
    <w:rsid w:val="00B11BC9"/>
    <w:rsid w:val="00B20990"/>
    <w:rsid w:val="00B22958"/>
    <w:rsid w:val="00B23FAF"/>
    <w:rsid w:val="00B3153E"/>
    <w:rsid w:val="00B33B3C"/>
    <w:rsid w:val="00B40D74"/>
    <w:rsid w:val="00B42649"/>
    <w:rsid w:val="00B46467"/>
    <w:rsid w:val="00B52663"/>
    <w:rsid w:val="00B56DCB"/>
    <w:rsid w:val="00B6019C"/>
    <w:rsid w:val="00B61728"/>
    <w:rsid w:val="00B7446B"/>
    <w:rsid w:val="00B770D2"/>
    <w:rsid w:val="00B87AD4"/>
    <w:rsid w:val="00B92216"/>
    <w:rsid w:val="00B92833"/>
    <w:rsid w:val="00B93516"/>
    <w:rsid w:val="00B96776"/>
    <w:rsid w:val="00B973E5"/>
    <w:rsid w:val="00BA47A3"/>
    <w:rsid w:val="00BA5026"/>
    <w:rsid w:val="00BA7B5B"/>
    <w:rsid w:val="00BB16BF"/>
    <w:rsid w:val="00BB6E79"/>
    <w:rsid w:val="00BE42C5"/>
    <w:rsid w:val="00BE719A"/>
    <w:rsid w:val="00BE720A"/>
    <w:rsid w:val="00BF0723"/>
    <w:rsid w:val="00BF6650"/>
    <w:rsid w:val="00C013FB"/>
    <w:rsid w:val="00C03ABB"/>
    <w:rsid w:val="00C067E5"/>
    <w:rsid w:val="00C164CA"/>
    <w:rsid w:val="00C22014"/>
    <w:rsid w:val="00C23702"/>
    <w:rsid w:val="00C26051"/>
    <w:rsid w:val="00C268B3"/>
    <w:rsid w:val="00C30CAC"/>
    <w:rsid w:val="00C42BF8"/>
    <w:rsid w:val="00C460AE"/>
    <w:rsid w:val="00C50043"/>
    <w:rsid w:val="00C5015F"/>
    <w:rsid w:val="00C50A0F"/>
    <w:rsid w:val="00C50F4A"/>
    <w:rsid w:val="00C72D10"/>
    <w:rsid w:val="00C7573B"/>
    <w:rsid w:val="00C7631F"/>
    <w:rsid w:val="00C76CF3"/>
    <w:rsid w:val="00C93205"/>
    <w:rsid w:val="00C945DC"/>
    <w:rsid w:val="00CA7844"/>
    <w:rsid w:val="00CB58EF"/>
    <w:rsid w:val="00CE0A93"/>
    <w:rsid w:val="00CE5C7C"/>
    <w:rsid w:val="00CF0BB2"/>
    <w:rsid w:val="00CF6504"/>
    <w:rsid w:val="00D12B0D"/>
    <w:rsid w:val="00D13441"/>
    <w:rsid w:val="00D16F2C"/>
    <w:rsid w:val="00D23F46"/>
    <w:rsid w:val="00D243A3"/>
    <w:rsid w:val="00D270C0"/>
    <w:rsid w:val="00D311EE"/>
    <w:rsid w:val="00D33440"/>
    <w:rsid w:val="00D36957"/>
    <w:rsid w:val="00D50A28"/>
    <w:rsid w:val="00D52EFE"/>
    <w:rsid w:val="00D56A0D"/>
    <w:rsid w:val="00D63EF6"/>
    <w:rsid w:val="00D66518"/>
    <w:rsid w:val="00D70DFB"/>
    <w:rsid w:val="00D71EEA"/>
    <w:rsid w:val="00D735CD"/>
    <w:rsid w:val="00D766DF"/>
    <w:rsid w:val="00D836F4"/>
    <w:rsid w:val="00D8404E"/>
    <w:rsid w:val="00D8468B"/>
    <w:rsid w:val="00D90841"/>
    <w:rsid w:val="00DA2439"/>
    <w:rsid w:val="00DA6F05"/>
    <w:rsid w:val="00DB64FC"/>
    <w:rsid w:val="00DC519F"/>
    <w:rsid w:val="00DD195D"/>
    <w:rsid w:val="00DD32C3"/>
    <w:rsid w:val="00DE149E"/>
    <w:rsid w:val="00DE3788"/>
    <w:rsid w:val="00E02F07"/>
    <w:rsid w:val="00E034DB"/>
    <w:rsid w:val="00E05704"/>
    <w:rsid w:val="00E12F1A"/>
    <w:rsid w:val="00E22935"/>
    <w:rsid w:val="00E327C6"/>
    <w:rsid w:val="00E54292"/>
    <w:rsid w:val="00E60191"/>
    <w:rsid w:val="00E66C4A"/>
    <w:rsid w:val="00E74DC7"/>
    <w:rsid w:val="00E87699"/>
    <w:rsid w:val="00E92E27"/>
    <w:rsid w:val="00E9586B"/>
    <w:rsid w:val="00E97334"/>
    <w:rsid w:val="00EA5291"/>
    <w:rsid w:val="00EB3A99"/>
    <w:rsid w:val="00EB65F8"/>
    <w:rsid w:val="00ED4928"/>
    <w:rsid w:val="00EE3A86"/>
    <w:rsid w:val="00EE3FFE"/>
    <w:rsid w:val="00EE57E8"/>
    <w:rsid w:val="00EE6190"/>
    <w:rsid w:val="00EF2E3A"/>
    <w:rsid w:val="00EF6402"/>
    <w:rsid w:val="00F047E2"/>
    <w:rsid w:val="00F04D57"/>
    <w:rsid w:val="00F0709B"/>
    <w:rsid w:val="00F078DC"/>
    <w:rsid w:val="00F13E86"/>
    <w:rsid w:val="00F20B52"/>
    <w:rsid w:val="00F32FCB"/>
    <w:rsid w:val="00F33523"/>
    <w:rsid w:val="00F635C1"/>
    <w:rsid w:val="00F677A9"/>
    <w:rsid w:val="00F7115E"/>
    <w:rsid w:val="00F8121C"/>
    <w:rsid w:val="00F82258"/>
    <w:rsid w:val="00F84CF5"/>
    <w:rsid w:val="00F8612E"/>
    <w:rsid w:val="00F87BB4"/>
    <w:rsid w:val="00F903AF"/>
    <w:rsid w:val="00F94583"/>
    <w:rsid w:val="00FA420B"/>
    <w:rsid w:val="00FA5DF3"/>
    <w:rsid w:val="00FA6F82"/>
    <w:rsid w:val="00FB1A90"/>
    <w:rsid w:val="00FB6AEE"/>
    <w:rsid w:val="00FC3149"/>
    <w:rsid w:val="00FC3EAC"/>
    <w:rsid w:val="00FE518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6B6AED"/>
  <w15:docId w15:val="{32DC450D-FCC9-4915-A65C-6415F3D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F903AF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90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3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3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AF"/>
    <w:rPr>
      <w:b/>
      <w:bCs/>
    </w:rPr>
  </w:style>
  <w:style w:type="paragraph" w:styleId="ListParagraph">
    <w:name w:val="List Paragraph"/>
    <w:basedOn w:val="Normal"/>
    <w:uiPriority w:val="34"/>
    <w:qFormat/>
    <w:rsid w:val="000633DB"/>
    <w:pPr>
      <w:spacing w:line="240" w:lineRule="auto"/>
      <w:ind w:left="720"/>
    </w:pPr>
    <w:rPr>
      <w:rFonts w:ascii="Calibri" w:eastAsia="PMingLiU" w:hAnsi="Calibri" w:cs="Calibri"/>
      <w:szCs w:val="22"/>
    </w:rPr>
  </w:style>
  <w:style w:type="character" w:customStyle="1" w:styleId="ActHead5Char">
    <w:name w:val="ActHead 5 Char"/>
    <w:aliases w:val="s Char"/>
    <w:link w:val="ActHead5"/>
    <w:locked/>
    <w:rsid w:val="008E7C3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0A47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B730-AFBC-4A45-AFAD-6A5D0677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5</cp:revision>
  <cp:lastPrinted>2020-04-30T01:18:00Z</cp:lastPrinted>
  <dcterms:created xsi:type="dcterms:W3CDTF">2020-05-01T04:27:00Z</dcterms:created>
  <dcterms:modified xsi:type="dcterms:W3CDTF">2020-05-01T05:23:00Z</dcterms:modified>
</cp:coreProperties>
</file>