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0E02E" w14:textId="77777777" w:rsidR="002D225E" w:rsidRPr="007A26E0" w:rsidRDefault="002D225E" w:rsidP="002D225E">
      <w:pPr>
        <w:jc w:val="center"/>
        <w:rPr>
          <w:b/>
        </w:rPr>
      </w:pPr>
      <w:r w:rsidRPr="007A26E0">
        <w:rPr>
          <w:b/>
        </w:rPr>
        <w:t>EXPLANATORY STATEMENT</w:t>
      </w:r>
    </w:p>
    <w:p w14:paraId="56751F99" w14:textId="77777777" w:rsidR="002D225E" w:rsidRPr="007A26E0" w:rsidRDefault="002D225E" w:rsidP="002D225E">
      <w:pPr>
        <w:jc w:val="center"/>
        <w:rPr>
          <w:b/>
          <w:i/>
        </w:rPr>
      </w:pPr>
    </w:p>
    <w:p w14:paraId="664A1715" w14:textId="77777777" w:rsidR="002D225E" w:rsidRPr="007A26E0" w:rsidRDefault="002D225E" w:rsidP="002D225E">
      <w:pPr>
        <w:jc w:val="center"/>
      </w:pPr>
      <w:r w:rsidRPr="007A26E0">
        <w:t>Issued by the Authority of the Minister for Health</w:t>
      </w:r>
    </w:p>
    <w:p w14:paraId="43646D0D" w14:textId="77777777" w:rsidR="002D225E" w:rsidRPr="007A26E0" w:rsidRDefault="002D225E" w:rsidP="002D225E">
      <w:pPr>
        <w:jc w:val="center"/>
        <w:rPr>
          <w:b/>
          <w:i/>
        </w:rPr>
      </w:pPr>
    </w:p>
    <w:p w14:paraId="7EB85F30" w14:textId="77777777" w:rsidR="002D225E" w:rsidRPr="007A26E0" w:rsidRDefault="002D225E" w:rsidP="002D225E">
      <w:pPr>
        <w:jc w:val="center"/>
        <w:rPr>
          <w:b/>
          <w:i/>
        </w:rPr>
      </w:pPr>
      <w:r w:rsidRPr="007A26E0">
        <w:rPr>
          <w:b/>
          <w:i/>
        </w:rPr>
        <w:t>National Health Act 1953</w:t>
      </w:r>
    </w:p>
    <w:p w14:paraId="0228C1FB" w14:textId="77777777" w:rsidR="002D225E" w:rsidRPr="007A26E0" w:rsidRDefault="002D225E" w:rsidP="002D225E">
      <w:pPr>
        <w:pStyle w:val="Header"/>
        <w:tabs>
          <w:tab w:val="left" w:pos="720"/>
        </w:tabs>
      </w:pPr>
      <w:bookmarkStart w:id="0" w:name="RecipNameAddr"/>
      <w:bookmarkEnd w:id="0"/>
    </w:p>
    <w:p w14:paraId="70A6724D" w14:textId="1281BA9F" w:rsidR="002D225E" w:rsidRPr="007A26E0" w:rsidRDefault="002D225E" w:rsidP="002D225E">
      <w:pPr>
        <w:jc w:val="center"/>
        <w:rPr>
          <w:bCs/>
          <w:i/>
        </w:rPr>
      </w:pPr>
      <w:r w:rsidRPr="007A26E0">
        <w:rPr>
          <w:bCs/>
          <w:i/>
        </w:rPr>
        <w:t>National Health (Immunisation Program – Designated Vaccines) Amendment Determination (No</w:t>
      </w:r>
      <w:r w:rsidR="00537410" w:rsidRPr="007A26E0">
        <w:rPr>
          <w:bCs/>
          <w:i/>
        </w:rPr>
        <w:t>.</w:t>
      </w:r>
      <w:r w:rsidR="00B642CE" w:rsidRPr="007A26E0">
        <w:rPr>
          <w:bCs/>
          <w:i/>
        </w:rPr>
        <w:t xml:space="preserve"> </w:t>
      </w:r>
      <w:r w:rsidR="00FB48F6" w:rsidRPr="007A26E0">
        <w:rPr>
          <w:bCs/>
          <w:i/>
        </w:rPr>
        <w:t>1) 2020</w:t>
      </w:r>
      <w:r w:rsidRPr="007A26E0">
        <w:rPr>
          <w:bCs/>
          <w:i/>
        </w:rPr>
        <w:t xml:space="preserve"> </w:t>
      </w:r>
    </w:p>
    <w:p w14:paraId="3C7BF60D" w14:textId="77777777" w:rsidR="002D225E" w:rsidRPr="007A26E0" w:rsidRDefault="002D225E" w:rsidP="002D225E">
      <w:pPr>
        <w:jc w:val="center"/>
        <w:rPr>
          <w:sz w:val="28"/>
          <w:szCs w:val="28"/>
        </w:rPr>
      </w:pPr>
    </w:p>
    <w:p w14:paraId="7A9B27DC" w14:textId="77777777" w:rsidR="002D225E" w:rsidRPr="007A26E0" w:rsidRDefault="002D225E" w:rsidP="002D225E">
      <w:pPr>
        <w:pStyle w:val="Header"/>
        <w:tabs>
          <w:tab w:val="left" w:pos="720"/>
        </w:tabs>
      </w:pPr>
      <w:r w:rsidRPr="007A26E0">
        <w:rPr>
          <w:b/>
          <w:bCs/>
        </w:rPr>
        <w:t>Authority</w:t>
      </w:r>
    </w:p>
    <w:p w14:paraId="2D552CA4" w14:textId="3BDCE651" w:rsidR="002D225E" w:rsidRPr="007A26E0" w:rsidRDefault="002D225E" w:rsidP="009B566D">
      <w:pPr>
        <w:spacing w:after="240"/>
        <w:rPr>
          <w:color w:val="000000"/>
          <w:szCs w:val="22"/>
        </w:rPr>
      </w:pPr>
      <w:r w:rsidRPr="007A26E0">
        <w:rPr>
          <w:color w:val="000000"/>
          <w:szCs w:val="22"/>
        </w:rPr>
        <w:t xml:space="preserve">Subsection 9B(1) of the </w:t>
      </w:r>
      <w:r w:rsidRPr="007A26E0">
        <w:rPr>
          <w:i/>
          <w:color w:val="000000"/>
          <w:szCs w:val="22"/>
        </w:rPr>
        <w:t>National Health Act 1953</w:t>
      </w:r>
      <w:r w:rsidRPr="007A26E0">
        <w:rPr>
          <w:color w:val="000000"/>
          <w:szCs w:val="22"/>
        </w:rPr>
        <w:t xml:space="preserve"> (the Act) provides that the Minister may provide, or arrange for the provision of, designated vaccines and goods or services that are associated with, or incidental to, the provision or administ</w:t>
      </w:r>
      <w:r w:rsidR="009B566D" w:rsidRPr="007A26E0">
        <w:rPr>
          <w:color w:val="000000"/>
          <w:szCs w:val="22"/>
        </w:rPr>
        <w:t xml:space="preserve">ration of designated vaccines. </w:t>
      </w:r>
      <w:r w:rsidRPr="007A26E0">
        <w:rPr>
          <w:color w:val="000000"/>
          <w:szCs w:val="22"/>
        </w:rPr>
        <w:t>Subsection 9B(2) provides that the Minister may, by legislative instrument, determine that a specified vaccine is a designated vaccin</w:t>
      </w:r>
      <w:r w:rsidR="009B566D" w:rsidRPr="007A26E0">
        <w:rPr>
          <w:color w:val="000000"/>
          <w:szCs w:val="22"/>
        </w:rPr>
        <w:t xml:space="preserve">e for the purposes of the Act. </w:t>
      </w:r>
      <w:r w:rsidRPr="007A26E0">
        <w:rPr>
          <w:color w:val="000000"/>
          <w:szCs w:val="22"/>
        </w:rPr>
        <w:t>Subsection 9B(5) provides that in addition to specifying a vaccine, a determination may specify the circumstances in which the vaccine may be provided.</w:t>
      </w:r>
    </w:p>
    <w:p w14:paraId="527008DB" w14:textId="77777777" w:rsidR="002D225E" w:rsidRPr="007A26E0" w:rsidRDefault="002D225E" w:rsidP="009B566D">
      <w:pPr>
        <w:spacing w:after="240"/>
        <w:rPr>
          <w:color w:val="000000"/>
          <w:szCs w:val="22"/>
        </w:rPr>
      </w:pPr>
      <w:r w:rsidRPr="007A26E0">
        <w:rPr>
          <w:color w:val="000000"/>
          <w:szCs w:val="22"/>
        </w:rPr>
        <w:t xml:space="preserve">In addition to the power to make this instrument under section 9B of the Act, subsection 33(3) of the </w:t>
      </w:r>
      <w:r w:rsidRPr="007A26E0">
        <w:rPr>
          <w:i/>
          <w:iCs/>
          <w:color w:val="000000"/>
          <w:szCs w:val="22"/>
        </w:rPr>
        <w:t>Acts Interpretation Act 1901</w:t>
      </w:r>
      <w:r w:rsidRPr="007A26E0">
        <w:rPr>
          <w:color w:val="000000"/>
          <w:szCs w:val="22"/>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85B5418" w14:textId="77777777" w:rsidR="002D225E" w:rsidRPr="007A26E0" w:rsidRDefault="002D225E" w:rsidP="002D225E">
      <w:pPr>
        <w:pStyle w:val="Header"/>
        <w:tabs>
          <w:tab w:val="left" w:pos="720"/>
        </w:tabs>
      </w:pPr>
      <w:r w:rsidRPr="007A26E0">
        <w:rPr>
          <w:b/>
          <w:bCs/>
        </w:rPr>
        <w:t>Purpose</w:t>
      </w:r>
    </w:p>
    <w:p w14:paraId="52B5D97C" w14:textId="192F3084" w:rsidR="002D225E" w:rsidRPr="007A26E0" w:rsidRDefault="002D225E" w:rsidP="002D225E">
      <w:pPr>
        <w:rPr>
          <w:bCs/>
        </w:rPr>
      </w:pPr>
      <w:r w:rsidRPr="007A26E0">
        <w:rPr>
          <w:bCs/>
        </w:rPr>
        <w:t>The</w:t>
      </w:r>
      <w:r w:rsidRPr="007A26E0">
        <w:rPr>
          <w:bCs/>
          <w:i/>
        </w:rPr>
        <w:t xml:space="preserve"> National Health (Immunisation Program – Designated Vaccines) Amendment </w:t>
      </w:r>
      <w:r w:rsidR="0049081B" w:rsidRPr="007A26E0">
        <w:rPr>
          <w:bCs/>
          <w:i/>
        </w:rPr>
        <w:t>Determination (No.1) 2020</w:t>
      </w:r>
      <w:r w:rsidRPr="007A26E0">
        <w:rPr>
          <w:bCs/>
          <w:i/>
        </w:rPr>
        <w:t xml:space="preserve"> </w:t>
      </w:r>
      <w:r w:rsidRPr="007A26E0">
        <w:rPr>
          <w:bCs/>
        </w:rPr>
        <w:t xml:space="preserve">(the Amendment Determination) amends the </w:t>
      </w:r>
      <w:r w:rsidRPr="007A26E0">
        <w:rPr>
          <w:bCs/>
          <w:i/>
        </w:rPr>
        <w:t>National Health (Immunisation Program – Designated Vaccines) Determination 2014 (No. 1)</w:t>
      </w:r>
      <w:r w:rsidR="00F364D0" w:rsidRPr="007A26E0">
        <w:rPr>
          <w:bCs/>
        </w:rPr>
        <w:t xml:space="preserve"> (the Determination),</w:t>
      </w:r>
      <w:r w:rsidR="00E44D5B" w:rsidRPr="007A26E0">
        <w:rPr>
          <w:bCs/>
        </w:rPr>
        <w:t xml:space="preserve"> to</w:t>
      </w:r>
      <w:r w:rsidRPr="007A26E0">
        <w:rPr>
          <w:bCs/>
        </w:rPr>
        <w:t>:</w:t>
      </w:r>
    </w:p>
    <w:p w14:paraId="7231A0F0" w14:textId="35277B89" w:rsidR="00F364D0" w:rsidRPr="007A26E0" w:rsidRDefault="001045FF" w:rsidP="00D02B0A">
      <w:pPr>
        <w:pStyle w:val="ListParagraph"/>
        <w:numPr>
          <w:ilvl w:val="0"/>
          <w:numId w:val="21"/>
        </w:numPr>
      </w:pPr>
      <w:r w:rsidRPr="007A26E0">
        <w:t xml:space="preserve">change </w:t>
      </w:r>
      <w:r w:rsidR="00893074" w:rsidRPr="007A26E0">
        <w:t>and expand the</w:t>
      </w:r>
      <w:r w:rsidRPr="007A26E0">
        <w:t xml:space="preserve"> circumstances in which Prevenar 13 and Pneumovax 23 </w:t>
      </w:r>
      <w:r w:rsidR="00893074" w:rsidRPr="007A26E0">
        <w:t>(designated vaccines under existing items 110 and 112 respectively of Part 1 of Schedule 1 of the Determination) may be provided;</w:t>
      </w:r>
    </w:p>
    <w:p w14:paraId="210CDA82" w14:textId="6D6F2166" w:rsidR="00893074" w:rsidRPr="007A26E0" w:rsidRDefault="00893074" w:rsidP="00D02B0A">
      <w:pPr>
        <w:pStyle w:val="ListParagraph"/>
        <w:numPr>
          <w:ilvl w:val="0"/>
          <w:numId w:val="21"/>
        </w:numPr>
      </w:pPr>
      <w:r w:rsidRPr="007A26E0">
        <w:t>expand the circumstances in which</w:t>
      </w:r>
      <w:r w:rsidR="00E1145A" w:rsidRPr="007A26E0">
        <w:t xml:space="preserve"> </w:t>
      </w:r>
      <w:r w:rsidR="001721C1" w:rsidRPr="007A26E0">
        <w:t>ActHIB</w:t>
      </w:r>
      <w:r w:rsidR="008D2AE7" w:rsidRPr="007A26E0">
        <w:t xml:space="preserve"> or Hiberix</w:t>
      </w:r>
      <w:r w:rsidRPr="007A26E0">
        <w:t xml:space="preserve"> (a designated vaccine under existing item 103 of Part 1 of Schedule 1 of the Determination) may be provided; and</w:t>
      </w:r>
    </w:p>
    <w:p w14:paraId="1861A349" w14:textId="1B54EF26" w:rsidR="00893074" w:rsidRPr="007A26E0" w:rsidRDefault="00893074" w:rsidP="00D02B0A">
      <w:pPr>
        <w:pStyle w:val="ListParagraph"/>
        <w:numPr>
          <w:ilvl w:val="0"/>
          <w:numId w:val="21"/>
        </w:numPr>
      </w:pPr>
      <w:r w:rsidRPr="007A26E0">
        <w:t xml:space="preserve">expand the circumstances in which </w:t>
      </w:r>
      <w:r w:rsidR="00CB570F" w:rsidRPr="007A26E0">
        <w:t>Nimenrix (a designated vaccine under existing item 108A of Part 1 of Schedule 1 of the Determination) may be provided.</w:t>
      </w:r>
    </w:p>
    <w:p w14:paraId="4DD7A9D1" w14:textId="77777777" w:rsidR="00BA60F1" w:rsidRPr="007A26E0" w:rsidRDefault="00BA60F1" w:rsidP="000D6178">
      <w:pPr>
        <w:pStyle w:val="ListParagraph"/>
        <w:keepNext/>
        <w:keepLines/>
        <w:spacing w:after="120"/>
        <w:ind w:left="0" w:right="-136"/>
      </w:pPr>
    </w:p>
    <w:p w14:paraId="1F4CA94B" w14:textId="77777777" w:rsidR="00941881" w:rsidRPr="007A26E0" w:rsidRDefault="000D6178" w:rsidP="00941881">
      <w:pPr>
        <w:pStyle w:val="ListParagraph"/>
        <w:keepNext/>
        <w:keepLines/>
        <w:spacing w:after="120"/>
        <w:ind w:left="0" w:right="-136"/>
      </w:pPr>
      <w:r w:rsidRPr="007A26E0">
        <w:t xml:space="preserve">The </w:t>
      </w:r>
      <w:r w:rsidR="0093600D" w:rsidRPr="007A26E0">
        <w:t>Amendment Determination provide</w:t>
      </w:r>
      <w:r w:rsidRPr="007A26E0">
        <w:t>s a whole-of-life pneumococcal vaccination schedule under the National Immunisation Program (NIP), including both Prevenar 13 and Pneumovax 23, for individuals most as risk of invasive pneumococcal disease.</w:t>
      </w:r>
    </w:p>
    <w:p w14:paraId="54B4F249" w14:textId="77777777" w:rsidR="00941881" w:rsidRPr="007A26E0" w:rsidRDefault="00941881" w:rsidP="00941881">
      <w:pPr>
        <w:pStyle w:val="ListParagraph"/>
        <w:keepNext/>
        <w:keepLines/>
        <w:spacing w:after="120"/>
        <w:ind w:left="0" w:right="-136"/>
      </w:pPr>
    </w:p>
    <w:p w14:paraId="50437E95" w14:textId="7298384E" w:rsidR="000D6178" w:rsidRPr="007A26E0" w:rsidRDefault="000D6178" w:rsidP="00941881">
      <w:pPr>
        <w:pStyle w:val="ListParagraph"/>
        <w:keepNext/>
        <w:keepLines/>
        <w:spacing w:after="120"/>
        <w:ind w:left="0" w:right="-136"/>
      </w:pPr>
      <w:r w:rsidRPr="007A26E0">
        <w:t>The Amendment Determination also revises the circumstances for which vaccines</w:t>
      </w:r>
      <w:r w:rsidR="001721C1" w:rsidRPr="007A26E0">
        <w:t xml:space="preserve"> (Nimenrix and ActHIB</w:t>
      </w:r>
      <w:r w:rsidR="00BB5C2B" w:rsidRPr="007A26E0">
        <w:t xml:space="preserve"> or Hiberix)</w:t>
      </w:r>
      <w:r w:rsidRPr="007A26E0">
        <w:t xml:space="preserve"> for individuals most at risk of invasive meningococcal disease</w:t>
      </w:r>
      <w:r w:rsidR="00704616" w:rsidRPr="007A26E0">
        <w:t xml:space="preserve"> </w:t>
      </w:r>
      <w:r w:rsidRPr="007A26E0">
        <w:t>and Haemophilus influenzae type b</w:t>
      </w:r>
      <w:r w:rsidR="003324AC" w:rsidRPr="007A26E0">
        <w:t xml:space="preserve"> (Hib)</w:t>
      </w:r>
      <w:r w:rsidR="00704616" w:rsidRPr="007A26E0">
        <w:t xml:space="preserve"> </w:t>
      </w:r>
      <w:r w:rsidRPr="007A26E0">
        <w:t>are available under the NIP.</w:t>
      </w:r>
    </w:p>
    <w:p w14:paraId="485BF085" w14:textId="77777777" w:rsidR="000D6178" w:rsidRPr="007A26E0" w:rsidRDefault="000D6178" w:rsidP="000D6178">
      <w:pPr>
        <w:pStyle w:val="ListParagraph"/>
        <w:rPr>
          <w:color w:val="000000"/>
          <w:szCs w:val="22"/>
        </w:rPr>
      </w:pPr>
    </w:p>
    <w:p w14:paraId="0A2708B8" w14:textId="30D1960E" w:rsidR="000D6178" w:rsidRPr="007A26E0" w:rsidRDefault="000D6178" w:rsidP="000D6178">
      <w:r w:rsidRPr="007A26E0">
        <w:rPr>
          <w:color w:val="000000"/>
          <w:szCs w:val="22"/>
        </w:rPr>
        <w:t xml:space="preserve">These amendments are acting on new recommendations from the Australian Technical Advisory Group on Immunisation </w:t>
      </w:r>
      <w:r w:rsidR="00205500" w:rsidRPr="007A26E0">
        <w:rPr>
          <w:color w:val="000000"/>
          <w:szCs w:val="22"/>
        </w:rPr>
        <w:t xml:space="preserve">(ATAGI) </w:t>
      </w:r>
      <w:r w:rsidRPr="007A26E0">
        <w:rPr>
          <w:color w:val="000000"/>
          <w:szCs w:val="22"/>
        </w:rPr>
        <w:t xml:space="preserve">and Pharmaceutical Benefits Advisory Committee </w:t>
      </w:r>
      <w:r w:rsidR="00205500" w:rsidRPr="007A26E0">
        <w:rPr>
          <w:color w:val="000000"/>
          <w:szCs w:val="22"/>
        </w:rPr>
        <w:t xml:space="preserve">(PBAC) </w:t>
      </w:r>
      <w:r w:rsidRPr="007A26E0">
        <w:rPr>
          <w:color w:val="000000"/>
          <w:szCs w:val="22"/>
        </w:rPr>
        <w:t>in response to high pneumococcal disease rates in certain high-risk populations.</w:t>
      </w:r>
    </w:p>
    <w:p w14:paraId="0397883B" w14:textId="77777777" w:rsidR="000D6178" w:rsidRPr="007A26E0" w:rsidRDefault="000D6178" w:rsidP="0041373A">
      <w:pPr>
        <w:spacing w:after="240"/>
        <w:ind w:left="360"/>
        <w:rPr>
          <w:color w:val="000000"/>
          <w:szCs w:val="22"/>
        </w:rPr>
      </w:pPr>
    </w:p>
    <w:p w14:paraId="2476D868" w14:textId="05489154" w:rsidR="00EE7F77" w:rsidRPr="007A26E0" w:rsidRDefault="00EE7F77" w:rsidP="002D225E">
      <w:pPr>
        <w:autoSpaceDE w:val="0"/>
        <w:autoSpaceDN w:val="0"/>
        <w:adjustRightInd w:val="0"/>
        <w:rPr>
          <w:rStyle w:val="normalchar"/>
          <w:b/>
        </w:rPr>
      </w:pPr>
    </w:p>
    <w:p w14:paraId="4BFBE77B" w14:textId="4C845285" w:rsidR="00BA60F1" w:rsidRPr="007A26E0" w:rsidRDefault="00BA60F1" w:rsidP="002D225E">
      <w:pPr>
        <w:autoSpaceDE w:val="0"/>
        <w:autoSpaceDN w:val="0"/>
        <w:adjustRightInd w:val="0"/>
        <w:rPr>
          <w:rStyle w:val="normalchar"/>
          <w:b/>
        </w:rPr>
      </w:pPr>
    </w:p>
    <w:p w14:paraId="0B5E8532" w14:textId="77777777" w:rsidR="00BA60F1" w:rsidRPr="007A26E0" w:rsidRDefault="00BA60F1" w:rsidP="002D225E">
      <w:pPr>
        <w:autoSpaceDE w:val="0"/>
        <w:autoSpaceDN w:val="0"/>
        <w:adjustRightInd w:val="0"/>
        <w:rPr>
          <w:rStyle w:val="normalchar"/>
          <w:b/>
        </w:rPr>
      </w:pPr>
    </w:p>
    <w:p w14:paraId="52AFB746" w14:textId="460A36EE" w:rsidR="002D225E" w:rsidRPr="007A26E0" w:rsidRDefault="002D225E" w:rsidP="002D225E">
      <w:pPr>
        <w:autoSpaceDE w:val="0"/>
        <w:autoSpaceDN w:val="0"/>
        <w:adjustRightInd w:val="0"/>
        <w:rPr>
          <w:rStyle w:val="normalchar"/>
          <w:b/>
        </w:rPr>
      </w:pPr>
      <w:r w:rsidRPr="007A26E0">
        <w:rPr>
          <w:rStyle w:val="normalchar"/>
          <w:b/>
        </w:rPr>
        <w:t>Ba</w:t>
      </w:r>
      <w:r w:rsidR="009B566D" w:rsidRPr="007A26E0">
        <w:rPr>
          <w:rStyle w:val="normalchar"/>
          <w:b/>
        </w:rPr>
        <w:t>ckground</w:t>
      </w:r>
    </w:p>
    <w:p w14:paraId="10EA1963" w14:textId="2240985E" w:rsidR="00B73F95" w:rsidRPr="007A26E0" w:rsidRDefault="00B73F95" w:rsidP="002D225E">
      <w:pPr>
        <w:autoSpaceDE w:val="0"/>
        <w:autoSpaceDN w:val="0"/>
        <w:adjustRightInd w:val="0"/>
        <w:rPr>
          <w:rStyle w:val="normalchar"/>
          <w:b/>
        </w:rPr>
      </w:pPr>
      <w:r w:rsidRPr="007A26E0">
        <w:rPr>
          <w:i/>
          <w:u w:val="single"/>
        </w:rPr>
        <w:t>The National Immunisation Program (NIP)</w:t>
      </w:r>
    </w:p>
    <w:p w14:paraId="1FD058A2" w14:textId="77777777" w:rsidR="002A35BF" w:rsidRPr="007A26E0" w:rsidRDefault="002A35BF" w:rsidP="002A35BF">
      <w:pPr>
        <w:autoSpaceDE w:val="0"/>
        <w:autoSpaceDN w:val="0"/>
        <w:adjustRightInd w:val="0"/>
        <w:rPr>
          <w:color w:val="000000"/>
          <w:szCs w:val="22"/>
        </w:rPr>
      </w:pPr>
      <w:r w:rsidRPr="007A26E0">
        <w:rPr>
          <w:color w:val="000000"/>
          <w:szCs w:val="22"/>
        </w:rPr>
        <w:t>The NIP is a joint initiative of the Commonwealth and state and territory governments and is funded through a National Partnership on Essential Vaccines. The NIP provides free vaccines to eligible people to protect against 17 disease groups, including children, adolescents, the elderly, pregnant women and Aboriginal and Torres Strait Islander people.</w:t>
      </w:r>
    </w:p>
    <w:p w14:paraId="1D7602B2" w14:textId="77777777" w:rsidR="002A35BF" w:rsidRPr="007A26E0" w:rsidRDefault="002A35BF" w:rsidP="002D225E">
      <w:pPr>
        <w:autoSpaceDE w:val="0"/>
        <w:autoSpaceDN w:val="0"/>
        <w:adjustRightInd w:val="0"/>
        <w:rPr>
          <w:b/>
        </w:rPr>
      </w:pPr>
    </w:p>
    <w:p w14:paraId="3A16D3B1" w14:textId="77777777" w:rsidR="002D225E" w:rsidRPr="007A26E0" w:rsidRDefault="002D225E" w:rsidP="002D225E">
      <w:pPr>
        <w:rPr>
          <w:i/>
          <w:u w:val="single"/>
        </w:rPr>
      </w:pPr>
      <w:r w:rsidRPr="007A26E0">
        <w:rPr>
          <w:i/>
          <w:u w:val="single"/>
        </w:rPr>
        <w:t>Pharmaceutical Benefits Advisory Committee (PBAC) recommendations</w:t>
      </w:r>
    </w:p>
    <w:p w14:paraId="18C41049" w14:textId="77777777" w:rsidR="002D225E" w:rsidRPr="007A26E0" w:rsidRDefault="002D225E" w:rsidP="002D225E">
      <w:pPr>
        <w:spacing w:after="240"/>
      </w:pPr>
      <w:r w:rsidRPr="007A26E0">
        <w:t>Subsection 9B(7) of the Act relevantly provides that a vaccine must not be specified in a determination under subsection 9B(2) unless the PBAC has recommended to the Minister that the vaccine be a designated vaccine.</w:t>
      </w:r>
    </w:p>
    <w:p w14:paraId="26EEF2AE" w14:textId="67D3D4C2" w:rsidR="003748AA" w:rsidRPr="007A26E0" w:rsidRDefault="003748AA" w:rsidP="009D5A5E">
      <w:pPr>
        <w:spacing w:after="240"/>
        <w:rPr>
          <w:color w:val="000000"/>
          <w:szCs w:val="22"/>
        </w:rPr>
      </w:pPr>
      <w:r w:rsidRPr="007A26E0">
        <w:rPr>
          <w:color w:val="000000"/>
          <w:szCs w:val="22"/>
        </w:rPr>
        <w:t xml:space="preserve">In May 2019 and July 2019, the PBAC recommended amendments to the </w:t>
      </w:r>
      <w:r w:rsidR="00C05B0D" w:rsidRPr="007A26E0">
        <w:rPr>
          <w:color w:val="000000"/>
          <w:szCs w:val="22"/>
        </w:rPr>
        <w:t>NIP</w:t>
      </w:r>
      <w:r w:rsidRPr="007A26E0">
        <w:rPr>
          <w:color w:val="000000"/>
          <w:szCs w:val="22"/>
        </w:rPr>
        <w:t xml:space="preserve">, </w:t>
      </w:r>
      <w:r w:rsidR="00C05B0D" w:rsidRPr="007A26E0">
        <w:rPr>
          <w:color w:val="000000"/>
          <w:szCs w:val="22"/>
        </w:rPr>
        <w:t>u</w:t>
      </w:r>
      <w:r w:rsidRPr="007A26E0">
        <w:rPr>
          <w:color w:val="000000"/>
          <w:szCs w:val="22"/>
        </w:rPr>
        <w:t xml:space="preserve">nder the </w:t>
      </w:r>
      <w:r w:rsidR="00205500" w:rsidRPr="007A26E0">
        <w:rPr>
          <w:color w:val="000000"/>
          <w:szCs w:val="22"/>
        </w:rPr>
        <w:t>Act</w:t>
      </w:r>
      <w:r w:rsidRPr="007A26E0">
        <w:rPr>
          <w:i/>
          <w:color w:val="000000"/>
          <w:szCs w:val="22"/>
        </w:rPr>
        <w:t xml:space="preserve"> </w:t>
      </w:r>
      <w:r w:rsidRPr="007A26E0">
        <w:rPr>
          <w:color w:val="000000"/>
          <w:szCs w:val="22"/>
        </w:rPr>
        <w:t>for special risk groups and the prevention of invasive pneumococcal disease respectively.</w:t>
      </w:r>
    </w:p>
    <w:p w14:paraId="49C40658" w14:textId="1BC819F6" w:rsidR="00384FD2" w:rsidRPr="007A26E0" w:rsidRDefault="00FE6EF1" w:rsidP="000C4C79">
      <w:pPr>
        <w:spacing w:after="240"/>
        <w:rPr>
          <w:color w:val="000000"/>
          <w:szCs w:val="22"/>
        </w:rPr>
      </w:pPr>
      <w:r w:rsidRPr="007A26E0">
        <w:rPr>
          <w:color w:val="000000"/>
          <w:szCs w:val="22"/>
        </w:rPr>
        <w:t>In November 2018, the PBAC considered a preliminary research report on the vaccinations available (either funded under the NIP or PBS) and current clinical recommendations for asplenic individuals. ATAGI advice was requested on prevalence, incidence and likely uptake.</w:t>
      </w:r>
      <w:r w:rsidR="0051408A" w:rsidRPr="007A26E0">
        <w:rPr>
          <w:color w:val="000000"/>
          <w:szCs w:val="22"/>
        </w:rPr>
        <w:t xml:space="preserve"> </w:t>
      </w:r>
      <w:r w:rsidR="00846741" w:rsidRPr="007A26E0">
        <w:rPr>
          <w:color w:val="000000"/>
          <w:szCs w:val="22"/>
        </w:rPr>
        <w:t>In May 2019, The PBAC recommended that the following vaccinations be listed on the NIP schedule for patients with asplenia and hyposplenia – Meningococcal and meningococcal booster (Men ACWY), Pneumococcal (Prevenar 13 [single dose]) (13vPCV) and Pneumovax 23 [two subsequent doses]) (23vPPV) and Hib.</w:t>
      </w:r>
    </w:p>
    <w:p w14:paraId="7144C6BB" w14:textId="3E18AC8C" w:rsidR="00384FD2" w:rsidRPr="007A26E0" w:rsidRDefault="00384FD2" w:rsidP="000C4C79">
      <w:pPr>
        <w:spacing w:after="240"/>
        <w:rPr>
          <w:color w:val="000000"/>
          <w:szCs w:val="22"/>
        </w:rPr>
      </w:pPr>
      <w:r w:rsidRPr="007A26E0">
        <w:rPr>
          <w:color w:val="000000"/>
          <w:szCs w:val="22"/>
        </w:rPr>
        <w:t>At the same meeting, PBAC also recommended Men ACWY for individuals with complement deficiencies and those undergoing eculizumab treatment following a submission from the Chief Medical Officer, which was supported by ATAGI. The PBAC considered that people with complement deficiency and undergoing eculizumab treatment had a high clinical need for vaccination, and that the cost-effectiveness in this population would not be worse than the current NIP listed population.</w:t>
      </w:r>
    </w:p>
    <w:p w14:paraId="5ACDD173" w14:textId="39E2AB9C" w:rsidR="00384FD2" w:rsidRPr="007A26E0" w:rsidRDefault="00D21AA6" w:rsidP="00384FD2">
      <w:pPr>
        <w:rPr>
          <w:color w:val="000000"/>
          <w:szCs w:val="22"/>
        </w:rPr>
      </w:pPr>
      <w:r w:rsidRPr="007A26E0">
        <w:rPr>
          <w:color w:val="000000"/>
          <w:szCs w:val="22"/>
        </w:rPr>
        <w:t>In July 2019</w:t>
      </w:r>
      <w:r w:rsidR="00384FD2" w:rsidRPr="007A26E0">
        <w:rPr>
          <w:color w:val="000000"/>
          <w:szCs w:val="22"/>
        </w:rPr>
        <w:t>, the PBAC recommended a whole-of-life pneumococcal vaccination schedule, including both Prevenar 13 and Pneumovax</w:t>
      </w:r>
      <w:r w:rsidR="00F2105A" w:rsidRPr="007A26E0">
        <w:rPr>
          <w:color w:val="000000"/>
          <w:szCs w:val="22"/>
        </w:rPr>
        <w:t xml:space="preserve"> </w:t>
      </w:r>
      <w:r w:rsidR="00384FD2" w:rsidRPr="007A26E0">
        <w:rPr>
          <w:color w:val="000000"/>
          <w:szCs w:val="22"/>
        </w:rPr>
        <w:t>23, as having acceptable cost-effectiveness for inclusion on NIP:</w:t>
      </w:r>
    </w:p>
    <w:p w14:paraId="24E901B8" w14:textId="77777777" w:rsidR="00384FD2" w:rsidRPr="007A26E0" w:rsidRDefault="00384FD2" w:rsidP="00384FD2">
      <w:pPr>
        <w:numPr>
          <w:ilvl w:val="0"/>
          <w:numId w:val="19"/>
        </w:numPr>
        <w:rPr>
          <w:color w:val="000000"/>
          <w:szCs w:val="22"/>
        </w:rPr>
      </w:pPr>
      <w:r w:rsidRPr="007A26E0">
        <w:rPr>
          <w:color w:val="000000"/>
          <w:szCs w:val="22"/>
        </w:rPr>
        <w:t>All healthy non–Aboriginal and Torres Strait Islander adults ≥ 70 years: 13vPCV (single dose)</w:t>
      </w:r>
    </w:p>
    <w:p w14:paraId="19F3BAA0" w14:textId="77777777" w:rsidR="00384FD2" w:rsidRPr="007A26E0" w:rsidRDefault="00384FD2" w:rsidP="00384FD2">
      <w:pPr>
        <w:numPr>
          <w:ilvl w:val="0"/>
          <w:numId w:val="19"/>
        </w:numPr>
        <w:rPr>
          <w:color w:val="000000"/>
          <w:szCs w:val="22"/>
        </w:rPr>
      </w:pPr>
      <w:r w:rsidRPr="007A26E0">
        <w:rPr>
          <w:color w:val="000000"/>
          <w:szCs w:val="22"/>
        </w:rPr>
        <w:t>All Aboriginal and Torres Strait Islander adults ≥50 years:  13vPCV (single dose) and 23vPPV (two subsequent doses approximately five years apart)</w:t>
      </w:r>
    </w:p>
    <w:p w14:paraId="364B4A3E" w14:textId="6EA7E8AD" w:rsidR="00384FD2" w:rsidRPr="007A26E0" w:rsidRDefault="00384FD2" w:rsidP="00384FD2">
      <w:pPr>
        <w:numPr>
          <w:ilvl w:val="0"/>
          <w:numId w:val="19"/>
        </w:numPr>
        <w:rPr>
          <w:color w:val="000000"/>
          <w:szCs w:val="22"/>
        </w:rPr>
      </w:pPr>
      <w:r w:rsidRPr="007A26E0">
        <w:rPr>
          <w:color w:val="000000"/>
          <w:szCs w:val="22"/>
        </w:rPr>
        <w:t xml:space="preserve">In all persons ≥ 5 years of age newly diagnosed with a condition putting them at very high risk of pneumococcal infection: 13vPCV (single dose) and 23vPPV (two subsequent doses approximately five years </w:t>
      </w:r>
      <w:r w:rsidR="000C4C79" w:rsidRPr="007A26E0">
        <w:rPr>
          <w:color w:val="000000"/>
          <w:szCs w:val="22"/>
        </w:rPr>
        <w:t>apart).</w:t>
      </w:r>
    </w:p>
    <w:p w14:paraId="016BF642" w14:textId="77777777" w:rsidR="00384FD2" w:rsidRPr="007A26E0" w:rsidRDefault="00384FD2" w:rsidP="00384FD2">
      <w:pPr>
        <w:rPr>
          <w:color w:val="000000"/>
          <w:szCs w:val="22"/>
        </w:rPr>
      </w:pPr>
    </w:p>
    <w:p w14:paraId="25D2EB44" w14:textId="77777777" w:rsidR="00384FD2" w:rsidRPr="007A26E0" w:rsidRDefault="00384FD2" w:rsidP="00384FD2">
      <w:pPr>
        <w:rPr>
          <w:color w:val="000000"/>
          <w:szCs w:val="22"/>
        </w:rPr>
      </w:pPr>
      <w:r w:rsidRPr="007A26E0">
        <w:rPr>
          <w:color w:val="000000"/>
          <w:szCs w:val="22"/>
        </w:rPr>
        <w:t>Based on ATAGI’s advice on the high pneumococcal disease rates in certain high-risk infant populations, the following additions were also recommended to the infant pneumococcal program for children under five years of age:</w:t>
      </w:r>
    </w:p>
    <w:p w14:paraId="17D1B353" w14:textId="77777777" w:rsidR="00384FD2" w:rsidRPr="007A26E0" w:rsidRDefault="00384FD2" w:rsidP="00384FD2">
      <w:pPr>
        <w:numPr>
          <w:ilvl w:val="0"/>
          <w:numId w:val="18"/>
        </w:numPr>
        <w:rPr>
          <w:color w:val="000000"/>
          <w:szCs w:val="22"/>
        </w:rPr>
      </w:pPr>
      <w:r w:rsidRPr="007A26E0">
        <w:rPr>
          <w:color w:val="000000"/>
          <w:szCs w:val="22"/>
        </w:rPr>
        <w:t xml:space="preserve">Non-Aboriginal and Torres Strait Islander children 2-12 months with very high risk of pneumococcal infection: an additional dose of 13vPCV (single dose) at 6 months (already funded for Aboriginal and Torres Strait Islander children) and 23vPPV (two subsequent doses approximately five years apart). </w:t>
      </w:r>
    </w:p>
    <w:p w14:paraId="62D94770" w14:textId="71EF90F6" w:rsidR="00384FD2" w:rsidRPr="007A26E0" w:rsidRDefault="00384FD2" w:rsidP="00384FD2">
      <w:pPr>
        <w:numPr>
          <w:ilvl w:val="0"/>
          <w:numId w:val="18"/>
        </w:numPr>
        <w:rPr>
          <w:color w:val="000000"/>
          <w:szCs w:val="22"/>
        </w:rPr>
      </w:pPr>
      <w:r w:rsidRPr="007A26E0">
        <w:rPr>
          <w:color w:val="000000"/>
          <w:szCs w:val="22"/>
        </w:rPr>
        <w:t xml:space="preserve">Aboriginal and Torres Strait Islander children &lt; 5 years living in Western Australia, Queensland, South Australia and Northern Territory (areas of high incidence): </w:t>
      </w:r>
      <w:r w:rsidR="00205500" w:rsidRPr="007A26E0">
        <w:rPr>
          <w:color w:val="000000"/>
          <w:szCs w:val="22"/>
        </w:rPr>
        <w:t xml:space="preserve">two </w:t>
      </w:r>
      <w:r w:rsidRPr="007A26E0">
        <w:rPr>
          <w:color w:val="000000"/>
          <w:szCs w:val="22"/>
        </w:rPr>
        <w:t>additional doses of 23vPPV following the currently funded additional dose of 13vPCV at 6 months.</w:t>
      </w:r>
    </w:p>
    <w:p w14:paraId="4496726F" w14:textId="2F0E6885" w:rsidR="00384FD2" w:rsidRPr="007A26E0" w:rsidRDefault="00384FD2" w:rsidP="00384FD2">
      <w:pPr>
        <w:numPr>
          <w:ilvl w:val="0"/>
          <w:numId w:val="18"/>
        </w:numPr>
        <w:rPr>
          <w:color w:val="000000"/>
          <w:szCs w:val="22"/>
        </w:rPr>
      </w:pPr>
      <w:r w:rsidRPr="007A26E0">
        <w:rPr>
          <w:color w:val="000000"/>
          <w:szCs w:val="22"/>
        </w:rPr>
        <w:lastRenderedPageBreak/>
        <w:t>Children 12 – 59 months newly diagnosed with a condition putting them at very high risk of pneumococcal infection: 13vPCV (single dose) and 23vPPV (two subsequent doses approximately 5 years apart).</w:t>
      </w:r>
    </w:p>
    <w:p w14:paraId="78DF4FAB" w14:textId="77777777" w:rsidR="008C49E2" w:rsidRPr="007A26E0" w:rsidRDefault="008C49E2" w:rsidP="002D225E">
      <w:pPr>
        <w:rPr>
          <w:i/>
          <w:u w:val="single"/>
        </w:rPr>
      </w:pPr>
    </w:p>
    <w:p w14:paraId="6A5C8D9A" w14:textId="39E3F29D" w:rsidR="002D225E" w:rsidRPr="007A26E0" w:rsidRDefault="002D225E" w:rsidP="002D225E">
      <w:pPr>
        <w:rPr>
          <w:i/>
          <w:u w:val="single"/>
        </w:rPr>
      </w:pPr>
      <w:r w:rsidRPr="007A26E0">
        <w:rPr>
          <w:i/>
          <w:u w:val="single"/>
        </w:rPr>
        <w:t>Government approval</w:t>
      </w:r>
    </w:p>
    <w:p w14:paraId="7B31E853" w14:textId="1CABA427" w:rsidR="001B00F9" w:rsidRPr="007A26E0" w:rsidRDefault="00F4066D" w:rsidP="002D225E">
      <w:pPr>
        <w:spacing w:after="240"/>
      </w:pPr>
      <w:r w:rsidRPr="007A26E0">
        <w:t xml:space="preserve">On </w:t>
      </w:r>
      <w:r w:rsidR="0049081B" w:rsidRPr="007A26E0">
        <w:t>30</w:t>
      </w:r>
      <w:r w:rsidRPr="007A26E0">
        <w:t xml:space="preserve"> </w:t>
      </w:r>
      <w:r w:rsidR="0049081B" w:rsidRPr="007A26E0">
        <w:t>January</w:t>
      </w:r>
      <w:r w:rsidRPr="007A26E0">
        <w:t xml:space="preserve"> </w:t>
      </w:r>
      <w:r w:rsidR="0049081B" w:rsidRPr="007A26E0">
        <w:t>2020</w:t>
      </w:r>
      <w:r w:rsidRPr="007A26E0">
        <w:t xml:space="preserve">, the Minister for Health, the Hon Greg Hunt MP, approved the PBAC recommendations to </w:t>
      </w:r>
      <w:r w:rsidR="001B00F9" w:rsidRPr="007A26E0">
        <w:t xml:space="preserve">amend the circumstances under which Pneumovax 23, Prevenar 13, Nimenrix, ActHIB and Hiberix can be provided through the </w:t>
      </w:r>
      <w:r w:rsidR="004527BB" w:rsidRPr="007A26E0">
        <w:t>NIP</w:t>
      </w:r>
      <w:r w:rsidR="00B43959" w:rsidRPr="007A26E0">
        <w:t>.</w:t>
      </w:r>
    </w:p>
    <w:p w14:paraId="5B232566" w14:textId="62E37BB0" w:rsidR="002D225E" w:rsidRPr="007A26E0" w:rsidRDefault="002D225E" w:rsidP="002D225E">
      <w:pPr>
        <w:rPr>
          <w:b/>
        </w:rPr>
      </w:pPr>
      <w:r w:rsidRPr="007A26E0">
        <w:rPr>
          <w:b/>
        </w:rPr>
        <w:t>Details</w:t>
      </w:r>
    </w:p>
    <w:p w14:paraId="3FACAF39" w14:textId="3E0F631F" w:rsidR="002D225E" w:rsidRPr="007A26E0" w:rsidRDefault="002D225E" w:rsidP="002D225E">
      <w:pPr>
        <w:rPr>
          <w:rStyle w:val="normalchar"/>
          <w:b/>
        </w:rPr>
      </w:pPr>
      <w:r w:rsidRPr="007A26E0">
        <w:t>The Determination commenced on 23 September 2014. Once a vaccine is listed in the Determination, the supplier of that vaccine is eligible to participate in any procurement processes undertaken by the Department of Health for the</w:t>
      </w:r>
      <w:r w:rsidR="00B43959" w:rsidRPr="007A26E0">
        <w:t xml:space="preserve"> supply of vaccines on the NIP.</w:t>
      </w:r>
    </w:p>
    <w:p w14:paraId="3A57ED76" w14:textId="77777777" w:rsidR="008C49E2" w:rsidRPr="007A26E0" w:rsidRDefault="008C49E2" w:rsidP="002D225E">
      <w:pPr>
        <w:autoSpaceDE w:val="0"/>
        <w:autoSpaceDN w:val="0"/>
        <w:adjustRightInd w:val="0"/>
        <w:rPr>
          <w:rStyle w:val="normalchar"/>
          <w:b/>
        </w:rPr>
      </w:pPr>
    </w:p>
    <w:p w14:paraId="5ECAF226" w14:textId="4F8848A6" w:rsidR="002D225E" w:rsidRPr="007A26E0" w:rsidRDefault="002D225E" w:rsidP="002D225E">
      <w:pPr>
        <w:autoSpaceDE w:val="0"/>
        <w:autoSpaceDN w:val="0"/>
        <w:adjustRightInd w:val="0"/>
        <w:rPr>
          <w:b/>
        </w:rPr>
      </w:pPr>
      <w:r w:rsidRPr="007A26E0">
        <w:rPr>
          <w:rStyle w:val="normalchar"/>
          <w:b/>
        </w:rPr>
        <w:t>Consultation</w:t>
      </w:r>
    </w:p>
    <w:p w14:paraId="2AB890D8" w14:textId="00AFECE0" w:rsidR="002D225E" w:rsidRPr="007A26E0" w:rsidRDefault="002D225E" w:rsidP="009B566D">
      <w:pPr>
        <w:spacing w:after="240"/>
        <w:rPr>
          <w:color w:val="000000"/>
          <w:szCs w:val="22"/>
        </w:rPr>
      </w:pPr>
      <w:r w:rsidRPr="007A26E0">
        <w:rPr>
          <w:color w:val="000000"/>
          <w:szCs w:val="22"/>
        </w:rPr>
        <w:t>The involvement of interested parties through the membership of the PBAC constitutes a formal and ongoing process of consultation. The PBAC is</w:t>
      </w:r>
      <w:r w:rsidR="00F55A35" w:rsidRPr="007A26E0">
        <w:rPr>
          <w:color w:val="000000"/>
          <w:szCs w:val="22"/>
        </w:rPr>
        <w:t xml:space="preserve"> </w:t>
      </w:r>
      <w:r w:rsidRPr="007A26E0">
        <w:rPr>
          <w:color w:val="000000"/>
          <w:szCs w:val="22"/>
        </w:rPr>
        <w:t xml:space="preserve">an independent expert body established by section 100A of the Act, which makes recommendations to, and advises the Minister about, the determination of specified vaccines as designated vaccines under section 9B, for the NIP. </w:t>
      </w:r>
      <w:r w:rsidR="0020064C" w:rsidRPr="007A26E0">
        <w:rPr>
          <w:color w:val="000000"/>
          <w:szCs w:val="22"/>
        </w:rPr>
        <w:t xml:space="preserve">The </w:t>
      </w:r>
      <w:r w:rsidRPr="007A26E0">
        <w:rPr>
          <w:color w:val="000000"/>
          <w:szCs w:val="22"/>
        </w:rPr>
        <w:t>PBAC members are appointed from nominations by organisations and associations representing industry,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or experience in a field relevant to the functions of the PBAC that would enable them to contribute meaningfully to the deliberations of the PBAC.</w:t>
      </w:r>
    </w:p>
    <w:p w14:paraId="6C76E2BC" w14:textId="69619D41" w:rsidR="002D225E" w:rsidRPr="007A26E0" w:rsidRDefault="002D225E" w:rsidP="009B566D">
      <w:pPr>
        <w:spacing w:after="240"/>
        <w:rPr>
          <w:color w:val="000000"/>
          <w:szCs w:val="22"/>
        </w:rPr>
      </w:pPr>
      <w:r w:rsidRPr="007A26E0">
        <w:rPr>
          <w:color w:val="000000"/>
          <w:szCs w:val="22"/>
        </w:rPr>
        <w:t xml:space="preserve">When recommending the listing of a vaccine on the NIP and the circumstances in which a designated vaccine should be provided, PBAC takes into account the target population for which the vaccine has been approved for use in Australia and its clinical effectiveness, safety and cost-effectiveness. </w:t>
      </w:r>
      <w:r w:rsidR="007C674F" w:rsidRPr="007A26E0">
        <w:rPr>
          <w:color w:val="000000"/>
          <w:szCs w:val="22"/>
        </w:rPr>
        <w:t xml:space="preserve">The </w:t>
      </w:r>
      <w:r w:rsidRPr="007A26E0">
        <w:rPr>
          <w:color w:val="000000"/>
          <w:szCs w:val="22"/>
        </w:rPr>
        <w:t>PBAC also receive</w:t>
      </w:r>
      <w:r w:rsidR="000741F8" w:rsidRPr="007A26E0">
        <w:rPr>
          <w:color w:val="000000"/>
          <w:szCs w:val="22"/>
        </w:rPr>
        <w:t>d</w:t>
      </w:r>
      <w:r w:rsidRPr="007A26E0">
        <w:rPr>
          <w:color w:val="000000"/>
          <w:szCs w:val="22"/>
        </w:rPr>
        <w:t xml:space="preserve"> advice from the </w:t>
      </w:r>
      <w:r w:rsidR="004527BB" w:rsidRPr="007A26E0">
        <w:rPr>
          <w:color w:val="000000"/>
          <w:szCs w:val="22"/>
        </w:rPr>
        <w:t>ATAGI</w:t>
      </w:r>
      <w:r w:rsidRPr="007A26E0">
        <w:rPr>
          <w:color w:val="000000"/>
          <w:szCs w:val="22"/>
        </w:rPr>
        <w:t xml:space="preserve"> regarding the clinical aspects of the disease and the vaccine.</w:t>
      </w:r>
    </w:p>
    <w:p w14:paraId="1D73206D" w14:textId="0F645CD5" w:rsidR="002D225E" w:rsidRPr="007A26E0" w:rsidRDefault="002D225E" w:rsidP="009B566D">
      <w:pPr>
        <w:spacing w:after="240"/>
        <w:rPr>
          <w:color w:val="000000"/>
          <w:szCs w:val="22"/>
        </w:rPr>
      </w:pPr>
      <w:r w:rsidRPr="007A26E0">
        <w:rPr>
          <w:color w:val="000000"/>
          <w:szCs w:val="22"/>
        </w:rPr>
        <w:t>Pharmaceutical companies are consulted throughout the process of the listing of their vaccine on the NIP and in relation to changes to those listings. This includes the company submission to the PBAC and involvement throughout the PBAC process.</w:t>
      </w:r>
    </w:p>
    <w:p w14:paraId="46D87751" w14:textId="77777777" w:rsidR="002D225E" w:rsidRPr="007A26E0" w:rsidRDefault="002D225E" w:rsidP="009B566D">
      <w:pPr>
        <w:spacing w:after="240"/>
        <w:rPr>
          <w:color w:val="000000"/>
          <w:szCs w:val="22"/>
        </w:rPr>
      </w:pPr>
      <w:r w:rsidRPr="007A26E0">
        <w:rPr>
          <w:color w:val="000000"/>
          <w:szCs w:val="22"/>
        </w:rPr>
        <w:t>As part of the PBAC process, patients, carers, members of the public, health professionals or members of consumer interest groups may provide comments and feedback on vaccines being considered by the PBAC via a web interface or in writing over a period of six weeks prior to PBAC meetings. These are provided to the PBAC in a de-identified form for consideration alongside the company submission.</w:t>
      </w:r>
    </w:p>
    <w:p w14:paraId="6307A92C" w14:textId="77777777" w:rsidR="002D225E" w:rsidRPr="007A26E0" w:rsidRDefault="002D225E" w:rsidP="009B566D">
      <w:pPr>
        <w:spacing w:after="240"/>
        <w:rPr>
          <w:color w:val="000000"/>
          <w:szCs w:val="22"/>
        </w:rPr>
      </w:pPr>
      <w:r w:rsidRPr="007A26E0">
        <w:rPr>
          <w:color w:val="000000"/>
          <w:szCs w:val="22"/>
        </w:rPr>
        <w:t>It was considered that further consultation for this Instrument was unnecessary due to the nature of the consultation that had already taken place.</w:t>
      </w:r>
    </w:p>
    <w:p w14:paraId="57D5FFC4" w14:textId="638F3A8B" w:rsidR="002D225E" w:rsidRPr="007A26E0" w:rsidRDefault="002D225E" w:rsidP="009B566D">
      <w:pPr>
        <w:spacing w:after="240"/>
        <w:rPr>
          <w:color w:val="000000"/>
          <w:szCs w:val="22"/>
        </w:rPr>
      </w:pPr>
      <w:r w:rsidRPr="007A26E0">
        <w:rPr>
          <w:color w:val="000000"/>
          <w:szCs w:val="22"/>
        </w:rPr>
        <w:t>Details of the Amendment Determination are set out in Attachment</w:t>
      </w:r>
      <w:r w:rsidR="000741F8" w:rsidRPr="007A26E0">
        <w:rPr>
          <w:color w:val="000000"/>
          <w:szCs w:val="22"/>
        </w:rPr>
        <w:t xml:space="preserve"> 1</w:t>
      </w:r>
      <w:r w:rsidRPr="007A26E0">
        <w:rPr>
          <w:color w:val="000000"/>
          <w:szCs w:val="22"/>
        </w:rPr>
        <w:t>.</w:t>
      </w:r>
    </w:p>
    <w:p w14:paraId="74F50EB7" w14:textId="05EBC946" w:rsidR="002D225E" w:rsidRPr="007A26E0" w:rsidRDefault="002D225E" w:rsidP="009B566D">
      <w:pPr>
        <w:spacing w:after="240"/>
        <w:rPr>
          <w:color w:val="000000"/>
          <w:szCs w:val="22"/>
        </w:rPr>
      </w:pPr>
      <w:r w:rsidRPr="007A26E0">
        <w:rPr>
          <w:color w:val="000000"/>
          <w:szCs w:val="22"/>
        </w:rPr>
        <w:t>The Amendment Determination commences on the day after registratio</w:t>
      </w:r>
      <w:r w:rsidR="00B43959" w:rsidRPr="007A26E0">
        <w:rPr>
          <w:color w:val="000000"/>
          <w:szCs w:val="22"/>
        </w:rPr>
        <w:t>n.</w:t>
      </w:r>
    </w:p>
    <w:p w14:paraId="283AE0BD" w14:textId="77777777" w:rsidR="002D225E" w:rsidRPr="007A26E0" w:rsidRDefault="002D225E" w:rsidP="009B566D">
      <w:pPr>
        <w:spacing w:after="240"/>
        <w:rPr>
          <w:color w:val="000000"/>
          <w:szCs w:val="22"/>
        </w:rPr>
      </w:pPr>
      <w:r w:rsidRPr="007A26E0">
        <w:rPr>
          <w:color w:val="000000"/>
          <w:szCs w:val="22"/>
        </w:rPr>
        <w:t xml:space="preserve">The Amendment Determination is a legislative instrument for the purposes of the </w:t>
      </w:r>
      <w:r w:rsidRPr="007A26E0">
        <w:rPr>
          <w:i/>
          <w:color w:val="000000"/>
          <w:szCs w:val="22"/>
        </w:rPr>
        <w:t>Legislation Act 2003</w:t>
      </w:r>
      <w:r w:rsidRPr="007A26E0">
        <w:rPr>
          <w:color w:val="000000"/>
          <w:szCs w:val="22"/>
        </w:rPr>
        <w:t>.</w:t>
      </w:r>
    </w:p>
    <w:p w14:paraId="5BF80352" w14:textId="77777777" w:rsidR="008C49E2" w:rsidRPr="007A26E0" w:rsidRDefault="008C49E2" w:rsidP="00A61379">
      <w:pPr>
        <w:spacing w:after="200" w:line="276" w:lineRule="auto"/>
        <w:rPr>
          <w:b/>
        </w:rPr>
      </w:pPr>
    </w:p>
    <w:p w14:paraId="52EB1470" w14:textId="77777777" w:rsidR="008C49E2" w:rsidRPr="007A26E0" w:rsidRDefault="008C49E2" w:rsidP="00A61379">
      <w:pPr>
        <w:spacing w:after="200" w:line="276" w:lineRule="auto"/>
        <w:rPr>
          <w:b/>
        </w:rPr>
      </w:pPr>
    </w:p>
    <w:p w14:paraId="42E65FCB" w14:textId="1596BD5B" w:rsidR="002D225E" w:rsidRPr="007A26E0" w:rsidRDefault="002D225E" w:rsidP="00A61379">
      <w:pPr>
        <w:spacing w:after="200" w:line="276" w:lineRule="auto"/>
        <w:rPr>
          <w:b/>
          <w:i/>
        </w:rPr>
      </w:pPr>
      <w:r w:rsidRPr="007A26E0">
        <w:rPr>
          <w:b/>
        </w:rPr>
        <w:lastRenderedPageBreak/>
        <w:t>ATTACHMENT</w:t>
      </w:r>
      <w:r w:rsidR="000741F8" w:rsidRPr="007A26E0">
        <w:rPr>
          <w:b/>
        </w:rPr>
        <w:t xml:space="preserve"> 1</w:t>
      </w:r>
    </w:p>
    <w:p w14:paraId="1AF5C896" w14:textId="77777777" w:rsidR="002D225E" w:rsidRPr="007A26E0" w:rsidRDefault="002D225E" w:rsidP="002D225E">
      <w:pPr>
        <w:jc w:val="both"/>
        <w:rPr>
          <w:b/>
        </w:rPr>
      </w:pPr>
    </w:p>
    <w:p w14:paraId="621CF42A" w14:textId="4064169A" w:rsidR="002D225E" w:rsidRPr="007A26E0" w:rsidRDefault="000741F8" w:rsidP="009D1FC4">
      <w:pPr>
        <w:rPr>
          <w:b/>
          <w:i/>
        </w:rPr>
      </w:pPr>
      <w:r w:rsidRPr="007A26E0">
        <w:rPr>
          <w:b/>
        </w:rPr>
        <w:t xml:space="preserve">Details of the </w:t>
      </w:r>
      <w:r w:rsidRPr="007A26E0">
        <w:rPr>
          <w:b/>
          <w:i/>
        </w:rPr>
        <w:t>National Health (Immunisation Program – Designated Vaccines) Amendment</w:t>
      </w:r>
      <w:r w:rsidR="002D225E" w:rsidRPr="007A26E0">
        <w:rPr>
          <w:b/>
          <w:i/>
        </w:rPr>
        <w:t xml:space="preserve"> </w:t>
      </w:r>
      <w:r w:rsidRPr="007A26E0">
        <w:rPr>
          <w:b/>
          <w:i/>
        </w:rPr>
        <w:t>Determination (No. 1) 2020</w:t>
      </w:r>
      <w:r w:rsidR="002D225E" w:rsidRPr="007A26E0">
        <w:rPr>
          <w:b/>
          <w:i/>
        </w:rPr>
        <w:t xml:space="preserve"> </w:t>
      </w:r>
    </w:p>
    <w:p w14:paraId="0BCFC8A7" w14:textId="77777777" w:rsidR="002D225E" w:rsidRPr="007A26E0" w:rsidRDefault="002D225E" w:rsidP="002D225E">
      <w:pPr>
        <w:jc w:val="both"/>
        <w:rPr>
          <w:b/>
        </w:rPr>
      </w:pPr>
    </w:p>
    <w:p w14:paraId="3D515688" w14:textId="77777777" w:rsidR="002D225E" w:rsidRPr="007A26E0" w:rsidRDefault="002D225E" w:rsidP="002D225E">
      <w:pPr>
        <w:jc w:val="both"/>
        <w:rPr>
          <w:u w:val="single"/>
        </w:rPr>
      </w:pPr>
      <w:r w:rsidRPr="007A26E0">
        <w:rPr>
          <w:u w:val="single"/>
        </w:rPr>
        <w:t>Section 1 – Name</w:t>
      </w:r>
    </w:p>
    <w:p w14:paraId="74716B28" w14:textId="77777777" w:rsidR="002D225E" w:rsidRPr="007A26E0" w:rsidRDefault="002D225E" w:rsidP="002D225E">
      <w:pPr>
        <w:jc w:val="both"/>
        <w:rPr>
          <w:u w:val="single"/>
        </w:rPr>
      </w:pPr>
    </w:p>
    <w:p w14:paraId="3E28CFDF" w14:textId="300115E7" w:rsidR="002D225E" w:rsidRPr="007A26E0" w:rsidRDefault="002D225E" w:rsidP="002D225E">
      <w:pPr>
        <w:rPr>
          <w:i/>
        </w:rPr>
      </w:pPr>
      <w:r w:rsidRPr="007A26E0">
        <w:t xml:space="preserve">Section 1 provides that the name of the instrument is the </w:t>
      </w:r>
      <w:r w:rsidRPr="007A26E0">
        <w:rPr>
          <w:i/>
        </w:rPr>
        <w:t>National Health (Immunisation Program – Designated Vaccines) Amendment Determination (No.</w:t>
      </w:r>
      <w:r w:rsidR="009F0A50" w:rsidRPr="007A26E0">
        <w:rPr>
          <w:i/>
        </w:rPr>
        <w:t xml:space="preserve"> 1) 2020</w:t>
      </w:r>
      <w:r w:rsidRPr="007A26E0">
        <w:rPr>
          <w:i/>
        </w:rPr>
        <w:t>.</w:t>
      </w:r>
    </w:p>
    <w:p w14:paraId="3EBB7F0B" w14:textId="77777777" w:rsidR="002D225E" w:rsidRPr="007A26E0" w:rsidRDefault="002D225E" w:rsidP="002D225E"/>
    <w:p w14:paraId="3A05AB74" w14:textId="77777777" w:rsidR="002D225E" w:rsidRPr="007A26E0" w:rsidRDefault="002D225E" w:rsidP="002D225E">
      <w:pPr>
        <w:rPr>
          <w:u w:val="single"/>
        </w:rPr>
      </w:pPr>
      <w:r w:rsidRPr="007A26E0">
        <w:rPr>
          <w:u w:val="single"/>
        </w:rPr>
        <w:t>Section 2 - Commencement</w:t>
      </w:r>
    </w:p>
    <w:p w14:paraId="068F4E8C" w14:textId="77777777" w:rsidR="002D225E" w:rsidRPr="007A26E0" w:rsidRDefault="002D225E" w:rsidP="002D225E">
      <w:pPr>
        <w:rPr>
          <w:b/>
        </w:rPr>
      </w:pPr>
    </w:p>
    <w:p w14:paraId="42C4F653" w14:textId="77777777" w:rsidR="002D225E" w:rsidRPr="007A26E0" w:rsidRDefault="002D225E" w:rsidP="002D225E">
      <w:r w:rsidRPr="007A26E0">
        <w:t>Section 2 provides that the Amendment Determination commences on the day after its registration.</w:t>
      </w:r>
    </w:p>
    <w:p w14:paraId="192AA11A" w14:textId="77777777" w:rsidR="002D225E" w:rsidRPr="007A26E0" w:rsidRDefault="002D225E" w:rsidP="002D225E"/>
    <w:p w14:paraId="137318D9" w14:textId="77777777" w:rsidR="002D225E" w:rsidRPr="007A26E0" w:rsidRDefault="002D225E" w:rsidP="002D225E">
      <w:pPr>
        <w:rPr>
          <w:u w:val="single"/>
        </w:rPr>
      </w:pPr>
      <w:r w:rsidRPr="007A26E0">
        <w:rPr>
          <w:u w:val="single"/>
        </w:rPr>
        <w:t>Section 3- Authority</w:t>
      </w:r>
    </w:p>
    <w:p w14:paraId="418CEB5D" w14:textId="77777777" w:rsidR="002D225E" w:rsidRPr="007A26E0" w:rsidRDefault="002D225E" w:rsidP="002D225E">
      <w:pPr>
        <w:rPr>
          <w:b/>
        </w:rPr>
      </w:pPr>
    </w:p>
    <w:p w14:paraId="562E20E8" w14:textId="77777777" w:rsidR="002D225E" w:rsidRPr="007A26E0" w:rsidRDefault="002D225E" w:rsidP="002D225E">
      <w:pPr>
        <w:rPr>
          <w:b/>
        </w:rPr>
      </w:pPr>
      <w:r w:rsidRPr="007A26E0">
        <w:rPr>
          <w:sz w:val="23"/>
          <w:szCs w:val="23"/>
        </w:rPr>
        <w:t xml:space="preserve">Section 3 provides that the Amendment Determination is made under section 9B of the </w:t>
      </w:r>
      <w:r w:rsidRPr="007A26E0">
        <w:rPr>
          <w:i/>
          <w:iCs/>
          <w:sz w:val="23"/>
          <w:szCs w:val="23"/>
        </w:rPr>
        <w:t>National Health Act 1953</w:t>
      </w:r>
      <w:r w:rsidRPr="007A26E0">
        <w:rPr>
          <w:sz w:val="23"/>
          <w:szCs w:val="23"/>
        </w:rPr>
        <w:t>.</w:t>
      </w:r>
    </w:p>
    <w:p w14:paraId="42B1411E" w14:textId="77777777" w:rsidR="002D225E" w:rsidRPr="007A26E0" w:rsidRDefault="002D225E" w:rsidP="002D225E">
      <w:pPr>
        <w:rPr>
          <w:b/>
        </w:rPr>
      </w:pPr>
    </w:p>
    <w:p w14:paraId="251BF7C3" w14:textId="77777777" w:rsidR="002D225E" w:rsidRPr="007A26E0" w:rsidRDefault="002D225E" w:rsidP="002D225E">
      <w:pPr>
        <w:rPr>
          <w:u w:val="single"/>
        </w:rPr>
      </w:pPr>
      <w:r w:rsidRPr="007A26E0">
        <w:rPr>
          <w:u w:val="single"/>
        </w:rPr>
        <w:t>Section 4- Schedules</w:t>
      </w:r>
    </w:p>
    <w:p w14:paraId="3CFCC1D7" w14:textId="77777777" w:rsidR="002D225E" w:rsidRPr="007A26E0" w:rsidRDefault="002D225E" w:rsidP="002D225E">
      <w:pPr>
        <w:rPr>
          <w:b/>
        </w:rPr>
      </w:pPr>
    </w:p>
    <w:p w14:paraId="47A53251" w14:textId="77777777" w:rsidR="002D225E" w:rsidRPr="007A26E0" w:rsidRDefault="002D225E" w:rsidP="002D225E">
      <w:r w:rsidRPr="007A26E0">
        <w:t>Section 4 provides that the Amendment Determination amends the instrument specified in a schedule to the Amendment Determination, and any other item in a Schedule to the instrument has effect according to its terms.</w:t>
      </w:r>
    </w:p>
    <w:p w14:paraId="278825C5" w14:textId="77777777" w:rsidR="002D225E" w:rsidRPr="007A26E0" w:rsidRDefault="002D225E" w:rsidP="002D225E"/>
    <w:p w14:paraId="2D1DAFF7" w14:textId="6BB40305" w:rsidR="002D225E" w:rsidRPr="007A26E0" w:rsidRDefault="001B2AFC" w:rsidP="002D225E">
      <w:pPr>
        <w:rPr>
          <w:u w:val="single"/>
        </w:rPr>
      </w:pPr>
      <w:r w:rsidRPr="007A26E0">
        <w:rPr>
          <w:u w:val="single"/>
        </w:rPr>
        <w:t>Schedule</w:t>
      </w:r>
      <w:r w:rsidR="000741F8" w:rsidRPr="007A26E0">
        <w:rPr>
          <w:u w:val="single"/>
        </w:rPr>
        <w:t xml:space="preserve"> 1</w:t>
      </w:r>
      <w:r w:rsidRPr="007A26E0">
        <w:rPr>
          <w:u w:val="single"/>
        </w:rPr>
        <w:t xml:space="preserve"> </w:t>
      </w:r>
      <w:r w:rsidR="002D225E" w:rsidRPr="007A26E0">
        <w:rPr>
          <w:u w:val="single"/>
        </w:rPr>
        <w:t>- Amendments</w:t>
      </w:r>
    </w:p>
    <w:p w14:paraId="66F44F73" w14:textId="77777777" w:rsidR="002D225E" w:rsidRPr="007A26E0" w:rsidRDefault="002D225E" w:rsidP="002D225E">
      <w:pPr>
        <w:rPr>
          <w:u w:val="single"/>
        </w:rPr>
      </w:pPr>
    </w:p>
    <w:p w14:paraId="4598DBDF" w14:textId="77777777" w:rsidR="002D225E" w:rsidRPr="007A26E0" w:rsidRDefault="002D225E" w:rsidP="002D225E">
      <w:r w:rsidRPr="007A26E0">
        <w:t xml:space="preserve">Schedule 1 varies the </w:t>
      </w:r>
      <w:r w:rsidRPr="007A26E0">
        <w:rPr>
          <w:i/>
        </w:rPr>
        <w:t xml:space="preserve">National Health (Immunisation Program – Designated Vaccines) Determination 2014 (No. 1) </w:t>
      </w:r>
      <w:r w:rsidRPr="007A26E0">
        <w:t>(the Principal Determination).</w:t>
      </w:r>
    </w:p>
    <w:p w14:paraId="1437E5D6" w14:textId="77777777" w:rsidR="002D225E" w:rsidRPr="007A26E0" w:rsidRDefault="002D225E" w:rsidP="002D225E">
      <w:pPr>
        <w:rPr>
          <w:b/>
          <w:i/>
        </w:rPr>
      </w:pPr>
    </w:p>
    <w:p w14:paraId="611930F5" w14:textId="0DA8A530" w:rsidR="00B80816" w:rsidRPr="007A26E0" w:rsidRDefault="00B80816" w:rsidP="002D225E">
      <w:pPr>
        <w:rPr>
          <w:b/>
          <w:color w:val="000000" w:themeColor="text1"/>
        </w:rPr>
      </w:pPr>
      <w:r w:rsidRPr="007A26E0">
        <w:rPr>
          <w:b/>
          <w:color w:val="000000" w:themeColor="text1"/>
        </w:rPr>
        <w:t xml:space="preserve">Item 1 – Before subsection 7(1) </w:t>
      </w:r>
    </w:p>
    <w:p w14:paraId="19D5ED4B" w14:textId="12F75D79" w:rsidR="00F62F33" w:rsidRPr="007A26E0" w:rsidRDefault="00F62F33" w:rsidP="002D225E">
      <w:pPr>
        <w:rPr>
          <w:color w:val="000000" w:themeColor="text1"/>
        </w:rPr>
      </w:pPr>
      <w:r w:rsidRPr="007A26E0">
        <w:rPr>
          <w:color w:val="000000" w:themeColor="text1"/>
        </w:rPr>
        <w:t xml:space="preserve">Item 1 inserts </w:t>
      </w:r>
      <w:r w:rsidR="00DE4872" w:rsidRPr="007A26E0">
        <w:rPr>
          <w:color w:val="000000" w:themeColor="text1"/>
        </w:rPr>
        <w:t xml:space="preserve">a new subsection 7(1A) which outlines the circumstances </w:t>
      </w:r>
      <w:r w:rsidR="00BF532C" w:rsidRPr="007A26E0">
        <w:rPr>
          <w:color w:val="000000" w:themeColor="text1"/>
        </w:rPr>
        <w:t xml:space="preserve">in which designated vaccines listed in </w:t>
      </w:r>
      <w:r w:rsidRPr="007A26E0">
        <w:rPr>
          <w:color w:val="000000" w:themeColor="text1"/>
        </w:rPr>
        <w:t xml:space="preserve">item 108A of Schedule 1 </w:t>
      </w:r>
      <w:r w:rsidR="00BF532C" w:rsidRPr="007A26E0">
        <w:rPr>
          <w:color w:val="000000" w:themeColor="text1"/>
        </w:rPr>
        <w:t>of</w:t>
      </w:r>
      <w:r w:rsidRPr="007A26E0">
        <w:rPr>
          <w:color w:val="000000" w:themeColor="text1"/>
        </w:rPr>
        <w:t xml:space="preserve"> the Principal Determination may be provided</w:t>
      </w:r>
      <w:r w:rsidR="00BF532C" w:rsidRPr="007A26E0">
        <w:rPr>
          <w:color w:val="000000" w:themeColor="text1"/>
        </w:rPr>
        <w:t>, including numbers and timing of booster doses, under the National Immunisation Program (NIP</w:t>
      </w:r>
      <w:r w:rsidR="0018000F" w:rsidRPr="007A26E0">
        <w:rPr>
          <w:color w:val="000000" w:themeColor="text1"/>
        </w:rPr>
        <w:t>)</w:t>
      </w:r>
      <w:r w:rsidR="00BF532C" w:rsidRPr="007A26E0">
        <w:rPr>
          <w:color w:val="000000" w:themeColor="text1"/>
        </w:rPr>
        <w:t>.</w:t>
      </w:r>
    </w:p>
    <w:p w14:paraId="207DFC7B" w14:textId="77777777" w:rsidR="00B80816" w:rsidRPr="007A26E0" w:rsidRDefault="00B80816" w:rsidP="002D225E">
      <w:pPr>
        <w:rPr>
          <w:b/>
        </w:rPr>
      </w:pPr>
    </w:p>
    <w:p w14:paraId="3F7904D4" w14:textId="5497292A" w:rsidR="002D225E" w:rsidRPr="007A26E0" w:rsidRDefault="002D225E" w:rsidP="002D225E">
      <w:pPr>
        <w:rPr>
          <w:b/>
        </w:rPr>
      </w:pPr>
      <w:r w:rsidRPr="007A26E0">
        <w:rPr>
          <w:b/>
        </w:rPr>
        <w:t xml:space="preserve">Item </w:t>
      </w:r>
      <w:r w:rsidR="00B80816" w:rsidRPr="007A26E0">
        <w:rPr>
          <w:b/>
        </w:rPr>
        <w:t>2</w:t>
      </w:r>
      <w:r w:rsidRPr="007A26E0">
        <w:rPr>
          <w:b/>
        </w:rPr>
        <w:t xml:space="preserve"> </w:t>
      </w:r>
      <w:r w:rsidR="00123BC4" w:rsidRPr="007A26E0">
        <w:rPr>
          <w:b/>
        </w:rPr>
        <w:t xml:space="preserve">– </w:t>
      </w:r>
      <w:r w:rsidR="004C7BF2" w:rsidRPr="007A26E0">
        <w:rPr>
          <w:b/>
        </w:rPr>
        <w:t>After paragraph</w:t>
      </w:r>
      <w:r w:rsidR="00123BC4" w:rsidRPr="007A26E0">
        <w:rPr>
          <w:b/>
        </w:rPr>
        <w:t xml:space="preserve"> 7(1)(a)</w:t>
      </w:r>
    </w:p>
    <w:p w14:paraId="2C1EFCCF" w14:textId="70C30746" w:rsidR="0093037D" w:rsidRPr="007A26E0" w:rsidRDefault="0093037D">
      <w:pPr>
        <w:spacing w:after="200" w:line="276" w:lineRule="auto"/>
      </w:pPr>
      <w:r w:rsidRPr="007A26E0">
        <w:t xml:space="preserve">Item </w:t>
      </w:r>
      <w:r w:rsidR="00B80816" w:rsidRPr="007A26E0">
        <w:t>2</w:t>
      </w:r>
      <w:r w:rsidR="004C7BF2" w:rsidRPr="007A26E0">
        <w:t xml:space="preserve"> </w:t>
      </w:r>
      <w:r w:rsidR="000E2C8D" w:rsidRPr="007A26E0">
        <w:t>inserts revised circumstances</w:t>
      </w:r>
      <w:r w:rsidR="00020881" w:rsidRPr="007A26E0">
        <w:t xml:space="preserve"> </w:t>
      </w:r>
      <w:r w:rsidR="000E2C8D" w:rsidRPr="007A26E0">
        <w:t>after paragraph 7(1)(a) for which item 110</w:t>
      </w:r>
      <w:r w:rsidR="001D6A15" w:rsidRPr="007A26E0">
        <w:t xml:space="preserve"> (Prevenar 13) </w:t>
      </w:r>
      <w:r w:rsidR="00F364D0" w:rsidRPr="007A26E0">
        <w:t>of Schedule 1</w:t>
      </w:r>
      <w:r w:rsidR="000E2C8D" w:rsidRPr="007A26E0">
        <w:t xml:space="preserve"> </w:t>
      </w:r>
      <w:r w:rsidR="007E550F" w:rsidRPr="007A26E0">
        <w:t>in</w:t>
      </w:r>
      <w:r w:rsidR="000741F8" w:rsidRPr="007A26E0">
        <w:t xml:space="preserve"> the Principal Determination </w:t>
      </w:r>
      <w:r w:rsidR="002872F1" w:rsidRPr="007A26E0">
        <w:t>may</w:t>
      </w:r>
      <w:r w:rsidR="00F62F33" w:rsidRPr="007A26E0">
        <w:t xml:space="preserve"> be provided for under the</w:t>
      </w:r>
      <w:r w:rsidR="009B566D" w:rsidRPr="007A26E0">
        <w:t xml:space="preserve"> NIP.</w:t>
      </w:r>
    </w:p>
    <w:p w14:paraId="53F26770" w14:textId="6C7C151B" w:rsidR="00123BC4" w:rsidRPr="007A26E0" w:rsidRDefault="00B80816">
      <w:pPr>
        <w:spacing w:after="200" w:line="276" w:lineRule="auto"/>
      </w:pPr>
      <w:r w:rsidRPr="007A26E0">
        <w:rPr>
          <w:b/>
        </w:rPr>
        <w:t>Item 3</w:t>
      </w:r>
      <w:r w:rsidR="00123BC4" w:rsidRPr="007A26E0">
        <w:rPr>
          <w:b/>
        </w:rPr>
        <w:t xml:space="preserve"> – Subsection 7(2)</w:t>
      </w:r>
      <w:r w:rsidR="0093037D" w:rsidRPr="007A26E0">
        <w:rPr>
          <w:b/>
          <w:i/>
        </w:rPr>
        <w:br/>
      </w:r>
      <w:r w:rsidRPr="007A26E0">
        <w:t>Item 3</w:t>
      </w:r>
      <w:r w:rsidR="0093037D" w:rsidRPr="007A26E0">
        <w:rPr>
          <w:b/>
          <w:i/>
        </w:rPr>
        <w:t xml:space="preserve"> </w:t>
      </w:r>
      <w:r w:rsidR="0093037D" w:rsidRPr="007A26E0">
        <w:t xml:space="preserve">repeals subsection 7(2) in the </w:t>
      </w:r>
      <w:r w:rsidR="000741F8" w:rsidRPr="007A26E0">
        <w:t xml:space="preserve">Principal </w:t>
      </w:r>
      <w:r w:rsidR="0093037D" w:rsidRPr="007A26E0">
        <w:t xml:space="preserve">Determination and substitutes it with a new subsection 7(2). The new subsection 7(2) provides </w:t>
      </w:r>
      <w:r w:rsidR="004C7BF2" w:rsidRPr="007A26E0">
        <w:t>revised</w:t>
      </w:r>
      <w:r w:rsidR="0093037D" w:rsidRPr="007A26E0">
        <w:t xml:space="preserve"> circumstances for which item 112</w:t>
      </w:r>
      <w:r w:rsidR="001D6A15" w:rsidRPr="007A26E0">
        <w:t xml:space="preserve"> (Pneumovax 23) </w:t>
      </w:r>
      <w:r w:rsidR="002872F1" w:rsidRPr="007A26E0">
        <w:t>may</w:t>
      </w:r>
      <w:r w:rsidR="0093037D" w:rsidRPr="007A26E0">
        <w:t xml:space="preserve"> be provided for under the NIP.</w:t>
      </w:r>
    </w:p>
    <w:p w14:paraId="2C314055" w14:textId="4B8E330D" w:rsidR="004C7BF2" w:rsidRPr="007A26E0" w:rsidRDefault="00B80816">
      <w:pPr>
        <w:spacing w:after="200" w:line="276" w:lineRule="auto"/>
        <w:rPr>
          <w:color w:val="000000"/>
          <w:szCs w:val="22"/>
        </w:rPr>
      </w:pPr>
      <w:r w:rsidRPr="007A26E0">
        <w:rPr>
          <w:b/>
          <w:color w:val="000000"/>
          <w:szCs w:val="22"/>
        </w:rPr>
        <w:t>Item 4</w:t>
      </w:r>
      <w:r w:rsidR="00123BC4" w:rsidRPr="007A26E0">
        <w:rPr>
          <w:b/>
          <w:color w:val="000000"/>
          <w:szCs w:val="22"/>
        </w:rPr>
        <w:t xml:space="preserve"> – Part </w:t>
      </w:r>
      <w:r w:rsidR="00A2490E" w:rsidRPr="007A26E0">
        <w:rPr>
          <w:b/>
          <w:color w:val="000000"/>
          <w:szCs w:val="22"/>
        </w:rPr>
        <w:t>1 of Schedule 1 (i</w:t>
      </w:r>
      <w:r w:rsidR="00123BC4" w:rsidRPr="007A26E0">
        <w:rPr>
          <w:b/>
          <w:color w:val="000000"/>
          <w:szCs w:val="22"/>
        </w:rPr>
        <w:t>tem 103)</w:t>
      </w:r>
      <w:r w:rsidR="00123BC4" w:rsidRPr="007A26E0">
        <w:rPr>
          <w:b/>
          <w:i/>
          <w:color w:val="000000"/>
          <w:szCs w:val="22"/>
        </w:rPr>
        <w:t xml:space="preserve"> </w:t>
      </w:r>
      <w:r w:rsidR="004C7BF2" w:rsidRPr="007A26E0">
        <w:rPr>
          <w:b/>
          <w:i/>
          <w:color w:val="000000"/>
          <w:szCs w:val="22"/>
        </w:rPr>
        <w:br/>
      </w:r>
      <w:r w:rsidRPr="007A26E0">
        <w:rPr>
          <w:color w:val="000000"/>
          <w:szCs w:val="22"/>
        </w:rPr>
        <w:t>Item 4</w:t>
      </w:r>
      <w:r w:rsidR="0021556F" w:rsidRPr="007A26E0">
        <w:rPr>
          <w:color w:val="000000"/>
          <w:szCs w:val="22"/>
        </w:rPr>
        <w:t xml:space="preserve"> repeals</w:t>
      </w:r>
      <w:r w:rsidR="00A2490E" w:rsidRPr="007A26E0">
        <w:rPr>
          <w:color w:val="000000"/>
          <w:szCs w:val="22"/>
        </w:rPr>
        <w:t xml:space="preserve"> the circumstance in</w:t>
      </w:r>
      <w:r w:rsidR="0021556F" w:rsidRPr="007A26E0">
        <w:rPr>
          <w:color w:val="000000"/>
          <w:szCs w:val="22"/>
        </w:rPr>
        <w:t xml:space="preserve"> </w:t>
      </w:r>
      <w:r w:rsidR="00A2490E" w:rsidRPr="007A26E0">
        <w:rPr>
          <w:color w:val="000000"/>
          <w:szCs w:val="22"/>
        </w:rPr>
        <w:t>Part 1 of Schedule 1 (i</w:t>
      </w:r>
      <w:r w:rsidR="0021556F" w:rsidRPr="007A26E0">
        <w:rPr>
          <w:color w:val="000000"/>
          <w:szCs w:val="22"/>
        </w:rPr>
        <w:t>tem 103</w:t>
      </w:r>
      <w:r w:rsidR="00020881" w:rsidRPr="007A26E0">
        <w:rPr>
          <w:color w:val="000000"/>
          <w:szCs w:val="22"/>
        </w:rPr>
        <w:t>, column headed “Vaccine and the circumstances in which vaccine may be provided”</w:t>
      </w:r>
      <w:r w:rsidR="0021556F" w:rsidRPr="007A26E0">
        <w:rPr>
          <w:color w:val="000000"/>
          <w:szCs w:val="22"/>
        </w:rPr>
        <w:t xml:space="preserve">) and substitutes it with revised circumstances in which </w:t>
      </w:r>
      <w:r w:rsidR="001D6A15" w:rsidRPr="007A26E0">
        <w:rPr>
          <w:color w:val="000000"/>
          <w:szCs w:val="22"/>
        </w:rPr>
        <w:t xml:space="preserve">ActHib or Hiberix </w:t>
      </w:r>
      <w:r w:rsidR="002872F1" w:rsidRPr="007A26E0">
        <w:rPr>
          <w:color w:val="000000"/>
          <w:szCs w:val="22"/>
        </w:rPr>
        <w:t>may</w:t>
      </w:r>
      <w:r w:rsidR="00B43959" w:rsidRPr="007A26E0">
        <w:rPr>
          <w:color w:val="000000"/>
          <w:szCs w:val="22"/>
        </w:rPr>
        <w:t xml:space="preserve"> be provided under the NIP.</w:t>
      </w:r>
    </w:p>
    <w:p w14:paraId="3112FC8F" w14:textId="07EC9FC6" w:rsidR="002E2D52" w:rsidRPr="007A26E0" w:rsidRDefault="00B80816" w:rsidP="002E2D52">
      <w:pPr>
        <w:spacing w:after="200" w:line="276" w:lineRule="auto"/>
        <w:rPr>
          <w:b/>
          <w:i/>
          <w:color w:val="000000"/>
          <w:szCs w:val="22"/>
        </w:rPr>
      </w:pPr>
      <w:r w:rsidRPr="007A26E0">
        <w:rPr>
          <w:b/>
          <w:color w:val="000000"/>
          <w:szCs w:val="22"/>
        </w:rPr>
        <w:t>Item 5</w:t>
      </w:r>
      <w:r w:rsidR="00123BC4" w:rsidRPr="007A26E0">
        <w:rPr>
          <w:b/>
          <w:color w:val="000000"/>
          <w:szCs w:val="22"/>
        </w:rPr>
        <w:t xml:space="preserve"> - Part </w:t>
      </w:r>
      <w:r w:rsidR="00252CB6" w:rsidRPr="007A26E0">
        <w:rPr>
          <w:b/>
          <w:color w:val="000000"/>
          <w:szCs w:val="22"/>
        </w:rPr>
        <w:t>1 of Schedule 1 (i</w:t>
      </w:r>
      <w:r w:rsidR="00123BC4" w:rsidRPr="007A26E0">
        <w:rPr>
          <w:b/>
          <w:color w:val="000000"/>
          <w:szCs w:val="22"/>
        </w:rPr>
        <w:t>tem 108A)</w:t>
      </w:r>
      <w:r w:rsidR="0021556F" w:rsidRPr="007A26E0">
        <w:rPr>
          <w:b/>
          <w:i/>
          <w:color w:val="000000"/>
          <w:szCs w:val="22"/>
        </w:rPr>
        <w:br/>
      </w:r>
      <w:r w:rsidRPr="007A26E0">
        <w:rPr>
          <w:color w:val="000000"/>
          <w:szCs w:val="22"/>
        </w:rPr>
        <w:t>Item 5</w:t>
      </w:r>
      <w:r w:rsidR="0021556F" w:rsidRPr="007A26E0">
        <w:rPr>
          <w:color w:val="000000"/>
          <w:szCs w:val="22"/>
        </w:rPr>
        <w:t xml:space="preserve"> </w:t>
      </w:r>
      <w:r w:rsidR="00A2490E" w:rsidRPr="007A26E0">
        <w:rPr>
          <w:color w:val="000000"/>
          <w:szCs w:val="22"/>
        </w:rPr>
        <w:t>repeals the circumstances in Part 1 of Schedule 1 (item 108A</w:t>
      </w:r>
      <w:r w:rsidR="00020881" w:rsidRPr="007A26E0">
        <w:rPr>
          <w:color w:val="000000"/>
          <w:szCs w:val="22"/>
        </w:rPr>
        <w:t xml:space="preserve">, column headed </w:t>
      </w:r>
      <w:r w:rsidR="00020881" w:rsidRPr="007A26E0">
        <w:rPr>
          <w:color w:val="000000"/>
          <w:szCs w:val="22"/>
        </w:rPr>
        <w:lastRenderedPageBreak/>
        <w:t>“Vaccine and the circumstances in which vaccine may be provided”</w:t>
      </w:r>
      <w:r w:rsidR="00A2490E" w:rsidRPr="007A26E0">
        <w:rPr>
          <w:color w:val="000000"/>
          <w:szCs w:val="22"/>
        </w:rPr>
        <w:t xml:space="preserve">) and substitutes it with revised circumstances in which </w:t>
      </w:r>
      <w:r w:rsidR="003A0A47" w:rsidRPr="007A26E0">
        <w:rPr>
          <w:color w:val="000000"/>
          <w:szCs w:val="22"/>
        </w:rPr>
        <w:t xml:space="preserve">Nimenrix </w:t>
      </w:r>
      <w:r w:rsidR="002872F1" w:rsidRPr="007A26E0">
        <w:rPr>
          <w:color w:val="000000"/>
          <w:szCs w:val="22"/>
        </w:rPr>
        <w:t>may</w:t>
      </w:r>
      <w:r w:rsidR="00A2490E" w:rsidRPr="007A26E0">
        <w:rPr>
          <w:color w:val="000000"/>
          <w:szCs w:val="22"/>
        </w:rPr>
        <w:t xml:space="preserve"> be provided under the NIP.</w:t>
      </w:r>
    </w:p>
    <w:p w14:paraId="6AF9688E" w14:textId="1ACA3EE3" w:rsidR="00F14CAC" w:rsidRPr="007A26E0" w:rsidRDefault="00F14CAC" w:rsidP="002E2D52">
      <w:pPr>
        <w:spacing w:after="200" w:line="276" w:lineRule="auto"/>
        <w:rPr>
          <w:b/>
          <w:color w:val="000000" w:themeColor="text1"/>
          <w:szCs w:val="22"/>
        </w:rPr>
      </w:pPr>
      <w:r w:rsidRPr="007A26E0">
        <w:rPr>
          <w:b/>
          <w:color w:val="000000" w:themeColor="text1"/>
          <w:szCs w:val="22"/>
        </w:rPr>
        <w:t xml:space="preserve">Item 6 </w:t>
      </w:r>
      <w:r w:rsidR="009D1FC4" w:rsidRPr="007A26E0">
        <w:rPr>
          <w:b/>
          <w:color w:val="000000" w:themeColor="text1"/>
          <w:szCs w:val="22"/>
        </w:rPr>
        <w:t>– Part 1 of Schedule 1 (item 108A)</w:t>
      </w:r>
      <w:r w:rsidR="009D1FC4" w:rsidRPr="007A26E0">
        <w:rPr>
          <w:b/>
          <w:color w:val="000000" w:themeColor="text1"/>
          <w:szCs w:val="22"/>
        </w:rPr>
        <w:br/>
      </w:r>
      <w:r w:rsidR="009D1FC4" w:rsidRPr="007A26E0">
        <w:rPr>
          <w:color w:val="000000" w:themeColor="text1"/>
          <w:szCs w:val="22"/>
        </w:rPr>
        <w:t xml:space="preserve">Item 6 repeals the </w:t>
      </w:r>
      <w:r w:rsidR="00DB598B" w:rsidRPr="007A26E0">
        <w:rPr>
          <w:color w:val="000000" w:themeColor="text1"/>
          <w:szCs w:val="22"/>
        </w:rPr>
        <w:t>number and timing of doses for</w:t>
      </w:r>
      <w:r w:rsidR="009D1FC4" w:rsidRPr="007A26E0">
        <w:rPr>
          <w:color w:val="000000" w:themeColor="text1"/>
          <w:szCs w:val="22"/>
        </w:rPr>
        <w:t xml:space="preserve"> Part 1 of Schedule 1 (item 108A, column headed “Number and timing of doses”) </w:t>
      </w:r>
      <w:r w:rsidR="0036189F" w:rsidRPr="007A26E0">
        <w:rPr>
          <w:color w:val="000000" w:themeColor="text1"/>
          <w:szCs w:val="22"/>
        </w:rPr>
        <w:t xml:space="preserve">and substitutes it with revised numbers and timings of doses </w:t>
      </w:r>
      <w:r w:rsidR="009D1FC4" w:rsidRPr="007A26E0">
        <w:rPr>
          <w:color w:val="000000" w:themeColor="text1"/>
          <w:szCs w:val="22"/>
        </w:rPr>
        <w:t>in which Nimenrix may be provided under the NIP.</w:t>
      </w:r>
    </w:p>
    <w:p w14:paraId="6AD144E9" w14:textId="7FFBCC49" w:rsidR="0098364A" w:rsidRPr="007A26E0" w:rsidRDefault="00F14CAC" w:rsidP="002E2D52">
      <w:pPr>
        <w:spacing w:after="200" w:line="276" w:lineRule="auto"/>
        <w:rPr>
          <w:color w:val="000000"/>
          <w:szCs w:val="22"/>
        </w:rPr>
      </w:pPr>
      <w:r w:rsidRPr="007A26E0">
        <w:rPr>
          <w:b/>
          <w:color w:val="000000"/>
          <w:szCs w:val="22"/>
        </w:rPr>
        <w:t>Item 7</w:t>
      </w:r>
      <w:r w:rsidR="00123BC4" w:rsidRPr="007A26E0">
        <w:rPr>
          <w:b/>
          <w:color w:val="000000"/>
          <w:szCs w:val="22"/>
        </w:rPr>
        <w:t xml:space="preserve"> - Part </w:t>
      </w:r>
      <w:r w:rsidR="00252CB6" w:rsidRPr="007A26E0">
        <w:rPr>
          <w:b/>
          <w:color w:val="000000"/>
          <w:szCs w:val="22"/>
        </w:rPr>
        <w:t>1 of Schedule 1 (i</w:t>
      </w:r>
      <w:r w:rsidR="00A2490E" w:rsidRPr="007A26E0">
        <w:rPr>
          <w:b/>
          <w:color w:val="000000"/>
          <w:szCs w:val="22"/>
        </w:rPr>
        <w:t>tem 110</w:t>
      </w:r>
      <w:r w:rsidR="00123BC4" w:rsidRPr="007A26E0">
        <w:rPr>
          <w:b/>
          <w:color w:val="000000"/>
          <w:szCs w:val="22"/>
        </w:rPr>
        <w:t>)</w:t>
      </w:r>
      <w:r w:rsidR="0098364A" w:rsidRPr="007A26E0">
        <w:rPr>
          <w:b/>
          <w:i/>
          <w:color w:val="000000"/>
          <w:szCs w:val="22"/>
        </w:rPr>
        <w:br/>
      </w:r>
      <w:r w:rsidRPr="007A26E0">
        <w:rPr>
          <w:color w:val="000000"/>
          <w:szCs w:val="22"/>
        </w:rPr>
        <w:t>Item 7</w:t>
      </w:r>
      <w:r w:rsidR="0098364A" w:rsidRPr="007A26E0">
        <w:rPr>
          <w:color w:val="000000"/>
          <w:szCs w:val="22"/>
        </w:rPr>
        <w:t xml:space="preserve"> </w:t>
      </w:r>
      <w:r w:rsidR="00020881" w:rsidRPr="007A26E0">
        <w:rPr>
          <w:color w:val="000000"/>
          <w:szCs w:val="22"/>
        </w:rPr>
        <w:t>Omits circumstance in Part 1 of Schedule 1</w:t>
      </w:r>
      <w:r w:rsidR="000741F8" w:rsidRPr="007A26E0">
        <w:rPr>
          <w:color w:val="000000"/>
          <w:szCs w:val="22"/>
        </w:rPr>
        <w:t xml:space="preserve"> of the Principal Determination</w:t>
      </w:r>
      <w:r w:rsidR="00020881" w:rsidRPr="007A26E0">
        <w:rPr>
          <w:color w:val="000000"/>
          <w:szCs w:val="22"/>
        </w:rPr>
        <w:t xml:space="preserve"> (table item 110, column headed “Vaccine and the circumstances in which </w:t>
      </w:r>
      <w:r w:rsidR="003A0A47" w:rsidRPr="007A26E0">
        <w:rPr>
          <w:color w:val="000000"/>
          <w:szCs w:val="22"/>
        </w:rPr>
        <w:t>Prevenar 13</w:t>
      </w:r>
      <w:r w:rsidR="00020881" w:rsidRPr="007A26E0">
        <w:rPr>
          <w:color w:val="000000"/>
          <w:szCs w:val="22"/>
        </w:rPr>
        <w:t xml:space="preserve"> may be provided) “(b) to a child who is about 6 months of age and is a member of a medical risk group”.</w:t>
      </w:r>
    </w:p>
    <w:p w14:paraId="3F7FEBF4" w14:textId="77C2190C" w:rsidR="009B566D" w:rsidRPr="007A26E0" w:rsidRDefault="009B566D">
      <w:pPr>
        <w:spacing w:after="200" w:line="276" w:lineRule="auto"/>
        <w:rPr>
          <w:color w:val="000000"/>
          <w:szCs w:val="22"/>
        </w:rPr>
      </w:pPr>
      <w:r w:rsidRPr="007A26E0">
        <w:rPr>
          <w:color w:val="000000"/>
          <w:szCs w:val="22"/>
        </w:rPr>
        <w:br w:type="page"/>
      </w:r>
    </w:p>
    <w:p w14:paraId="095EAC0D" w14:textId="324533F3" w:rsidR="002D225E" w:rsidRPr="007A26E0" w:rsidRDefault="002D225E" w:rsidP="002D225E">
      <w:pPr>
        <w:spacing w:after="200" w:line="276" w:lineRule="auto"/>
        <w:jc w:val="center"/>
        <w:rPr>
          <w:b/>
          <w:sz w:val="28"/>
          <w:szCs w:val="28"/>
        </w:rPr>
      </w:pPr>
      <w:r w:rsidRPr="007A26E0">
        <w:rPr>
          <w:b/>
          <w:sz w:val="28"/>
          <w:szCs w:val="28"/>
        </w:rPr>
        <w:lastRenderedPageBreak/>
        <w:t>Statement of Compatibility with Human Rights</w:t>
      </w:r>
    </w:p>
    <w:p w14:paraId="0FFB16F6" w14:textId="77777777" w:rsidR="002D225E" w:rsidRPr="007A26E0" w:rsidRDefault="002D225E" w:rsidP="002D225E">
      <w:pPr>
        <w:keepNext/>
        <w:keepLines/>
        <w:jc w:val="center"/>
        <w:rPr>
          <w:i/>
        </w:rPr>
      </w:pPr>
      <w:r w:rsidRPr="007A26E0">
        <w:rPr>
          <w:i/>
        </w:rPr>
        <w:t>Prepared in accordance with Part 3 of the Human Rights (Parliamentary Scrutiny) Act 2011</w:t>
      </w:r>
    </w:p>
    <w:p w14:paraId="2EACA399" w14:textId="77777777" w:rsidR="002D225E" w:rsidRPr="007A26E0" w:rsidRDefault="002D225E" w:rsidP="002D225E">
      <w:pPr>
        <w:keepNext/>
        <w:keepLines/>
        <w:ind w:right="45"/>
        <w:jc w:val="center"/>
        <w:rPr>
          <w:b/>
          <w:iCs/>
        </w:rPr>
      </w:pPr>
    </w:p>
    <w:p w14:paraId="300D0252" w14:textId="59396F96" w:rsidR="002D225E" w:rsidRPr="007A26E0" w:rsidRDefault="002D225E" w:rsidP="002D225E">
      <w:pPr>
        <w:jc w:val="center"/>
        <w:rPr>
          <w:b/>
          <w:bCs/>
          <w:i/>
        </w:rPr>
      </w:pPr>
      <w:r w:rsidRPr="007A26E0">
        <w:rPr>
          <w:b/>
          <w:bCs/>
          <w:i/>
        </w:rPr>
        <w:t>National Health (Immunisation Program – Designated Vaccines) Amendment</w:t>
      </w:r>
      <w:r w:rsidRPr="007A26E0">
        <w:rPr>
          <w:b/>
          <w:bCs/>
          <w:i/>
        </w:rPr>
        <w:br/>
        <w:t>Determination (</w:t>
      </w:r>
      <w:r w:rsidR="00FB48F6" w:rsidRPr="007A26E0">
        <w:rPr>
          <w:b/>
          <w:bCs/>
          <w:i/>
        </w:rPr>
        <w:t>No.1) 2020</w:t>
      </w:r>
      <w:r w:rsidRPr="007A26E0">
        <w:rPr>
          <w:b/>
          <w:bCs/>
          <w:i/>
        </w:rPr>
        <w:t xml:space="preserve"> </w:t>
      </w:r>
    </w:p>
    <w:p w14:paraId="7E1EC02E" w14:textId="77777777" w:rsidR="002D225E" w:rsidRPr="007A26E0" w:rsidRDefault="002D225E" w:rsidP="002D225E">
      <w:pPr>
        <w:keepNext/>
        <w:keepLines/>
        <w:ind w:right="45"/>
        <w:jc w:val="center"/>
        <w:rPr>
          <w:b/>
          <w:iCs/>
        </w:rPr>
      </w:pPr>
    </w:p>
    <w:p w14:paraId="7CBF8DFB" w14:textId="77777777" w:rsidR="002D225E" w:rsidRPr="007A26E0" w:rsidRDefault="002D225E" w:rsidP="009B566D">
      <w:pPr>
        <w:spacing w:after="240"/>
        <w:ind w:right="-136"/>
      </w:pPr>
      <w:r w:rsidRPr="007A26E0">
        <w:t xml:space="preserve">This Legislative Instrument is compatible with the human rights and freedoms recognised or declared in the international instruments listed in section 3 of the </w:t>
      </w:r>
      <w:r w:rsidRPr="007A26E0">
        <w:rPr>
          <w:i/>
        </w:rPr>
        <w:t>Human Rights (Parliamentary Scrutiny) Act 2011</w:t>
      </w:r>
      <w:r w:rsidRPr="007A26E0">
        <w:t>.</w:t>
      </w:r>
    </w:p>
    <w:p w14:paraId="117C1802" w14:textId="77777777" w:rsidR="002D225E" w:rsidRPr="007A26E0" w:rsidRDefault="002D225E" w:rsidP="002D225E">
      <w:pPr>
        <w:keepNext/>
        <w:keepLines/>
        <w:spacing w:after="120"/>
        <w:ind w:right="91"/>
      </w:pPr>
      <w:r w:rsidRPr="007A26E0">
        <w:rPr>
          <w:b/>
        </w:rPr>
        <w:t>Overview of the Legislative Instrument</w:t>
      </w:r>
    </w:p>
    <w:p w14:paraId="60B1AFE2" w14:textId="7CB3C9EC" w:rsidR="002D225E" w:rsidRPr="007A26E0" w:rsidRDefault="002D225E" w:rsidP="002D225E">
      <w:pPr>
        <w:keepNext/>
        <w:keepLines/>
        <w:spacing w:after="120"/>
        <w:ind w:right="-136"/>
      </w:pPr>
      <w:r w:rsidRPr="007A26E0">
        <w:t xml:space="preserve">The </w:t>
      </w:r>
      <w:r w:rsidRPr="007A26E0">
        <w:rPr>
          <w:i/>
        </w:rPr>
        <w:t xml:space="preserve">National Health (Immunisation Program – Designated Vaccines) Amendment Determination (No. </w:t>
      </w:r>
      <w:r w:rsidR="00BD0292" w:rsidRPr="007A26E0">
        <w:rPr>
          <w:i/>
        </w:rPr>
        <w:t>1) 2020</w:t>
      </w:r>
      <w:r w:rsidRPr="007A26E0">
        <w:rPr>
          <w:i/>
        </w:rPr>
        <w:t xml:space="preserve"> </w:t>
      </w:r>
      <w:r w:rsidRPr="007A26E0">
        <w:t xml:space="preserve">(the Amendment Determination) varies the </w:t>
      </w:r>
      <w:r w:rsidRPr="007A26E0">
        <w:rPr>
          <w:bCs/>
          <w:i/>
        </w:rPr>
        <w:t>National Health (Immunisation Program – Designated Vaccines) Determination 2014 (No.1</w:t>
      </w:r>
      <w:r w:rsidRPr="007A26E0">
        <w:t xml:space="preserve">) (the </w:t>
      </w:r>
      <w:r w:rsidR="007E550F" w:rsidRPr="007A26E0">
        <w:t xml:space="preserve">Principal </w:t>
      </w:r>
      <w:r w:rsidRPr="007A26E0">
        <w:t>Determination), which determines, under subsection 9B(2) of the</w:t>
      </w:r>
      <w:r w:rsidRPr="007A26E0">
        <w:rPr>
          <w:i/>
        </w:rPr>
        <w:t xml:space="preserve"> National Health Act 1953</w:t>
      </w:r>
      <w:r w:rsidRPr="007A26E0">
        <w:t xml:space="preserve"> (the Act), that a specified vaccine in the instrument is a designated vaccine for the purposes of the Act.</w:t>
      </w:r>
    </w:p>
    <w:p w14:paraId="1291FAF6" w14:textId="6B531A2F" w:rsidR="00751141" w:rsidRPr="007A26E0" w:rsidRDefault="00751141" w:rsidP="002D225E">
      <w:pPr>
        <w:keepNext/>
        <w:keepLines/>
        <w:spacing w:after="120"/>
        <w:ind w:right="-136"/>
      </w:pPr>
      <w:r w:rsidRPr="007A26E0">
        <w:t>The Amendment Determination w</w:t>
      </w:r>
      <w:r w:rsidR="00384FD2" w:rsidRPr="007A26E0">
        <w:t>ill provide</w:t>
      </w:r>
      <w:r w:rsidRPr="007A26E0">
        <w:t xml:space="preserve"> a whole-of-life pneumococcal vaccination schedule under the </w:t>
      </w:r>
      <w:r w:rsidR="007E550F" w:rsidRPr="007A26E0">
        <w:t>National Immunisation Program (NIP)</w:t>
      </w:r>
      <w:r w:rsidRPr="007A26E0">
        <w:t>, including both Prevenar 13 and Pneumovax 23, for individuals most as risk of invasive pneumococcal disease.</w:t>
      </w:r>
    </w:p>
    <w:p w14:paraId="56F85CFB" w14:textId="13FD1104" w:rsidR="00751141" w:rsidRPr="007A26E0" w:rsidRDefault="00751141" w:rsidP="009B566D">
      <w:pPr>
        <w:spacing w:after="240"/>
        <w:ind w:right="-136"/>
      </w:pPr>
      <w:r w:rsidRPr="007A26E0">
        <w:t xml:space="preserve">The Amendment Determination also </w:t>
      </w:r>
      <w:r w:rsidR="00384FD2" w:rsidRPr="007A26E0">
        <w:t>revises</w:t>
      </w:r>
      <w:r w:rsidRPr="007A26E0">
        <w:t xml:space="preserve"> the circumstances for which vaccines for individuals most at risk of </w:t>
      </w:r>
      <w:r w:rsidRPr="007A26E0">
        <w:rPr>
          <w:color w:val="000000"/>
          <w:szCs w:val="22"/>
        </w:rPr>
        <w:t xml:space="preserve">invasive meningococcal disease and Haemophilus influenzae type b are available under the NIP. </w:t>
      </w:r>
    </w:p>
    <w:p w14:paraId="6653AE1B" w14:textId="791631AC" w:rsidR="002D225E" w:rsidRPr="007A26E0" w:rsidRDefault="002D225E" w:rsidP="002D225E">
      <w:pPr>
        <w:keepNext/>
        <w:keepLines/>
        <w:spacing w:after="120"/>
        <w:jc w:val="both"/>
        <w:rPr>
          <w:b/>
        </w:rPr>
      </w:pPr>
      <w:r w:rsidRPr="007A26E0">
        <w:rPr>
          <w:b/>
        </w:rPr>
        <w:t>Human Rights Implications</w:t>
      </w:r>
    </w:p>
    <w:p w14:paraId="334B3B32" w14:textId="77777777" w:rsidR="002D225E" w:rsidRPr="007A26E0" w:rsidRDefault="002D225E" w:rsidP="002D225E">
      <w:pPr>
        <w:spacing w:before="120" w:after="120"/>
      </w:pPr>
      <w:r w:rsidRPr="007A26E0">
        <w:t>This Amendment Determination engages the right to health as set out in Article 12 of the International Covenant on Economic, Social and Cultural Rights by assisting with the progressive realisation by all appropriate means of the right of everyone to the enjoyment of the highest attainable standard of physical and mental health.</w:t>
      </w:r>
    </w:p>
    <w:p w14:paraId="682AAA87" w14:textId="3BB0B599" w:rsidR="002D225E" w:rsidRPr="007A26E0" w:rsidRDefault="002D225E" w:rsidP="002D225E">
      <w:pPr>
        <w:spacing w:after="240"/>
        <w:ind w:right="-136"/>
      </w:pPr>
      <w:r w:rsidRPr="007A26E0">
        <w:t>The Amendment Determination maintains compliance with the right to health by continuing to provide free access for eligible people to designated vaccines. The Amendment Determination continues to support the attainment of the highest standard of health for all Australians, by protecting individuals and the community against vaccine preventable disease.</w:t>
      </w:r>
    </w:p>
    <w:p w14:paraId="47DCF42E" w14:textId="77777777" w:rsidR="002D225E" w:rsidRPr="007A26E0" w:rsidRDefault="002D225E" w:rsidP="002D225E">
      <w:pPr>
        <w:keepNext/>
        <w:keepLines/>
        <w:spacing w:after="120"/>
        <w:jc w:val="both"/>
        <w:rPr>
          <w:b/>
        </w:rPr>
      </w:pPr>
      <w:r w:rsidRPr="007A26E0">
        <w:rPr>
          <w:b/>
        </w:rPr>
        <w:t>Conclusion</w:t>
      </w:r>
    </w:p>
    <w:p w14:paraId="02905B36" w14:textId="77777777" w:rsidR="002D225E" w:rsidRPr="007A26E0" w:rsidRDefault="002D225E" w:rsidP="002D225E">
      <w:pPr>
        <w:keepNext/>
        <w:keepLines/>
        <w:spacing w:after="240"/>
        <w:ind w:right="-136"/>
      </w:pPr>
      <w:r w:rsidRPr="007A26E0">
        <w:t>The Amendment Determination is compatible with human rights as it continues to promote the right to health.</w:t>
      </w:r>
    </w:p>
    <w:p w14:paraId="7707D991" w14:textId="77777777" w:rsidR="002D225E" w:rsidRPr="007A26E0" w:rsidRDefault="002D225E" w:rsidP="002D225E">
      <w:pPr>
        <w:keepNext/>
        <w:keepLines/>
        <w:jc w:val="center"/>
        <w:rPr>
          <w:b/>
        </w:rPr>
      </w:pPr>
    </w:p>
    <w:p w14:paraId="03327D4D" w14:textId="10455BEB" w:rsidR="002D225E" w:rsidRPr="007A26E0" w:rsidRDefault="00B46A4E" w:rsidP="002D225E">
      <w:pPr>
        <w:keepNext/>
        <w:keepLines/>
        <w:jc w:val="center"/>
        <w:rPr>
          <w:b/>
        </w:rPr>
      </w:pPr>
      <w:r w:rsidRPr="007A26E0">
        <w:rPr>
          <w:b/>
        </w:rPr>
        <w:t>Hope Peisley</w:t>
      </w:r>
    </w:p>
    <w:p w14:paraId="42FDB37C" w14:textId="6C4213D4" w:rsidR="002D225E" w:rsidRPr="007A26E0" w:rsidRDefault="002D225E" w:rsidP="002D225E">
      <w:pPr>
        <w:keepNext/>
        <w:keepLines/>
        <w:jc w:val="center"/>
        <w:rPr>
          <w:b/>
        </w:rPr>
      </w:pPr>
      <w:r w:rsidRPr="007A26E0">
        <w:rPr>
          <w:b/>
        </w:rPr>
        <w:t>Assistant Secretary</w:t>
      </w:r>
    </w:p>
    <w:p w14:paraId="19DB84F4" w14:textId="77777777" w:rsidR="002D225E" w:rsidRPr="007A26E0" w:rsidRDefault="002D225E" w:rsidP="002D225E">
      <w:pPr>
        <w:keepNext/>
        <w:keepLines/>
        <w:jc w:val="center"/>
        <w:rPr>
          <w:b/>
        </w:rPr>
      </w:pPr>
      <w:r w:rsidRPr="007A26E0">
        <w:rPr>
          <w:b/>
        </w:rPr>
        <w:t>Office of Health Protection</w:t>
      </w:r>
    </w:p>
    <w:p w14:paraId="15883426" w14:textId="77777777" w:rsidR="002D225E" w:rsidRPr="000A2EFF" w:rsidRDefault="002D225E" w:rsidP="002D225E">
      <w:pPr>
        <w:keepNext/>
        <w:keepLines/>
        <w:jc w:val="center"/>
        <w:rPr>
          <w:u w:val="single"/>
        </w:rPr>
      </w:pPr>
      <w:r w:rsidRPr="007A26E0">
        <w:rPr>
          <w:b/>
        </w:rPr>
        <w:t>Department of Health</w:t>
      </w:r>
      <w:bookmarkStart w:id="1" w:name="_GoBack"/>
      <w:bookmarkEnd w:id="1"/>
    </w:p>
    <w:sectPr w:rsidR="002D225E" w:rsidRPr="000A2EFF" w:rsidSect="00A67478">
      <w:headerReference w:type="default" r:id="rId8"/>
      <w:pgSz w:w="11906" w:h="16838"/>
      <w:pgMar w:top="567" w:right="1440" w:bottom="42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6C7C" w14:textId="77777777" w:rsidR="0051408A" w:rsidRDefault="0051408A" w:rsidP="00A96A1B">
      <w:r>
        <w:separator/>
      </w:r>
    </w:p>
  </w:endnote>
  <w:endnote w:type="continuationSeparator" w:id="0">
    <w:p w14:paraId="28B77E7B" w14:textId="77777777" w:rsidR="0051408A" w:rsidRDefault="0051408A" w:rsidP="00A96A1B">
      <w:r>
        <w:continuationSeparator/>
      </w:r>
    </w:p>
  </w:endnote>
  <w:endnote w:type="continuationNotice" w:id="1">
    <w:p w14:paraId="0871C875" w14:textId="77777777" w:rsidR="0051408A" w:rsidRDefault="0051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732A2" w14:textId="77777777" w:rsidR="0051408A" w:rsidRDefault="0051408A" w:rsidP="00A96A1B">
      <w:r>
        <w:separator/>
      </w:r>
    </w:p>
  </w:footnote>
  <w:footnote w:type="continuationSeparator" w:id="0">
    <w:p w14:paraId="48CD64B1" w14:textId="77777777" w:rsidR="0051408A" w:rsidRDefault="0051408A" w:rsidP="00A96A1B">
      <w:r>
        <w:continuationSeparator/>
      </w:r>
    </w:p>
  </w:footnote>
  <w:footnote w:type="continuationNotice" w:id="1">
    <w:p w14:paraId="3A4728C6" w14:textId="77777777" w:rsidR="0051408A" w:rsidRDefault="005140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251528"/>
      <w:docPartObj>
        <w:docPartGallery w:val="Page Numbers (Top of Page)"/>
        <w:docPartUnique/>
      </w:docPartObj>
    </w:sdtPr>
    <w:sdtEndPr>
      <w:rPr>
        <w:noProof/>
      </w:rPr>
    </w:sdtEndPr>
    <w:sdtContent>
      <w:p w14:paraId="2BF691C3" w14:textId="32448359" w:rsidR="0051408A" w:rsidRDefault="0051408A">
        <w:pPr>
          <w:pStyle w:val="Header"/>
          <w:jc w:val="center"/>
        </w:pPr>
        <w:r>
          <w:fldChar w:fldCharType="begin"/>
        </w:r>
        <w:r>
          <w:instrText xml:space="preserve"> PAGE   \* MERGEFORMAT </w:instrText>
        </w:r>
        <w:r>
          <w:fldChar w:fldCharType="separate"/>
        </w:r>
        <w:r w:rsidR="007A26E0">
          <w:rPr>
            <w:noProof/>
          </w:rPr>
          <w:t>1</w:t>
        </w:r>
        <w:r>
          <w:rPr>
            <w:noProof/>
          </w:rPr>
          <w:fldChar w:fldCharType="end"/>
        </w:r>
      </w:p>
    </w:sdtContent>
  </w:sdt>
  <w:p w14:paraId="1EE0A9DB" w14:textId="77777777" w:rsidR="0051408A" w:rsidRDefault="00514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02A9"/>
    <w:multiLevelType w:val="hybridMultilevel"/>
    <w:tmpl w:val="57B43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73F67"/>
    <w:multiLevelType w:val="hybridMultilevel"/>
    <w:tmpl w:val="2214B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16D32"/>
    <w:multiLevelType w:val="hybridMultilevel"/>
    <w:tmpl w:val="D948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61E56"/>
    <w:multiLevelType w:val="hybridMultilevel"/>
    <w:tmpl w:val="FD5A0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B3EE5"/>
    <w:multiLevelType w:val="hybridMultilevel"/>
    <w:tmpl w:val="5672A6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73C065E"/>
    <w:multiLevelType w:val="hybridMultilevel"/>
    <w:tmpl w:val="020CC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8222DF"/>
    <w:multiLevelType w:val="hybridMultilevel"/>
    <w:tmpl w:val="DF2EA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45F2D"/>
    <w:multiLevelType w:val="hybridMultilevel"/>
    <w:tmpl w:val="2A229D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2B24E57"/>
    <w:multiLevelType w:val="hybridMultilevel"/>
    <w:tmpl w:val="42F2B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937D23"/>
    <w:multiLevelType w:val="hybridMultilevel"/>
    <w:tmpl w:val="92567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F06BF7"/>
    <w:multiLevelType w:val="hybridMultilevel"/>
    <w:tmpl w:val="AFB0896E"/>
    <w:lvl w:ilvl="0" w:tplc="AA8C62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0E56B7"/>
    <w:multiLevelType w:val="hybridMultilevel"/>
    <w:tmpl w:val="FAFAE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093439"/>
    <w:multiLevelType w:val="hybridMultilevel"/>
    <w:tmpl w:val="71E8309A"/>
    <w:lvl w:ilvl="0" w:tplc="0C09000F">
      <w:start w:val="1"/>
      <w:numFmt w:val="decimal"/>
      <w:lvlText w:val="%1."/>
      <w:lvlJc w:val="left"/>
      <w:pPr>
        <w:tabs>
          <w:tab w:val="num" w:pos="780"/>
        </w:tabs>
        <w:ind w:left="780" w:hanging="360"/>
      </w:pPr>
    </w:lvl>
    <w:lvl w:ilvl="1" w:tplc="0C090019">
      <w:start w:val="1"/>
      <w:numFmt w:val="lowerLetter"/>
      <w:lvlText w:val="%2."/>
      <w:lvlJc w:val="left"/>
      <w:pPr>
        <w:tabs>
          <w:tab w:val="num" w:pos="1500"/>
        </w:tabs>
        <w:ind w:left="1500" w:hanging="360"/>
      </w:pPr>
    </w:lvl>
    <w:lvl w:ilvl="2" w:tplc="0C09001B">
      <w:start w:val="1"/>
      <w:numFmt w:val="lowerRoman"/>
      <w:lvlText w:val="%3."/>
      <w:lvlJc w:val="right"/>
      <w:pPr>
        <w:tabs>
          <w:tab w:val="num" w:pos="2220"/>
        </w:tabs>
        <w:ind w:left="2220" w:hanging="180"/>
      </w:pPr>
    </w:lvl>
    <w:lvl w:ilvl="3" w:tplc="0C09000F">
      <w:start w:val="1"/>
      <w:numFmt w:val="decimal"/>
      <w:lvlText w:val="%4."/>
      <w:lvlJc w:val="left"/>
      <w:pPr>
        <w:tabs>
          <w:tab w:val="num" w:pos="2940"/>
        </w:tabs>
        <w:ind w:left="2940" w:hanging="360"/>
      </w:pPr>
    </w:lvl>
    <w:lvl w:ilvl="4" w:tplc="0C090019">
      <w:start w:val="1"/>
      <w:numFmt w:val="lowerLetter"/>
      <w:lvlText w:val="%5."/>
      <w:lvlJc w:val="left"/>
      <w:pPr>
        <w:tabs>
          <w:tab w:val="num" w:pos="3660"/>
        </w:tabs>
        <w:ind w:left="3660" w:hanging="360"/>
      </w:pPr>
    </w:lvl>
    <w:lvl w:ilvl="5" w:tplc="0C09001B">
      <w:start w:val="1"/>
      <w:numFmt w:val="lowerRoman"/>
      <w:lvlText w:val="%6."/>
      <w:lvlJc w:val="right"/>
      <w:pPr>
        <w:tabs>
          <w:tab w:val="num" w:pos="4380"/>
        </w:tabs>
        <w:ind w:left="4380" w:hanging="180"/>
      </w:pPr>
    </w:lvl>
    <w:lvl w:ilvl="6" w:tplc="0C09000F">
      <w:start w:val="1"/>
      <w:numFmt w:val="decimal"/>
      <w:lvlText w:val="%7."/>
      <w:lvlJc w:val="left"/>
      <w:pPr>
        <w:tabs>
          <w:tab w:val="num" w:pos="5100"/>
        </w:tabs>
        <w:ind w:left="5100" w:hanging="360"/>
      </w:pPr>
    </w:lvl>
    <w:lvl w:ilvl="7" w:tplc="0C090019">
      <w:start w:val="1"/>
      <w:numFmt w:val="lowerLetter"/>
      <w:lvlText w:val="%8."/>
      <w:lvlJc w:val="left"/>
      <w:pPr>
        <w:tabs>
          <w:tab w:val="num" w:pos="5820"/>
        </w:tabs>
        <w:ind w:left="5820" w:hanging="360"/>
      </w:pPr>
    </w:lvl>
    <w:lvl w:ilvl="8" w:tplc="0C09001B">
      <w:start w:val="1"/>
      <w:numFmt w:val="lowerRoman"/>
      <w:lvlText w:val="%9."/>
      <w:lvlJc w:val="right"/>
      <w:pPr>
        <w:tabs>
          <w:tab w:val="num" w:pos="6540"/>
        </w:tabs>
        <w:ind w:left="6540" w:hanging="180"/>
      </w:pPr>
    </w:lvl>
  </w:abstractNum>
  <w:abstractNum w:abstractNumId="14" w15:restartNumberingAfterBreak="0">
    <w:nsid w:val="4D8C3B1D"/>
    <w:multiLevelType w:val="hybridMultilevel"/>
    <w:tmpl w:val="A92ED136"/>
    <w:lvl w:ilvl="0" w:tplc="1F6830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A711F2"/>
    <w:multiLevelType w:val="hybridMultilevel"/>
    <w:tmpl w:val="2E9EB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610F85"/>
    <w:multiLevelType w:val="hybridMultilevel"/>
    <w:tmpl w:val="4C747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965AC7"/>
    <w:multiLevelType w:val="hybridMultilevel"/>
    <w:tmpl w:val="979A644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7A904B27"/>
    <w:multiLevelType w:val="hybridMultilevel"/>
    <w:tmpl w:val="93989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12"/>
  </w:num>
  <w:num w:numId="5">
    <w:abstractNumId w:val="18"/>
  </w:num>
  <w:num w:numId="6">
    <w:abstractNumId w:val="9"/>
  </w:num>
  <w:num w:numId="7">
    <w:abstractNumId w:val="8"/>
  </w:num>
  <w:num w:numId="8">
    <w:abstractNumId w:val="1"/>
  </w:num>
  <w:num w:numId="9">
    <w:abstractNumId w:val="6"/>
  </w:num>
  <w:num w:numId="10">
    <w:abstractNumId w:val="7"/>
  </w:num>
  <w:num w:numId="11">
    <w:abstractNumId w:val="5"/>
  </w:num>
  <w:num w:numId="12">
    <w:abstractNumId w:val="2"/>
  </w:num>
  <w:num w:numId="13">
    <w:abstractNumId w:val="4"/>
  </w:num>
  <w:num w:numId="14">
    <w:abstractNumId w:val="15"/>
  </w:num>
  <w:num w:numId="15">
    <w:abstractNumId w:val="14"/>
  </w:num>
  <w:num w:numId="16">
    <w:abstractNumId w:val="10"/>
  </w:num>
  <w:num w:numId="17">
    <w:abstractNumId w:val="17"/>
  </w:num>
  <w:num w:numId="18">
    <w:abstractNumId w:val="16"/>
  </w:num>
  <w:num w:numId="19">
    <w:abstractNumId w:val="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0A"/>
    <w:rsid w:val="00003124"/>
    <w:rsid w:val="000067D7"/>
    <w:rsid w:val="00007E7A"/>
    <w:rsid w:val="000103BF"/>
    <w:rsid w:val="00012628"/>
    <w:rsid w:val="0001265F"/>
    <w:rsid w:val="000126B2"/>
    <w:rsid w:val="0001299F"/>
    <w:rsid w:val="00015A2C"/>
    <w:rsid w:val="00020881"/>
    <w:rsid w:val="0003595B"/>
    <w:rsid w:val="00042B02"/>
    <w:rsid w:val="00046478"/>
    <w:rsid w:val="0005207F"/>
    <w:rsid w:val="00054A5F"/>
    <w:rsid w:val="000564D3"/>
    <w:rsid w:val="00065AC3"/>
    <w:rsid w:val="0006795E"/>
    <w:rsid w:val="000741F8"/>
    <w:rsid w:val="000758A2"/>
    <w:rsid w:val="00076B31"/>
    <w:rsid w:val="000A2EFF"/>
    <w:rsid w:val="000A4307"/>
    <w:rsid w:val="000A7A81"/>
    <w:rsid w:val="000B0633"/>
    <w:rsid w:val="000B6B6F"/>
    <w:rsid w:val="000B75C5"/>
    <w:rsid w:val="000C0E81"/>
    <w:rsid w:val="000C1B6C"/>
    <w:rsid w:val="000C4C79"/>
    <w:rsid w:val="000D2F5C"/>
    <w:rsid w:val="000D6178"/>
    <w:rsid w:val="000E2C8D"/>
    <w:rsid w:val="000E43CC"/>
    <w:rsid w:val="000F112E"/>
    <w:rsid w:val="000F4BEC"/>
    <w:rsid w:val="00101452"/>
    <w:rsid w:val="001045FF"/>
    <w:rsid w:val="00107615"/>
    <w:rsid w:val="00112F81"/>
    <w:rsid w:val="001161F2"/>
    <w:rsid w:val="00117752"/>
    <w:rsid w:val="001178A9"/>
    <w:rsid w:val="00123BC4"/>
    <w:rsid w:val="001315A6"/>
    <w:rsid w:val="00136E7B"/>
    <w:rsid w:val="00143DA0"/>
    <w:rsid w:val="00143F9E"/>
    <w:rsid w:val="00147F34"/>
    <w:rsid w:val="001509BA"/>
    <w:rsid w:val="00151760"/>
    <w:rsid w:val="0015424F"/>
    <w:rsid w:val="001555C9"/>
    <w:rsid w:val="00162E15"/>
    <w:rsid w:val="001721C1"/>
    <w:rsid w:val="001734D7"/>
    <w:rsid w:val="00174B64"/>
    <w:rsid w:val="00177A08"/>
    <w:rsid w:val="00177EEA"/>
    <w:rsid w:val="0018000F"/>
    <w:rsid w:val="00184A7F"/>
    <w:rsid w:val="00190FC6"/>
    <w:rsid w:val="001A6D75"/>
    <w:rsid w:val="001A7BE1"/>
    <w:rsid w:val="001B00F9"/>
    <w:rsid w:val="001B07E6"/>
    <w:rsid w:val="001B1667"/>
    <w:rsid w:val="001B2AFC"/>
    <w:rsid w:val="001B3204"/>
    <w:rsid w:val="001B5F7B"/>
    <w:rsid w:val="001D631C"/>
    <w:rsid w:val="001D6A15"/>
    <w:rsid w:val="001D7AFB"/>
    <w:rsid w:val="001E0F83"/>
    <w:rsid w:val="001F22F0"/>
    <w:rsid w:val="001F4800"/>
    <w:rsid w:val="001F6600"/>
    <w:rsid w:val="0020064C"/>
    <w:rsid w:val="0020077A"/>
    <w:rsid w:val="0020340D"/>
    <w:rsid w:val="00204EC3"/>
    <w:rsid w:val="00205500"/>
    <w:rsid w:val="0021440F"/>
    <w:rsid w:val="0021476E"/>
    <w:rsid w:val="00215420"/>
    <w:rsid w:val="0021556F"/>
    <w:rsid w:val="002311A8"/>
    <w:rsid w:val="00231F9D"/>
    <w:rsid w:val="00232329"/>
    <w:rsid w:val="00232E4D"/>
    <w:rsid w:val="00244275"/>
    <w:rsid w:val="00246B5C"/>
    <w:rsid w:val="00246EBD"/>
    <w:rsid w:val="0025015A"/>
    <w:rsid w:val="00252CB6"/>
    <w:rsid w:val="0025349D"/>
    <w:rsid w:val="00253B15"/>
    <w:rsid w:val="00254D4E"/>
    <w:rsid w:val="0026014B"/>
    <w:rsid w:val="0026064A"/>
    <w:rsid w:val="00265B08"/>
    <w:rsid w:val="00275FFF"/>
    <w:rsid w:val="00276277"/>
    <w:rsid w:val="002775BC"/>
    <w:rsid w:val="00280BA4"/>
    <w:rsid w:val="00280E2D"/>
    <w:rsid w:val="00284AF6"/>
    <w:rsid w:val="002872F1"/>
    <w:rsid w:val="00287BD6"/>
    <w:rsid w:val="00290ACD"/>
    <w:rsid w:val="00291208"/>
    <w:rsid w:val="0029310E"/>
    <w:rsid w:val="002A0B84"/>
    <w:rsid w:val="002A1F08"/>
    <w:rsid w:val="002A35BF"/>
    <w:rsid w:val="002A3BAA"/>
    <w:rsid w:val="002A46D7"/>
    <w:rsid w:val="002B4810"/>
    <w:rsid w:val="002B5B34"/>
    <w:rsid w:val="002C556B"/>
    <w:rsid w:val="002C653D"/>
    <w:rsid w:val="002D225E"/>
    <w:rsid w:val="002D36FC"/>
    <w:rsid w:val="002D6033"/>
    <w:rsid w:val="002E0D2A"/>
    <w:rsid w:val="002E2D52"/>
    <w:rsid w:val="002E37D2"/>
    <w:rsid w:val="002E7798"/>
    <w:rsid w:val="002F2E09"/>
    <w:rsid w:val="00310444"/>
    <w:rsid w:val="00315848"/>
    <w:rsid w:val="00322BC6"/>
    <w:rsid w:val="003250D6"/>
    <w:rsid w:val="003259AA"/>
    <w:rsid w:val="003324AC"/>
    <w:rsid w:val="0034148E"/>
    <w:rsid w:val="00344AEB"/>
    <w:rsid w:val="00355F20"/>
    <w:rsid w:val="003576EB"/>
    <w:rsid w:val="0036189F"/>
    <w:rsid w:val="00363A03"/>
    <w:rsid w:val="003640E1"/>
    <w:rsid w:val="00366069"/>
    <w:rsid w:val="003671F4"/>
    <w:rsid w:val="003673DA"/>
    <w:rsid w:val="003679B9"/>
    <w:rsid w:val="00371484"/>
    <w:rsid w:val="00371857"/>
    <w:rsid w:val="003748AA"/>
    <w:rsid w:val="0038293A"/>
    <w:rsid w:val="003833BE"/>
    <w:rsid w:val="00384FD2"/>
    <w:rsid w:val="003852B4"/>
    <w:rsid w:val="003923C6"/>
    <w:rsid w:val="00396266"/>
    <w:rsid w:val="00397D68"/>
    <w:rsid w:val="003A0A47"/>
    <w:rsid w:val="003A6A2D"/>
    <w:rsid w:val="003A7C55"/>
    <w:rsid w:val="003B029D"/>
    <w:rsid w:val="003B405A"/>
    <w:rsid w:val="003C0E22"/>
    <w:rsid w:val="003C602E"/>
    <w:rsid w:val="003C7CC3"/>
    <w:rsid w:val="003E0614"/>
    <w:rsid w:val="003E3CF6"/>
    <w:rsid w:val="003E41FB"/>
    <w:rsid w:val="003E4617"/>
    <w:rsid w:val="003E7086"/>
    <w:rsid w:val="003F06D3"/>
    <w:rsid w:val="003F14C6"/>
    <w:rsid w:val="003F1BF7"/>
    <w:rsid w:val="003F256E"/>
    <w:rsid w:val="003F3714"/>
    <w:rsid w:val="00411DA3"/>
    <w:rsid w:val="0041373A"/>
    <w:rsid w:val="00414964"/>
    <w:rsid w:val="00422AF9"/>
    <w:rsid w:val="0043377A"/>
    <w:rsid w:val="004337C7"/>
    <w:rsid w:val="0043419D"/>
    <w:rsid w:val="004341D7"/>
    <w:rsid w:val="00436232"/>
    <w:rsid w:val="0043652C"/>
    <w:rsid w:val="0043740B"/>
    <w:rsid w:val="00447025"/>
    <w:rsid w:val="004527BB"/>
    <w:rsid w:val="0045318E"/>
    <w:rsid w:val="00466096"/>
    <w:rsid w:val="00470E55"/>
    <w:rsid w:val="00475327"/>
    <w:rsid w:val="00477E4C"/>
    <w:rsid w:val="00480857"/>
    <w:rsid w:val="00483786"/>
    <w:rsid w:val="004904B2"/>
    <w:rsid w:val="004904C1"/>
    <w:rsid w:val="0049081B"/>
    <w:rsid w:val="004910AE"/>
    <w:rsid w:val="00491848"/>
    <w:rsid w:val="0049509A"/>
    <w:rsid w:val="00497458"/>
    <w:rsid w:val="004979A1"/>
    <w:rsid w:val="004A601C"/>
    <w:rsid w:val="004A78E5"/>
    <w:rsid w:val="004B0136"/>
    <w:rsid w:val="004B2B6E"/>
    <w:rsid w:val="004B3D9D"/>
    <w:rsid w:val="004B63B0"/>
    <w:rsid w:val="004B6DD4"/>
    <w:rsid w:val="004B7BE2"/>
    <w:rsid w:val="004C0913"/>
    <w:rsid w:val="004C1163"/>
    <w:rsid w:val="004C1C16"/>
    <w:rsid w:val="004C39F7"/>
    <w:rsid w:val="004C4232"/>
    <w:rsid w:val="004C7BF2"/>
    <w:rsid w:val="004C7E48"/>
    <w:rsid w:val="004D0D36"/>
    <w:rsid w:val="004D637B"/>
    <w:rsid w:val="004E03B0"/>
    <w:rsid w:val="004E7ABA"/>
    <w:rsid w:val="004F030B"/>
    <w:rsid w:val="004F0CB1"/>
    <w:rsid w:val="004F0E86"/>
    <w:rsid w:val="00511085"/>
    <w:rsid w:val="00511DF5"/>
    <w:rsid w:val="00512CC6"/>
    <w:rsid w:val="0051340D"/>
    <w:rsid w:val="00513903"/>
    <w:rsid w:val="00513A42"/>
    <w:rsid w:val="0051408A"/>
    <w:rsid w:val="00514AA6"/>
    <w:rsid w:val="00520B14"/>
    <w:rsid w:val="0052166E"/>
    <w:rsid w:val="00526484"/>
    <w:rsid w:val="00530B5D"/>
    <w:rsid w:val="0053301E"/>
    <w:rsid w:val="005363B1"/>
    <w:rsid w:val="005373B7"/>
    <w:rsid w:val="00537410"/>
    <w:rsid w:val="00545688"/>
    <w:rsid w:val="00545BFB"/>
    <w:rsid w:val="00547F5F"/>
    <w:rsid w:val="00550F63"/>
    <w:rsid w:val="00556D57"/>
    <w:rsid w:val="00561F46"/>
    <w:rsid w:val="005659BB"/>
    <w:rsid w:val="00570F60"/>
    <w:rsid w:val="00573931"/>
    <w:rsid w:val="00575181"/>
    <w:rsid w:val="00576EA5"/>
    <w:rsid w:val="00577B0D"/>
    <w:rsid w:val="00581F4D"/>
    <w:rsid w:val="00584ECC"/>
    <w:rsid w:val="0059372B"/>
    <w:rsid w:val="0059669C"/>
    <w:rsid w:val="005A465F"/>
    <w:rsid w:val="005A4686"/>
    <w:rsid w:val="005A4BBB"/>
    <w:rsid w:val="005A6E6C"/>
    <w:rsid w:val="005A79F1"/>
    <w:rsid w:val="005B1B9E"/>
    <w:rsid w:val="005B33A8"/>
    <w:rsid w:val="005B42B4"/>
    <w:rsid w:val="005B5E6A"/>
    <w:rsid w:val="005B7807"/>
    <w:rsid w:val="005C2B82"/>
    <w:rsid w:val="005C3F0E"/>
    <w:rsid w:val="005C6651"/>
    <w:rsid w:val="005D2C78"/>
    <w:rsid w:val="005D5057"/>
    <w:rsid w:val="005E2AF0"/>
    <w:rsid w:val="005E7E29"/>
    <w:rsid w:val="005F18DC"/>
    <w:rsid w:val="005F23BA"/>
    <w:rsid w:val="00600033"/>
    <w:rsid w:val="0060348D"/>
    <w:rsid w:val="00603F7F"/>
    <w:rsid w:val="00615918"/>
    <w:rsid w:val="00615A77"/>
    <w:rsid w:val="0061748A"/>
    <w:rsid w:val="00625A0A"/>
    <w:rsid w:val="006302EA"/>
    <w:rsid w:val="006313FE"/>
    <w:rsid w:val="00631665"/>
    <w:rsid w:val="00633C6B"/>
    <w:rsid w:val="00640685"/>
    <w:rsid w:val="006442C6"/>
    <w:rsid w:val="006451A2"/>
    <w:rsid w:val="0064555A"/>
    <w:rsid w:val="0065139F"/>
    <w:rsid w:val="00655346"/>
    <w:rsid w:val="00656CFE"/>
    <w:rsid w:val="0066000C"/>
    <w:rsid w:val="00660B9D"/>
    <w:rsid w:val="006645DE"/>
    <w:rsid w:val="00676C3B"/>
    <w:rsid w:val="00683690"/>
    <w:rsid w:val="00683CD2"/>
    <w:rsid w:val="0069235E"/>
    <w:rsid w:val="00697CCF"/>
    <w:rsid w:val="006B21B7"/>
    <w:rsid w:val="006B714B"/>
    <w:rsid w:val="006C280C"/>
    <w:rsid w:val="006C7D61"/>
    <w:rsid w:val="006D1594"/>
    <w:rsid w:val="006D1EF7"/>
    <w:rsid w:val="006D2473"/>
    <w:rsid w:val="006E0BD0"/>
    <w:rsid w:val="006E25F3"/>
    <w:rsid w:val="006E2C81"/>
    <w:rsid w:val="006E53C1"/>
    <w:rsid w:val="006F1CC2"/>
    <w:rsid w:val="006F36E2"/>
    <w:rsid w:val="00701DCD"/>
    <w:rsid w:val="00702C5B"/>
    <w:rsid w:val="00704616"/>
    <w:rsid w:val="00707830"/>
    <w:rsid w:val="007148EC"/>
    <w:rsid w:val="00716F4D"/>
    <w:rsid w:val="007200FE"/>
    <w:rsid w:val="00736285"/>
    <w:rsid w:val="007362DB"/>
    <w:rsid w:val="00741281"/>
    <w:rsid w:val="00744C8E"/>
    <w:rsid w:val="007466F2"/>
    <w:rsid w:val="00751141"/>
    <w:rsid w:val="007518EF"/>
    <w:rsid w:val="00754F2A"/>
    <w:rsid w:val="00755E9C"/>
    <w:rsid w:val="007608BC"/>
    <w:rsid w:val="00760DF2"/>
    <w:rsid w:val="00762496"/>
    <w:rsid w:val="00776269"/>
    <w:rsid w:val="00780F84"/>
    <w:rsid w:val="00781661"/>
    <w:rsid w:val="00783606"/>
    <w:rsid w:val="00787C19"/>
    <w:rsid w:val="00796D28"/>
    <w:rsid w:val="007975EE"/>
    <w:rsid w:val="007A1411"/>
    <w:rsid w:val="007A19AB"/>
    <w:rsid w:val="007A26E0"/>
    <w:rsid w:val="007A3D4A"/>
    <w:rsid w:val="007A4456"/>
    <w:rsid w:val="007A647C"/>
    <w:rsid w:val="007B04C7"/>
    <w:rsid w:val="007B0A15"/>
    <w:rsid w:val="007B1255"/>
    <w:rsid w:val="007B190A"/>
    <w:rsid w:val="007C674F"/>
    <w:rsid w:val="007C6AE9"/>
    <w:rsid w:val="007C6D32"/>
    <w:rsid w:val="007D0E91"/>
    <w:rsid w:val="007D1D6C"/>
    <w:rsid w:val="007D407A"/>
    <w:rsid w:val="007E550F"/>
    <w:rsid w:val="007E6449"/>
    <w:rsid w:val="007F0DD6"/>
    <w:rsid w:val="007F4E20"/>
    <w:rsid w:val="00801BA4"/>
    <w:rsid w:val="0080280E"/>
    <w:rsid w:val="00802E18"/>
    <w:rsid w:val="00810462"/>
    <w:rsid w:val="00815DBE"/>
    <w:rsid w:val="00816DD5"/>
    <w:rsid w:val="008261B2"/>
    <w:rsid w:val="00835135"/>
    <w:rsid w:val="00837D4D"/>
    <w:rsid w:val="00846741"/>
    <w:rsid w:val="00852FFE"/>
    <w:rsid w:val="00863FD6"/>
    <w:rsid w:val="00870867"/>
    <w:rsid w:val="00870DA6"/>
    <w:rsid w:val="0087170A"/>
    <w:rsid w:val="00872317"/>
    <w:rsid w:val="00874E21"/>
    <w:rsid w:val="00886593"/>
    <w:rsid w:val="00890971"/>
    <w:rsid w:val="0089152A"/>
    <w:rsid w:val="00891D83"/>
    <w:rsid w:val="00893074"/>
    <w:rsid w:val="00895645"/>
    <w:rsid w:val="00895897"/>
    <w:rsid w:val="008A502A"/>
    <w:rsid w:val="008B37DE"/>
    <w:rsid w:val="008B3CF1"/>
    <w:rsid w:val="008C49E2"/>
    <w:rsid w:val="008D2223"/>
    <w:rsid w:val="008D2255"/>
    <w:rsid w:val="008D2AE7"/>
    <w:rsid w:val="008D35AB"/>
    <w:rsid w:val="008D36E3"/>
    <w:rsid w:val="008E01C6"/>
    <w:rsid w:val="008E0376"/>
    <w:rsid w:val="008E04E8"/>
    <w:rsid w:val="008E24DE"/>
    <w:rsid w:val="008F6DAE"/>
    <w:rsid w:val="00902847"/>
    <w:rsid w:val="009071A8"/>
    <w:rsid w:val="00917FD6"/>
    <w:rsid w:val="0092397E"/>
    <w:rsid w:val="009266FD"/>
    <w:rsid w:val="0093037D"/>
    <w:rsid w:val="0093470F"/>
    <w:rsid w:val="00934B07"/>
    <w:rsid w:val="0093600D"/>
    <w:rsid w:val="00941881"/>
    <w:rsid w:val="00951463"/>
    <w:rsid w:val="0095417A"/>
    <w:rsid w:val="00954925"/>
    <w:rsid w:val="00955452"/>
    <w:rsid w:val="0096582B"/>
    <w:rsid w:val="009658C7"/>
    <w:rsid w:val="0097487C"/>
    <w:rsid w:val="0098364A"/>
    <w:rsid w:val="00983735"/>
    <w:rsid w:val="00986944"/>
    <w:rsid w:val="009912C8"/>
    <w:rsid w:val="0099290C"/>
    <w:rsid w:val="00992E54"/>
    <w:rsid w:val="00993660"/>
    <w:rsid w:val="00996B99"/>
    <w:rsid w:val="009A1A50"/>
    <w:rsid w:val="009A4146"/>
    <w:rsid w:val="009A72CF"/>
    <w:rsid w:val="009A7C9E"/>
    <w:rsid w:val="009B49D7"/>
    <w:rsid w:val="009B5412"/>
    <w:rsid w:val="009B566D"/>
    <w:rsid w:val="009C0CFF"/>
    <w:rsid w:val="009C2528"/>
    <w:rsid w:val="009C2D75"/>
    <w:rsid w:val="009C403E"/>
    <w:rsid w:val="009C432A"/>
    <w:rsid w:val="009C52F0"/>
    <w:rsid w:val="009C5912"/>
    <w:rsid w:val="009D182F"/>
    <w:rsid w:val="009D1FC4"/>
    <w:rsid w:val="009D20E9"/>
    <w:rsid w:val="009D2DCF"/>
    <w:rsid w:val="009D4900"/>
    <w:rsid w:val="009D5A5E"/>
    <w:rsid w:val="009E18ED"/>
    <w:rsid w:val="009E4B47"/>
    <w:rsid w:val="009E7728"/>
    <w:rsid w:val="009F0A50"/>
    <w:rsid w:val="009F15EB"/>
    <w:rsid w:val="009F1AF7"/>
    <w:rsid w:val="009F23AB"/>
    <w:rsid w:val="009F2E6A"/>
    <w:rsid w:val="009F602E"/>
    <w:rsid w:val="00A069E1"/>
    <w:rsid w:val="00A11DD4"/>
    <w:rsid w:val="00A1713B"/>
    <w:rsid w:val="00A176F3"/>
    <w:rsid w:val="00A17EDB"/>
    <w:rsid w:val="00A2129E"/>
    <w:rsid w:val="00A23081"/>
    <w:rsid w:val="00A2490E"/>
    <w:rsid w:val="00A269B8"/>
    <w:rsid w:val="00A2718C"/>
    <w:rsid w:val="00A34E1E"/>
    <w:rsid w:val="00A36360"/>
    <w:rsid w:val="00A375B8"/>
    <w:rsid w:val="00A37984"/>
    <w:rsid w:val="00A37DFE"/>
    <w:rsid w:val="00A4277E"/>
    <w:rsid w:val="00A4602F"/>
    <w:rsid w:val="00A52E69"/>
    <w:rsid w:val="00A5405B"/>
    <w:rsid w:val="00A61379"/>
    <w:rsid w:val="00A67478"/>
    <w:rsid w:val="00A77183"/>
    <w:rsid w:val="00A85721"/>
    <w:rsid w:val="00A87F9A"/>
    <w:rsid w:val="00A91B71"/>
    <w:rsid w:val="00A94DBD"/>
    <w:rsid w:val="00A96A1B"/>
    <w:rsid w:val="00AA01D8"/>
    <w:rsid w:val="00AA0CBB"/>
    <w:rsid w:val="00AB65A5"/>
    <w:rsid w:val="00AC5B48"/>
    <w:rsid w:val="00AC77FB"/>
    <w:rsid w:val="00AD091E"/>
    <w:rsid w:val="00AD1552"/>
    <w:rsid w:val="00AE16C5"/>
    <w:rsid w:val="00AE4BBC"/>
    <w:rsid w:val="00AE7A2A"/>
    <w:rsid w:val="00AF267D"/>
    <w:rsid w:val="00B0197D"/>
    <w:rsid w:val="00B02C18"/>
    <w:rsid w:val="00B047FD"/>
    <w:rsid w:val="00B06631"/>
    <w:rsid w:val="00B16B9F"/>
    <w:rsid w:val="00B17780"/>
    <w:rsid w:val="00B218C5"/>
    <w:rsid w:val="00B236B2"/>
    <w:rsid w:val="00B25673"/>
    <w:rsid w:val="00B32110"/>
    <w:rsid w:val="00B33933"/>
    <w:rsid w:val="00B34F94"/>
    <w:rsid w:val="00B37257"/>
    <w:rsid w:val="00B43959"/>
    <w:rsid w:val="00B445D6"/>
    <w:rsid w:val="00B468EE"/>
    <w:rsid w:val="00B46A4E"/>
    <w:rsid w:val="00B533F0"/>
    <w:rsid w:val="00B54FB0"/>
    <w:rsid w:val="00B616B4"/>
    <w:rsid w:val="00B642AA"/>
    <w:rsid w:val="00B642CE"/>
    <w:rsid w:val="00B6440F"/>
    <w:rsid w:val="00B73F95"/>
    <w:rsid w:val="00B745E4"/>
    <w:rsid w:val="00B7685A"/>
    <w:rsid w:val="00B777D8"/>
    <w:rsid w:val="00B80816"/>
    <w:rsid w:val="00B81C18"/>
    <w:rsid w:val="00B852CB"/>
    <w:rsid w:val="00B86873"/>
    <w:rsid w:val="00B9284E"/>
    <w:rsid w:val="00B958C7"/>
    <w:rsid w:val="00B974FD"/>
    <w:rsid w:val="00BA23AE"/>
    <w:rsid w:val="00BA3837"/>
    <w:rsid w:val="00BA3B32"/>
    <w:rsid w:val="00BA60F1"/>
    <w:rsid w:val="00BB015F"/>
    <w:rsid w:val="00BB0232"/>
    <w:rsid w:val="00BB5C2B"/>
    <w:rsid w:val="00BB7D36"/>
    <w:rsid w:val="00BC0533"/>
    <w:rsid w:val="00BC1E81"/>
    <w:rsid w:val="00BC6A5B"/>
    <w:rsid w:val="00BC7D90"/>
    <w:rsid w:val="00BD0292"/>
    <w:rsid w:val="00BD1AB8"/>
    <w:rsid w:val="00BD2364"/>
    <w:rsid w:val="00BD5986"/>
    <w:rsid w:val="00BD7D1B"/>
    <w:rsid w:val="00BE7766"/>
    <w:rsid w:val="00BF27E5"/>
    <w:rsid w:val="00BF2B94"/>
    <w:rsid w:val="00BF532C"/>
    <w:rsid w:val="00BF580C"/>
    <w:rsid w:val="00C000AC"/>
    <w:rsid w:val="00C05B0D"/>
    <w:rsid w:val="00C12805"/>
    <w:rsid w:val="00C134A8"/>
    <w:rsid w:val="00C15210"/>
    <w:rsid w:val="00C23057"/>
    <w:rsid w:val="00C23B1D"/>
    <w:rsid w:val="00C2512E"/>
    <w:rsid w:val="00C25D0A"/>
    <w:rsid w:val="00C3067E"/>
    <w:rsid w:val="00C30873"/>
    <w:rsid w:val="00C320BA"/>
    <w:rsid w:val="00C321BD"/>
    <w:rsid w:val="00C33EB5"/>
    <w:rsid w:val="00C342FC"/>
    <w:rsid w:val="00C36021"/>
    <w:rsid w:val="00C37CEF"/>
    <w:rsid w:val="00C41ACE"/>
    <w:rsid w:val="00C424F0"/>
    <w:rsid w:val="00C4327D"/>
    <w:rsid w:val="00C4372A"/>
    <w:rsid w:val="00C44A12"/>
    <w:rsid w:val="00C44C48"/>
    <w:rsid w:val="00C53C97"/>
    <w:rsid w:val="00C6227E"/>
    <w:rsid w:val="00C63E21"/>
    <w:rsid w:val="00C652A8"/>
    <w:rsid w:val="00C65EC3"/>
    <w:rsid w:val="00C71423"/>
    <w:rsid w:val="00C71EBC"/>
    <w:rsid w:val="00C77449"/>
    <w:rsid w:val="00C77C43"/>
    <w:rsid w:val="00C82EEC"/>
    <w:rsid w:val="00C84059"/>
    <w:rsid w:val="00C84C13"/>
    <w:rsid w:val="00C85D89"/>
    <w:rsid w:val="00C90A6F"/>
    <w:rsid w:val="00C92D3E"/>
    <w:rsid w:val="00CA023C"/>
    <w:rsid w:val="00CA0D59"/>
    <w:rsid w:val="00CA7CE0"/>
    <w:rsid w:val="00CB2C24"/>
    <w:rsid w:val="00CB570F"/>
    <w:rsid w:val="00CB5795"/>
    <w:rsid w:val="00CB6459"/>
    <w:rsid w:val="00CC5722"/>
    <w:rsid w:val="00CC7512"/>
    <w:rsid w:val="00CD19BC"/>
    <w:rsid w:val="00CD6DB9"/>
    <w:rsid w:val="00CE0901"/>
    <w:rsid w:val="00CE1D6B"/>
    <w:rsid w:val="00CE2FFF"/>
    <w:rsid w:val="00CE3F77"/>
    <w:rsid w:val="00CE62D0"/>
    <w:rsid w:val="00CF31AC"/>
    <w:rsid w:val="00D02B0A"/>
    <w:rsid w:val="00D02D8D"/>
    <w:rsid w:val="00D03C8E"/>
    <w:rsid w:val="00D1519D"/>
    <w:rsid w:val="00D15D44"/>
    <w:rsid w:val="00D15F0F"/>
    <w:rsid w:val="00D17DFB"/>
    <w:rsid w:val="00D21AA6"/>
    <w:rsid w:val="00D27B18"/>
    <w:rsid w:val="00D40984"/>
    <w:rsid w:val="00D44BA9"/>
    <w:rsid w:val="00D510DF"/>
    <w:rsid w:val="00D51538"/>
    <w:rsid w:val="00D523B7"/>
    <w:rsid w:val="00D53335"/>
    <w:rsid w:val="00D611A0"/>
    <w:rsid w:val="00D7769C"/>
    <w:rsid w:val="00D77F01"/>
    <w:rsid w:val="00D80311"/>
    <w:rsid w:val="00D81848"/>
    <w:rsid w:val="00D853D9"/>
    <w:rsid w:val="00D91DD2"/>
    <w:rsid w:val="00D97AA9"/>
    <w:rsid w:val="00DA5520"/>
    <w:rsid w:val="00DB10E7"/>
    <w:rsid w:val="00DB2577"/>
    <w:rsid w:val="00DB598B"/>
    <w:rsid w:val="00DC288E"/>
    <w:rsid w:val="00DC3C1D"/>
    <w:rsid w:val="00DD402C"/>
    <w:rsid w:val="00DD6EF0"/>
    <w:rsid w:val="00DE2ACD"/>
    <w:rsid w:val="00DE3097"/>
    <w:rsid w:val="00DE4872"/>
    <w:rsid w:val="00E003BF"/>
    <w:rsid w:val="00E00FD2"/>
    <w:rsid w:val="00E0213A"/>
    <w:rsid w:val="00E06C6C"/>
    <w:rsid w:val="00E10A75"/>
    <w:rsid w:val="00E1145A"/>
    <w:rsid w:val="00E12D46"/>
    <w:rsid w:val="00E14083"/>
    <w:rsid w:val="00E149EA"/>
    <w:rsid w:val="00E15385"/>
    <w:rsid w:val="00E21352"/>
    <w:rsid w:val="00E312DC"/>
    <w:rsid w:val="00E319CD"/>
    <w:rsid w:val="00E4012C"/>
    <w:rsid w:val="00E423FE"/>
    <w:rsid w:val="00E44D5B"/>
    <w:rsid w:val="00E44EB7"/>
    <w:rsid w:val="00E46ABD"/>
    <w:rsid w:val="00E46FE9"/>
    <w:rsid w:val="00E610C6"/>
    <w:rsid w:val="00E67B52"/>
    <w:rsid w:val="00E71CFF"/>
    <w:rsid w:val="00E738DA"/>
    <w:rsid w:val="00E871FD"/>
    <w:rsid w:val="00E8774E"/>
    <w:rsid w:val="00E92216"/>
    <w:rsid w:val="00E9485D"/>
    <w:rsid w:val="00E97DAE"/>
    <w:rsid w:val="00EA1615"/>
    <w:rsid w:val="00EA69C0"/>
    <w:rsid w:val="00EB310F"/>
    <w:rsid w:val="00EB6391"/>
    <w:rsid w:val="00EB7D2F"/>
    <w:rsid w:val="00EC2415"/>
    <w:rsid w:val="00EC477D"/>
    <w:rsid w:val="00ED349A"/>
    <w:rsid w:val="00ED6584"/>
    <w:rsid w:val="00ED75B0"/>
    <w:rsid w:val="00ED7BBA"/>
    <w:rsid w:val="00EE09C9"/>
    <w:rsid w:val="00EE2A47"/>
    <w:rsid w:val="00EE7F77"/>
    <w:rsid w:val="00EF2EB0"/>
    <w:rsid w:val="00EF3006"/>
    <w:rsid w:val="00EF4D2D"/>
    <w:rsid w:val="00EF6CA4"/>
    <w:rsid w:val="00F007DC"/>
    <w:rsid w:val="00F12D91"/>
    <w:rsid w:val="00F14CAC"/>
    <w:rsid w:val="00F14F4A"/>
    <w:rsid w:val="00F2105A"/>
    <w:rsid w:val="00F21CB4"/>
    <w:rsid w:val="00F25138"/>
    <w:rsid w:val="00F262C5"/>
    <w:rsid w:val="00F31211"/>
    <w:rsid w:val="00F36245"/>
    <w:rsid w:val="00F364D0"/>
    <w:rsid w:val="00F3729B"/>
    <w:rsid w:val="00F4066D"/>
    <w:rsid w:val="00F4075C"/>
    <w:rsid w:val="00F55806"/>
    <w:rsid w:val="00F55A35"/>
    <w:rsid w:val="00F62F33"/>
    <w:rsid w:val="00F67DC9"/>
    <w:rsid w:val="00F67DF9"/>
    <w:rsid w:val="00F67FAD"/>
    <w:rsid w:val="00F71BE1"/>
    <w:rsid w:val="00F735BA"/>
    <w:rsid w:val="00F73ECF"/>
    <w:rsid w:val="00F80792"/>
    <w:rsid w:val="00F8490A"/>
    <w:rsid w:val="00F852AD"/>
    <w:rsid w:val="00F8578F"/>
    <w:rsid w:val="00F91062"/>
    <w:rsid w:val="00F97362"/>
    <w:rsid w:val="00FA5921"/>
    <w:rsid w:val="00FB1BD7"/>
    <w:rsid w:val="00FB48F6"/>
    <w:rsid w:val="00FB6465"/>
    <w:rsid w:val="00FC1438"/>
    <w:rsid w:val="00FC3C42"/>
    <w:rsid w:val="00FC53EE"/>
    <w:rsid w:val="00FC5882"/>
    <w:rsid w:val="00FC79D1"/>
    <w:rsid w:val="00FD2B9E"/>
    <w:rsid w:val="00FD5223"/>
    <w:rsid w:val="00FE01C5"/>
    <w:rsid w:val="00FE0C41"/>
    <w:rsid w:val="00FE2D27"/>
    <w:rsid w:val="00FE6156"/>
    <w:rsid w:val="00FE6EF1"/>
    <w:rsid w:val="00FE7D29"/>
    <w:rsid w:val="00FF0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A8394B2"/>
  <w15:docId w15:val="{BBAEA251-1022-494E-A098-6E77F7FC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E1"/>
    <w:pPr>
      <w:spacing w:after="0" w:line="240" w:lineRule="auto"/>
    </w:pPr>
    <w:rPr>
      <w:rFonts w:eastAsia="Times New Roman"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70A"/>
    <w:pPr>
      <w:tabs>
        <w:tab w:val="center" w:pos="4153"/>
        <w:tab w:val="right" w:pos="8306"/>
      </w:tabs>
    </w:pPr>
  </w:style>
  <w:style w:type="character" w:customStyle="1" w:styleId="HeaderChar">
    <w:name w:val="Header Char"/>
    <w:basedOn w:val="DefaultParagraphFont"/>
    <w:link w:val="Header"/>
    <w:uiPriority w:val="99"/>
    <w:rsid w:val="0087170A"/>
    <w:rPr>
      <w:rFonts w:eastAsia="Times New Roman" w:cs="Times New Roman"/>
      <w:szCs w:val="24"/>
      <w:lang w:eastAsia="en-AU"/>
    </w:rPr>
  </w:style>
  <w:style w:type="character" w:customStyle="1" w:styleId="normalchar">
    <w:name w:val="normal_char"/>
    <w:basedOn w:val="DefaultParagraphFont"/>
    <w:rsid w:val="0087170A"/>
    <w:rPr>
      <w:color w:val="auto"/>
    </w:rPr>
  </w:style>
  <w:style w:type="paragraph" w:styleId="BalloonText">
    <w:name w:val="Balloon Text"/>
    <w:basedOn w:val="Normal"/>
    <w:link w:val="BalloonTextChar"/>
    <w:uiPriority w:val="99"/>
    <w:semiHidden/>
    <w:unhideWhenUsed/>
    <w:rsid w:val="00371857"/>
    <w:rPr>
      <w:rFonts w:ascii="Tahoma" w:hAnsi="Tahoma" w:cs="Tahoma"/>
      <w:sz w:val="16"/>
      <w:szCs w:val="16"/>
    </w:rPr>
  </w:style>
  <w:style w:type="character" w:customStyle="1" w:styleId="BalloonTextChar">
    <w:name w:val="Balloon Text Char"/>
    <w:basedOn w:val="DefaultParagraphFont"/>
    <w:link w:val="BalloonText"/>
    <w:uiPriority w:val="99"/>
    <w:semiHidden/>
    <w:rsid w:val="0037185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B37257"/>
    <w:rPr>
      <w:sz w:val="16"/>
      <w:szCs w:val="16"/>
    </w:rPr>
  </w:style>
  <w:style w:type="paragraph" w:styleId="CommentText">
    <w:name w:val="annotation text"/>
    <w:basedOn w:val="Normal"/>
    <w:link w:val="CommentTextChar"/>
    <w:uiPriority w:val="99"/>
    <w:unhideWhenUsed/>
    <w:rsid w:val="00B37257"/>
    <w:rPr>
      <w:sz w:val="20"/>
      <w:szCs w:val="20"/>
    </w:rPr>
  </w:style>
  <w:style w:type="character" w:customStyle="1" w:styleId="CommentTextChar">
    <w:name w:val="Comment Text Char"/>
    <w:basedOn w:val="DefaultParagraphFont"/>
    <w:link w:val="CommentText"/>
    <w:uiPriority w:val="99"/>
    <w:semiHidden/>
    <w:rsid w:val="00B37257"/>
    <w:rPr>
      <w:rFonts w:eastAsia="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7257"/>
    <w:rPr>
      <w:b/>
      <w:bCs/>
    </w:rPr>
  </w:style>
  <w:style w:type="character" w:customStyle="1" w:styleId="CommentSubjectChar">
    <w:name w:val="Comment Subject Char"/>
    <w:basedOn w:val="CommentTextChar"/>
    <w:link w:val="CommentSubject"/>
    <w:uiPriority w:val="99"/>
    <w:semiHidden/>
    <w:rsid w:val="00B37257"/>
    <w:rPr>
      <w:rFonts w:eastAsia="Times New Roman" w:cs="Times New Roman"/>
      <w:b/>
      <w:bCs/>
      <w:sz w:val="20"/>
      <w:szCs w:val="20"/>
      <w:lang w:eastAsia="en-AU"/>
    </w:rPr>
  </w:style>
  <w:style w:type="paragraph" w:styleId="Footer">
    <w:name w:val="footer"/>
    <w:basedOn w:val="Normal"/>
    <w:link w:val="FooterChar"/>
    <w:uiPriority w:val="99"/>
    <w:unhideWhenUsed/>
    <w:rsid w:val="00A96A1B"/>
    <w:pPr>
      <w:tabs>
        <w:tab w:val="center" w:pos="4513"/>
        <w:tab w:val="right" w:pos="9026"/>
      </w:tabs>
    </w:pPr>
  </w:style>
  <w:style w:type="character" w:customStyle="1" w:styleId="FooterChar">
    <w:name w:val="Footer Char"/>
    <w:basedOn w:val="DefaultParagraphFont"/>
    <w:link w:val="Footer"/>
    <w:uiPriority w:val="99"/>
    <w:rsid w:val="00A96A1B"/>
    <w:rPr>
      <w:rFonts w:eastAsia="Times New Roman" w:cs="Times New Roman"/>
      <w:szCs w:val="24"/>
      <w:lang w:eastAsia="en-AU"/>
    </w:rPr>
  </w:style>
  <w:style w:type="paragraph" w:styleId="ListParagraph">
    <w:name w:val="List Paragraph"/>
    <w:basedOn w:val="Normal"/>
    <w:link w:val="ListParagraphChar"/>
    <w:uiPriority w:val="34"/>
    <w:qFormat/>
    <w:rsid w:val="00C23057"/>
    <w:pPr>
      <w:ind w:left="720"/>
      <w:contextualSpacing/>
    </w:pPr>
  </w:style>
  <w:style w:type="paragraph" w:customStyle="1" w:styleId="subsection">
    <w:name w:val="subsection"/>
    <w:basedOn w:val="Normal"/>
    <w:rsid w:val="000103BF"/>
    <w:pPr>
      <w:spacing w:before="100" w:beforeAutospacing="1" w:after="100" w:afterAutospacing="1"/>
    </w:pPr>
  </w:style>
  <w:style w:type="paragraph" w:customStyle="1" w:styleId="notetext">
    <w:name w:val="notetext"/>
    <w:basedOn w:val="Normal"/>
    <w:rsid w:val="000103BF"/>
    <w:pPr>
      <w:spacing w:before="100" w:beforeAutospacing="1" w:after="100" w:afterAutospacing="1"/>
    </w:pPr>
  </w:style>
  <w:style w:type="character" w:customStyle="1" w:styleId="ListParagraphChar">
    <w:name w:val="List Paragraph Char"/>
    <w:link w:val="ListParagraph"/>
    <w:uiPriority w:val="34"/>
    <w:locked/>
    <w:rsid w:val="00F852AD"/>
    <w:rPr>
      <w:rFonts w:eastAsia="Times New Roman" w:cs="Times New Roman"/>
      <w:szCs w:val="24"/>
      <w:lang w:eastAsia="en-AU"/>
    </w:rPr>
  </w:style>
  <w:style w:type="paragraph" w:customStyle="1" w:styleId="TableText">
    <w:name w:val="TableText"/>
    <w:basedOn w:val="Normal"/>
    <w:rsid w:val="00C36021"/>
    <w:pPr>
      <w:spacing w:before="60" w:after="60" w:line="240" w:lineRule="exact"/>
    </w:pPr>
    <w:rPr>
      <w:sz w:val="22"/>
    </w:rPr>
  </w:style>
  <w:style w:type="paragraph" w:styleId="Revision">
    <w:name w:val="Revision"/>
    <w:hidden/>
    <w:uiPriority w:val="99"/>
    <w:semiHidden/>
    <w:rsid w:val="0026014B"/>
    <w:pPr>
      <w:spacing w:after="0" w:line="240" w:lineRule="auto"/>
    </w:pPr>
    <w:rPr>
      <w:rFonts w:eastAsia="Times New Roman" w:cs="Times New Roman"/>
      <w:szCs w:val="24"/>
      <w:lang w:eastAsia="en-AU"/>
    </w:rPr>
  </w:style>
  <w:style w:type="character" w:styleId="Emphasis">
    <w:name w:val="Emphasis"/>
    <w:basedOn w:val="DefaultParagraphFont"/>
    <w:uiPriority w:val="20"/>
    <w:qFormat/>
    <w:rsid w:val="00E003BF"/>
    <w:rPr>
      <w:i/>
      <w:iCs/>
    </w:rPr>
  </w:style>
  <w:style w:type="paragraph" w:customStyle="1" w:styleId="Item">
    <w:name w:val="Item"/>
    <w:aliases w:val="i"/>
    <w:basedOn w:val="Normal"/>
    <w:next w:val="ItemHead"/>
    <w:rsid w:val="00003124"/>
    <w:pPr>
      <w:keepLines/>
      <w:spacing w:before="80"/>
      <w:ind w:left="709"/>
    </w:pPr>
    <w:rPr>
      <w:sz w:val="22"/>
      <w:szCs w:val="20"/>
    </w:rPr>
  </w:style>
  <w:style w:type="paragraph" w:customStyle="1" w:styleId="ItemHead">
    <w:name w:val="ItemHead"/>
    <w:aliases w:val="ih"/>
    <w:basedOn w:val="Normal"/>
    <w:next w:val="Item"/>
    <w:rsid w:val="00003124"/>
    <w:pPr>
      <w:keepNext/>
      <w:keepLines/>
      <w:spacing w:before="220"/>
      <w:ind w:left="709" w:hanging="709"/>
    </w:pPr>
    <w:rPr>
      <w:rFonts w:ascii="Arial" w:hAnsi="Arial"/>
      <w:b/>
      <w:kern w:val="28"/>
      <w:szCs w:val="20"/>
    </w:rPr>
  </w:style>
  <w:style w:type="paragraph" w:customStyle="1" w:styleId="notetext0">
    <w:name w:val="note(text)"/>
    <w:aliases w:val="n"/>
    <w:basedOn w:val="Normal"/>
    <w:rsid w:val="00003124"/>
    <w:pPr>
      <w:spacing w:before="122" w:line="198" w:lineRule="exact"/>
      <w:ind w:left="1985" w:hanging="851"/>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877382">
      <w:bodyDiv w:val="1"/>
      <w:marLeft w:val="0"/>
      <w:marRight w:val="0"/>
      <w:marTop w:val="0"/>
      <w:marBottom w:val="0"/>
      <w:divBdr>
        <w:top w:val="none" w:sz="0" w:space="0" w:color="auto"/>
        <w:left w:val="none" w:sz="0" w:space="0" w:color="auto"/>
        <w:bottom w:val="none" w:sz="0" w:space="0" w:color="auto"/>
        <w:right w:val="none" w:sz="0" w:space="0" w:color="auto"/>
      </w:divBdr>
    </w:div>
    <w:div w:id="991837429">
      <w:bodyDiv w:val="1"/>
      <w:marLeft w:val="0"/>
      <w:marRight w:val="0"/>
      <w:marTop w:val="0"/>
      <w:marBottom w:val="0"/>
      <w:divBdr>
        <w:top w:val="none" w:sz="0" w:space="0" w:color="auto"/>
        <w:left w:val="none" w:sz="0" w:space="0" w:color="auto"/>
        <w:bottom w:val="none" w:sz="0" w:space="0" w:color="auto"/>
        <w:right w:val="none" w:sz="0" w:space="0" w:color="auto"/>
      </w:divBdr>
    </w:div>
    <w:div w:id="1024596833">
      <w:bodyDiv w:val="1"/>
      <w:marLeft w:val="0"/>
      <w:marRight w:val="0"/>
      <w:marTop w:val="0"/>
      <w:marBottom w:val="0"/>
      <w:divBdr>
        <w:top w:val="none" w:sz="0" w:space="0" w:color="auto"/>
        <w:left w:val="none" w:sz="0" w:space="0" w:color="auto"/>
        <w:bottom w:val="none" w:sz="0" w:space="0" w:color="auto"/>
        <w:right w:val="none" w:sz="0" w:space="0" w:color="auto"/>
      </w:divBdr>
    </w:div>
    <w:div w:id="1058820450">
      <w:bodyDiv w:val="1"/>
      <w:marLeft w:val="0"/>
      <w:marRight w:val="0"/>
      <w:marTop w:val="0"/>
      <w:marBottom w:val="0"/>
      <w:divBdr>
        <w:top w:val="none" w:sz="0" w:space="0" w:color="auto"/>
        <w:left w:val="none" w:sz="0" w:space="0" w:color="auto"/>
        <w:bottom w:val="none" w:sz="0" w:space="0" w:color="auto"/>
        <w:right w:val="none" w:sz="0" w:space="0" w:color="auto"/>
      </w:divBdr>
      <w:divsChild>
        <w:div w:id="2130926633">
          <w:marLeft w:val="0"/>
          <w:marRight w:val="0"/>
          <w:marTop w:val="0"/>
          <w:marBottom w:val="0"/>
          <w:divBdr>
            <w:top w:val="none" w:sz="0" w:space="0" w:color="auto"/>
            <w:left w:val="none" w:sz="0" w:space="0" w:color="auto"/>
            <w:bottom w:val="none" w:sz="0" w:space="0" w:color="auto"/>
            <w:right w:val="none" w:sz="0" w:space="0" w:color="auto"/>
          </w:divBdr>
          <w:divsChild>
            <w:div w:id="1104032541">
              <w:marLeft w:val="0"/>
              <w:marRight w:val="0"/>
              <w:marTop w:val="0"/>
              <w:marBottom w:val="0"/>
              <w:divBdr>
                <w:top w:val="none" w:sz="0" w:space="0" w:color="auto"/>
                <w:left w:val="none" w:sz="0" w:space="0" w:color="auto"/>
                <w:bottom w:val="none" w:sz="0" w:space="0" w:color="auto"/>
                <w:right w:val="none" w:sz="0" w:space="0" w:color="auto"/>
              </w:divBdr>
              <w:divsChild>
                <w:div w:id="137890331">
                  <w:marLeft w:val="0"/>
                  <w:marRight w:val="0"/>
                  <w:marTop w:val="0"/>
                  <w:marBottom w:val="0"/>
                  <w:divBdr>
                    <w:top w:val="none" w:sz="0" w:space="0" w:color="auto"/>
                    <w:left w:val="none" w:sz="0" w:space="0" w:color="auto"/>
                    <w:bottom w:val="none" w:sz="0" w:space="0" w:color="auto"/>
                    <w:right w:val="none" w:sz="0" w:space="0" w:color="auto"/>
                  </w:divBdr>
                  <w:divsChild>
                    <w:div w:id="1030452626">
                      <w:marLeft w:val="0"/>
                      <w:marRight w:val="0"/>
                      <w:marTop w:val="0"/>
                      <w:marBottom w:val="0"/>
                      <w:divBdr>
                        <w:top w:val="none" w:sz="0" w:space="0" w:color="auto"/>
                        <w:left w:val="none" w:sz="0" w:space="0" w:color="auto"/>
                        <w:bottom w:val="none" w:sz="0" w:space="0" w:color="auto"/>
                        <w:right w:val="none" w:sz="0" w:space="0" w:color="auto"/>
                      </w:divBdr>
                      <w:divsChild>
                        <w:div w:id="927033046">
                          <w:marLeft w:val="0"/>
                          <w:marRight w:val="0"/>
                          <w:marTop w:val="0"/>
                          <w:marBottom w:val="0"/>
                          <w:divBdr>
                            <w:top w:val="none" w:sz="0" w:space="0" w:color="auto"/>
                            <w:left w:val="none" w:sz="0" w:space="0" w:color="auto"/>
                            <w:bottom w:val="none" w:sz="0" w:space="0" w:color="auto"/>
                            <w:right w:val="none" w:sz="0" w:space="0" w:color="auto"/>
                          </w:divBdr>
                          <w:divsChild>
                            <w:div w:id="1363901694">
                              <w:marLeft w:val="0"/>
                              <w:marRight w:val="0"/>
                              <w:marTop w:val="0"/>
                              <w:marBottom w:val="0"/>
                              <w:divBdr>
                                <w:top w:val="single" w:sz="6" w:space="0" w:color="828282"/>
                                <w:left w:val="single" w:sz="6" w:space="0" w:color="828282"/>
                                <w:bottom w:val="single" w:sz="6" w:space="0" w:color="828282"/>
                                <w:right w:val="single" w:sz="6" w:space="0" w:color="828282"/>
                              </w:divBdr>
                              <w:divsChild>
                                <w:div w:id="1954631891">
                                  <w:marLeft w:val="0"/>
                                  <w:marRight w:val="0"/>
                                  <w:marTop w:val="0"/>
                                  <w:marBottom w:val="0"/>
                                  <w:divBdr>
                                    <w:top w:val="none" w:sz="0" w:space="0" w:color="auto"/>
                                    <w:left w:val="none" w:sz="0" w:space="0" w:color="auto"/>
                                    <w:bottom w:val="none" w:sz="0" w:space="0" w:color="auto"/>
                                    <w:right w:val="none" w:sz="0" w:space="0" w:color="auto"/>
                                  </w:divBdr>
                                  <w:divsChild>
                                    <w:div w:id="1854681161">
                                      <w:marLeft w:val="0"/>
                                      <w:marRight w:val="0"/>
                                      <w:marTop w:val="0"/>
                                      <w:marBottom w:val="0"/>
                                      <w:divBdr>
                                        <w:top w:val="none" w:sz="0" w:space="0" w:color="auto"/>
                                        <w:left w:val="none" w:sz="0" w:space="0" w:color="auto"/>
                                        <w:bottom w:val="none" w:sz="0" w:space="0" w:color="auto"/>
                                        <w:right w:val="none" w:sz="0" w:space="0" w:color="auto"/>
                                      </w:divBdr>
                                      <w:divsChild>
                                        <w:div w:id="2143383642">
                                          <w:marLeft w:val="0"/>
                                          <w:marRight w:val="0"/>
                                          <w:marTop w:val="0"/>
                                          <w:marBottom w:val="0"/>
                                          <w:divBdr>
                                            <w:top w:val="none" w:sz="0" w:space="0" w:color="auto"/>
                                            <w:left w:val="none" w:sz="0" w:space="0" w:color="auto"/>
                                            <w:bottom w:val="none" w:sz="0" w:space="0" w:color="auto"/>
                                            <w:right w:val="none" w:sz="0" w:space="0" w:color="auto"/>
                                          </w:divBdr>
                                          <w:divsChild>
                                            <w:div w:id="1472288430">
                                              <w:marLeft w:val="0"/>
                                              <w:marRight w:val="0"/>
                                              <w:marTop w:val="0"/>
                                              <w:marBottom w:val="0"/>
                                              <w:divBdr>
                                                <w:top w:val="none" w:sz="0" w:space="0" w:color="auto"/>
                                                <w:left w:val="none" w:sz="0" w:space="0" w:color="auto"/>
                                                <w:bottom w:val="none" w:sz="0" w:space="0" w:color="auto"/>
                                                <w:right w:val="none" w:sz="0" w:space="0" w:color="auto"/>
                                              </w:divBdr>
                                              <w:divsChild>
                                                <w:div w:id="2073307221">
                                                  <w:marLeft w:val="0"/>
                                                  <w:marRight w:val="0"/>
                                                  <w:marTop w:val="0"/>
                                                  <w:marBottom w:val="0"/>
                                                  <w:divBdr>
                                                    <w:top w:val="none" w:sz="0" w:space="0" w:color="auto"/>
                                                    <w:left w:val="none" w:sz="0" w:space="0" w:color="auto"/>
                                                    <w:bottom w:val="none" w:sz="0" w:space="0" w:color="auto"/>
                                                    <w:right w:val="none" w:sz="0" w:space="0" w:color="auto"/>
                                                  </w:divBdr>
                                                  <w:divsChild>
                                                    <w:div w:id="4965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960424">
      <w:bodyDiv w:val="1"/>
      <w:marLeft w:val="0"/>
      <w:marRight w:val="0"/>
      <w:marTop w:val="0"/>
      <w:marBottom w:val="0"/>
      <w:divBdr>
        <w:top w:val="none" w:sz="0" w:space="0" w:color="auto"/>
        <w:left w:val="none" w:sz="0" w:space="0" w:color="auto"/>
        <w:bottom w:val="none" w:sz="0" w:space="0" w:color="auto"/>
        <w:right w:val="none" w:sz="0" w:space="0" w:color="auto"/>
      </w:divBdr>
    </w:div>
    <w:div w:id="1157108180">
      <w:bodyDiv w:val="1"/>
      <w:marLeft w:val="0"/>
      <w:marRight w:val="0"/>
      <w:marTop w:val="0"/>
      <w:marBottom w:val="0"/>
      <w:divBdr>
        <w:top w:val="none" w:sz="0" w:space="0" w:color="auto"/>
        <w:left w:val="none" w:sz="0" w:space="0" w:color="auto"/>
        <w:bottom w:val="none" w:sz="0" w:space="0" w:color="auto"/>
        <w:right w:val="none" w:sz="0" w:space="0" w:color="auto"/>
      </w:divBdr>
    </w:div>
    <w:div w:id="1316034537">
      <w:bodyDiv w:val="1"/>
      <w:marLeft w:val="0"/>
      <w:marRight w:val="0"/>
      <w:marTop w:val="0"/>
      <w:marBottom w:val="0"/>
      <w:divBdr>
        <w:top w:val="none" w:sz="0" w:space="0" w:color="auto"/>
        <w:left w:val="none" w:sz="0" w:space="0" w:color="auto"/>
        <w:bottom w:val="none" w:sz="0" w:space="0" w:color="auto"/>
        <w:right w:val="none" w:sz="0" w:space="0" w:color="auto"/>
      </w:divBdr>
      <w:divsChild>
        <w:div w:id="90009096">
          <w:marLeft w:val="0"/>
          <w:marRight w:val="0"/>
          <w:marTop w:val="0"/>
          <w:marBottom w:val="0"/>
          <w:divBdr>
            <w:top w:val="none" w:sz="0" w:space="0" w:color="auto"/>
            <w:left w:val="none" w:sz="0" w:space="0" w:color="auto"/>
            <w:bottom w:val="none" w:sz="0" w:space="0" w:color="auto"/>
            <w:right w:val="none" w:sz="0" w:space="0" w:color="auto"/>
          </w:divBdr>
          <w:divsChild>
            <w:div w:id="1167671300">
              <w:marLeft w:val="0"/>
              <w:marRight w:val="0"/>
              <w:marTop w:val="0"/>
              <w:marBottom w:val="0"/>
              <w:divBdr>
                <w:top w:val="none" w:sz="0" w:space="0" w:color="auto"/>
                <w:left w:val="none" w:sz="0" w:space="0" w:color="auto"/>
                <w:bottom w:val="none" w:sz="0" w:space="0" w:color="auto"/>
                <w:right w:val="none" w:sz="0" w:space="0" w:color="auto"/>
              </w:divBdr>
              <w:divsChild>
                <w:div w:id="1093933860">
                  <w:marLeft w:val="0"/>
                  <w:marRight w:val="0"/>
                  <w:marTop w:val="0"/>
                  <w:marBottom w:val="0"/>
                  <w:divBdr>
                    <w:top w:val="none" w:sz="0" w:space="0" w:color="auto"/>
                    <w:left w:val="none" w:sz="0" w:space="0" w:color="auto"/>
                    <w:bottom w:val="none" w:sz="0" w:space="0" w:color="auto"/>
                    <w:right w:val="none" w:sz="0" w:space="0" w:color="auto"/>
                  </w:divBdr>
                  <w:divsChild>
                    <w:div w:id="1986886940">
                      <w:marLeft w:val="0"/>
                      <w:marRight w:val="0"/>
                      <w:marTop w:val="0"/>
                      <w:marBottom w:val="0"/>
                      <w:divBdr>
                        <w:top w:val="none" w:sz="0" w:space="0" w:color="auto"/>
                        <w:left w:val="none" w:sz="0" w:space="0" w:color="auto"/>
                        <w:bottom w:val="none" w:sz="0" w:space="0" w:color="auto"/>
                        <w:right w:val="none" w:sz="0" w:space="0" w:color="auto"/>
                      </w:divBdr>
                      <w:divsChild>
                        <w:div w:id="834996828">
                          <w:marLeft w:val="0"/>
                          <w:marRight w:val="0"/>
                          <w:marTop w:val="0"/>
                          <w:marBottom w:val="0"/>
                          <w:divBdr>
                            <w:top w:val="single" w:sz="6" w:space="0" w:color="828282"/>
                            <w:left w:val="single" w:sz="6" w:space="0" w:color="828282"/>
                            <w:bottom w:val="single" w:sz="6" w:space="0" w:color="828282"/>
                            <w:right w:val="single" w:sz="6" w:space="0" w:color="828282"/>
                          </w:divBdr>
                          <w:divsChild>
                            <w:div w:id="1590652336">
                              <w:marLeft w:val="0"/>
                              <w:marRight w:val="0"/>
                              <w:marTop w:val="0"/>
                              <w:marBottom w:val="0"/>
                              <w:divBdr>
                                <w:top w:val="none" w:sz="0" w:space="0" w:color="auto"/>
                                <w:left w:val="none" w:sz="0" w:space="0" w:color="auto"/>
                                <w:bottom w:val="none" w:sz="0" w:space="0" w:color="auto"/>
                                <w:right w:val="none" w:sz="0" w:space="0" w:color="auto"/>
                              </w:divBdr>
                              <w:divsChild>
                                <w:div w:id="1953785348">
                                  <w:marLeft w:val="0"/>
                                  <w:marRight w:val="0"/>
                                  <w:marTop w:val="0"/>
                                  <w:marBottom w:val="0"/>
                                  <w:divBdr>
                                    <w:top w:val="none" w:sz="0" w:space="0" w:color="auto"/>
                                    <w:left w:val="none" w:sz="0" w:space="0" w:color="auto"/>
                                    <w:bottom w:val="none" w:sz="0" w:space="0" w:color="auto"/>
                                    <w:right w:val="none" w:sz="0" w:space="0" w:color="auto"/>
                                  </w:divBdr>
                                  <w:divsChild>
                                    <w:div w:id="409232700">
                                      <w:marLeft w:val="0"/>
                                      <w:marRight w:val="0"/>
                                      <w:marTop w:val="0"/>
                                      <w:marBottom w:val="0"/>
                                      <w:divBdr>
                                        <w:top w:val="none" w:sz="0" w:space="0" w:color="auto"/>
                                        <w:left w:val="none" w:sz="0" w:space="0" w:color="auto"/>
                                        <w:bottom w:val="none" w:sz="0" w:space="0" w:color="auto"/>
                                        <w:right w:val="none" w:sz="0" w:space="0" w:color="auto"/>
                                      </w:divBdr>
                                      <w:divsChild>
                                        <w:div w:id="1620721872">
                                          <w:marLeft w:val="0"/>
                                          <w:marRight w:val="0"/>
                                          <w:marTop w:val="0"/>
                                          <w:marBottom w:val="0"/>
                                          <w:divBdr>
                                            <w:top w:val="none" w:sz="0" w:space="0" w:color="auto"/>
                                            <w:left w:val="none" w:sz="0" w:space="0" w:color="auto"/>
                                            <w:bottom w:val="none" w:sz="0" w:space="0" w:color="auto"/>
                                            <w:right w:val="none" w:sz="0" w:space="0" w:color="auto"/>
                                          </w:divBdr>
                                          <w:divsChild>
                                            <w:div w:id="1421097036">
                                              <w:marLeft w:val="0"/>
                                              <w:marRight w:val="0"/>
                                              <w:marTop w:val="0"/>
                                              <w:marBottom w:val="0"/>
                                              <w:divBdr>
                                                <w:top w:val="none" w:sz="0" w:space="0" w:color="auto"/>
                                                <w:left w:val="none" w:sz="0" w:space="0" w:color="auto"/>
                                                <w:bottom w:val="none" w:sz="0" w:space="0" w:color="auto"/>
                                                <w:right w:val="none" w:sz="0" w:space="0" w:color="auto"/>
                                              </w:divBdr>
                                              <w:divsChild>
                                                <w:div w:id="14584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188802">
      <w:bodyDiv w:val="1"/>
      <w:marLeft w:val="0"/>
      <w:marRight w:val="0"/>
      <w:marTop w:val="0"/>
      <w:marBottom w:val="0"/>
      <w:divBdr>
        <w:top w:val="none" w:sz="0" w:space="0" w:color="auto"/>
        <w:left w:val="none" w:sz="0" w:space="0" w:color="auto"/>
        <w:bottom w:val="none" w:sz="0" w:space="0" w:color="auto"/>
        <w:right w:val="none" w:sz="0" w:space="0" w:color="auto"/>
      </w:divBdr>
    </w:div>
    <w:div w:id="1691909875">
      <w:bodyDiv w:val="1"/>
      <w:marLeft w:val="0"/>
      <w:marRight w:val="0"/>
      <w:marTop w:val="0"/>
      <w:marBottom w:val="0"/>
      <w:divBdr>
        <w:top w:val="none" w:sz="0" w:space="0" w:color="auto"/>
        <w:left w:val="none" w:sz="0" w:space="0" w:color="auto"/>
        <w:bottom w:val="none" w:sz="0" w:space="0" w:color="auto"/>
        <w:right w:val="none" w:sz="0" w:space="0" w:color="auto"/>
      </w:divBdr>
    </w:div>
    <w:div w:id="1783069968">
      <w:bodyDiv w:val="1"/>
      <w:marLeft w:val="0"/>
      <w:marRight w:val="0"/>
      <w:marTop w:val="0"/>
      <w:marBottom w:val="0"/>
      <w:divBdr>
        <w:top w:val="none" w:sz="0" w:space="0" w:color="auto"/>
        <w:left w:val="none" w:sz="0" w:space="0" w:color="auto"/>
        <w:bottom w:val="none" w:sz="0" w:space="0" w:color="auto"/>
        <w:right w:val="none" w:sz="0" w:space="0" w:color="auto"/>
      </w:divBdr>
      <w:divsChild>
        <w:div w:id="35158084">
          <w:marLeft w:val="0"/>
          <w:marRight w:val="0"/>
          <w:marTop w:val="0"/>
          <w:marBottom w:val="0"/>
          <w:divBdr>
            <w:top w:val="none" w:sz="0" w:space="0" w:color="auto"/>
            <w:left w:val="none" w:sz="0" w:space="0" w:color="auto"/>
            <w:bottom w:val="none" w:sz="0" w:space="0" w:color="auto"/>
            <w:right w:val="none" w:sz="0" w:space="0" w:color="auto"/>
          </w:divBdr>
          <w:divsChild>
            <w:div w:id="1872065724">
              <w:marLeft w:val="0"/>
              <w:marRight w:val="0"/>
              <w:marTop w:val="0"/>
              <w:marBottom w:val="0"/>
              <w:divBdr>
                <w:top w:val="none" w:sz="0" w:space="0" w:color="auto"/>
                <w:left w:val="none" w:sz="0" w:space="0" w:color="auto"/>
                <w:bottom w:val="none" w:sz="0" w:space="0" w:color="auto"/>
                <w:right w:val="none" w:sz="0" w:space="0" w:color="auto"/>
              </w:divBdr>
              <w:divsChild>
                <w:div w:id="44959634">
                  <w:marLeft w:val="0"/>
                  <w:marRight w:val="0"/>
                  <w:marTop w:val="0"/>
                  <w:marBottom w:val="0"/>
                  <w:divBdr>
                    <w:top w:val="none" w:sz="0" w:space="0" w:color="auto"/>
                    <w:left w:val="none" w:sz="0" w:space="0" w:color="auto"/>
                    <w:bottom w:val="none" w:sz="0" w:space="0" w:color="auto"/>
                    <w:right w:val="none" w:sz="0" w:space="0" w:color="auto"/>
                  </w:divBdr>
                  <w:divsChild>
                    <w:div w:id="48772810">
                      <w:marLeft w:val="0"/>
                      <w:marRight w:val="0"/>
                      <w:marTop w:val="0"/>
                      <w:marBottom w:val="0"/>
                      <w:divBdr>
                        <w:top w:val="none" w:sz="0" w:space="0" w:color="auto"/>
                        <w:left w:val="none" w:sz="0" w:space="0" w:color="auto"/>
                        <w:bottom w:val="none" w:sz="0" w:space="0" w:color="auto"/>
                        <w:right w:val="none" w:sz="0" w:space="0" w:color="auto"/>
                      </w:divBdr>
                      <w:divsChild>
                        <w:div w:id="1830946756">
                          <w:marLeft w:val="0"/>
                          <w:marRight w:val="0"/>
                          <w:marTop w:val="0"/>
                          <w:marBottom w:val="0"/>
                          <w:divBdr>
                            <w:top w:val="single" w:sz="6" w:space="0" w:color="828282"/>
                            <w:left w:val="single" w:sz="6" w:space="0" w:color="828282"/>
                            <w:bottom w:val="single" w:sz="6" w:space="0" w:color="828282"/>
                            <w:right w:val="single" w:sz="6" w:space="0" w:color="828282"/>
                          </w:divBdr>
                          <w:divsChild>
                            <w:div w:id="1207257119">
                              <w:marLeft w:val="0"/>
                              <w:marRight w:val="0"/>
                              <w:marTop w:val="0"/>
                              <w:marBottom w:val="0"/>
                              <w:divBdr>
                                <w:top w:val="none" w:sz="0" w:space="0" w:color="auto"/>
                                <w:left w:val="none" w:sz="0" w:space="0" w:color="auto"/>
                                <w:bottom w:val="none" w:sz="0" w:space="0" w:color="auto"/>
                                <w:right w:val="none" w:sz="0" w:space="0" w:color="auto"/>
                              </w:divBdr>
                              <w:divsChild>
                                <w:div w:id="455874170">
                                  <w:marLeft w:val="0"/>
                                  <w:marRight w:val="0"/>
                                  <w:marTop w:val="0"/>
                                  <w:marBottom w:val="0"/>
                                  <w:divBdr>
                                    <w:top w:val="none" w:sz="0" w:space="0" w:color="auto"/>
                                    <w:left w:val="none" w:sz="0" w:space="0" w:color="auto"/>
                                    <w:bottom w:val="none" w:sz="0" w:space="0" w:color="auto"/>
                                    <w:right w:val="none" w:sz="0" w:space="0" w:color="auto"/>
                                  </w:divBdr>
                                  <w:divsChild>
                                    <w:div w:id="752358334">
                                      <w:marLeft w:val="0"/>
                                      <w:marRight w:val="0"/>
                                      <w:marTop w:val="0"/>
                                      <w:marBottom w:val="0"/>
                                      <w:divBdr>
                                        <w:top w:val="none" w:sz="0" w:space="0" w:color="auto"/>
                                        <w:left w:val="none" w:sz="0" w:space="0" w:color="auto"/>
                                        <w:bottom w:val="none" w:sz="0" w:space="0" w:color="auto"/>
                                        <w:right w:val="none" w:sz="0" w:space="0" w:color="auto"/>
                                      </w:divBdr>
                                      <w:divsChild>
                                        <w:div w:id="1386641294">
                                          <w:marLeft w:val="0"/>
                                          <w:marRight w:val="0"/>
                                          <w:marTop w:val="0"/>
                                          <w:marBottom w:val="0"/>
                                          <w:divBdr>
                                            <w:top w:val="none" w:sz="0" w:space="0" w:color="auto"/>
                                            <w:left w:val="none" w:sz="0" w:space="0" w:color="auto"/>
                                            <w:bottom w:val="none" w:sz="0" w:space="0" w:color="auto"/>
                                            <w:right w:val="none" w:sz="0" w:space="0" w:color="auto"/>
                                          </w:divBdr>
                                          <w:divsChild>
                                            <w:div w:id="2126851544">
                                              <w:marLeft w:val="0"/>
                                              <w:marRight w:val="0"/>
                                              <w:marTop w:val="0"/>
                                              <w:marBottom w:val="0"/>
                                              <w:divBdr>
                                                <w:top w:val="none" w:sz="0" w:space="0" w:color="auto"/>
                                                <w:left w:val="none" w:sz="0" w:space="0" w:color="auto"/>
                                                <w:bottom w:val="none" w:sz="0" w:space="0" w:color="auto"/>
                                                <w:right w:val="none" w:sz="0" w:space="0" w:color="auto"/>
                                              </w:divBdr>
                                              <w:divsChild>
                                                <w:div w:id="440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606190">
      <w:bodyDiv w:val="1"/>
      <w:marLeft w:val="0"/>
      <w:marRight w:val="0"/>
      <w:marTop w:val="0"/>
      <w:marBottom w:val="0"/>
      <w:divBdr>
        <w:top w:val="none" w:sz="0" w:space="0" w:color="auto"/>
        <w:left w:val="none" w:sz="0" w:space="0" w:color="auto"/>
        <w:bottom w:val="none" w:sz="0" w:space="0" w:color="auto"/>
        <w:right w:val="none" w:sz="0" w:space="0" w:color="auto"/>
      </w:divBdr>
    </w:div>
    <w:div w:id="2045012986">
      <w:bodyDiv w:val="1"/>
      <w:marLeft w:val="0"/>
      <w:marRight w:val="0"/>
      <w:marTop w:val="0"/>
      <w:marBottom w:val="0"/>
      <w:divBdr>
        <w:top w:val="none" w:sz="0" w:space="0" w:color="auto"/>
        <w:left w:val="none" w:sz="0" w:space="0" w:color="auto"/>
        <w:bottom w:val="none" w:sz="0" w:space="0" w:color="auto"/>
        <w:right w:val="none" w:sz="0" w:space="0" w:color="auto"/>
      </w:divBdr>
      <w:divsChild>
        <w:div w:id="1885555704">
          <w:marLeft w:val="0"/>
          <w:marRight w:val="0"/>
          <w:marTop w:val="0"/>
          <w:marBottom w:val="0"/>
          <w:divBdr>
            <w:top w:val="none" w:sz="0" w:space="0" w:color="auto"/>
            <w:left w:val="none" w:sz="0" w:space="0" w:color="auto"/>
            <w:bottom w:val="none" w:sz="0" w:space="0" w:color="auto"/>
            <w:right w:val="none" w:sz="0" w:space="0" w:color="auto"/>
          </w:divBdr>
          <w:divsChild>
            <w:div w:id="1384980742">
              <w:marLeft w:val="0"/>
              <w:marRight w:val="0"/>
              <w:marTop w:val="0"/>
              <w:marBottom w:val="0"/>
              <w:divBdr>
                <w:top w:val="none" w:sz="0" w:space="0" w:color="auto"/>
                <w:left w:val="none" w:sz="0" w:space="0" w:color="auto"/>
                <w:bottom w:val="none" w:sz="0" w:space="0" w:color="auto"/>
                <w:right w:val="none" w:sz="0" w:space="0" w:color="auto"/>
              </w:divBdr>
              <w:divsChild>
                <w:div w:id="1411152503">
                  <w:marLeft w:val="0"/>
                  <w:marRight w:val="0"/>
                  <w:marTop w:val="0"/>
                  <w:marBottom w:val="0"/>
                  <w:divBdr>
                    <w:top w:val="none" w:sz="0" w:space="0" w:color="auto"/>
                    <w:left w:val="none" w:sz="0" w:space="0" w:color="auto"/>
                    <w:bottom w:val="none" w:sz="0" w:space="0" w:color="auto"/>
                    <w:right w:val="none" w:sz="0" w:space="0" w:color="auto"/>
                  </w:divBdr>
                  <w:divsChild>
                    <w:div w:id="670064462">
                      <w:marLeft w:val="0"/>
                      <w:marRight w:val="0"/>
                      <w:marTop w:val="0"/>
                      <w:marBottom w:val="0"/>
                      <w:divBdr>
                        <w:top w:val="none" w:sz="0" w:space="0" w:color="auto"/>
                        <w:left w:val="none" w:sz="0" w:space="0" w:color="auto"/>
                        <w:bottom w:val="none" w:sz="0" w:space="0" w:color="auto"/>
                        <w:right w:val="none" w:sz="0" w:space="0" w:color="auto"/>
                      </w:divBdr>
                      <w:divsChild>
                        <w:div w:id="359286683">
                          <w:marLeft w:val="0"/>
                          <w:marRight w:val="0"/>
                          <w:marTop w:val="0"/>
                          <w:marBottom w:val="0"/>
                          <w:divBdr>
                            <w:top w:val="none" w:sz="0" w:space="0" w:color="auto"/>
                            <w:left w:val="none" w:sz="0" w:space="0" w:color="auto"/>
                            <w:bottom w:val="none" w:sz="0" w:space="0" w:color="auto"/>
                            <w:right w:val="none" w:sz="0" w:space="0" w:color="auto"/>
                          </w:divBdr>
                          <w:divsChild>
                            <w:div w:id="1625843359">
                              <w:marLeft w:val="0"/>
                              <w:marRight w:val="0"/>
                              <w:marTop w:val="0"/>
                              <w:marBottom w:val="0"/>
                              <w:divBdr>
                                <w:top w:val="none" w:sz="0" w:space="0" w:color="auto"/>
                                <w:left w:val="none" w:sz="0" w:space="0" w:color="auto"/>
                                <w:bottom w:val="none" w:sz="0" w:space="0" w:color="auto"/>
                                <w:right w:val="none" w:sz="0" w:space="0" w:color="auto"/>
                              </w:divBdr>
                              <w:divsChild>
                                <w:div w:id="1440104158">
                                  <w:marLeft w:val="0"/>
                                  <w:marRight w:val="0"/>
                                  <w:marTop w:val="0"/>
                                  <w:marBottom w:val="0"/>
                                  <w:divBdr>
                                    <w:top w:val="none" w:sz="0" w:space="0" w:color="auto"/>
                                    <w:left w:val="none" w:sz="0" w:space="0" w:color="auto"/>
                                    <w:bottom w:val="none" w:sz="0" w:space="0" w:color="auto"/>
                                    <w:right w:val="none" w:sz="0" w:space="0" w:color="auto"/>
                                  </w:divBdr>
                                  <w:divsChild>
                                    <w:div w:id="1194076372">
                                      <w:marLeft w:val="0"/>
                                      <w:marRight w:val="0"/>
                                      <w:marTop w:val="0"/>
                                      <w:marBottom w:val="0"/>
                                      <w:divBdr>
                                        <w:top w:val="none" w:sz="0" w:space="0" w:color="auto"/>
                                        <w:left w:val="none" w:sz="0" w:space="0" w:color="auto"/>
                                        <w:bottom w:val="none" w:sz="0" w:space="0" w:color="auto"/>
                                        <w:right w:val="none" w:sz="0" w:space="0" w:color="auto"/>
                                      </w:divBdr>
                                      <w:divsChild>
                                        <w:div w:id="2046252347">
                                          <w:marLeft w:val="0"/>
                                          <w:marRight w:val="0"/>
                                          <w:marTop w:val="0"/>
                                          <w:marBottom w:val="0"/>
                                          <w:divBdr>
                                            <w:top w:val="none" w:sz="0" w:space="0" w:color="auto"/>
                                            <w:left w:val="none" w:sz="0" w:space="0" w:color="auto"/>
                                            <w:bottom w:val="none" w:sz="0" w:space="0" w:color="auto"/>
                                            <w:right w:val="none" w:sz="0" w:space="0" w:color="auto"/>
                                          </w:divBdr>
                                          <w:divsChild>
                                            <w:div w:id="758674583">
                                              <w:marLeft w:val="0"/>
                                              <w:marRight w:val="0"/>
                                              <w:marTop w:val="0"/>
                                              <w:marBottom w:val="0"/>
                                              <w:divBdr>
                                                <w:top w:val="none" w:sz="0" w:space="0" w:color="auto"/>
                                                <w:left w:val="none" w:sz="0" w:space="0" w:color="auto"/>
                                                <w:bottom w:val="none" w:sz="0" w:space="0" w:color="auto"/>
                                                <w:right w:val="none" w:sz="0" w:space="0" w:color="auto"/>
                                              </w:divBdr>
                                              <w:divsChild>
                                                <w:div w:id="495000632">
                                                  <w:marLeft w:val="0"/>
                                                  <w:marRight w:val="0"/>
                                                  <w:marTop w:val="0"/>
                                                  <w:marBottom w:val="0"/>
                                                  <w:divBdr>
                                                    <w:top w:val="none" w:sz="0" w:space="0" w:color="auto"/>
                                                    <w:left w:val="none" w:sz="0" w:space="0" w:color="auto"/>
                                                    <w:bottom w:val="none" w:sz="0" w:space="0" w:color="auto"/>
                                                    <w:right w:val="none" w:sz="0" w:space="0" w:color="auto"/>
                                                  </w:divBdr>
                                                  <w:divsChild>
                                                    <w:div w:id="238637413">
                                                      <w:marLeft w:val="0"/>
                                                      <w:marRight w:val="0"/>
                                                      <w:marTop w:val="0"/>
                                                      <w:marBottom w:val="0"/>
                                                      <w:divBdr>
                                                        <w:top w:val="none" w:sz="0" w:space="0" w:color="auto"/>
                                                        <w:left w:val="none" w:sz="0" w:space="0" w:color="auto"/>
                                                        <w:bottom w:val="none" w:sz="0" w:space="0" w:color="auto"/>
                                                        <w:right w:val="none" w:sz="0" w:space="0" w:color="auto"/>
                                                      </w:divBdr>
                                                      <w:divsChild>
                                                        <w:div w:id="19912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2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4D936-9C47-48E1-96DD-E60BF162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Burford</dc:creator>
  <cp:lastModifiedBy>NG, Jason</cp:lastModifiedBy>
  <cp:revision>9</cp:revision>
  <cp:lastPrinted>2018-09-05T00:15:00Z</cp:lastPrinted>
  <dcterms:created xsi:type="dcterms:W3CDTF">2020-04-21T04:47:00Z</dcterms:created>
  <dcterms:modified xsi:type="dcterms:W3CDTF">2020-04-29T04:46:00Z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