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129C3" w:rsidRDefault="00FA6784" w:rsidP="00FA6784">
      <w:pPr>
        <w:pStyle w:val="H3"/>
        <w:jc w:val="center"/>
        <w:rPr>
          <w:sz w:val="24"/>
          <w:szCs w:val="24"/>
        </w:rPr>
      </w:pPr>
      <w:r w:rsidRPr="00B129C3">
        <w:rPr>
          <w:sz w:val="24"/>
          <w:szCs w:val="24"/>
        </w:rPr>
        <w:t>EXPLANATORY STATEMENT</w:t>
      </w:r>
    </w:p>
    <w:p w14:paraId="2412D120" w14:textId="77777777" w:rsidR="00FA6784" w:rsidRPr="00B129C3" w:rsidRDefault="00FA6784" w:rsidP="00FA6784">
      <w:pPr>
        <w:jc w:val="center"/>
        <w:rPr>
          <w:sz w:val="22"/>
          <w:szCs w:val="22"/>
        </w:rPr>
      </w:pPr>
    </w:p>
    <w:p w14:paraId="2412D123" w14:textId="77777777" w:rsidR="00FA6784" w:rsidRPr="00B129C3" w:rsidRDefault="00FA6784" w:rsidP="00FA6784">
      <w:pPr>
        <w:jc w:val="center"/>
        <w:rPr>
          <w:i/>
          <w:iCs/>
        </w:rPr>
      </w:pPr>
      <w:r w:rsidRPr="00B129C3">
        <w:rPr>
          <w:i/>
          <w:iCs/>
        </w:rPr>
        <w:t>Health Insurance Act 1973</w:t>
      </w:r>
    </w:p>
    <w:p w14:paraId="3B1050FC" w14:textId="307050C7" w:rsidR="00B122AA" w:rsidRPr="00B129C3" w:rsidRDefault="00B122AA" w:rsidP="00B122AA">
      <w:pPr>
        <w:shd w:val="clear" w:color="auto" w:fill="FFFFFF"/>
        <w:spacing w:before="100" w:beforeAutospacing="1" w:after="100" w:afterAutospacing="1" w:line="279" w:lineRule="atLeast"/>
        <w:jc w:val="center"/>
        <w:rPr>
          <w:i/>
          <w:szCs w:val="24"/>
        </w:rPr>
      </w:pPr>
      <w:r w:rsidRPr="00B129C3">
        <w:rPr>
          <w:i/>
          <w:szCs w:val="24"/>
        </w:rPr>
        <w:t>Health Insurance Legislation Amendment (Consequential Change to Incorporated GMST Clauses</w:t>
      </w:r>
      <w:r w:rsidR="00AE7F3E" w:rsidRPr="00B129C3">
        <w:rPr>
          <w:i/>
          <w:szCs w:val="24"/>
        </w:rPr>
        <w:t xml:space="preserve"> and Eye Movement Desensitisation and Reprocessing</w:t>
      </w:r>
      <w:r w:rsidRPr="00B129C3">
        <w:rPr>
          <w:i/>
          <w:szCs w:val="24"/>
        </w:rPr>
        <w:t>) Determination 2020</w:t>
      </w:r>
    </w:p>
    <w:p w14:paraId="46AD257F" w14:textId="7BFF9BED" w:rsidR="00AF5D61" w:rsidRPr="00B129C3" w:rsidRDefault="00AF5D61" w:rsidP="00AF5D61">
      <w:pPr>
        <w:shd w:val="clear" w:color="auto" w:fill="FFFFFF"/>
        <w:spacing w:before="100" w:beforeAutospacing="1" w:after="100" w:afterAutospacing="1" w:line="279" w:lineRule="atLeast"/>
        <w:rPr>
          <w:color w:val="000000"/>
          <w:szCs w:val="24"/>
          <w:shd w:val="clear" w:color="auto" w:fill="FFFFFF"/>
        </w:rPr>
      </w:pPr>
      <w:r w:rsidRPr="00B129C3">
        <w:rPr>
          <w:color w:val="000000"/>
          <w:szCs w:val="24"/>
          <w:shd w:val="clear" w:color="auto" w:fill="FFFFFF"/>
        </w:rPr>
        <w:t xml:space="preserve">Subsection 3C(1) of the </w:t>
      </w:r>
      <w:r w:rsidRPr="00B129C3">
        <w:rPr>
          <w:i/>
          <w:iCs/>
          <w:color w:val="000000"/>
          <w:szCs w:val="24"/>
          <w:shd w:val="clear" w:color="auto" w:fill="FFFFFF"/>
        </w:rPr>
        <w:t>Health Insurance Act 1973</w:t>
      </w:r>
      <w:r w:rsidRPr="00B129C3">
        <w:rPr>
          <w:color w:val="000000"/>
          <w:szCs w:val="24"/>
          <w:shd w:val="clear" w:color="auto" w:fill="FFFFFF"/>
        </w:rPr>
        <w:t xml:space="preserve"> (the Act) provides that the Minister may, by legislative instrument, determine that a health service not specified in an item in the general medical services table (the </w:t>
      </w:r>
      <w:r w:rsidR="00936ACC" w:rsidRPr="00B129C3">
        <w:rPr>
          <w:color w:val="000000"/>
          <w:szCs w:val="24"/>
          <w:shd w:val="clear" w:color="auto" w:fill="FFFFFF"/>
        </w:rPr>
        <w:t>Table</w:t>
      </w:r>
      <w:r w:rsidRPr="00B129C3">
        <w:rPr>
          <w:color w:val="000000"/>
          <w:szCs w:val="24"/>
          <w:shd w:val="clear" w:color="auto" w:fill="FFFFFF"/>
        </w:rPr>
        <w:t>)</w:t>
      </w:r>
      <w:r w:rsidR="00A5463B" w:rsidRPr="00B129C3">
        <w:rPr>
          <w:color w:val="000000"/>
          <w:szCs w:val="24"/>
          <w:shd w:val="clear" w:color="auto" w:fill="FFFFFF"/>
        </w:rPr>
        <w:t xml:space="preserve"> </w:t>
      </w:r>
      <w:r w:rsidRPr="00B129C3">
        <w:rPr>
          <w:color w:val="000000"/>
          <w:szCs w:val="24"/>
          <w:shd w:val="clear" w:color="auto" w:fill="FFFFFF"/>
        </w:rPr>
        <w:t xml:space="preserve">shall, in specified circumstances and for specified statutory provisions, be treated as if it were specified in </w:t>
      </w:r>
      <w:r w:rsidR="00936ACC" w:rsidRPr="00B129C3">
        <w:rPr>
          <w:color w:val="000000"/>
          <w:szCs w:val="24"/>
          <w:shd w:val="clear" w:color="auto" w:fill="FFFFFF"/>
        </w:rPr>
        <w:t>the Table</w:t>
      </w:r>
      <w:r w:rsidRPr="00B129C3">
        <w:rPr>
          <w:color w:val="000000"/>
          <w:szCs w:val="24"/>
          <w:shd w:val="clear" w:color="auto" w:fill="FFFFFF"/>
        </w:rPr>
        <w:t>.</w:t>
      </w:r>
    </w:p>
    <w:p w14:paraId="2B74EBCF" w14:textId="00F85581" w:rsidR="00A5463B" w:rsidRPr="00B129C3" w:rsidRDefault="00AF5D61" w:rsidP="00A5463B">
      <w:pPr>
        <w:tabs>
          <w:tab w:val="left" w:pos="0"/>
          <w:tab w:val="left" w:pos="1008"/>
          <w:tab w:val="left" w:pos="2160"/>
          <w:tab w:val="left" w:pos="3312"/>
          <w:tab w:val="left" w:pos="4464"/>
          <w:tab w:val="left" w:pos="5616"/>
          <w:tab w:val="left" w:pos="6768"/>
          <w:tab w:val="left" w:pos="7920"/>
          <w:tab w:val="left" w:pos="9072"/>
          <w:tab w:val="right" w:pos="9504"/>
        </w:tabs>
        <w:rPr>
          <w:i/>
        </w:rPr>
      </w:pPr>
      <w:r w:rsidRPr="00B129C3">
        <w:rPr>
          <w:szCs w:val="24"/>
        </w:rPr>
        <w:t>The</w:t>
      </w:r>
      <w:r w:rsidR="00A5463B" w:rsidRPr="00B129C3">
        <w:rPr>
          <w:szCs w:val="24"/>
        </w:rPr>
        <w:t xml:space="preserve"> </w:t>
      </w:r>
      <w:r w:rsidR="00936ACC" w:rsidRPr="00B129C3">
        <w:rPr>
          <w:szCs w:val="24"/>
        </w:rPr>
        <w:t>Table</w:t>
      </w:r>
      <w:r w:rsidR="00A5463B" w:rsidRPr="00B129C3">
        <w:rPr>
          <w:szCs w:val="24"/>
        </w:rPr>
        <w:t xml:space="preserve"> is set out in the regulations made under subsection 4(1) of the Act.</w:t>
      </w:r>
      <w:r w:rsidRPr="00B129C3">
        <w:rPr>
          <w:szCs w:val="24"/>
        </w:rPr>
        <w:t xml:space="preserve"> </w:t>
      </w:r>
      <w:r w:rsidR="00A5463B" w:rsidRPr="00B129C3">
        <w:rPr>
          <w:szCs w:val="24"/>
        </w:rPr>
        <w:t xml:space="preserve">The </w:t>
      </w:r>
      <w:r w:rsidR="00DA1B76" w:rsidRPr="00B129C3">
        <w:rPr>
          <w:szCs w:val="24"/>
        </w:rPr>
        <w:t>current</w:t>
      </w:r>
      <w:r w:rsidR="00936ACC" w:rsidRPr="00B129C3">
        <w:rPr>
          <w:szCs w:val="24"/>
        </w:rPr>
        <w:t xml:space="preserve"> version of the regulations is the </w:t>
      </w:r>
      <w:r w:rsidR="00A5463B" w:rsidRPr="00B129C3">
        <w:rPr>
          <w:i/>
        </w:rPr>
        <w:t>Health Insurance (General Medical Services Table) Regulations 2019</w:t>
      </w:r>
      <w:r w:rsidR="00DA1B76" w:rsidRPr="00B129C3">
        <w:rPr>
          <w:i/>
        </w:rPr>
        <w:t xml:space="preserve">, </w:t>
      </w:r>
      <w:r w:rsidR="00DA1B76" w:rsidRPr="00B129C3">
        <w:t xml:space="preserve">but </w:t>
      </w:r>
      <w:r w:rsidR="00A5463B" w:rsidRPr="00B129C3">
        <w:t xml:space="preserve">on 1 May 2020 </w:t>
      </w:r>
      <w:r w:rsidR="00DA1B76" w:rsidRPr="00B129C3">
        <w:t xml:space="preserve">the Table will be remade </w:t>
      </w:r>
      <w:r w:rsidR="00A5463B" w:rsidRPr="00B129C3">
        <w:t xml:space="preserve">by the </w:t>
      </w:r>
      <w:r w:rsidR="00A5463B" w:rsidRPr="00B129C3">
        <w:rPr>
          <w:i/>
        </w:rPr>
        <w:t>Health Insurance (General Medical Services Table) Regulations (No. 1) 2020.</w:t>
      </w:r>
      <w:r w:rsidR="00CB4F37" w:rsidRPr="00B129C3">
        <w:rPr>
          <w:i/>
        </w:rPr>
        <w:t xml:space="preserve"> </w:t>
      </w:r>
      <w:r w:rsidR="00CB4F37" w:rsidRPr="00B129C3">
        <w:t>The clauses in the Table will be renumbered to reflect current drafting standards and formatting.</w:t>
      </w:r>
    </w:p>
    <w:p w14:paraId="0591D5A7" w14:textId="742D7EDF" w:rsidR="00A5463B" w:rsidRPr="00B129C3" w:rsidRDefault="00A5463B" w:rsidP="00A5463B">
      <w:pPr>
        <w:shd w:val="clear" w:color="auto" w:fill="FFFFFF"/>
        <w:rPr>
          <w:szCs w:val="24"/>
        </w:rPr>
      </w:pPr>
    </w:p>
    <w:p w14:paraId="6DA94107" w14:textId="77777777" w:rsidR="00937B7B" w:rsidRPr="00B129C3" w:rsidRDefault="00937B7B" w:rsidP="00937B7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129C3">
        <w:t xml:space="preserve">This instrument relies on subsection 33(3) of the </w:t>
      </w:r>
      <w:r w:rsidRPr="00B129C3">
        <w:rPr>
          <w:i/>
        </w:rPr>
        <w:t>Acts Interpretation Act 1901</w:t>
      </w:r>
      <w:r w:rsidRPr="00B129C3">
        <w:t xml:space="preserve"> (AIA).  Subsection 33(3) of the AIA</w:t>
      </w:r>
      <w:r w:rsidRPr="00B129C3">
        <w:rPr>
          <w:i/>
        </w:rPr>
        <w:t xml:space="preserve"> </w:t>
      </w:r>
      <w:r w:rsidRPr="00B129C3">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F6DF215" w14:textId="77777777" w:rsidR="00D5274F" w:rsidRPr="00B129C3"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6E5CB2E" w14:textId="120BBA47" w:rsidR="00AF5D61" w:rsidRPr="00B129C3" w:rsidRDefault="00A1739A" w:rsidP="00C5268C">
      <w:pPr>
        <w:rPr>
          <w:b/>
          <w:szCs w:val="24"/>
          <w:lang w:val="en-US" w:eastAsia="en-US"/>
        </w:rPr>
      </w:pPr>
      <w:r w:rsidRPr="00B129C3">
        <w:rPr>
          <w:b/>
          <w:szCs w:val="24"/>
          <w:lang w:val="en-US" w:eastAsia="en-US"/>
        </w:rPr>
        <w:t>Purpose</w:t>
      </w:r>
    </w:p>
    <w:p w14:paraId="1B33209C" w14:textId="364682D1" w:rsidR="00B21A1B" w:rsidRPr="00B129C3" w:rsidRDefault="00B21A1B" w:rsidP="00936ACC">
      <w:pPr>
        <w:rPr>
          <w:szCs w:val="24"/>
        </w:rPr>
      </w:pPr>
      <w:r w:rsidRPr="00B129C3">
        <w:t xml:space="preserve">The purpose of the </w:t>
      </w:r>
      <w:r w:rsidR="00B122AA" w:rsidRPr="00B129C3">
        <w:rPr>
          <w:i/>
        </w:rPr>
        <w:t>Health Insurance Legislation Amendment (Consequential Change to Incorporated GMST Clauses</w:t>
      </w:r>
      <w:r w:rsidR="00AE7F3E" w:rsidRPr="00B129C3">
        <w:rPr>
          <w:i/>
        </w:rPr>
        <w:t xml:space="preserve"> and Eye Movement and Desensitisation and Reprocessing</w:t>
      </w:r>
      <w:r w:rsidR="00B122AA" w:rsidRPr="00B129C3">
        <w:rPr>
          <w:i/>
        </w:rPr>
        <w:t>) Determination 2020</w:t>
      </w:r>
      <w:r w:rsidR="00A5463B" w:rsidRPr="00B129C3">
        <w:rPr>
          <w:i/>
        </w:rPr>
        <w:t xml:space="preserve"> </w:t>
      </w:r>
      <w:r w:rsidRPr="00B129C3">
        <w:t xml:space="preserve">(the Determination) is </w:t>
      </w:r>
      <w:r w:rsidRPr="00B129C3">
        <w:rPr>
          <w:szCs w:val="24"/>
        </w:rPr>
        <w:t xml:space="preserve">to amend a number of determinations made under subsection 3C(1) of the Act to refer to clauses in the </w:t>
      </w:r>
      <w:r w:rsidR="00936ACC" w:rsidRPr="00B129C3">
        <w:rPr>
          <w:szCs w:val="24"/>
        </w:rPr>
        <w:t>Table</w:t>
      </w:r>
      <w:r w:rsidRPr="00B129C3">
        <w:rPr>
          <w:szCs w:val="24"/>
        </w:rPr>
        <w:t xml:space="preserve"> as renumbered in the </w:t>
      </w:r>
      <w:r w:rsidRPr="00B129C3">
        <w:rPr>
          <w:i/>
          <w:szCs w:val="24"/>
        </w:rPr>
        <w:t>Health Insurance (General Medical Services Table) Regulations (No. 1) 2020</w:t>
      </w:r>
      <w:r w:rsidR="00936ACC" w:rsidRPr="00B129C3">
        <w:rPr>
          <w:i/>
          <w:szCs w:val="24"/>
        </w:rPr>
        <w:t xml:space="preserve">, </w:t>
      </w:r>
      <w:r w:rsidR="00936ACC" w:rsidRPr="00B129C3">
        <w:rPr>
          <w:szCs w:val="24"/>
        </w:rPr>
        <w:t>and to make other minor consequential amendments following the remake of these regulations.</w:t>
      </w:r>
    </w:p>
    <w:p w14:paraId="4FB992A5" w14:textId="77777777" w:rsidR="00AE7F3E" w:rsidRPr="00B129C3" w:rsidRDefault="00AE7F3E" w:rsidP="00936ACC">
      <w:pPr>
        <w:rPr>
          <w:iCs/>
          <w:szCs w:val="24"/>
        </w:rPr>
      </w:pPr>
    </w:p>
    <w:p w14:paraId="38424FA5" w14:textId="097568DC" w:rsidR="00B21A1B" w:rsidRPr="00B129C3" w:rsidRDefault="00B21A1B" w:rsidP="00A5463B">
      <w:pPr>
        <w:shd w:val="clear" w:color="auto" w:fill="FFFFFF"/>
        <w:rPr>
          <w:szCs w:val="24"/>
        </w:rPr>
      </w:pPr>
      <w:r w:rsidRPr="00B129C3">
        <w:rPr>
          <w:szCs w:val="24"/>
        </w:rPr>
        <w:t xml:space="preserve">The Determination updates references in the following determinations: </w:t>
      </w:r>
    </w:p>
    <w:p w14:paraId="31B17915" w14:textId="51F4E73E" w:rsidR="00936ACC" w:rsidRPr="00B129C3" w:rsidRDefault="00936ACC" w:rsidP="00936ACC">
      <w:pPr>
        <w:pStyle w:val="ListParagraph"/>
        <w:numPr>
          <w:ilvl w:val="0"/>
          <w:numId w:val="38"/>
        </w:numPr>
        <w:rPr>
          <w:i/>
        </w:rPr>
      </w:pPr>
      <w:r w:rsidRPr="00B129C3">
        <w:rPr>
          <w:i/>
        </w:rPr>
        <w:t>Health Insurance (Section 3C General Medical Services – Eating Disorders Treatment Plan and Psychological Treatment Services) Determination 2019</w:t>
      </w:r>
    </w:p>
    <w:p w14:paraId="16287D61" w14:textId="77777777" w:rsidR="00936ACC" w:rsidRPr="00B129C3" w:rsidRDefault="00936ACC" w:rsidP="00936ACC">
      <w:pPr>
        <w:pStyle w:val="ListParagraph"/>
        <w:numPr>
          <w:ilvl w:val="0"/>
          <w:numId w:val="38"/>
        </w:numPr>
        <w:rPr>
          <w:i/>
        </w:rPr>
      </w:pPr>
      <w:r w:rsidRPr="00B129C3">
        <w:rPr>
          <w:i/>
        </w:rPr>
        <w:t>Health Insurance (Section 3C General Medical Services – Other Medical Practitioner) Determination 2018</w:t>
      </w:r>
    </w:p>
    <w:p w14:paraId="0C476C50" w14:textId="77777777" w:rsidR="00936ACC" w:rsidRPr="00B129C3" w:rsidRDefault="00936ACC" w:rsidP="00936ACC">
      <w:pPr>
        <w:pStyle w:val="ListParagraph"/>
        <w:numPr>
          <w:ilvl w:val="0"/>
          <w:numId w:val="38"/>
        </w:numPr>
        <w:rPr>
          <w:i/>
        </w:rPr>
      </w:pPr>
      <w:r w:rsidRPr="00B129C3">
        <w:rPr>
          <w:i/>
        </w:rPr>
        <w:t>Health Insurance (Section 3C General Medical Services - COVID-19 Telehealth and Telephone Attendances) Determination 2020</w:t>
      </w:r>
    </w:p>
    <w:p w14:paraId="2B2342D6" w14:textId="77777777" w:rsidR="00255DA4" w:rsidRPr="00B129C3" w:rsidRDefault="00B122AA" w:rsidP="00255DA4">
      <w:pPr>
        <w:pStyle w:val="ListParagraph"/>
        <w:numPr>
          <w:ilvl w:val="0"/>
          <w:numId w:val="38"/>
        </w:numPr>
        <w:rPr>
          <w:i/>
        </w:rPr>
      </w:pPr>
      <w:r w:rsidRPr="00B129C3">
        <w:rPr>
          <w:i/>
        </w:rPr>
        <w:t>Health Insurance (Section 3C General Medical Services – Additional GP Bulk-billing Incentives) Determination 2020.</w:t>
      </w:r>
    </w:p>
    <w:p w14:paraId="26D2A009" w14:textId="77777777" w:rsidR="00255DA4" w:rsidRPr="00B129C3" w:rsidRDefault="00255DA4" w:rsidP="005F1F4D">
      <w:pPr>
        <w:pStyle w:val="ListParagraph"/>
        <w:rPr>
          <w:iCs/>
          <w:szCs w:val="24"/>
        </w:rPr>
      </w:pPr>
    </w:p>
    <w:p w14:paraId="6409F76F" w14:textId="3AF21D84" w:rsidR="00255DA4" w:rsidRPr="00B129C3" w:rsidRDefault="00255DA4" w:rsidP="005F1F4D">
      <w:pPr>
        <w:pStyle w:val="ListParagraph"/>
        <w:ind w:left="0"/>
        <w:rPr>
          <w:i/>
        </w:rPr>
      </w:pPr>
      <w:r w:rsidRPr="00B129C3">
        <w:rPr>
          <w:iCs/>
          <w:szCs w:val="24"/>
        </w:rPr>
        <w:t xml:space="preserve">The Determination also adds “eye movement desensitisation and reprocessing” (EMDR) to the list of mental health care management strategies included in the available list of “focussed psychological strategies” services in the </w:t>
      </w:r>
      <w:r w:rsidRPr="00B129C3">
        <w:rPr>
          <w:i/>
          <w:iCs/>
          <w:szCs w:val="24"/>
        </w:rPr>
        <w:t>Health Insurance (Allied Health Services (Determination) 2014</w:t>
      </w:r>
      <w:r w:rsidRPr="00B129C3">
        <w:rPr>
          <w:iCs/>
          <w:szCs w:val="24"/>
        </w:rPr>
        <w:t>.</w:t>
      </w:r>
      <w:r w:rsidRPr="00B129C3">
        <w:t xml:space="preserve"> </w:t>
      </w:r>
      <w:r w:rsidRPr="00B129C3">
        <w:rPr>
          <w:iCs/>
          <w:szCs w:val="24"/>
        </w:rPr>
        <w:t>EMDR is a therapy used to treat patients with post-traumatic stress disorder.</w:t>
      </w:r>
      <w:r w:rsidR="006F74E5" w:rsidRPr="00B129C3">
        <w:rPr>
          <w:iCs/>
          <w:szCs w:val="24"/>
        </w:rPr>
        <w:t xml:space="preserve"> </w:t>
      </w:r>
      <w:r w:rsidR="006F74E5" w:rsidRPr="00B129C3">
        <w:t>The addition of EMDR to the definitions will clarify that eligible patients can access EMDR therapy under items 80100 to 80170.</w:t>
      </w:r>
    </w:p>
    <w:p w14:paraId="24F95267" w14:textId="77777777" w:rsidR="00936ACC" w:rsidRPr="00B129C3" w:rsidRDefault="00936ACC" w:rsidP="00E04B6F">
      <w:pPr>
        <w:rPr>
          <w:b/>
        </w:rPr>
      </w:pPr>
    </w:p>
    <w:p w14:paraId="1949A4A0" w14:textId="77777777" w:rsidR="003E1368" w:rsidRPr="00B129C3" w:rsidRDefault="003E1368" w:rsidP="00E04B6F">
      <w:pPr>
        <w:rPr>
          <w:b/>
        </w:rPr>
      </w:pPr>
    </w:p>
    <w:p w14:paraId="2412D131" w14:textId="1EEA303F" w:rsidR="001865F8" w:rsidRPr="00B129C3" w:rsidRDefault="00A1739A" w:rsidP="00E04B6F">
      <w:pPr>
        <w:rPr>
          <w:b/>
        </w:rPr>
      </w:pPr>
      <w:r w:rsidRPr="00B129C3">
        <w:rPr>
          <w:b/>
        </w:rPr>
        <w:lastRenderedPageBreak/>
        <w:t>Consultation</w:t>
      </w:r>
    </w:p>
    <w:p w14:paraId="28E34E7E" w14:textId="3B5803E6" w:rsidR="003252BB" w:rsidRPr="00B129C3" w:rsidRDefault="003252BB" w:rsidP="003252BB">
      <w:pPr>
        <w:rPr>
          <w:rFonts w:eastAsiaTheme="minorHAnsi"/>
          <w:szCs w:val="24"/>
          <w:lang w:eastAsia="en-US"/>
        </w:rPr>
      </w:pPr>
      <w:r w:rsidRPr="00B129C3">
        <w:rPr>
          <w:rFonts w:eastAsiaTheme="minorHAnsi"/>
          <w:szCs w:val="24"/>
          <w:lang w:eastAsia="en-US"/>
        </w:rPr>
        <w:t xml:space="preserve">Consultation was not undertaken </w:t>
      </w:r>
      <w:r w:rsidR="00FE2800" w:rsidRPr="00B129C3">
        <w:rPr>
          <w:rFonts w:eastAsiaTheme="minorHAnsi"/>
          <w:szCs w:val="24"/>
          <w:lang w:eastAsia="en-US"/>
        </w:rPr>
        <w:t xml:space="preserve">on updating the </w:t>
      </w:r>
      <w:r w:rsidR="00936ACC" w:rsidRPr="00B129C3">
        <w:rPr>
          <w:rFonts w:eastAsiaTheme="minorHAnsi"/>
          <w:szCs w:val="24"/>
          <w:lang w:eastAsia="en-US"/>
        </w:rPr>
        <w:t xml:space="preserve">references to the Table </w:t>
      </w:r>
      <w:r w:rsidR="00FE2800" w:rsidRPr="00B129C3">
        <w:rPr>
          <w:rFonts w:eastAsiaTheme="minorHAnsi"/>
          <w:szCs w:val="24"/>
          <w:lang w:eastAsia="en-US"/>
        </w:rPr>
        <w:t>in the determinations as these changes</w:t>
      </w:r>
      <w:r w:rsidRPr="00B129C3">
        <w:rPr>
          <w:rFonts w:eastAsiaTheme="minorHAnsi"/>
          <w:szCs w:val="24"/>
          <w:lang w:eastAsia="en-US"/>
        </w:rPr>
        <w:t xml:space="preserve"> </w:t>
      </w:r>
      <w:r w:rsidR="00295110" w:rsidRPr="00B129C3">
        <w:rPr>
          <w:rFonts w:eastAsiaTheme="minorHAnsi"/>
          <w:szCs w:val="24"/>
          <w:lang w:eastAsia="en-US"/>
        </w:rPr>
        <w:t>are</w:t>
      </w:r>
      <w:r w:rsidRPr="00B129C3">
        <w:rPr>
          <w:rFonts w:eastAsiaTheme="minorHAnsi"/>
          <w:szCs w:val="24"/>
          <w:lang w:eastAsia="en-US"/>
        </w:rPr>
        <w:t xml:space="preserve"> machinery in nature and </w:t>
      </w:r>
      <w:r w:rsidR="00295110" w:rsidRPr="00B129C3">
        <w:rPr>
          <w:rFonts w:eastAsiaTheme="minorHAnsi"/>
          <w:szCs w:val="24"/>
          <w:lang w:eastAsia="en-US"/>
        </w:rPr>
        <w:t xml:space="preserve">do </w:t>
      </w:r>
      <w:r w:rsidRPr="00B129C3">
        <w:rPr>
          <w:rFonts w:eastAsiaTheme="minorHAnsi"/>
          <w:szCs w:val="24"/>
          <w:lang w:eastAsia="en-US"/>
        </w:rPr>
        <w:t xml:space="preserve">not alter existing arrangements. There is no change to the arrangements for patients </w:t>
      </w:r>
      <w:r w:rsidR="0089764E" w:rsidRPr="00B129C3">
        <w:rPr>
          <w:rFonts w:eastAsiaTheme="minorHAnsi"/>
          <w:szCs w:val="24"/>
          <w:lang w:eastAsia="en-US"/>
        </w:rPr>
        <w:t>or</w:t>
      </w:r>
      <w:r w:rsidRPr="00B129C3">
        <w:rPr>
          <w:rFonts w:eastAsiaTheme="minorHAnsi"/>
          <w:szCs w:val="24"/>
          <w:lang w:eastAsia="en-US"/>
        </w:rPr>
        <w:t xml:space="preserve"> health professionals</w:t>
      </w:r>
      <w:r w:rsidR="00DA1B76" w:rsidRPr="00B129C3">
        <w:rPr>
          <w:rFonts w:eastAsiaTheme="minorHAnsi"/>
          <w:szCs w:val="24"/>
          <w:lang w:eastAsia="en-US"/>
        </w:rPr>
        <w:t>.</w:t>
      </w:r>
    </w:p>
    <w:p w14:paraId="54583C1A" w14:textId="77777777" w:rsidR="00AE7F3E" w:rsidRPr="00B129C3" w:rsidRDefault="00AE7F3E" w:rsidP="003252BB">
      <w:pPr>
        <w:rPr>
          <w:rFonts w:eastAsiaTheme="minorHAnsi"/>
          <w:szCs w:val="24"/>
          <w:lang w:eastAsia="en-US"/>
        </w:rPr>
      </w:pPr>
    </w:p>
    <w:p w14:paraId="34A2A567" w14:textId="7419C3D7" w:rsidR="00D01A61" w:rsidRPr="00B129C3" w:rsidRDefault="00D01A61" w:rsidP="003252BB">
      <w:r w:rsidRPr="00B129C3">
        <w:t>Consultation was undertaken on EMDR when the application was considered by the Medical Services Advisory Committee (application number 1441). MSAC reviews new or existing medical services or technology, and the circumstances under which public funding should be supported through listing on the MBS. As part of the MSAC process, consultation is undertaken with professional bodies, consumer groups, the public and clinical experts for applications put forward for consideration.</w:t>
      </w:r>
    </w:p>
    <w:p w14:paraId="4E9461DC" w14:textId="40BD2884" w:rsidR="00295110" w:rsidRPr="00B129C3" w:rsidRDefault="00295110" w:rsidP="003252BB">
      <w:pPr>
        <w:rPr>
          <w:rFonts w:eastAsiaTheme="minorHAnsi"/>
          <w:szCs w:val="24"/>
          <w:lang w:eastAsia="en-US"/>
        </w:rPr>
      </w:pPr>
    </w:p>
    <w:p w14:paraId="2412D134" w14:textId="49C84D98" w:rsidR="00967E51" w:rsidRPr="00B129C3" w:rsidRDefault="00A1739A" w:rsidP="000337CB">
      <w:pPr>
        <w:rPr>
          <w:szCs w:val="24"/>
        </w:rPr>
      </w:pPr>
      <w:r w:rsidRPr="00B129C3">
        <w:rPr>
          <w:szCs w:val="24"/>
        </w:rPr>
        <w:t xml:space="preserve">Details of the </w:t>
      </w:r>
      <w:r w:rsidR="00574E71" w:rsidRPr="00B129C3">
        <w:rPr>
          <w:szCs w:val="24"/>
        </w:rPr>
        <w:t>Determination</w:t>
      </w:r>
      <w:r w:rsidRPr="00B129C3">
        <w:rPr>
          <w:szCs w:val="24"/>
        </w:rPr>
        <w:t xml:space="preserve"> are set out in the </w:t>
      </w:r>
      <w:r w:rsidRPr="00B129C3">
        <w:rPr>
          <w:szCs w:val="24"/>
          <w:u w:val="single"/>
        </w:rPr>
        <w:t>Attachment</w:t>
      </w:r>
      <w:r w:rsidRPr="00B129C3">
        <w:rPr>
          <w:szCs w:val="24"/>
        </w:rPr>
        <w:t>.</w:t>
      </w:r>
    </w:p>
    <w:p w14:paraId="7F310E98" w14:textId="70BC4F2F" w:rsidR="007C30F6" w:rsidRPr="00B129C3" w:rsidRDefault="003252BB" w:rsidP="003252BB">
      <w:pPr>
        <w:tabs>
          <w:tab w:val="left" w:pos="567"/>
        </w:tabs>
        <w:spacing w:before="240" w:after="240"/>
        <w:rPr>
          <w:szCs w:val="24"/>
        </w:rPr>
      </w:pPr>
      <w:r w:rsidRPr="00B129C3">
        <w:rPr>
          <w:szCs w:val="24"/>
        </w:rPr>
        <w:t>The Act specifies no conditions that need to be satisfied before the power to make the Determination may be exercised.</w:t>
      </w:r>
    </w:p>
    <w:p w14:paraId="7F8BAEED" w14:textId="3D60B8A4" w:rsidR="004C1122" w:rsidRPr="00B129C3" w:rsidRDefault="00297AD0" w:rsidP="00E95832">
      <w:pPr>
        <w:shd w:val="clear" w:color="auto" w:fill="FFFFFF"/>
        <w:rPr>
          <w:color w:val="000000"/>
          <w:szCs w:val="24"/>
        </w:rPr>
      </w:pPr>
      <w:r w:rsidRPr="00B129C3">
        <w:rPr>
          <w:color w:val="000000"/>
          <w:szCs w:val="24"/>
        </w:rPr>
        <w:t xml:space="preserve">The </w:t>
      </w:r>
      <w:r w:rsidR="00967E51" w:rsidRPr="00B129C3">
        <w:rPr>
          <w:color w:val="000000"/>
          <w:szCs w:val="24"/>
        </w:rPr>
        <w:t>Determination</w:t>
      </w:r>
      <w:r w:rsidRPr="00B129C3">
        <w:rPr>
          <w:color w:val="000000"/>
          <w:szCs w:val="24"/>
        </w:rPr>
        <w:t xml:space="preserve"> </w:t>
      </w:r>
      <w:r w:rsidR="007524B0" w:rsidRPr="00B129C3">
        <w:rPr>
          <w:color w:val="000000"/>
          <w:szCs w:val="24"/>
        </w:rPr>
        <w:t>commences</w:t>
      </w:r>
      <w:r w:rsidR="004C1122" w:rsidRPr="00B129C3">
        <w:rPr>
          <w:color w:val="000000"/>
          <w:szCs w:val="24"/>
        </w:rPr>
        <w:t xml:space="preserve"> on </w:t>
      </w:r>
      <w:r w:rsidR="003252BB" w:rsidRPr="00B129C3">
        <w:rPr>
          <w:color w:val="000000"/>
          <w:szCs w:val="24"/>
        </w:rPr>
        <w:t>1 May</w:t>
      </w:r>
      <w:r w:rsidR="006B5E7C" w:rsidRPr="00B129C3">
        <w:rPr>
          <w:color w:val="000000"/>
          <w:szCs w:val="24"/>
        </w:rPr>
        <w:t xml:space="preserve"> </w:t>
      </w:r>
      <w:r w:rsidR="003252BB" w:rsidRPr="00B129C3">
        <w:rPr>
          <w:color w:val="000000"/>
          <w:szCs w:val="24"/>
        </w:rPr>
        <w:t>2020</w:t>
      </w:r>
      <w:r w:rsidR="006B5E7C" w:rsidRPr="00B129C3">
        <w:rPr>
          <w:color w:val="000000"/>
          <w:szCs w:val="24"/>
        </w:rPr>
        <w:t>.</w:t>
      </w:r>
    </w:p>
    <w:p w14:paraId="490E8A66" w14:textId="4D0103F0" w:rsidR="00E95832" w:rsidRPr="00B129C3" w:rsidRDefault="00936ACC" w:rsidP="00936ACC">
      <w:pPr>
        <w:shd w:val="clear" w:color="auto" w:fill="FFFFFF"/>
        <w:tabs>
          <w:tab w:val="left" w:pos="2999"/>
        </w:tabs>
        <w:rPr>
          <w:color w:val="000000"/>
          <w:szCs w:val="24"/>
        </w:rPr>
      </w:pPr>
      <w:r w:rsidRPr="00B129C3">
        <w:rPr>
          <w:color w:val="000000"/>
          <w:szCs w:val="24"/>
        </w:rPr>
        <w:tab/>
      </w:r>
    </w:p>
    <w:p w14:paraId="2412D138" w14:textId="533B92D2" w:rsidR="00574E71" w:rsidRPr="00B129C3" w:rsidRDefault="0002728B" w:rsidP="00E95832">
      <w:pPr>
        <w:shd w:val="clear" w:color="auto" w:fill="FFFFFF"/>
        <w:rPr>
          <w:szCs w:val="24"/>
        </w:rPr>
      </w:pPr>
      <w:r w:rsidRPr="00B129C3">
        <w:rPr>
          <w:color w:val="000000"/>
          <w:szCs w:val="24"/>
        </w:rPr>
        <w:t>T</w:t>
      </w:r>
      <w:r w:rsidR="00574E71" w:rsidRPr="00B129C3">
        <w:rPr>
          <w:color w:val="000000"/>
          <w:szCs w:val="24"/>
        </w:rPr>
        <w:t>he</w:t>
      </w:r>
      <w:r w:rsidR="00574E71" w:rsidRPr="00B129C3">
        <w:rPr>
          <w:szCs w:val="24"/>
        </w:rPr>
        <w:t xml:space="preserve"> Determination is </w:t>
      </w:r>
      <w:r w:rsidR="004417A2" w:rsidRPr="00B129C3">
        <w:rPr>
          <w:szCs w:val="24"/>
        </w:rPr>
        <w:t xml:space="preserve">a </w:t>
      </w:r>
      <w:r w:rsidR="00574E71" w:rsidRPr="00B129C3">
        <w:rPr>
          <w:szCs w:val="24"/>
        </w:rPr>
        <w:t xml:space="preserve">legislative instrument for the purposes of the </w:t>
      </w:r>
      <w:r w:rsidR="00574E71" w:rsidRPr="00B129C3">
        <w:rPr>
          <w:i/>
        </w:rPr>
        <w:t>Legislation Act 2003</w:t>
      </w:r>
      <w:r w:rsidR="00574E71" w:rsidRPr="00B129C3">
        <w:rPr>
          <w:szCs w:val="24"/>
        </w:rPr>
        <w:t>.</w:t>
      </w:r>
    </w:p>
    <w:p w14:paraId="2412D139" w14:textId="77777777" w:rsidR="00A1739A" w:rsidRPr="00B129C3" w:rsidRDefault="00A1739A" w:rsidP="000337CB">
      <w:pPr>
        <w:ind w:left="6663" w:hanging="3119"/>
        <w:rPr>
          <w:szCs w:val="24"/>
        </w:rPr>
      </w:pPr>
      <w:r w:rsidRPr="00B129C3">
        <w:rPr>
          <w:szCs w:val="24"/>
        </w:rPr>
        <w:t xml:space="preserve">           </w:t>
      </w:r>
    </w:p>
    <w:p w14:paraId="2412D13A" w14:textId="77777777" w:rsidR="00A1739A" w:rsidRPr="00B129C3" w:rsidRDefault="00A1739A" w:rsidP="000337CB">
      <w:pPr>
        <w:ind w:left="6663" w:hanging="3119"/>
        <w:rPr>
          <w:szCs w:val="24"/>
        </w:rPr>
      </w:pPr>
      <w:r w:rsidRPr="00B129C3">
        <w:rPr>
          <w:szCs w:val="24"/>
          <w:u w:val="single"/>
        </w:rPr>
        <w:t>Authority</w:t>
      </w:r>
      <w:r w:rsidR="00967E51" w:rsidRPr="00B129C3">
        <w:rPr>
          <w:szCs w:val="24"/>
        </w:rPr>
        <w:t xml:space="preserve">:     Subsection </w:t>
      </w:r>
      <w:r w:rsidRPr="00B129C3">
        <w:rPr>
          <w:szCs w:val="24"/>
        </w:rPr>
        <w:t>3</w:t>
      </w:r>
      <w:r w:rsidR="00967E51" w:rsidRPr="00B129C3">
        <w:rPr>
          <w:szCs w:val="24"/>
        </w:rPr>
        <w:t>C</w:t>
      </w:r>
      <w:r w:rsidRPr="00B129C3">
        <w:rPr>
          <w:szCs w:val="24"/>
        </w:rPr>
        <w:t xml:space="preserve">(1) of the </w:t>
      </w:r>
    </w:p>
    <w:p w14:paraId="4C9942A6" w14:textId="77777777" w:rsidR="00EB36F2" w:rsidRPr="00B129C3" w:rsidRDefault="00A1739A" w:rsidP="000337CB">
      <w:pPr>
        <w:tabs>
          <w:tab w:val="left" w:pos="4820"/>
        </w:tabs>
        <w:rPr>
          <w:i/>
          <w:szCs w:val="24"/>
        </w:rPr>
        <w:sectPr w:rsidR="00EB36F2" w:rsidRPr="00B129C3" w:rsidSect="00E50EC8">
          <w:headerReference w:type="even" r:id="rId11"/>
          <w:headerReference w:type="default" r:id="rId12"/>
          <w:headerReference w:type="first" r:id="rId13"/>
          <w:footerReference w:type="first" r:id="rId14"/>
          <w:pgSz w:w="11906" w:h="16838"/>
          <w:pgMar w:top="1135" w:right="1133" w:bottom="1135" w:left="1440" w:header="720" w:footer="720" w:gutter="0"/>
          <w:paperSrc w:first="7" w:other="7"/>
          <w:pgNumType w:start="1"/>
          <w:cols w:space="720"/>
          <w:titlePg/>
          <w:docGrid w:linePitch="326"/>
        </w:sectPr>
      </w:pPr>
      <w:r w:rsidRPr="00B129C3">
        <w:rPr>
          <w:i/>
          <w:szCs w:val="24"/>
        </w:rPr>
        <w:tab/>
        <w:t>Health Insurance Act 1973</w:t>
      </w:r>
    </w:p>
    <w:p w14:paraId="6B26AD86" w14:textId="77777777" w:rsidR="00C67460" w:rsidRPr="00B129C3" w:rsidRDefault="00C67460" w:rsidP="000337CB">
      <w:pPr>
        <w:tabs>
          <w:tab w:val="left" w:pos="4820"/>
        </w:tabs>
        <w:rPr>
          <w:i/>
          <w:szCs w:val="24"/>
        </w:rPr>
      </w:pPr>
    </w:p>
    <w:p w14:paraId="441C9181" w14:textId="4183083F" w:rsidR="00C67460" w:rsidRPr="00B129C3" w:rsidRDefault="00C67460" w:rsidP="00DA0C2F">
      <w:pPr>
        <w:spacing w:after="200" w:line="276" w:lineRule="auto"/>
        <w:jc w:val="right"/>
        <w:rPr>
          <w:b/>
          <w:szCs w:val="24"/>
        </w:rPr>
      </w:pPr>
      <w:r w:rsidRPr="00B129C3">
        <w:rPr>
          <w:b/>
          <w:szCs w:val="24"/>
        </w:rPr>
        <w:t>ATTACHMENT</w:t>
      </w:r>
    </w:p>
    <w:p w14:paraId="7C5E231D" w14:textId="542859CA" w:rsidR="00C67460" w:rsidRPr="00B129C3" w:rsidRDefault="00C67460" w:rsidP="00695DBD">
      <w:pPr>
        <w:pStyle w:val="BodyText"/>
        <w:rPr>
          <w:i/>
          <w:szCs w:val="24"/>
        </w:rPr>
      </w:pPr>
      <w:r w:rsidRPr="00B129C3">
        <w:rPr>
          <w:szCs w:val="24"/>
        </w:rPr>
        <w:t xml:space="preserve">Details of the </w:t>
      </w:r>
      <w:r w:rsidR="00B122AA" w:rsidRPr="00B129C3">
        <w:rPr>
          <w:i/>
        </w:rPr>
        <w:t>Health Insurance Legislation Amendment (Consequential Change to Incorporated GMST Clauses</w:t>
      </w:r>
      <w:r w:rsidR="00420E98" w:rsidRPr="00B129C3">
        <w:t xml:space="preserve"> </w:t>
      </w:r>
      <w:r w:rsidR="00420E98" w:rsidRPr="00B129C3">
        <w:rPr>
          <w:i/>
        </w:rPr>
        <w:t>and Eye Movement Desensitisation and Reprocessing</w:t>
      </w:r>
      <w:r w:rsidR="00B122AA" w:rsidRPr="00B129C3">
        <w:rPr>
          <w:i/>
        </w:rPr>
        <w:t>) Determination 2020</w:t>
      </w:r>
    </w:p>
    <w:p w14:paraId="4275FCDB" w14:textId="77777777" w:rsidR="00C67460" w:rsidRPr="00B129C3" w:rsidRDefault="00C67460" w:rsidP="00C67460">
      <w:pPr>
        <w:pStyle w:val="BodyText"/>
        <w:rPr>
          <w:b w:val="0"/>
          <w:i/>
          <w:szCs w:val="24"/>
        </w:rPr>
      </w:pPr>
    </w:p>
    <w:p w14:paraId="437237FF" w14:textId="19A55500" w:rsidR="00C67460" w:rsidRPr="00B129C3" w:rsidRDefault="00C67460" w:rsidP="00C67460">
      <w:pPr>
        <w:pStyle w:val="BodyText"/>
        <w:rPr>
          <w:b w:val="0"/>
          <w:szCs w:val="24"/>
          <w:u w:val="single"/>
        </w:rPr>
      </w:pPr>
      <w:r w:rsidRPr="00B129C3">
        <w:rPr>
          <w:b w:val="0"/>
          <w:szCs w:val="24"/>
          <w:u w:val="single"/>
        </w:rPr>
        <w:t>Section 1 – Name</w:t>
      </w:r>
    </w:p>
    <w:p w14:paraId="0FDB14B2" w14:textId="77777777" w:rsidR="00C67460" w:rsidRPr="00B129C3" w:rsidRDefault="00C67460" w:rsidP="008861F7">
      <w:pPr>
        <w:pStyle w:val="NoSpacing"/>
      </w:pPr>
    </w:p>
    <w:p w14:paraId="62B5A915" w14:textId="39C36E74" w:rsidR="00C67460" w:rsidRPr="00B129C3" w:rsidRDefault="008F39B4" w:rsidP="008861F7">
      <w:pPr>
        <w:pStyle w:val="NoSpacing"/>
      </w:pPr>
      <w:r w:rsidRPr="00B129C3">
        <w:t>Section 1</w:t>
      </w:r>
      <w:r w:rsidR="00C67460" w:rsidRPr="00B129C3">
        <w:t xml:space="preserve"> provides for the </w:t>
      </w:r>
      <w:r w:rsidR="00890F41" w:rsidRPr="00B129C3">
        <w:t xml:space="preserve">Determination </w:t>
      </w:r>
      <w:r w:rsidR="00C67460" w:rsidRPr="00B129C3">
        <w:t xml:space="preserve">to be referred to as the </w:t>
      </w:r>
      <w:r w:rsidR="00B122AA" w:rsidRPr="00B129C3">
        <w:rPr>
          <w:i/>
        </w:rPr>
        <w:t>Health Insurance Legislation Amendment (Consequential Change to Incorporated GMST Clauses</w:t>
      </w:r>
      <w:r w:rsidR="00420E98" w:rsidRPr="00B129C3">
        <w:t xml:space="preserve"> </w:t>
      </w:r>
      <w:r w:rsidR="00420E98" w:rsidRPr="00B129C3">
        <w:rPr>
          <w:i/>
        </w:rPr>
        <w:t>and Eye Movement Desensitisation and Reprocessing</w:t>
      </w:r>
      <w:r w:rsidR="00B122AA" w:rsidRPr="00B129C3">
        <w:rPr>
          <w:i/>
        </w:rPr>
        <w:t>) Determination 2020.</w:t>
      </w:r>
    </w:p>
    <w:p w14:paraId="6E248236" w14:textId="77777777" w:rsidR="00C67460" w:rsidRPr="00B129C3" w:rsidRDefault="00C67460" w:rsidP="00C67460">
      <w:pPr>
        <w:rPr>
          <w:u w:val="single"/>
        </w:rPr>
      </w:pPr>
    </w:p>
    <w:p w14:paraId="09A44DED" w14:textId="77777777" w:rsidR="00C67460" w:rsidRPr="00B129C3" w:rsidRDefault="00C67460" w:rsidP="00C67460">
      <w:pPr>
        <w:pStyle w:val="BodyText"/>
        <w:rPr>
          <w:b w:val="0"/>
          <w:szCs w:val="24"/>
          <w:u w:val="single"/>
        </w:rPr>
      </w:pPr>
      <w:r w:rsidRPr="00B129C3">
        <w:rPr>
          <w:b w:val="0"/>
          <w:szCs w:val="24"/>
          <w:u w:val="single"/>
        </w:rPr>
        <w:t xml:space="preserve">Section 2 – Commencement </w:t>
      </w:r>
    </w:p>
    <w:p w14:paraId="7F4E3DC2" w14:textId="77777777" w:rsidR="00C67460" w:rsidRPr="00B129C3" w:rsidRDefault="00C67460" w:rsidP="00C67460">
      <w:pPr>
        <w:pStyle w:val="BodyText"/>
        <w:rPr>
          <w:b w:val="0"/>
          <w:szCs w:val="24"/>
          <w:u w:val="single"/>
        </w:rPr>
      </w:pPr>
    </w:p>
    <w:p w14:paraId="2FEC2A64" w14:textId="504FED59" w:rsidR="00C67460" w:rsidRPr="00B129C3" w:rsidRDefault="00C67460" w:rsidP="004C37D3">
      <w:pPr>
        <w:pStyle w:val="BodyText"/>
        <w:rPr>
          <w:b w:val="0"/>
          <w:szCs w:val="24"/>
        </w:rPr>
      </w:pPr>
      <w:r w:rsidRPr="00B129C3">
        <w:rPr>
          <w:b w:val="0"/>
          <w:szCs w:val="24"/>
        </w:rPr>
        <w:t xml:space="preserve">Section 2 provides that the </w:t>
      </w:r>
      <w:r w:rsidR="00890F41" w:rsidRPr="00B129C3">
        <w:rPr>
          <w:b w:val="0"/>
          <w:szCs w:val="24"/>
        </w:rPr>
        <w:t>Determination</w:t>
      </w:r>
      <w:r w:rsidRPr="00B129C3">
        <w:rPr>
          <w:b w:val="0"/>
          <w:szCs w:val="24"/>
        </w:rPr>
        <w:t xml:space="preserve"> commences</w:t>
      </w:r>
      <w:r w:rsidRPr="00B129C3">
        <w:t xml:space="preserve"> </w:t>
      </w:r>
      <w:r w:rsidRPr="00B129C3">
        <w:rPr>
          <w:b w:val="0"/>
          <w:szCs w:val="24"/>
        </w:rPr>
        <w:t xml:space="preserve">on </w:t>
      </w:r>
      <w:r w:rsidR="004C37D3" w:rsidRPr="00B129C3">
        <w:rPr>
          <w:b w:val="0"/>
          <w:szCs w:val="24"/>
        </w:rPr>
        <w:t xml:space="preserve">1 </w:t>
      </w:r>
      <w:r w:rsidR="003252BB" w:rsidRPr="00B129C3">
        <w:rPr>
          <w:b w:val="0"/>
          <w:szCs w:val="24"/>
        </w:rPr>
        <w:t>May 2020</w:t>
      </w:r>
      <w:r w:rsidR="004C37D3" w:rsidRPr="00B129C3">
        <w:rPr>
          <w:b w:val="0"/>
          <w:szCs w:val="24"/>
        </w:rPr>
        <w:t xml:space="preserve">.  </w:t>
      </w:r>
    </w:p>
    <w:p w14:paraId="12230BE2" w14:textId="77777777" w:rsidR="00C67460" w:rsidRPr="00B129C3" w:rsidRDefault="00C67460" w:rsidP="00C67460">
      <w:pPr>
        <w:pStyle w:val="BodyText"/>
        <w:rPr>
          <w:b w:val="0"/>
          <w:szCs w:val="24"/>
        </w:rPr>
      </w:pPr>
    </w:p>
    <w:p w14:paraId="658B9080" w14:textId="77777777" w:rsidR="00C67460" w:rsidRPr="00B129C3" w:rsidRDefault="00C67460" w:rsidP="00C67460">
      <w:pPr>
        <w:pStyle w:val="BodyText"/>
        <w:rPr>
          <w:b w:val="0"/>
          <w:szCs w:val="24"/>
          <w:u w:val="single"/>
        </w:rPr>
      </w:pPr>
      <w:r w:rsidRPr="00B129C3">
        <w:rPr>
          <w:b w:val="0"/>
          <w:szCs w:val="24"/>
          <w:u w:val="single"/>
        </w:rPr>
        <w:t>Section 3 – Authority</w:t>
      </w:r>
    </w:p>
    <w:p w14:paraId="36336F91" w14:textId="77777777" w:rsidR="00C67460" w:rsidRPr="00B129C3" w:rsidRDefault="00C67460" w:rsidP="00C67460">
      <w:pPr>
        <w:pStyle w:val="BodyText"/>
        <w:rPr>
          <w:b w:val="0"/>
          <w:szCs w:val="24"/>
          <w:u w:val="single"/>
        </w:rPr>
      </w:pPr>
    </w:p>
    <w:p w14:paraId="6E4BEB2F" w14:textId="7E0491DB" w:rsidR="00C67460" w:rsidRPr="00B129C3" w:rsidRDefault="00C67460" w:rsidP="00C67460">
      <w:pPr>
        <w:pStyle w:val="BodyText"/>
        <w:rPr>
          <w:b w:val="0"/>
        </w:rPr>
      </w:pPr>
      <w:r w:rsidRPr="00B129C3">
        <w:rPr>
          <w:b w:val="0"/>
        </w:rPr>
        <w:t xml:space="preserve">Section 3 provides that the </w:t>
      </w:r>
      <w:r w:rsidR="00890F41" w:rsidRPr="00B129C3">
        <w:rPr>
          <w:b w:val="0"/>
          <w:szCs w:val="24"/>
        </w:rPr>
        <w:t xml:space="preserve">Determination </w:t>
      </w:r>
      <w:r w:rsidRPr="00B129C3">
        <w:rPr>
          <w:b w:val="0"/>
        </w:rPr>
        <w:t xml:space="preserve">is made under subsection 3C(1) of the </w:t>
      </w:r>
      <w:r w:rsidRPr="00B129C3">
        <w:rPr>
          <w:b w:val="0"/>
          <w:i/>
        </w:rPr>
        <w:t>Health Insurance Act 1973</w:t>
      </w:r>
      <w:r w:rsidRPr="00B129C3">
        <w:rPr>
          <w:b w:val="0"/>
        </w:rPr>
        <w:t>.</w:t>
      </w:r>
    </w:p>
    <w:p w14:paraId="718A5E49" w14:textId="77777777" w:rsidR="00C67460" w:rsidRPr="00B129C3" w:rsidRDefault="00C67460" w:rsidP="00C67460">
      <w:pPr>
        <w:pStyle w:val="BodyText"/>
        <w:rPr>
          <w:b w:val="0"/>
        </w:rPr>
      </w:pPr>
    </w:p>
    <w:p w14:paraId="2DD1D35A" w14:textId="088225A4" w:rsidR="00C67460" w:rsidRPr="00B129C3" w:rsidRDefault="00C67460" w:rsidP="00C67460">
      <w:pPr>
        <w:pStyle w:val="BodyText"/>
        <w:rPr>
          <w:b w:val="0"/>
          <w:szCs w:val="24"/>
          <w:u w:val="single"/>
        </w:rPr>
      </w:pPr>
      <w:r w:rsidRPr="00B129C3">
        <w:rPr>
          <w:b w:val="0"/>
          <w:szCs w:val="24"/>
          <w:u w:val="single"/>
        </w:rPr>
        <w:t xml:space="preserve">Section </w:t>
      </w:r>
      <w:r w:rsidR="002B5085" w:rsidRPr="00B129C3">
        <w:rPr>
          <w:b w:val="0"/>
          <w:szCs w:val="24"/>
          <w:u w:val="single"/>
        </w:rPr>
        <w:t>4</w:t>
      </w:r>
      <w:r w:rsidRPr="00B129C3">
        <w:rPr>
          <w:b w:val="0"/>
          <w:szCs w:val="24"/>
          <w:u w:val="single"/>
        </w:rPr>
        <w:t xml:space="preserve"> – </w:t>
      </w:r>
      <w:r w:rsidR="008A256F" w:rsidRPr="00B129C3">
        <w:rPr>
          <w:b w:val="0"/>
          <w:szCs w:val="24"/>
          <w:u w:val="single"/>
        </w:rPr>
        <w:t>Schedule</w:t>
      </w:r>
      <w:r w:rsidR="0012120D" w:rsidRPr="00B129C3">
        <w:rPr>
          <w:b w:val="0"/>
          <w:szCs w:val="24"/>
          <w:u w:val="single"/>
        </w:rPr>
        <w:t>s</w:t>
      </w:r>
    </w:p>
    <w:p w14:paraId="65A5FA9C" w14:textId="77777777" w:rsidR="00C67460" w:rsidRPr="00B129C3" w:rsidRDefault="00C67460" w:rsidP="00C67460">
      <w:pPr>
        <w:pStyle w:val="BodyText"/>
        <w:rPr>
          <w:b w:val="0"/>
          <w:szCs w:val="24"/>
          <w:u w:val="single"/>
        </w:rPr>
      </w:pPr>
    </w:p>
    <w:p w14:paraId="28051AD7" w14:textId="77777777" w:rsidR="008A256F" w:rsidRPr="00B129C3" w:rsidRDefault="008A256F" w:rsidP="0089764E">
      <w:pPr>
        <w:pStyle w:val="BodyText"/>
        <w:rPr>
          <w:b w:val="0"/>
        </w:rPr>
      </w:pPr>
      <w:r w:rsidRPr="00B129C3">
        <w:rPr>
          <w:b w:val="0"/>
          <w:szCs w:val="24"/>
        </w:rPr>
        <w:t xml:space="preserve">Section 4 provides that </w:t>
      </w:r>
      <w:r w:rsidRPr="00B129C3">
        <w:rPr>
          <w:b w:val="0"/>
        </w:rPr>
        <w:t>each instrument that is specified in a Schedule to this Determination is amended or repealed as set out in the applicable items in the Schedule concerned, and any other item in a Schedule to this Determination has effect according to its terms.</w:t>
      </w:r>
    </w:p>
    <w:p w14:paraId="41B34056" w14:textId="77777777" w:rsidR="0089764E" w:rsidRPr="00B129C3" w:rsidRDefault="0089764E" w:rsidP="0089764E">
      <w:pPr>
        <w:rPr>
          <w:szCs w:val="24"/>
          <w:u w:val="single"/>
        </w:rPr>
      </w:pPr>
    </w:p>
    <w:p w14:paraId="7972EA2F" w14:textId="42B6C743" w:rsidR="00CB4F37" w:rsidRPr="00B129C3" w:rsidRDefault="00BE5947" w:rsidP="0089764E">
      <w:pPr>
        <w:rPr>
          <w:i/>
          <w:u w:val="single"/>
        </w:rPr>
      </w:pPr>
      <w:r w:rsidRPr="00B129C3">
        <w:rPr>
          <w:szCs w:val="24"/>
          <w:u w:val="single"/>
        </w:rPr>
        <w:t>Schedule</w:t>
      </w:r>
      <w:r w:rsidR="00B85F0D" w:rsidRPr="00B129C3">
        <w:rPr>
          <w:szCs w:val="24"/>
          <w:u w:val="single"/>
        </w:rPr>
        <w:t xml:space="preserve"> 1</w:t>
      </w:r>
      <w:r w:rsidR="002F3C7E" w:rsidRPr="00B129C3">
        <w:rPr>
          <w:szCs w:val="24"/>
          <w:u w:val="single"/>
        </w:rPr>
        <w:t xml:space="preserve"> – </w:t>
      </w:r>
      <w:r w:rsidR="0012120D" w:rsidRPr="00B129C3">
        <w:rPr>
          <w:szCs w:val="24"/>
          <w:u w:val="single"/>
        </w:rPr>
        <w:t>Amendments</w:t>
      </w:r>
      <w:r w:rsidR="00B122AA" w:rsidRPr="00B129C3">
        <w:rPr>
          <w:szCs w:val="24"/>
          <w:u w:val="single"/>
        </w:rPr>
        <w:t xml:space="preserve"> to </w:t>
      </w:r>
      <w:r w:rsidR="00CB4F37" w:rsidRPr="00B129C3">
        <w:rPr>
          <w:i/>
          <w:u w:val="single"/>
        </w:rPr>
        <w:t>Health Insurance (Section 3C General Medical Services – Eating Disorders Treatment Plan and Psychological Treatment Services) Determination 2019</w:t>
      </w:r>
    </w:p>
    <w:p w14:paraId="57FEC0A5" w14:textId="77777777" w:rsidR="0089764E" w:rsidRPr="00B129C3" w:rsidRDefault="0089764E" w:rsidP="00151724">
      <w:pPr>
        <w:rPr>
          <w:i/>
        </w:rPr>
      </w:pPr>
    </w:p>
    <w:p w14:paraId="00CDA196" w14:textId="322F8A69" w:rsidR="00CD165D" w:rsidRPr="00B129C3" w:rsidRDefault="00CD165D" w:rsidP="00151724">
      <w:r w:rsidRPr="00B129C3">
        <w:t xml:space="preserve">Item 1 repeals and replaces the definition of “general practitioner” so that it mirrors the definition of this term in the </w:t>
      </w:r>
      <w:r w:rsidRPr="00B129C3">
        <w:rPr>
          <w:i/>
        </w:rPr>
        <w:t>Health Insurance (General Medical Services Table) Regulations (No. 1) 2020.</w:t>
      </w:r>
    </w:p>
    <w:p w14:paraId="3D823A17" w14:textId="77777777" w:rsidR="00CD165D" w:rsidRPr="00B129C3" w:rsidRDefault="00CD165D" w:rsidP="00151724"/>
    <w:p w14:paraId="0BA74BD0" w14:textId="56CFE634" w:rsidR="00CB4F37" w:rsidRPr="00B129C3" w:rsidRDefault="00C17936" w:rsidP="00151724">
      <w:pPr>
        <w:rPr>
          <w:i/>
        </w:rPr>
      </w:pPr>
      <w:r w:rsidRPr="00B129C3">
        <w:t xml:space="preserve">Items </w:t>
      </w:r>
      <w:r w:rsidR="00CD165D" w:rsidRPr="00B129C3">
        <w:t>2 and 5 to 9</w:t>
      </w:r>
      <w:r w:rsidRPr="00B129C3">
        <w:t xml:space="preserve"> </w:t>
      </w:r>
      <w:r w:rsidR="00CB4F37" w:rsidRPr="00B129C3">
        <w:t xml:space="preserve">amend references to the Table to reflect the numbering in the </w:t>
      </w:r>
      <w:r w:rsidR="00CB4F37" w:rsidRPr="00B129C3">
        <w:rPr>
          <w:i/>
        </w:rPr>
        <w:t>Health Insurance (General Medical Services Table) Regulations (No. 1) 2020.</w:t>
      </w:r>
    </w:p>
    <w:p w14:paraId="3D59F33E" w14:textId="77777777" w:rsidR="00C17936" w:rsidRPr="00B129C3" w:rsidRDefault="00C17936" w:rsidP="00151724">
      <w:pPr>
        <w:rPr>
          <w:i/>
        </w:rPr>
      </w:pPr>
    </w:p>
    <w:p w14:paraId="3ED555EF" w14:textId="2B6FA16F" w:rsidR="00C17936" w:rsidRPr="00B129C3" w:rsidRDefault="00CD165D" w:rsidP="00151724">
      <w:r w:rsidRPr="00B129C3">
        <w:t>Items 3, 4 and 10 replace</w:t>
      </w:r>
      <w:r w:rsidR="00C17936" w:rsidRPr="00B129C3">
        <w:t xml:space="preserve"> the definition and references to “residential care service” with</w:t>
      </w:r>
      <w:r w:rsidR="00DE071E" w:rsidRPr="00B129C3">
        <w:t xml:space="preserve"> </w:t>
      </w:r>
      <w:r w:rsidR="00C17936" w:rsidRPr="00B129C3">
        <w:t xml:space="preserve">“residential aged care facility”. This is consistent with the </w:t>
      </w:r>
      <w:r w:rsidR="00C17936" w:rsidRPr="00B129C3">
        <w:rPr>
          <w:i/>
        </w:rPr>
        <w:t xml:space="preserve">Health Insurance (General Medical Services Table) Regulations (No. 1) 2020, </w:t>
      </w:r>
      <w:r w:rsidR="00C17936" w:rsidRPr="00B129C3">
        <w:t xml:space="preserve">which uses “residential aged care facility” instead of “residential care service”. </w:t>
      </w:r>
    </w:p>
    <w:p w14:paraId="4E74F8A3" w14:textId="77777777" w:rsidR="00CB4F37" w:rsidRPr="00B129C3" w:rsidRDefault="00CB4F37" w:rsidP="00151724"/>
    <w:p w14:paraId="740BAF00" w14:textId="4D7F59B5" w:rsidR="00CB4F37" w:rsidRPr="00B129C3" w:rsidRDefault="00CB4F37" w:rsidP="00151724">
      <w:pPr>
        <w:rPr>
          <w:i/>
          <w:u w:val="single"/>
        </w:rPr>
      </w:pPr>
      <w:r w:rsidRPr="00B129C3">
        <w:rPr>
          <w:u w:val="single"/>
        </w:rPr>
        <w:t>Schedule 2 – Amendments</w:t>
      </w:r>
      <w:r w:rsidR="00B122AA" w:rsidRPr="00B129C3">
        <w:rPr>
          <w:u w:val="single"/>
        </w:rPr>
        <w:t xml:space="preserve"> to </w:t>
      </w:r>
      <w:r w:rsidRPr="00B129C3">
        <w:rPr>
          <w:i/>
          <w:u w:val="single"/>
        </w:rPr>
        <w:t>Health Insurance (Section 3C General Medical Services – Other Medical Practitioner) Determination 2018</w:t>
      </w:r>
    </w:p>
    <w:p w14:paraId="36C3F499" w14:textId="77777777" w:rsidR="00CB4F37" w:rsidRPr="00B129C3" w:rsidRDefault="00CB4F37" w:rsidP="00151724"/>
    <w:p w14:paraId="638B8270" w14:textId="720DB179" w:rsidR="00CB4F37" w:rsidRPr="00B129C3" w:rsidRDefault="00CB4F37" w:rsidP="00CB4F37">
      <w:pPr>
        <w:rPr>
          <w:i/>
        </w:rPr>
      </w:pPr>
      <w:r w:rsidRPr="00B129C3">
        <w:t xml:space="preserve">Items </w:t>
      </w:r>
      <w:r w:rsidR="00CD165D" w:rsidRPr="00B129C3">
        <w:t>1</w:t>
      </w:r>
      <w:r w:rsidRPr="00B129C3">
        <w:t xml:space="preserve"> to </w:t>
      </w:r>
      <w:r w:rsidR="00CD165D" w:rsidRPr="00B129C3">
        <w:t>22 and 24 to 37</w:t>
      </w:r>
      <w:r w:rsidRPr="00B129C3">
        <w:t xml:space="preserve"> amend references to the Table to reflect the numbering in the </w:t>
      </w:r>
      <w:r w:rsidRPr="00B129C3">
        <w:rPr>
          <w:i/>
        </w:rPr>
        <w:t>Health Insurance (General Medical Services Table) Regulations (No. 1) 2020.</w:t>
      </w:r>
    </w:p>
    <w:p w14:paraId="327255B2" w14:textId="77777777" w:rsidR="00CB4F37" w:rsidRPr="00B129C3" w:rsidRDefault="00CB4F37" w:rsidP="00CB4F37"/>
    <w:p w14:paraId="5CA13D3C" w14:textId="4C897868" w:rsidR="00CB4F37" w:rsidRPr="00B129C3" w:rsidRDefault="00B122AA" w:rsidP="00CB4F37">
      <w:pPr>
        <w:rPr>
          <w:i/>
        </w:rPr>
      </w:pPr>
      <w:r w:rsidRPr="00B129C3">
        <w:t xml:space="preserve">Items 18 and 23 make consequential changes so that the descriptions of services performed by other medical practitioners are consistent with the equivalent items for general practitioners in </w:t>
      </w:r>
      <w:r w:rsidRPr="00B129C3">
        <w:lastRenderedPageBreak/>
        <w:t xml:space="preserve">the Table. </w:t>
      </w:r>
      <w:r w:rsidR="00CB4F37" w:rsidRPr="00B129C3">
        <w:t xml:space="preserve">Item </w:t>
      </w:r>
      <w:r w:rsidR="00CD165D" w:rsidRPr="00B129C3">
        <w:t>18</w:t>
      </w:r>
      <w:r w:rsidR="00CB4F37" w:rsidRPr="00B129C3">
        <w:t xml:space="preserve"> amends subclause 1.6.1(8) to remove the definition of “multidisciplinary discharge case conference in a residential aged care facility”. </w:t>
      </w:r>
      <w:r w:rsidRPr="00B129C3">
        <w:t xml:space="preserve">This term was repealed in the </w:t>
      </w:r>
      <w:r w:rsidRPr="00B129C3">
        <w:rPr>
          <w:i/>
        </w:rPr>
        <w:t>Health Insurance (General Medical Services Table) Regulations (No. 1) 2020</w:t>
      </w:r>
      <w:r w:rsidRPr="00B129C3">
        <w:t xml:space="preserve"> as the intent of this term was included in the amended item descriptors. </w:t>
      </w:r>
      <w:r w:rsidR="00CB4F37" w:rsidRPr="00B129C3">
        <w:t xml:space="preserve"> </w:t>
      </w:r>
      <w:r w:rsidRPr="00B129C3">
        <w:t xml:space="preserve">Item 23 amends the descriptions for items </w:t>
      </w:r>
      <w:r w:rsidR="00CB4F37" w:rsidRPr="00B129C3">
        <w:t xml:space="preserve">235, 236, 237, 238, 239 and 240 </w:t>
      </w:r>
      <w:r w:rsidRPr="00B129C3">
        <w:t xml:space="preserve">to include the intent of this term, consistent with the </w:t>
      </w:r>
      <w:r w:rsidR="00CB4F37" w:rsidRPr="00B129C3">
        <w:t xml:space="preserve">equivalent items in the </w:t>
      </w:r>
      <w:r w:rsidRPr="00B129C3">
        <w:t>Table</w:t>
      </w:r>
      <w:r w:rsidR="00CB4F37" w:rsidRPr="00B129C3">
        <w:t xml:space="preserve"> (items 735, 739, 743, 747, 750 and 758) following commencement of the </w:t>
      </w:r>
      <w:r w:rsidR="00CB4F37" w:rsidRPr="00B129C3">
        <w:rPr>
          <w:i/>
        </w:rPr>
        <w:t>Health Insurance (General Medical Services Table) Regulations (No. 1) 2020.</w:t>
      </w:r>
    </w:p>
    <w:p w14:paraId="125E5F5A" w14:textId="77777777" w:rsidR="00CD165D" w:rsidRPr="00B129C3" w:rsidRDefault="00CD165D" w:rsidP="00CB4F37"/>
    <w:p w14:paraId="10C6E851" w14:textId="343ACF33" w:rsidR="00D61C9B" w:rsidRPr="00B129C3" w:rsidRDefault="00CB4F37" w:rsidP="00F66DC9">
      <w:pPr>
        <w:rPr>
          <w:i/>
          <w:u w:val="single"/>
        </w:rPr>
      </w:pPr>
      <w:r w:rsidRPr="00B129C3">
        <w:rPr>
          <w:u w:val="single"/>
        </w:rPr>
        <w:t>Schedule 3 – Amendments</w:t>
      </w:r>
      <w:r w:rsidR="00B122AA" w:rsidRPr="00B129C3">
        <w:rPr>
          <w:u w:val="single"/>
        </w:rPr>
        <w:t xml:space="preserve"> to </w:t>
      </w:r>
      <w:r w:rsidRPr="00B129C3">
        <w:rPr>
          <w:i/>
          <w:u w:val="single"/>
        </w:rPr>
        <w:t>Health Insurance (Section 3C General Medical Services - COVID-19 Telehealth and Telephone Attendances) Determination 2020</w:t>
      </w:r>
    </w:p>
    <w:p w14:paraId="57414A77" w14:textId="12FE62A8" w:rsidR="00F66DC9" w:rsidRPr="00B129C3" w:rsidRDefault="00F66DC9" w:rsidP="00F66DC9"/>
    <w:p w14:paraId="7F01CD96" w14:textId="332FEE91" w:rsidR="00CB4F37" w:rsidRPr="00B129C3" w:rsidRDefault="00CD165D" w:rsidP="00F66DC9">
      <w:pPr>
        <w:rPr>
          <w:i/>
        </w:rPr>
      </w:pPr>
      <w:r w:rsidRPr="00B129C3">
        <w:t>Items 1 to 2</w:t>
      </w:r>
      <w:r w:rsidR="00B74D7A" w:rsidRPr="00B129C3">
        <w:t>5 and 27</w:t>
      </w:r>
      <w:r w:rsidR="00CB4F37" w:rsidRPr="00B129C3">
        <w:t xml:space="preserve"> amend references to the Table to reflect the numbering in the </w:t>
      </w:r>
      <w:r w:rsidR="00CB4F37" w:rsidRPr="00B129C3">
        <w:rPr>
          <w:i/>
        </w:rPr>
        <w:t>Health Insurance (General Medical Services Table) Regulations (No. 1) 2020.</w:t>
      </w:r>
    </w:p>
    <w:p w14:paraId="3873541D" w14:textId="77777777" w:rsidR="00CB4F37" w:rsidRPr="00B129C3" w:rsidRDefault="00CB4F37" w:rsidP="00F66DC9">
      <w:pPr>
        <w:rPr>
          <w:i/>
        </w:rPr>
      </w:pPr>
    </w:p>
    <w:p w14:paraId="3B6EA78A" w14:textId="3C98EBCB" w:rsidR="00CB4F37" w:rsidRPr="00B129C3" w:rsidRDefault="00C17936" w:rsidP="00F66DC9">
      <w:r w:rsidRPr="00B129C3">
        <w:t xml:space="preserve">Items </w:t>
      </w:r>
      <w:r w:rsidR="00B122AA" w:rsidRPr="00B129C3">
        <w:t>2</w:t>
      </w:r>
      <w:r w:rsidR="00B74D7A" w:rsidRPr="00B129C3">
        <w:t>6</w:t>
      </w:r>
      <w:r w:rsidR="00B122AA" w:rsidRPr="00B129C3">
        <w:t xml:space="preserve"> and 2</w:t>
      </w:r>
      <w:r w:rsidR="00B74D7A" w:rsidRPr="00B129C3">
        <w:t>8</w:t>
      </w:r>
      <w:r w:rsidRPr="00B129C3">
        <w:t xml:space="preserve"> amend Division 2.2 to remove</w:t>
      </w:r>
      <w:r w:rsidR="00CB4F37" w:rsidRPr="00B129C3">
        <w:t xml:space="preserve"> the definition of </w:t>
      </w:r>
      <w:r w:rsidR="00B122AA" w:rsidRPr="00B129C3">
        <w:t>“midwife” and insert the definition for “</w:t>
      </w:r>
      <w:r w:rsidR="00CB4F37" w:rsidRPr="00B129C3">
        <w:t>practice mid</w:t>
      </w:r>
      <w:r w:rsidR="00B122AA" w:rsidRPr="00B129C3">
        <w:t>wife”</w:t>
      </w:r>
      <w:r w:rsidRPr="00B129C3">
        <w:t xml:space="preserve"> in subclause 2.2.1(1</w:t>
      </w:r>
      <w:r w:rsidR="00B122AA" w:rsidRPr="00B129C3">
        <w:t>), and amend all references to “</w:t>
      </w:r>
      <w:r w:rsidRPr="00B129C3">
        <w:t>midwife</w:t>
      </w:r>
      <w:r w:rsidR="00B122AA" w:rsidRPr="00B129C3">
        <w:t>” to “practice midwife”</w:t>
      </w:r>
      <w:r w:rsidR="00CB4F37" w:rsidRPr="00B129C3">
        <w:t xml:space="preserve">. This is consistent with the </w:t>
      </w:r>
      <w:r w:rsidR="00CB4F37" w:rsidRPr="00B129C3">
        <w:rPr>
          <w:i/>
        </w:rPr>
        <w:t xml:space="preserve">Health Insurance (General Medical Services Table) Regulations (No. 1) 2020, </w:t>
      </w:r>
      <w:r w:rsidR="00CB4F37" w:rsidRPr="00B129C3">
        <w:t xml:space="preserve">which uses </w:t>
      </w:r>
      <w:r w:rsidRPr="00B129C3">
        <w:t>“</w:t>
      </w:r>
      <w:r w:rsidR="00CB4F37" w:rsidRPr="00B129C3">
        <w:t>practice midwife</w:t>
      </w:r>
      <w:r w:rsidRPr="00B129C3">
        <w:t>”</w:t>
      </w:r>
      <w:r w:rsidR="00CB4F37" w:rsidRPr="00B129C3">
        <w:t xml:space="preserve"> instead of </w:t>
      </w:r>
      <w:r w:rsidRPr="00B129C3">
        <w:t>“</w:t>
      </w:r>
      <w:r w:rsidR="00CB4F37" w:rsidRPr="00B129C3">
        <w:t>midwife</w:t>
      </w:r>
      <w:r w:rsidRPr="00B129C3">
        <w:t>”.</w:t>
      </w:r>
    </w:p>
    <w:p w14:paraId="67EE77B7" w14:textId="77777777" w:rsidR="00B122AA" w:rsidRPr="00B129C3" w:rsidRDefault="00B122AA" w:rsidP="00F66DC9"/>
    <w:p w14:paraId="652C2D56" w14:textId="3FB0AD89" w:rsidR="00B122AA" w:rsidRPr="00B129C3" w:rsidRDefault="00B122AA" w:rsidP="00B122AA">
      <w:pPr>
        <w:rPr>
          <w:i/>
          <w:u w:val="single"/>
        </w:rPr>
      </w:pPr>
      <w:r w:rsidRPr="00B129C3">
        <w:rPr>
          <w:u w:val="single"/>
        </w:rPr>
        <w:t xml:space="preserve">Schedule 4 – Amendments to </w:t>
      </w:r>
      <w:r w:rsidRPr="00B129C3">
        <w:rPr>
          <w:i/>
          <w:u w:val="single"/>
        </w:rPr>
        <w:t>Health Insurance (Section 3C General Medical Services – Additional GP Bulk-billing Incentives) Determination 2020</w:t>
      </w:r>
    </w:p>
    <w:p w14:paraId="427387C3" w14:textId="77777777" w:rsidR="00B122AA" w:rsidRPr="00B129C3" w:rsidRDefault="00B122AA" w:rsidP="00F66DC9"/>
    <w:p w14:paraId="4B1DC6A8" w14:textId="34175FCD" w:rsidR="0081476F" w:rsidRPr="00B129C3" w:rsidRDefault="0081476F" w:rsidP="0081476F">
      <w:pPr>
        <w:rPr>
          <w:i/>
        </w:rPr>
      </w:pPr>
      <w:r w:rsidRPr="00B129C3">
        <w:t>Items 1</w:t>
      </w:r>
      <w:r w:rsidR="005E3DBE" w:rsidRPr="00B129C3">
        <w:t xml:space="preserve"> and 4 to 6</w:t>
      </w:r>
      <w:r w:rsidRPr="00B129C3">
        <w:t xml:space="preserve"> amend references to the Table to reflect the numbering in the </w:t>
      </w:r>
      <w:r w:rsidRPr="00B129C3">
        <w:rPr>
          <w:i/>
        </w:rPr>
        <w:t>Health Insurance (General Medical Services Table) Regulations (No. 1) 2020.</w:t>
      </w:r>
    </w:p>
    <w:p w14:paraId="61D04AB9" w14:textId="77777777" w:rsidR="0081476F" w:rsidRPr="00B129C3" w:rsidRDefault="0081476F" w:rsidP="0081476F">
      <w:pPr>
        <w:rPr>
          <w:i/>
        </w:rPr>
      </w:pPr>
    </w:p>
    <w:p w14:paraId="40FB8C17" w14:textId="76242F6A" w:rsidR="0081476F" w:rsidRPr="00B129C3" w:rsidRDefault="0081476F" w:rsidP="0081476F">
      <w:r w:rsidRPr="00B129C3">
        <w:t>Items 2</w:t>
      </w:r>
      <w:r w:rsidR="00B17DB0" w:rsidRPr="00B129C3">
        <w:t xml:space="preserve"> to </w:t>
      </w:r>
      <w:r w:rsidRPr="00B129C3">
        <w:t xml:space="preserve">4 make consequential changes so that the descriptions of items in this determination are consistent with the equivalent items in the Table. Item 2 amends subsection 5(1) to repeal the definition of “eligible area”. This term was repealed in the </w:t>
      </w:r>
      <w:r w:rsidRPr="00B129C3">
        <w:rPr>
          <w:i/>
        </w:rPr>
        <w:t xml:space="preserve">Health Insurance (General Medical Services Table) Regulations (No. 1) 2020 </w:t>
      </w:r>
      <w:r w:rsidRPr="00B129C3">
        <w:t>as the intent of this term was included in the amended item descriptors. Item</w:t>
      </w:r>
      <w:r w:rsidR="00DE071E" w:rsidRPr="00B129C3">
        <w:t>s</w:t>
      </w:r>
      <w:r w:rsidRPr="00B129C3">
        <w:t xml:space="preserve"> </w:t>
      </w:r>
      <w:r w:rsidR="00DE071E" w:rsidRPr="00B129C3">
        <w:t>7 and 8</w:t>
      </w:r>
      <w:r w:rsidRPr="00B129C3">
        <w:t xml:space="preserve"> amend the descriptions for items 10981 and 10982 to include the intent of this term, consistent with the equivalent items in the Table (items 10991 and 10992) following commencement of the </w:t>
      </w:r>
      <w:r w:rsidRPr="00B129C3">
        <w:rPr>
          <w:i/>
        </w:rPr>
        <w:t xml:space="preserve">Health Insurance (General Medical Services Table) Regulations (No. 1) 2020. </w:t>
      </w:r>
      <w:r w:rsidRPr="00B129C3">
        <w:t>Item 3 inserts definitions for terms now included in the descriptions for items 10981 and 10982 into subsection 5(1).</w:t>
      </w:r>
    </w:p>
    <w:p w14:paraId="0BE202E5" w14:textId="368A70C1" w:rsidR="00F66DC9" w:rsidRPr="00B129C3" w:rsidRDefault="00F66DC9" w:rsidP="000F3DE3"/>
    <w:p w14:paraId="54910FDD" w14:textId="5029026B" w:rsidR="00257482" w:rsidRPr="00B129C3" w:rsidRDefault="00257482" w:rsidP="00257482">
      <w:pPr>
        <w:rPr>
          <w:i/>
          <w:u w:val="single"/>
        </w:rPr>
      </w:pPr>
      <w:r w:rsidRPr="00B129C3">
        <w:rPr>
          <w:u w:val="single"/>
        </w:rPr>
        <w:t xml:space="preserve">Schedule 5 – Amendments to </w:t>
      </w:r>
      <w:r w:rsidRPr="00B129C3">
        <w:rPr>
          <w:i/>
          <w:u w:val="single"/>
        </w:rPr>
        <w:t>Health Insurance (Allied Health Services) Determination 2014</w:t>
      </w:r>
    </w:p>
    <w:p w14:paraId="504EAC98" w14:textId="77777777" w:rsidR="00257482" w:rsidRPr="00B129C3" w:rsidRDefault="00257482" w:rsidP="00257482">
      <w:pPr>
        <w:rPr>
          <w:i/>
          <w:u w:val="single"/>
        </w:rPr>
      </w:pPr>
    </w:p>
    <w:p w14:paraId="3F58E637" w14:textId="40CF42D9" w:rsidR="00257482" w:rsidRPr="00B129C3" w:rsidRDefault="00257482" w:rsidP="00257482">
      <w:pPr>
        <w:shd w:val="clear" w:color="auto" w:fill="FFFFFF"/>
        <w:rPr>
          <w:lang w:val="en-US"/>
        </w:rPr>
      </w:pPr>
      <w:r w:rsidRPr="00B129C3">
        <w:rPr>
          <w:lang w:val="en-US"/>
        </w:rPr>
        <w:t xml:space="preserve">Item 1 inserts “eye movement </w:t>
      </w:r>
      <w:r w:rsidRPr="00B129C3">
        <w:t>desensitisation</w:t>
      </w:r>
      <w:r w:rsidRPr="00B129C3">
        <w:rPr>
          <w:lang w:val="en-US"/>
        </w:rPr>
        <w:t xml:space="preserve"> and reprocessing” into the list of “focussed psychological strategies” defined in subsection 4(1) of this Determination.</w:t>
      </w:r>
    </w:p>
    <w:p w14:paraId="1BD8F070" w14:textId="77777777" w:rsidR="00257482" w:rsidRPr="00B129C3" w:rsidRDefault="00257482" w:rsidP="00257482">
      <w:pPr>
        <w:shd w:val="clear" w:color="auto" w:fill="FFFFFF"/>
        <w:rPr>
          <w:lang w:val="en-US"/>
        </w:rPr>
      </w:pPr>
    </w:p>
    <w:p w14:paraId="709520CD" w14:textId="61350198" w:rsidR="00257482" w:rsidRPr="00B129C3" w:rsidRDefault="00257482" w:rsidP="00257482">
      <w:pPr>
        <w:shd w:val="clear" w:color="auto" w:fill="FFFFFF"/>
        <w:rPr>
          <w:lang w:val="en-US"/>
        </w:rPr>
      </w:pPr>
      <w:r w:rsidRPr="00B129C3">
        <w:rPr>
          <w:lang w:val="en-US"/>
        </w:rPr>
        <w:t xml:space="preserve">Item 2 inserts “eye movement </w:t>
      </w:r>
      <w:r w:rsidRPr="00B129C3">
        <w:t>desensitisation</w:t>
      </w:r>
      <w:r w:rsidRPr="00B129C3">
        <w:rPr>
          <w:lang w:val="en-US"/>
        </w:rPr>
        <w:t xml:space="preserve"> and reprocessing” into the list of “focussed psychological strategies continuing professional development” defined in subsection 4(1) of this Determination. </w:t>
      </w:r>
    </w:p>
    <w:p w14:paraId="6C8CCCAE" w14:textId="77777777" w:rsidR="00257482" w:rsidRPr="00B129C3" w:rsidRDefault="00257482" w:rsidP="00257482">
      <w:pPr>
        <w:shd w:val="clear" w:color="auto" w:fill="FFFFFF"/>
        <w:rPr>
          <w:lang w:val="en-US"/>
        </w:rPr>
      </w:pPr>
    </w:p>
    <w:p w14:paraId="7540285E" w14:textId="77777777" w:rsidR="00257482" w:rsidRPr="00B129C3" w:rsidRDefault="00257482" w:rsidP="00257482">
      <w:pPr>
        <w:rPr>
          <w:i/>
          <w:u w:val="single"/>
        </w:rPr>
      </w:pPr>
    </w:p>
    <w:p w14:paraId="4F0D8416" w14:textId="77777777" w:rsidR="00257482" w:rsidRPr="00B129C3" w:rsidRDefault="00257482" w:rsidP="000F3DE3"/>
    <w:p w14:paraId="5BB09616" w14:textId="77777777" w:rsidR="00935868" w:rsidRPr="00B129C3" w:rsidRDefault="00935868">
      <w:pPr>
        <w:spacing w:after="200" w:line="276" w:lineRule="auto"/>
        <w:rPr>
          <w:b/>
          <w:sz w:val="28"/>
          <w:szCs w:val="28"/>
        </w:rPr>
      </w:pPr>
      <w:r w:rsidRPr="00B129C3">
        <w:rPr>
          <w:b/>
          <w:sz w:val="28"/>
          <w:szCs w:val="28"/>
        </w:rPr>
        <w:br w:type="page"/>
      </w:r>
    </w:p>
    <w:p w14:paraId="796D727D" w14:textId="41E079E1" w:rsidR="00C67460" w:rsidRPr="00B129C3" w:rsidRDefault="00C67460" w:rsidP="0071124D">
      <w:pPr>
        <w:shd w:val="clear" w:color="auto" w:fill="FFFFFF"/>
        <w:spacing w:before="100" w:beforeAutospacing="1" w:after="100" w:afterAutospacing="1"/>
        <w:jc w:val="center"/>
        <w:rPr>
          <w:szCs w:val="24"/>
        </w:rPr>
      </w:pPr>
      <w:r w:rsidRPr="00B129C3">
        <w:rPr>
          <w:b/>
          <w:sz w:val="28"/>
          <w:szCs w:val="28"/>
        </w:rPr>
        <w:lastRenderedPageBreak/>
        <w:t>Statement of Compatibility with Human Rights</w:t>
      </w:r>
    </w:p>
    <w:p w14:paraId="76CE15CD" w14:textId="77777777" w:rsidR="00C67460" w:rsidRPr="00B129C3" w:rsidRDefault="00C67460" w:rsidP="00C67460">
      <w:pPr>
        <w:spacing w:before="120" w:after="120"/>
        <w:jc w:val="center"/>
        <w:rPr>
          <w:szCs w:val="24"/>
        </w:rPr>
      </w:pPr>
      <w:r w:rsidRPr="00B129C3">
        <w:rPr>
          <w:i/>
          <w:szCs w:val="24"/>
        </w:rPr>
        <w:t>Prepared in accordance with Part 3 of the Human Rights (Parliamentary Scrutiny) Act 2011</w:t>
      </w:r>
    </w:p>
    <w:p w14:paraId="5B275BEC" w14:textId="77777777" w:rsidR="00C67460" w:rsidRPr="00B129C3" w:rsidRDefault="00C67460" w:rsidP="00C67460">
      <w:pPr>
        <w:spacing w:before="120" w:after="120"/>
        <w:jc w:val="center"/>
        <w:rPr>
          <w:szCs w:val="24"/>
        </w:rPr>
      </w:pPr>
    </w:p>
    <w:p w14:paraId="0FFE4FB8" w14:textId="438D9A49" w:rsidR="00C67460" w:rsidRPr="00B129C3" w:rsidRDefault="0081476F" w:rsidP="00441339">
      <w:pPr>
        <w:jc w:val="center"/>
        <w:rPr>
          <w:b/>
          <w:i/>
          <w:szCs w:val="24"/>
        </w:rPr>
      </w:pPr>
      <w:r w:rsidRPr="00B129C3">
        <w:rPr>
          <w:b/>
          <w:i/>
        </w:rPr>
        <w:t>Health Insurance Legislation Amendment (Consequential Change to Incorporated GMST Clauses</w:t>
      </w:r>
      <w:r w:rsidR="00420E98" w:rsidRPr="00B129C3">
        <w:t xml:space="preserve"> </w:t>
      </w:r>
      <w:r w:rsidR="00420E98" w:rsidRPr="00B129C3">
        <w:rPr>
          <w:b/>
          <w:i/>
        </w:rPr>
        <w:t>and Eye Movement Desensitisation and Reprocessing</w:t>
      </w:r>
      <w:r w:rsidRPr="00B129C3">
        <w:rPr>
          <w:b/>
          <w:i/>
        </w:rPr>
        <w:t>) Determination 2020</w:t>
      </w:r>
      <w:r w:rsidR="00C67460" w:rsidRPr="00B129C3">
        <w:rPr>
          <w:b/>
          <w:i/>
          <w:szCs w:val="24"/>
        </w:rPr>
        <w:br/>
      </w:r>
    </w:p>
    <w:p w14:paraId="2A44F74C" w14:textId="418C7B44" w:rsidR="00C67460" w:rsidRPr="00B129C3" w:rsidRDefault="00C67460" w:rsidP="00C67460">
      <w:pPr>
        <w:jc w:val="center"/>
        <w:rPr>
          <w:szCs w:val="24"/>
        </w:rPr>
      </w:pPr>
      <w:r w:rsidRPr="00B129C3">
        <w:rPr>
          <w:szCs w:val="24"/>
        </w:rPr>
        <w:t xml:space="preserve">This </w:t>
      </w:r>
      <w:r w:rsidR="00535742" w:rsidRPr="00B129C3">
        <w:rPr>
          <w:szCs w:val="24"/>
        </w:rPr>
        <w:t>instrument</w:t>
      </w:r>
      <w:r w:rsidRPr="00B129C3">
        <w:rPr>
          <w:szCs w:val="24"/>
        </w:rPr>
        <w:t xml:space="preserve"> is compatible with the human rights and freedoms recognised or declared in the international instruments listed in section 3 of the </w:t>
      </w:r>
      <w:r w:rsidRPr="00B129C3">
        <w:rPr>
          <w:i/>
          <w:szCs w:val="24"/>
        </w:rPr>
        <w:t>Human Rights (Parliamentary Scrutiny) Act 2011</w:t>
      </w:r>
      <w:r w:rsidRPr="00B129C3">
        <w:rPr>
          <w:szCs w:val="24"/>
        </w:rPr>
        <w:t>.</w:t>
      </w:r>
    </w:p>
    <w:p w14:paraId="6ECEAD35" w14:textId="77777777" w:rsidR="00C67460" w:rsidRPr="00B129C3" w:rsidRDefault="00C67460" w:rsidP="00CD6C5E">
      <w:pPr>
        <w:spacing w:before="120" w:after="120"/>
        <w:rPr>
          <w:b/>
          <w:szCs w:val="24"/>
        </w:rPr>
      </w:pPr>
      <w:r w:rsidRPr="00B129C3">
        <w:rPr>
          <w:b/>
          <w:szCs w:val="24"/>
        </w:rPr>
        <w:t>Overview of the Determination</w:t>
      </w:r>
    </w:p>
    <w:p w14:paraId="693AF0C0" w14:textId="13C4D03E" w:rsidR="00420E98" w:rsidRPr="00B129C3" w:rsidRDefault="0081476F" w:rsidP="0081476F">
      <w:pPr>
        <w:rPr>
          <w:szCs w:val="24"/>
        </w:rPr>
      </w:pPr>
      <w:r w:rsidRPr="00B129C3">
        <w:t xml:space="preserve">The purpose of the </w:t>
      </w:r>
      <w:r w:rsidRPr="00B129C3">
        <w:rPr>
          <w:i/>
        </w:rPr>
        <w:t>Health Insurance Legislation Amendment (Consequential Change to Incorporated GMST Clauses</w:t>
      </w:r>
      <w:r w:rsidR="00420E98" w:rsidRPr="00B129C3">
        <w:t xml:space="preserve"> </w:t>
      </w:r>
      <w:r w:rsidR="00420E98" w:rsidRPr="00B129C3">
        <w:rPr>
          <w:i/>
        </w:rPr>
        <w:t>and Eye Movement Desensitisation and Reprocessing</w:t>
      </w:r>
      <w:r w:rsidRPr="00B129C3">
        <w:rPr>
          <w:i/>
        </w:rPr>
        <w:t xml:space="preserve">) Determination 2020 </w:t>
      </w:r>
      <w:r w:rsidRPr="00B129C3">
        <w:t xml:space="preserve">(the Determination) is </w:t>
      </w:r>
      <w:r w:rsidRPr="00B129C3">
        <w:rPr>
          <w:szCs w:val="24"/>
        </w:rPr>
        <w:t xml:space="preserve">to amend a number of determinations made under subsection 3C(1) of the Act to refer to clauses in the Table as renumbered in the </w:t>
      </w:r>
      <w:r w:rsidRPr="00B129C3">
        <w:rPr>
          <w:i/>
          <w:szCs w:val="24"/>
        </w:rPr>
        <w:t xml:space="preserve">Health Insurance (General Medical Services Table) Regulations (No. 1) 2020, </w:t>
      </w:r>
      <w:r w:rsidRPr="00B129C3">
        <w:rPr>
          <w:szCs w:val="24"/>
        </w:rPr>
        <w:t>and to make other minor consequential amendments following the remake of these regulations.</w:t>
      </w:r>
    </w:p>
    <w:p w14:paraId="1B8BCF3E" w14:textId="77777777" w:rsidR="0081476F" w:rsidRPr="00B129C3" w:rsidRDefault="0081476F" w:rsidP="0081476F">
      <w:pPr>
        <w:rPr>
          <w:iCs/>
          <w:szCs w:val="24"/>
        </w:rPr>
      </w:pPr>
    </w:p>
    <w:p w14:paraId="5D9A32DF" w14:textId="38B2E939" w:rsidR="0081476F" w:rsidRPr="00B129C3" w:rsidRDefault="0081476F" w:rsidP="0081476F">
      <w:pPr>
        <w:shd w:val="clear" w:color="auto" w:fill="FFFFFF"/>
        <w:rPr>
          <w:szCs w:val="24"/>
        </w:rPr>
      </w:pPr>
      <w:r w:rsidRPr="00B129C3">
        <w:rPr>
          <w:szCs w:val="24"/>
        </w:rPr>
        <w:t xml:space="preserve">The Determination updates references in the following determinations: </w:t>
      </w:r>
    </w:p>
    <w:p w14:paraId="7F9E7B6F" w14:textId="653BE1ED" w:rsidR="0081476F" w:rsidRPr="00B129C3" w:rsidRDefault="0081476F" w:rsidP="0081476F">
      <w:pPr>
        <w:pStyle w:val="ListParagraph"/>
        <w:numPr>
          <w:ilvl w:val="0"/>
          <w:numId w:val="38"/>
        </w:numPr>
        <w:rPr>
          <w:i/>
        </w:rPr>
      </w:pPr>
      <w:r w:rsidRPr="00B129C3">
        <w:rPr>
          <w:i/>
        </w:rPr>
        <w:t>Health Insurance (Section 3C General Medical Services – Eating Disorders Treatment Plan and Psychological Treatment Services) Determination 2019</w:t>
      </w:r>
    </w:p>
    <w:p w14:paraId="7DF25D23" w14:textId="77777777" w:rsidR="0081476F" w:rsidRPr="00B129C3" w:rsidRDefault="0081476F" w:rsidP="0081476F">
      <w:pPr>
        <w:pStyle w:val="ListParagraph"/>
        <w:numPr>
          <w:ilvl w:val="0"/>
          <w:numId w:val="38"/>
        </w:numPr>
        <w:rPr>
          <w:i/>
        </w:rPr>
      </w:pPr>
      <w:r w:rsidRPr="00B129C3">
        <w:rPr>
          <w:i/>
        </w:rPr>
        <w:t>Health Insurance (Section 3C General Medical Services – Other Medical Practitioner) Determination 2018</w:t>
      </w:r>
    </w:p>
    <w:p w14:paraId="0373F701" w14:textId="12D7954B" w:rsidR="00255DA4" w:rsidRPr="00B129C3" w:rsidRDefault="0081476F" w:rsidP="0081476F">
      <w:pPr>
        <w:pStyle w:val="ListParagraph"/>
        <w:numPr>
          <w:ilvl w:val="0"/>
          <w:numId w:val="38"/>
        </w:numPr>
        <w:rPr>
          <w:i/>
        </w:rPr>
      </w:pPr>
      <w:r w:rsidRPr="00B129C3">
        <w:rPr>
          <w:i/>
        </w:rPr>
        <w:t>Health Insurance (Section 3C General Medical Services - COVID-19 Telehealth and Telephone Attendances) Determination 2020</w:t>
      </w:r>
    </w:p>
    <w:p w14:paraId="5AA817BD" w14:textId="1BCB6FCA" w:rsidR="0081476F" w:rsidRPr="00B129C3" w:rsidRDefault="0081476F" w:rsidP="00255DA4">
      <w:pPr>
        <w:pStyle w:val="ListParagraph"/>
        <w:numPr>
          <w:ilvl w:val="0"/>
          <w:numId w:val="38"/>
        </w:numPr>
        <w:rPr>
          <w:i/>
        </w:rPr>
      </w:pPr>
      <w:r w:rsidRPr="00B129C3">
        <w:rPr>
          <w:i/>
        </w:rPr>
        <w:t>Health Insurance (Section 3C General Medical Services – Additional GP Bulk-billing Incentives) Determination 2020.</w:t>
      </w:r>
    </w:p>
    <w:p w14:paraId="668C4989" w14:textId="77777777" w:rsidR="00255DA4" w:rsidRPr="00B129C3" w:rsidRDefault="00255DA4" w:rsidP="005F1F4D">
      <w:pPr>
        <w:pStyle w:val="ListParagraph"/>
        <w:rPr>
          <w:i/>
        </w:rPr>
      </w:pPr>
    </w:p>
    <w:p w14:paraId="051EC347" w14:textId="77777777" w:rsidR="006F74E5" w:rsidRPr="00B129C3" w:rsidRDefault="006F74E5" w:rsidP="006F74E5">
      <w:pPr>
        <w:pStyle w:val="ListParagraph"/>
        <w:ind w:left="0"/>
        <w:rPr>
          <w:i/>
        </w:rPr>
      </w:pPr>
      <w:r w:rsidRPr="00B129C3">
        <w:rPr>
          <w:iCs/>
          <w:szCs w:val="24"/>
        </w:rPr>
        <w:t xml:space="preserve">The Determination also adds “eye movement desensitisation and reprocessing” (EMDR) to the list of mental health care management strategies included in the available list of “focussed psychological strategies” services in the </w:t>
      </w:r>
      <w:r w:rsidRPr="00B129C3">
        <w:rPr>
          <w:i/>
          <w:iCs/>
          <w:szCs w:val="24"/>
        </w:rPr>
        <w:t>Health Insurance (Allied Health Services (Determination) 2014</w:t>
      </w:r>
      <w:r w:rsidRPr="00B129C3">
        <w:rPr>
          <w:iCs/>
          <w:szCs w:val="24"/>
        </w:rPr>
        <w:t>.</w:t>
      </w:r>
      <w:r w:rsidRPr="00B129C3">
        <w:t xml:space="preserve"> </w:t>
      </w:r>
      <w:r w:rsidRPr="00B129C3">
        <w:rPr>
          <w:iCs/>
          <w:szCs w:val="24"/>
        </w:rPr>
        <w:t xml:space="preserve">EMDR is a therapy used to treat patients with post-traumatic stress disorder. </w:t>
      </w:r>
      <w:r w:rsidRPr="00B129C3">
        <w:t>The addition of EMDR to the definitions will clarify that eligible patients can access EMDR therapy under items 80100 to 80170.</w:t>
      </w:r>
    </w:p>
    <w:p w14:paraId="6CF1FB14" w14:textId="77C9F5B2" w:rsidR="00C67460" w:rsidRPr="00B129C3" w:rsidRDefault="00C67460" w:rsidP="00C67460">
      <w:pPr>
        <w:spacing w:before="120" w:after="120"/>
        <w:rPr>
          <w:b/>
          <w:szCs w:val="24"/>
        </w:rPr>
      </w:pPr>
      <w:r w:rsidRPr="00B129C3">
        <w:rPr>
          <w:b/>
          <w:szCs w:val="24"/>
        </w:rPr>
        <w:t>Human rights implications</w:t>
      </w:r>
    </w:p>
    <w:p w14:paraId="37CAF162" w14:textId="77777777" w:rsidR="00B21A1B" w:rsidRPr="00B129C3" w:rsidRDefault="00B21A1B" w:rsidP="00B21A1B">
      <w:pPr>
        <w:spacing w:before="120" w:after="120"/>
        <w:rPr>
          <w:szCs w:val="24"/>
        </w:rPr>
      </w:pPr>
      <w:r w:rsidRPr="00B129C3">
        <w:rPr>
          <w:szCs w:val="24"/>
        </w:rPr>
        <w:t xml:space="preserve">This Determination engages Articles 9 and 12 of the International Covenant on Economic Social and Cultural Rights (ICESCR), specifically the rights to health and social security. </w:t>
      </w:r>
    </w:p>
    <w:p w14:paraId="7F9B1457" w14:textId="77777777" w:rsidR="00B21A1B" w:rsidRPr="00B129C3" w:rsidRDefault="00B21A1B" w:rsidP="00B21A1B">
      <w:pPr>
        <w:spacing w:before="120" w:after="120"/>
        <w:rPr>
          <w:i/>
          <w:szCs w:val="24"/>
        </w:rPr>
      </w:pPr>
      <w:r w:rsidRPr="00B129C3">
        <w:rPr>
          <w:i/>
          <w:szCs w:val="24"/>
        </w:rPr>
        <w:t>The Right to Health</w:t>
      </w:r>
    </w:p>
    <w:p w14:paraId="7B684257" w14:textId="77777777" w:rsidR="00B21A1B" w:rsidRPr="00B129C3" w:rsidRDefault="00B21A1B" w:rsidP="00B21A1B">
      <w:pPr>
        <w:spacing w:before="120" w:after="120"/>
        <w:rPr>
          <w:szCs w:val="24"/>
        </w:rPr>
      </w:pPr>
      <w:r w:rsidRPr="00B129C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9C603CE" w14:textId="77777777" w:rsidR="00B21A1B" w:rsidRPr="00B129C3" w:rsidRDefault="00B21A1B" w:rsidP="00B21A1B">
      <w:pPr>
        <w:spacing w:before="120" w:after="120"/>
        <w:rPr>
          <w:szCs w:val="24"/>
        </w:rPr>
      </w:pPr>
      <w:r w:rsidRPr="00B129C3">
        <w:rPr>
          <w:szCs w:val="24"/>
        </w:rPr>
        <w:t xml:space="preserve">The Committee reports that the </w:t>
      </w:r>
      <w:r w:rsidRPr="00B129C3">
        <w:rPr>
          <w:i/>
          <w:szCs w:val="24"/>
        </w:rPr>
        <w:t>‘highest attainable standard of health’</w:t>
      </w:r>
      <w:r w:rsidRPr="00B129C3">
        <w:rPr>
          <w:szCs w:val="24"/>
        </w:rPr>
        <w:t xml:space="preserve"> takes into account the country’s available resources. This right may be understood as a right of access to a variety of </w:t>
      </w:r>
      <w:r w:rsidRPr="00B129C3">
        <w:rPr>
          <w:szCs w:val="24"/>
        </w:rPr>
        <w:lastRenderedPageBreak/>
        <w:t xml:space="preserve">public health and health care facilities, goods, services, programs, and conditions necessary for the realisation of the highest attainable standard of health. </w:t>
      </w:r>
    </w:p>
    <w:p w14:paraId="6C8CEDF2" w14:textId="55F7B29E" w:rsidR="00B21A1B" w:rsidRPr="00B129C3" w:rsidRDefault="00B21A1B" w:rsidP="00936ACC">
      <w:pPr>
        <w:spacing w:after="200" w:line="276" w:lineRule="auto"/>
        <w:rPr>
          <w:i/>
          <w:szCs w:val="24"/>
        </w:rPr>
      </w:pPr>
      <w:r w:rsidRPr="00B129C3">
        <w:rPr>
          <w:i/>
          <w:szCs w:val="24"/>
        </w:rPr>
        <w:t xml:space="preserve">The Right to Social Security </w:t>
      </w:r>
    </w:p>
    <w:p w14:paraId="75913D45" w14:textId="77777777" w:rsidR="00B21A1B" w:rsidRPr="00B129C3" w:rsidRDefault="00B21A1B" w:rsidP="00B21A1B">
      <w:pPr>
        <w:spacing w:before="120" w:after="120"/>
        <w:rPr>
          <w:szCs w:val="24"/>
        </w:rPr>
      </w:pPr>
      <w:r w:rsidRPr="00B129C3">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FE870AF" w14:textId="77777777" w:rsidR="00B21A1B" w:rsidRPr="00B129C3" w:rsidRDefault="00B21A1B" w:rsidP="00B21A1B">
      <w:pPr>
        <w:spacing w:before="120" w:after="120"/>
        <w:rPr>
          <w:szCs w:val="24"/>
        </w:rPr>
      </w:pPr>
      <w:r w:rsidRPr="00B129C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37C3B6" w14:textId="77777777" w:rsidR="00B21A1B" w:rsidRPr="00B129C3" w:rsidRDefault="00B21A1B" w:rsidP="00B21A1B">
      <w:pPr>
        <w:spacing w:before="120" w:after="120"/>
        <w:rPr>
          <w:szCs w:val="24"/>
          <w:u w:val="single"/>
        </w:rPr>
      </w:pPr>
      <w:r w:rsidRPr="00B129C3">
        <w:rPr>
          <w:szCs w:val="24"/>
          <w:u w:val="single"/>
        </w:rPr>
        <w:t xml:space="preserve">Analysis </w:t>
      </w:r>
    </w:p>
    <w:p w14:paraId="7159C7F1" w14:textId="3B4B2F88" w:rsidR="00AB543B" w:rsidRPr="00B129C3" w:rsidRDefault="00AB543B" w:rsidP="00AB543B">
      <w:pPr>
        <w:shd w:val="clear" w:color="auto" w:fill="FFFFFF"/>
        <w:spacing w:before="120" w:after="120"/>
        <w:rPr>
          <w:rFonts w:ascii="Helvetica Neue" w:hAnsi="Helvetica Neue"/>
          <w:szCs w:val="24"/>
        </w:rPr>
      </w:pPr>
      <w:r w:rsidRPr="00B129C3">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7EEF7069" w14:textId="77777777" w:rsidR="00C67460" w:rsidRPr="00B129C3" w:rsidRDefault="00C67460" w:rsidP="00C67460">
      <w:pPr>
        <w:spacing w:before="120" w:after="120" w:line="276" w:lineRule="auto"/>
        <w:rPr>
          <w:rFonts w:eastAsia="Calibri"/>
          <w:b/>
          <w:szCs w:val="24"/>
          <w:lang w:eastAsia="en-US"/>
        </w:rPr>
      </w:pPr>
      <w:r w:rsidRPr="00B129C3">
        <w:rPr>
          <w:rFonts w:eastAsia="Calibri"/>
          <w:b/>
          <w:szCs w:val="24"/>
          <w:lang w:eastAsia="en-US"/>
        </w:rPr>
        <w:t xml:space="preserve">Conclusion </w:t>
      </w:r>
    </w:p>
    <w:p w14:paraId="42B8647B" w14:textId="42BF0FF7" w:rsidR="00C67460" w:rsidRPr="00B129C3" w:rsidRDefault="00C67460" w:rsidP="00C67460">
      <w:pPr>
        <w:rPr>
          <w:szCs w:val="24"/>
        </w:rPr>
      </w:pPr>
      <w:r w:rsidRPr="00B129C3">
        <w:rPr>
          <w:szCs w:val="24"/>
        </w:rPr>
        <w:t xml:space="preserve">This </w:t>
      </w:r>
      <w:r w:rsidR="00535742" w:rsidRPr="00B129C3">
        <w:rPr>
          <w:szCs w:val="24"/>
        </w:rPr>
        <w:t>instrument</w:t>
      </w:r>
      <w:r w:rsidRPr="00B129C3">
        <w:rPr>
          <w:szCs w:val="24"/>
        </w:rPr>
        <w:t xml:space="preserve"> is compatible with human rights </w:t>
      </w:r>
      <w:r w:rsidR="005A05F6" w:rsidRPr="00B129C3">
        <w:rPr>
          <w:szCs w:val="24"/>
        </w:rPr>
        <w:t xml:space="preserve">because it </w:t>
      </w:r>
      <w:r w:rsidR="006F74E5" w:rsidRPr="00B129C3">
        <w:rPr>
          <w:szCs w:val="24"/>
        </w:rPr>
        <w:tab/>
      </w:r>
      <w:r w:rsidR="005A05F6" w:rsidRPr="00B129C3">
        <w:rPr>
          <w:szCs w:val="24"/>
        </w:rPr>
        <w:t xml:space="preserve">maintains existing arrangements and the protection of human rights. </w:t>
      </w:r>
      <w:r w:rsidRPr="00B129C3">
        <w:rPr>
          <w:szCs w:val="24"/>
        </w:rPr>
        <w:t xml:space="preserve"> </w:t>
      </w:r>
    </w:p>
    <w:p w14:paraId="36F39195" w14:textId="77777777" w:rsidR="00C67460" w:rsidRPr="00B129C3" w:rsidRDefault="00C67460" w:rsidP="00C67460">
      <w:pPr>
        <w:rPr>
          <w:rFonts w:eastAsia="Calibri"/>
          <w:szCs w:val="24"/>
          <w:lang w:eastAsia="en-US"/>
        </w:rPr>
      </w:pPr>
    </w:p>
    <w:p w14:paraId="3924E53C" w14:textId="4B483D31" w:rsidR="00C67460" w:rsidRPr="00B129C3" w:rsidRDefault="005A05F6" w:rsidP="008A7735">
      <w:pPr>
        <w:jc w:val="center"/>
        <w:rPr>
          <w:b/>
        </w:rPr>
      </w:pPr>
      <w:r w:rsidRPr="00B129C3">
        <w:rPr>
          <w:b/>
        </w:rPr>
        <w:t>David Weiss</w:t>
      </w:r>
    </w:p>
    <w:p w14:paraId="577AFC0C" w14:textId="18FF5F17" w:rsidR="00C67460" w:rsidRPr="00B129C3" w:rsidRDefault="005A05F6" w:rsidP="008A7735">
      <w:pPr>
        <w:jc w:val="center"/>
        <w:rPr>
          <w:b/>
        </w:rPr>
      </w:pPr>
      <w:r w:rsidRPr="00B129C3">
        <w:rPr>
          <w:b/>
        </w:rPr>
        <w:t xml:space="preserve">First </w:t>
      </w:r>
      <w:r w:rsidR="00C67460" w:rsidRPr="00B129C3">
        <w:rPr>
          <w:b/>
        </w:rPr>
        <w:t>Assistant Secretary</w:t>
      </w:r>
    </w:p>
    <w:p w14:paraId="1D362E3A" w14:textId="77777777" w:rsidR="00C67460" w:rsidRPr="00B129C3" w:rsidRDefault="00C67460" w:rsidP="00EB0185">
      <w:pPr>
        <w:autoSpaceDE w:val="0"/>
        <w:autoSpaceDN w:val="0"/>
        <w:spacing w:line="240" w:lineRule="atLeast"/>
        <w:ind w:right="-23"/>
        <w:jc w:val="center"/>
        <w:rPr>
          <w:b/>
          <w:szCs w:val="24"/>
          <w:lang w:eastAsia="en-US"/>
        </w:rPr>
      </w:pPr>
      <w:r w:rsidRPr="00B129C3">
        <w:rPr>
          <w:b/>
          <w:szCs w:val="24"/>
          <w:lang w:eastAsia="en-US"/>
        </w:rPr>
        <w:t>Medical Benefits Division</w:t>
      </w:r>
    </w:p>
    <w:p w14:paraId="2D114263" w14:textId="77777777" w:rsidR="00AB04F6" w:rsidRPr="00B129C3" w:rsidRDefault="00AB04F6" w:rsidP="007C0532">
      <w:pPr>
        <w:autoSpaceDE w:val="0"/>
        <w:autoSpaceDN w:val="0"/>
        <w:spacing w:line="240" w:lineRule="atLeast"/>
        <w:ind w:right="-23"/>
        <w:jc w:val="center"/>
        <w:rPr>
          <w:b/>
          <w:szCs w:val="24"/>
          <w:lang w:eastAsia="en-US"/>
        </w:rPr>
      </w:pPr>
      <w:r w:rsidRPr="00B129C3">
        <w:rPr>
          <w:b/>
          <w:szCs w:val="24"/>
          <w:lang w:eastAsia="en-US"/>
        </w:rPr>
        <w:t>Health Financing Group</w:t>
      </w:r>
    </w:p>
    <w:p w14:paraId="60929AC7" w14:textId="216C5A02" w:rsidR="00C67460" w:rsidRPr="00B129C3" w:rsidRDefault="00C67460" w:rsidP="002E0751">
      <w:pPr>
        <w:autoSpaceDE w:val="0"/>
        <w:autoSpaceDN w:val="0"/>
        <w:spacing w:line="240" w:lineRule="atLeast"/>
        <w:ind w:right="-23"/>
        <w:jc w:val="center"/>
        <w:rPr>
          <w:rFonts w:eastAsia="Calibri"/>
          <w:szCs w:val="24"/>
          <w:lang w:eastAsia="en-US"/>
        </w:rPr>
      </w:pPr>
      <w:r w:rsidRPr="00B129C3">
        <w:rPr>
          <w:b/>
          <w:szCs w:val="24"/>
          <w:lang w:eastAsia="en-US"/>
        </w:rPr>
        <w:t>Department of Health</w:t>
      </w:r>
    </w:p>
    <w:p w14:paraId="2412D13C" w14:textId="77777777" w:rsidR="00242974" w:rsidRPr="000D1CE2" w:rsidRDefault="00242974" w:rsidP="000337CB">
      <w:pPr>
        <w:tabs>
          <w:tab w:val="left" w:pos="4536"/>
        </w:tabs>
        <w:rPr>
          <w:b/>
          <w:szCs w:val="24"/>
        </w:rPr>
      </w:pPr>
      <w:bookmarkStart w:id="0" w:name="_GoBack"/>
      <w:bookmarkEnd w:id="0"/>
    </w:p>
    <w:sectPr w:rsidR="00242974" w:rsidRPr="000D1CE2" w:rsidSect="005C2A0E">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C82A" w14:textId="77777777" w:rsidR="007F5825" w:rsidRDefault="007F5825">
      <w:r>
        <w:separator/>
      </w:r>
    </w:p>
  </w:endnote>
  <w:endnote w:type="continuationSeparator" w:id="0">
    <w:p w14:paraId="6F11C75E" w14:textId="77777777" w:rsidR="007F5825" w:rsidRDefault="007F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B074" w14:textId="4D84174D" w:rsidR="003B0FD3" w:rsidRDefault="003B0FD3">
    <w:pPr>
      <w:pStyle w:val="Footer"/>
    </w:pPr>
  </w:p>
  <w:p w14:paraId="5F7EB18C" w14:textId="7540F5EC" w:rsidR="003B0FD3" w:rsidRPr="003B0FD3" w:rsidRDefault="003B0FD3" w:rsidP="003B0FD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C9DCC" w14:textId="77777777" w:rsidR="007F5825" w:rsidRDefault="007F5825">
      <w:r>
        <w:separator/>
      </w:r>
    </w:p>
  </w:footnote>
  <w:footnote w:type="continuationSeparator" w:id="0">
    <w:p w14:paraId="166959CD" w14:textId="77777777" w:rsidR="007F5825" w:rsidRDefault="007F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20714"/>
      <w:docPartObj>
        <w:docPartGallery w:val="Page Numbers (Top of Page)"/>
        <w:docPartUnique/>
      </w:docPartObj>
    </w:sdtPr>
    <w:sdtEndPr>
      <w:rPr>
        <w:noProof/>
      </w:rPr>
    </w:sdtEndPr>
    <w:sdtContent>
      <w:p w14:paraId="2412D17A" w14:textId="0A5FFE85" w:rsidR="00E23B6B" w:rsidRDefault="00E23B6B">
        <w:pPr>
          <w:pStyle w:val="Header"/>
          <w:jc w:val="center"/>
        </w:pPr>
        <w:r>
          <w:fldChar w:fldCharType="begin"/>
        </w:r>
        <w:r>
          <w:instrText xml:space="preserve"> PAGE   \* MERGEFORMAT </w:instrText>
        </w:r>
        <w:r>
          <w:fldChar w:fldCharType="separate"/>
        </w:r>
        <w:r w:rsidR="000D1CE2">
          <w:rPr>
            <w:noProof/>
          </w:rPr>
          <w:t>4</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95866"/>
      <w:docPartObj>
        <w:docPartGallery w:val="Page Numbers (Top of Page)"/>
        <w:docPartUnique/>
      </w:docPartObj>
    </w:sdtPr>
    <w:sdtEndPr>
      <w:rPr>
        <w:noProof/>
      </w:rPr>
    </w:sdtEndPr>
    <w:sdtContent>
      <w:p w14:paraId="2412D17C" w14:textId="7E807CF3" w:rsidR="00E23B6B" w:rsidRDefault="00E23B6B">
        <w:pPr>
          <w:pStyle w:val="Header"/>
          <w:jc w:val="center"/>
        </w:pPr>
        <w:r>
          <w:fldChar w:fldCharType="begin"/>
        </w:r>
        <w:r>
          <w:instrText xml:space="preserve"> PAGE   \* MERGEFORMAT </w:instrText>
        </w:r>
        <w:r>
          <w:fldChar w:fldCharType="separate"/>
        </w:r>
        <w:r w:rsidR="000D1CE2">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462A93"/>
    <w:multiLevelType w:val="hybridMultilevel"/>
    <w:tmpl w:val="FA2021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04D72"/>
    <w:multiLevelType w:val="hybridMultilevel"/>
    <w:tmpl w:val="90F8F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0D83516"/>
    <w:multiLevelType w:val="hybridMultilevel"/>
    <w:tmpl w:val="6ECE54DA"/>
    <w:lvl w:ilvl="0" w:tplc="CD7E05B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FF70D6"/>
    <w:multiLevelType w:val="hybridMultilevel"/>
    <w:tmpl w:val="386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9"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25A53AE"/>
    <w:multiLevelType w:val="hybridMultilevel"/>
    <w:tmpl w:val="F2A2C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7" w15:restartNumberingAfterBreak="0">
    <w:nsid w:val="78996244"/>
    <w:multiLevelType w:val="hybridMultilevel"/>
    <w:tmpl w:val="0ED2F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851562"/>
    <w:multiLevelType w:val="hybridMultilevel"/>
    <w:tmpl w:val="2256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
  </w:num>
  <w:num w:numId="4">
    <w:abstractNumId w:val="17"/>
  </w:num>
  <w:num w:numId="5">
    <w:abstractNumId w:val="20"/>
  </w:num>
  <w:num w:numId="6">
    <w:abstractNumId w:val="14"/>
  </w:num>
  <w:num w:numId="7">
    <w:abstractNumId w:val="35"/>
  </w:num>
  <w:num w:numId="8">
    <w:abstractNumId w:val="11"/>
  </w:num>
  <w:num w:numId="9">
    <w:abstractNumId w:val="7"/>
  </w:num>
  <w:num w:numId="10">
    <w:abstractNumId w:val="39"/>
  </w:num>
  <w:num w:numId="11">
    <w:abstractNumId w:val="34"/>
  </w:num>
  <w:num w:numId="12">
    <w:abstractNumId w:val="18"/>
  </w:num>
  <w:num w:numId="13">
    <w:abstractNumId w:val="19"/>
  </w:num>
  <w:num w:numId="14">
    <w:abstractNumId w:val="32"/>
  </w:num>
  <w:num w:numId="15">
    <w:abstractNumId w:val="12"/>
  </w:num>
  <w:num w:numId="16">
    <w:abstractNumId w:val="23"/>
  </w:num>
  <w:num w:numId="17">
    <w:abstractNumId w:val="26"/>
  </w:num>
  <w:num w:numId="18">
    <w:abstractNumId w:val="24"/>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3"/>
  </w:num>
  <w:num w:numId="26">
    <w:abstractNumId w:val="1"/>
  </w:num>
  <w:num w:numId="27">
    <w:abstractNumId w:val="5"/>
  </w:num>
  <w:num w:numId="28">
    <w:abstractNumId w:val="9"/>
  </w:num>
  <w:num w:numId="29">
    <w:abstractNumId w:val="33"/>
  </w:num>
  <w:num w:numId="30">
    <w:abstractNumId w:val="3"/>
  </w:num>
  <w:num w:numId="31">
    <w:abstractNumId w:val="29"/>
  </w:num>
  <w:num w:numId="32">
    <w:abstractNumId w:val="28"/>
  </w:num>
  <w:num w:numId="33">
    <w:abstractNumId w:val="36"/>
  </w:num>
  <w:num w:numId="34">
    <w:abstractNumId w:val="8"/>
  </w:num>
  <w:num w:numId="35">
    <w:abstractNumId w:val="38"/>
  </w:num>
  <w:num w:numId="36">
    <w:abstractNumId w:val="10"/>
  </w:num>
  <w:num w:numId="37">
    <w:abstractNumId w:val="30"/>
  </w:num>
  <w:num w:numId="38">
    <w:abstractNumId w:val="27"/>
  </w:num>
  <w:num w:numId="39">
    <w:abstractNumId w:val="16"/>
  </w:num>
  <w:num w:numId="40">
    <w:abstractNumId w:val="22"/>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2D75"/>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60C"/>
    <w:rsid w:val="0007187A"/>
    <w:rsid w:val="000727E0"/>
    <w:rsid w:val="00073983"/>
    <w:rsid w:val="00073BC9"/>
    <w:rsid w:val="00076C34"/>
    <w:rsid w:val="00076FE3"/>
    <w:rsid w:val="00080116"/>
    <w:rsid w:val="00081188"/>
    <w:rsid w:val="00081C37"/>
    <w:rsid w:val="0009514A"/>
    <w:rsid w:val="000969EF"/>
    <w:rsid w:val="000A199B"/>
    <w:rsid w:val="000A31F2"/>
    <w:rsid w:val="000A45BE"/>
    <w:rsid w:val="000A467F"/>
    <w:rsid w:val="000A6FB3"/>
    <w:rsid w:val="000A7B9B"/>
    <w:rsid w:val="000B25E0"/>
    <w:rsid w:val="000B3452"/>
    <w:rsid w:val="000B36DF"/>
    <w:rsid w:val="000C04B2"/>
    <w:rsid w:val="000C1226"/>
    <w:rsid w:val="000C12EE"/>
    <w:rsid w:val="000C3950"/>
    <w:rsid w:val="000C3D8A"/>
    <w:rsid w:val="000C46E6"/>
    <w:rsid w:val="000C4B3D"/>
    <w:rsid w:val="000C5BA2"/>
    <w:rsid w:val="000C6797"/>
    <w:rsid w:val="000C6FF8"/>
    <w:rsid w:val="000C7FE1"/>
    <w:rsid w:val="000D1325"/>
    <w:rsid w:val="000D1A87"/>
    <w:rsid w:val="000D1CE2"/>
    <w:rsid w:val="000D2300"/>
    <w:rsid w:val="000D3B79"/>
    <w:rsid w:val="000D7803"/>
    <w:rsid w:val="000E0368"/>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3DE3"/>
    <w:rsid w:val="000F5E76"/>
    <w:rsid w:val="000F6853"/>
    <w:rsid w:val="001000CE"/>
    <w:rsid w:val="00104751"/>
    <w:rsid w:val="0010617D"/>
    <w:rsid w:val="00106763"/>
    <w:rsid w:val="001068B6"/>
    <w:rsid w:val="00107F36"/>
    <w:rsid w:val="0011066E"/>
    <w:rsid w:val="00113B2E"/>
    <w:rsid w:val="00120766"/>
    <w:rsid w:val="00121189"/>
    <w:rsid w:val="0012120D"/>
    <w:rsid w:val="00121A66"/>
    <w:rsid w:val="00127E3A"/>
    <w:rsid w:val="00132087"/>
    <w:rsid w:val="00133846"/>
    <w:rsid w:val="00134B27"/>
    <w:rsid w:val="00135D0D"/>
    <w:rsid w:val="001400C4"/>
    <w:rsid w:val="00141323"/>
    <w:rsid w:val="00141E8C"/>
    <w:rsid w:val="00143943"/>
    <w:rsid w:val="00145918"/>
    <w:rsid w:val="00145D25"/>
    <w:rsid w:val="00145DED"/>
    <w:rsid w:val="00151724"/>
    <w:rsid w:val="001519E4"/>
    <w:rsid w:val="00152304"/>
    <w:rsid w:val="00153D99"/>
    <w:rsid w:val="00154FC4"/>
    <w:rsid w:val="0015521F"/>
    <w:rsid w:val="001572B0"/>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51D"/>
    <w:rsid w:val="001865F8"/>
    <w:rsid w:val="001867EA"/>
    <w:rsid w:val="00187EE5"/>
    <w:rsid w:val="00190FC9"/>
    <w:rsid w:val="0019289B"/>
    <w:rsid w:val="001929C3"/>
    <w:rsid w:val="0019464A"/>
    <w:rsid w:val="00195A6A"/>
    <w:rsid w:val="001965CE"/>
    <w:rsid w:val="001965DA"/>
    <w:rsid w:val="0019711F"/>
    <w:rsid w:val="001978CE"/>
    <w:rsid w:val="001A4BE2"/>
    <w:rsid w:val="001A5BC0"/>
    <w:rsid w:val="001A7249"/>
    <w:rsid w:val="001A7EF8"/>
    <w:rsid w:val="001B0111"/>
    <w:rsid w:val="001B3714"/>
    <w:rsid w:val="001B5ED9"/>
    <w:rsid w:val="001B602D"/>
    <w:rsid w:val="001B66AF"/>
    <w:rsid w:val="001B7092"/>
    <w:rsid w:val="001C1B86"/>
    <w:rsid w:val="001C261D"/>
    <w:rsid w:val="001C35BC"/>
    <w:rsid w:val="001C5FC1"/>
    <w:rsid w:val="001C6713"/>
    <w:rsid w:val="001D128F"/>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5DA4"/>
    <w:rsid w:val="00257482"/>
    <w:rsid w:val="00257E4D"/>
    <w:rsid w:val="00262865"/>
    <w:rsid w:val="00263279"/>
    <w:rsid w:val="002643FC"/>
    <w:rsid w:val="00270055"/>
    <w:rsid w:val="00271639"/>
    <w:rsid w:val="00274073"/>
    <w:rsid w:val="0027526F"/>
    <w:rsid w:val="0027529B"/>
    <w:rsid w:val="0027545F"/>
    <w:rsid w:val="0027610D"/>
    <w:rsid w:val="00281918"/>
    <w:rsid w:val="00282B79"/>
    <w:rsid w:val="00282C2A"/>
    <w:rsid w:val="00284483"/>
    <w:rsid w:val="00285256"/>
    <w:rsid w:val="00287AEF"/>
    <w:rsid w:val="00287B08"/>
    <w:rsid w:val="00290B98"/>
    <w:rsid w:val="002944D4"/>
    <w:rsid w:val="00295110"/>
    <w:rsid w:val="00296763"/>
    <w:rsid w:val="0029737E"/>
    <w:rsid w:val="00297AD0"/>
    <w:rsid w:val="002A0CC8"/>
    <w:rsid w:val="002A3243"/>
    <w:rsid w:val="002A5CDF"/>
    <w:rsid w:val="002A68B3"/>
    <w:rsid w:val="002B2AC5"/>
    <w:rsid w:val="002B2E78"/>
    <w:rsid w:val="002B49DE"/>
    <w:rsid w:val="002B4E4D"/>
    <w:rsid w:val="002B5085"/>
    <w:rsid w:val="002B53D3"/>
    <w:rsid w:val="002B6D15"/>
    <w:rsid w:val="002B7177"/>
    <w:rsid w:val="002C04B4"/>
    <w:rsid w:val="002C4F5B"/>
    <w:rsid w:val="002C54A1"/>
    <w:rsid w:val="002C59F8"/>
    <w:rsid w:val="002C5DCD"/>
    <w:rsid w:val="002D03AB"/>
    <w:rsid w:val="002D2A4E"/>
    <w:rsid w:val="002D5294"/>
    <w:rsid w:val="002D5DFC"/>
    <w:rsid w:val="002D5E92"/>
    <w:rsid w:val="002D6269"/>
    <w:rsid w:val="002D629A"/>
    <w:rsid w:val="002E0751"/>
    <w:rsid w:val="002E12C3"/>
    <w:rsid w:val="002E3493"/>
    <w:rsid w:val="002E35BF"/>
    <w:rsid w:val="002E5F5C"/>
    <w:rsid w:val="002E6FD5"/>
    <w:rsid w:val="002E7D88"/>
    <w:rsid w:val="002F0434"/>
    <w:rsid w:val="002F0508"/>
    <w:rsid w:val="002F1707"/>
    <w:rsid w:val="002F2F33"/>
    <w:rsid w:val="002F3A26"/>
    <w:rsid w:val="002F3C7E"/>
    <w:rsid w:val="002F449C"/>
    <w:rsid w:val="002F4CD2"/>
    <w:rsid w:val="002F6069"/>
    <w:rsid w:val="002F7549"/>
    <w:rsid w:val="00300EFB"/>
    <w:rsid w:val="00301D49"/>
    <w:rsid w:val="003025C7"/>
    <w:rsid w:val="00302F5C"/>
    <w:rsid w:val="00304080"/>
    <w:rsid w:val="00307334"/>
    <w:rsid w:val="0031124D"/>
    <w:rsid w:val="00312ED1"/>
    <w:rsid w:val="00313554"/>
    <w:rsid w:val="00317B55"/>
    <w:rsid w:val="0032155B"/>
    <w:rsid w:val="003239D0"/>
    <w:rsid w:val="00324908"/>
    <w:rsid w:val="003252BB"/>
    <w:rsid w:val="0033493D"/>
    <w:rsid w:val="00335AE6"/>
    <w:rsid w:val="00337DE1"/>
    <w:rsid w:val="00340BDB"/>
    <w:rsid w:val="00340E39"/>
    <w:rsid w:val="00341145"/>
    <w:rsid w:val="003412CB"/>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273"/>
    <w:rsid w:val="00375E39"/>
    <w:rsid w:val="003760ED"/>
    <w:rsid w:val="003775D7"/>
    <w:rsid w:val="00380CBA"/>
    <w:rsid w:val="00381278"/>
    <w:rsid w:val="0038127E"/>
    <w:rsid w:val="00384080"/>
    <w:rsid w:val="00386C22"/>
    <w:rsid w:val="003876E6"/>
    <w:rsid w:val="00391AFA"/>
    <w:rsid w:val="00393774"/>
    <w:rsid w:val="003937EF"/>
    <w:rsid w:val="00393E9B"/>
    <w:rsid w:val="00395942"/>
    <w:rsid w:val="00397A97"/>
    <w:rsid w:val="003A280D"/>
    <w:rsid w:val="003A5A70"/>
    <w:rsid w:val="003A6230"/>
    <w:rsid w:val="003A6299"/>
    <w:rsid w:val="003B0FD3"/>
    <w:rsid w:val="003B1976"/>
    <w:rsid w:val="003B27BA"/>
    <w:rsid w:val="003B366C"/>
    <w:rsid w:val="003B38C1"/>
    <w:rsid w:val="003B59A9"/>
    <w:rsid w:val="003B6B63"/>
    <w:rsid w:val="003B7C31"/>
    <w:rsid w:val="003C02D4"/>
    <w:rsid w:val="003C37E3"/>
    <w:rsid w:val="003C4CBD"/>
    <w:rsid w:val="003C546B"/>
    <w:rsid w:val="003C7255"/>
    <w:rsid w:val="003C7719"/>
    <w:rsid w:val="003D08EF"/>
    <w:rsid w:val="003D0FBD"/>
    <w:rsid w:val="003D2A6D"/>
    <w:rsid w:val="003E005B"/>
    <w:rsid w:val="003E04DA"/>
    <w:rsid w:val="003E1249"/>
    <w:rsid w:val="003E1368"/>
    <w:rsid w:val="003E1D75"/>
    <w:rsid w:val="003E3544"/>
    <w:rsid w:val="003E35A8"/>
    <w:rsid w:val="003E77CB"/>
    <w:rsid w:val="003F47FD"/>
    <w:rsid w:val="003F4B52"/>
    <w:rsid w:val="003F73BA"/>
    <w:rsid w:val="003F73F0"/>
    <w:rsid w:val="00401423"/>
    <w:rsid w:val="00403105"/>
    <w:rsid w:val="00404F11"/>
    <w:rsid w:val="004052E8"/>
    <w:rsid w:val="00405890"/>
    <w:rsid w:val="00405EF4"/>
    <w:rsid w:val="00411365"/>
    <w:rsid w:val="0041237F"/>
    <w:rsid w:val="00412B6C"/>
    <w:rsid w:val="0041439E"/>
    <w:rsid w:val="00414613"/>
    <w:rsid w:val="00415B19"/>
    <w:rsid w:val="0041767B"/>
    <w:rsid w:val="00420205"/>
    <w:rsid w:val="00420E98"/>
    <w:rsid w:val="00421D5F"/>
    <w:rsid w:val="00422831"/>
    <w:rsid w:val="00422D5A"/>
    <w:rsid w:val="00424197"/>
    <w:rsid w:val="00425F40"/>
    <w:rsid w:val="004265AA"/>
    <w:rsid w:val="00426A8D"/>
    <w:rsid w:val="00427FDA"/>
    <w:rsid w:val="00430861"/>
    <w:rsid w:val="00432D4D"/>
    <w:rsid w:val="00433DCE"/>
    <w:rsid w:val="004361D7"/>
    <w:rsid w:val="00437B1B"/>
    <w:rsid w:val="004405B8"/>
    <w:rsid w:val="00441339"/>
    <w:rsid w:val="004417A2"/>
    <w:rsid w:val="00442F9D"/>
    <w:rsid w:val="00444EDF"/>
    <w:rsid w:val="004456A4"/>
    <w:rsid w:val="00445A6D"/>
    <w:rsid w:val="00446A6B"/>
    <w:rsid w:val="0045189C"/>
    <w:rsid w:val="00451A38"/>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D01"/>
    <w:rsid w:val="004A524A"/>
    <w:rsid w:val="004A56D3"/>
    <w:rsid w:val="004A6B0F"/>
    <w:rsid w:val="004B1ECE"/>
    <w:rsid w:val="004B38C8"/>
    <w:rsid w:val="004B5C2E"/>
    <w:rsid w:val="004B7CB9"/>
    <w:rsid w:val="004C10BA"/>
    <w:rsid w:val="004C1122"/>
    <w:rsid w:val="004C27EB"/>
    <w:rsid w:val="004C357A"/>
    <w:rsid w:val="004C37D3"/>
    <w:rsid w:val="004C405B"/>
    <w:rsid w:val="004C5B35"/>
    <w:rsid w:val="004C68D1"/>
    <w:rsid w:val="004C6AE7"/>
    <w:rsid w:val="004C72E8"/>
    <w:rsid w:val="004D03E3"/>
    <w:rsid w:val="004D04DF"/>
    <w:rsid w:val="004D1BF4"/>
    <w:rsid w:val="004D2ECB"/>
    <w:rsid w:val="004D480B"/>
    <w:rsid w:val="004D7821"/>
    <w:rsid w:val="004E10C5"/>
    <w:rsid w:val="004E22A7"/>
    <w:rsid w:val="004E39E6"/>
    <w:rsid w:val="004E71DC"/>
    <w:rsid w:val="004E7F97"/>
    <w:rsid w:val="004F1563"/>
    <w:rsid w:val="004F20B0"/>
    <w:rsid w:val="004F546A"/>
    <w:rsid w:val="004F60F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35655"/>
    <w:rsid w:val="00535742"/>
    <w:rsid w:val="00536AC6"/>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54E"/>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60D0"/>
    <w:rsid w:val="0059798F"/>
    <w:rsid w:val="00597EC9"/>
    <w:rsid w:val="005A0300"/>
    <w:rsid w:val="005A05F6"/>
    <w:rsid w:val="005A163F"/>
    <w:rsid w:val="005A3D73"/>
    <w:rsid w:val="005A3D8D"/>
    <w:rsid w:val="005A445D"/>
    <w:rsid w:val="005B00DC"/>
    <w:rsid w:val="005B0EA3"/>
    <w:rsid w:val="005B1B0A"/>
    <w:rsid w:val="005B5062"/>
    <w:rsid w:val="005B5F95"/>
    <w:rsid w:val="005B6234"/>
    <w:rsid w:val="005B7596"/>
    <w:rsid w:val="005C2A0E"/>
    <w:rsid w:val="005C4A91"/>
    <w:rsid w:val="005C5824"/>
    <w:rsid w:val="005C6118"/>
    <w:rsid w:val="005D08E2"/>
    <w:rsid w:val="005D16F7"/>
    <w:rsid w:val="005D3575"/>
    <w:rsid w:val="005D3CED"/>
    <w:rsid w:val="005D538F"/>
    <w:rsid w:val="005D63D9"/>
    <w:rsid w:val="005D68D1"/>
    <w:rsid w:val="005E293A"/>
    <w:rsid w:val="005E3DBE"/>
    <w:rsid w:val="005E49E7"/>
    <w:rsid w:val="005E56FE"/>
    <w:rsid w:val="005E62D6"/>
    <w:rsid w:val="005E6A82"/>
    <w:rsid w:val="005E7398"/>
    <w:rsid w:val="005F04DC"/>
    <w:rsid w:val="005F0F6C"/>
    <w:rsid w:val="005F1A7F"/>
    <w:rsid w:val="005F1F44"/>
    <w:rsid w:val="005F1F4D"/>
    <w:rsid w:val="00601165"/>
    <w:rsid w:val="00607971"/>
    <w:rsid w:val="00611A4E"/>
    <w:rsid w:val="006122C0"/>
    <w:rsid w:val="0061281D"/>
    <w:rsid w:val="00613C46"/>
    <w:rsid w:val="00616889"/>
    <w:rsid w:val="006177EC"/>
    <w:rsid w:val="00617F77"/>
    <w:rsid w:val="0062186B"/>
    <w:rsid w:val="00623004"/>
    <w:rsid w:val="00627C91"/>
    <w:rsid w:val="006327E7"/>
    <w:rsid w:val="00635031"/>
    <w:rsid w:val="006369D4"/>
    <w:rsid w:val="00636C51"/>
    <w:rsid w:val="006407FA"/>
    <w:rsid w:val="006427B2"/>
    <w:rsid w:val="00642BEB"/>
    <w:rsid w:val="00647426"/>
    <w:rsid w:val="00647590"/>
    <w:rsid w:val="006526F5"/>
    <w:rsid w:val="00657702"/>
    <w:rsid w:val="006619F5"/>
    <w:rsid w:val="006629F9"/>
    <w:rsid w:val="00663278"/>
    <w:rsid w:val="006639F0"/>
    <w:rsid w:val="0066562D"/>
    <w:rsid w:val="00670998"/>
    <w:rsid w:val="00672050"/>
    <w:rsid w:val="00673872"/>
    <w:rsid w:val="00674A34"/>
    <w:rsid w:val="0067500D"/>
    <w:rsid w:val="00685515"/>
    <w:rsid w:val="0068642A"/>
    <w:rsid w:val="00687D0A"/>
    <w:rsid w:val="00694C76"/>
    <w:rsid w:val="00694F4A"/>
    <w:rsid w:val="00695DBD"/>
    <w:rsid w:val="006A029B"/>
    <w:rsid w:val="006A17A1"/>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6F74E5"/>
    <w:rsid w:val="0070058D"/>
    <w:rsid w:val="00702854"/>
    <w:rsid w:val="00704585"/>
    <w:rsid w:val="00704A1A"/>
    <w:rsid w:val="00705833"/>
    <w:rsid w:val="00705924"/>
    <w:rsid w:val="00707B77"/>
    <w:rsid w:val="00707CE9"/>
    <w:rsid w:val="00710055"/>
    <w:rsid w:val="007103BC"/>
    <w:rsid w:val="0071124D"/>
    <w:rsid w:val="0071184F"/>
    <w:rsid w:val="00712189"/>
    <w:rsid w:val="007134A2"/>
    <w:rsid w:val="00713FB2"/>
    <w:rsid w:val="00717B45"/>
    <w:rsid w:val="007202C4"/>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860"/>
    <w:rsid w:val="00750378"/>
    <w:rsid w:val="007505FB"/>
    <w:rsid w:val="007524B0"/>
    <w:rsid w:val="00752997"/>
    <w:rsid w:val="007533EC"/>
    <w:rsid w:val="00757618"/>
    <w:rsid w:val="00762606"/>
    <w:rsid w:val="00762B45"/>
    <w:rsid w:val="0076544A"/>
    <w:rsid w:val="00767402"/>
    <w:rsid w:val="0077044D"/>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E0017"/>
    <w:rsid w:val="007E0D9D"/>
    <w:rsid w:val="007E4B14"/>
    <w:rsid w:val="007E4B4C"/>
    <w:rsid w:val="007E7ABF"/>
    <w:rsid w:val="007F0907"/>
    <w:rsid w:val="007F0D24"/>
    <w:rsid w:val="007F10B5"/>
    <w:rsid w:val="007F1654"/>
    <w:rsid w:val="007F1C81"/>
    <w:rsid w:val="007F5825"/>
    <w:rsid w:val="007F6ABA"/>
    <w:rsid w:val="0080144C"/>
    <w:rsid w:val="0080170D"/>
    <w:rsid w:val="00804A98"/>
    <w:rsid w:val="00805C3A"/>
    <w:rsid w:val="008061B8"/>
    <w:rsid w:val="008129B1"/>
    <w:rsid w:val="0081476F"/>
    <w:rsid w:val="00817A12"/>
    <w:rsid w:val="00822092"/>
    <w:rsid w:val="0082437E"/>
    <w:rsid w:val="008259FD"/>
    <w:rsid w:val="00825B2C"/>
    <w:rsid w:val="00825D67"/>
    <w:rsid w:val="00826C1C"/>
    <w:rsid w:val="0083200D"/>
    <w:rsid w:val="00832E86"/>
    <w:rsid w:val="00833BAB"/>
    <w:rsid w:val="00833FCC"/>
    <w:rsid w:val="008356E6"/>
    <w:rsid w:val="008360AA"/>
    <w:rsid w:val="00837412"/>
    <w:rsid w:val="00840877"/>
    <w:rsid w:val="0084180A"/>
    <w:rsid w:val="0084197A"/>
    <w:rsid w:val="00841EDA"/>
    <w:rsid w:val="00843425"/>
    <w:rsid w:val="00843A81"/>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12E4"/>
    <w:rsid w:val="0086158F"/>
    <w:rsid w:val="008645C4"/>
    <w:rsid w:val="00867884"/>
    <w:rsid w:val="00867AC8"/>
    <w:rsid w:val="008734F5"/>
    <w:rsid w:val="00875104"/>
    <w:rsid w:val="008770B0"/>
    <w:rsid w:val="008774D2"/>
    <w:rsid w:val="0087779F"/>
    <w:rsid w:val="00880E40"/>
    <w:rsid w:val="00883771"/>
    <w:rsid w:val="00883C9D"/>
    <w:rsid w:val="00883EFE"/>
    <w:rsid w:val="008861F7"/>
    <w:rsid w:val="008869CA"/>
    <w:rsid w:val="008905BA"/>
    <w:rsid w:val="00890F41"/>
    <w:rsid w:val="0089513F"/>
    <w:rsid w:val="00895699"/>
    <w:rsid w:val="0089764E"/>
    <w:rsid w:val="008A153F"/>
    <w:rsid w:val="008A256F"/>
    <w:rsid w:val="008A54A9"/>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19EA"/>
    <w:rsid w:val="008E3E1A"/>
    <w:rsid w:val="008E4039"/>
    <w:rsid w:val="008F1AA9"/>
    <w:rsid w:val="008F25B0"/>
    <w:rsid w:val="008F39B4"/>
    <w:rsid w:val="008F7C5B"/>
    <w:rsid w:val="009042BB"/>
    <w:rsid w:val="009049C0"/>
    <w:rsid w:val="00906257"/>
    <w:rsid w:val="009069D6"/>
    <w:rsid w:val="00910EF6"/>
    <w:rsid w:val="00912380"/>
    <w:rsid w:val="009124F6"/>
    <w:rsid w:val="00912BC1"/>
    <w:rsid w:val="00913B67"/>
    <w:rsid w:val="00915B08"/>
    <w:rsid w:val="00916953"/>
    <w:rsid w:val="0092164E"/>
    <w:rsid w:val="00921DD1"/>
    <w:rsid w:val="009225FE"/>
    <w:rsid w:val="00923D31"/>
    <w:rsid w:val="00923F94"/>
    <w:rsid w:val="00926DD3"/>
    <w:rsid w:val="0092705D"/>
    <w:rsid w:val="00932C51"/>
    <w:rsid w:val="00935308"/>
    <w:rsid w:val="00935868"/>
    <w:rsid w:val="009361FD"/>
    <w:rsid w:val="00936ACC"/>
    <w:rsid w:val="00937B7B"/>
    <w:rsid w:val="009406D2"/>
    <w:rsid w:val="00940F17"/>
    <w:rsid w:val="009414C5"/>
    <w:rsid w:val="009427F2"/>
    <w:rsid w:val="00944F64"/>
    <w:rsid w:val="00945CE1"/>
    <w:rsid w:val="009462C7"/>
    <w:rsid w:val="009467A8"/>
    <w:rsid w:val="00951A0B"/>
    <w:rsid w:val="00953383"/>
    <w:rsid w:val="00955683"/>
    <w:rsid w:val="009574A8"/>
    <w:rsid w:val="00963A5E"/>
    <w:rsid w:val="009648F3"/>
    <w:rsid w:val="00964D68"/>
    <w:rsid w:val="00965025"/>
    <w:rsid w:val="009654C8"/>
    <w:rsid w:val="00967E51"/>
    <w:rsid w:val="00971039"/>
    <w:rsid w:val="00971B7B"/>
    <w:rsid w:val="00971D3B"/>
    <w:rsid w:val="00972D48"/>
    <w:rsid w:val="00975E68"/>
    <w:rsid w:val="00977A95"/>
    <w:rsid w:val="009812FA"/>
    <w:rsid w:val="00982585"/>
    <w:rsid w:val="0098480E"/>
    <w:rsid w:val="009857AA"/>
    <w:rsid w:val="00985DC9"/>
    <w:rsid w:val="00985FA9"/>
    <w:rsid w:val="00987A99"/>
    <w:rsid w:val="00987B88"/>
    <w:rsid w:val="009902F7"/>
    <w:rsid w:val="0099448D"/>
    <w:rsid w:val="00995A06"/>
    <w:rsid w:val="00995C33"/>
    <w:rsid w:val="009A222A"/>
    <w:rsid w:val="009A26CA"/>
    <w:rsid w:val="009A6FE7"/>
    <w:rsid w:val="009B1FD2"/>
    <w:rsid w:val="009B3AEB"/>
    <w:rsid w:val="009B7AE2"/>
    <w:rsid w:val="009C0610"/>
    <w:rsid w:val="009C210D"/>
    <w:rsid w:val="009C2D83"/>
    <w:rsid w:val="009C3EB5"/>
    <w:rsid w:val="009C42BD"/>
    <w:rsid w:val="009C444B"/>
    <w:rsid w:val="009C6C5A"/>
    <w:rsid w:val="009D2CE3"/>
    <w:rsid w:val="009D3773"/>
    <w:rsid w:val="009D499D"/>
    <w:rsid w:val="009D5C03"/>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040"/>
    <w:rsid w:val="00A045CA"/>
    <w:rsid w:val="00A04DC3"/>
    <w:rsid w:val="00A0597B"/>
    <w:rsid w:val="00A05DAD"/>
    <w:rsid w:val="00A06FB4"/>
    <w:rsid w:val="00A111AF"/>
    <w:rsid w:val="00A14878"/>
    <w:rsid w:val="00A14CAA"/>
    <w:rsid w:val="00A1707B"/>
    <w:rsid w:val="00A1739A"/>
    <w:rsid w:val="00A17694"/>
    <w:rsid w:val="00A17F2C"/>
    <w:rsid w:val="00A232B9"/>
    <w:rsid w:val="00A33893"/>
    <w:rsid w:val="00A34C9A"/>
    <w:rsid w:val="00A34D89"/>
    <w:rsid w:val="00A41364"/>
    <w:rsid w:val="00A41F72"/>
    <w:rsid w:val="00A44A25"/>
    <w:rsid w:val="00A5463B"/>
    <w:rsid w:val="00A54891"/>
    <w:rsid w:val="00A54CA1"/>
    <w:rsid w:val="00A56516"/>
    <w:rsid w:val="00A62031"/>
    <w:rsid w:val="00A65D80"/>
    <w:rsid w:val="00A672A7"/>
    <w:rsid w:val="00A714DD"/>
    <w:rsid w:val="00A71B36"/>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4F6"/>
    <w:rsid w:val="00AB05D5"/>
    <w:rsid w:val="00AB0E8F"/>
    <w:rsid w:val="00AB2611"/>
    <w:rsid w:val="00AB35DC"/>
    <w:rsid w:val="00AB419D"/>
    <w:rsid w:val="00AB52D0"/>
    <w:rsid w:val="00AB543B"/>
    <w:rsid w:val="00AC046B"/>
    <w:rsid w:val="00AC1E16"/>
    <w:rsid w:val="00AC1EDB"/>
    <w:rsid w:val="00AC355E"/>
    <w:rsid w:val="00AC3A0C"/>
    <w:rsid w:val="00AC3EEC"/>
    <w:rsid w:val="00AC490C"/>
    <w:rsid w:val="00AC50EE"/>
    <w:rsid w:val="00AC54F8"/>
    <w:rsid w:val="00AC57A5"/>
    <w:rsid w:val="00AC5D4C"/>
    <w:rsid w:val="00AC681D"/>
    <w:rsid w:val="00AC6FF1"/>
    <w:rsid w:val="00AD0F67"/>
    <w:rsid w:val="00AD1A30"/>
    <w:rsid w:val="00AD700A"/>
    <w:rsid w:val="00AD7E8E"/>
    <w:rsid w:val="00AE0F81"/>
    <w:rsid w:val="00AE136A"/>
    <w:rsid w:val="00AE1EBC"/>
    <w:rsid w:val="00AE330D"/>
    <w:rsid w:val="00AE7F3E"/>
    <w:rsid w:val="00AF134A"/>
    <w:rsid w:val="00AF3563"/>
    <w:rsid w:val="00AF3BCE"/>
    <w:rsid w:val="00AF416D"/>
    <w:rsid w:val="00AF421C"/>
    <w:rsid w:val="00AF5C05"/>
    <w:rsid w:val="00AF5D61"/>
    <w:rsid w:val="00AF7622"/>
    <w:rsid w:val="00B00238"/>
    <w:rsid w:val="00B019A9"/>
    <w:rsid w:val="00B03218"/>
    <w:rsid w:val="00B03273"/>
    <w:rsid w:val="00B039EC"/>
    <w:rsid w:val="00B07EFF"/>
    <w:rsid w:val="00B10984"/>
    <w:rsid w:val="00B110B5"/>
    <w:rsid w:val="00B11FF9"/>
    <w:rsid w:val="00B122AA"/>
    <w:rsid w:val="00B129C3"/>
    <w:rsid w:val="00B14512"/>
    <w:rsid w:val="00B14C3A"/>
    <w:rsid w:val="00B15EE7"/>
    <w:rsid w:val="00B167A2"/>
    <w:rsid w:val="00B174E3"/>
    <w:rsid w:val="00B17DB0"/>
    <w:rsid w:val="00B21A1B"/>
    <w:rsid w:val="00B2772E"/>
    <w:rsid w:val="00B27A5B"/>
    <w:rsid w:val="00B316E7"/>
    <w:rsid w:val="00B32A4E"/>
    <w:rsid w:val="00B3398C"/>
    <w:rsid w:val="00B34BDE"/>
    <w:rsid w:val="00B34EF9"/>
    <w:rsid w:val="00B3578F"/>
    <w:rsid w:val="00B35DAD"/>
    <w:rsid w:val="00B36D34"/>
    <w:rsid w:val="00B36EB3"/>
    <w:rsid w:val="00B41AE8"/>
    <w:rsid w:val="00B445D0"/>
    <w:rsid w:val="00B45C4D"/>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AE"/>
    <w:rsid w:val="00B74D7A"/>
    <w:rsid w:val="00B75D53"/>
    <w:rsid w:val="00B75DB2"/>
    <w:rsid w:val="00B7681E"/>
    <w:rsid w:val="00B81EB1"/>
    <w:rsid w:val="00B832A3"/>
    <w:rsid w:val="00B83AFF"/>
    <w:rsid w:val="00B84886"/>
    <w:rsid w:val="00B84958"/>
    <w:rsid w:val="00B85067"/>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2FAA"/>
    <w:rsid w:val="00BE3768"/>
    <w:rsid w:val="00BE5947"/>
    <w:rsid w:val="00BE597C"/>
    <w:rsid w:val="00BE6870"/>
    <w:rsid w:val="00BE6EA7"/>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17936"/>
    <w:rsid w:val="00C2082B"/>
    <w:rsid w:val="00C20DB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268C"/>
    <w:rsid w:val="00C549BC"/>
    <w:rsid w:val="00C56251"/>
    <w:rsid w:val="00C5667B"/>
    <w:rsid w:val="00C56A65"/>
    <w:rsid w:val="00C56FE0"/>
    <w:rsid w:val="00C6072B"/>
    <w:rsid w:val="00C6094D"/>
    <w:rsid w:val="00C62733"/>
    <w:rsid w:val="00C62FDC"/>
    <w:rsid w:val="00C67460"/>
    <w:rsid w:val="00C724F5"/>
    <w:rsid w:val="00C73066"/>
    <w:rsid w:val="00C743D2"/>
    <w:rsid w:val="00C77A1F"/>
    <w:rsid w:val="00C80647"/>
    <w:rsid w:val="00C80836"/>
    <w:rsid w:val="00C8277B"/>
    <w:rsid w:val="00C84DDE"/>
    <w:rsid w:val="00C85162"/>
    <w:rsid w:val="00C874E5"/>
    <w:rsid w:val="00C87864"/>
    <w:rsid w:val="00C90EAC"/>
    <w:rsid w:val="00C917FD"/>
    <w:rsid w:val="00C93D01"/>
    <w:rsid w:val="00C958FA"/>
    <w:rsid w:val="00C96958"/>
    <w:rsid w:val="00C96A6B"/>
    <w:rsid w:val="00CA5598"/>
    <w:rsid w:val="00CA62C0"/>
    <w:rsid w:val="00CA73CB"/>
    <w:rsid w:val="00CA79BB"/>
    <w:rsid w:val="00CB20E8"/>
    <w:rsid w:val="00CB4161"/>
    <w:rsid w:val="00CB43A2"/>
    <w:rsid w:val="00CB4F37"/>
    <w:rsid w:val="00CB6DE1"/>
    <w:rsid w:val="00CB7730"/>
    <w:rsid w:val="00CC12A0"/>
    <w:rsid w:val="00CC26A8"/>
    <w:rsid w:val="00CC4CED"/>
    <w:rsid w:val="00CC5F5A"/>
    <w:rsid w:val="00CC6EBB"/>
    <w:rsid w:val="00CD165D"/>
    <w:rsid w:val="00CD4A21"/>
    <w:rsid w:val="00CD6C5E"/>
    <w:rsid w:val="00CE1A40"/>
    <w:rsid w:val="00CE3A6F"/>
    <w:rsid w:val="00CE63F9"/>
    <w:rsid w:val="00CF0A31"/>
    <w:rsid w:val="00CF1E87"/>
    <w:rsid w:val="00CF240F"/>
    <w:rsid w:val="00CF34FA"/>
    <w:rsid w:val="00CF4B5F"/>
    <w:rsid w:val="00CF4FAD"/>
    <w:rsid w:val="00CF5C15"/>
    <w:rsid w:val="00CF6201"/>
    <w:rsid w:val="00CF6B2F"/>
    <w:rsid w:val="00D01A61"/>
    <w:rsid w:val="00D05CAA"/>
    <w:rsid w:val="00D06129"/>
    <w:rsid w:val="00D114E6"/>
    <w:rsid w:val="00D1198D"/>
    <w:rsid w:val="00D14302"/>
    <w:rsid w:val="00D14C17"/>
    <w:rsid w:val="00D15F17"/>
    <w:rsid w:val="00D161BE"/>
    <w:rsid w:val="00D162D9"/>
    <w:rsid w:val="00D259FD"/>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ABB"/>
    <w:rsid w:val="00D571B1"/>
    <w:rsid w:val="00D57944"/>
    <w:rsid w:val="00D57EFC"/>
    <w:rsid w:val="00D602E0"/>
    <w:rsid w:val="00D61C9B"/>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2717"/>
    <w:rsid w:val="00D93E05"/>
    <w:rsid w:val="00D9515D"/>
    <w:rsid w:val="00DA0C2F"/>
    <w:rsid w:val="00DA1B76"/>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1E"/>
    <w:rsid w:val="00DE07E4"/>
    <w:rsid w:val="00DE0877"/>
    <w:rsid w:val="00DE0FF8"/>
    <w:rsid w:val="00DE3EBF"/>
    <w:rsid w:val="00DE6D39"/>
    <w:rsid w:val="00DE7099"/>
    <w:rsid w:val="00DE7345"/>
    <w:rsid w:val="00DF51CA"/>
    <w:rsid w:val="00DF5581"/>
    <w:rsid w:val="00DF7501"/>
    <w:rsid w:val="00DF7936"/>
    <w:rsid w:val="00E04B6F"/>
    <w:rsid w:val="00E13833"/>
    <w:rsid w:val="00E17001"/>
    <w:rsid w:val="00E17406"/>
    <w:rsid w:val="00E20AE5"/>
    <w:rsid w:val="00E20F00"/>
    <w:rsid w:val="00E21297"/>
    <w:rsid w:val="00E22614"/>
    <w:rsid w:val="00E23A38"/>
    <w:rsid w:val="00E23B6B"/>
    <w:rsid w:val="00E265A0"/>
    <w:rsid w:val="00E266DE"/>
    <w:rsid w:val="00E311F5"/>
    <w:rsid w:val="00E31262"/>
    <w:rsid w:val="00E34BF8"/>
    <w:rsid w:val="00E35B1E"/>
    <w:rsid w:val="00E4250F"/>
    <w:rsid w:val="00E44A7E"/>
    <w:rsid w:val="00E46A7E"/>
    <w:rsid w:val="00E46CE8"/>
    <w:rsid w:val="00E50EC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C1D"/>
    <w:rsid w:val="00E80439"/>
    <w:rsid w:val="00E81B2F"/>
    <w:rsid w:val="00E844ED"/>
    <w:rsid w:val="00E85810"/>
    <w:rsid w:val="00E85B0A"/>
    <w:rsid w:val="00E90558"/>
    <w:rsid w:val="00E909CD"/>
    <w:rsid w:val="00E92248"/>
    <w:rsid w:val="00E92BD1"/>
    <w:rsid w:val="00E935A1"/>
    <w:rsid w:val="00E93FB6"/>
    <w:rsid w:val="00E95832"/>
    <w:rsid w:val="00EA1715"/>
    <w:rsid w:val="00EA31FD"/>
    <w:rsid w:val="00EA4349"/>
    <w:rsid w:val="00EA4EE4"/>
    <w:rsid w:val="00EA5A32"/>
    <w:rsid w:val="00EB0185"/>
    <w:rsid w:val="00EB2F51"/>
    <w:rsid w:val="00EB36F2"/>
    <w:rsid w:val="00EB3BF0"/>
    <w:rsid w:val="00EB48F8"/>
    <w:rsid w:val="00EB601D"/>
    <w:rsid w:val="00EB6CCD"/>
    <w:rsid w:val="00EC0273"/>
    <w:rsid w:val="00EC25BA"/>
    <w:rsid w:val="00ED0AD5"/>
    <w:rsid w:val="00ED1DE2"/>
    <w:rsid w:val="00ED1F31"/>
    <w:rsid w:val="00ED3630"/>
    <w:rsid w:val="00ED7140"/>
    <w:rsid w:val="00ED77E5"/>
    <w:rsid w:val="00ED78F5"/>
    <w:rsid w:val="00EE026E"/>
    <w:rsid w:val="00EE3C59"/>
    <w:rsid w:val="00EE5B70"/>
    <w:rsid w:val="00EE66B6"/>
    <w:rsid w:val="00EE7B48"/>
    <w:rsid w:val="00EF0AFA"/>
    <w:rsid w:val="00EF0EE9"/>
    <w:rsid w:val="00EF1D45"/>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5669"/>
    <w:rsid w:val="00F27444"/>
    <w:rsid w:val="00F317CA"/>
    <w:rsid w:val="00F319F3"/>
    <w:rsid w:val="00F31BFB"/>
    <w:rsid w:val="00F323E7"/>
    <w:rsid w:val="00F324D2"/>
    <w:rsid w:val="00F32A56"/>
    <w:rsid w:val="00F335E4"/>
    <w:rsid w:val="00F35361"/>
    <w:rsid w:val="00F35509"/>
    <w:rsid w:val="00F358C3"/>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3B7E"/>
    <w:rsid w:val="00F64066"/>
    <w:rsid w:val="00F645F1"/>
    <w:rsid w:val="00F6591A"/>
    <w:rsid w:val="00F66DC9"/>
    <w:rsid w:val="00F70D35"/>
    <w:rsid w:val="00F7546C"/>
    <w:rsid w:val="00F77B00"/>
    <w:rsid w:val="00F83B6F"/>
    <w:rsid w:val="00F84470"/>
    <w:rsid w:val="00F857BC"/>
    <w:rsid w:val="00F90273"/>
    <w:rsid w:val="00F90BD0"/>
    <w:rsid w:val="00F93ACB"/>
    <w:rsid w:val="00F93C4F"/>
    <w:rsid w:val="00F95994"/>
    <w:rsid w:val="00F973ED"/>
    <w:rsid w:val="00FA03C0"/>
    <w:rsid w:val="00FA49C5"/>
    <w:rsid w:val="00FA5BD2"/>
    <w:rsid w:val="00FA6175"/>
    <w:rsid w:val="00FA6784"/>
    <w:rsid w:val="00FA7E00"/>
    <w:rsid w:val="00FB1780"/>
    <w:rsid w:val="00FB35C6"/>
    <w:rsid w:val="00FB4C5A"/>
    <w:rsid w:val="00FB5BFA"/>
    <w:rsid w:val="00FB6F79"/>
    <w:rsid w:val="00FC10F6"/>
    <w:rsid w:val="00FC39FA"/>
    <w:rsid w:val="00FC4892"/>
    <w:rsid w:val="00FC7C25"/>
    <w:rsid w:val="00FD1C2E"/>
    <w:rsid w:val="00FD3574"/>
    <w:rsid w:val="00FD602D"/>
    <w:rsid w:val="00FD60D2"/>
    <w:rsid w:val="00FD6A7D"/>
    <w:rsid w:val="00FD6FC9"/>
    <w:rsid w:val="00FE02C2"/>
    <w:rsid w:val="00FE1564"/>
    <w:rsid w:val="00FE2800"/>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4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849744">
      <w:bodyDiv w:val="1"/>
      <w:marLeft w:val="0"/>
      <w:marRight w:val="0"/>
      <w:marTop w:val="0"/>
      <w:marBottom w:val="0"/>
      <w:divBdr>
        <w:top w:val="none" w:sz="0" w:space="0" w:color="auto"/>
        <w:left w:val="none" w:sz="0" w:space="0" w:color="auto"/>
        <w:bottom w:val="none" w:sz="0" w:space="0" w:color="auto"/>
        <w:right w:val="none" w:sz="0" w:space="0" w:color="auto"/>
      </w:divBdr>
      <w:divsChild>
        <w:div w:id="805586840">
          <w:marLeft w:val="0"/>
          <w:marRight w:val="0"/>
          <w:marTop w:val="0"/>
          <w:marBottom w:val="0"/>
          <w:divBdr>
            <w:top w:val="none" w:sz="0" w:space="0" w:color="auto"/>
            <w:left w:val="none" w:sz="0" w:space="0" w:color="auto"/>
            <w:bottom w:val="none" w:sz="0" w:space="0" w:color="auto"/>
            <w:right w:val="none" w:sz="0" w:space="0" w:color="auto"/>
          </w:divBdr>
          <w:divsChild>
            <w:div w:id="113447595">
              <w:marLeft w:val="0"/>
              <w:marRight w:val="0"/>
              <w:marTop w:val="0"/>
              <w:marBottom w:val="0"/>
              <w:divBdr>
                <w:top w:val="none" w:sz="0" w:space="0" w:color="auto"/>
                <w:left w:val="none" w:sz="0" w:space="0" w:color="auto"/>
                <w:bottom w:val="none" w:sz="0" w:space="0" w:color="auto"/>
                <w:right w:val="none" w:sz="0" w:space="0" w:color="auto"/>
              </w:divBdr>
              <w:divsChild>
                <w:div w:id="645164844">
                  <w:marLeft w:val="0"/>
                  <w:marRight w:val="0"/>
                  <w:marTop w:val="0"/>
                  <w:marBottom w:val="0"/>
                  <w:divBdr>
                    <w:top w:val="none" w:sz="0" w:space="0" w:color="auto"/>
                    <w:left w:val="none" w:sz="0" w:space="0" w:color="auto"/>
                    <w:bottom w:val="none" w:sz="0" w:space="0" w:color="auto"/>
                    <w:right w:val="none" w:sz="0" w:space="0" w:color="auto"/>
                  </w:divBdr>
                  <w:divsChild>
                    <w:div w:id="1024357528">
                      <w:marLeft w:val="0"/>
                      <w:marRight w:val="0"/>
                      <w:marTop w:val="0"/>
                      <w:marBottom w:val="0"/>
                      <w:divBdr>
                        <w:top w:val="none" w:sz="0" w:space="0" w:color="auto"/>
                        <w:left w:val="none" w:sz="0" w:space="0" w:color="auto"/>
                        <w:bottom w:val="none" w:sz="0" w:space="0" w:color="auto"/>
                        <w:right w:val="none" w:sz="0" w:space="0" w:color="auto"/>
                      </w:divBdr>
                      <w:divsChild>
                        <w:div w:id="1467165941">
                          <w:marLeft w:val="0"/>
                          <w:marRight w:val="0"/>
                          <w:marTop w:val="0"/>
                          <w:marBottom w:val="0"/>
                          <w:divBdr>
                            <w:top w:val="none" w:sz="0" w:space="0" w:color="auto"/>
                            <w:left w:val="none" w:sz="0" w:space="0" w:color="auto"/>
                            <w:bottom w:val="none" w:sz="0" w:space="0" w:color="auto"/>
                            <w:right w:val="none" w:sz="0" w:space="0" w:color="auto"/>
                          </w:divBdr>
                          <w:divsChild>
                            <w:div w:id="2001614544">
                              <w:marLeft w:val="0"/>
                              <w:marRight w:val="0"/>
                              <w:marTop w:val="0"/>
                              <w:marBottom w:val="0"/>
                              <w:divBdr>
                                <w:top w:val="none" w:sz="0" w:space="0" w:color="auto"/>
                                <w:left w:val="none" w:sz="0" w:space="0" w:color="auto"/>
                                <w:bottom w:val="none" w:sz="0" w:space="0" w:color="auto"/>
                                <w:right w:val="none" w:sz="0" w:space="0" w:color="auto"/>
                              </w:divBdr>
                              <w:divsChild>
                                <w:div w:id="1427579129">
                                  <w:marLeft w:val="0"/>
                                  <w:marRight w:val="0"/>
                                  <w:marTop w:val="0"/>
                                  <w:marBottom w:val="0"/>
                                  <w:divBdr>
                                    <w:top w:val="none" w:sz="0" w:space="0" w:color="auto"/>
                                    <w:left w:val="none" w:sz="0" w:space="0" w:color="auto"/>
                                    <w:bottom w:val="none" w:sz="0" w:space="0" w:color="auto"/>
                                    <w:right w:val="none" w:sz="0" w:space="0" w:color="auto"/>
                                  </w:divBdr>
                                  <w:divsChild>
                                    <w:div w:id="789322215">
                                      <w:marLeft w:val="0"/>
                                      <w:marRight w:val="0"/>
                                      <w:marTop w:val="0"/>
                                      <w:marBottom w:val="0"/>
                                      <w:divBdr>
                                        <w:top w:val="none" w:sz="0" w:space="0" w:color="auto"/>
                                        <w:left w:val="none" w:sz="0" w:space="0" w:color="auto"/>
                                        <w:bottom w:val="none" w:sz="0" w:space="0" w:color="auto"/>
                                        <w:right w:val="none" w:sz="0" w:space="0" w:color="auto"/>
                                      </w:divBdr>
                                      <w:divsChild>
                                        <w:div w:id="360596793">
                                          <w:marLeft w:val="0"/>
                                          <w:marRight w:val="0"/>
                                          <w:marTop w:val="0"/>
                                          <w:marBottom w:val="0"/>
                                          <w:divBdr>
                                            <w:top w:val="none" w:sz="0" w:space="0" w:color="auto"/>
                                            <w:left w:val="none" w:sz="0" w:space="0" w:color="auto"/>
                                            <w:bottom w:val="none" w:sz="0" w:space="0" w:color="auto"/>
                                            <w:right w:val="none" w:sz="0" w:space="0" w:color="auto"/>
                                          </w:divBdr>
                                          <w:divsChild>
                                            <w:div w:id="863906549">
                                              <w:marLeft w:val="0"/>
                                              <w:marRight w:val="0"/>
                                              <w:marTop w:val="0"/>
                                              <w:marBottom w:val="0"/>
                                              <w:divBdr>
                                                <w:top w:val="none" w:sz="0" w:space="0" w:color="auto"/>
                                                <w:left w:val="none" w:sz="0" w:space="0" w:color="auto"/>
                                                <w:bottom w:val="none" w:sz="0" w:space="0" w:color="auto"/>
                                                <w:right w:val="none" w:sz="0" w:space="0" w:color="auto"/>
                                              </w:divBdr>
                                              <w:divsChild>
                                                <w:div w:id="1123379562">
                                                  <w:marLeft w:val="0"/>
                                                  <w:marRight w:val="0"/>
                                                  <w:marTop w:val="0"/>
                                                  <w:marBottom w:val="0"/>
                                                  <w:divBdr>
                                                    <w:top w:val="none" w:sz="0" w:space="0" w:color="auto"/>
                                                    <w:left w:val="none" w:sz="0" w:space="0" w:color="auto"/>
                                                    <w:bottom w:val="none" w:sz="0" w:space="0" w:color="auto"/>
                                                    <w:right w:val="none" w:sz="0" w:space="0" w:color="auto"/>
                                                  </w:divBdr>
                                                  <w:divsChild>
                                                    <w:div w:id="300696979">
                                                      <w:marLeft w:val="0"/>
                                                      <w:marRight w:val="0"/>
                                                      <w:marTop w:val="0"/>
                                                      <w:marBottom w:val="0"/>
                                                      <w:divBdr>
                                                        <w:top w:val="none" w:sz="0" w:space="0" w:color="auto"/>
                                                        <w:left w:val="none" w:sz="0" w:space="0" w:color="auto"/>
                                                        <w:bottom w:val="none" w:sz="0" w:space="0" w:color="auto"/>
                                                        <w:right w:val="none" w:sz="0" w:space="0" w:color="auto"/>
                                                      </w:divBdr>
                                                      <w:divsChild>
                                                        <w:div w:id="606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7D3908A-FC52-4A4C-954E-D1E672B5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NG, Jason</cp:lastModifiedBy>
  <cp:revision>10</cp:revision>
  <cp:lastPrinted>2020-04-22T08:35:00Z</cp:lastPrinted>
  <dcterms:created xsi:type="dcterms:W3CDTF">2020-04-28T05:06:00Z</dcterms:created>
  <dcterms:modified xsi:type="dcterms:W3CDTF">2020-04-30T02:15:00Z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37200221</vt:lpwstr>
  </property>
  <property fmtid="{D5CDD505-2E9C-101B-9397-08002B2CF9AE}" pid="12" name="checkforsharepointfields">
    <vt:lpwstr>True</vt:lpwstr>
  </property>
  <property fmtid="{D5CDD505-2E9C-101B-9397-08002B2CF9AE}" pid="13" name="Template Filename">
    <vt:lpwstr/>
  </property>
</Properties>
</file>