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0D1E0E" w14:textId="77777777" w:rsidR="008F5CFE" w:rsidRPr="00047BA3" w:rsidRDefault="008F5CFE" w:rsidP="00AF2878">
      <w:pPr>
        <w:jc w:val="center"/>
        <w:rPr>
          <w:szCs w:val="24"/>
          <w:u w:val="single"/>
        </w:rPr>
      </w:pPr>
      <w:r w:rsidRPr="00047BA3">
        <w:rPr>
          <w:szCs w:val="24"/>
          <w:u w:val="single"/>
        </w:rPr>
        <w:t>EXPLANATORY STATEMENT</w:t>
      </w:r>
    </w:p>
    <w:p w14:paraId="4C46AEAA" w14:textId="77777777" w:rsidR="008F5CFE" w:rsidRPr="00047BA3" w:rsidRDefault="008F5CFE" w:rsidP="00AF2878">
      <w:pPr>
        <w:jc w:val="center"/>
        <w:rPr>
          <w:szCs w:val="24"/>
        </w:rPr>
      </w:pPr>
    </w:p>
    <w:p w14:paraId="4EA796B6" w14:textId="77777777" w:rsidR="00AF2878" w:rsidRDefault="00AF2878" w:rsidP="00AF2878">
      <w:pPr>
        <w:jc w:val="center"/>
        <w:rPr>
          <w:i/>
          <w:szCs w:val="24"/>
        </w:rPr>
      </w:pPr>
      <w:r>
        <w:rPr>
          <w:i/>
          <w:szCs w:val="24"/>
        </w:rPr>
        <w:t>Biosecurity Act 2015</w:t>
      </w:r>
    </w:p>
    <w:p w14:paraId="0E4DA4A1" w14:textId="77777777" w:rsidR="00AF2878" w:rsidRDefault="00AF2878" w:rsidP="00AF2878">
      <w:pPr>
        <w:jc w:val="center"/>
        <w:rPr>
          <w:i/>
          <w:szCs w:val="24"/>
        </w:rPr>
      </w:pPr>
    </w:p>
    <w:p w14:paraId="53B1662A" w14:textId="77777777" w:rsidR="003A149A" w:rsidRPr="00AF2878" w:rsidRDefault="003A149A" w:rsidP="00AF2878">
      <w:pPr>
        <w:jc w:val="center"/>
        <w:rPr>
          <w:i/>
          <w:szCs w:val="24"/>
        </w:rPr>
      </w:pPr>
      <w:r w:rsidRPr="005668AC">
        <w:rPr>
          <w:b/>
          <w:i/>
          <w:szCs w:val="24"/>
        </w:rPr>
        <w:t xml:space="preserve">Biosecurity (Human Biosecurity Emergency) (Human Coronavirus with Pandemic Potential) </w:t>
      </w:r>
      <w:r w:rsidR="00FC4230" w:rsidRPr="005668AC">
        <w:rPr>
          <w:b/>
          <w:i/>
          <w:szCs w:val="24"/>
        </w:rPr>
        <w:t>(Emergency Requirement</w:t>
      </w:r>
      <w:r w:rsidR="00DA57DA" w:rsidRPr="005668AC">
        <w:rPr>
          <w:b/>
          <w:i/>
          <w:szCs w:val="24"/>
        </w:rPr>
        <w:t>s</w:t>
      </w:r>
      <w:r w:rsidR="00DC2B40">
        <w:rPr>
          <w:b/>
          <w:i/>
          <w:szCs w:val="24"/>
        </w:rPr>
        <w:t xml:space="preserve"> for Remote Communities</w:t>
      </w:r>
      <w:r w:rsidR="00FC4230" w:rsidRPr="005668AC">
        <w:rPr>
          <w:b/>
          <w:i/>
          <w:szCs w:val="24"/>
        </w:rPr>
        <w:t xml:space="preserve">) </w:t>
      </w:r>
      <w:r w:rsidR="00F7033B">
        <w:rPr>
          <w:b/>
          <w:i/>
          <w:szCs w:val="24"/>
        </w:rPr>
        <w:t xml:space="preserve">Amendment </w:t>
      </w:r>
      <w:r w:rsidR="008C702F" w:rsidRPr="005668AC">
        <w:rPr>
          <w:b/>
          <w:i/>
          <w:szCs w:val="24"/>
        </w:rPr>
        <w:t>Determination</w:t>
      </w:r>
      <w:r w:rsidR="00000B07">
        <w:rPr>
          <w:b/>
          <w:i/>
          <w:szCs w:val="24"/>
        </w:rPr>
        <w:t xml:space="preserve"> (No. 2</w:t>
      </w:r>
      <w:r w:rsidR="00F7033B">
        <w:rPr>
          <w:b/>
          <w:i/>
          <w:szCs w:val="24"/>
        </w:rPr>
        <w:t>)</w:t>
      </w:r>
      <w:r w:rsidRPr="005668AC">
        <w:rPr>
          <w:b/>
          <w:i/>
          <w:szCs w:val="24"/>
        </w:rPr>
        <w:t xml:space="preserve"> 2020</w:t>
      </w:r>
    </w:p>
    <w:p w14:paraId="57A94381" w14:textId="77777777" w:rsidR="001C4BEE" w:rsidRDefault="001C4BEE" w:rsidP="00DC2B40">
      <w:pPr>
        <w:pStyle w:val="NoSpacing"/>
        <w:rPr>
          <w:iCs/>
          <w:szCs w:val="24"/>
        </w:rPr>
      </w:pPr>
    </w:p>
    <w:p w14:paraId="138F9B6F" w14:textId="59473191" w:rsidR="006D0032" w:rsidRDefault="006D0032" w:rsidP="006D0032">
      <w:pPr>
        <w:pStyle w:val="NoSpacing"/>
        <w:jc w:val="both"/>
        <w:rPr>
          <w:szCs w:val="24"/>
        </w:rPr>
      </w:pPr>
      <w:r>
        <w:rPr>
          <w:iCs/>
          <w:szCs w:val="24"/>
        </w:rPr>
        <w:t>T</w:t>
      </w:r>
      <w:r w:rsidRPr="000C69B8">
        <w:rPr>
          <w:iCs/>
          <w:szCs w:val="24"/>
        </w:rPr>
        <w:t xml:space="preserve">he </w:t>
      </w:r>
      <w:r w:rsidRPr="000C69B8">
        <w:rPr>
          <w:i/>
          <w:szCs w:val="24"/>
        </w:rPr>
        <w:t>Biosecurity (Human Biosecurity Emergency) (Human Coronavirus with Pandemic Potential) Declaration 2020</w:t>
      </w:r>
      <w:r w:rsidRPr="000C69B8">
        <w:rPr>
          <w:szCs w:val="24"/>
        </w:rPr>
        <w:t xml:space="preserve"> (the </w:t>
      </w:r>
      <w:r>
        <w:rPr>
          <w:szCs w:val="24"/>
        </w:rPr>
        <w:t>Declaration) has been made pursuant to s</w:t>
      </w:r>
      <w:r w:rsidR="001C4F2D">
        <w:rPr>
          <w:szCs w:val="24"/>
        </w:rPr>
        <w:t>ection</w:t>
      </w:r>
      <w:r>
        <w:rPr>
          <w:szCs w:val="24"/>
        </w:rPr>
        <w:t xml:space="preserve"> 475 of the </w:t>
      </w:r>
      <w:r>
        <w:rPr>
          <w:i/>
          <w:szCs w:val="24"/>
        </w:rPr>
        <w:t xml:space="preserve">Biosecurity Act 2015 </w:t>
      </w:r>
      <w:r>
        <w:rPr>
          <w:szCs w:val="24"/>
        </w:rPr>
        <w:t xml:space="preserve">(the Act), and declares </w:t>
      </w:r>
      <w:r w:rsidRPr="000C69B8">
        <w:rPr>
          <w:szCs w:val="24"/>
        </w:rPr>
        <w:t>that a human biosecurity em</w:t>
      </w:r>
      <w:r>
        <w:rPr>
          <w:szCs w:val="24"/>
        </w:rPr>
        <w:t xml:space="preserve">ergency exists regarding the listed human disease </w:t>
      </w:r>
      <w:r w:rsidR="00E719A1">
        <w:rPr>
          <w:szCs w:val="24"/>
        </w:rPr>
        <w:t>‘h</w:t>
      </w:r>
      <w:r w:rsidRPr="000C69B8">
        <w:rPr>
          <w:szCs w:val="24"/>
        </w:rPr>
        <w:t xml:space="preserve">uman coronavirus with pandemic potential’ </w:t>
      </w:r>
      <w:r>
        <w:rPr>
          <w:szCs w:val="24"/>
        </w:rPr>
        <w:t>(COVID</w:t>
      </w:r>
      <w:r w:rsidR="003A183D">
        <w:rPr>
          <w:szCs w:val="24"/>
        </w:rPr>
        <w:noBreakHyphen/>
      </w:r>
      <w:r>
        <w:rPr>
          <w:szCs w:val="24"/>
        </w:rPr>
        <w:t xml:space="preserve">19). </w:t>
      </w:r>
      <w:r w:rsidRPr="007D36F4">
        <w:rPr>
          <w:szCs w:val="24"/>
        </w:rPr>
        <w:t>The human biosecurity emergency period is in force for 3 months</w:t>
      </w:r>
      <w:r w:rsidR="00051FBF">
        <w:rPr>
          <w:szCs w:val="24"/>
        </w:rPr>
        <w:t xml:space="preserve">. It ceases on </w:t>
      </w:r>
      <w:r w:rsidR="00E64364">
        <w:rPr>
          <w:szCs w:val="24"/>
        </w:rPr>
        <w:br/>
      </w:r>
      <w:r w:rsidR="00051FBF">
        <w:rPr>
          <w:szCs w:val="24"/>
        </w:rPr>
        <w:t>17 June 2020, unless extended by the Governor-General.</w:t>
      </w:r>
    </w:p>
    <w:p w14:paraId="074AB690" w14:textId="77777777" w:rsidR="00DC2B40" w:rsidRPr="00DC2B40" w:rsidRDefault="00DC2B40" w:rsidP="00DC2B40">
      <w:pPr>
        <w:pStyle w:val="NoSpacing"/>
        <w:rPr>
          <w:szCs w:val="24"/>
        </w:rPr>
      </w:pPr>
    </w:p>
    <w:p w14:paraId="584A5F7E" w14:textId="53C887F0" w:rsidR="000843D2" w:rsidRDefault="00DC2B40" w:rsidP="00DC2B40">
      <w:pPr>
        <w:pStyle w:val="NoSpacing"/>
        <w:jc w:val="both"/>
        <w:rPr>
          <w:szCs w:val="24"/>
        </w:rPr>
      </w:pPr>
      <w:r w:rsidRPr="00DC2B40">
        <w:rPr>
          <w:szCs w:val="24"/>
        </w:rPr>
        <w:t xml:space="preserve">During a human biosecurity emergency period, the </w:t>
      </w:r>
      <w:r w:rsidR="002D6A10">
        <w:rPr>
          <w:szCs w:val="24"/>
        </w:rPr>
        <w:t>Minister</w:t>
      </w:r>
      <w:r w:rsidR="00747F5D">
        <w:rPr>
          <w:szCs w:val="24"/>
        </w:rPr>
        <w:t xml:space="preserve"> for Health</w:t>
      </w:r>
      <w:r w:rsidRPr="00DC2B40">
        <w:rPr>
          <w:szCs w:val="24"/>
        </w:rPr>
        <w:t xml:space="preserve"> may, in accordance with sections 477 and 478 of the Act, determine emergency requirements, or give directions, that he or she is satisfied are necessary to prevent or control the entry, emergence, establishment or spread of the declaration li</w:t>
      </w:r>
      <w:bookmarkStart w:id="0" w:name="_GoBack"/>
      <w:bookmarkEnd w:id="0"/>
      <w:r w:rsidRPr="00DC2B40">
        <w:rPr>
          <w:szCs w:val="24"/>
        </w:rPr>
        <w:t>sted human disease, COVID-19, in Australian territory</w:t>
      </w:r>
      <w:r w:rsidR="003A183D">
        <w:rPr>
          <w:szCs w:val="24"/>
        </w:rPr>
        <w:t xml:space="preserve"> or</w:t>
      </w:r>
      <w:r w:rsidR="00E719A1">
        <w:rPr>
          <w:szCs w:val="24"/>
        </w:rPr>
        <w:t xml:space="preserve"> a part of Australian territory</w:t>
      </w:r>
      <w:r w:rsidRPr="00DC2B40">
        <w:rPr>
          <w:szCs w:val="24"/>
        </w:rPr>
        <w:t xml:space="preserve">. </w:t>
      </w:r>
    </w:p>
    <w:p w14:paraId="383E52EB" w14:textId="77777777" w:rsidR="00DC2B40" w:rsidRDefault="00DC2B40" w:rsidP="00DC2B40">
      <w:pPr>
        <w:pStyle w:val="NoSpacing"/>
        <w:jc w:val="both"/>
        <w:rPr>
          <w:szCs w:val="24"/>
        </w:rPr>
      </w:pPr>
    </w:p>
    <w:p w14:paraId="49FFDBA9" w14:textId="77777777" w:rsidR="007B4E27" w:rsidRPr="007B4E27" w:rsidRDefault="007B4E27" w:rsidP="000843D2">
      <w:pPr>
        <w:pStyle w:val="NoSpacing"/>
        <w:jc w:val="both"/>
        <w:rPr>
          <w:b/>
          <w:szCs w:val="24"/>
        </w:rPr>
      </w:pPr>
      <w:r>
        <w:rPr>
          <w:b/>
          <w:szCs w:val="24"/>
        </w:rPr>
        <w:t>Purpose</w:t>
      </w:r>
    </w:p>
    <w:p w14:paraId="779AB783" w14:textId="77777777" w:rsidR="007B4E27" w:rsidRDefault="007B4E27" w:rsidP="000843D2">
      <w:pPr>
        <w:pStyle w:val="NoSpacing"/>
        <w:jc w:val="both"/>
        <w:rPr>
          <w:szCs w:val="24"/>
        </w:rPr>
      </w:pPr>
    </w:p>
    <w:p w14:paraId="057F039F" w14:textId="77777777" w:rsidR="00D0621F" w:rsidRDefault="00A11D15" w:rsidP="005744FA">
      <w:pPr>
        <w:pStyle w:val="NoSpacing"/>
        <w:rPr>
          <w:szCs w:val="24"/>
        </w:rPr>
      </w:pPr>
      <w:r>
        <w:rPr>
          <w:szCs w:val="24"/>
        </w:rPr>
        <w:t>T</w:t>
      </w:r>
      <w:r w:rsidR="000843D2">
        <w:rPr>
          <w:szCs w:val="24"/>
        </w:rPr>
        <w:t xml:space="preserve">his instrument </w:t>
      </w:r>
      <w:r w:rsidR="00294CB9">
        <w:rPr>
          <w:szCs w:val="24"/>
        </w:rPr>
        <w:t>amend</w:t>
      </w:r>
      <w:r>
        <w:rPr>
          <w:szCs w:val="24"/>
        </w:rPr>
        <w:t>s</w:t>
      </w:r>
      <w:r w:rsidR="00294CB9">
        <w:rPr>
          <w:szCs w:val="24"/>
        </w:rPr>
        <w:t xml:space="preserve"> </w:t>
      </w:r>
      <w:r w:rsidR="00D0621F">
        <w:rPr>
          <w:szCs w:val="24"/>
        </w:rPr>
        <w:t xml:space="preserve">the </w:t>
      </w:r>
      <w:r w:rsidR="00294CB9" w:rsidRPr="007B4E27">
        <w:rPr>
          <w:i/>
          <w:szCs w:val="24"/>
        </w:rPr>
        <w:t>Biosecurity</w:t>
      </w:r>
      <w:r w:rsidR="00294CB9">
        <w:rPr>
          <w:szCs w:val="24"/>
        </w:rPr>
        <w:t xml:space="preserve"> </w:t>
      </w:r>
      <w:r w:rsidR="00294CB9" w:rsidRPr="00294CB9">
        <w:rPr>
          <w:i/>
          <w:szCs w:val="24"/>
        </w:rPr>
        <w:t>(Human Biosecurity Emergency) (Human Coronavirus with Pandemic Potential) (Emergency Requirements</w:t>
      </w:r>
      <w:r w:rsidR="00DC2B40">
        <w:rPr>
          <w:i/>
          <w:szCs w:val="24"/>
        </w:rPr>
        <w:t xml:space="preserve"> for Remote Communities</w:t>
      </w:r>
      <w:r w:rsidR="00294CB9" w:rsidRPr="00294CB9">
        <w:rPr>
          <w:i/>
          <w:szCs w:val="24"/>
        </w:rPr>
        <w:t>) Determination 2020</w:t>
      </w:r>
      <w:r w:rsidR="00294CB9">
        <w:rPr>
          <w:szCs w:val="24"/>
        </w:rPr>
        <w:t xml:space="preserve"> (the current Determination) to</w:t>
      </w:r>
      <w:r w:rsidR="00DC2B40" w:rsidRPr="00DC2B40">
        <w:rPr>
          <w:szCs w:val="24"/>
        </w:rPr>
        <w:t xml:space="preserve"> prevent or control the entry or spread of COVID-19 </w:t>
      </w:r>
      <w:r w:rsidR="00663381" w:rsidRPr="00DC2B40">
        <w:rPr>
          <w:szCs w:val="24"/>
        </w:rPr>
        <w:t xml:space="preserve">in Queensland, Western Australia, South Australia and </w:t>
      </w:r>
      <w:r w:rsidR="00E719A1">
        <w:rPr>
          <w:szCs w:val="24"/>
        </w:rPr>
        <w:t xml:space="preserve">the </w:t>
      </w:r>
      <w:r w:rsidR="00663381" w:rsidRPr="00DC2B40">
        <w:rPr>
          <w:szCs w:val="24"/>
        </w:rPr>
        <w:t>Northern Territory</w:t>
      </w:r>
      <w:r w:rsidR="00DC2B40" w:rsidRPr="00DC2B40">
        <w:rPr>
          <w:szCs w:val="24"/>
        </w:rPr>
        <w:t xml:space="preserve">. </w:t>
      </w:r>
    </w:p>
    <w:p w14:paraId="74BA94F2" w14:textId="77777777" w:rsidR="00BD2263" w:rsidRDefault="00BD2263" w:rsidP="005744FA">
      <w:pPr>
        <w:pStyle w:val="NoSpacing"/>
        <w:rPr>
          <w:szCs w:val="24"/>
        </w:rPr>
      </w:pPr>
    </w:p>
    <w:p w14:paraId="34F0EBDF" w14:textId="77777777" w:rsidR="00AE4BE4" w:rsidRDefault="00616159" w:rsidP="005744FA">
      <w:pPr>
        <w:pStyle w:val="NoSpacing"/>
        <w:rPr>
          <w:szCs w:val="24"/>
        </w:rPr>
      </w:pPr>
      <w:r>
        <w:rPr>
          <w:szCs w:val="24"/>
        </w:rPr>
        <w:t xml:space="preserve">The amendments </w:t>
      </w:r>
      <w:r w:rsidR="00DA40EC">
        <w:rPr>
          <w:szCs w:val="24"/>
        </w:rPr>
        <w:t>are</w:t>
      </w:r>
      <w:r w:rsidR="00BD2263">
        <w:rPr>
          <w:szCs w:val="24"/>
        </w:rPr>
        <w:t xml:space="preserve"> necessary for the management of the human biosecurity risk posed by COVID-19</w:t>
      </w:r>
      <w:r w:rsidR="00DA40EC">
        <w:rPr>
          <w:szCs w:val="24"/>
        </w:rPr>
        <w:t xml:space="preserve"> and to </w:t>
      </w:r>
      <w:r w:rsidR="00A11D15">
        <w:rPr>
          <w:szCs w:val="24"/>
        </w:rPr>
        <w:t>improve the operational effectiveness of</w:t>
      </w:r>
      <w:r w:rsidR="00DA40EC">
        <w:rPr>
          <w:szCs w:val="24"/>
        </w:rPr>
        <w:t xml:space="preserve"> the current Determi</w:t>
      </w:r>
      <w:r w:rsidR="00A11D15">
        <w:rPr>
          <w:szCs w:val="24"/>
        </w:rPr>
        <w:t>nation</w:t>
      </w:r>
      <w:r w:rsidR="00BD2263">
        <w:rPr>
          <w:szCs w:val="24"/>
        </w:rPr>
        <w:t xml:space="preserve">. </w:t>
      </w:r>
    </w:p>
    <w:p w14:paraId="1995897B" w14:textId="77777777" w:rsidR="00AE4BE4" w:rsidRDefault="00AE4BE4" w:rsidP="005744FA">
      <w:pPr>
        <w:pStyle w:val="NoSpacing"/>
        <w:rPr>
          <w:szCs w:val="24"/>
        </w:rPr>
      </w:pPr>
    </w:p>
    <w:p w14:paraId="18C7E164" w14:textId="77777777" w:rsidR="00742FA1" w:rsidRDefault="00A11D15" w:rsidP="000C3399">
      <w:pPr>
        <w:pStyle w:val="NoSpacing"/>
        <w:rPr>
          <w:szCs w:val="24"/>
        </w:rPr>
      </w:pPr>
      <w:r w:rsidRPr="00CB4B95">
        <w:rPr>
          <w:szCs w:val="24"/>
        </w:rPr>
        <w:t>The</w:t>
      </w:r>
      <w:r w:rsidR="00747F5D" w:rsidRPr="00CB4B95">
        <w:rPr>
          <w:szCs w:val="24"/>
        </w:rPr>
        <w:t> </w:t>
      </w:r>
      <w:r w:rsidRPr="00CB4B95">
        <w:rPr>
          <w:szCs w:val="24"/>
        </w:rPr>
        <w:t xml:space="preserve">key </w:t>
      </w:r>
      <w:r w:rsidR="00037E00">
        <w:rPr>
          <w:szCs w:val="24"/>
        </w:rPr>
        <w:t>changes are</w:t>
      </w:r>
      <w:r w:rsidR="003A183D">
        <w:rPr>
          <w:szCs w:val="24"/>
        </w:rPr>
        <w:t xml:space="preserve"> to</w:t>
      </w:r>
      <w:r w:rsidR="00742FA1">
        <w:rPr>
          <w:szCs w:val="24"/>
        </w:rPr>
        <w:t>:</w:t>
      </w:r>
    </w:p>
    <w:p w14:paraId="471E8B86" w14:textId="4F13E40B" w:rsidR="00037C50" w:rsidRDefault="00102CEB" w:rsidP="002F3965">
      <w:pPr>
        <w:pStyle w:val="Header"/>
        <w:numPr>
          <w:ilvl w:val="0"/>
          <w:numId w:val="8"/>
        </w:numPr>
        <w:tabs>
          <w:tab w:val="left" w:pos="720"/>
        </w:tabs>
        <w:rPr>
          <w:szCs w:val="24"/>
        </w:rPr>
      </w:pPr>
      <w:r>
        <w:rPr>
          <w:szCs w:val="24"/>
        </w:rPr>
        <w:t>r</w:t>
      </w:r>
      <w:r w:rsidR="001E74D4">
        <w:rPr>
          <w:szCs w:val="24"/>
        </w:rPr>
        <w:t xml:space="preserve">equire a person entering a designated area to have not been in a foreign country, rather than outside Australian territory, in the 14 </w:t>
      </w:r>
      <w:r w:rsidR="00387BF6">
        <w:rPr>
          <w:szCs w:val="24"/>
        </w:rPr>
        <w:t>days immed</w:t>
      </w:r>
      <w:r w:rsidR="003A183D">
        <w:rPr>
          <w:szCs w:val="24"/>
        </w:rPr>
        <w:t>iately prior to entry;</w:t>
      </w:r>
    </w:p>
    <w:p w14:paraId="79DB777B" w14:textId="49205C60" w:rsidR="002F3965" w:rsidRDefault="00102CEB" w:rsidP="002F3965">
      <w:pPr>
        <w:pStyle w:val="Header"/>
        <w:numPr>
          <w:ilvl w:val="0"/>
          <w:numId w:val="8"/>
        </w:numPr>
        <w:tabs>
          <w:tab w:val="left" w:pos="720"/>
        </w:tabs>
        <w:rPr>
          <w:szCs w:val="24"/>
        </w:rPr>
      </w:pPr>
      <w:r>
        <w:rPr>
          <w:szCs w:val="24"/>
        </w:rPr>
        <w:t>a</w:t>
      </w:r>
      <w:r w:rsidR="002F3965">
        <w:rPr>
          <w:szCs w:val="24"/>
        </w:rPr>
        <w:t>dd</w:t>
      </w:r>
      <w:r w:rsidR="002F3965" w:rsidRPr="002F3965">
        <w:rPr>
          <w:szCs w:val="24"/>
        </w:rPr>
        <w:t xml:space="preserve"> as a designated area </w:t>
      </w:r>
      <w:r w:rsidR="003A183D">
        <w:rPr>
          <w:szCs w:val="24"/>
        </w:rPr>
        <w:t>the Town of Weipa in Queensland;</w:t>
      </w:r>
    </w:p>
    <w:p w14:paraId="7383A7C9" w14:textId="7984BBAB" w:rsidR="002F3965" w:rsidRDefault="00102CEB" w:rsidP="002F3965">
      <w:pPr>
        <w:pStyle w:val="Header"/>
        <w:numPr>
          <w:ilvl w:val="0"/>
          <w:numId w:val="8"/>
        </w:numPr>
        <w:tabs>
          <w:tab w:val="left" w:pos="720"/>
        </w:tabs>
        <w:rPr>
          <w:szCs w:val="24"/>
        </w:rPr>
      </w:pPr>
      <w:r>
        <w:rPr>
          <w:szCs w:val="24"/>
        </w:rPr>
        <w:t>r</w:t>
      </w:r>
      <w:r w:rsidR="002F3965">
        <w:rPr>
          <w:szCs w:val="24"/>
        </w:rPr>
        <w:t>emove as</w:t>
      </w:r>
      <w:r w:rsidR="002F3965" w:rsidRPr="002F3965">
        <w:rPr>
          <w:szCs w:val="24"/>
        </w:rPr>
        <w:t xml:space="preserve"> designated areas, the Dunjiba Community and Yarilena Community, in South Australia</w:t>
      </w:r>
      <w:r w:rsidR="003A183D">
        <w:rPr>
          <w:szCs w:val="24"/>
        </w:rPr>
        <w:t>;</w:t>
      </w:r>
    </w:p>
    <w:p w14:paraId="1CC8BED6" w14:textId="77777777" w:rsidR="00CF004E" w:rsidRPr="002F3965" w:rsidRDefault="00102CEB" w:rsidP="002F3965">
      <w:pPr>
        <w:pStyle w:val="Header"/>
        <w:numPr>
          <w:ilvl w:val="0"/>
          <w:numId w:val="8"/>
        </w:numPr>
        <w:tabs>
          <w:tab w:val="left" w:pos="720"/>
        </w:tabs>
        <w:rPr>
          <w:szCs w:val="24"/>
        </w:rPr>
      </w:pPr>
      <w:r>
        <w:rPr>
          <w:szCs w:val="24"/>
        </w:rPr>
        <w:t>e</w:t>
      </w:r>
      <w:r w:rsidR="002F3965">
        <w:rPr>
          <w:szCs w:val="24"/>
        </w:rPr>
        <w:t xml:space="preserve">xclude </w:t>
      </w:r>
      <w:r w:rsidR="002F3965" w:rsidRPr="002F3965">
        <w:rPr>
          <w:szCs w:val="24"/>
        </w:rPr>
        <w:t>certain areas near Katherine, Barkly and Alice Springs as designated areas in the Northern Territory.</w:t>
      </w:r>
    </w:p>
    <w:p w14:paraId="5C4DD21C" w14:textId="77777777" w:rsidR="00D16AE5" w:rsidRDefault="00D16AE5" w:rsidP="007775D3">
      <w:pPr>
        <w:pStyle w:val="Header"/>
        <w:tabs>
          <w:tab w:val="left" w:pos="720"/>
        </w:tabs>
        <w:rPr>
          <w:szCs w:val="24"/>
        </w:rPr>
      </w:pPr>
    </w:p>
    <w:p w14:paraId="3082691E" w14:textId="6B1763D8" w:rsidR="00566E16" w:rsidRPr="00864F88" w:rsidRDefault="00A4689D" w:rsidP="007775D3">
      <w:pPr>
        <w:pStyle w:val="Header"/>
        <w:tabs>
          <w:tab w:val="left" w:pos="720"/>
        </w:tabs>
      </w:pPr>
      <w:r w:rsidRPr="00D35029">
        <w:rPr>
          <w:szCs w:val="24"/>
        </w:rPr>
        <w:t xml:space="preserve">The </w:t>
      </w:r>
      <w:r w:rsidR="003D7A57" w:rsidRPr="00D35029">
        <w:rPr>
          <w:szCs w:val="24"/>
        </w:rPr>
        <w:t>Director</w:t>
      </w:r>
      <w:r w:rsidR="00D31093">
        <w:rPr>
          <w:szCs w:val="24"/>
        </w:rPr>
        <w:t xml:space="preserve"> of</w:t>
      </w:r>
      <w:r w:rsidR="003D7A57" w:rsidRPr="00D35029">
        <w:rPr>
          <w:szCs w:val="24"/>
        </w:rPr>
        <w:t xml:space="preserve"> Human Biosecurity (who is also the Commonwealth Chief Medical Officer)</w:t>
      </w:r>
      <w:r w:rsidR="003C79E5" w:rsidRPr="00D35029">
        <w:rPr>
          <w:szCs w:val="24"/>
        </w:rPr>
        <w:t xml:space="preserve"> </w:t>
      </w:r>
      <w:r w:rsidR="00583A34">
        <w:rPr>
          <w:szCs w:val="24"/>
        </w:rPr>
        <w:t>has</w:t>
      </w:r>
      <w:r w:rsidRPr="00D35029">
        <w:rPr>
          <w:szCs w:val="24"/>
        </w:rPr>
        <w:t xml:space="preserve"> advised the </w:t>
      </w:r>
      <w:r w:rsidR="00A11D15">
        <w:rPr>
          <w:szCs w:val="24"/>
        </w:rPr>
        <w:t xml:space="preserve">Minister for </w:t>
      </w:r>
      <w:r w:rsidRPr="00D35029">
        <w:rPr>
          <w:szCs w:val="24"/>
        </w:rPr>
        <w:t>Health</w:t>
      </w:r>
      <w:r w:rsidR="00774245" w:rsidRPr="00D35029">
        <w:rPr>
          <w:szCs w:val="24"/>
        </w:rPr>
        <w:t xml:space="preserve">, and the </w:t>
      </w:r>
      <w:r w:rsidR="00A11D15">
        <w:rPr>
          <w:szCs w:val="24"/>
        </w:rPr>
        <w:t xml:space="preserve">Minister for </w:t>
      </w:r>
      <w:r w:rsidR="00774245" w:rsidRPr="00D35029">
        <w:rPr>
          <w:szCs w:val="24"/>
        </w:rPr>
        <w:t>Health is satisfied,</w:t>
      </w:r>
      <w:r w:rsidR="00DC7FDA" w:rsidRPr="00D35029">
        <w:rPr>
          <w:szCs w:val="24"/>
        </w:rPr>
        <w:t xml:space="preserve"> that </w:t>
      </w:r>
      <w:r w:rsidR="00A11D15">
        <w:rPr>
          <w:szCs w:val="24"/>
        </w:rPr>
        <w:t>these amendments are</w:t>
      </w:r>
      <w:r w:rsidR="00E815F7">
        <w:rPr>
          <w:szCs w:val="24"/>
        </w:rPr>
        <w:t xml:space="preserve"> </w:t>
      </w:r>
      <w:r w:rsidR="00DC7FDA" w:rsidRPr="00D35029">
        <w:rPr>
          <w:szCs w:val="24"/>
        </w:rPr>
        <w:t>necessary t</w:t>
      </w:r>
      <w:r w:rsidR="00623727">
        <w:rPr>
          <w:szCs w:val="24"/>
        </w:rPr>
        <w:t xml:space="preserve">o prevent or control the further entry </w:t>
      </w:r>
      <w:r w:rsidR="00DC7FDA" w:rsidRPr="00047BA3">
        <w:rPr>
          <w:szCs w:val="24"/>
        </w:rPr>
        <w:t xml:space="preserve">or spread of </w:t>
      </w:r>
      <w:r w:rsidR="00733985" w:rsidRPr="00047BA3">
        <w:rPr>
          <w:szCs w:val="24"/>
        </w:rPr>
        <w:t>COVID-19</w:t>
      </w:r>
      <w:r w:rsidR="00364798">
        <w:rPr>
          <w:szCs w:val="24"/>
        </w:rPr>
        <w:t xml:space="preserve"> in</w:t>
      </w:r>
      <w:r w:rsidR="00B60C2F">
        <w:rPr>
          <w:szCs w:val="24"/>
        </w:rPr>
        <w:t xml:space="preserve"> parts of</w:t>
      </w:r>
      <w:r w:rsidR="00364798">
        <w:rPr>
          <w:szCs w:val="24"/>
        </w:rPr>
        <w:t xml:space="preserve"> Australian territory</w:t>
      </w:r>
      <w:r w:rsidR="00A11D15">
        <w:rPr>
          <w:szCs w:val="24"/>
        </w:rPr>
        <w:t xml:space="preserve"> and that </w:t>
      </w:r>
      <w:r w:rsidR="00A74014">
        <w:rPr>
          <w:szCs w:val="24"/>
        </w:rPr>
        <w:t>each requirement as amended</w:t>
      </w:r>
      <w:r w:rsidR="00566E16" w:rsidRPr="000C69B8">
        <w:rPr>
          <w:szCs w:val="24"/>
        </w:rPr>
        <w:t>:</w:t>
      </w:r>
    </w:p>
    <w:p w14:paraId="160781C9" w14:textId="7B5E40C3" w:rsidR="00364798" w:rsidRDefault="00A74014" w:rsidP="00F61F24">
      <w:pPr>
        <w:pStyle w:val="ListParagraph"/>
        <w:numPr>
          <w:ilvl w:val="0"/>
          <w:numId w:val="4"/>
        </w:numPr>
        <w:ind w:left="757"/>
        <w:contextualSpacing/>
        <w:jc w:val="both"/>
        <w:rPr>
          <w:szCs w:val="24"/>
        </w:rPr>
      </w:pPr>
      <w:r>
        <w:rPr>
          <w:szCs w:val="24"/>
        </w:rPr>
        <w:t>is</w:t>
      </w:r>
      <w:r w:rsidR="00364798">
        <w:rPr>
          <w:szCs w:val="24"/>
        </w:rPr>
        <w:t xml:space="preserve"> likely to be effective in,</w:t>
      </w:r>
      <w:r w:rsidR="003A183D">
        <w:rPr>
          <w:szCs w:val="24"/>
        </w:rPr>
        <w:t xml:space="preserve"> or contribute to, achieving </w:t>
      </w:r>
      <w:r>
        <w:rPr>
          <w:szCs w:val="24"/>
        </w:rPr>
        <w:t>its</w:t>
      </w:r>
      <w:r w:rsidR="00364798">
        <w:rPr>
          <w:szCs w:val="24"/>
        </w:rPr>
        <w:t xml:space="preserve"> purpose;</w:t>
      </w:r>
    </w:p>
    <w:p w14:paraId="390AC659" w14:textId="69E77D3C" w:rsidR="000464A2" w:rsidRDefault="00A74014" w:rsidP="00F61F24">
      <w:pPr>
        <w:pStyle w:val="ListParagraph"/>
        <w:numPr>
          <w:ilvl w:val="0"/>
          <w:numId w:val="4"/>
        </w:numPr>
        <w:ind w:left="757"/>
        <w:contextualSpacing/>
        <w:jc w:val="both"/>
        <w:rPr>
          <w:szCs w:val="24"/>
        </w:rPr>
      </w:pPr>
      <w:r>
        <w:rPr>
          <w:szCs w:val="24"/>
        </w:rPr>
        <w:t>is</w:t>
      </w:r>
      <w:r w:rsidR="00364798">
        <w:rPr>
          <w:szCs w:val="24"/>
        </w:rPr>
        <w:t xml:space="preserve"> appropriate and adapted to </w:t>
      </w:r>
      <w:r w:rsidR="00E719A1">
        <w:rPr>
          <w:szCs w:val="24"/>
        </w:rPr>
        <w:t xml:space="preserve">achieve </w:t>
      </w:r>
      <w:r>
        <w:rPr>
          <w:szCs w:val="24"/>
        </w:rPr>
        <w:t>its</w:t>
      </w:r>
      <w:r w:rsidR="00364798">
        <w:rPr>
          <w:szCs w:val="24"/>
        </w:rPr>
        <w:t xml:space="preserve"> purpose; </w:t>
      </w:r>
    </w:p>
    <w:p w14:paraId="6D68255D" w14:textId="2D4C2636" w:rsidR="00364798" w:rsidRPr="000464A2" w:rsidRDefault="00A74014" w:rsidP="00F61F24">
      <w:pPr>
        <w:pStyle w:val="ListParagraph"/>
        <w:numPr>
          <w:ilvl w:val="0"/>
          <w:numId w:val="4"/>
        </w:numPr>
        <w:ind w:left="567" w:hanging="170"/>
        <w:contextualSpacing/>
        <w:jc w:val="both"/>
        <w:rPr>
          <w:szCs w:val="24"/>
        </w:rPr>
      </w:pPr>
      <w:r>
        <w:rPr>
          <w:szCs w:val="24"/>
        </w:rPr>
        <w:t>is</w:t>
      </w:r>
      <w:r w:rsidR="00364798" w:rsidRPr="000464A2">
        <w:rPr>
          <w:szCs w:val="24"/>
        </w:rPr>
        <w:t xml:space="preserve"> no more restrictive or intrusive than </w:t>
      </w:r>
      <w:r w:rsidR="00E719A1">
        <w:rPr>
          <w:szCs w:val="24"/>
        </w:rPr>
        <w:t xml:space="preserve">is </w:t>
      </w:r>
      <w:r w:rsidR="00364798" w:rsidRPr="000464A2">
        <w:rPr>
          <w:szCs w:val="24"/>
        </w:rPr>
        <w:t>required in the circumstances, including</w:t>
      </w:r>
      <w:r w:rsidR="003A183D">
        <w:rPr>
          <w:szCs w:val="24"/>
        </w:rPr>
        <w:t xml:space="preserve"> </w:t>
      </w:r>
      <w:r w:rsidR="00364798" w:rsidRPr="000464A2">
        <w:rPr>
          <w:szCs w:val="24"/>
        </w:rPr>
        <w:t>in the manner i</w:t>
      </w:r>
      <w:r w:rsidR="003A183D">
        <w:rPr>
          <w:szCs w:val="24"/>
        </w:rPr>
        <w:t xml:space="preserve">n which </w:t>
      </w:r>
      <w:r>
        <w:rPr>
          <w:szCs w:val="24"/>
        </w:rPr>
        <w:t>the requirement is</w:t>
      </w:r>
      <w:r w:rsidR="003A183D">
        <w:rPr>
          <w:szCs w:val="24"/>
        </w:rPr>
        <w:t xml:space="preserve"> </w:t>
      </w:r>
      <w:r w:rsidR="009A3F2A" w:rsidRPr="000464A2">
        <w:rPr>
          <w:szCs w:val="24"/>
        </w:rPr>
        <w:t xml:space="preserve">to be applied. </w:t>
      </w:r>
    </w:p>
    <w:p w14:paraId="4F6E433E" w14:textId="77777777" w:rsidR="008C788B" w:rsidRDefault="008C788B" w:rsidP="009A3F2A">
      <w:pPr>
        <w:pStyle w:val="ListParagraph"/>
        <w:ind w:left="0"/>
        <w:jc w:val="both"/>
        <w:rPr>
          <w:szCs w:val="24"/>
        </w:rPr>
      </w:pPr>
    </w:p>
    <w:p w14:paraId="54166F13" w14:textId="5D62BA49" w:rsidR="00216A79" w:rsidRDefault="00216A79" w:rsidP="00216A79">
      <w:pPr>
        <w:pStyle w:val="ListParagraph"/>
        <w:ind w:left="0"/>
        <w:contextualSpacing/>
        <w:rPr>
          <w:szCs w:val="24"/>
        </w:rPr>
      </w:pPr>
      <w:r>
        <w:rPr>
          <w:szCs w:val="24"/>
        </w:rPr>
        <w:t>In addition to b</w:t>
      </w:r>
      <w:r w:rsidR="00F27ACD">
        <w:rPr>
          <w:szCs w:val="24"/>
        </w:rPr>
        <w:t xml:space="preserve">eing satisfied of these </w:t>
      </w:r>
      <w:r>
        <w:rPr>
          <w:szCs w:val="24"/>
        </w:rPr>
        <w:t>matters</w:t>
      </w:r>
      <w:r w:rsidR="003A183D">
        <w:rPr>
          <w:szCs w:val="24"/>
        </w:rPr>
        <w:t>,</w:t>
      </w:r>
      <w:r w:rsidR="00864F88">
        <w:rPr>
          <w:szCs w:val="24"/>
        </w:rPr>
        <w:t xml:space="preserve"> </w:t>
      </w:r>
      <w:r>
        <w:rPr>
          <w:szCs w:val="24"/>
        </w:rPr>
        <w:t xml:space="preserve">the Minister </w:t>
      </w:r>
      <w:r w:rsidR="00A11D15">
        <w:rPr>
          <w:szCs w:val="24"/>
        </w:rPr>
        <w:t>for Health is</w:t>
      </w:r>
      <w:r>
        <w:rPr>
          <w:szCs w:val="24"/>
        </w:rPr>
        <w:t xml:space="preserve"> satisfied </w:t>
      </w:r>
      <w:r w:rsidRPr="00576395">
        <w:rPr>
          <w:szCs w:val="24"/>
        </w:rPr>
        <w:t xml:space="preserve">that the </w:t>
      </w:r>
      <w:r w:rsidR="00A11D15">
        <w:rPr>
          <w:szCs w:val="24"/>
        </w:rPr>
        <w:t>amended requirement</w:t>
      </w:r>
      <w:r w:rsidR="003A183D">
        <w:rPr>
          <w:szCs w:val="24"/>
        </w:rPr>
        <w:t>s</w:t>
      </w:r>
      <w:r w:rsidR="00A11D15">
        <w:rPr>
          <w:szCs w:val="24"/>
        </w:rPr>
        <w:t xml:space="preserve"> will </w:t>
      </w:r>
      <w:r>
        <w:rPr>
          <w:szCs w:val="24"/>
        </w:rPr>
        <w:t xml:space="preserve">only </w:t>
      </w:r>
      <w:r w:rsidR="00A11D15">
        <w:rPr>
          <w:szCs w:val="24"/>
        </w:rPr>
        <w:t>apply as long as is necessary</w:t>
      </w:r>
      <w:r w:rsidRPr="000C69B8">
        <w:rPr>
          <w:szCs w:val="24"/>
        </w:rPr>
        <w:t>.</w:t>
      </w:r>
    </w:p>
    <w:p w14:paraId="7BB005AA" w14:textId="77777777" w:rsidR="00AC4D62" w:rsidRPr="00487ABF" w:rsidRDefault="00AC4D62" w:rsidP="00F6657B">
      <w:pPr>
        <w:pStyle w:val="ListParagraph"/>
        <w:spacing w:line="252" w:lineRule="auto"/>
        <w:ind w:left="0"/>
        <w:contextualSpacing/>
        <w:rPr>
          <w:szCs w:val="24"/>
        </w:rPr>
      </w:pPr>
    </w:p>
    <w:p w14:paraId="2AD63BD4" w14:textId="79C1DAF2" w:rsidR="009A3F2A" w:rsidRDefault="00487ABF" w:rsidP="00500335">
      <w:pPr>
        <w:pStyle w:val="ListParagraph"/>
        <w:spacing w:after="160" w:line="252" w:lineRule="auto"/>
        <w:ind w:left="0"/>
        <w:contextualSpacing/>
        <w:jc w:val="both"/>
        <w:rPr>
          <w:szCs w:val="24"/>
        </w:rPr>
      </w:pPr>
      <w:r w:rsidRPr="00E15C0C">
        <w:rPr>
          <w:szCs w:val="24"/>
        </w:rPr>
        <w:lastRenderedPageBreak/>
        <w:t xml:space="preserve">The </w:t>
      </w:r>
      <w:r w:rsidR="00E15C0C" w:rsidRPr="00217C43">
        <w:rPr>
          <w:i/>
          <w:szCs w:val="24"/>
        </w:rPr>
        <w:t xml:space="preserve">Biosecurity (Human Biosecurity Emergency) (Human Coronavirus with Pandemic Potential) (Emergency Requirements for Remote Communities) Amendment Determination (No. 2) 2020 </w:t>
      </w:r>
      <w:r w:rsidR="000C2CAF" w:rsidRPr="000C2CAF">
        <w:rPr>
          <w:szCs w:val="24"/>
        </w:rPr>
        <w:t>(</w:t>
      </w:r>
      <w:r w:rsidR="00563489">
        <w:rPr>
          <w:szCs w:val="24"/>
        </w:rPr>
        <w:t>Amendment</w:t>
      </w:r>
      <w:r w:rsidR="00E719A1">
        <w:rPr>
          <w:szCs w:val="24"/>
        </w:rPr>
        <w:t xml:space="preserve"> </w:t>
      </w:r>
      <w:r w:rsidR="00E15C0C">
        <w:rPr>
          <w:szCs w:val="24"/>
        </w:rPr>
        <w:t>D</w:t>
      </w:r>
      <w:r w:rsidR="00E719A1">
        <w:rPr>
          <w:szCs w:val="24"/>
        </w:rPr>
        <w:t>etermination</w:t>
      </w:r>
      <w:r w:rsidR="00E15C0C">
        <w:rPr>
          <w:szCs w:val="24"/>
        </w:rPr>
        <w:t>)</w:t>
      </w:r>
      <w:r w:rsidRPr="00487ABF">
        <w:rPr>
          <w:szCs w:val="24"/>
        </w:rPr>
        <w:t xml:space="preserve"> commences </w:t>
      </w:r>
      <w:r w:rsidR="00072B48">
        <w:rPr>
          <w:szCs w:val="24"/>
        </w:rPr>
        <w:t>the day after the instrument is registered</w:t>
      </w:r>
      <w:r w:rsidRPr="00487ABF">
        <w:rPr>
          <w:szCs w:val="24"/>
        </w:rPr>
        <w:t>, and remains in force for the duration of the human biosecurity emergency period</w:t>
      </w:r>
      <w:r w:rsidR="00E719A1">
        <w:rPr>
          <w:szCs w:val="24"/>
        </w:rPr>
        <w:t>, unless it is revoked earlier.</w:t>
      </w:r>
      <w:r w:rsidR="00500335">
        <w:rPr>
          <w:szCs w:val="24"/>
        </w:rPr>
        <w:t xml:space="preserve"> Advice from the Director of Human Biosecurity supports the </w:t>
      </w:r>
      <w:r w:rsidR="00747F5D">
        <w:rPr>
          <w:szCs w:val="24"/>
        </w:rPr>
        <w:t xml:space="preserve">necessity of the </w:t>
      </w:r>
      <w:r w:rsidR="00500335">
        <w:rPr>
          <w:szCs w:val="24"/>
        </w:rPr>
        <w:t xml:space="preserve">length of </w:t>
      </w:r>
      <w:r w:rsidR="00747F5D">
        <w:rPr>
          <w:szCs w:val="24"/>
        </w:rPr>
        <w:t xml:space="preserve">time the </w:t>
      </w:r>
      <w:r w:rsidR="00563489">
        <w:rPr>
          <w:szCs w:val="24"/>
        </w:rPr>
        <w:t>Amendment</w:t>
      </w:r>
      <w:r w:rsidR="00E719A1">
        <w:rPr>
          <w:szCs w:val="24"/>
        </w:rPr>
        <w:t xml:space="preserve"> </w:t>
      </w:r>
      <w:r w:rsidR="00E15C0C">
        <w:rPr>
          <w:szCs w:val="24"/>
        </w:rPr>
        <w:t>D</w:t>
      </w:r>
      <w:r w:rsidR="00E719A1">
        <w:rPr>
          <w:szCs w:val="24"/>
        </w:rPr>
        <w:t xml:space="preserve">etermination </w:t>
      </w:r>
      <w:r w:rsidR="00500335">
        <w:rPr>
          <w:szCs w:val="24"/>
        </w:rPr>
        <w:t xml:space="preserve">is </w:t>
      </w:r>
      <w:r w:rsidR="00747F5D">
        <w:rPr>
          <w:szCs w:val="24"/>
        </w:rPr>
        <w:t>to remain in force</w:t>
      </w:r>
      <w:r w:rsidR="005C4183" w:rsidRPr="00174704">
        <w:rPr>
          <w:szCs w:val="24"/>
        </w:rPr>
        <w:t>.</w:t>
      </w:r>
    </w:p>
    <w:p w14:paraId="77C1EB3C" w14:textId="77777777" w:rsidR="00AE0F07" w:rsidRDefault="00AE0F07" w:rsidP="00047BA3">
      <w:pPr>
        <w:pStyle w:val="NoSpacing"/>
        <w:jc w:val="both"/>
        <w:rPr>
          <w:b/>
          <w:szCs w:val="24"/>
        </w:rPr>
      </w:pPr>
    </w:p>
    <w:p w14:paraId="656A57FA" w14:textId="77777777" w:rsidR="00CE274D" w:rsidRPr="00047BA3" w:rsidRDefault="00CE274D" w:rsidP="00047BA3">
      <w:pPr>
        <w:pStyle w:val="NoSpacing"/>
        <w:jc w:val="both"/>
        <w:rPr>
          <w:b/>
          <w:szCs w:val="24"/>
        </w:rPr>
      </w:pPr>
      <w:r w:rsidRPr="00047BA3">
        <w:rPr>
          <w:b/>
          <w:szCs w:val="24"/>
        </w:rPr>
        <w:t>Background</w:t>
      </w:r>
    </w:p>
    <w:p w14:paraId="3BBE0356" w14:textId="77777777" w:rsidR="0091687B" w:rsidRPr="00047BA3" w:rsidRDefault="0091687B" w:rsidP="00047BA3">
      <w:pPr>
        <w:pStyle w:val="NoSpacing"/>
        <w:jc w:val="both"/>
        <w:rPr>
          <w:szCs w:val="24"/>
          <w:lang w:val="en"/>
        </w:rPr>
      </w:pPr>
    </w:p>
    <w:p w14:paraId="0392DB34" w14:textId="77777777" w:rsidR="00C11691" w:rsidRPr="00047BA3" w:rsidRDefault="0091687B" w:rsidP="00047BA3">
      <w:pPr>
        <w:pStyle w:val="NoSpacing"/>
        <w:jc w:val="both"/>
        <w:rPr>
          <w:szCs w:val="24"/>
          <w:lang w:val="en-US"/>
        </w:rPr>
      </w:pPr>
      <w:r w:rsidRPr="00047BA3">
        <w:rPr>
          <w:szCs w:val="24"/>
          <w:lang w:val="en-US"/>
        </w:rPr>
        <w:t xml:space="preserve">On 5 January 2020, the World Health Organization (WHO) notified Member States under the </w:t>
      </w:r>
      <w:r w:rsidRPr="00047BA3">
        <w:rPr>
          <w:i/>
          <w:iCs/>
          <w:szCs w:val="24"/>
          <w:lang w:val="en-US"/>
        </w:rPr>
        <w:t xml:space="preserve">International Health Regulations </w:t>
      </w:r>
      <w:r w:rsidRPr="00917805">
        <w:rPr>
          <w:lang w:val="en-US"/>
        </w:rPr>
        <w:t>(2005)</w:t>
      </w:r>
      <w:r w:rsidRPr="00047BA3">
        <w:rPr>
          <w:i/>
          <w:iCs/>
          <w:szCs w:val="24"/>
          <w:lang w:val="en-US"/>
        </w:rPr>
        <w:t xml:space="preserve"> </w:t>
      </w:r>
      <w:r w:rsidRPr="00047BA3">
        <w:rPr>
          <w:szCs w:val="24"/>
          <w:lang w:val="en-US"/>
        </w:rPr>
        <w:t>(</w:t>
      </w:r>
      <w:r w:rsidRPr="00047BA3">
        <w:rPr>
          <w:bCs/>
          <w:szCs w:val="24"/>
          <w:lang w:val="en-US"/>
        </w:rPr>
        <w:t>IHR</w:t>
      </w:r>
      <w:r w:rsidRPr="00047BA3">
        <w:rPr>
          <w:szCs w:val="24"/>
          <w:lang w:val="en-US"/>
        </w:rPr>
        <w:t xml:space="preserve">) of an outbreak of pneumonia of unknown cause in Wuhan city, China. </w:t>
      </w:r>
      <w:r w:rsidR="00325D23" w:rsidRPr="00047BA3">
        <w:rPr>
          <w:szCs w:val="24"/>
          <w:lang w:val="en-US"/>
        </w:rPr>
        <w:t xml:space="preserve">The pathogen </w:t>
      </w:r>
      <w:r w:rsidR="00C11691" w:rsidRPr="00047BA3">
        <w:rPr>
          <w:szCs w:val="24"/>
          <w:lang w:val="en-US"/>
        </w:rPr>
        <w:t>is</w:t>
      </w:r>
      <w:r w:rsidRPr="00047BA3">
        <w:rPr>
          <w:szCs w:val="24"/>
          <w:lang w:val="en-US"/>
        </w:rPr>
        <w:t xml:space="preserve"> a novel </w:t>
      </w:r>
      <w:r w:rsidR="00B8282F" w:rsidRPr="00047BA3">
        <w:rPr>
          <w:szCs w:val="24"/>
          <w:lang w:val="en-US"/>
        </w:rPr>
        <w:t xml:space="preserve">(new) </w:t>
      </w:r>
      <w:r w:rsidRPr="00047BA3">
        <w:rPr>
          <w:szCs w:val="24"/>
          <w:lang w:val="en-US"/>
        </w:rPr>
        <w:t xml:space="preserve">coronavirus. </w:t>
      </w:r>
      <w:r w:rsidR="00E719A1">
        <w:rPr>
          <w:szCs w:val="24"/>
          <w:lang w:val="en-US"/>
        </w:rPr>
        <w:t>On 21 January 2020</w:t>
      </w:r>
      <w:r w:rsidR="003A183D">
        <w:rPr>
          <w:szCs w:val="24"/>
          <w:lang w:val="en-US"/>
        </w:rPr>
        <w:t>,</w:t>
      </w:r>
      <w:r w:rsidR="00E719A1">
        <w:rPr>
          <w:szCs w:val="24"/>
          <w:lang w:val="en-US"/>
        </w:rPr>
        <w:t xml:space="preserve"> ‘h</w:t>
      </w:r>
      <w:r w:rsidR="006F7A92" w:rsidRPr="00047BA3">
        <w:rPr>
          <w:szCs w:val="24"/>
          <w:lang w:val="en-US"/>
        </w:rPr>
        <w:t xml:space="preserve">uman coronavirus with pandemic potential’ </w:t>
      </w:r>
      <w:r w:rsidR="006338AC" w:rsidRPr="00047BA3">
        <w:rPr>
          <w:szCs w:val="24"/>
          <w:lang w:val="en-US"/>
        </w:rPr>
        <w:t>became a</w:t>
      </w:r>
      <w:r w:rsidR="006F7A92" w:rsidRPr="00047BA3">
        <w:rPr>
          <w:szCs w:val="24"/>
          <w:lang w:val="en-US"/>
        </w:rPr>
        <w:t xml:space="preserve"> ‘listed human disease’ </w:t>
      </w:r>
      <w:r w:rsidR="00866A92" w:rsidRPr="00047BA3">
        <w:rPr>
          <w:szCs w:val="24"/>
          <w:lang w:val="en-US"/>
        </w:rPr>
        <w:t>by legislative instrument made by th</w:t>
      </w:r>
      <w:r w:rsidR="004C1B0C">
        <w:rPr>
          <w:szCs w:val="24"/>
          <w:lang w:val="en-US"/>
        </w:rPr>
        <w:t>e Director of Human Biosecurity</w:t>
      </w:r>
      <w:r w:rsidR="006F7A92" w:rsidRPr="00047BA3">
        <w:rPr>
          <w:szCs w:val="24"/>
          <w:lang w:val="en-US"/>
        </w:rPr>
        <w:t xml:space="preserve">. </w:t>
      </w:r>
      <w:r w:rsidR="00162206" w:rsidRPr="00047BA3">
        <w:rPr>
          <w:szCs w:val="24"/>
          <w:lang w:val="en-US"/>
        </w:rPr>
        <w:t>On 30 January 2020, the outbreak was declared by the WHO International Regulations Emergency Committee to constitute a Public Health Emergency of International Concern.</w:t>
      </w:r>
    </w:p>
    <w:p w14:paraId="33F00F04" w14:textId="77777777" w:rsidR="00C11691" w:rsidRPr="00047BA3" w:rsidRDefault="00C11691" w:rsidP="00047BA3">
      <w:pPr>
        <w:pStyle w:val="NoSpacing"/>
        <w:jc w:val="both"/>
        <w:rPr>
          <w:szCs w:val="24"/>
          <w:lang w:val="en-US"/>
        </w:rPr>
      </w:pPr>
    </w:p>
    <w:p w14:paraId="1B7CDDFA" w14:textId="77777777" w:rsidR="0091687B" w:rsidRPr="009A3F2A" w:rsidRDefault="00325D23" w:rsidP="00047BA3">
      <w:pPr>
        <w:pStyle w:val="NoSpacing"/>
        <w:jc w:val="both"/>
        <w:rPr>
          <w:szCs w:val="24"/>
        </w:rPr>
      </w:pPr>
      <w:r w:rsidRPr="00047BA3">
        <w:rPr>
          <w:szCs w:val="24"/>
          <w:lang w:val="en-US"/>
        </w:rPr>
        <w:t xml:space="preserve">On 11 February 2020, </w:t>
      </w:r>
      <w:r w:rsidR="00E719A1">
        <w:rPr>
          <w:szCs w:val="24"/>
          <w:lang w:val="en-US"/>
        </w:rPr>
        <w:t xml:space="preserve">the </w:t>
      </w:r>
      <w:r w:rsidRPr="00047BA3">
        <w:rPr>
          <w:szCs w:val="24"/>
          <w:lang w:val="en-US"/>
        </w:rPr>
        <w:t xml:space="preserve">WHO announced </w:t>
      </w:r>
      <w:r w:rsidR="00C11691" w:rsidRPr="00047BA3">
        <w:rPr>
          <w:szCs w:val="24"/>
          <w:lang w:val="en-US"/>
        </w:rPr>
        <w:t xml:space="preserve">that </w:t>
      </w:r>
      <w:r w:rsidR="000E349A" w:rsidRPr="00047BA3">
        <w:rPr>
          <w:szCs w:val="24"/>
          <w:lang w:val="en-US"/>
        </w:rPr>
        <w:t>t</w:t>
      </w:r>
      <w:r w:rsidR="00B8282F" w:rsidRPr="00047BA3">
        <w:rPr>
          <w:szCs w:val="24"/>
          <w:lang w:val="en-US"/>
        </w:rPr>
        <w:t>he</w:t>
      </w:r>
      <w:r w:rsidRPr="00047BA3">
        <w:rPr>
          <w:szCs w:val="24"/>
          <w:lang w:val="en-US"/>
        </w:rPr>
        <w:t xml:space="preserve"> International Committee on Taxonomy of Viruses</w:t>
      </w:r>
      <w:r w:rsidR="00B8282F" w:rsidRPr="00047BA3">
        <w:rPr>
          <w:szCs w:val="24"/>
          <w:lang w:val="en-US"/>
        </w:rPr>
        <w:t xml:space="preserve"> named the </w:t>
      </w:r>
      <w:r w:rsidRPr="00047BA3">
        <w:rPr>
          <w:szCs w:val="24"/>
          <w:lang w:val="en-US"/>
        </w:rPr>
        <w:t xml:space="preserve">pathogen </w:t>
      </w:r>
      <w:r w:rsidR="00B8282F" w:rsidRPr="00047BA3">
        <w:rPr>
          <w:szCs w:val="24"/>
          <w:lang w:val="en-US"/>
        </w:rPr>
        <w:t xml:space="preserve">virus </w:t>
      </w:r>
      <w:r w:rsidRPr="00047BA3">
        <w:rPr>
          <w:szCs w:val="24"/>
          <w:lang w:val="en-US"/>
        </w:rPr>
        <w:t>‘</w:t>
      </w:r>
      <w:r w:rsidR="00B8282F" w:rsidRPr="00047BA3">
        <w:rPr>
          <w:szCs w:val="24"/>
          <w:lang w:val="en-US"/>
        </w:rPr>
        <w:t>severe acute respiratory syndrome coronavirus (SARS-CoV-2)</w:t>
      </w:r>
      <w:r w:rsidR="00216486">
        <w:rPr>
          <w:szCs w:val="24"/>
          <w:lang w:val="en-US"/>
        </w:rPr>
        <w:t>’</w:t>
      </w:r>
      <w:r w:rsidR="00BA77D7">
        <w:rPr>
          <w:szCs w:val="24"/>
          <w:lang w:val="en-US"/>
        </w:rPr>
        <w:t>.</w:t>
      </w:r>
      <w:r w:rsidRPr="00047BA3">
        <w:rPr>
          <w:szCs w:val="24"/>
          <w:lang w:val="en-US"/>
        </w:rPr>
        <w:t xml:space="preserve"> It is </w:t>
      </w:r>
      <w:r w:rsidR="00B8282F" w:rsidRPr="00047BA3">
        <w:rPr>
          <w:szCs w:val="24"/>
          <w:lang w:val="en"/>
        </w:rPr>
        <w:t>closely related genetically to the virus that caused the 2003 outbreak of Severe Acute Respiratory Syndrome (SARS).</w:t>
      </w:r>
      <w:r w:rsidRPr="00047BA3">
        <w:rPr>
          <w:szCs w:val="24"/>
          <w:lang w:val="en"/>
        </w:rPr>
        <w:t xml:space="preserve"> </w:t>
      </w:r>
      <w:r w:rsidR="006F7A92" w:rsidRPr="00047BA3">
        <w:rPr>
          <w:szCs w:val="24"/>
          <w:lang w:val="en"/>
        </w:rPr>
        <w:t xml:space="preserve">The international name given by </w:t>
      </w:r>
      <w:r w:rsidR="00E719A1">
        <w:rPr>
          <w:szCs w:val="24"/>
          <w:lang w:val="en"/>
        </w:rPr>
        <w:t xml:space="preserve">the </w:t>
      </w:r>
      <w:r w:rsidR="006F7A92" w:rsidRPr="00047BA3">
        <w:rPr>
          <w:szCs w:val="24"/>
          <w:lang w:val="en"/>
        </w:rPr>
        <w:t xml:space="preserve">WHO </w:t>
      </w:r>
      <w:r w:rsidRPr="00047BA3">
        <w:rPr>
          <w:szCs w:val="24"/>
          <w:lang w:val="en"/>
        </w:rPr>
        <w:t xml:space="preserve">to the disease caused by SARS-CoV-2 </w:t>
      </w:r>
      <w:r w:rsidR="006F7A92" w:rsidRPr="00047BA3">
        <w:rPr>
          <w:szCs w:val="24"/>
          <w:lang w:val="en"/>
        </w:rPr>
        <w:t xml:space="preserve">is </w:t>
      </w:r>
      <w:r w:rsidRPr="00047BA3">
        <w:rPr>
          <w:szCs w:val="24"/>
          <w:lang w:val="en"/>
        </w:rPr>
        <w:t>Coronavirus disease 2019 (COVID-19).</w:t>
      </w:r>
      <w:r w:rsidR="009A3F2A" w:rsidRPr="009A3F2A">
        <w:rPr>
          <w:szCs w:val="24"/>
        </w:rPr>
        <w:t xml:space="preserve"> </w:t>
      </w:r>
      <w:r w:rsidR="009A3F2A" w:rsidRPr="00047BA3">
        <w:rPr>
          <w:szCs w:val="24"/>
        </w:rPr>
        <w:t>On 11 March</w:t>
      </w:r>
      <w:r w:rsidR="00E719A1">
        <w:rPr>
          <w:szCs w:val="24"/>
        </w:rPr>
        <w:t> </w:t>
      </w:r>
      <w:r w:rsidR="00747F5D" w:rsidRPr="00047BA3">
        <w:rPr>
          <w:szCs w:val="24"/>
        </w:rPr>
        <w:t>2020,</w:t>
      </w:r>
      <w:r w:rsidR="009A3F2A" w:rsidRPr="00047BA3">
        <w:rPr>
          <w:szCs w:val="24"/>
        </w:rPr>
        <w:t xml:space="preserve"> </w:t>
      </w:r>
      <w:r w:rsidR="00E719A1">
        <w:rPr>
          <w:szCs w:val="24"/>
        </w:rPr>
        <w:t xml:space="preserve">the </w:t>
      </w:r>
      <w:r w:rsidR="009A3F2A" w:rsidRPr="00047BA3">
        <w:rPr>
          <w:szCs w:val="24"/>
        </w:rPr>
        <w:t>WHO declared the out</w:t>
      </w:r>
      <w:r w:rsidR="009A3F2A">
        <w:rPr>
          <w:szCs w:val="24"/>
        </w:rPr>
        <w:t xml:space="preserve">break of COVID-19 a pandemic.  </w:t>
      </w:r>
    </w:p>
    <w:p w14:paraId="205C8B46" w14:textId="77777777" w:rsidR="009542A8" w:rsidRPr="00047BA3" w:rsidRDefault="009542A8" w:rsidP="00047BA3">
      <w:pPr>
        <w:pStyle w:val="NoSpacing"/>
        <w:jc w:val="both"/>
        <w:rPr>
          <w:szCs w:val="24"/>
          <w:lang w:val="en-US"/>
        </w:rPr>
      </w:pPr>
    </w:p>
    <w:p w14:paraId="1957D2E6" w14:textId="77777777" w:rsidR="009542A8" w:rsidRPr="00047BA3" w:rsidRDefault="00162206" w:rsidP="00047BA3">
      <w:pPr>
        <w:pStyle w:val="NoSpacing"/>
        <w:jc w:val="both"/>
        <w:rPr>
          <w:szCs w:val="24"/>
          <w:lang w:val="en-US"/>
        </w:rPr>
      </w:pPr>
      <w:r w:rsidRPr="00047BA3">
        <w:rPr>
          <w:szCs w:val="24"/>
          <w:lang w:val="en-US"/>
        </w:rPr>
        <w:t>COVID-19 has entered Australia. It</w:t>
      </w:r>
      <w:r w:rsidR="009542A8" w:rsidRPr="00047BA3">
        <w:rPr>
          <w:szCs w:val="24"/>
          <w:lang w:val="en-US"/>
        </w:rPr>
        <w:t xml:space="preserve"> represents a severe </w:t>
      </w:r>
      <w:r w:rsidRPr="00047BA3">
        <w:rPr>
          <w:szCs w:val="24"/>
          <w:lang w:val="en-US"/>
        </w:rPr>
        <w:t>and immediate threat</w:t>
      </w:r>
      <w:r w:rsidR="009542A8" w:rsidRPr="00047BA3">
        <w:rPr>
          <w:szCs w:val="24"/>
          <w:lang w:val="en-US"/>
        </w:rPr>
        <w:t xml:space="preserve"> to </w:t>
      </w:r>
      <w:r w:rsidRPr="00047BA3">
        <w:rPr>
          <w:szCs w:val="24"/>
          <w:lang w:val="en-US"/>
        </w:rPr>
        <w:t xml:space="preserve">human health in </w:t>
      </w:r>
      <w:r w:rsidR="0057539E" w:rsidRPr="00047BA3">
        <w:rPr>
          <w:szCs w:val="24"/>
          <w:lang w:val="en-US"/>
        </w:rPr>
        <w:t xml:space="preserve">Australia as it </w:t>
      </w:r>
      <w:r w:rsidR="009542A8" w:rsidRPr="00047BA3">
        <w:rPr>
          <w:szCs w:val="24"/>
          <w:lang w:val="en-US"/>
        </w:rPr>
        <w:t xml:space="preserve">has the </w:t>
      </w:r>
      <w:r w:rsidR="005A6839" w:rsidRPr="00047BA3">
        <w:rPr>
          <w:szCs w:val="24"/>
          <w:lang w:val="en-US"/>
        </w:rPr>
        <w:t>ability</w:t>
      </w:r>
      <w:r w:rsidR="009542A8" w:rsidRPr="00047BA3">
        <w:rPr>
          <w:szCs w:val="24"/>
          <w:lang w:val="en-US"/>
        </w:rPr>
        <w:t xml:space="preserve"> to cause high levels of morbidity and mortality and </w:t>
      </w:r>
      <w:r w:rsidR="00BA77D7">
        <w:rPr>
          <w:szCs w:val="24"/>
          <w:lang w:val="en-US"/>
        </w:rPr>
        <w:t>is</w:t>
      </w:r>
      <w:r w:rsidR="009542A8" w:rsidRPr="00047BA3">
        <w:rPr>
          <w:szCs w:val="24"/>
          <w:lang w:val="en-US"/>
        </w:rPr>
        <w:t xml:space="preserve"> disrupt</w:t>
      </w:r>
      <w:r w:rsidR="00BA77D7">
        <w:rPr>
          <w:szCs w:val="24"/>
          <w:lang w:val="en-US"/>
        </w:rPr>
        <w:t>ing</w:t>
      </w:r>
      <w:r w:rsidR="001A2A06">
        <w:rPr>
          <w:szCs w:val="24"/>
          <w:lang w:val="en-US"/>
        </w:rPr>
        <w:t xml:space="preserve"> the</w:t>
      </w:r>
      <w:r w:rsidR="009542A8" w:rsidRPr="00047BA3">
        <w:rPr>
          <w:szCs w:val="24"/>
          <w:lang w:val="en-US"/>
        </w:rPr>
        <w:t xml:space="preserve"> Australian community socially and economically. </w:t>
      </w:r>
    </w:p>
    <w:p w14:paraId="59428C8F" w14:textId="77777777" w:rsidR="000E7A61" w:rsidRDefault="000E7A61" w:rsidP="000E4CE5">
      <w:pPr>
        <w:jc w:val="both"/>
        <w:rPr>
          <w:i/>
          <w:szCs w:val="24"/>
        </w:rPr>
      </w:pPr>
    </w:p>
    <w:p w14:paraId="69171CF8" w14:textId="77777777" w:rsidR="000E4CE5" w:rsidRDefault="00211293" w:rsidP="000E4CE5">
      <w:pPr>
        <w:jc w:val="both"/>
        <w:rPr>
          <w:i/>
          <w:szCs w:val="24"/>
        </w:rPr>
      </w:pPr>
      <w:r w:rsidRPr="00047BA3">
        <w:rPr>
          <w:i/>
          <w:szCs w:val="24"/>
        </w:rPr>
        <w:t xml:space="preserve">Emergency requirements </w:t>
      </w:r>
      <w:r w:rsidR="000E4CE5" w:rsidRPr="00211293">
        <w:rPr>
          <w:i/>
          <w:szCs w:val="24"/>
        </w:rPr>
        <w:t>and directions</w:t>
      </w:r>
    </w:p>
    <w:p w14:paraId="36BF39D3" w14:textId="77777777" w:rsidR="000E7A61" w:rsidRPr="00211293" w:rsidRDefault="000E7A61" w:rsidP="000E4CE5">
      <w:pPr>
        <w:jc w:val="both"/>
        <w:rPr>
          <w:i/>
          <w:szCs w:val="24"/>
        </w:rPr>
      </w:pPr>
    </w:p>
    <w:p w14:paraId="611A246C" w14:textId="77777777" w:rsidR="000E4CE5" w:rsidRDefault="000E4CE5" w:rsidP="000E4CE5">
      <w:pPr>
        <w:rPr>
          <w:szCs w:val="24"/>
        </w:rPr>
      </w:pPr>
      <w:r w:rsidRPr="000C69B8">
        <w:rPr>
          <w:szCs w:val="24"/>
        </w:rPr>
        <w:t>An emergency requirement is a non-disallowable legislative instrument (s</w:t>
      </w:r>
      <w:r w:rsidR="00747F5D">
        <w:rPr>
          <w:szCs w:val="24"/>
        </w:rPr>
        <w:t>ub-section</w:t>
      </w:r>
      <w:r w:rsidRPr="000C69B8">
        <w:rPr>
          <w:szCs w:val="24"/>
        </w:rPr>
        <w:t xml:space="preserve"> 477(2)). </w:t>
      </w:r>
      <w:r>
        <w:rPr>
          <w:szCs w:val="24"/>
        </w:rPr>
        <w:t>The</w:t>
      </w:r>
      <w:r w:rsidR="00747F5D">
        <w:rPr>
          <w:szCs w:val="24"/>
        </w:rPr>
        <w:t> Minister for Health</w:t>
      </w:r>
      <w:r>
        <w:rPr>
          <w:szCs w:val="24"/>
        </w:rPr>
        <w:t xml:space="preserve"> makes </w:t>
      </w:r>
      <w:r w:rsidR="004C1B0C">
        <w:rPr>
          <w:szCs w:val="24"/>
        </w:rPr>
        <w:t xml:space="preserve">emergency </w:t>
      </w:r>
      <w:r>
        <w:rPr>
          <w:szCs w:val="24"/>
        </w:rPr>
        <w:t>requirements or gives directions personally (s</w:t>
      </w:r>
      <w:r w:rsidR="00747F5D">
        <w:rPr>
          <w:szCs w:val="24"/>
        </w:rPr>
        <w:t>ection </w:t>
      </w:r>
      <w:r>
        <w:rPr>
          <w:szCs w:val="24"/>
        </w:rPr>
        <w:t>474).</w:t>
      </w:r>
    </w:p>
    <w:p w14:paraId="42F43C18" w14:textId="77777777" w:rsidR="000E4CE5" w:rsidRDefault="000E4CE5" w:rsidP="000E4CE5">
      <w:pPr>
        <w:pStyle w:val="CAB-NumberedParagraph"/>
        <w:tabs>
          <w:tab w:val="clear" w:pos="1440"/>
        </w:tabs>
        <w:spacing w:before="120" w:after="120" w:line="240" w:lineRule="auto"/>
        <w:ind w:left="0" w:firstLine="0"/>
        <w:rPr>
          <w:rFonts w:ascii="Times New Roman" w:hAnsi="Times New Roman" w:cs="Times New Roman"/>
          <w:sz w:val="24"/>
          <w:szCs w:val="24"/>
        </w:rPr>
      </w:pPr>
      <w:r w:rsidRPr="000C69B8">
        <w:rPr>
          <w:rFonts w:ascii="Times New Roman" w:hAnsi="Times New Roman" w:cs="Times New Roman"/>
          <w:sz w:val="24"/>
          <w:szCs w:val="24"/>
        </w:rPr>
        <w:t xml:space="preserve">The requirements that the </w:t>
      </w:r>
      <w:r w:rsidR="00747F5D">
        <w:rPr>
          <w:rFonts w:ascii="Times New Roman" w:hAnsi="Times New Roman" w:cs="Times New Roman"/>
          <w:sz w:val="24"/>
          <w:szCs w:val="24"/>
        </w:rPr>
        <w:t>Minister for Health</w:t>
      </w:r>
      <w:r w:rsidRPr="000C69B8">
        <w:rPr>
          <w:rFonts w:ascii="Times New Roman" w:hAnsi="Times New Roman" w:cs="Times New Roman"/>
          <w:sz w:val="24"/>
          <w:szCs w:val="24"/>
        </w:rPr>
        <w:t xml:space="preserve"> may deter</w:t>
      </w:r>
      <w:r>
        <w:rPr>
          <w:rFonts w:ascii="Times New Roman" w:hAnsi="Times New Roman" w:cs="Times New Roman"/>
          <w:sz w:val="24"/>
          <w:szCs w:val="24"/>
        </w:rPr>
        <w:t xml:space="preserve">mine include: requirements that </w:t>
      </w:r>
      <w:r w:rsidRPr="000C69B8">
        <w:rPr>
          <w:rFonts w:ascii="Times New Roman" w:hAnsi="Times New Roman" w:cs="Times New Roman"/>
          <w:sz w:val="24"/>
          <w:szCs w:val="24"/>
        </w:rPr>
        <w:t>apply to persons, goods or conveyances when entering or leaving specified places; requirements that restrict or prevent the movement of persons, goods or conveyances in or between specified places; and requirements for specified places to be evacuated (s</w:t>
      </w:r>
      <w:r w:rsidR="00747F5D">
        <w:rPr>
          <w:rFonts w:ascii="Times New Roman" w:hAnsi="Times New Roman" w:cs="Times New Roman"/>
          <w:sz w:val="24"/>
          <w:szCs w:val="24"/>
        </w:rPr>
        <w:t>ub-section</w:t>
      </w:r>
      <w:r w:rsidRPr="000C69B8">
        <w:rPr>
          <w:rFonts w:ascii="Times New Roman" w:hAnsi="Times New Roman" w:cs="Times New Roman"/>
          <w:sz w:val="24"/>
          <w:szCs w:val="24"/>
        </w:rPr>
        <w:t> 477</w:t>
      </w:r>
      <w:r w:rsidR="004C1B0C">
        <w:rPr>
          <w:rFonts w:ascii="Times New Roman" w:hAnsi="Times New Roman" w:cs="Times New Roman"/>
          <w:sz w:val="24"/>
          <w:szCs w:val="24"/>
        </w:rPr>
        <w:t>(3)</w:t>
      </w:r>
      <w:r w:rsidRPr="000C69B8">
        <w:rPr>
          <w:rFonts w:ascii="Times New Roman" w:hAnsi="Times New Roman" w:cs="Times New Roman"/>
          <w:sz w:val="24"/>
          <w:szCs w:val="24"/>
        </w:rPr>
        <w:t>).</w:t>
      </w:r>
    </w:p>
    <w:p w14:paraId="2EB23E09" w14:textId="77777777" w:rsidR="000E4CE5" w:rsidRPr="000167DE" w:rsidRDefault="000E4CE5" w:rsidP="000E4CE5">
      <w:pPr>
        <w:pStyle w:val="BodyText"/>
        <w:rPr>
          <w:rFonts w:eastAsia="Calibri"/>
          <w:b w:val="0"/>
          <w:szCs w:val="24"/>
          <w:lang w:eastAsia="en-US"/>
        </w:rPr>
      </w:pPr>
      <w:r>
        <w:rPr>
          <w:b w:val="0"/>
          <w:szCs w:val="24"/>
        </w:rPr>
        <w:t xml:space="preserve">Requirements </w:t>
      </w:r>
      <w:r w:rsidR="004C1B0C">
        <w:rPr>
          <w:b w:val="0"/>
          <w:szCs w:val="24"/>
        </w:rPr>
        <w:t xml:space="preserve">determined </w:t>
      </w:r>
      <w:r>
        <w:rPr>
          <w:b w:val="0"/>
          <w:szCs w:val="24"/>
        </w:rPr>
        <w:t xml:space="preserve">under </w:t>
      </w:r>
      <w:r w:rsidR="004C1B0C">
        <w:rPr>
          <w:b w:val="0"/>
          <w:szCs w:val="24"/>
        </w:rPr>
        <w:t xml:space="preserve">section 477 </w:t>
      </w:r>
      <w:r>
        <w:rPr>
          <w:b w:val="0"/>
          <w:szCs w:val="24"/>
        </w:rPr>
        <w:t>apply</w:t>
      </w:r>
      <w:r w:rsidRPr="00BC4AF4">
        <w:rPr>
          <w:b w:val="0"/>
          <w:szCs w:val="24"/>
        </w:rPr>
        <w:t xml:space="preserve"> despite any provision of any other Australian law</w:t>
      </w:r>
      <w:r w:rsidR="00747F5D">
        <w:rPr>
          <w:b w:val="0"/>
          <w:szCs w:val="24"/>
        </w:rPr>
        <w:t xml:space="preserve"> (sub-section</w:t>
      </w:r>
      <w:r w:rsidRPr="000C69B8">
        <w:rPr>
          <w:b w:val="0"/>
          <w:szCs w:val="24"/>
        </w:rPr>
        <w:t> 477(5))</w:t>
      </w:r>
      <w:r w:rsidR="00747F5D">
        <w:rPr>
          <w:b w:val="0"/>
          <w:szCs w:val="24"/>
        </w:rPr>
        <w:t>;</w:t>
      </w:r>
      <w:r>
        <w:rPr>
          <w:b w:val="0"/>
          <w:szCs w:val="24"/>
        </w:rPr>
        <w:t xml:space="preserve"> with the potential consequence that a person who acts in accordance with a requirement may be protecte</w:t>
      </w:r>
      <w:r w:rsidR="00F24EA9">
        <w:rPr>
          <w:b w:val="0"/>
          <w:szCs w:val="24"/>
        </w:rPr>
        <w:t xml:space="preserve">d from criminal liability that </w:t>
      </w:r>
      <w:r>
        <w:rPr>
          <w:b w:val="0"/>
          <w:szCs w:val="24"/>
        </w:rPr>
        <w:t xml:space="preserve">would otherwise attach to </w:t>
      </w:r>
      <w:r w:rsidR="00BA77D7">
        <w:rPr>
          <w:b w:val="0"/>
          <w:szCs w:val="24"/>
        </w:rPr>
        <w:t>a</w:t>
      </w:r>
      <w:r>
        <w:rPr>
          <w:b w:val="0"/>
          <w:szCs w:val="24"/>
        </w:rPr>
        <w:t xml:space="preserve"> person’s required actions under State, Territory or Commonwealth law.</w:t>
      </w:r>
      <w:r w:rsidRPr="000C69B8">
        <w:rPr>
          <w:b w:val="0"/>
          <w:szCs w:val="24"/>
        </w:rPr>
        <w:t xml:space="preserve"> </w:t>
      </w:r>
    </w:p>
    <w:p w14:paraId="0702A688" w14:textId="77777777" w:rsidR="000E4CE5" w:rsidRPr="000C69B8" w:rsidRDefault="000E4CE5" w:rsidP="000E4CE5">
      <w:pPr>
        <w:pStyle w:val="ListParagraph"/>
        <w:ind w:left="0"/>
        <w:contextualSpacing/>
        <w:rPr>
          <w:szCs w:val="24"/>
        </w:rPr>
      </w:pPr>
    </w:p>
    <w:p w14:paraId="0BBB58EC" w14:textId="77777777" w:rsidR="000E4CE5" w:rsidRDefault="000E4CE5" w:rsidP="000E4CE5">
      <w:pPr>
        <w:pStyle w:val="BodyText"/>
        <w:rPr>
          <w:b w:val="0"/>
          <w:szCs w:val="24"/>
        </w:rPr>
      </w:pPr>
      <w:r w:rsidRPr="00E60197">
        <w:rPr>
          <w:b w:val="0"/>
          <w:szCs w:val="24"/>
        </w:rPr>
        <w:t xml:space="preserve">The </w:t>
      </w:r>
      <w:r>
        <w:rPr>
          <w:b w:val="0"/>
          <w:szCs w:val="24"/>
        </w:rPr>
        <w:t xml:space="preserve">Australian </w:t>
      </w:r>
      <w:r w:rsidRPr="00E60197">
        <w:rPr>
          <w:b w:val="0"/>
          <w:szCs w:val="24"/>
        </w:rPr>
        <w:t xml:space="preserve">Government has established protocols for the exercise of emergency powers under the </w:t>
      </w:r>
      <w:r>
        <w:rPr>
          <w:b w:val="0"/>
          <w:iCs/>
          <w:szCs w:val="24"/>
        </w:rPr>
        <w:t xml:space="preserve">Act </w:t>
      </w:r>
      <w:r w:rsidRPr="00E60197">
        <w:rPr>
          <w:b w:val="0"/>
          <w:szCs w:val="24"/>
        </w:rPr>
        <w:t xml:space="preserve">to ensure that the </w:t>
      </w:r>
      <w:r>
        <w:rPr>
          <w:b w:val="0"/>
          <w:szCs w:val="24"/>
        </w:rPr>
        <w:t xml:space="preserve">emergency </w:t>
      </w:r>
      <w:r w:rsidRPr="00E60197">
        <w:rPr>
          <w:b w:val="0"/>
          <w:szCs w:val="24"/>
        </w:rPr>
        <w:t>powers are only used where necessary to protect the health of Australians, based on expert advice and following appropriate consultation.</w:t>
      </w:r>
    </w:p>
    <w:p w14:paraId="2D4EFAFA" w14:textId="77777777" w:rsidR="000E4CE5" w:rsidRDefault="000E4CE5" w:rsidP="000E4CE5">
      <w:pPr>
        <w:pStyle w:val="BodyText"/>
        <w:rPr>
          <w:b w:val="0"/>
          <w:szCs w:val="24"/>
        </w:rPr>
      </w:pPr>
    </w:p>
    <w:p w14:paraId="4A1F7977" w14:textId="77777777" w:rsidR="00427C44" w:rsidRDefault="000E4CE5" w:rsidP="00507AF0">
      <w:pPr>
        <w:pStyle w:val="NoSpacing"/>
      </w:pPr>
      <w:r>
        <w:t xml:space="preserve">To ensure that the </w:t>
      </w:r>
      <w:r w:rsidR="00BA77D7">
        <w:t>amendment</w:t>
      </w:r>
      <w:r>
        <w:t xml:space="preserve"> is in place to address emergency human biosecurity risk, the </w:t>
      </w:r>
      <w:r w:rsidR="00563489">
        <w:t>Amendment</w:t>
      </w:r>
      <w:r w:rsidR="003A183D">
        <w:t xml:space="preserve"> Determination</w:t>
      </w:r>
      <w:r>
        <w:t xml:space="preserve"> commences immediately after it is registered.</w:t>
      </w:r>
    </w:p>
    <w:p w14:paraId="3831A41C" w14:textId="63719B10" w:rsidR="00427C44" w:rsidRDefault="00427C44">
      <w:r>
        <w:br w:type="page"/>
      </w:r>
    </w:p>
    <w:p w14:paraId="57B70F0C" w14:textId="77777777" w:rsidR="00403F52" w:rsidRPr="00B07E2F" w:rsidRDefault="0096736B" w:rsidP="00403F52">
      <w:pPr>
        <w:pStyle w:val="NoSpacing"/>
        <w:jc w:val="both"/>
      </w:pPr>
      <w:r w:rsidRPr="00047BA3">
        <w:rPr>
          <w:b/>
          <w:szCs w:val="24"/>
        </w:rPr>
        <w:lastRenderedPageBreak/>
        <w:t>Consultation</w:t>
      </w:r>
    </w:p>
    <w:p w14:paraId="24C91322" w14:textId="77777777" w:rsidR="00403F52" w:rsidRDefault="00403F52" w:rsidP="00403F52">
      <w:pPr>
        <w:pStyle w:val="NoSpacing"/>
        <w:jc w:val="both"/>
        <w:rPr>
          <w:b/>
          <w:szCs w:val="24"/>
        </w:rPr>
      </w:pPr>
    </w:p>
    <w:p w14:paraId="50EFB5AD" w14:textId="70C0A3D4" w:rsidR="004E7A93" w:rsidRPr="004E7A93" w:rsidRDefault="00E719A1" w:rsidP="004E7A93">
      <w:pPr>
        <w:pStyle w:val="NoSpacing"/>
        <w:jc w:val="both"/>
        <w:rPr>
          <w:szCs w:val="24"/>
        </w:rPr>
      </w:pPr>
      <w:r>
        <w:rPr>
          <w:szCs w:val="24"/>
        </w:rPr>
        <w:t xml:space="preserve">These amendments to the </w:t>
      </w:r>
      <w:r w:rsidR="00E15C0C">
        <w:rPr>
          <w:szCs w:val="24"/>
        </w:rPr>
        <w:t>current D</w:t>
      </w:r>
      <w:r>
        <w:rPr>
          <w:szCs w:val="24"/>
        </w:rPr>
        <w:t>etermination are</w:t>
      </w:r>
      <w:r w:rsidR="00CF3D17">
        <w:rPr>
          <w:szCs w:val="24"/>
        </w:rPr>
        <w:t xml:space="preserve"> </w:t>
      </w:r>
      <w:r w:rsidR="00E66CDE" w:rsidRPr="004E33A2">
        <w:rPr>
          <w:szCs w:val="24"/>
        </w:rPr>
        <w:t>supported by advice from the Direct</w:t>
      </w:r>
      <w:r w:rsidR="009D39D9">
        <w:rPr>
          <w:szCs w:val="24"/>
        </w:rPr>
        <w:t>or of Human Biosecurity</w:t>
      </w:r>
      <w:r w:rsidR="00E15C0C">
        <w:rPr>
          <w:szCs w:val="24"/>
        </w:rPr>
        <w:t xml:space="preserve">, </w:t>
      </w:r>
      <w:r w:rsidR="00EE6DDF" w:rsidRPr="00EE6DDF">
        <w:rPr>
          <w:szCs w:val="24"/>
        </w:rPr>
        <w:t>Hon Ken Wyatt AM MP, Minister for Indigenous Australians</w:t>
      </w:r>
      <w:r w:rsidR="003A183D">
        <w:rPr>
          <w:szCs w:val="24"/>
        </w:rPr>
        <w:t>,</w:t>
      </w:r>
      <w:r w:rsidR="00EE6DDF" w:rsidRPr="00EE6DDF">
        <w:rPr>
          <w:szCs w:val="24"/>
        </w:rPr>
        <w:t xml:space="preserve"> </w:t>
      </w:r>
      <w:r w:rsidR="003A183D">
        <w:rPr>
          <w:szCs w:val="24"/>
        </w:rPr>
        <w:t>and</w:t>
      </w:r>
      <w:r w:rsidR="005146C1">
        <w:rPr>
          <w:szCs w:val="24"/>
        </w:rPr>
        <w:t xml:space="preserve"> </w:t>
      </w:r>
      <w:r w:rsidR="00B70B89" w:rsidRPr="00B70B89">
        <w:rPr>
          <w:szCs w:val="24"/>
        </w:rPr>
        <w:t>Annastacia Palaszczuk MP</w:t>
      </w:r>
      <w:r w:rsidR="00B70B89">
        <w:rPr>
          <w:szCs w:val="24"/>
        </w:rPr>
        <w:t xml:space="preserve">, </w:t>
      </w:r>
      <w:r w:rsidR="00E526E8">
        <w:rPr>
          <w:szCs w:val="24"/>
        </w:rPr>
        <w:t>Minister for Trade and Premier of Queensland.</w:t>
      </w:r>
    </w:p>
    <w:p w14:paraId="17197BC7" w14:textId="77777777" w:rsidR="004E7A93" w:rsidRPr="004E7A93" w:rsidRDefault="004E7A93" w:rsidP="004E7A93">
      <w:pPr>
        <w:pStyle w:val="NoSpacing"/>
        <w:rPr>
          <w:szCs w:val="24"/>
        </w:rPr>
      </w:pPr>
    </w:p>
    <w:p w14:paraId="47AE312C" w14:textId="3BB77141" w:rsidR="0023139B" w:rsidRPr="0023139B" w:rsidRDefault="004E7A93" w:rsidP="004E7A93">
      <w:pPr>
        <w:pStyle w:val="NoSpacing"/>
        <w:jc w:val="both"/>
        <w:rPr>
          <w:szCs w:val="24"/>
        </w:rPr>
      </w:pPr>
      <w:r w:rsidRPr="004E7A93">
        <w:rPr>
          <w:szCs w:val="24"/>
        </w:rPr>
        <w:t>Consultation also occurred</w:t>
      </w:r>
      <w:r w:rsidR="00AC39E9">
        <w:rPr>
          <w:szCs w:val="24"/>
        </w:rPr>
        <w:t xml:space="preserve"> with the </w:t>
      </w:r>
      <w:r w:rsidRPr="004E7A93">
        <w:rPr>
          <w:szCs w:val="24"/>
        </w:rPr>
        <w:t xml:space="preserve">relevant </w:t>
      </w:r>
      <w:r w:rsidR="00566D9E">
        <w:rPr>
          <w:szCs w:val="24"/>
        </w:rPr>
        <w:t>S</w:t>
      </w:r>
      <w:r w:rsidRPr="004E7A93">
        <w:rPr>
          <w:szCs w:val="24"/>
        </w:rPr>
        <w:t xml:space="preserve">tates and </w:t>
      </w:r>
      <w:r w:rsidR="00566D9E">
        <w:rPr>
          <w:szCs w:val="24"/>
        </w:rPr>
        <w:t>T</w:t>
      </w:r>
      <w:r w:rsidR="00BA77D7">
        <w:rPr>
          <w:szCs w:val="24"/>
        </w:rPr>
        <w:t xml:space="preserve">erritories, </w:t>
      </w:r>
      <w:r w:rsidR="008B0045">
        <w:rPr>
          <w:szCs w:val="24"/>
        </w:rPr>
        <w:t xml:space="preserve">relevant </w:t>
      </w:r>
      <w:r w:rsidRPr="004E7A93">
        <w:rPr>
          <w:szCs w:val="24"/>
        </w:rPr>
        <w:t>Land Councils</w:t>
      </w:r>
      <w:r w:rsidR="00BA77D7">
        <w:rPr>
          <w:szCs w:val="24"/>
        </w:rPr>
        <w:t>,</w:t>
      </w:r>
      <w:r w:rsidR="0023389C">
        <w:rPr>
          <w:szCs w:val="24"/>
        </w:rPr>
        <w:t xml:space="preserve"> the </w:t>
      </w:r>
      <w:r w:rsidR="00BA77D7">
        <w:rPr>
          <w:szCs w:val="24"/>
        </w:rPr>
        <w:t xml:space="preserve">Prime Minister, </w:t>
      </w:r>
      <w:r w:rsidR="0023389C">
        <w:rPr>
          <w:szCs w:val="24"/>
        </w:rPr>
        <w:t>Attorney-General,</w:t>
      </w:r>
      <w:r w:rsidR="003A183D">
        <w:rPr>
          <w:szCs w:val="24"/>
        </w:rPr>
        <w:t xml:space="preserve"> </w:t>
      </w:r>
      <w:r w:rsidR="0023139B">
        <w:rPr>
          <w:szCs w:val="24"/>
        </w:rPr>
        <w:t xml:space="preserve">Minister </w:t>
      </w:r>
      <w:r w:rsidR="008F78C8">
        <w:rPr>
          <w:szCs w:val="24"/>
        </w:rPr>
        <w:t xml:space="preserve">for </w:t>
      </w:r>
      <w:r w:rsidR="003A183D">
        <w:rPr>
          <w:szCs w:val="24"/>
        </w:rPr>
        <w:t xml:space="preserve">Defence, </w:t>
      </w:r>
      <w:r w:rsidR="0023139B">
        <w:rPr>
          <w:szCs w:val="24"/>
        </w:rPr>
        <w:t xml:space="preserve">Minister </w:t>
      </w:r>
      <w:r w:rsidR="008F78C8">
        <w:rPr>
          <w:szCs w:val="24"/>
        </w:rPr>
        <w:t xml:space="preserve">for </w:t>
      </w:r>
      <w:r w:rsidR="003A183D">
        <w:rPr>
          <w:szCs w:val="24"/>
        </w:rPr>
        <w:t>Home Affairs,</w:t>
      </w:r>
      <w:r w:rsidR="0023139B">
        <w:rPr>
          <w:szCs w:val="24"/>
        </w:rPr>
        <w:t xml:space="preserve"> Minister for Indigenous A</w:t>
      </w:r>
      <w:r w:rsidR="00DF5F02">
        <w:rPr>
          <w:szCs w:val="24"/>
        </w:rPr>
        <w:t>ustralians</w:t>
      </w:r>
      <w:r w:rsidR="0023139B">
        <w:rPr>
          <w:szCs w:val="24"/>
        </w:rPr>
        <w:t xml:space="preserve"> and the Minister </w:t>
      </w:r>
      <w:r w:rsidR="008F78C8">
        <w:rPr>
          <w:szCs w:val="24"/>
        </w:rPr>
        <w:t xml:space="preserve">for </w:t>
      </w:r>
      <w:r w:rsidR="00DF5F02" w:rsidRPr="00DF5F02">
        <w:rPr>
          <w:szCs w:val="24"/>
        </w:rPr>
        <w:t>Agriculture, Drought and Emergency Management</w:t>
      </w:r>
      <w:r w:rsidR="008B0045">
        <w:rPr>
          <w:szCs w:val="24"/>
        </w:rPr>
        <w:t>.</w:t>
      </w:r>
      <w:r w:rsidR="00BA77D7">
        <w:rPr>
          <w:szCs w:val="24"/>
        </w:rPr>
        <w:t xml:space="preserve"> </w:t>
      </w:r>
    </w:p>
    <w:p w14:paraId="00A14173" w14:textId="77777777" w:rsidR="00403F52" w:rsidRPr="00B8451A" w:rsidRDefault="00403F52" w:rsidP="00047BA3">
      <w:pPr>
        <w:pStyle w:val="NoSpacing"/>
        <w:jc w:val="both"/>
        <w:rPr>
          <w:szCs w:val="24"/>
        </w:rPr>
      </w:pPr>
    </w:p>
    <w:p w14:paraId="455891CC" w14:textId="2345D945" w:rsidR="00834BC1" w:rsidRPr="00047BA3" w:rsidRDefault="008A4795" w:rsidP="00047BA3">
      <w:pPr>
        <w:pStyle w:val="NoSpacing"/>
        <w:jc w:val="both"/>
        <w:rPr>
          <w:szCs w:val="24"/>
        </w:rPr>
      </w:pPr>
      <w:r w:rsidRPr="00B8451A">
        <w:rPr>
          <w:szCs w:val="24"/>
        </w:rPr>
        <w:t xml:space="preserve">The </w:t>
      </w:r>
      <w:r w:rsidR="00563489">
        <w:rPr>
          <w:szCs w:val="24"/>
        </w:rPr>
        <w:t>Amendment</w:t>
      </w:r>
      <w:r w:rsidR="00E719A1">
        <w:rPr>
          <w:szCs w:val="24"/>
        </w:rPr>
        <w:t xml:space="preserve"> </w:t>
      </w:r>
      <w:r w:rsidR="003A183D">
        <w:rPr>
          <w:szCs w:val="24"/>
        </w:rPr>
        <w:t>D</w:t>
      </w:r>
      <w:r w:rsidR="00747F5D">
        <w:rPr>
          <w:szCs w:val="24"/>
        </w:rPr>
        <w:t>etermination</w:t>
      </w:r>
      <w:r w:rsidR="009B36E7" w:rsidRPr="00B8451A">
        <w:rPr>
          <w:szCs w:val="24"/>
        </w:rPr>
        <w:t xml:space="preserve"> </w:t>
      </w:r>
      <w:r w:rsidR="00BB3148" w:rsidRPr="00B8451A">
        <w:rPr>
          <w:szCs w:val="24"/>
        </w:rPr>
        <w:t xml:space="preserve">is a </w:t>
      </w:r>
      <w:r w:rsidR="002E36C6" w:rsidRPr="00B8451A">
        <w:rPr>
          <w:szCs w:val="24"/>
        </w:rPr>
        <w:t>non-disallowable</w:t>
      </w:r>
      <w:r w:rsidR="002E36C6" w:rsidRPr="00047BA3">
        <w:rPr>
          <w:szCs w:val="24"/>
        </w:rPr>
        <w:t xml:space="preserve"> </w:t>
      </w:r>
      <w:r w:rsidR="00BB3148" w:rsidRPr="00047BA3">
        <w:rPr>
          <w:szCs w:val="24"/>
        </w:rPr>
        <w:t xml:space="preserve">legislative instrument </w:t>
      </w:r>
      <w:r w:rsidR="002E36C6" w:rsidRPr="00047BA3">
        <w:rPr>
          <w:szCs w:val="24"/>
        </w:rPr>
        <w:t xml:space="preserve">under </w:t>
      </w:r>
      <w:r w:rsidR="00BB3148" w:rsidRPr="00047BA3">
        <w:rPr>
          <w:szCs w:val="24"/>
        </w:rPr>
        <w:t xml:space="preserve">the </w:t>
      </w:r>
      <w:r w:rsidR="00BB3148" w:rsidRPr="00047BA3">
        <w:rPr>
          <w:i/>
          <w:szCs w:val="24"/>
        </w:rPr>
        <w:t>Legislation Act 2003</w:t>
      </w:r>
      <w:r w:rsidR="002E36C6" w:rsidRPr="00047BA3">
        <w:rPr>
          <w:szCs w:val="24"/>
        </w:rPr>
        <w:t>.</w:t>
      </w:r>
      <w:r w:rsidR="00C86055" w:rsidRPr="00047BA3">
        <w:rPr>
          <w:szCs w:val="24"/>
        </w:rPr>
        <w:t xml:space="preserve"> The Act provides </w:t>
      </w:r>
      <w:r w:rsidR="00F65088" w:rsidRPr="00047BA3">
        <w:rPr>
          <w:szCs w:val="24"/>
        </w:rPr>
        <w:t>for</w:t>
      </w:r>
      <w:r w:rsidR="003A183D">
        <w:rPr>
          <w:szCs w:val="24"/>
        </w:rPr>
        <w:t xml:space="preserve"> </w:t>
      </w:r>
      <w:r w:rsidR="00EF7945">
        <w:rPr>
          <w:szCs w:val="24"/>
        </w:rPr>
        <w:t>requirement</w:t>
      </w:r>
      <w:r w:rsidR="003A183D">
        <w:rPr>
          <w:szCs w:val="24"/>
        </w:rPr>
        <w:t>s</w:t>
      </w:r>
      <w:r w:rsidR="00C86055" w:rsidRPr="00047BA3">
        <w:rPr>
          <w:szCs w:val="24"/>
        </w:rPr>
        <w:t xml:space="preserve"> </w:t>
      </w:r>
      <w:r w:rsidR="00BE3E86" w:rsidRPr="00047BA3">
        <w:rPr>
          <w:szCs w:val="24"/>
        </w:rPr>
        <w:t>to be</w:t>
      </w:r>
      <w:r w:rsidR="00C86055" w:rsidRPr="00047BA3">
        <w:rPr>
          <w:szCs w:val="24"/>
        </w:rPr>
        <w:t xml:space="preserve"> non-disallowable to ensure that the Commonweal</w:t>
      </w:r>
      <w:r w:rsidR="00643298" w:rsidRPr="00047BA3">
        <w:rPr>
          <w:szCs w:val="24"/>
        </w:rPr>
        <w:t xml:space="preserve">th is able to take the </w:t>
      </w:r>
      <w:r w:rsidR="00C86055" w:rsidRPr="00047BA3">
        <w:rPr>
          <w:szCs w:val="24"/>
        </w:rPr>
        <w:t>urgent action necessary to manage a nationally significant threat or harm to Australia’s human health.</w:t>
      </w:r>
    </w:p>
    <w:p w14:paraId="71DE21B7" w14:textId="77777777" w:rsidR="00BB3148" w:rsidRPr="00047BA3" w:rsidRDefault="00BB3148" w:rsidP="00047BA3">
      <w:pPr>
        <w:pStyle w:val="NoSpacing"/>
        <w:jc w:val="both"/>
        <w:rPr>
          <w:szCs w:val="24"/>
        </w:rPr>
      </w:pPr>
    </w:p>
    <w:p w14:paraId="71C05048" w14:textId="77777777" w:rsidR="00834BC1" w:rsidRPr="00047BA3" w:rsidRDefault="00834BC1" w:rsidP="00047BA3">
      <w:pPr>
        <w:pStyle w:val="NoSpacing"/>
        <w:jc w:val="both"/>
        <w:rPr>
          <w:szCs w:val="24"/>
        </w:rPr>
      </w:pPr>
      <w:r w:rsidRPr="00047BA3">
        <w:rPr>
          <w:szCs w:val="24"/>
        </w:rPr>
        <w:t xml:space="preserve">A </w:t>
      </w:r>
      <w:r w:rsidR="00747F5D" w:rsidRPr="00047BA3">
        <w:rPr>
          <w:szCs w:val="24"/>
        </w:rPr>
        <w:t>provision-by-provision</w:t>
      </w:r>
      <w:r w:rsidRPr="00047BA3">
        <w:rPr>
          <w:szCs w:val="24"/>
        </w:rPr>
        <w:t xml:space="preserve"> description of the</w:t>
      </w:r>
      <w:r w:rsidR="00235075" w:rsidRPr="00047BA3">
        <w:rPr>
          <w:szCs w:val="24"/>
        </w:rPr>
        <w:t xml:space="preserve"> </w:t>
      </w:r>
      <w:r w:rsidR="00E719A1">
        <w:rPr>
          <w:szCs w:val="24"/>
        </w:rPr>
        <w:t>amendments</w:t>
      </w:r>
      <w:r w:rsidR="005A3C2F" w:rsidRPr="00047BA3">
        <w:rPr>
          <w:szCs w:val="24"/>
        </w:rPr>
        <w:t xml:space="preserve"> </w:t>
      </w:r>
      <w:r w:rsidRPr="00047BA3">
        <w:rPr>
          <w:szCs w:val="24"/>
        </w:rPr>
        <w:t>is contained in the Attachment.</w:t>
      </w:r>
    </w:p>
    <w:p w14:paraId="79D4BC16" w14:textId="77777777" w:rsidR="009049A4" w:rsidRPr="00047BA3" w:rsidRDefault="009049A4" w:rsidP="00047BA3">
      <w:pPr>
        <w:jc w:val="both"/>
        <w:rPr>
          <w:szCs w:val="24"/>
        </w:rPr>
      </w:pPr>
    </w:p>
    <w:p w14:paraId="7140816A" w14:textId="77777777" w:rsidR="006910FE" w:rsidRPr="00047BA3" w:rsidRDefault="00771C08" w:rsidP="007B4E27">
      <w:pPr>
        <w:jc w:val="right"/>
        <w:rPr>
          <w:i/>
          <w:szCs w:val="24"/>
        </w:rPr>
      </w:pPr>
      <w:r w:rsidRPr="00047BA3">
        <w:rPr>
          <w:b/>
          <w:szCs w:val="24"/>
        </w:rPr>
        <w:br w:type="page"/>
      </w:r>
      <w:r w:rsidR="006910FE" w:rsidRPr="00047BA3">
        <w:rPr>
          <w:b/>
          <w:szCs w:val="24"/>
        </w:rPr>
        <w:lastRenderedPageBreak/>
        <w:t>ATTACHMENT</w:t>
      </w:r>
    </w:p>
    <w:p w14:paraId="52B1AF3A" w14:textId="77777777" w:rsidR="006910FE" w:rsidRPr="00047BA3" w:rsidRDefault="006910FE" w:rsidP="006910FE">
      <w:pPr>
        <w:jc w:val="right"/>
        <w:rPr>
          <w:b/>
          <w:szCs w:val="24"/>
        </w:rPr>
      </w:pPr>
    </w:p>
    <w:p w14:paraId="059C1752" w14:textId="77777777" w:rsidR="006910FE" w:rsidRPr="00693EFD" w:rsidRDefault="00693EFD" w:rsidP="006910FE">
      <w:pPr>
        <w:rPr>
          <w:b/>
          <w:i/>
          <w:szCs w:val="24"/>
          <w:u w:val="single"/>
        </w:rPr>
      </w:pPr>
      <w:r w:rsidRPr="00DA57DA">
        <w:rPr>
          <w:b/>
          <w:i/>
          <w:szCs w:val="24"/>
          <w:u w:val="single"/>
        </w:rPr>
        <w:t>Biosecurity (Human Biosecurity Emergency) (Human Coronavirus with Pandemic Potential) (Emergency Requirement</w:t>
      </w:r>
      <w:r w:rsidR="009611E3">
        <w:rPr>
          <w:b/>
          <w:i/>
          <w:szCs w:val="24"/>
          <w:u w:val="single"/>
        </w:rPr>
        <w:t>s</w:t>
      </w:r>
      <w:r w:rsidR="00487ABF">
        <w:rPr>
          <w:b/>
          <w:i/>
          <w:szCs w:val="24"/>
          <w:u w:val="single"/>
        </w:rPr>
        <w:t xml:space="preserve"> for Remote Communities</w:t>
      </w:r>
      <w:r w:rsidR="009611E3">
        <w:rPr>
          <w:b/>
          <w:i/>
          <w:szCs w:val="24"/>
          <w:u w:val="single"/>
        </w:rPr>
        <w:t xml:space="preserve">) </w:t>
      </w:r>
      <w:r w:rsidR="009D3AF1">
        <w:rPr>
          <w:b/>
          <w:i/>
          <w:szCs w:val="24"/>
          <w:u w:val="single"/>
        </w:rPr>
        <w:t>Amendment</w:t>
      </w:r>
      <w:r w:rsidRPr="00DA57DA">
        <w:rPr>
          <w:b/>
          <w:i/>
          <w:szCs w:val="24"/>
          <w:u w:val="single"/>
        </w:rPr>
        <w:t xml:space="preserve"> Determination</w:t>
      </w:r>
      <w:r w:rsidR="009611E3">
        <w:rPr>
          <w:b/>
          <w:i/>
          <w:szCs w:val="24"/>
          <w:u w:val="single"/>
        </w:rPr>
        <w:t xml:space="preserve"> (No.</w:t>
      </w:r>
      <w:r w:rsidR="00007640">
        <w:rPr>
          <w:b/>
          <w:i/>
          <w:szCs w:val="24"/>
          <w:u w:val="single"/>
        </w:rPr>
        <w:t xml:space="preserve"> </w:t>
      </w:r>
      <w:r w:rsidR="006A6BC2">
        <w:rPr>
          <w:b/>
          <w:i/>
          <w:szCs w:val="24"/>
          <w:u w:val="single"/>
        </w:rPr>
        <w:t>2</w:t>
      </w:r>
      <w:r w:rsidR="009611E3">
        <w:rPr>
          <w:b/>
          <w:i/>
          <w:szCs w:val="24"/>
          <w:u w:val="single"/>
        </w:rPr>
        <w:t>)</w:t>
      </w:r>
      <w:r w:rsidRPr="00DA57DA">
        <w:rPr>
          <w:b/>
          <w:i/>
          <w:szCs w:val="24"/>
          <w:u w:val="single"/>
        </w:rPr>
        <w:t xml:space="preserve"> 2020</w:t>
      </w:r>
    </w:p>
    <w:p w14:paraId="503750B2" w14:textId="77777777" w:rsidR="00693EFD" w:rsidRPr="00047BA3" w:rsidRDefault="00693EFD" w:rsidP="006910FE">
      <w:pPr>
        <w:rPr>
          <w:b/>
          <w:szCs w:val="24"/>
          <w:u w:val="single"/>
        </w:rPr>
      </w:pPr>
    </w:p>
    <w:p w14:paraId="751FA76F" w14:textId="77777777" w:rsidR="006910FE" w:rsidRDefault="006910FE" w:rsidP="00B56616">
      <w:pPr>
        <w:numPr>
          <w:ilvl w:val="0"/>
          <w:numId w:val="2"/>
        </w:numPr>
        <w:tabs>
          <w:tab w:val="clear" w:pos="1080"/>
        </w:tabs>
        <w:ind w:left="0" w:firstLine="0"/>
        <w:rPr>
          <w:b/>
          <w:szCs w:val="24"/>
        </w:rPr>
      </w:pPr>
      <w:r w:rsidRPr="00047BA3">
        <w:rPr>
          <w:b/>
          <w:szCs w:val="24"/>
        </w:rPr>
        <w:t xml:space="preserve">Name </w:t>
      </w:r>
    </w:p>
    <w:p w14:paraId="5A67474E" w14:textId="77777777" w:rsidR="005E2C17" w:rsidRPr="005E2C17" w:rsidRDefault="005E2C17" w:rsidP="005E2C17">
      <w:pPr>
        <w:rPr>
          <w:szCs w:val="24"/>
        </w:rPr>
      </w:pPr>
      <w:r>
        <w:rPr>
          <w:szCs w:val="24"/>
        </w:rPr>
        <w:t xml:space="preserve">Section 1 provides for the Amendment Determination to be referred to as the </w:t>
      </w:r>
      <w:r>
        <w:rPr>
          <w:i/>
          <w:szCs w:val="24"/>
        </w:rPr>
        <w:t xml:space="preserve">Biosecurity </w:t>
      </w:r>
      <w:r w:rsidRPr="005E2C17">
        <w:rPr>
          <w:i/>
          <w:szCs w:val="24"/>
        </w:rPr>
        <w:t>(Human Biosecurity Emergency) (Human Coronavirus with Pandemic Potential) (Emergency Requirements for Remote Communities) Amendment Determination (No.</w:t>
      </w:r>
      <w:r w:rsidR="006D7327">
        <w:rPr>
          <w:i/>
          <w:szCs w:val="24"/>
        </w:rPr>
        <w:t xml:space="preserve"> 2</w:t>
      </w:r>
      <w:r w:rsidRPr="005E2C17">
        <w:rPr>
          <w:i/>
          <w:szCs w:val="24"/>
        </w:rPr>
        <w:t>) 2020</w:t>
      </w:r>
      <w:r>
        <w:rPr>
          <w:szCs w:val="24"/>
        </w:rPr>
        <w:t>.</w:t>
      </w:r>
    </w:p>
    <w:p w14:paraId="47277073" w14:textId="77777777" w:rsidR="006910FE" w:rsidRPr="00047BA3" w:rsidRDefault="006910FE" w:rsidP="006910FE">
      <w:pPr>
        <w:rPr>
          <w:b/>
          <w:szCs w:val="24"/>
        </w:rPr>
      </w:pPr>
    </w:p>
    <w:p w14:paraId="4F11C1F2" w14:textId="77777777" w:rsidR="006910FE" w:rsidRPr="00047BA3" w:rsidRDefault="006910FE" w:rsidP="00B56616">
      <w:pPr>
        <w:numPr>
          <w:ilvl w:val="0"/>
          <w:numId w:val="2"/>
        </w:numPr>
        <w:tabs>
          <w:tab w:val="clear" w:pos="1080"/>
        </w:tabs>
        <w:ind w:left="0" w:firstLine="0"/>
        <w:rPr>
          <w:b/>
          <w:szCs w:val="24"/>
        </w:rPr>
      </w:pPr>
      <w:r w:rsidRPr="00047BA3">
        <w:rPr>
          <w:b/>
          <w:szCs w:val="24"/>
        </w:rPr>
        <w:t>Commencement</w:t>
      </w:r>
    </w:p>
    <w:p w14:paraId="774A3667" w14:textId="77777777" w:rsidR="006910FE" w:rsidRPr="00047BA3" w:rsidRDefault="006910FE" w:rsidP="006910FE">
      <w:pPr>
        <w:rPr>
          <w:szCs w:val="24"/>
        </w:rPr>
      </w:pPr>
      <w:r w:rsidRPr="00047BA3">
        <w:rPr>
          <w:szCs w:val="24"/>
        </w:rPr>
        <w:t xml:space="preserve">Section 2 provides that the </w:t>
      </w:r>
      <w:r w:rsidR="00A838E7">
        <w:rPr>
          <w:szCs w:val="24"/>
        </w:rPr>
        <w:t xml:space="preserve">Amendment Determination </w:t>
      </w:r>
      <w:r w:rsidRPr="00047BA3">
        <w:rPr>
          <w:szCs w:val="24"/>
        </w:rPr>
        <w:t>commences</w:t>
      </w:r>
      <w:r w:rsidR="006E4F23" w:rsidRPr="00047BA3">
        <w:rPr>
          <w:szCs w:val="24"/>
        </w:rPr>
        <w:t xml:space="preserve"> </w:t>
      </w:r>
      <w:r w:rsidR="005D7EE6">
        <w:rPr>
          <w:szCs w:val="24"/>
        </w:rPr>
        <w:t>the day after the instrument is registered.</w:t>
      </w:r>
    </w:p>
    <w:p w14:paraId="75161748" w14:textId="77777777" w:rsidR="00D24CCD" w:rsidRPr="00047BA3" w:rsidRDefault="00D24CCD" w:rsidP="00D24CCD">
      <w:pPr>
        <w:tabs>
          <w:tab w:val="left" w:pos="2130"/>
        </w:tabs>
        <w:rPr>
          <w:b/>
          <w:szCs w:val="24"/>
        </w:rPr>
      </w:pPr>
      <w:r w:rsidRPr="00047BA3">
        <w:rPr>
          <w:b/>
          <w:szCs w:val="24"/>
        </w:rPr>
        <w:tab/>
      </w:r>
    </w:p>
    <w:p w14:paraId="6B882DC0" w14:textId="77777777" w:rsidR="006910FE" w:rsidRPr="00047BA3" w:rsidRDefault="00142972" w:rsidP="00B56616">
      <w:pPr>
        <w:numPr>
          <w:ilvl w:val="0"/>
          <w:numId w:val="2"/>
        </w:numPr>
        <w:tabs>
          <w:tab w:val="clear" w:pos="1080"/>
        </w:tabs>
        <w:ind w:left="0" w:firstLine="0"/>
        <w:rPr>
          <w:b/>
          <w:i/>
          <w:szCs w:val="24"/>
        </w:rPr>
      </w:pPr>
      <w:r w:rsidRPr="00047BA3">
        <w:rPr>
          <w:b/>
          <w:szCs w:val="24"/>
        </w:rPr>
        <w:t>Authority</w:t>
      </w:r>
    </w:p>
    <w:p w14:paraId="624FFDAF" w14:textId="77777777" w:rsidR="006910FE" w:rsidRPr="00047BA3" w:rsidRDefault="006910FE" w:rsidP="006910FE">
      <w:pPr>
        <w:rPr>
          <w:szCs w:val="24"/>
        </w:rPr>
      </w:pPr>
      <w:r w:rsidRPr="00047BA3">
        <w:rPr>
          <w:szCs w:val="24"/>
        </w:rPr>
        <w:t xml:space="preserve">Section 3 provides that the </w:t>
      </w:r>
      <w:r w:rsidR="00A838E7">
        <w:rPr>
          <w:szCs w:val="24"/>
        </w:rPr>
        <w:t>Amendment Determination</w:t>
      </w:r>
      <w:r w:rsidRPr="00047BA3">
        <w:rPr>
          <w:szCs w:val="24"/>
        </w:rPr>
        <w:t xml:space="preserve"> is made under </w:t>
      </w:r>
      <w:r w:rsidR="00E25194" w:rsidRPr="00047BA3">
        <w:rPr>
          <w:szCs w:val="24"/>
        </w:rPr>
        <w:t>subsection 477(1)</w:t>
      </w:r>
      <w:r w:rsidR="00142972" w:rsidRPr="00047BA3">
        <w:rPr>
          <w:szCs w:val="24"/>
        </w:rPr>
        <w:t xml:space="preserve"> of the </w:t>
      </w:r>
      <w:r w:rsidR="005005D5" w:rsidRPr="00047BA3">
        <w:rPr>
          <w:i/>
          <w:szCs w:val="24"/>
        </w:rPr>
        <w:t>Biosecurity Act 2015</w:t>
      </w:r>
      <w:r w:rsidR="007D12C1" w:rsidRPr="00047BA3">
        <w:rPr>
          <w:szCs w:val="24"/>
        </w:rPr>
        <w:t>.</w:t>
      </w:r>
    </w:p>
    <w:p w14:paraId="31C401CF" w14:textId="77777777" w:rsidR="006910FE" w:rsidRPr="00047BA3" w:rsidRDefault="006910FE" w:rsidP="006910FE">
      <w:pPr>
        <w:rPr>
          <w:szCs w:val="24"/>
        </w:rPr>
      </w:pPr>
    </w:p>
    <w:p w14:paraId="478636DE" w14:textId="77777777" w:rsidR="00E11AEC" w:rsidRPr="00EB7D6F" w:rsidRDefault="009700C4" w:rsidP="00EB7D6F">
      <w:pPr>
        <w:numPr>
          <w:ilvl w:val="0"/>
          <w:numId w:val="2"/>
        </w:numPr>
        <w:tabs>
          <w:tab w:val="clear" w:pos="1080"/>
        </w:tabs>
        <w:ind w:left="0" w:firstLine="0"/>
        <w:rPr>
          <w:b/>
          <w:szCs w:val="24"/>
        </w:rPr>
      </w:pPr>
      <w:r>
        <w:rPr>
          <w:b/>
          <w:szCs w:val="24"/>
        </w:rPr>
        <w:t xml:space="preserve">Schedules </w:t>
      </w:r>
    </w:p>
    <w:p w14:paraId="02F3C63B" w14:textId="77777777" w:rsidR="000A5465" w:rsidRPr="000A5465" w:rsidRDefault="000A5465" w:rsidP="00BE427A">
      <w:pPr>
        <w:rPr>
          <w:szCs w:val="24"/>
        </w:rPr>
      </w:pPr>
      <w:r>
        <w:rPr>
          <w:szCs w:val="24"/>
        </w:rPr>
        <w:t>Section 4 provides that each instrument that is specified in a Schedu</w:t>
      </w:r>
      <w:r w:rsidR="00D247B2">
        <w:rPr>
          <w:szCs w:val="24"/>
        </w:rPr>
        <w:t>le to the</w:t>
      </w:r>
      <w:r>
        <w:rPr>
          <w:szCs w:val="24"/>
        </w:rPr>
        <w:t xml:space="preserve"> Amendment Determination is amended or repealed as set out in the applicable items in the Schedule concerned, and any other item in a Schedule to this Amendment Determination has effect according to its </w:t>
      </w:r>
      <w:r w:rsidR="00D247B2">
        <w:rPr>
          <w:szCs w:val="24"/>
        </w:rPr>
        <w:t>terms</w:t>
      </w:r>
      <w:r>
        <w:rPr>
          <w:szCs w:val="24"/>
        </w:rPr>
        <w:t>.</w:t>
      </w:r>
    </w:p>
    <w:p w14:paraId="5D088845" w14:textId="2CD3F1FD" w:rsidR="00427C44" w:rsidRDefault="00427C44">
      <w:pPr>
        <w:rPr>
          <w:b/>
          <w:szCs w:val="24"/>
        </w:rPr>
      </w:pPr>
      <w:r>
        <w:rPr>
          <w:b/>
          <w:szCs w:val="24"/>
        </w:rPr>
        <w:br w:type="page"/>
      </w:r>
    </w:p>
    <w:p w14:paraId="7FF15293" w14:textId="77777777" w:rsidR="00BE427A" w:rsidRDefault="00BE427A" w:rsidP="00BE427A">
      <w:pPr>
        <w:rPr>
          <w:b/>
          <w:szCs w:val="24"/>
        </w:rPr>
      </w:pPr>
      <w:r>
        <w:rPr>
          <w:b/>
          <w:szCs w:val="24"/>
        </w:rPr>
        <w:lastRenderedPageBreak/>
        <w:t xml:space="preserve">Schedule 1 – </w:t>
      </w:r>
      <w:r w:rsidR="009700C4">
        <w:rPr>
          <w:b/>
          <w:szCs w:val="24"/>
        </w:rPr>
        <w:t xml:space="preserve">Amendments </w:t>
      </w:r>
    </w:p>
    <w:p w14:paraId="67F9D1E7" w14:textId="77777777" w:rsidR="000916DE" w:rsidRPr="000916DE" w:rsidRDefault="000916DE" w:rsidP="002E376F">
      <w:pPr>
        <w:rPr>
          <w:sz w:val="20"/>
        </w:rPr>
      </w:pPr>
    </w:p>
    <w:p w14:paraId="75F67889" w14:textId="77777777" w:rsidR="002E376F" w:rsidRPr="002E376F" w:rsidRDefault="002E376F" w:rsidP="002E376F">
      <w:pPr>
        <w:rPr>
          <w:b/>
          <w:i/>
          <w:szCs w:val="24"/>
        </w:rPr>
      </w:pPr>
      <w:r w:rsidRPr="002E376F">
        <w:rPr>
          <w:b/>
          <w:i/>
          <w:szCs w:val="24"/>
        </w:rPr>
        <w:t xml:space="preserve">Biosecurity (Human Biosecurity Emergency) (Human Coronavirus with Pandemic Potential) (Emergency Requirements for Remote Communities) </w:t>
      </w:r>
      <w:r w:rsidR="00A86DD4">
        <w:rPr>
          <w:b/>
          <w:i/>
          <w:szCs w:val="24"/>
        </w:rPr>
        <w:t xml:space="preserve">Amendment </w:t>
      </w:r>
      <w:r w:rsidRPr="002E376F">
        <w:rPr>
          <w:b/>
          <w:i/>
          <w:szCs w:val="24"/>
        </w:rPr>
        <w:t xml:space="preserve">Determination </w:t>
      </w:r>
      <w:r w:rsidR="00A86DD4">
        <w:rPr>
          <w:b/>
          <w:i/>
          <w:szCs w:val="24"/>
        </w:rPr>
        <w:t xml:space="preserve">(No.2) </w:t>
      </w:r>
      <w:r w:rsidRPr="002E376F">
        <w:rPr>
          <w:b/>
          <w:i/>
          <w:szCs w:val="24"/>
        </w:rPr>
        <w:t>2020</w:t>
      </w:r>
    </w:p>
    <w:p w14:paraId="0B7B1603" w14:textId="77777777" w:rsidR="00D52E75" w:rsidRDefault="00D52E75" w:rsidP="00BE427A">
      <w:pPr>
        <w:rPr>
          <w:szCs w:val="24"/>
        </w:rPr>
      </w:pPr>
    </w:p>
    <w:p w14:paraId="0C08167C" w14:textId="77777777" w:rsidR="005B0F84" w:rsidRDefault="005B0F84" w:rsidP="00DE539C">
      <w:pPr>
        <w:rPr>
          <w:b/>
          <w:szCs w:val="24"/>
        </w:rPr>
      </w:pPr>
      <w:r>
        <w:rPr>
          <w:b/>
          <w:szCs w:val="24"/>
        </w:rPr>
        <w:t xml:space="preserve">Item 1 – </w:t>
      </w:r>
      <w:r w:rsidR="0028725B">
        <w:rPr>
          <w:b/>
          <w:szCs w:val="24"/>
        </w:rPr>
        <w:t>Section 5</w:t>
      </w:r>
    </w:p>
    <w:p w14:paraId="2D5338AA" w14:textId="3F158696" w:rsidR="005B0F84" w:rsidRDefault="00F65D73" w:rsidP="00DE539C">
      <w:pPr>
        <w:rPr>
          <w:szCs w:val="24"/>
        </w:rPr>
      </w:pPr>
      <w:r>
        <w:rPr>
          <w:szCs w:val="24"/>
        </w:rPr>
        <w:t>Item 1</w:t>
      </w:r>
      <w:r w:rsidR="005B0F84">
        <w:rPr>
          <w:szCs w:val="24"/>
        </w:rPr>
        <w:t xml:space="preserve"> omits</w:t>
      </w:r>
      <w:r w:rsidR="003A183D">
        <w:rPr>
          <w:szCs w:val="24"/>
        </w:rPr>
        <w:t xml:space="preserve"> “outside Australian territory” and</w:t>
      </w:r>
      <w:r w:rsidR="005B0F84">
        <w:rPr>
          <w:szCs w:val="24"/>
        </w:rPr>
        <w:t xml:space="preserve"> substitute</w:t>
      </w:r>
      <w:r w:rsidR="003A183D">
        <w:rPr>
          <w:szCs w:val="24"/>
        </w:rPr>
        <w:t>s</w:t>
      </w:r>
      <w:r w:rsidR="005B0F84">
        <w:rPr>
          <w:szCs w:val="24"/>
        </w:rPr>
        <w:t xml:space="preserve"> “in a foreign country”</w:t>
      </w:r>
      <w:r w:rsidR="0028725B">
        <w:rPr>
          <w:szCs w:val="24"/>
        </w:rPr>
        <w:t xml:space="preserve"> from subparagraph 5(1)(c)(iii).</w:t>
      </w:r>
    </w:p>
    <w:p w14:paraId="6CB18C46" w14:textId="77777777" w:rsidR="005B0F84" w:rsidRDefault="005B0F84" w:rsidP="00DE539C">
      <w:pPr>
        <w:rPr>
          <w:szCs w:val="24"/>
        </w:rPr>
      </w:pPr>
    </w:p>
    <w:p w14:paraId="725F544F" w14:textId="37D9009C" w:rsidR="001A222E" w:rsidRPr="001A222E" w:rsidRDefault="007958DD" w:rsidP="00DE539C">
      <w:pPr>
        <w:rPr>
          <w:szCs w:val="24"/>
        </w:rPr>
      </w:pPr>
      <w:r>
        <w:rPr>
          <w:szCs w:val="24"/>
        </w:rPr>
        <w:t>It</w:t>
      </w:r>
      <w:r w:rsidR="00163638">
        <w:rPr>
          <w:szCs w:val="24"/>
        </w:rPr>
        <w:t>em 1</w:t>
      </w:r>
      <w:r>
        <w:rPr>
          <w:szCs w:val="24"/>
        </w:rPr>
        <w:t xml:space="preserve"> requires a person entering a designated area to have not been in a foreign </w:t>
      </w:r>
      <w:r w:rsidR="004D4608">
        <w:rPr>
          <w:szCs w:val="24"/>
        </w:rPr>
        <w:t xml:space="preserve">country, rather than outside </w:t>
      </w:r>
      <w:r>
        <w:rPr>
          <w:szCs w:val="24"/>
        </w:rPr>
        <w:t>Australian territory</w:t>
      </w:r>
      <w:r w:rsidR="003A183D">
        <w:rPr>
          <w:szCs w:val="24"/>
        </w:rPr>
        <w:t>,</w:t>
      </w:r>
      <w:r>
        <w:rPr>
          <w:szCs w:val="24"/>
        </w:rPr>
        <w:t xml:space="preserve"> in the 14 d</w:t>
      </w:r>
      <w:r w:rsidR="005F5037">
        <w:rPr>
          <w:szCs w:val="24"/>
        </w:rPr>
        <w:t>ays imm</w:t>
      </w:r>
      <w:r w:rsidR="000C2CAF">
        <w:rPr>
          <w:szCs w:val="24"/>
        </w:rPr>
        <w:t>ediately prior to entry</w:t>
      </w:r>
      <w:r w:rsidR="007E1F47">
        <w:rPr>
          <w:szCs w:val="24"/>
        </w:rPr>
        <w:t xml:space="preserve"> (for example, cargo ships and non-cruise</w:t>
      </w:r>
      <w:r w:rsidR="003A183D">
        <w:rPr>
          <w:szCs w:val="24"/>
        </w:rPr>
        <w:t xml:space="preserve"> ship</w:t>
      </w:r>
      <w:r w:rsidR="007E1F47">
        <w:rPr>
          <w:szCs w:val="24"/>
        </w:rPr>
        <w:t xml:space="preserve"> maritime crew)</w:t>
      </w:r>
      <w:r w:rsidR="000C2CAF">
        <w:rPr>
          <w:szCs w:val="24"/>
        </w:rPr>
        <w:t xml:space="preserve">. </w:t>
      </w:r>
      <w:r w:rsidR="003A183D">
        <w:rPr>
          <w:szCs w:val="24"/>
        </w:rPr>
        <w:t>‘</w:t>
      </w:r>
      <w:r w:rsidR="001A222E">
        <w:rPr>
          <w:szCs w:val="24"/>
        </w:rPr>
        <w:t>Australian territory</w:t>
      </w:r>
      <w:r w:rsidR="003A183D">
        <w:rPr>
          <w:szCs w:val="24"/>
        </w:rPr>
        <w:t>’</w:t>
      </w:r>
      <w:r w:rsidR="001A222E">
        <w:rPr>
          <w:szCs w:val="24"/>
        </w:rPr>
        <w:t xml:space="preserve"> is defined in section 12 of the Act to include ‘the coastal sea of Australia’, which in turn is defined in section 15B(4) of the </w:t>
      </w:r>
      <w:r w:rsidR="001A222E">
        <w:rPr>
          <w:i/>
          <w:szCs w:val="24"/>
        </w:rPr>
        <w:t>Acts Interpretation Act 1901</w:t>
      </w:r>
      <w:r w:rsidR="001A222E">
        <w:rPr>
          <w:szCs w:val="24"/>
        </w:rPr>
        <w:t xml:space="preserve"> to include Australia’s territorial seas (which generally extend 12 nautical miles from the low water line along the coast).</w:t>
      </w:r>
    </w:p>
    <w:p w14:paraId="4E3256B4" w14:textId="77777777" w:rsidR="001A222E" w:rsidRDefault="001A222E" w:rsidP="00DE539C">
      <w:pPr>
        <w:rPr>
          <w:szCs w:val="24"/>
        </w:rPr>
      </w:pPr>
    </w:p>
    <w:p w14:paraId="7C3528E7" w14:textId="77777777" w:rsidR="005B0F84" w:rsidRDefault="000C2CAF" w:rsidP="00DE539C">
      <w:pPr>
        <w:rPr>
          <w:szCs w:val="24"/>
        </w:rPr>
      </w:pPr>
      <w:r>
        <w:rPr>
          <w:szCs w:val="24"/>
        </w:rPr>
        <w:t>Item 1</w:t>
      </w:r>
      <w:r w:rsidR="005F5037" w:rsidRPr="005F5037">
        <w:rPr>
          <w:szCs w:val="24"/>
        </w:rPr>
        <w:t xml:space="preserve"> aims to address situations under the current Determination where persons are unab</w:t>
      </w:r>
      <w:r w:rsidR="001A222E">
        <w:rPr>
          <w:szCs w:val="24"/>
        </w:rPr>
        <w:t>le to enter a designated area if</w:t>
      </w:r>
      <w:r w:rsidR="005F5037" w:rsidRPr="005F5037">
        <w:rPr>
          <w:szCs w:val="24"/>
        </w:rPr>
        <w:t xml:space="preserve"> they have been outside Australian territory, but not a foreign country, </w:t>
      </w:r>
      <w:r w:rsidR="008117F9">
        <w:rPr>
          <w:szCs w:val="24"/>
        </w:rPr>
        <w:t>in the 14 days immediately prior to entry</w:t>
      </w:r>
      <w:r w:rsidR="003A183D">
        <w:rPr>
          <w:szCs w:val="24"/>
        </w:rPr>
        <w:t>,</w:t>
      </w:r>
      <w:r w:rsidR="008117F9">
        <w:rPr>
          <w:szCs w:val="24"/>
        </w:rPr>
        <w:t xml:space="preserve"> </w:t>
      </w:r>
      <w:r w:rsidR="005F5037" w:rsidRPr="005F5037">
        <w:rPr>
          <w:szCs w:val="24"/>
        </w:rPr>
        <w:t>and have otherwise met the requiremen</w:t>
      </w:r>
      <w:r w:rsidR="003010FD">
        <w:rPr>
          <w:szCs w:val="24"/>
        </w:rPr>
        <w:t>ts of the current Determination.</w:t>
      </w:r>
    </w:p>
    <w:p w14:paraId="1E6F2D3E" w14:textId="77777777" w:rsidR="005B0F84" w:rsidRDefault="005B0F84" w:rsidP="00DE539C">
      <w:pPr>
        <w:rPr>
          <w:b/>
          <w:szCs w:val="24"/>
        </w:rPr>
      </w:pPr>
    </w:p>
    <w:p w14:paraId="2A2758CD" w14:textId="77777777" w:rsidR="00BF32B8" w:rsidRPr="00DE539C" w:rsidRDefault="00244BB1" w:rsidP="00DE539C">
      <w:pPr>
        <w:rPr>
          <w:b/>
          <w:szCs w:val="24"/>
        </w:rPr>
      </w:pPr>
      <w:r>
        <w:rPr>
          <w:b/>
          <w:szCs w:val="24"/>
        </w:rPr>
        <w:t>Item 2</w:t>
      </w:r>
      <w:r w:rsidR="00BF32B8">
        <w:rPr>
          <w:b/>
          <w:szCs w:val="24"/>
        </w:rPr>
        <w:t xml:space="preserve"> – </w:t>
      </w:r>
      <w:r w:rsidR="006C5D9D">
        <w:rPr>
          <w:b/>
          <w:szCs w:val="24"/>
        </w:rPr>
        <w:t>Schedule 1</w:t>
      </w:r>
    </w:p>
    <w:p w14:paraId="42866991" w14:textId="77777777" w:rsidR="007F285A" w:rsidRPr="00CE1D6E" w:rsidRDefault="001A1C4C" w:rsidP="00000B07">
      <w:pPr>
        <w:tabs>
          <w:tab w:val="right" w:pos="1985"/>
        </w:tabs>
        <w:spacing w:before="40"/>
        <w:rPr>
          <w:szCs w:val="24"/>
        </w:rPr>
      </w:pPr>
      <w:r>
        <w:rPr>
          <w:szCs w:val="24"/>
        </w:rPr>
        <w:t xml:space="preserve">Item </w:t>
      </w:r>
      <w:r w:rsidR="00244BB1">
        <w:rPr>
          <w:szCs w:val="24"/>
        </w:rPr>
        <w:t>2</w:t>
      </w:r>
      <w:r w:rsidR="00000B07">
        <w:rPr>
          <w:szCs w:val="24"/>
        </w:rPr>
        <w:t xml:space="preserve"> </w:t>
      </w:r>
      <w:r w:rsidR="006C5D9D">
        <w:rPr>
          <w:szCs w:val="24"/>
        </w:rPr>
        <w:t xml:space="preserve">omits “Wujal.” </w:t>
      </w:r>
      <w:r w:rsidR="00441E17">
        <w:rPr>
          <w:szCs w:val="24"/>
        </w:rPr>
        <w:t>f</w:t>
      </w:r>
      <w:r w:rsidR="006C5D9D">
        <w:rPr>
          <w:szCs w:val="24"/>
        </w:rPr>
        <w:t>rom paragraph 1(l) and substitutes “Wujal;”.</w:t>
      </w:r>
    </w:p>
    <w:p w14:paraId="398CC940" w14:textId="77777777" w:rsidR="00356503" w:rsidRPr="00356503" w:rsidRDefault="00356503" w:rsidP="00000B07"/>
    <w:p w14:paraId="69117377" w14:textId="77777777" w:rsidR="000426CE" w:rsidRDefault="00244BB1" w:rsidP="003F450F">
      <w:pPr>
        <w:tabs>
          <w:tab w:val="right" w:pos="1021"/>
        </w:tabs>
        <w:rPr>
          <w:szCs w:val="24"/>
        </w:rPr>
      </w:pPr>
      <w:r>
        <w:rPr>
          <w:b/>
          <w:szCs w:val="24"/>
        </w:rPr>
        <w:t>Item 3</w:t>
      </w:r>
      <w:r w:rsidR="000426CE">
        <w:rPr>
          <w:b/>
          <w:szCs w:val="24"/>
        </w:rPr>
        <w:t xml:space="preserve"> –</w:t>
      </w:r>
      <w:r w:rsidR="00624F17">
        <w:rPr>
          <w:b/>
          <w:szCs w:val="24"/>
        </w:rPr>
        <w:t xml:space="preserve"> </w:t>
      </w:r>
      <w:r w:rsidR="000426CE">
        <w:rPr>
          <w:b/>
          <w:szCs w:val="24"/>
        </w:rPr>
        <w:t>Schedule 1</w:t>
      </w:r>
      <w:r w:rsidR="000426CE">
        <w:rPr>
          <w:b/>
          <w:szCs w:val="24"/>
        </w:rPr>
        <w:br/>
      </w:r>
      <w:r>
        <w:rPr>
          <w:szCs w:val="24"/>
        </w:rPr>
        <w:t>Item 3</w:t>
      </w:r>
      <w:r w:rsidR="007C0409">
        <w:rPr>
          <w:szCs w:val="24"/>
        </w:rPr>
        <w:t xml:space="preserve"> </w:t>
      </w:r>
      <w:r w:rsidR="006C5D9D">
        <w:rPr>
          <w:szCs w:val="24"/>
        </w:rPr>
        <w:t>adds at the end of subclause 1(1) “</w:t>
      </w:r>
      <w:r w:rsidR="006C5D9D" w:rsidRPr="006C5D9D">
        <w:rPr>
          <w:szCs w:val="24"/>
        </w:rPr>
        <w:t xml:space="preserve">and the areas excluded from the Cook local government area under the agreement made under the </w:t>
      </w:r>
      <w:r w:rsidR="006C5D9D" w:rsidRPr="00244BB1">
        <w:rPr>
          <w:i/>
          <w:szCs w:val="24"/>
        </w:rPr>
        <w:t xml:space="preserve">Commonwealth Aluminium Corporation Pty. Limited Agreement Act 1957 </w:t>
      </w:r>
      <w:r w:rsidR="006C5D9D">
        <w:rPr>
          <w:szCs w:val="24"/>
        </w:rPr>
        <w:t xml:space="preserve">(Qld).” </w:t>
      </w:r>
    </w:p>
    <w:p w14:paraId="5D87868D" w14:textId="77777777" w:rsidR="006C5D9D" w:rsidRDefault="006C5D9D" w:rsidP="003F450F">
      <w:pPr>
        <w:tabs>
          <w:tab w:val="right" w:pos="1021"/>
        </w:tabs>
        <w:rPr>
          <w:szCs w:val="24"/>
        </w:rPr>
      </w:pPr>
    </w:p>
    <w:p w14:paraId="3341C5C3" w14:textId="77777777" w:rsidR="006C5D9D" w:rsidRDefault="00244BB1" w:rsidP="003F450F">
      <w:pPr>
        <w:tabs>
          <w:tab w:val="right" w:pos="1021"/>
        </w:tabs>
        <w:rPr>
          <w:szCs w:val="24"/>
        </w:rPr>
      </w:pPr>
      <w:r>
        <w:rPr>
          <w:szCs w:val="24"/>
        </w:rPr>
        <w:t>Item 3</w:t>
      </w:r>
      <w:r w:rsidR="006C5D9D">
        <w:rPr>
          <w:szCs w:val="24"/>
        </w:rPr>
        <w:t xml:space="preserve"> </w:t>
      </w:r>
      <w:r w:rsidR="00110F4E">
        <w:rPr>
          <w:szCs w:val="24"/>
        </w:rPr>
        <w:t xml:space="preserve">adds </w:t>
      </w:r>
      <w:r w:rsidR="00486B25">
        <w:rPr>
          <w:szCs w:val="24"/>
        </w:rPr>
        <w:t xml:space="preserve">as a designated area, the Town of Weipa in Queensland and </w:t>
      </w:r>
      <w:r w:rsidR="006C5D9D">
        <w:rPr>
          <w:szCs w:val="24"/>
        </w:rPr>
        <w:t>relies on paragraph 5(1)(bb) of the current Determination to deal with transitional issues relating to persons in the Town of Weipa when the Amendment Determination commences.</w:t>
      </w:r>
    </w:p>
    <w:p w14:paraId="7D4C8AF3" w14:textId="77777777" w:rsidR="00463C44" w:rsidRDefault="00463C44" w:rsidP="003F450F">
      <w:pPr>
        <w:tabs>
          <w:tab w:val="right" w:pos="1021"/>
        </w:tabs>
        <w:rPr>
          <w:szCs w:val="24"/>
        </w:rPr>
      </w:pPr>
    </w:p>
    <w:p w14:paraId="7C7B868F" w14:textId="1AF92B87" w:rsidR="00EC478A" w:rsidRDefault="00244BB1" w:rsidP="003F450F">
      <w:pPr>
        <w:tabs>
          <w:tab w:val="right" w:pos="1021"/>
        </w:tabs>
        <w:rPr>
          <w:szCs w:val="24"/>
        </w:rPr>
      </w:pPr>
      <w:r>
        <w:rPr>
          <w:b/>
          <w:szCs w:val="24"/>
        </w:rPr>
        <w:t>Item 4</w:t>
      </w:r>
      <w:r w:rsidR="00CF2E95">
        <w:rPr>
          <w:b/>
          <w:szCs w:val="24"/>
        </w:rPr>
        <w:t xml:space="preserve"> – Schedule 1</w:t>
      </w:r>
      <w:r w:rsidR="00CF2E95">
        <w:rPr>
          <w:b/>
          <w:szCs w:val="24"/>
        </w:rPr>
        <w:br/>
      </w:r>
      <w:r>
        <w:rPr>
          <w:szCs w:val="24"/>
        </w:rPr>
        <w:t>Item 4</w:t>
      </w:r>
      <w:r w:rsidR="00CF2E95">
        <w:rPr>
          <w:szCs w:val="24"/>
        </w:rPr>
        <w:t xml:space="preserve"> </w:t>
      </w:r>
      <w:r w:rsidR="00A21161">
        <w:rPr>
          <w:szCs w:val="24"/>
        </w:rPr>
        <w:t xml:space="preserve">repeals paragraph 3(1)(b). Item </w:t>
      </w:r>
      <w:r w:rsidR="00A74014">
        <w:rPr>
          <w:szCs w:val="24"/>
        </w:rPr>
        <w:t>4</w:t>
      </w:r>
      <w:r w:rsidR="00A21161">
        <w:rPr>
          <w:szCs w:val="24"/>
        </w:rPr>
        <w:t xml:space="preserve"> </w:t>
      </w:r>
      <w:r w:rsidR="00D931A3">
        <w:rPr>
          <w:szCs w:val="24"/>
        </w:rPr>
        <w:t>removes</w:t>
      </w:r>
      <w:r w:rsidR="00A74014">
        <w:rPr>
          <w:szCs w:val="24"/>
        </w:rPr>
        <w:t xml:space="preserve"> as a designated area,</w:t>
      </w:r>
      <w:r w:rsidR="00A21161">
        <w:rPr>
          <w:szCs w:val="24"/>
        </w:rPr>
        <w:t xml:space="preserve"> the area on which the community known as the Dunjiba Community in South Australia is located.</w:t>
      </w:r>
    </w:p>
    <w:p w14:paraId="29E60693" w14:textId="77777777" w:rsidR="00A21161" w:rsidRDefault="00A21161" w:rsidP="003F450F">
      <w:pPr>
        <w:tabs>
          <w:tab w:val="right" w:pos="1021"/>
        </w:tabs>
        <w:rPr>
          <w:szCs w:val="24"/>
        </w:rPr>
      </w:pPr>
    </w:p>
    <w:p w14:paraId="7896FB28" w14:textId="77777777" w:rsidR="00A21161" w:rsidRDefault="00244BB1" w:rsidP="003F450F">
      <w:pPr>
        <w:tabs>
          <w:tab w:val="right" w:pos="1021"/>
        </w:tabs>
        <w:rPr>
          <w:b/>
          <w:szCs w:val="24"/>
        </w:rPr>
      </w:pPr>
      <w:r>
        <w:rPr>
          <w:b/>
          <w:szCs w:val="24"/>
        </w:rPr>
        <w:t xml:space="preserve">Item 5 </w:t>
      </w:r>
      <w:r w:rsidR="00A21161">
        <w:rPr>
          <w:b/>
          <w:szCs w:val="24"/>
        </w:rPr>
        <w:t>– Schedule 1</w:t>
      </w:r>
    </w:p>
    <w:p w14:paraId="532E31DB" w14:textId="77777777" w:rsidR="00A21161" w:rsidRDefault="00244BB1" w:rsidP="003F450F">
      <w:pPr>
        <w:tabs>
          <w:tab w:val="right" w:pos="1021"/>
        </w:tabs>
        <w:rPr>
          <w:szCs w:val="24"/>
        </w:rPr>
      </w:pPr>
      <w:r>
        <w:rPr>
          <w:szCs w:val="24"/>
        </w:rPr>
        <w:t>Item 5</w:t>
      </w:r>
      <w:r w:rsidR="00D931A3">
        <w:rPr>
          <w:szCs w:val="24"/>
        </w:rPr>
        <w:t xml:space="preserve"> omits “Warta);”</w:t>
      </w:r>
      <w:r w:rsidR="00441E17">
        <w:rPr>
          <w:szCs w:val="24"/>
        </w:rPr>
        <w:t xml:space="preserve"> from paragraph 3(1)(f)</w:t>
      </w:r>
      <w:r w:rsidR="00D931A3">
        <w:rPr>
          <w:szCs w:val="24"/>
        </w:rPr>
        <w:t xml:space="preserve"> and substitutes “Warta).”.</w:t>
      </w:r>
    </w:p>
    <w:p w14:paraId="2E3B7002" w14:textId="77777777" w:rsidR="00D931A3" w:rsidRDefault="00D931A3" w:rsidP="003F450F">
      <w:pPr>
        <w:tabs>
          <w:tab w:val="right" w:pos="1021"/>
        </w:tabs>
        <w:rPr>
          <w:szCs w:val="24"/>
        </w:rPr>
      </w:pPr>
    </w:p>
    <w:p w14:paraId="3944C136" w14:textId="77777777" w:rsidR="00D931A3" w:rsidRDefault="00244BB1" w:rsidP="003F450F">
      <w:pPr>
        <w:tabs>
          <w:tab w:val="right" w:pos="1021"/>
        </w:tabs>
        <w:rPr>
          <w:b/>
          <w:szCs w:val="24"/>
        </w:rPr>
      </w:pPr>
      <w:r>
        <w:rPr>
          <w:b/>
          <w:szCs w:val="24"/>
        </w:rPr>
        <w:t>Item 6</w:t>
      </w:r>
      <w:r w:rsidR="00D931A3">
        <w:rPr>
          <w:b/>
          <w:szCs w:val="24"/>
        </w:rPr>
        <w:t xml:space="preserve"> – Schedule 1</w:t>
      </w:r>
    </w:p>
    <w:p w14:paraId="1DB50F35" w14:textId="64079F20" w:rsidR="00D931A3" w:rsidRDefault="00244BB1" w:rsidP="003F450F">
      <w:pPr>
        <w:tabs>
          <w:tab w:val="right" w:pos="1021"/>
        </w:tabs>
        <w:rPr>
          <w:szCs w:val="24"/>
        </w:rPr>
      </w:pPr>
      <w:r>
        <w:rPr>
          <w:szCs w:val="24"/>
        </w:rPr>
        <w:t>Item 6</w:t>
      </w:r>
      <w:r w:rsidR="00D931A3">
        <w:rPr>
          <w:szCs w:val="24"/>
        </w:rPr>
        <w:t xml:space="preserve"> r</w:t>
      </w:r>
      <w:r w:rsidR="00A74014">
        <w:rPr>
          <w:szCs w:val="24"/>
        </w:rPr>
        <w:t>epeals paragraph 3(1)(g). Item 6</w:t>
      </w:r>
      <w:r w:rsidR="00D931A3">
        <w:rPr>
          <w:szCs w:val="24"/>
        </w:rPr>
        <w:t xml:space="preserve"> removes as a designated area, the area on which the community known as the Yarilena Community in South Australia is located.</w:t>
      </w:r>
      <w:r w:rsidR="00EB09A1">
        <w:rPr>
          <w:szCs w:val="24"/>
        </w:rPr>
        <w:br/>
      </w:r>
    </w:p>
    <w:p w14:paraId="46152EE2" w14:textId="77777777" w:rsidR="004833DC" w:rsidRDefault="00244BB1" w:rsidP="003F450F">
      <w:pPr>
        <w:tabs>
          <w:tab w:val="right" w:pos="1021"/>
        </w:tabs>
        <w:rPr>
          <w:b/>
          <w:szCs w:val="24"/>
        </w:rPr>
      </w:pPr>
      <w:r>
        <w:rPr>
          <w:b/>
          <w:szCs w:val="24"/>
        </w:rPr>
        <w:t>Item 7</w:t>
      </w:r>
      <w:r w:rsidR="004833DC">
        <w:rPr>
          <w:b/>
          <w:szCs w:val="24"/>
        </w:rPr>
        <w:t xml:space="preserve"> – Schedule 1</w:t>
      </w:r>
    </w:p>
    <w:p w14:paraId="35B46AA5" w14:textId="77777777" w:rsidR="004833DC" w:rsidRDefault="00244BB1" w:rsidP="003F450F">
      <w:pPr>
        <w:tabs>
          <w:tab w:val="right" w:pos="1021"/>
        </w:tabs>
        <w:rPr>
          <w:szCs w:val="24"/>
        </w:rPr>
      </w:pPr>
      <w:r>
        <w:rPr>
          <w:szCs w:val="24"/>
        </w:rPr>
        <w:t>Item 7</w:t>
      </w:r>
      <w:r w:rsidR="004833DC">
        <w:rPr>
          <w:szCs w:val="24"/>
        </w:rPr>
        <w:t xml:space="preserve"> inserts before subclause 4(1) the description, “General description of designated area”.</w:t>
      </w:r>
    </w:p>
    <w:p w14:paraId="656C0DE9" w14:textId="77777777" w:rsidR="004833DC" w:rsidRDefault="004833DC" w:rsidP="003F450F">
      <w:pPr>
        <w:tabs>
          <w:tab w:val="right" w:pos="1021"/>
        </w:tabs>
        <w:rPr>
          <w:szCs w:val="24"/>
        </w:rPr>
      </w:pPr>
    </w:p>
    <w:p w14:paraId="7D5E98E7" w14:textId="77777777" w:rsidR="004833DC" w:rsidRDefault="00244BB1" w:rsidP="003F450F">
      <w:pPr>
        <w:tabs>
          <w:tab w:val="right" w:pos="1021"/>
        </w:tabs>
        <w:rPr>
          <w:b/>
          <w:szCs w:val="24"/>
        </w:rPr>
      </w:pPr>
      <w:r>
        <w:rPr>
          <w:b/>
          <w:szCs w:val="24"/>
        </w:rPr>
        <w:t>Item 8</w:t>
      </w:r>
      <w:r w:rsidR="004833DC">
        <w:rPr>
          <w:b/>
          <w:szCs w:val="24"/>
        </w:rPr>
        <w:t xml:space="preserve"> – Schedule 1</w:t>
      </w:r>
    </w:p>
    <w:p w14:paraId="311CE063" w14:textId="77777777" w:rsidR="0098667F" w:rsidRDefault="00244BB1" w:rsidP="003F450F">
      <w:pPr>
        <w:tabs>
          <w:tab w:val="right" w:pos="1021"/>
        </w:tabs>
        <w:rPr>
          <w:szCs w:val="24"/>
        </w:rPr>
      </w:pPr>
      <w:r>
        <w:rPr>
          <w:szCs w:val="24"/>
        </w:rPr>
        <w:t>Item 8</w:t>
      </w:r>
      <w:r w:rsidR="004833DC">
        <w:rPr>
          <w:szCs w:val="24"/>
        </w:rPr>
        <w:t xml:space="preserve"> </w:t>
      </w:r>
      <w:r w:rsidR="00B82439">
        <w:rPr>
          <w:szCs w:val="24"/>
        </w:rPr>
        <w:t>adds</w:t>
      </w:r>
      <w:r w:rsidR="0098667F">
        <w:rPr>
          <w:szCs w:val="24"/>
        </w:rPr>
        <w:t xml:space="preserve"> at the end of subclause 4(1) “,(5), (6) or (7)”. </w:t>
      </w:r>
    </w:p>
    <w:p w14:paraId="3BD90337" w14:textId="77777777" w:rsidR="0098667F" w:rsidRDefault="0098667F" w:rsidP="003F450F">
      <w:pPr>
        <w:tabs>
          <w:tab w:val="right" w:pos="1021"/>
        </w:tabs>
        <w:rPr>
          <w:szCs w:val="24"/>
        </w:rPr>
      </w:pPr>
    </w:p>
    <w:p w14:paraId="0F5D393D" w14:textId="39AC19B4" w:rsidR="004833DC" w:rsidRDefault="00244BB1" w:rsidP="003F450F">
      <w:pPr>
        <w:tabs>
          <w:tab w:val="right" w:pos="1021"/>
        </w:tabs>
        <w:rPr>
          <w:szCs w:val="24"/>
        </w:rPr>
      </w:pPr>
      <w:r>
        <w:rPr>
          <w:szCs w:val="24"/>
        </w:rPr>
        <w:lastRenderedPageBreak/>
        <w:t>Item 8</w:t>
      </w:r>
      <w:r w:rsidR="0098667F">
        <w:rPr>
          <w:szCs w:val="24"/>
        </w:rPr>
        <w:t xml:space="preserve"> explains that clause 4(1) describes the area consisting of the local government areas covered by subclause (2) and the areas covered by subclause (3) except so much of those areas </w:t>
      </w:r>
      <w:r w:rsidR="00C7155E">
        <w:rPr>
          <w:szCs w:val="24"/>
        </w:rPr>
        <w:t xml:space="preserve">as </w:t>
      </w:r>
      <w:r w:rsidR="0098667F">
        <w:rPr>
          <w:szCs w:val="24"/>
        </w:rPr>
        <w:t>is subject to a pastoral lease or is excluded by subclause (4), (5), (6) or (7).</w:t>
      </w:r>
    </w:p>
    <w:p w14:paraId="06698DFD" w14:textId="77777777" w:rsidR="00B82439" w:rsidRDefault="00B82439" w:rsidP="003F450F">
      <w:pPr>
        <w:tabs>
          <w:tab w:val="right" w:pos="1021"/>
        </w:tabs>
        <w:rPr>
          <w:szCs w:val="24"/>
        </w:rPr>
      </w:pPr>
    </w:p>
    <w:p w14:paraId="1A78D890" w14:textId="77777777" w:rsidR="00B82439" w:rsidRDefault="00244BB1" w:rsidP="003F450F">
      <w:pPr>
        <w:tabs>
          <w:tab w:val="right" w:pos="1021"/>
        </w:tabs>
        <w:rPr>
          <w:b/>
          <w:szCs w:val="24"/>
        </w:rPr>
      </w:pPr>
      <w:r>
        <w:rPr>
          <w:b/>
          <w:szCs w:val="24"/>
        </w:rPr>
        <w:t>Item 9</w:t>
      </w:r>
      <w:r w:rsidR="00B82439">
        <w:rPr>
          <w:b/>
          <w:szCs w:val="24"/>
        </w:rPr>
        <w:t xml:space="preserve"> – Schedule 1</w:t>
      </w:r>
    </w:p>
    <w:p w14:paraId="2918C1E3" w14:textId="77777777" w:rsidR="00B82439" w:rsidRPr="00B82439" w:rsidRDefault="00244BB1" w:rsidP="003F450F">
      <w:pPr>
        <w:tabs>
          <w:tab w:val="right" w:pos="1021"/>
        </w:tabs>
        <w:rPr>
          <w:szCs w:val="24"/>
        </w:rPr>
      </w:pPr>
      <w:r>
        <w:rPr>
          <w:szCs w:val="24"/>
        </w:rPr>
        <w:t>Item 9</w:t>
      </w:r>
      <w:r w:rsidR="00B82439">
        <w:rPr>
          <w:szCs w:val="24"/>
        </w:rPr>
        <w:t xml:space="preserve"> inserts before subclause 4(2) the description “Areas generally included in designated area”.</w:t>
      </w:r>
    </w:p>
    <w:p w14:paraId="35D2F66F" w14:textId="77777777" w:rsidR="008C165C" w:rsidRDefault="008C165C" w:rsidP="003F450F">
      <w:pPr>
        <w:tabs>
          <w:tab w:val="right" w:pos="1021"/>
        </w:tabs>
        <w:rPr>
          <w:szCs w:val="24"/>
        </w:rPr>
      </w:pPr>
    </w:p>
    <w:p w14:paraId="7944D969" w14:textId="77777777" w:rsidR="008C165C" w:rsidRDefault="00244BB1" w:rsidP="003F450F">
      <w:pPr>
        <w:tabs>
          <w:tab w:val="right" w:pos="1021"/>
        </w:tabs>
        <w:rPr>
          <w:b/>
          <w:szCs w:val="24"/>
        </w:rPr>
      </w:pPr>
      <w:r>
        <w:rPr>
          <w:b/>
          <w:szCs w:val="24"/>
        </w:rPr>
        <w:t>Item 10</w:t>
      </w:r>
      <w:r w:rsidR="008C165C">
        <w:rPr>
          <w:b/>
          <w:szCs w:val="24"/>
        </w:rPr>
        <w:t xml:space="preserve"> – Schedule 1</w:t>
      </w:r>
    </w:p>
    <w:p w14:paraId="61559039" w14:textId="77777777" w:rsidR="008C165C" w:rsidRDefault="00244BB1" w:rsidP="003F450F">
      <w:pPr>
        <w:tabs>
          <w:tab w:val="right" w:pos="1021"/>
        </w:tabs>
        <w:rPr>
          <w:szCs w:val="24"/>
        </w:rPr>
      </w:pPr>
      <w:r>
        <w:rPr>
          <w:szCs w:val="24"/>
        </w:rPr>
        <w:t>Item 10</w:t>
      </w:r>
      <w:r w:rsidR="008C165C">
        <w:rPr>
          <w:szCs w:val="24"/>
        </w:rPr>
        <w:t xml:space="preserve"> inserts before subclause 4(4) the description, “Area around Mataranka excluded from the designated area”.</w:t>
      </w:r>
    </w:p>
    <w:p w14:paraId="2A8AB6F2" w14:textId="77777777" w:rsidR="00F8166B" w:rsidRDefault="00F8166B" w:rsidP="003F450F">
      <w:pPr>
        <w:tabs>
          <w:tab w:val="right" w:pos="1021"/>
        </w:tabs>
        <w:rPr>
          <w:szCs w:val="24"/>
        </w:rPr>
      </w:pPr>
    </w:p>
    <w:p w14:paraId="26992C65" w14:textId="77777777" w:rsidR="00F8166B" w:rsidRDefault="00244BB1" w:rsidP="003F450F">
      <w:pPr>
        <w:tabs>
          <w:tab w:val="right" w:pos="1021"/>
        </w:tabs>
        <w:rPr>
          <w:szCs w:val="24"/>
        </w:rPr>
      </w:pPr>
      <w:r>
        <w:rPr>
          <w:szCs w:val="24"/>
        </w:rPr>
        <w:t>Item 10</w:t>
      </w:r>
      <w:r w:rsidR="00F8166B">
        <w:rPr>
          <w:szCs w:val="24"/>
        </w:rPr>
        <w:t xml:space="preserve"> clarifies that the areas referred to in subclause 4(4) are area</w:t>
      </w:r>
      <w:r w:rsidR="008303BD">
        <w:rPr>
          <w:szCs w:val="24"/>
        </w:rPr>
        <w:t>s</w:t>
      </w:r>
      <w:r w:rsidR="00F8166B">
        <w:rPr>
          <w:szCs w:val="24"/>
        </w:rPr>
        <w:t xml:space="preserve"> around Mataranka</w:t>
      </w:r>
      <w:r w:rsidR="00596177">
        <w:rPr>
          <w:szCs w:val="24"/>
        </w:rPr>
        <w:t xml:space="preserve"> in the Northern Territory</w:t>
      </w:r>
      <w:r w:rsidR="00F8166B">
        <w:rPr>
          <w:szCs w:val="24"/>
        </w:rPr>
        <w:t>.</w:t>
      </w:r>
    </w:p>
    <w:p w14:paraId="5D48E74C" w14:textId="77777777" w:rsidR="008C165C" w:rsidRDefault="008C165C" w:rsidP="003F450F">
      <w:pPr>
        <w:tabs>
          <w:tab w:val="right" w:pos="1021"/>
        </w:tabs>
        <w:rPr>
          <w:szCs w:val="24"/>
        </w:rPr>
      </w:pPr>
    </w:p>
    <w:p w14:paraId="50DE28D3" w14:textId="77777777" w:rsidR="008C165C" w:rsidRDefault="00244BB1" w:rsidP="003F450F">
      <w:pPr>
        <w:tabs>
          <w:tab w:val="right" w:pos="1021"/>
        </w:tabs>
        <w:rPr>
          <w:b/>
          <w:szCs w:val="24"/>
        </w:rPr>
      </w:pPr>
      <w:r>
        <w:rPr>
          <w:b/>
          <w:szCs w:val="24"/>
        </w:rPr>
        <w:t>Item 11</w:t>
      </w:r>
      <w:r w:rsidR="008C165C">
        <w:rPr>
          <w:b/>
          <w:szCs w:val="24"/>
        </w:rPr>
        <w:t xml:space="preserve"> – Schedule 1</w:t>
      </w:r>
    </w:p>
    <w:p w14:paraId="75D0F4CD" w14:textId="77777777" w:rsidR="00FF4EE2" w:rsidRDefault="00244BB1" w:rsidP="003F450F">
      <w:pPr>
        <w:tabs>
          <w:tab w:val="right" w:pos="1021"/>
        </w:tabs>
        <w:rPr>
          <w:szCs w:val="24"/>
        </w:rPr>
      </w:pPr>
      <w:r>
        <w:rPr>
          <w:szCs w:val="24"/>
        </w:rPr>
        <w:t>Item 11</w:t>
      </w:r>
      <w:r w:rsidR="00FF4EE2">
        <w:rPr>
          <w:szCs w:val="24"/>
        </w:rPr>
        <w:t xml:space="preserve"> adds at the end of clause 4:</w:t>
      </w:r>
    </w:p>
    <w:p w14:paraId="6C4C479E" w14:textId="77777777" w:rsidR="00FF4EE2" w:rsidRPr="00FF4EE2" w:rsidRDefault="00FF4EE2" w:rsidP="00FF4EE2">
      <w:pPr>
        <w:keepNext/>
        <w:keepLines/>
        <w:spacing w:before="240"/>
        <w:ind w:left="1134"/>
        <w:rPr>
          <w:i/>
          <w:sz w:val="22"/>
        </w:rPr>
      </w:pPr>
      <w:r w:rsidRPr="00FF4EE2">
        <w:rPr>
          <w:i/>
          <w:sz w:val="22"/>
        </w:rPr>
        <w:t>Area near Katherine excluded from designated area</w:t>
      </w:r>
    </w:p>
    <w:p w14:paraId="45646F03" w14:textId="77777777" w:rsidR="00FF4EE2" w:rsidRPr="00FF4EE2" w:rsidRDefault="00FF4EE2" w:rsidP="00FF4EE2">
      <w:pPr>
        <w:tabs>
          <w:tab w:val="right" w:pos="1021"/>
        </w:tabs>
        <w:spacing w:before="180"/>
        <w:ind w:left="1134" w:hanging="1134"/>
        <w:rPr>
          <w:sz w:val="22"/>
        </w:rPr>
      </w:pPr>
      <w:r w:rsidRPr="00FF4EE2">
        <w:rPr>
          <w:sz w:val="22"/>
        </w:rPr>
        <w:tab/>
        <w:t>(5)</w:t>
      </w:r>
      <w:r w:rsidRPr="00FF4EE2">
        <w:rPr>
          <w:sz w:val="22"/>
        </w:rPr>
        <w:tab/>
        <w:t>This subclause excludes NT Portion 3701.</w:t>
      </w:r>
    </w:p>
    <w:p w14:paraId="39038E3F" w14:textId="77777777" w:rsidR="00FF4EE2" w:rsidRPr="00FF4EE2" w:rsidRDefault="00FF4EE2" w:rsidP="00FF4EE2">
      <w:pPr>
        <w:keepNext/>
        <w:keepLines/>
        <w:spacing w:before="240"/>
        <w:ind w:left="1134"/>
        <w:rPr>
          <w:i/>
          <w:sz w:val="22"/>
        </w:rPr>
      </w:pPr>
      <w:r w:rsidRPr="00FF4EE2">
        <w:rPr>
          <w:i/>
          <w:sz w:val="22"/>
        </w:rPr>
        <w:t>Areas in Barkly local government area excluded from designated area</w:t>
      </w:r>
    </w:p>
    <w:p w14:paraId="5874DDA7" w14:textId="77777777" w:rsidR="00FF4EE2" w:rsidRPr="00FF4EE2" w:rsidRDefault="00FF4EE2" w:rsidP="00FF4EE2">
      <w:pPr>
        <w:tabs>
          <w:tab w:val="right" w:pos="1021"/>
        </w:tabs>
        <w:spacing w:before="180"/>
        <w:ind w:left="1134" w:hanging="1134"/>
        <w:rPr>
          <w:sz w:val="22"/>
        </w:rPr>
      </w:pPr>
      <w:r w:rsidRPr="00FF4EE2">
        <w:rPr>
          <w:sz w:val="22"/>
        </w:rPr>
        <w:tab/>
        <w:t>(6)</w:t>
      </w:r>
      <w:r w:rsidRPr="00FF4EE2">
        <w:rPr>
          <w:sz w:val="22"/>
        </w:rPr>
        <w:tab/>
        <w:t>This subclause excludes NT Portions 2439, 3729 and 4472.</w:t>
      </w:r>
    </w:p>
    <w:p w14:paraId="1668368C" w14:textId="77777777" w:rsidR="00FF4EE2" w:rsidRPr="00FF4EE2" w:rsidRDefault="00FF4EE2" w:rsidP="00FF4EE2">
      <w:pPr>
        <w:keepNext/>
        <w:keepLines/>
        <w:spacing w:before="240"/>
        <w:ind w:left="1134"/>
        <w:rPr>
          <w:i/>
          <w:sz w:val="22"/>
        </w:rPr>
      </w:pPr>
      <w:r w:rsidRPr="00FF4EE2">
        <w:rPr>
          <w:i/>
          <w:sz w:val="22"/>
        </w:rPr>
        <w:t>Areas around Alice Springs excluded from designated area</w:t>
      </w:r>
    </w:p>
    <w:p w14:paraId="37015B66" w14:textId="77777777" w:rsidR="00FF4EE2" w:rsidRPr="00FF4EE2" w:rsidRDefault="00FF4EE2" w:rsidP="00FF4EE2">
      <w:pPr>
        <w:tabs>
          <w:tab w:val="right" w:pos="1021"/>
        </w:tabs>
        <w:spacing w:before="180"/>
        <w:ind w:left="1134" w:hanging="1134"/>
        <w:rPr>
          <w:sz w:val="22"/>
        </w:rPr>
      </w:pPr>
      <w:r w:rsidRPr="00FF4EE2">
        <w:rPr>
          <w:sz w:val="22"/>
        </w:rPr>
        <w:tab/>
        <w:t>(7)</w:t>
      </w:r>
      <w:r w:rsidRPr="00FF4EE2">
        <w:rPr>
          <w:sz w:val="22"/>
        </w:rPr>
        <w:tab/>
        <w:t>This subclause excludes:</w:t>
      </w:r>
    </w:p>
    <w:p w14:paraId="4A1C16EB" w14:textId="77777777" w:rsidR="00FF4EE2" w:rsidRPr="00FF4EE2" w:rsidRDefault="00FF4EE2" w:rsidP="00FF4EE2">
      <w:pPr>
        <w:tabs>
          <w:tab w:val="right" w:pos="1531"/>
        </w:tabs>
        <w:spacing w:before="40"/>
        <w:ind w:left="1644" w:hanging="1644"/>
        <w:rPr>
          <w:sz w:val="22"/>
        </w:rPr>
      </w:pPr>
      <w:r w:rsidRPr="00FF4EE2">
        <w:rPr>
          <w:sz w:val="22"/>
        </w:rPr>
        <w:tab/>
        <w:t>(a)</w:t>
      </w:r>
      <w:r w:rsidRPr="00FF4EE2">
        <w:rPr>
          <w:sz w:val="22"/>
        </w:rPr>
        <w:tab/>
        <w:t>NT Portions 461, 568, 570, 801, 1213, 1691, 3370, 3805, 3806, 3807, 3808, 3809, 3810, 4418, 4699 and 5624; and</w:t>
      </w:r>
    </w:p>
    <w:p w14:paraId="32A81E6C" w14:textId="77777777" w:rsidR="00FF4EE2" w:rsidRPr="00FF4EE2" w:rsidRDefault="00FF4EE2" w:rsidP="00FF4EE2">
      <w:pPr>
        <w:tabs>
          <w:tab w:val="right" w:pos="1531"/>
        </w:tabs>
        <w:spacing w:before="40"/>
        <w:ind w:left="1644" w:hanging="1644"/>
        <w:rPr>
          <w:sz w:val="22"/>
        </w:rPr>
      </w:pPr>
      <w:r w:rsidRPr="00FF4EE2">
        <w:rPr>
          <w:sz w:val="22"/>
        </w:rPr>
        <w:tab/>
        <w:t>(b)</w:t>
      </w:r>
      <w:r w:rsidRPr="00FF4EE2">
        <w:rPr>
          <w:sz w:val="22"/>
        </w:rPr>
        <w:tab/>
        <w:t>Lots 1 and 2 in the Townsite of Amoonguna.</w:t>
      </w:r>
    </w:p>
    <w:p w14:paraId="76A3E208" w14:textId="77777777" w:rsidR="00FF4EE2" w:rsidRDefault="00FF4EE2" w:rsidP="003F450F">
      <w:pPr>
        <w:tabs>
          <w:tab w:val="right" w:pos="1021"/>
        </w:tabs>
        <w:rPr>
          <w:szCs w:val="24"/>
        </w:rPr>
      </w:pPr>
    </w:p>
    <w:p w14:paraId="08235415" w14:textId="77777777" w:rsidR="00D772A1" w:rsidRDefault="00244BB1" w:rsidP="00680DD5">
      <w:pPr>
        <w:tabs>
          <w:tab w:val="right" w:pos="1021"/>
        </w:tabs>
        <w:rPr>
          <w:szCs w:val="24"/>
        </w:rPr>
      </w:pPr>
      <w:r>
        <w:rPr>
          <w:szCs w:val="24"/>
        </w:rPr>
        <w:t>Item 11</w:t>
      </w:r>
      <w:r w:rsidR="0089453D">
        <w:rPr>
          <w:szCs w:val="24"/>
        </w:rPr>
        <w:t xml:space="preserve"> e</w:t>
      </w:r>
      <w:r w:rsidR="0089453D" w:rsidRPr="0089453D">
        <w:rPr>
          <w:szCs w:val="24"/>
        </w:rPr>
        <w:t>xclude</w:t>
      </w:r>
      <w:r w:rsidR="0089453D">
        <w:rPr>
          <w:szCs w:val="24"/>
        </w:rPr>
        <w:t>s</w:t>
      </w:r>
      <w:r w:rsidR="0089453D" w:rsidRPr="0089453D">
        <w:rPr>
          <w:szCs w:val="24"/>
        </w:rPr>
        <w:t xml:space="preserve"> certain areas near Katherine, Barkly and Alice Springs as designated areas in the Northern Territory.</w:t>
      </w:r>
    </w:p>
    <w:p w14:paraId="4E5D50D1" w14:textId="77777777" w:rsidR="00D772A1" w:rsidRDefault="00D772A1" w:rsidP="00BE427A">
      <w:pPr>
        <w:rPr>
          <w:szCs w:val="24"/>
        </w:rPr>
      </w:pPr>
    </w:p>
    <w:sectPr w:rsidR="00D772A1" w:rsidSect="00C31B7C">
      <w:pgSz w:w="11906" w:h="16838" w:code="9"/>
      <w:pgMar w:top="1134"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C86D1" w14:textId="77777777" w:rsidR="00AC4569" w:rsidRDefault="00AC4569" w:rsidP="00C6231A">
      <w:r>
        <w:separator/>
      </w:r>
    </w:p>
  </w:endnote>
  <w:endnote w:type="continuationSeparator" w:id="0">
    <w:p w14:paraId="163204D8" w14:textId="77777777" w:rsidR="00AC4569" w:rsidRDefault="00AC4569" w:rsidP="00C6231A">
      <w:r>
        <w:continuationSeparator/>
      </w:r>
    </w:p>
  </w:endnote>
  <w:endnote w:type="continuationNotice" w:id="1">
    <w:p w14:paraId="18E43F52" w14:textId="77777777" w:rsidR="00AC4569" w:rsidRDefault="00AC45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C6E63" w14:textId="77777777" w:rsidR="00AC4569" w:rsidRDefault="00AC4569" w:rsidP="00C6231A">
      <w:r>
        <w:separator/>
      </w:r>
    </w:p>
  </w:footnote>
  <w:footnote w:type="continuationSeparator" w:id="0">
    <w:p w14:paraId="5E7C6131" w14:textId="77777777" w:rsidR="00AC4569" w:rsidRDefault="00AC4569" w:rsidP="00C6231A">
      <w:r>
        <w:continuationSeparator/>
      </w:r>
    </w:p>
  </w:footnote>
  <w:footnote w:type="continuationNotice" w:id="1">
    <w:p w14:paraId="1FA0A779" w14:textId="77777777" w:rsidR="00AC4569" w:rsidRDefault="00AC456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6329"/>
    <w:multiLevelType w:val="hybridMultilevel"/>
    <w:tmpl w:val="C28C2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496880"/>
    <w:multiLevelType w:val="hybridMultilevel"/>
    <w:tmpl w:val="2A22BE32"/>
    <w:lvl w:ilvl="0" w:tplc="0C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0135BB3"/>
    <w:multiLevelType w:val="hybridMultilevel"/>
    <w:tmpl w:val="5DF4C2E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15:restartNumberingAfterBreak="0">
    <w:nsid w:val="10D2706F"/>
    <w:multiLevelType w:val="multilevel"/>
    <w:tmpl w:val="D3120E10"/>
    <w:lvl w:ilvl="0">
      <w:start w:val="1"/>
      <w:numFmt w:val="decimal"/>
      <w:pStyle w:val="3Bodyparagraph"/>
      <w:lvlText w:val="%1."/>
      <w:lvlJc w:val="left"/>
      <w:pPr>
        <w:ind w:left="1080" w:hanging="360"/>
      </w:pPr>
    </w:lvl>
    <w:lvl w:ilvl="1">
      <w:start w:val="1"/>
      <w:numFmt w:val="lowerLetter"/>
      <w:pStyle w:val="4Subparagrapha"/>
      <w:lvlText w:val="(%2)"/>
      <w:lvlJc w:val="left"/>
      <w:pPr>
        <w:ind w:left="1512" w:hanging="432"/>
      </w:pPr>
    </w:lvl>
    <w:lvl w:ilvl="2">
      <w:start w:val="1"/>
      <w:numFmt w:val="lowerRoman"/>
      <w:pStyle w:val="5Subparagraphi"/>
      <w:lvlText w:val="(%3)"/>
      <w:lvlJc w:val="left"/>
      <w:pPr>
        <w:ind w:left="1944" w:hanging="504"/>
      </w:pPr>
    </w:lvl>
    <w:lvl w:ilvl="3">
      <w:start w:val="1"/>
      <w:numFmt w:val="lowerRoman"/>
      <w:lvlText w:val="(%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8971D24"/>
    <w:multiLevelType w:val="hybridMultilevel"/>
    <w:tmpl w:val="5CDCF650"/>
    <w:lvl w:ilvl="0" w:tplc="0C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457082"/>
    <w:multiLevelType w:val="hybridMultilevel"/>
    <w:tmpl w:val="7E42102C"/>
    <w:lvl w:ilvl="0" w:tplc="08090001">
      <w:start w:val="1"/>
      <w:numFmt w:val="bullet"/>
      <w:lvlText w:val=""/>
      <w:lvlJc w:val="left"/>
      <w:pPr>
        <w:ind w:left="1290" w:hanging="57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7D7335"/>
    <w:multiLevelType w:val="hybridMultilevel"/>
    <w:tmpl w:val="1346DB70"/>
    <w:lvl w:ilvl="0" w:tplc="0C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81556FA"/>
    <w:multiLevelType w:val="hybridMultilevel"/>
    <w:tmpl w:val="FC4EF9A8"/>
    <w:lvl w:ilvl="0" w:tplc="0C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317C2E01"/>
    <w:multiLevelType w:val="hybridMultilevel"/>
    <w:tmpl w:val="B2141A50"/>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3B991EEA"/>
    <w:multiLevelType w:val="hybridMultilevel"/>
    <w:tmpl w:val="40881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0F5AEB"/>
    <w:multiLevelType w:val="hybridMultilevel"/>
    <w:tmpl w:val="44E22086"/>
    <w:lvl w:ilvl="0" w:tplc="0C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4E6834F6"/>
    <w:multiLevelType w:val="multilevel"/>
    <w:tmpl w:val="389E678C"/>
    <w:lvl w:ilvl="0">
      <w:start w:val="1"/>
      <w:numFmt w:val="decimal"/>
      <w:pStyle w:val="PFParaNumLevel1"/>
      <w:lvlText w:val="%1"/>
      <w:lvlJc w:val="left"/>
      <w:pPr>
        <w:tabs>
          <w:tab w:val="num" w:pos="924"/>
        </w:tabs>
        <w:ind w:left="924" w:hanging="924"/>
      </w:pPr>
      <w:rPr>
        <w:rFonts w:hint="default"/>
      </w:rPr>
    </w:lvl>
    <w:lvl w:ilvl="1">
      <w:start w:val="1"/>
      <w:numFmt w:val="decimal"/>
      <w:pStyle w:val="PFParaNumLevel2"/>
      <w:lvlText w:val="%1.%2"/>
      <w:lvlJc w:val="left"/>
      <w:pPr>
        <w:tabs>
          <w:tab w:val="num" w:pos="1848"/>
        </w:tabs>
        <w:ind w:left="1848" w:hanging="924"/>
      </w:pPr>
      <w:rPr>
        <w:rFonts w:hint="default"/>
      </w:rPr>
    </w:lvl>
    <w:lvl w:ilvl="2">
      <w:start w:val="1"/>
      <w:numFmt w:val="decimal"/>
      <w:pStyle w:val="PFParaNumLevel3"/>
      <w:lvlText w:val="%1.%2.%3"/>
      <w:lvlJc w:val="left"/>
      <w:pPr>
        <w:tabs>
          <w:tab w:val="num" w:pos="3288"/>
        </w:tabs>
        <w:ind w:left="2773" w:hanging="925"/>
      </w:pPr>
      <w:rPr>
        <w:rFonts w:hint="default"/>
      </w:rPr>
    </w:lvl>
    <w:lvl w:ilvl="3">
      <w:start w:val="1"/>
      <w:numFmt w:val="lowerLetter"/>
      <w:pStyle w:val="PFParaNumLevel4"/>
      <w:lvlText w:val="(%4)"/>
      <w:lvlJc w:val="left"/>
      <w:pPr>
        <w:tabs>
          <w:tab w:val="num" w:pos="3697"/>
        </w:tabs>
        <w:ind w:left="3697" w:hanging="924"/>
      </w:pPr>
      <w:rPr>
        <w:rFonts w:hint="default"/>
      </w:rPr>
    </w:lvl>
    <w:lvl w:ilvl="4">
      <w:start w:val="1"/>
      <w:numFmt w:val="lowerLetter"/>
      <w:pStyle w:val="PFParaNumLevel5"/>
      <w:lvlText w:val="(%5)"/>
      <w:lvlJc w:val="left"/>
      <w:pPr>
        <w:tabs>
          <w:tab w:val="num" w:pos="1848"/>
        </w:tabs>
        <w:ind w:left="1848" w:hanging="924"/>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1848" w:hanging="1848"/>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52C6404F"/>
    <w:multiLevelType w:val="hybridMultilevel"/>
    <w:tmpl w:val="9CBC417E"/>
    <w:lvl w:ilvl="0" w:tplc="0C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72364638"/>
    <w:multiLevelType w:val="hybridMultilevel"/>
    <w:tmpl w:val="4B045F30"/>
    <w:lvl w:ilvl="0" w:tplc="0C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74582E3C"/>
    <w:multiLevelType w:val="hybridMultilevel"/>
    <w:tmpl w:val="EE9A30B6"/>
    <w:lvl w:ilvl="0" w:tplc="384C415A">
      <w:start w:val="1"/>
      <w:numFmt w:val="decimal"/>
      <w:lvlText w:val="%1"/>
      <w:lvlJc w:val="left"/>
      <w:pPr>
        <w:tabs>
          <w:tab w:val="num" w:pos="1080"/>
        </w:tabs>
        <w:ind w:left="1080" w:hanging="72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9C12491"/>
    <w:multiLevelType w:val="hybridMultilevel"/>
    <w:tmpl w:val="33DCF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1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num>
  <w:num w:numId="6">
    <w:abstractNumId w:val="2"/>
  </w:num>
  <w:num w:numId="7">
    <w:abstractNumId w:val="0"/>
  </w:num>
  <w:num w:numId="8">
    <w:abstractNumId w:val="9"/>
  </w:num>
  <w:num w:numId="9">
    <w:abstractNumId w:val="13"/>
  </w:num>
  <w:num w:numId="10">
    <w:abstractNumId w:val="4"/>
  </w:num>
  <w:num w:numId="11">
    <w:abstractNumId w:val="10"/>
  </w:num>
  <w:num w:numId="12">
    <w:abstractNumId w:val="7"/>
  </w:num>
  <w:num w:numId="13">
    <w:abstractNumId w:val="1"/>
  </w:num>
  <w:num w:numId="14">
    <w:abstractNumId w:val="6"/>
  </w:num>
  <w:num w:numId="15">
    <w:abstractNumId w:val="12"/>
  </w:num>
  <w:num w:numId="16">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1B"/>
    <w:rsid w:val="0000026E"/>
    <w:rsid w:val="0000074C"/>
    <w:rsid w:val="00000B07"/>
    <w:rsid w:val="00000C34"/>
    <w:rsid w:val="0000166F"/>
    <w:rsid w:val="0000291D"/>
    <w:rsid w:val="000043F4"/>
    <w:rsid w:val="000051B3"/>
    <w:rsid w:val="00005F1C"/>
    <w:rsid w:val="0000621A"/>
    <w:rsid w:val="000064E1"/>
    <w:rsid w:val="00007479"/>
    <w:rsid w:val="00007640"/>
    <w:rsid w:val="0001019D"/>
    <w:rsid w:val="000111AA"/>
    <w:rsid w:val="00012FBE"/>
    <w:rsid w:val="000130D7"/>
    <w:rsid w:val="000132B0"/>
    <w:rsid w:val="000136F8"/>
    <w:rsid w:val="000167DE"/>
    <w:rsid w:val="00016CED"/>
    <w:rsid w:val="00020A23"/>
    <w:rsid w:val="00021174"/>
    <w:rsid w:val="000217A4"/>
    <w:rsid w:val="00021BD8"/>
    <w:rsid w:val="00022354"/>
    <w:rsid w:val="0002553E"/>
    <w:rsid w:val="000308A8"/>
    <w:rsid w:val="00031161"/>
    <w:rsid w:val="00031967"/>
    <w:rsid w:val="000321FE"/>
    <w:rsid w:val="00033583"/>
    <w:rsid w:val="00033D42"/>
    <w:rsid w:val="00033EC4"/>
    <w:rsid w:val="00035293"/>
    <w:rsid w:val="0003650E"/>
    <w:rsid w:val="00037C50"/>
    <w:rsid w:val="00037C97"/>
    <w:rsid w:val="00037E00"/>
    <w:rsid w:val="00041392"/>
    <w:rsid w:val="00041A46"/>
    <w:rsid w:val="00041C02"/>
    <w:rsid w:val="00041C5F"/>
    <w:rsid w:val="000426CE"/>
    <w:rsid w:val="00042A66"/>
    <w:rsid w:val="00042DBA"/>
    <w:rsid w:val="00042EB0"/>
    <w:rsid w:val="000441BD"/>
    <w:rsid w:val="000451E2"/>
    <w:rsid w:val="000453F9"/>
    <w:rsid w:val="00045FF1"/>
    <w:rsid w:val="000464A2"/>
    <w:rsid w:val="00046A07"/>
    <w:rsid w:val="00047BA3"/>
    <w:rsid w:val="00051AB7"/>
    <w:rsid w:val="00051FBF"/>
    <w:rsid w:val="0005497E"/>
    <w:rsid w:val="00056665"/>
    <w:rsid w:val="0005676C"/>
    <w:rsid w:val="00057950"/>
    <w:rsid w:val="00057BED"/>
    <w:rsid w:val="00057F9C"/>
    <w:rsid w:val="00057FE9"/>
    <w:rsid w:val="00060A7A"/>
    <w:rsid w:val="00063443"/>
    <w:rsid w:val="00064A57"/>
    <w:rsid w:val="00065304"/>
    <w:rsid w:val="00065B56"/>
    <w:rsid w:val="00066CAC"/>
    <w:rsid w:val="0006721F"/>
    <w:rsid w:val="00067B96"/>
    <w:rsid w:val="00067F73"/>
    <w:rsid w:val="0007002F"/>
    <w:rsid w:val="0007016C"/>
    <w:rsid w:val="00070A38"/>
    <w:rsid w:val="00071FA0"/>
    <w:rsid w:val="00072739"/>
    <w:rsid w:val="000728DD"/>
    <w:rsid w:val="00072B48"/>
    <w:rsid w:val="0007342E"/>
    <w:rsid w:val="0007394C"/>
    <w:rsid w:val="00075CF7"/>
    <w:rsid w:val="00075D24"/>
    <w:rsid w:val="00080233"/>
    <w:rsid w:val="00080575"/>
    <w:rsid w:val="000808F4"/>
    <w:rsid w:val="00081978"/>
    <w:rsid w:val="00081F93"/>
    <w:rsid w:val="0008259C"/>
    <w:rsid w:val="00082A46"/>
    <w:rsid w:val="00083501"/>
    <w:rsid w:val="00083D2C"/>
    <w:rsid w:val="00083D53"/>
    <w:rsid w:val="000843D2"/>
    <w:rsid w:val="00084E3B"/>
    <w:rsid w:val="00086230"/>
    <w:rsid w:val="0008664B"/>
    <w:rsid w:val="0008735D"/>
    <w:rsid w:val="00090A3D"/>
    <w:rsid w:val="000916DE"/>
    <w:rsid w:val="000925A2"/>
    <w:rsid w:val="000944FF"/>
    <w:rsid w:val="00095B41"/>
    <w:rsid w:val="00097B71"/>
    <w:rsid w:val="00097D76"/>
    <w:rsid w:val="000A0129"/>
    <w:rsid w:val="000A1E2E"/>
    <w:rsid w:val="000A2407"/>
    <w:rsid w:val="000A5028"/>
    <w:rsid w:val="000A5465"/>
    <w:rsid w:val="000A56E0"/>
    <w:rsid w:val="000A6946"/>
    <w:rsid w:val="000A6E0C"/>
    <w:rsid w:val="000A71A1"/>
    <w:rsid w:val="000A71DD"/>
    <w:rsid w:val="000A7850"/>
    <w:rsid w:val="000B0422"/>
    <w:rsid w:val="000B0EA9"/>
    <w:rsid w:val="000B108D"/>
    <w:rsid w:val="000B1B26"/>
    <w:rsid w:val="000B369E"/>
    <w:rsid w:val="000B422B"/>
    <w:rsid w:val="000B48E0"/>
    <w:rsid w:val="000B5BF9"/>
    <w:rsid w:val="000B67FF"/>
    <w:rsid w:val="000C0B74"/>
    <w:rsid w:val="000C0CA2"/>
    <w:rsid w:val="000C1251"/>
    <w:rsid w:val="000C2CAF"/>
    <w:rsid w:val="000C3399"/>
    <w:rsid w:val="000C35A3"/>
    <w:rsid w:val="000C538A"/>
    <w:rsid w:val="000C69B8"/>
    <w:rsid w:val="000D0625"/>
    <w:rsid w:val="000D0F96"/>
    <w:rsid w:val="000D11A9"/>
    <w:rsid w:val="000D2C90"/>
    <w:rsid w:val="000D4435"/>
    <w:rsid w:val="000D4713"/>
    <w:rsid w:val="000D51DE"/>
    <w:rsid w:val="000D5201"/>
    <w:rsid w:val="000D56B8"/>
    <w:rsid w:val="000D5F25"/>
    <w:rsid w:val="000E012C"/>
    <w:rsid w:val="000E1613"/>
    <w:rsid w:val="000E349A"/>
    <w:rsid w:val="000E4CE5"/>
    <w:rsid w:val="000E5986"/>
    <w:rsid w:val="000E5D6B"/>
    <w:rsid w:val="000E688D"/>
    <w:rsid w:val="000E69D9"/>
    <w:rsid w:val="000E7A61"/>
    <w:rsid w:val="000F0E8A"/>
    <w:rsid w:val="000F387C"/>
    <w:rsid w:val="000F3EFA"/>
    <w:rsid w:val="000F4534"/>
    <w:rsid w:val="001008FE"/>
    <w:rsid w:val="00101FE6"/>
    <w:rsid w:val="00102CEB"/>
    <w:rsid w:val="00103344"/>
    <w:rsid w:val="001047FB"/>
    <w:rsid w:val="0010529C"/>
    <w:rsid w:val="001055A9"/>
    <w:rsid w:val="00110EFA"/>
    <w:rsid w:val="00110F4E"/>
    <w:rsid w:val="00111740"/>
    <w:rsid w:val="0011381E"/>
    <w:rsid w:val="00114361"/>
    <w:rsid w:val="00114421"/>
    <w:rsid w:val="00114652"/>
    <w:rsid w:val="00114FE8"/>
    <w:rsid w:val="00115936"/>
    <w:rsid w:val="00116022"/>
    <w:rsid w:val="00116900"/>
    <w:rsid w:val="001170AE"/>
    <w:rsid w:val="001170D5"/>
    <w:rsid w:val="00117D49"/>
    <w:rsid w:val="00120F23"/>
    <w:rsid w:val="001213EF"/>
    <w:rsid w:val="0012484F"/>
    <w:rsid w:val="0012556A"/>
    <w:rsid w:val="001262DC"/>
    <w:rsid w:val="00126B68"/>
    <w:rsid w:val="001304D7"/>
    <w:rsid w:val="00130F1F"/>
    <w:rsid w:val="00131690"/>
    <w:rsid w:val="001317E3"/>
    <w:rsid w:val="0013197A"/>
    <w:rsid w:val="00131F14"/>
    <w:rsid w:val="00135575"/>
    <w:rsid w:val="00136E9D"/>
    <w:rsid w:val="00136F0B"/>
    <w:rsid w:val="00140F2B"/>
    <w:rsid w:val="0014109B"/>
    <w:rsid w:val="00141FD9"/>
    <w:rsid w:val="00142630"/>
    <w:rsid w:val="00142972"/>
    <w:rsid w:val="00143F8F"/>
    <w:rsid w:val="00144537"/>
    <w:rsid w:val="001457F6"/>
    <w:rsid w:val="00145E88"/>
    <w:rsid w:val="001469D9"/>
    <w:rsid w:val="001471FD"/>
    <w:rsid w:val="00150345"/>
    <w:rsid w:val="00150BD8"/>
    <w:rsid w:val="00151535"/>
    <w:rsid w:val="001535A5"/>
    <w:rsid w:val="0015431D"/>
    <w:rsid w:val="00155D94"/>
    <w:rsid w:val="00156AE9"/>
    <w:rsid w:val="00161F26"/>
    <w:rsid w:val="00162206"/>
    <w:rsid w:val="00163638"/>
    <w:rsid w:val="00163BD9"/>
    <w:rsid w:val="0016524E"/>
    <w:rsid w:val="00165B41"/>
    <w:rsid w:val="00165D11"/>
    <w:rsid w:val="0016627C"/>
    <w:rsid w:val="00166C4E"/>
    <w:rsid w:val="00167EB3"/>
    <w:rsid w:val="00171C8F"/>
    <w:rsid w:val="00171DE3"/>
    <w:rsid w:val="00174704"/>
    <w:rsid w:val="00174EC0"/>
    <w:rsid w:val="00180B7B"/>
    <w:rsid w:val="00183D5A"/>
    <w:rsid w:val="00184A3F"/>
    <w:rsid w:val="00184EF7"/>
    <w:rsid w:val="00185FE2"/>
    <w:rsid w:val="0018639D"/>
    <w:rsid w:val="0018656C"/>
    <w:rsid w:val="00186690"/>
    <w:rsid w:val="00186CC9"/>
    <w:rsid w:val="00190F53"/>
    <w:rsid w:val="001920DC"/>
    <w:rsid w:val="00193302"/>
    <w:rsid w:val="00193F71"/>
    <w:rsid w:val="00194E11"/>
    <w:rsid w:val="00196F71"/>
    <w:rsid w:val="00197216"/>
    <w:rsid w:val="001A19A6"/>
    <w:rsid w:val="001A1C4C"/>
    <w:rsid w:val="001A1EC6"/>
    <w:rsid w:val="001A222E"/>
    <w:rsid w:val="001A2A06"/>
    <w:rsid w:val="001A316A"/>
    <w:rsid w:val="001A4781"/>
    <w:rsid w:val="001A4B2E"/>
    <w:rsid w:val="001A4C2E"/>
    <w:rsid w:val="001B0639"/>
    <w:rsid w:val="001B08BB"/>
    <w:rsid w:val="001B0A90"/>
    <w:rsid w:val="001B1A15"/>
    <w:rsid w:val="001B1C99"/>
    <w:rsid w:val="001B47E9"/>
    <w:rsid w:val="001C2D72"/>
    <w:rsid w:val="001C31CB"/>
    <w:rsid w:val="001C3CA0"/>
    <w:rsid w:val="001C4BEE"/>
    <w:rsid w:val="001C4E8B"/>
    <w:rsid w:val="001C4F2D"/>
    <w:rsid w:val="001C5D74"/>
    <w:rsid w:val="001C5E73"/>
    <w:rsid w:val="001C5F2B"/>
    <w:rsid w:val="001C6957"/>
    <w:rsid w:val="001C6D7C"/>
    <w:rsid w:val="001C6DD6"/>
    <w:rsid w:val="001D51B2"/>
    <w:rsid w:val="001D79DD"/>
    <w:rsid w:val="001E106A"/>
    <w:rsid w:val="001E18D6"/>
    <w:rsid w:val="001E20CA"/>
    <w:rsid w:val="001E5E24"/>
    <w:rsid w:val="001E7230"/>
    <w:rsid w:val="001E74D4"/>
    <w:rsid w:val="001E775A"/>
    <w:rsid w:val="001E7D06"/>
    <w:rsid w:val="001F025C"/>
    <w:rsid w:val="001F1CDF"/>
    <w:rsid w:val="001F4590"/>
    <w:rsid w:val="001F4AAC"/>
    <w:rsid w:val="001F660A"/>
    <w:rsid w:val="001F7E36"/>
    <w:rsid w:val="002019A2"/>
    <w:rsid w:val="002027DB"/>
    <w:rsid w:val="002058B0"/>
    <w:rsid w:val="0020730B"/>
    <w:rsid w:val="00207BD3"/>
    <w:rsid w:val="00207F99"/>
    <w:rsid w:val="002105BD"/>
    <w:rsid w:val="00210822"/>
    <w:rsid w:val="0021128F"/>
    <w:rsid w:val="00211293"/>
    <w:rsid w:val="00212338"/>
    <w:rsid w:val="00213B07"/>
    <w:rsid w:val="00213B8D"/>
    <w:rsid w:val="00213F90"/>
    <w:rsid w:val="00215D59"/>
    <w:rsid w:val="00215DE0"/>
    <w:rsid w:val="00216486"/>
    <w:rsid w:val="00216A79"/>
    <w:rsid w:val="0021775C"/>
    <w:rsid w:val="00217C43"/>
    <w:rsid w:val="0022045F"/>
    <w:rsid w:val="0022071D"/>
    <w:rsid w:val="00222230"/>
    <w:rsid w:val="00222862"/>
    <w:rsid w:val="0022364E"/>
    <w:rsid w:val="002244DA"/>
    <w:rsid w:val="00227604"/>
    <w:rsid w:val="00227B34"/>
    <w:rsid w:val="0023139B"/>
    <w:rsid w:val="002319CF"/>
    <w:rsid w:val="002319F6"/>
    <w:rsid w:val="002328D6"/>
    <w:rsid w:val="0023389C"/>
    <w:rsid w:val="00235008"/>
    <w:rsid w:val="00235075"/>
    <w:rsid w:val="0023690D"/>
    <w:rsid w:val="00236B63"/>
    <w:rsid w:val="0024194F"/>
    <w:rsid w:val="002442EA"/>
    <w:rsid w:val="0024456C"/>
    <w:rsid w:val="002445FC"/>
    <w:rsid w:val="00244BB1"/>
    <w:rsid w:val="00247618"/>
    <w:rsid w:val="002477AF"/>
    <w:rsid w:val="00252F44"/>
    <w:rsid w:val="002530EC"/>
    <w:rsid w:val="00253105"/>
    <w:rsid w:val="002531A4"/>
    <w:rsid w:val="00260379"/>
    <w:rsid w:val="00260553"/>
    <w:rsid w:val="002645E7"/>
    <w:rsid w:val="00266E42"/>
    <w:rsid w:val="0026715D"/>
    <w:rsid w:val="002676C3"/>
    <w:rsid w:val="00270677"/>
    <w:rsid w:val="00270B7E"/>
    <w:rsid w:val="00270DF0"/>
    <w:rsid w:val="00270F7A"/>
    <w:rsid w:val="0027158F"/>
    <w:rsid w:val="002718A3"/>
    <w:rsid w:val="002722FD"/>
    <w:rsid w:val="00273DE1"/>
    <w:rsid w:val="00274D52"/>
    <w:rsid w:val="00275AFC"/>
    <w:rsid w:val="00277023"/>
    <w:rsid w:val="00282E7A"/>
    <w:rsid w:val="002830DB"/>
    <w:rsid w:val="00283B67"/>
    <w:rsid w:val="00284F79"/>
    <w:rsid w:val="00285BBB"/>
    <w:rsid w:val="00286F03"/>
    <w:rsid w:val="0028725B"/>
    <w:rsid w:val="002915AC"/>
    <w:rsid w:val="0029173C"/>
    <w:rsid w:val="00291BC5"/>
    <w:rsid w:val="0029244B"/>
    <w:rsid w:val="00292FA1"/>
    <w:rsid w:val="0029442B"/>
    <w:rsid w:val="00294BB8"/>
    <w:rsid w:val="00294CB9"/>
    <w:rsid w:val="002950F0"/>
    <w:rsid w:val="00296590"/>
    <w:rsid w:val="0029698A"/>
    <w:rsid w:val="00297202"/>
    <w:rsid w:val="0029756E"/>
    <w:rsid w:val="00297BB4"/>
    <w:rsid w:val="00297CC5"/>
    <w:rsid w:val="002A2309"/>
    <w:rsid w:val="002A5B33"/>
    <w:rsid w:val="002A619B"/>
    <w:rsid w:val="002A70C4"/>
    <w:rsid w:val="002A7D81"/>
    <w:rsid w:val="002B0A09"/>
    <w:rsid w:val="002B1D4C"/>
    <w:rsid w:val="002B286C"/>
    <w:rsid w:val="002B37F1"/>
    <w:rsid w:val="002B3836"/>
    <w:rsid w:val="002B3FCE"/>
    <w:rsid w:val="002B555A"/>
    <w:rsid w:val="002B56CD"/>
    <w:rsid w:val="002B5BF3"/>
    <w:rsid w:val="002B67A2"/>
    <w:rsid w:val="002C2369"/>
    <w:rsid w:val="002C2B34"/>
    <w:rsid w:val="002C2D1E"/>
    <w:rsid w:val="002C304A"/>
    <w:rsid w:val="002C3EB8"/>
    <w:rsid w:val="002C4577"/>
    <w:rsid w:val="002C4953"/>
    <w:rsid w:val="002C5AC5"/>
    <w:rsid w:val="002C5F52"/>
    <w:rsid w:val="002C7A14"/>
    <w:rsid w:val="002C7C2A"/>
    <w:rsid w:val="002D1A48"/>
    <w:rsid w:val="002D1C9E"/>
    <w:rsid w:val="002D386F"/>
    <w:rsid w:val="002D4D08"/>
    <w:rsid w:val="002D5358"/>
    <w:rsid w:val="002D561D"/>
    <w:rsid w:val="002D58D9"/>
    <w:rsid w:val="002D6022"/>
    <w:rsid w:val="002D6A10"/>
    <w:rsid w:val="002D7252"/>
    <w:rsid w:val="002E02D1"/>
    <w:rsid w:val="002E0331"/>
    <w:rsid w:val="002E03B4"/>
    <w:rsid w:val="002E05AE"/>
    <w:rsid w:val="002E22FB"/>
    <w:rsid w:val="002E36C6"/>
    <w:rsid w:val="002E376F"/>
    <w:rsid w:val="002E38E2"/>
    <w:rsid w:val="002E3E3F"/>
    <w:rsid w:val="002E79B4"/>
    <w:rsid w:val="002F1724"/>
    <w:rsid w:val="002F212C"/>
    <w:rsid w:val="002F3691"/>
    <w:rsid w:val="002F3965"/>
    <w:rsid w:val="002F40A9"/>
    <w:rsid w:val="002F521E"/>
    <w:rsid w:val="003010FD"/>
    <w:rsid w:val="003027D5"/>
    <w:rsid w:val="00303840"/>
    <w:rsid w:val="00303E2F"/>
    <w:rsid w:val="00304528"/>
    <w:rsid w:val="003070E6"/>
    <w:rsid w:val="003123C2"/>
    <w:rsid w:val="0031335C"/>
    <w:rsid w:val="00313456"/>
    <w:rsid w:val="003138B7"/>
    <w:rsid w:val="00316004"/>
    <w:rsid w:val="00317D0E"/>
    <w:rsid w:val="003201B6"/>
    <w:rsid w:val="00322207"/>
    <w:rsid w:val="00322523"/>
    <w:rsid w:val="00323C78"/>
    <w:rsid w:val="00323D13"/>
    <w:rsid w:val="00323DA9"/>
    <w:rsid w:val="00323EE4"/>
    <w:rsid w:val="00325C70"/>
    <w:rsid w:val="00325CCE"/>
    <w:rsid w:val="00325D23"/>
    <w:rsid w:val="00327792"/>
    <w:rsid w:val="00327D2A"/>
    <w:rsid w:val="00330B14"/>
    <w:rsid w:val="00330DCE"/>
    <w:rsid w:val="0033175F"/>
    <w:rsid w:val="003324B7"/>
    <w:rsid w:val="00332D20"/>
    <w:rsid w:val="003355B3"/>
    <w:rsid w:val="003362CB"/>
    <w:rsid w:val="00341A64"/>
    <w:rsid w:val="003427E7"/>
    <w:rsid w:val="0034795D"/>
    <w:rsid w:val="00350F24"/>
    <w:rsid w:val="0035199F"/>
    <w:rsid w:val="003521FE"/>
    <w:rsid w:val="00353604"/>
    <w:rsid w:val="0035403B"/>
    <w:rsid w:val="0035530F"/>
    <w:rsid w:val="003559AC"/>
    <w:rsid w:val="00355D14"/>
    <w:rsid w:val="00356503"/>
    <w:rsid w:val="003576C2"/>
    <w:rsid w:val="00360281"/>
    <w:rsid w:val="00360424"/>
    <w:rsid w:val="00361D4E"/>
    <w:rsid w:val="00363790"/>
    <w:rsid w:val="00364798"/>
    <w:rsid w:val="00367576"/>
    <w:rsid w:val="00367F8A"/>
    <w:rsid w:val="00367FD9"/>
    <w:rsid w:val="00370057"/>
    <w:rsid w:val="003730D3"/>
    <w:rsid w:val="0037369E"/>
    <w:rsid w:val="003736E1"/>
    <w:rsid w:val="00373864"/>
    <w:rsid w:val="00374FFD"/>
    <w:rsid w:val="00375833"/>
    <w:rsid w:val="00376B92"/>
    <w:rsid w:val="00377AC9"/>
    <w:rsid w:val="003831A2"/>
    <w:rsid w:val="003848AE"/>
    <w:rsid w:val="00385AE4"/>
    <w:rsid w:val="00386CFA"/>
    <w:rsid w:val="00387BF6"/>
    <w:rsid w:val="003907FF"/>
    <w:rsid w:val="00390C86"/>
    <w:rsid w:val="003915E7"/>
    <w:rsid w:val="00393DA8"/>
    <w:rsid w:val="0039480B"/>
    <w:rsid w:val="00395656"/>
    <w:rsid w:val="00397069"/>
    <w:rsid w:val="00397A6E"/>
    <w:rsid w:val="003A03F3"/>
    <w:rsid w:val="003A06F5"/>
    <w:rsid w:val="003A149A"/>
    <w:rsid w:val="003A183D"/>
    <w:rsid w:val="003A1F52"/>
    <w:rsid w:val="003A2317"/>
    <w:rsid w:val="003A242F"/>
    <w:rsid w:val="003A2490"/>
    <w:rsid w:val="003A2AE8"/>
    <w:rsid w:val="003A4267"/>
    <w:rsid w:val="003A4898"/>
    <w:rsid w:val="003A4F3C"/>
    <w:rsid w:val="003A55C1"/>
    <w:rsid w:val="003A5DC2"/>
    <w:rsid w:val="003A623C"/>
    <w:rsid w:val="003A6C7F"/>
    <w:rsid w:val="003A7461"/>
    <w:rsid w:val="003B094B"/>
    <w:rsid w:val="003B0AF5"/>
    <w:rsid w:val="003B1DA4"/>
    <w:rsid w:val="003B1F82"/>
    <w:rsid w:val="003B208B"/>
    <w:rsid w:val="003B312A"/>
    <w:rsid w:val="003B3182"/>
    <w:rsid w:val="003B35F9"/>
    <w:rsid w:val="003B377B"/>
    <w:rsid w:val="003B3783"/>
    <w:rsid w:val="003B4B04"/>
    <w:rsid w:val="003B4FF5"/>
    <w:rsid w:val="003B65D8"/>
    <w:rsid w:val="003B7136"/>
    <w:rsid w:val="003B7192"/>
    <w:rsid w:val="003C02FD"/>
    <w:rsid w:val="003C0BFA"/>
    <w:rsid w:val="003C16AA"/>
    <w:rsid w:val="003C4F23"/>
    <w:rsid w:val="003C5B20"/>
    <w:rsid w:val="003C79E5"/>
    <w:rsid w:val="003C7A21"/>
    <w:rsid w:val="003D2023"/>
    <w:rsid w:val="003D24F2"/>
    <w:rsid w:val="003D2D5B"/>
    <w:rsid w:val="003D3557"/>
    <w:rsid w:val="003D4B83"/>
    <w:rsid w:val="003D4BAC"/>
    <w:rsid w:val="003D5541"/>
    <w:rsid w:val="003D60FA"/>
    <w:rsid w:val="003D7A57"/>
    <w:rsid w:val="003E01E5"/>
    <w:rsid w:val="003E0725"/>
    <w:rsid w:val="003E0E91"/>
    <w:rsid w:val="003E2B1F"/>
    <w:rsid w:val="003E329B"/>
    <w:rsid w:val="003E4DC0"/>
    <w:rsid w:val="003E4F46"/>
    <w:rsid w:val="003E537C"/>
    <w:rsid w:val="003E588A"/>
    <w:rsid w:val="003E6705"/>
    <w:rsid w:val="003E74BC"/>
    <w:rsid w:val="003F04CB"/>
    <w:rsid w:val="003F2E84"/>
    <w:rsid w:val="003F36E2"/>
    <w:rsid w:val="003F3B98"/>
    <w:rsid w:val="003F450F"/>
    <w:rsid w:val="003F6383"/>
    <w:rsid w:val="003F69CB"/>
    <w:rsid w:val="0040092B"/>
    <w:rsid w:val="00401BE1"/>
    <w:rsid w:val="00401E88"/>
    <w:rsid w:val="004021EE"/>
    <w:rsid w:val="004029C5"/>
    <w:rsid w:val="0040371F"/>
    <w:rsid w:val="00403D63"/>
    <w:rsid w:val="00403DF8"/>
    <w:rsid w:val="00403F52"/>
    <w:rsid w:val="00404E5D"/>
    <w:rsid w:val="00405C51"/>
    <w:rsid w:val="0040626A"/>
    <w:rsid w:val="004069CD"/>
    <w:rsid w:val="0040706E"/>
    <w:rsid w:val="00413636"/>
    <w:rsid w:val="0041386B"/>
    <w:rsid w:val="0041419B"/>
    <w:rsid w:val="00414852"/>
    <w:rsid w:val="00414F9C"/>
    <w:rsid w:val="004162E2"/>
    <w:rsid w:val="0042040A"/>
    <w:rsid w:val="00420B93"/>
    <w:rsid w:val="00420F49"/>
    <w:rsid w:val="0042217E"/>
    <w:rsid w:val="00422E85"/>
    <w:rsid w:val="004237AD"/>
    <w:rsid w:val="00425889"/>
    <w:rsid w:val="00425CBA"/>
    <w:rsid w:val="0042688D"/>
    <w:rsid w:val="004274E4"/>
    <w:rsid w:val="00427C44"/>
    <w:rsid w:val="0043098D"/>
    <w:rsid w:val="0043140D"/>
    <w:rsid w:val="00431697"/>
    <w:rsid w:val="00433D02"/>
    <w:rsid w:val="00435BFC"/>
    <w:rsid w:val="00436B1A"/>
    <w:rsid w:val="004375F0"/>
    <w:rsid w:val="004410E3"/>
    <w:rsid w:val="004418CA"/>
    <w:rsid w:val="00441E17"/>
    <w:rsid w:val="0044390C"/>
    <w:rsid w:val="004441CC"/>
    <w:rsid w:val="004450FC"/>
    <w:rsid w:val="00445863"/>
    <w:rsid w:val="00445E6E"/>
    <w:rsid w:val="00446A3B"/>
    <w:rsid w:val="00447110"/>
    <w:rsid w:val="004474C9"/>
    <w:rsid w:val="00452B8E"/>
    <w:rsid w:val="0045355F"/>
    <w:rsid w:val="004536C0"/>
    <w:rsid w:val="00453B08"/>
    <w:rsid w:val="004565A2"/>
    <w:rsid w:val="00456A68"/>
    <w:rsid w:val="00460110"/>
    <w:rsid w:val="00460B2C"/>
    <w:rsid w:val="0046175D"/>
    <w:rsid w:val="00462435"/>
    <w:rsid w:val="00462DDB"/>
    <w:rsid w:val="00463C44"/>
    <w:rsid w:val="00464518"/>
    <w:rsid w:val="00464BDB"/>
    <w:rsid w:val="0046630A"/>
    <w:rsid w:val="00466CB5"/>
    <w:rsid w:val="00466ED8"/>
    <w:rsid w:val="00470A68"/>
    <w:rsid w:val="004719B7"/>
    <w:rsid w:val="0047590F"/>
    <w:rsid w:val="00476451"/>
    <w:rsid w:val="00476669"/>
    <w:rsid w:val="00477F42"/>
    <w:rsid w:val="004800A1"/>
    <w:rsid w:val="00480815"/>
    <w:rsid w:val="0048306A"/>
    <w:rsid w:val="004833DC"/>
    <w:rsid w:val="00483484"/>
    <w:rsid w:val="00483546"/>
    <w:rsid w:val="0048426F"/>
    <w:rsid w:val="00486931"/>
    <w:rsid w:val="0048694A"/>
    <w:rsid w:val="00486B25"/>
    <w:rsid w:val="00486C4D"/>
    <w:rsid w:val="00487ABF"/>
    <w:rsid w:val="00487F89"/>
    <w:rsid w:val="00490587"/>
    <w:rsid w:val="00490901"/>
    <w:rsid w:val="00491D31"/>
    <w:rsid w:val="004920BB"/>
    <w:rsid w:val="0049283A"/>
    <w:rsid w:val="00492A89"/>
    <w:rsid w:val="004947B2"/>
    <w:rsid w:val="0049571C"/>
    <w:rsid w:val="004963ED"/>
    <w:rsid w:val="004977F5"/>
    <w:rsid w:val="004A0116"/>
    <w:rsid w:val="004A1221"/>
    <w:rsid w:val="004A1939"/>
    <w:rsid w:val="004A260C"/>
    <w:rsid w:val="004A34FE"/>
    <w:rsid w:val="004A3ED1"/>
    <w:rsid w:val="004A5684"/>
    <w:rsid w:val="004A579D"/>
    <w:rsid w:val="004A665E"/>
    <w:rsid w:val="004A772F"/>
    <w:rsid w:val="004B0496"/>
    <w:rsid w:val="004B285D"/>
    <w:rsid w:val="004B2C73"/>
    <w:rsid w:val="004B354C"/>
    <w:rsid w:val="004B3A1F"/>
    <w:rsid w:val="004B4C5D"/>
    <w:rsid w:val="004B4D14"/>
    <w:rsid w:val="004B5A0E"/>
    <w:rsid w:val="004B6DAC"/>
    <w:rsid w:val="004B77ED"/>
    <w:rsid w:val="004C1B0C"/>
    <w:rsid w:val="004C3B28"/>
    <w:rsid w:val="004C5C9D"/>
    <w:rsid w:val="004C67B7"/>
    <w:rsid w:val="004C687A"/>
    <w:rsid w:val="004C6BE3"/>
    <w:rsid w:val="004D22FF"/>
    <w:rsid w:val="004D2443"/>
    <w:rsid w:val="004D2730"/>
    <w:rsid w:val="004D4608"/>
    <w:rsid w:val="004D4799"/>
    <w:rsid w:val="004D4F89"/>
    <w:rsid w:val="004D5D9A"/>
    <w:rsid w:val="004D7BDA"/>
    <w:rsid w:val="004E01E9"/>
    <w:rsid w:val="004E03E7"/>
    <w:rsid w:val="004E12FB"/>
    <w:rsid w:val="004E1612"/>
    <w:rsid w:val="004E1811"/>
    <w:rsid w:val="004E1A0F"/>
    <w:rsid w:val="004E1B8C"/>
    <w:rsid w:val="004E33A2"/>
    <w:rsid w:val="004E341D"/>
    <w:rsid w:val="004E4367"/>
    <w:rsid w:val="004E7232"/>
    <w:rsid w:val="004E7A93"/>
    <w:rsid w:val="004F16EC"/>
    <w:rsid w:val="004F2A87"/>
    <w:rsid w:val="004F2AB8"/>
    <w:rsid w:val="004F54BF"/>
    <w:rsid w:val="004F6980"/>
    <w:rsid w:val="004F71FC"/>
    <w:rsid w:val="004F7FEE"/>
    <w:rsid w:val="00500335"/>
    <w:rsid w:val="005005D5"/>
    <w:rsid w:val="00500EC1"/>
    <w:rsid w:val="005018D0"/>
    <w:rsid w:val="00502428"/>
    <w:rsid w:val="00504748"/>
    <w:rsid w:val="00507AF0"/>
    <w:rsid w:val="00510380"/>
    <w:rsid w:val="0051150B"/>
    <w:rsid w:val="00512AF0"/>
    <w:rsid w:val="00512CB0"/>
    <w:rsid w:val="005130AF"/>
    <w:rsid w:val="005146C1"/>
    <w:rsid w:val="005147C1"/>
    <w:rsid w:val="005155CE"/>
    <w:rsid w:val="00515C36"/>
    <w:rsid w:val="00521214"/>
    <w:rsid w:val="00523510"/>
    <w:rsid w:val="00525087"/>
    <w:rsid w:val="00525B3F"/>
    <w:rsid w:val="005274EF"/>
    <w:rsid w:val="0052777F"/>
    <w:rsid w:val="005354A2"/>
    <w:rsid w:val="00536730"/>
    <w:rsid w:val="00536EDA"/>
    <w:rsid w:val="00537A58"/>
    <w:rsid w:val="00540048"/>
    <w:rsid w:val="00540EE3"/>
    <w:rsid w:val="00543151"/>
    <w:rsid w:val="00543B96"/>
    <w:rsid w:val="005471B4"/>
    <w:rsid w:val="00547E31"/>
    <w:rsid w:val="00550B18"/>
    <w:rsid w:val="0055118D"/>
    <w:rsid w:val="00551D2C"/>
    <w:rsid w:val="00552645"/>
    <w:rsid w:val="00552DAA"/>
    <w:rsid w:val="00553317"/>
    <w:rsid w:val="0055474B"/>
    <w:rsid w:val="00556281"/>
    <w:rsid w:val="005576EE"/>
    <w:rsid w:val="00557AB1"/>
    <w:rsid w:val="00557BE3"/>
    <w:rsid w:val="00557C6E"/>
    <w:rsid w:val="00560982"/>
    <w:rsid w:val="00560BE2"/>
    <w:rsid w:val="005615EE"/>
    <w:rsid w:val="00562DCB"/>
    <w:rsid w:val="00563489"/>
    <w:rsid w:val="00563891"/>
    <w:rsid w:val="0056635A"/>
    <w:rsid w:val="005668AC"/>
    <w:rsid w:val="00566D9E"/>
    <w:rsid w:val="00566E16"/>
    <w:rsid w:val="00567CA2"/>
    <w:rsid w:val="00570D16"/>
    <w:rsid w:val="005710E9"/>
    <w:rsid w:val="0057358A"/>
    <w:rsid w:val="00573894"/>
    <w:rsid w:val="005739BC"/>
    <w:rsid w:val="005744FA"/>
    <w:rsid w:val="00574DFF"/>
    <w:rsid w:val="00575089"/>
    <w:rsid w:val="00575278"/>
    <w:rsid w:val="0057539E"/>
    <w:rsid w:val="0057779A"/>
    <w:rsid w:val="00580230"/>
    <w:rsid w:val="00580346"/>
    <w:rsid w:val="00580792"/>
    <w:rsid w:val="0058116C"/>
    <w:rsid w:val="00583A34"/>
    <w:rsid w:val="00583AF8"/>
    <w:rsid w:val="005865A8"/>
    <w:rsid w:val="005867BD"/>
    <w:rsid w:val="005872A6"/>
    <w:rsid w:val="00591A97"/>
    <w:rsid w:val="00593CAA"/>
    <w:rsid w:val="00595508"/>
    <w:rsid w:val="00595BCF"/>
    <w:rsid w:val="00595EAE"/>
    <w:rsid w:val="00596177"/>
    <w:rsid w:val="005974F7"/>
    <w:rsid w:val="005A1883"/>
    <w:rsid w:val="005A1E01"/>
    <w:rsid w:val="005A2DAF"/>
    <w:rsid w:val="005A39EA"/>
    <w:rsid w:val="005A3C2F"/>
    <w:rsid w:val="005A4023"/>
    <w:rsid w:val="005A46A9"/>
    <w:rsid w:val="005A4E48"/>
    <w:rsid w:val="005A5805"/>
    <w:rsid w:val="005A6599"/>
    <w:rsid w:val="005A6839"/>
    <w:rsid w:val="005A7319"/>
    <w:rsid w:val="005A7B2F"/>
    <w:rsid w:val="005B002B"/>
    <w:rsid w:val="005B0F84"/>
    <w:rsid w:val="005B2AE5"/>
    <w:rsid w:val="005B334B"/>
    <w:rsid w:val="005B367A"/>
    <w:rsid w:val="005B3BA4"/>
    <w:rsid w:val="005B4FE3"/>
    <w:rsid w:val="005B59A2"/>
    <w:rsid w:val="005B5BC6"/>
    <w:rsid w:val="005B660F"/>
    <w:rsid w:val="005C1950"/>
    <w:rsid w:val="005C2838"/>
    <w:rsid w:val="005C3D97"/>
    <w:rsid w:val="005C4183"/>
    <w:rsid w:val="005C4203"/>
    <w:rsid w:val="005C5A56"/>
    <w:rsid w:val="005D0325"/>
    <w:rsid w:val="005D14FD"/>
    <w:rsid w:val="005D1EDF"/>
    <w:rsid w:val="005D1F57"/>
    <w:rsid w:val="005D248A"/>
    <w:rsid w:val="005D24E2"/>
    <w:rsid w:val="005D2BCD"/>
    <w:rsid w:val="005D2C3D"/>
    <w:rsid w:val="005D439D"/>
    <w:rsid w:val="005D5774"/>
    <w:rsid w:val="005D5B9B"/>
    <w:rsid w:val="005D5DCD"/>
    <w:rsid w:val="005D63D0"/>
    <w:rsid w:val="005D7EE6"/>
    <w:rsid w:val="005E09FC"/>
    <w:rsid w:val="005E2211"/>
    <w:rsid w:val="005E2915"/>
    <w:rsid w:val="005E2C17"/>
    <w:rsid w:val="005E42B3"/>
    <w:rsid w:val="005E43B7"/>
    <w:rsid w:val="005E52CD"/>
    <w:rsid w:val="005E62C7"/>
    <w:rsid w:val="005E6CFE"/>
    <w:rsid w:val="005E7B8B"/>
    <w:rsid w:val="005F0C13"/>
    <w:rsid w:val="005F1024"/>
    <w:rsid w:val="005F10D4"/>
    <w:rsid w:val="005F12F4"/>
    <w:rsid w:val="005F1591"/>
    <w:rsid w:val="005F217A"/>
    <w:rsid w:val="005F32B1"/>
    <w:rsid w:val="005F3F55"/>
    <w:rsid w:val="005F4A95"/>
    <w:rsid w:val="005F5037"/>
    <w:rsid w:val="005F5593"/>
    <w:rsid w:val="005F662E"/>
    <w:rsid w:val="006002A4"/>
    <w:rsid w:val="006009C3"/>
    <w:rsid w:val="00600DEC"/>
    <w:rsid w:val="0060135E"/>
    <w:rsid w:val="00602C29"/>
    <w:rsid w:val="00602C6B"/>
    <w:rsid w:val="00606CCA"/>
    <w:rsid w:val="00607189"/>
    <w:rsid w:val="006101B5"/>
    <w:rsid w:val="00610428"/>
    <w:rsid w:val="00613A8C"/>
    <w:rsid w:val="0061480B"/>
    <w:rsid w:val="00615E21"/>
    <w:rsid w:val="00616159"/>
    <w:rsid w:val="0061680B"/>
    <w:rsid w:val="00616900"/>
    <w:rsid w:val="00616982"/>
    <w:rsid w:val="00617C12"/>
    <w:rsid w:val="006203E0"/>
    <w:rsid w:val="00620E1E"/>
    <w:rsid w:val="00621409"/>
    <w:rsid w:val="00621478"/>
    <w:rsid w:val="006224A0"/>
    <w:rsid w:val="00622B16"/>
    <w:rsid w:val="00622B6C"/>
    <w:rsid w:val="006234C0"/>
    <w:rsid w:val="00623727"/>
    <w:rsid w:val="00623B9B"/>
    <w:rsid w:val="00623ED5"/>
    <w:rsid w:val="006240FF"/>
    <w:rsid w:val="00624F17"/>
    <w:rsid w:val="0062560D"/>
    <w:rsid w:val="006261DB"/>
    <w:rsid w:val="0062740C"/>
    <w:rsid w:val="00627B98"/>
    <w:rsid w:val="00630335"/>
    <w:rsid w:val="00633313"/>
    <w:rsid w:val="006333B7"/>
    <w:rsid w:val="006338AC"/>
    <w:rsid w:val="006358EB"/>
    <w:rsid w:val="00640D53"/>
    <w:rsid w:val="00640DB1"/>
    <w:rsid w:val="00641BDC"/>
    <w:rsid w:val="0064280D"/>
    <w:rsid w:val="00643298"/>
    <w:rsid w:val="0064380F"/>
    <w:rsid w:val="00643A36"/>
    <w:rsid w:val="006447B6"/>
    <w:rsid w:val="006455B9"/>
    <w:rsid w:val="00646179"/>
    <w:rsid w:val="006473CD"/>
    <w:rsid w:val="006541F8"/>
    <w:rsid w:val="00656027"/>
    <w:rsid w:val="006569B8"/>
    <w:rsid w:val="006607B4"/>
    <w:rsid w:val="00661152"/>
    <w:rsid w:val="00662A07"/>
    <w:rsid w:val="00662E25"/>
    <w:rsid w:val="00663381"/>
    <w:rsid w:val="00663D7E"/>
    <w:rsid w:val="00663E09"/>
    <w:rsid w:val="0066478B"/>
    <w:rsid w:val="00666892"/>
    <w:rsid w:val="00666D8A"/>
    <w:rsid w:val="00670C0D"/>
    <w:rsid w:val="00673563"/>
    <w:rsid w:val="00674A15"/>
    <w:rsid w:val="00674A3D"/>
    <w:rsid w:val="00675B95"/>
    <w:rsid w:val="00676931"/>
    <w:rsid w:val="006775C7"/>
    <w:rsid w:val="00677740"/>
    <w:rsid w:val="00680290"/>
    <w:rsid w:val="00680340"/>
    <w:rsid w:val="006808F0"/>
    <w:rsid w:val="00680DD5"/>
    <w:rsid w:val="00681745"/>
    <w:rsid w:val="00681780"/>
    <w:rsid w:val="00682C03"/>
    <w:rsid w:val="00684057"/>
    <w:rsid w:val="00684294"/>
    <w:rsid w:val="00687EC6"/>
    <w:rsid w:val="0069101A"/>
    <w:rsid w:val="006910FE"/>
    <w:rsid w:val="00691450"/>
    <w:rsid w:val="006926C4"/>
    <w:rsid w:val="0069336F"/>
    <w:rsid w:val="00693828"/>
    <w:rsid w:val="00693EFD"/>
    <w:rsid w:val="006941B3"/>
    <w:rsid w:val="00695B8B"/>
    <w:rsid w:val="006964FB"/>
    <w:rsid w:val="006966E6"/>
    <w:rsid w:val="00696C68"/>
    <w:rsid w:val="006A0485"/>
    <w:rsid w:val="006A04A9"/>
    <w:rsid w:val="006A21D8"/>
    <w:rsid w:val="006A35A9"/>
    <w:rsid w:val="006A4782"/>
    <w:rsid w:val="006A55D1"/>
    <w:rsid w:val="006A64B6"/>
    <w:rsid w:val="006A68A8"/>
    <w:rsid w:val="006A69AB"/>
    <w:rsid w:val="006A6BC2"/>
    <w:rsid w:val="006A6F67"/>
    <w:rsid w:val="006A7AB8"/>
    <w:rsid w:val="006B182D"/>
    <w:rsid w:val="006B3278"/>
    <w:rsid w:val="006B3CE1"/>
    <w:rsid w:val="006B5FB3"/>
    <w:rsid w:val="006B6F3F"/>
    <w:rsid w:val="006C04A2"/>
    <w:rsid w:val="006C0612"/>
    <w:rsid w:val="006C0786"/>
    <w:rsid w:val="006C0AA7"/>
    <w:rsid w:val="006C12A8"/>
    <w:rsid w:val="006C1FB8"/>
    <w:rsid w:val="006C2C2E"/>
    <w:rsid w:val="006C46A5"/>
    <w:rsid w:val="006C57A5"/>
    <w:rsid w:val="006C593A"/>
    <w:rsid w:val="006C5A5D"/>
    <w:rsid w:val="006C5D9D"/>
    <w:rsid w:val="006C68EE"/>
    <w:rsid w:val="006C75EE"/>
    <w:rsid w:val="006D0032"/>
    <w:rsid w:val="006D0A45"/>
    <w:rsid w:val="006D1EBB"/>
    <w:rsid w:val="006D34BB"/>
    <w:rsid w:val="006D3E97"/>
    <w:rsid w:val="006D3E9E"/>
    <w:rsid w:val="006D4A9B"/>
    <w:rsid w:val="006D53BB"/>
    <w:rsid w:val="006D596A"/>
    <w:rsid w:val="006D7327"/>
    <w:rsid w:val="006D778A"/>
    <w:rsid w:val="006E2A6A"/>
    <w:rsid w:val="006E2BE2"/>
    <w:rsid w:val="006E2C0E"/>
    <w:rsid w:val="006E3414"/>
    <w:rsid w:val="006E412C"/>
    <w:rsid w:val="006E4F23"/>
    <w:rsid w:val="006E57B6"/>
    <w:rsid w:val="006E64A6"/>
    <w:rsid w:val="006E7541"/>
    <w:rsid w:val="006F0797"/>
    <w:rsid w:val="006F1150"/>
    <w:rsid w:val="006F1DF6"/>
    <w:rsid w:val="006F49EF"/>
    <w:rsid w:val="006F5386"/>
    <w:rsid w:val="006F61A6"/>
    <w:rsid w:val="006F72AE"/>
    <w:rsid w:val="006F775A"/>
    <w:rsid w:val="006F7A92"/>
    <w:rsid w:val="00700337"/>
    <w:rsid w:val="007006A2"/>
    <w:rsid w:val="00701B67"/>
    <w:rsid w:val="00707318"/>
    <w:rsid w:val="00712F1B"/>
    <w:rsid w:val="00715458"/>
    <w:rsid w:val="00715F2B"/>
    <w:rsid w:val="007168F7"/>
    <w:rsid w:val="00716B69"/>
    <w:rsid w:val="00717428"/>
    <w:rsid w:val="00717977"/>
    <w:rsid w:val="00717E54"/>
    <w:rsid w:val="00721AE8"/>
    <w:rsid w:val="0072498A"/>
    <w:rsid w:val="007249CF"/>
    <w:rsid w:val="00724A39"/>
    <w:rsid w:val="00724BFA"/>
    <w:rsid w:val="00724D27"/>
    <w:rsid w:val="00725BEE"/>
    <w:rsid w:val="00725CDE"/>
    <w:rsid w:val="00726823"/>
    <w:rsid w:val="00732466"/>
    <w:rsid w:val="00732BDA"/>
    <w:rsid w:val="007337D7"/>
    <w:rsid w:val="00733985"/>
    <w:rsid w:val="00734CE4"/>
    <w:rsid w:val="00735264"/>
    <w:rsid w:val="0073591F"/>
    <w:rsid w:val="00736083"/>
    <w:rsid w:val="007374DD"/>
    <w:rsid w:val="0074144C"/>
    <w:rsid w:val="00741D10"/>
    <w:rsid w:val="00741D22"/>
    <w:rsid w:val="0074237E"/>
    <w:rsid w:val="007427BE"/>
    <w:rsid w:val="00742FA1"/>
    <w:rsid w:val="00743A13"/>
    <w:rsid w:val="00743C13"/>
    <w:rsid w:val="00744021"/>
    <w:rsid w:val="0074425B"/>
    <w:rsid w:val="00746BC7"/>
    <w:rsid w:val="00746C39"/>
    <w:rsid w:val="00747F2B"/>
    <w:rsid w:val="00747F5D"/>
    <w:rsid w:val="007503F6"/>
    <w:rsid w:val="00750C78"/>
    <w:rsid w:val="00750FF8"/>
    <w:rsid w:val="0075255C"/>
    <w:rsid w:val="007528AD"/>
    <w:rsid w:val="00754ECE"/>
    <w:rsid w:val="00757D8C"/>
    <w:rsid w:val="007608E1"/>
    <w:rsid w:val="00760999"/>
    <w:rsid w:val="007626D3"/>
    <w:rsid w:val="00762BD5"/>
    <w:rsid w:val="00764BF2"/>
    <w:rsid w:val="00764FE0"/>
    <w:rsid w:val="00765367"/>
    <w:rsid w:val="007655AF"/>
    <w:rsid w:val="00765A63"/>
    <w:rsid w:val="007666CF"/>
    <w:rsid w:val="0076706B"/>
    <w:rsid w:val="00767B80"/>
    <w:rsid w:val="00767F40"/>
    <w:rsid w:val="00767F7C"/>
    <w:rsid w:val="00770F96"/>
    <w:rsid w:val="00771C08"/>
    <w:rsid w:val="00773662"/>
    <w:rsid w:val="00774245"/>
    <w:rsid w:val="007775D3"/>
    <w:rsid w:val="007775EE"/>
    <w:rsid w:val="007829B5"/>
    <w:rsid w:val="0078388D"/>
    <w:rsid w:val="00784615"/>
    <w:rsid w:val="00791AF4"/>
    <w:rsid w:val="00791E18"/>
    <w:rsid w:val="007942BB"/>
    <w:rsid w:val="00794322"/>
    <w:rsid w:val="007958DD"/>
    <w:rsid w:val="0079730E"/>
    <w:rsid w:val="007A15EF"/>
    <w:rsid w:val="007A2961"/>
    <w:rsid w:val="007A3AFC"/>
    <w:rsid w:val="007A6260"/>
    <w:rsid w:val="007A629A"/>
    <w:rsid w:val="007A6723"/>
    <w:rsid w:val="007A6838"/>
    <w:rsid w:val="007A6BA5"/>
    <w:rsid w:val="007A7991"/>
    <w:rsid w:val="007B0349"/>
    <w:rsid w:val="007B0EA2"/>
    <w:rsid w:val="007B2D1C"/>
    <w:rsid w:val="007B3E5E"/>
    <w:rsid w:val="007B43D9"/>
    <w:rsid w:val="007B4E27"/>
    <w:rsid w:val="007B558C"/>
    <w:rsid w:val="007B7562"/>
    <w:rsid w:val="007B77C0"/>
    <w:rsid w:val="007C0409"/>
    <w:rsid w:val="007C0E4E"/>
    <w:rsid w:val="007C22F2"/>
    <w:rsid w:val="007C2A67"/>
    <w:rsid w:val="007C32F8"/>
    <w:rsid w:val="007C4198"/>
    <w:rsid w:val="007C51F7"/>
    <w:rsid w:val="007D12C1"/>
    <w:rsid w:val="007D1939"/>
    <w:rsid w:val="007D21A1"/>
    <w:rsid w:val="007D2745"/>
    <w:rsid w:val="007D331D"/>
    <w:rsid w:val="007D36F4"/>
    <w:rsid w:val="007D4D06"/>
    <w:rsid w:val="007D4D0A"/>
    <w:rsid w:val="007D6AE9"/>
    <w:rsid w:val="007D7323"/>
    <w:rsid w:val="007D7CCA"/>
    <w:rsid w:val="007E046E"/>
    <w:rsid w:val="007E0C57"/>
    <w:rsid w:val="007E0CFA"/>
    <w:rsid w:val="007E12BC"/>
    <w:rsid w:val="007E1BB7"/>
    <w:rsid w:val="007E1DFF"/>
    <w:rsid w:val="007E1F47"/>
    <w:rsid w:val="007E218B"/>
    <w:rsid w:val="007E2C2A"/>
    <w:rsid w:val="007E425A"/>
    <w:rsid w:val="007E5AE2"/>
    <w:rsid w:val="007E5F33"/>
    <w:rsid w:val="007F0B1E"/>
    <w:rsid w:val="007F1D42"/>
    <w:rsid w:val="007F285A"/>
    <w:rsid w:val="007F2D6C"/>
    <w:rsid w:val="007F4CC9"/>
    <w:rsid w:val="007F58E4"/>
    <w:rsid w:val="007F5D7E"/>
    <w:rsid w:val="007F7E92"/>
    <w:rsid w:val="00800340"/>
    <w:rsid w:val="008013CB"/>
    <w:rsid w:val="00801EAE"/>
    <w:rsid w:val="008054B2"/>
    <w:rsid w:val="008117F9"/>
    <w:rsid w:val="00817CE6"/>
    <w:rsid w:val="0082263F"/>
    <w:rsid w:val="008233C4"/>
    <w:rsid w:val="00823A81"/>
    <w:rsid w:val="0082402A"/>
    <w:rsid w:val="00824620"/>
    <w:rsid w:val="00824DF8"/>
    <w:rsid w:val="00824F30"/>
    <w:rsid w:val="008253A5"/>
    <w:rsid w:val="00825517"/>
    <w:rsid w:val="008267ED"/>
    <w:rsid w:val="00827A91"/>
    <w:rsid w:val="008303BD"/>
    <w:rsid w:val="0083070F"/>
    <w:rsid w:val="00830C53"/>
    <w:rsid w:val="008321C2"/>
    <w:rsid w:val="008348AB"/>
    <w:rsid w:val="00834BC1"/>
    <w:rsid w:val="008368FE"/>
    <w:rsid w:val="00841927"/>
    <w:rsid w:val="00844148"/>
    <w:rsid w:val="00845047"/>
    <w:rsid w:val="00845CBF"/>
    <w:rsid w:val="00850846"/>
    <w:rsid w:val="008509E3"/>
    <w:rsid w:val="00850AE6"/>
    <w:rsid w:val="00850EDE"/>
    <w:rsid w:val="00851687"/>
    <w:rsid w:val="00851A82"/>
    <w:rsid w:val="0085426A"/>
    <w:rsid w:val="0085457C"/>
    <w:rsid w:val="00856D21"/>
    <w:rsid w:val="00857D2F"/>
    <w:rsid w:val="00862BD9"/>
    <w:rsid w:val="00863C47"/>
    <w:rsid w:val="008644B4"/>
    <w:rsid w:val="00864F88"/>
    <w:rsid w:val="00865310"/>
    <w:rsid w:val="00865B2A"/>
    <w:rsid w:val="00865C34"/>
    <w:rsid w:val="00866A92"/>
    <w:rsid w:val="00866E98"/>
    <w:rsid w:val="00867568"/>
    <w:rsid w:val="008676B4"/>
    <w:rsid w:val="00870C02"/>
    <w:rsid w:val="00870F91"/>
    <w:rsid w:val="008712A3"/>
    <w:rsid w:val="0087145D"/>
    <w:rsid w:val="00871D97"/>
    <w:rsid w:val="00872E5A"/>
    <w:rsid w:val="00875013"/>
    <w:rsid w:val="0087604D"/>
    <w:rsid w:val="0087614F"/>
    <w:rsid w:val="00876ACD"/>
    <w:rsid w:val="00876FEF"/>
    <w:rsid w:val="00877424"/>
    <w:rsid w:val="00880131"/>
    <w:rsid w:val="00880AC2"/>
    <w:rsid w:val="00881DF7"/>
    <w:rsid w:val="008820D5"/>
    <w:rsid w:val="00883ADB"/>
    <w:rsid w:val="00884E4C"/>
    <w:rsid w:val="00885D55"/>
    <w:rsid w:val="0088628C"/>
    <w:rsid w:val="0088640B"/>
    <w:rsid w:val="00887099"/>
    <w:rsid w:val="00892506"/>
    <w:rsid w:val="008925DA"/>
    <w:rsid w:val="0089453D"/>
    <w:rsid w:val="00894FBB"/>
    <w:rsid w:val="00897446"/>
    <w:rsid w:val="008A0148"/>
    <w:rsid w:val="008A22AD"/>
    <w:rsid w:val="008A3576"/>
    <w:rsid w:val="008A3CD7"/>
    <w:rsid w:val="008A44F8"/>
    <w:rsid w:val="008A4795"/>
    <w:rsid w:val="008A6C17"/>
    <w:rsid w:val="008B0045"/>
    <w:rsid w:val="008B09EC"/>
    <w:rsid w:val="008B1032"/>
    <w:rsid w:val="008B272F"/>
    <w:rsid w:val="008B3491"/>
    <w:rsid w:val="008B5956"/>
    <w:rsid w:val="008B5A3B"/>
    <w:rsid w:val="008B6B3B"/>
    <w:rsid w:val="008C119E"/>
    <w:rsid w:val="008C165C"/>
    <w:rsid w:val="008C3430"/>
    <w:rsid w:val="008C489E"/>
    <w:rsid w:val="008C521B"/>
    <w:rsid w:val="008C55FF"/>
    <w:rsid w:val="008C590A"/>
    <w:rsid w:val="008C5E61"/>
    <w:rsid w:val="008C702F"/>
    <w:rsid w:val="008C788B"/>
    <w:rsid w:val="008C7FA4"/>
    <w:rsid w:val="008D0E7B"/>
    <w:rsid w:val="008D1322"/>
    <w:rsid w:val="008D1558"/>
    <w:rsid w:val="008D270E"/>
    <w:rsid w:val="008D276D"/>
    <w:rsid w:val="008D4282"/>
    <w:rsid w:val="008D444C"/>
    <w:rsid w:val="008D4B5E"/>
    <w:rsid w:val="008D7194"/>
    <w:rsid w:val="008D726C"/>
    <w:rsid w:val="008D7CDA"/>
    <w:rsid w:val="008D7DCD"/>
    <w:rsid w:val="008E0000"/>
    <w:rsid w:val="008E3C64"/>
    <w:rsid w:val="008E571A"/>
    <w:rsid w:val="008E6320"/>
    <w:rsid w:val="008E7D91"/>
    <w:rsid w:val="008E7EBD"/>
    <w:rsid w:val="008F05F1"/>
    <w:rsid w:val="008F18F5"/>
    <w:rsid w:val="008F3EE2"/>
    <w:rsid w:val="008F4887"/>
    <w:rsid w:val="008F5673"/>
    <w:rsid w:val="008F5875"/>
    <w:rsid w:val="008F5CFE"/>
    <w:rsid w:val="008F76E6"/>
    <w:rsid w:val="008F78C8"/>
    <w:rsid w:val="009003FE"/>
    <w:rsid w:val="00900717"/>
    <w:rsid w:val="00900FC2"/>
    <w:rsid w:val="009019F4"/>
    <w:rsid w:val="00901DF3"/>
    <w:rsid w:val="00903256"/>
    <w:rsid w:val="0090347E"/>
    <w:rsid w:val="00903F67"/>
    <w:rsid w:val="009049A4"/>
    <w:rsid w:val="009049F4"/>
    <w:rsid w:val="00905391"/>
    <w:rsid w:val="0090548B"/>
    <w:rsid w:val="0090565D"/>
    <w:rsid w:val="0090571D"/>
    <w:rsid w:val="0090635F"/>
    <w:rsid w:val="009065D7"/>
    <w:rsid w:val="009065FA"/>
    <w:rsid w:val="00906778"/>
    <w:rsid w:val="009068FF"/>
    <w:rsid w:val="00906D0E"/>
    <w:rsid w:val="0090713F"/>
    <w:rsid w:val="0091131B"/>
    <w:rsid w:val="00912D8F"/>
    <w:rsid w:val="00913BAF"/>
    <w:rsid w:val="0091687B"/>
    <w:rsid w:val="00917805"/>
    <w:rsid w:val="009214FD"/>
    <w:rsid w:val="00921671"/>
    <w:rsid w:val="00921E4E"/>
    <w:rsid w:val="00921E9C"/>
    <w:rsid w:val="009242E8"/>
    <w:rsid w:val="0092455B"/>
    <w:rsid w:val="00925B53"/>
    <w:rsid w:val="00930482"/>
    <w:rsid w:val="00931825"/>
    <w:rsid w:val="009322A7"/>
    <w:rsid w:val="009330A2"/>
    <w:rsid w:val="00933459"/>
    <w:rsid w:val="0093375F"/>
    <w:rsid w:val="00933E99"/>
    <w:rsid w:val="00936AF3"/>
    <w:rsid w:val="0094036F"/>
    <w:rsid w:val="00940E9C"/>
    <w:rsid w:val="00943F15"/>
    <w:rsid w:val="009452FD"/>
    <w:rsid w:val="00946164"/>
    <w:rsid w:val="009467DC"/>
    <w:rsid w:val="0094695E"/>
    <w:rsid w:val="00946D4D"/>
    <w:rsid w:val="00947E47"/>
    <w:rsid w:val="00950C57"/>
    <w:rsid w:val="00952F10"/>
    <w:rsid w:val="009542A8"/>
    <w:rsid w:val="00954AE3"/>
    <w:rsid w:val="00956816"/>
    <w:rsid w:val="0095711E"/>
    <w:rsid w:val="00957459"/>
    <w:rsid w:val="009611E3"/>
    <w:rsid w:val="00963251"/>
    <w:rsid w:val="00963ABE"/>
    <w:rsid w:val="0096422A"/>
    <w:rsid w:val="009645F5"/>
    <w:rsid w:val="00965174"/>
    <w:rsid w:val="0096572D"/>
    <w:rsid w:val="0096736B"/>
    <w:rsid w:val="00967717"/>
    <w:rsid w:val="009700C4"/>
    <w:rsid w:val="0097039D"/>
    <w:rsid w:val="00975022"/>
    <w:rsid w:val="00975331"/>
    <w:rsid w:val="00976DCF"/>
    <w:rsid w:val="009775A8"/>
    <w:rsid w:val="00977934"/>
    <w:rsid w:val="0098002C"/>
    <w:rsid w:val="00980453"/>
    <w:rsid w:val="00980980"/>
    <w:rsid w:val="0098111D"/>
    <w:rsid w:val="00981BC3"/>
    <w:rsid w:val="00984060"/>
    <w:rsid w:val="00984EC9"/>
    <w:rsid w:val="0098638C"/>
    <w:rsid w:val="00986597"/>
    <w:rsid w:val="0098667F"/>
    <w:rsid w:val="00986B5C"/>
    <w:rsid w:val="0098766A"/>
    <w:rsid w:val="009900A0"/>
    <w:rsid w:val="00990372"/>
    <w:rsid w:val="009911CE"/>
    <w:rsid w:val="00991C13"/>
    <w:rsid w:val="009945B7"/>
    <w:rsid w:val="00994AB6"/>
    <w:rsid w:val="00994C68"/>
    <w:rsid w:val="00994FCB"/>
    <w:rsid w:val="00995329"/>
    <w:rsid w:val="00995434"/>
    <w:rsid w:val="009957DD"/>
    <w:rsid w:val="00996DFB"/>
    <w:rsid w:val="009974CA"/>
    <w:rsid w:val="009A0FE7"/>
    <w:rsid w:val="009A20AE"/>
    <w:rsid w:val="009A2B3F"/>
    <w:rsid w:val="009A3CAE"/>
    <w:rsid w:val="009A3F2A"/>
    <w:rsid w:val="009A4A8C"/>
    <w:rsid w:val="009A7E2E"/>
    <w:rsid w:val="009B07E1"/>
    <w:rsid w:val="009B1648"/>
    <w:rsid w:val="009B232B"/>
    <w:rsid w:val="009B240B"/>
    <w:rsid w:val="009B36E7"/>
    <w:rsid w:val="009B683B"/>
    <w:rsid w:val="009B7393"/>
    <w:rsid w:val="009B74CC"/>
    <w:rsid w:val="009C1E93"/>
    <w:rsid w:val="009C44C4"/>
    <w:rsid w:val="009C733E"/>
    <w:rsid w:val="009C7FFA"/>
    <w:rsid w:val="009D09F3"/>
    <w:rsid w:val="009D0C7E"/>
    <w:rsid w:val="009D1720"/>
    <w:rsid w:val="009D2C89"/>
    <w:rsid w:val="009D32B6"/>
    <w:rsid w:val="009D3842"/>
    <w:rsid w:val="009D39D9"/>
    <w:rsid w:val="009D3AF1"/>
    <w:rsid w:val="009D41C4"/>
    <w:rsid w:val="009D4768"/>
    <w:rsid w:val="009D5CB0"/>
    <w:rsid w:val="009D74E1"/>
    <w:rsid w:val="009E05F4"/>
    <w:rsid w:val="009E24B2"/>
    <w:rsid w:val="009E369C"/>
    <w:rsid w:val="009E5278"/>
    <w:rsid w:val="009E5874"/>
    <w:rsid w:val="009E5C0E"/>
    <w:rsid w:val="009E6598"/>
    <w:rsid w:val="009E7AB3"/>
    <w:rsid w:val="009F1309"/>
    <w:rsid w:val="009F1DB2"/>
    <w:rsid w:val="009F1F9C"/>
    <w:rsid w:val="009F213B"/>
    <w:rsid w:val="009F2A70"/>
    <w:rsid w:val="009F51FE"/>
    <w:rsid w:val="009F556C"/>
    <w:rsid w:val="009F6C45"/>
    <w:rsid w:val="009F6EC4"/>
    <w:rsid w:val="009F75E0"/>
    <w:rsid w:val="009F7E69"/>
    <w:rsid w:val="00A03819"/>
    <w:rsid w:val="00A053AC"/>
    <w:rsid w:val="00A07E4F"/>
    <w:rsid w:val="00A10524"/>
    <w:rsid w:val="00A1072A"/>
    <w:rsid w:val="00A11D15"/>
    <w:rsid w:val="00A12256"/>
    <w:rsid w:val="00A12DB4"/>
    <w:rsid w:val="00A1459D"/>
    <w:rsid w:val="00A15431"/>
    <w:rsid w:val="00A17578"/>
    <w:rsid w:val="00A20E3F"/>
    <w:rsid w:val="00A21006"/>
    <w:rsid w:val="00A21161"/>
    <w:rsid w:val="00A21776"/>
    <w:rsid w:val="00A225A9"/>
    <w:rsid w:val="00A227BC"/>
    <w:rsid w:val="00A23360"/>
    <w:rsid w:val="00A2535C"/>
    <w:rsid w:val="00A26360"/>
    <w:rsid w:val="00A3163C"/>
    <w:rsid w:val="00A343F5"/>
    <w:rsid w:val="00A34DD0"/>
    <w:rsid w:val="00A35BB6"/>
    <w:rsid w:val="00A36B0B"/>
    <w:rsid w:val="00A4021C"/>
    <w:rsid w:val="00A41093"/>
    <w:rsid w:val="00A41DF4"/>
    <w:rsid w:val="00A43584"/>
    <w:rsid w:val="00A44013"/>
    <w:rsid w:val="00A451EB"/>
    <w:rsid w:val="00A454BC"/>
    <w:rsid w:val="00A4689D"/>
    <w:rsid w:val="00A478BE"/>
    <w:rsid w:val="00A47FA8"/>
    <w:rsid w:val="00A52F78"/>
    <w:rsid w:val="00A55FCE"/>
    <w:rsid w:val="00A562CB"/>
    <w:rsid w:val="00A6048A"/>
    <w:rsid w:val="00A60700"/>
    <w:rsid w:val="00A61B33"/>
    <w:rsid w:val="00A61E90"/>
    <w:rsid w:val="00A62172"/>
    <w:rsid w:val="00A627B0"/>
    <w:rsid w:val="00A6288E"/>
    <w:rsid w:val="00A638EA"/>
    <w:rsid w:val="00A645E4"/>
    <w:rsid w:val="00A65DDD"/>
    <w:rsid w:val="00A74014"/>
    <w:rsid w:val="00A7417C"/>
    <w:rsid w:val="00A74E1A"/>
    <w:rsid w:val="00A7506B"/>
    <w:rsid w:val="00A758CD"/>
    <w:rsid w:val="00A76804"/>
    <w:rsid w:val="00A80D17"/>
    <w:rsid w:val="00A80F94"/>
    <w:rsid w:val="00A82D52"/>
    <w:rsid w:val="00A838E7"/>
    <w:rsid w:val="00A8499D"/>
    <w:rsid w:val="00A849DA"/>
    <w:rsid w:val="00A84E86"/>
    <w:rsid w:val="00A85200"/>
    <w:rsid w:val="00A85C41"/>
    <w:rsid w:val="00A86B39"/>
    <w:rsid w:val="00A86DD4"/>
    <w:rsid w:val="00A86E44"/>
    <w:rsid w:val="00A8720B"/>
    <w:rsid w:val="00A87624"/>
    <w:rsid w:val="00A87EAB"/>
    <w:rsid w:val="00A90D15"/>
    <w:rsid w:val="00A92DF6"/>
    <w:rsid w:val="00A9311C"/>
    <w:rsid w:val="00A9366F"/>
    <w:rsid w:val="00A94266"/>
    <w:rsid w:val="00A94E4F"/>
    <w:rsid w:val="00A95DBE"/>
    <w:rsid w:val="00A97052"/>
    <w:rsid w:val="00A97734"/>
    <w:rsid w:val="00AA1EEC"/>
    <w:rsid w:val="00AA30A8"/>
    <w:rsid w:val="00AA4DC9"/>
    <w:rsid w:val="00AA6624"/>
    <w:rsid w:val="00AA7BEA"/>
    <w:rsid w:val="00AA7F52"/>
    <w:rsid w:val="00AB144A"/>
    <w:rsid w:val="00AB29AA"/>
    <w:rsid w:val="00AB38D0"/>
    <w:rsid w:val="00AB5F77"/>
    <w:rsid w:val="00AC3385"/>
    <w:rsid w:val="00AC39E9"/>
    <w:rsid w:val="00AC437C"/>
    <w:rsid w:val="00AC4569"/>
    <w:rsid w:val="00AC4D62"/>
    <w:rsid w:val="00AC4D6D"/>
    <w:rsid w:val="00AC4EB5"/>
    <w:rsid w:val="00AC59C0"/>
    <w:rsid w:val="00AC5CF7"/>
    <w:rsid w:val="00AC72DE"/>
    <w:rsid w:val="00AC766E"/>
    <w:rsid w:val="00AC778E"/>
    <w:rsid w:val="00AD113D"/>
    <w:rsid w:val="00AD19D2"/>
    <w:rsid w:val="00AD2B65"/>
    <w:rsid w:val="00AD388F"/>
    <w:rsid w:val="00AD4622"/>
    <w:rsid w:val="00AD5DCC"/>
    <w:rsid w:val="00AD6610"/>
    <w:rsid w:val="00AD6615"/>
    <w:rsid w:val="00AD68C5"/>
    <w:rsid w:val="00AD7641"/>
    <w:rsid w:val="00AE0668"/>
    <w:rsid w:val="00AE0F07"/>
    <w:rsid w:val="00AE16CF"/>
    <w:rsid w:val="00AE1D97"/>
    <w:rsid w:val="00AE33A4"/>
    <w:rsid w:val="00AE40E6"/>
    <w:rsid w:val="00AE4BE4"/>
    <w:rsid w:val="00AE53CE"/>
    <w:rsid w:val="00AE5DCA"/>
    <w:rsid w:val="00AF0490"/>
    <w:rsid w:val="00AF1721"/>
    <w:rsid w:val="00AF2878"/>
    <w:rsid w:val="00AF28AE"/>
    <w:rsid w:val="00AF3808"/>
    <w:rsid w:val="00AF474A"/>
    <w:rsid w:val="00AF4792"/>
    <w:rsid w:val="00AF4A93"/>
    <w:rsid w:val="00AF67EA"/>
    <w:rsid w:val="00AF6E08"/>
    <w:rsid w:val="00AF717C"/>
    <w:rsid w:val="00B03B04"/>
    <w:rsid w:val="00B0790B"/>
    <w:rsid w:val="00B07E2F"/>
    <w:rsid w:val="00B11754"/>
    <w:rsid w:val="00B1303C"/>
    <w:rsid w:val="00B135D5"/>
    <w:rsid w:val="00B14EAD"/>
    <w:rsid w:val="00B159C5"/>
    <w:rsid w:val="00B16016"/>
    <w:rsid w:val="00B216A1"/>
    <w:rsid w:val="00B21A6E"/>
    <w:rsid w:val="00B21C85"/>
    <w:rsid w:val="00B21E2A"/>
    <w:rsid w:val="00B22ECA"/>
    <w:rsid w:val="00B248CF"/>
    <w:rsid w:val="00B25A94"/>
    <w:rsid w:val="00B25F50"/>
    <w:rsid w:val="00B26E86"/>
    <w:rsid w:val="00B2709E"/>
    <w:rsid w:val="00B270F9"/>
    <w:rsid w:val="00B277E3"/>
    <w:rsid w:val="00B303B7"/>
    <w:rsid w:val="00B3514F"/>
    <w:rsid w:val="00B358EE"/>
    <w:rsid w:val="00B35B55"/>
    <w:rsid w:val="00B37B4F"/>
    <w:rsid w:val="00B37F9A"/>
    <w:rsid w:val="00B4113B"/>
    <w:rsid w:val="00B45FF4"/>
    <w:rsid w:val="00B469CB"/>
    <w:rsid w:val="00B47EE6"/>
    <w:rsid w:val="00B50A6E"/>
    <w:rsid w:val="00B56616"/>
    <w:rsid w:val="00B579D2"/>
    <w:rsid w:val="00B6050A"/>
    <w:rsid w:val="00B60C2F"/>
    <w:rsid w:val="00B60CE5"/>
    <w:rsid w:val="00B619C8"/>
    <w:rsid w:val="00B61B80"/>
    <w:rsid w:val="00B66882"/>
    <w:rsid w:val="00B67726"/>
    <w:rsid w:val="00B7066C"/>
    <w:rsid w:val="00B70B89"/>
    <w:rsid w:val="00B711BC"/>
    <w:rsid w:val="00B71AD1"/>
    <w:rsid w:val="00B747C9"/>
    <w:rsid w:val="00B7573C"/>
    <w:rsid w:val="00B75A3F"/>
    <w:rsid w:val="00B75A54"/>
    <w:rsid w:val="00B75C24"/>
    <w:rsid w:val="00B75EB0"/>
    <w:rsid w:val="00B77393"/>
    <w:rsid w:val="00B77EC9"/>
    <w:rsid w:val="00B77ECA"/>
    <w:rsid w:val="00B80C83"/>
    <w:rsid w:val="00B81110"/>
    <w:rsid w:val="00B8177B"/>
    <w:rsid w:val="00B82258"/>
    <w:rsid w:val="00B82439"/>
    <w:rsid w:val="00B8282F"/>
    <w:rsid w:val="00B82B13"/>
    <w:rsid w:val="00B82FAE"/>
    <w:rsid w:val="00B834E5"/>
    <w:rsid w:val="00B83CD2"/>
    <w:rsid w:val="00B83F55"/>
    <w:rsid w:val="00B841CC"/>
    <w:rsid w:val="00B8451A"/>
    <w:rsid w:val="00B84D56"/>
    <w:rsid w:val="00B87A9B"/>
    <w:rsid w:val="00B87FD0"/>
    <w:rsid w:val="00B91A30"/>
    <w:rsid w:val="00B92DFB"/>
    <w:rsid w:val="00B94696"/>
    <w:rsid w:val="00B947EA"/>
    <w:rsid w:val="00B951EA"/>
    <w:rsid w:val="00B955C2"/>
    <w:rsid w:val="00B95624"/>
    <w:rsid w:val="00B95C25"/>
    <w:rsid w:val="00B96056"/>
    <w:rsid w:val="00B97053"/>
    <w:rsid w:val="00B97701"/>
    <w:rsid w:val="00BA0637"/>
    <w:rsid w:val="00BA6688"/>
    <w:rsid w:val="00BA6A3E"/>
    <w:rsid w:val="00BA6A5F"/>
    <w:rsid w:val="00BA77D7"/>
    <w:rsid w:val="00BB09CE"/>
    <w:rsid w:val="00BB22F7"/>
    <w:rsid w:val="00BB3148"/>
    <w:rsid w:val="00BB3341"/>
    <w:rsid w:val="00BB3502"/>
    <w:rsid w:val="00BB41F9"/>
    <w:rsid w:val="00BB538C"/>
    <w:rsid w:val="00BB5961"/>
    <w:rsid w:val="00BB61B4"/>
    <w:rsid w:val="00BB6CAD"/>
    <w:rsid w:val="00BC228A"/>
    <w:rsid w:val="00BC288D"/>
    <w:rsid w:val="00BC2DFE"/>
    <w:rsid w:val="00BC2EF2"/>
    <w:rsid w:val="00BC44A5"/>
    <w:rsid w:val="00BC5255"/>
    <w:rsid w:val="00BC562B"/>
    <w:rsid w:val="00BC5A7F"/>
    <w:rsid w:val="00BC6017"/>
    <w:rsid w:val="00BC6F71"/>
    <w:rsid w:val="00BC7E00"/>
    <w:rsid w:val="00BD06BD"/>
    <w:rsid w:val="00BD2263"/>
    <w:rsid w:val="00BD32D3"/>
    <w:rsid w:val="00BD3D91"/>
    <w:rsid w:val="00BD5952"/>
    <w:rsid w:val="00BD6413"/>
    <w:rsid w:val="00BD6E76"/>
    <w:rsid w:val="00BE0036"/>
    <w:rsid w:val="00BE1169"/>
    <w:rsid w:val="00BE1B83"/>
    <w:rsid w:val="00BE2679"/>
    <w:rsid w:val="00BE2A81"/>
    <w:rsid w:val="00BE339E"/>
    <w:rsid w:val="00BE3E86"/>
    <w:rsid w:val="00BE427A"/>
    <w:rsid w:val="00BE42B6"/>
    <w:rsid w:val="00BE5E35"/>
    <w:rsid w:val="00BE6AA6"/>
    <w:rsid w:val="00BF07AB"/>
    <w:rsid w:val="00BF132C"/>
    <w:rsid w:val="00BF23A6"/>
    <w:rsid w:val="00BF32B8"/>
    <w:rsid w:val="00BF3563"/>
    <w:rsid w:val="00BF55B5"/>
    <w:rsid w:val="00BF59E2"/>
    <w:rsid w:val="00BF6398"/>
    <w:rsid w:val="00BF7728"/>
    <w:rsid w:val="00BF795C"/>
    <w:rsid w:val="00C02143"/>
    <w:rsid w:val="00C030F4"/>
    <w:rsid w:val="00C03720"/>
    <w:rsid w:val="00C057E1"/>
    <w:rsid w:val="00C05A42"/>
    <w:rsid w:val="00C079A1"/>
    <w:rsid w:val="00C07CD7"/>
    <w:rsid w:val="00C1001A"/>
    <w:rsid w:val="00C113F8"/>
    <w:rsid w:val="00C11691"/>
    <w:rsid w:val="00C11F69"/>
    <w:rsid w:val="00C128F7"/>
    <w:rsid w:val="00C1315B"/>
    <w:rsid w:val="00C1340D"/>
    <w:rsid w:val="00C13E54"/>
    <w:rsid w:val="00C1477B"/>
    <w:rsid w:val="00C148E3"/>
    <w:rsid w:val="00C1518C"/>
    <w:rsid w:val="00C16AE5"/>
    <w:rsid w:val="00C202B2"/>
    <w:rsid w:val="00C20365"/>
    <w:rsid w:val="00C2091D"/>
    <w:rsid w:val="00C21441"/>
    <w:rsid w:val="00C22B1F"/>
    <w:rsid w:val="00C246D7"/>
    <w:rsid w:val="00C24825"/>
    <w:rsid w:val="00C254B9"/>
    <w:rsid w:val="00C2631E"/>
    <w:rsid w:val="00C27966"/>
    <w:rsid w:val="00C319B7"/>
    <w:rsid w:val="00C31A08"/>
    <w:rsid w:val="00C31B7C"/>
    <w:rsid w:val="00C33366"/>
    <w:rsid w:val="00C340F8"/>
    <w:rsid w:val="00C34C0B"/>
    <w:rsid w:val="00C35E1E"/>
    <w:rsid w:val="00C35F57"/>
    <w:rsid w:val="00C36998"/>
    <w:rsid w:val="00C369CC"/>
    <w:rsid w:val="00C36E15"/>
    <w:rsid w:val="00C37D12"/>
    <w:rsid w:val="00C37FA9"/>
    <w:rsid w:val="00C41346"/>
    <w:rsid w:val="00C41C6D"/>
    <w:rsid w:val="00C42CFB"/>
    <w:rsid w:val="00C4372F"/>
    <w:rsid w:val="00C437AD"/>
    <w:rsid w:val="00C45337"/>
    <w:rsid w:val="00C45FC2"/>
    <w:rsid w:val="00C5084E"/>
    <w:rsid w:val="00C519E3"/>
    <w:rsid w:val="00C51F91"/>
    <w:rsid w:val="00C52D29"/>
    <w:rsid w:val="00C53B0C"/>
    <w:rsid w:val="00C54FB1"/>
    <w:rsid w:val="00C56B66"/>
    <w:rsid w:val="00C5708F"/>
    <w:rsid w:val="00C6231A"/>
    <w:rsid w:val="00C62553"/>
    <w:rsid w:val="00C62A66"/>
    <w:rsid w:val="00C62EE2"/>
    <w:rsid w:val="00C646BF"/>
    <w:rsid w:val="00C65228"/>
    <w:rsid w:val="00C6555E"/>
    <w:rsid w:val="00C659A4"/>
    <w:rsid w:val="00C65BDB"/>
    <w:rsid w:val="00C65BF2"/>
    <w:rsid w:val="00C67E39"/>
    <w:rsid w:val="00C70920"/>
    <w:rsid w:val="00C7155E"/>
    <w:rsid w:val="00C71A90"/>
    <w:rsid w:val="00C72C63"/>
    <w:rsid w:val="00C73DEA"/>
    <w:rsid w:val="00C75B55"/>
    <w:rsid w:val="00C77269"/>
    <w:rsid w:val="00C77BA2"/>
    <w:rsid w:val="00C8116D"/>
    <w:rsid w:val="00C8149D"/>
    <w:rsid w:val="00C81A15"/>
    <w:rsid w:val="00C81DEB"/>
    <w:rsid w:val="00C83FA9"/>
    <w:rsid w:val="00C86055"/>
    <w:rsid w:val="00C87522"/>
    <w:rsid w:val="00C877D5"/>
    <w:rsid w:val="00C90687"/>
    <w:rsid w:val="00C92637"/>
    <w:rsid w:val="00C9510E"/>
    <w:rsid w:val="00C965B1"/>
    <w:rsid w:val="00CA16F9"/>
    <w:rsid w:val="00CA2445"/>
    <w:rsid w:val="00CA26D3"/>
    <w:rsid w:val="00CA28DA"/>
    <w:rsid w:val="00CA47D7"/>
    <w:rsid w:val="00CA5778"/>
    <w:rsid w:val="00CA6315"/>
    <w:rsid w:val="00CA66DC"/>
    <w:rsid w:val="00CA7831"/>
    <w:rsid w:val="00CB1E22"/>
    <w:rsid w:val="00CB2B41"/>
    <w:rsid w:val="00CB34BD"/>
    <w:rsid w:val="00CB4056"/>
    <w:rsid w:val="00CB4B95"/>
    <w:rsid w:val="00CB4CB9"/>
    <w:rsid w:val="00CB4E91"/>
    <w:rsid w:val="00CB683F"/>
    <w:rsid w:val="00CB773C"/>
    <w:rsid w:val="00CC060E"/>
    <w:rsid w:val="00CC3A9B"/>
    <w:rsid w:val="00CC5848"/>
    <w:rsid w:val="00CC5AD3"/>
    <w:rsid w:val="00CC67B7"/>
    <w:rsid w:val="00CC721F"/>
    <w:rsid w:val="00CD187C"/>
    <w:rsid w:val="00CD29B5"/>
    <w:rsid w:val="00CD3008"/>
    <w:rsid w:val="00CD344F"/>
    <w:rsid w:val="00CD3530"/>
    <w:rsid w:val="00CD5165"/>
    <w:rsid w:val="00CD5454"/>
    <w:rsid w:val="00CD59EB"/>
    <w:rsid w:val="00CD6333"/>
    <w:rsid w:val="00CE1D6E"/>
    <w:rsid w:val="00CE274D"/>
    <w:rsid w:val="00CE2A2A"/>
    <w:rsid w:val="00CE3D58"/>
    <w:rsid w:val="00CE479F"/>
    <w:rsid w:val="00CE4DA9"/>
    <w:rsid w:val="00CE7D1E"/>
    <w:rsid w:val="00CF004E"/>
    <w:rsid w:val="00CF18E4"/>
    <w:rsid w:val="00CF2C48"/>
    <w:rsid w:val="00CF2C97"/>
    <w:rsid w:val="00CF2E95"/>
    <w:rsid w:val="00CF3D17"/>
    <w:rsid w:val="00CF3E6B"/>
    <w:rsid w:val="00CF4ACD"/>
    <w:rsid w:val="00CF5A58"/>
    <w:rsid w:val="00D003A5"/>
    <w:rsid w:val="00D00942"/>
    <w:rsid w:val="00D01417"/>
    <w:rsid w:val="00D02457"/>
    <w:rsid w:val="00D03165"/>
    <w:rsid w:val="00D03595"/>
    <w:rsid w:val="00D03D2D"/>
    <w:rsid w:val="00D0621F"/>
    <w:rsid w:val="00D106C9"/>
    <w:rsid w:val="00D12C1A"/>
    <w:rsid w:val="00D12C57"/>
    <w:rsid w:val="00D12F06"/>
    <w:rsid w:val="00D1347B"/>
    <w:rsid w:val="00D1532E"/>
    <w:rsid w:val="00D16AE5"/>
    <w:rsid w:val="00D20AB9"/>
    <w:rsid w:val="00D22205"/>
    <w:rsid w:val="00D23111"/>
    <w:rsid w:val="00D236A3"/>
    <w:rsid w:val="00D247B2"/>
    <w:rsid w:val="00D24CCD"/>
    <w:rsid w:val="00D27395"/>
    <w:rsid w:val="00D30A2B"/>
    <w:rsid w:val="00D30C8D"/>
    <w:rsid w:val="00D31093"/>
    <w:rsid w:val="00D319C6"/>
    <w:rsid w:val="00D31DA2"/>
    <w:rsid w:val="00D3293E"/>
    <w:rsid w:val="00D3468A"/>
    <w:rsid w:val="00D35029"/>
    <w:rsid w:val="00D36031"/>
    <w:rsid w:val="00D363E4"/>
    <w:rsid w:val="00D36DFA"/>
    <w:rsid w:val="00D37E55"/>
    <w:rsid w:val="00D40D75"/>
    <w:rsid w:val="00D43548"/>
    <w:rsid w:val="00D435FC"/>
    <w:rsid w:val="00D436F3"/>
    <w:rsid w:val="00D44270"/>
    <w:rsid w:val="00D44966"/>
    <w:rsid w:val="00D44EB2"/>
    <w:rsid w:val="00D4627E"/>
    <w:rsid w:val="00D47864"/>
    <w:rsid w:val="00D50244"/>
    <w:rsid w:val="00D50378"/>
    <w:rsid w:val="00D52E75"/>
    <w:rsid w:val="00D53D03"/>
    <w:rsid w:val="00D54712"/>
    <w:rsid w:val="00D54B89"/>
    <w:rsid w:val="00D5602A"/>
    <w:rsid w:val="00D5684B"/>
    <w:rsid w:val="00D56F9D"/>
    <w:rsid w:val="00D572AA"/>
    <w:rsid w:val="00D57C2C"/>
    <w:rsid w:val="00D61991"/>
    <w:rsid w:val="00D63FFD"/>
    <w:rsid w:val="00D644CA"/>
    <w:rsid w:val="00D64A5D"/>
    <w:rsid w:val="00D67806"/>
    <w:rsid w:val="00D67A2F"/>
    <w:rsid w:val="00D67B41"/>
    <w:rsid w:val="00D71641"/>
    <w:rsid w:val="00D7410B"/>
    <w:rsid w:val="00D75120"/>
    <w:rsid w:val="00D7583D"/>
    <w:rsid w:val="00D7658E"/>
    <w:rsid w:val="00D772A1"/>
    <w:rsid w:val="00D801F4"/>
    <w:rsid w:val="00D81938"/>
    <w:rsid w:val="00D84B48"/>
    <w:rsid w:val="00D8511F"/>
    <w:rsid w:val="00D85990"/>
    <w:rsid w:val="00D879AE"/>
    <w:rsid w:val="00D87AA9"/>
    <w:rsid w:val="00D87BD9"/>
    <w:rsid w:val="00D9159A"/>
    <w:rsid w:val="00D92A32"/>
    <w:rsid w:val="00D92AD4"/>
    <w:rsid w:val="00D931A3"/>
    <w:rsid w:val="00D93D50"/>
    <w:rsid w:val="00D951C2"/>
    <w:rsid w:val="00D96855"/>
    <w:rsid w:val="00D970BC"/>
    <w:rsid w:val="00D97FA9"/>
    <w:rsid w:val="00DA03E7"/>
    <w:rsid w:val="00DA044E"/>
    <w:rsid w:val="00DA1C21"/>
    <w:rsid w:val="00DA2C93"/>
    <w:rsid w:val="00DA3A58"/>
    <w:rsid w:val="00DA3CE4"/>
    <w:rsid w:val="00DA40EC"/>
    <w:rsid w:val="00DA46C4"/>
    <w:rsid w:val="00DA4E49"/>
    <w:rsid w:val="00DA50A4"/>
    <w:rsid w:val="00DA57DA"/>
    <w:rsid w:val="00DA768D"/>
    <w:rsid w:val="00DB11A8"/>
    <w:rsid w:val="00DB130B"/>
    <w:rsid w:val="00DB140F"/>
    <w:rsid w:val="00DB1D84"/>
    <w:rsid w:val="00DB23AF"/>
    <w:rsid w:val="00DB268F"/>
    <w:rsid w:val="00DB28EA"/>
    <w:rsid w:val="00DB5F56"/>
    <w:rsid w:val="00DB6645"/>
    <w:rsid w:val="00DB6671"/>
    <w:rsid w:val="00DB6919"/>
    <w:rsid w:val="00DB7CCB"/>
    <w:rsid w:val="00DC180E"/>
    <w:rsid w:val="00DC1DC8"/>
    <w:rsid w:val="00DC2318"/>
    <w:rsid w:val="00DC2B40"/>
    <w:rsid w:val="00DC5DF6"/>
    <w:rsid w:val="00DC7FDA"/>
    <w:rsid w:val="00DD082C"/>
    <w:rsid w:val="00DD106D"/>
    <w:rsid w:val="00DD2A59"/>
    <w:rsid w:val="00DD3B10"/>
    <w:rsid w:val="00DD4B8C"/>
    <w:rsid w:val="00DD58E8"/>
    <w:rsid w:val="00DD6301"/>
    <w:rsid w:val="00DD6D84"/>
    <w:rsid w:val="00DD72BE"/>
    <w:rsid w:val="00DE1181"/>
    <w:rsid w:val="00DE4621"/>
    <w:rsid w:val="00DE539C"/>
    <w:rsid w:val="00DE5644"/>
    <w:rsid w:val="00DE6012"/>
    <w:rsid w:val="00DE7226"/>
    <w:rsid w:val="00DF2078"/>
    <w:rsid w:val="00DF2D57"/>
    <w:rsid w:val="00DF4F6A"/>
    <w:rsid w:val="00DF50F0"/>
    <w:rsid w:val="00DF5142"/>
    <w:rsid w:val="00DF530B"/>
    <w:rsid w:val="00DF5367"/>
    <w:rsid w:val="00DF5F02"/>
    <w:rsid w:val="00DF62B4"/>
    <w:rsid w:val="00DF6FCB"/>
    <w:rsid w:val="00E00350"/>
    <w:rsid w:val="00E00AF8"/>
    <w:rsid w:val="00E0127D"/>
    <w:rsid w:val="00E02D7E"/>
    <w:rsid w:val="00E03426"/>
    <w:rsid w:val="00E05162"/>
    <w:rsid w:val="00E11AEC"/>
    <w:rsid w:val="00E11C0E"/>
    <w:rsid w:val="00E1229D"/>
    <w:rsid w:val="00E15C0C"/>
    <w:rsid w:val="00E15C93"/>
    <w:rsid w:val="00E165CE"/>
    <w:rsid w:val="00E16AA0"/>
    <w:rsid w:val="00E17C0D"/>
    <w:rsid w:val="00E2038B"/>
    <w:rsid w:val="00E20BCA"/>
    <w:rsid w:val="00E242DB"/>
    <w:rsid w:val="00E24682"/>
    <w:rsid w:val="00E24857"/>
    <w:rsid w:val="00E25194"/>
    <w:rsid w:val="00E32B1E"/>
    <w:rsid w:val="00E32EFB"/>
    <w:rsid w:val="00E33CDC"/>
    <w:rsid w:val="00E37AF3"/>
    <w:rsid w:val="00E415FB"/>
    <w:rsid w:val="00E4196F"/>
    <w:rsid w:val="00E424CC"/>
    <w:rsid w:val="00E42C73"/>
    <w:rsid w:val="00E42E61"/>
    <w:rsid w:val="00E43F64"/>
    <w:rsid w:val="00E4462E"/>
    <w:rsid w:val="00E45195"/>
    <w:rsid w:val="00E50289"/>
    <w:rsid w:val="00E503EC"/>
    <w:rsid w:val="00E5044D"/>
    <w:rsid w:val="00E51164"/>
    <w:rsid w:val="00E5137F"/>
    <w:rsid w:val="00E5177B"/>
    <w:rsid w:val="00E526E8"/>
    <w:rsid w:val="00E52B95"/>
    <w:rsid w:val="00E52F79"/>
    <w:rsid w:val="00E531A3"/>
    <w:rsid w:val="00E53398"/>
    <w:rsid w:val="00E537F1"/>
    <w:rsid w:val="00E578C3"/>
    <w:rsid w:val="00E60197"/>
    <w:rsid w:val="00E61482"/>
    <w:rsid w:val="00E61DF6"/>
    <w:rsid w:val="00E62290"/>
    <w:rsid w:val="00E62C88"/>
    <w:rsid w:val="00E63ED1"/>
    <w:rsid w:val="00E64364"/>
    <w:rsid w:val="00E65C1D"/>
    <w:rsid w:val="00E66CDE"/>
    <w:rsid w:val="00E706A1"/>
    <w:rsid w:val="00E71406"/>
    <w:rsid w:val="00E719A1"/>
    <w:rsid w:val="00E72D3F"/>
    <w:rsid w:val="00E74C0C"/>
    <w:rsid w:val="00E75589"/>
    <w:rsid w:val="00E76180"/>
    <w:rsid w:val="00E76E98"/>
    <w:rsid w:val="00E775FD"/>
    <w:rsid w:val="00E77B58"/>
    <w:rsid w:val="00E801E1"/>
    <w:rsid w:val="00E80D60"/>
    <w:rsid w:val="00E815F7"/>
    <w:rsid w:val="00E8163F"/>
    <w:rsid w:val="00E81A43"/>
    <w:rsid w:val="00E82596"/>
    <w:rsid w:val="00E8280D"/>
    <w:rsid w:val="00E8375E"/>
    <w:rsid w:val="00E864CD"/>
    <w:rsid w:val="00E86EA2"/>
    <w:rsid w:val="00E8795D"/>
    <w:rsid w:val="00E91ED4"/>
    <w:rsid w:val="00E9493C"/>
    <w:rsid w:val="00E95C13"/>
    <w:rsid w:val="00E9613B"/>
    <w:rsid w:val="00E9750C"/>
    <w:rsid w:val="00EA049B"/>
    <w:rsid w:val="00EA0FDE"/>
    <w:rsid w:val="00EA1D50"/>
    <w:rsid w:val="00EA2F7E"/>
    <w:rsid w:val="00EA31D6"/>
    <w:rsid w:val="00EA63DA"/>
    <w:rsid w:val="00EA70E1"/>
    <w:rsid w:val="00EA7917"/>
    <w:rsid w:val="00EB08CC"/>
    <w:rsid w:val="00EB09A1"/>
    <w:rsid w:val="00EB0E44"/>
    <w:rsid w:val="00EB15B1"/>
    <w:rsid w:val="00EB24B0"/>
    <w:rsid w:val="00EB2D30"/>
    <w:rsid w:val="00EB4134"/>
    <w:rsid w:val="00EB556E"/>
    <w:rsid w:val="00EB60E6"/>
    <w:rsid w:val="00EB68D8"/>
    <w:rsid w:val="00EB75D3"/>
    <w:rsid w:val="00EB771D"/>
    <w:rsid w:val="00EB7D2C"/>
    <w:rsid w:val="00EB7D6F"/>
    <w:rsid w:val="00EB7DCD"/>
    <w:rsid w:val="00EC091A"/>
    <w:rsid w:val="00EC0965"/>
    <w:rsid w:val="00EC09B5"/>
    <w:rsid w:val="00EC0C90"/>
    <w:rsid w:val="00EC3CBD"/>
    <w:rsid w:val="00EC478A"/>
    <w:rsid w:val="00EC4CA7"/>
    <w:rsid w:val="00EC4EBA"/>
    <w:rsid w:val="00EC568E"/>
    <w:rsid w:val="00EC5C57"/>
    <w:rsid w:val="00EC6452"/>
    <w:rsid w:val="00EC64C3"/>
    <w:rsid w:val="00EC6858"/>
    <w:rsid w:val="00EC6F9F"/>
    <w:rsid w:val="00EC75FB"/>
    <w:rsid w:val="00EC7B76"/>
    <w:rsid w:val="00EC7D9E"/>
    <w:rsid w:val="00ED0BF6"/>
    <w:rsid w:val="00ED374E"/>
    <w:rsid w:val="00ED4546"/>
    <w:rsid w:val="00ED67CB"/>
    <w:rsid w:val="00ED6CA7"/>
    <w:rsid w:val="00ED6CF5"/>
    <w:rsid w:val="00ED7045"/>
    <w:rsid w:val="00EE0071"/>
    <w:rsid w:val="00EE10ED"/>
    <w:rsid w:val="00EE1DDE"/>
    <w:rsid w:val="00EE3D70"/>
    <w:rsid w:val="00EE6575"/>
    <w:rsid w:val="00EE697B"/>
    <w:rsid w:val="00EE6DDF"/>
    <w:rsid w:val="00EF29F6"/>
    <w:rsid w:val="00EF7945"/>
    <w:rsid w:val="00F00977"/>
    <w:rsid w:val="00F01E81"/>
    <w:rsid w:val="00F02F06"/>
    <w:rsid w:val="00F03A59"/>
    <w:rsid w:val="00F03D5B"/>
    <w:rsid w:val="00F04CA0"/>
    <w:rsid w:val="00F05078"/>
    <w:rsid w:val="00F078D9"/>
    <w:rsid w:val="00F07BCA"/>
    <w:rsid w:val="00F11C6D"/>
    <w:rsid w:val="00F14E6D"/>
    <w:rsid w:val="00F15CC6"/>
    <w:rsid w:val="00F16449"/>
    <w:rsid w:val="00F16B30"/>
    <w:rsid w:val="00F16EFD"/>
    <w:rsid w:val="00F24EA9"/>
    <w:rsid w:val="00F27ACD"/>
    <w:rsid w:val="00F31333"/>
    <w:rsid w:val="00F32391"/>
    <w:rsid w:val="00F35C48"/>
    <w:rsid w:val="00F36D43"/>
    <w:rsid w:val="00F40732"/>
    <w:rsid w:val="00F4225C"/>
    <w:rsid w:val="00F44F99"/>
    <w:rsid w:val="00F45EEC"/>
    <w:rsid w:val="00F4606E"/>
    <w:rsid w:val="00F47A27"/>
    <w:rsid w:val="00F515B1"/>
    <w:rsid w:val="00F5279A"/>
    <w:rsid w:val="00F55834"/>
    <w:rsid w:val="00F563EF"/>
    <w:rsid w:val="00F573E4"/>
    <w:rsid w:val="00F604B7"/>
    <w:rsid w:val="00F60AAD"/>
    <w:rsid w:val="00F61F24"/>
    <w:rsid w:val="00F6210D"/>
    <w:rsid w:val="00F64921"/>
    <w:rsid w:val="00F65088"/>
    <w:rsid w:val="00F65D73"/>
    <w:rsid w:val="00F6657B"/>
    <w:rsid w:val="00F66C8B"/>
    <w:rsid w:val="00F7033B"/>
    <w:rsid w:val="00F72D76"/>
    <w:rsid w:val="00F73515"/>
    <w:rsid w:val="00F74CBF"/>
    <w:rsid w:val="00F7551E"/>
    <w:rsid w:val="00F7638E"/>
    <w:rsid w:val="00F76E42"/>
    <w:rsid w:val="00F77178"/>
    <w:rsid w:val="00F802D9"/>
    <w:rsid w:val="00F80827"/>
    <w:rsid w:val="00F80FD9"/>
    <w:rsid w:val="00F8166B"/>
    <w:rsid w:val="00F81F55"/>
    <w:rsid w:val="00F82DD6"/>
    <w:rsid w:val="00F847DC"/>
    <w:rsid w:val="00F85E89"/>
    <w:rsid w:val="00F86860"/>
    <w:rsid w:val="00F900EE"/>
    <w:rsid w:val="00F91D12"/>
    <w:rsid w:val="00F95EE6"/>
    <w:rsid w:val="00F97B81"/>
    <w:rsid w:val="00FA196E"/>
    <w:rsid w:val="00FA32B5"/>
    <w:rsid w:val="00FA5666"/>
    <w:rsid w:val="00FA7054"/>
    <w:rsid w:val="00FA709A"/>
    <w:rsid w:val="00FB0366"/>
    <w:rsid w:val="00FB20F6"/>
    <w:rsid w:val="00FB2676"/>
    <w:rsid w:val="00FB3571"/>
    <w:rsid w:val="00FB6B14"/>
    <w:rsid w:val="00FB7E6D"/>
    <w:rsid w:val="00FC335F"/>
    <w:rsid w:val="00FC3EF2"/>
    <w:rsid w:val="00FC4230"/>
    <w:rsid w:val="00FC5772"/>
    <w:rsid w:val="00FC5782"/>
    <w:rsid w:val="00FC592F"/>
    <w:rsid w:val="00FC71E6"/>
    <w:rsid w:val="00FC7F2A"/>
    <w:rsid w:val="00FD0422"/>
    <w:rsid w:val="00FD205C"/>
    <w:rsid w:val="00FD22E5"/>
    <w:rsid w:val="00FD35B4"/>
    <w:rsid w:val="00FD3764"/>
    <w:rsid w:val="00FD38C7"/>
    <w:rsid w:val="00FD79A7"/>
    <w:rsid w:val="00FD7AFE"/>
    <w:rsid w:val="00FE0158"/>
    <w:rsid w:val="00FE0AC9"/>
    <w:rsid w:val="00FE4F95"/>
    <w:rsid w:val="00FE5644"/>
    <w:rsid w:val="00FE628B"/>
    <w:rsid w:val="00FE6557"/>
    <w:rsid w:val="00FE7286"/>
    <w:rsid w:val="00FE7C3B"/>
    <w:rsid w:val="00FF0374"/>
    <w:rsid w:val="00FF2E39"/>
    <w:rsid w:val="00FF3177"/>
    <w:rsid w:val="00FF39BE"/>
    <w:rsid w:val="00FF4D6C"/>
    <w:rsid w:val="00FF4EE2"/>
    <w:rsid w:val="00FF6B0D"/>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42DE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569"/>
    <w:rPr>
      <w:sz w:val="24"/>
      <w:lang w:val="en-AU" w:eastAsia="en-AU"/>
    </w:rPr>
  </w:style>
  <w:style w:type="paragraph" w:styleId="Heading1">
    <w:name w:val="heading 1"/>
    <w:aliases w:val="Heading 1 Cab"/>
    <w:basedOn w:val="Normal"/>
    <w:next w:val="Normal"/>
    <w:uiPriority w:val="4"/>
    <w:qFormat/>
    <w:rsid w:val="008F5CFE"/>
    <w:pPr>
      <w:keepNext/>
      <w:widowControl w:val="0"/>
      <w:jc w:val="center"/>
      <w:outlineLvl w:val="0"/>
    </w:pPr>
    <w:rPr>
      <w:i/>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91131B"/>
    <w:rPr>
      <w:i/>
      <w:iCs/>
    </w:rPr>
  </w:style>
  <w:style w:type="paragraph" w:customStyle="1" w:styleId="paragraph">
    <w:name w:val="paragraph"/>
    <w:aliases w:val="a"/>
    <w:rsid w:val="0091131B"/>
    <w:pPr>
      <w:tabs>
        <w:tab w:val="right" w:pos="1531"/>
      </w:tabs>
      <w:spacing w:before="40"/>
      <w:ind w:left="1644" w:hanging="1644"/>
    </w:pPr>
    <w:rPr>
      <w:sz w:val="22"/>
      <w:szCs w:val="24"/>
      <w:lang w:val="en-AU" w:eastAsia="en-AU"/>
    </w:rPr>
  </w:style>
  <w:style w:type="paragraph" w:customStyle="1" w:styleId="subsection">
    <w:name w:val="subsection"/>
    <w:aliases w:val="ss,Subsection"/>
    <w:link w:val="subsectionChar"/>
    <w:rsid w:val="0091131B"/>
    <w:pPr>
      <w:tabs>
        <w:tab w:val="right" w:pos="1021"/>
      </w:tabs>
      <w:spacing w:before="180"/>
      <w:ind w:left="1134" w:hanging="1134"/>
    </w:pPr>
    <w:rPr>
      <w:sz w:val="22"/>
      <w:szCs w:val="24"/>
      <w:lang w:val="en-AU" w:eastAsia="en-AU"/>
    </w:rPr>
  </w:style>
  <w:style w:type="paragraph" w:customStyle="1" w:styleId="PFParaNumLevel1">
    <w:name w:val="PF (ParaNum) Level 1"/>
    <w:basedOn w:val="Normal"/>
    <w:rsid w:val="001457F6"/>
    <w:pPr>
      <w:numPr>
        <w:numId w:val="1"/>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ParaNumLevel2">
    <w:name w:val="PF (ParaNum) Level 2"/>
    <w:basedOn w:val="Normal"/>
    <w:rsid w:val="001457F6"/>
    <w:pPr>
      <w:numPr>
        <w:ilvl w:val="1"/>
        <w:numId w:val="1"/>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ParaNumLevel3">
    <w:name w:val="PF (ParaNum) Level 3"/>
    <w:basedOn w:val="Normal"/>
    <w:rsid w:val="001457F6"/>
    <w:pPr>
      <w:numPr>
        <w:ilvl w:val="2"/>
        <w:numId w:val="1"/>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ParaNumLevel4">
    <w:name w:val="PF (ParaNum) Level 4"/>
    <w:basedOn w:val="Normal"/>
    <w:rsid w:val="001457F6"/>
    <w:pPr>
      <w:numPr>
        <w:ilvl w:val="3"/>
        <w:numId w:val="1"/>
      </w:numPr>
      <w:tabs>
        <w:tab w:val="left" w:pos="1848"/>
        <w:tab w:val="left" w:pos="2773"/>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PFParaNumLevel5">
    <w:name w:val="PF (ParaNum) Level 5"/>
    <w:basedOn w:val="Normal"/>
    <w:rsid w:val="001457F6"/>
    <w:pPr>
      <w:numPr>
        <w:ilvl w:val="4"/>
        <w:numId w:val="1"/>
      </w:numPr>
      <w:tabs>
        <w:tab w:val="left" w:pos="2773"/>
        <w:tab w:val="left" w:pos="3697"/>
        <w:tab w:val="left" w:pos="4621"/>
        <w:tab w:val="left" w:pos="5545"/>
        <w:tab w:val="left" w:pos="6469"/>
        <w:tab w:val="left" w:pos="7394"/>
        <w:tab w:val="left" w:pos="8318"/>
        <w:tab w:val="right" w:pos="8930"/>
      </w:tabs>
      <w:spacing w:before="120" w:after="120" w:line="276" w:lineRule="auto"/>
    </w:pPr>
    <w:rPr>
      <w:rFonts w:ascii="Arial" w:hAnsi="Arial"/>
      <w:color w:val="000000"/>
      <w:sz w:val="21"/>
      <w:lang w:eastAsia="en-US"/>
    </w:rPr>
  </w:style>
  <w:style w:type="paragraph" w:customStyle="1" w:styleId="a">
    <w:basedOn w:val="Normal"/>
    <w:rsid w:val="00EB7DCD"/>
    <w:pPr>
      <w:spacing w:after="160" w:line="240" w:lineRule="exact"/>
    </w:pPr>
    <w:rPr>
      <w:rFonts w:ascii="Verdana" w:hAnsi="Verdana" w:cs="Verdana"/>
      <w:sz w:val="20"/>
      <w:szCs w:val="24"/>
      <w:lang w:val="en-US" w:eastAsia="en-US"/>
    </w:rPr>
  </w:style>
  <w:style w:type="character" w:styleId="CommentReference">
    <w:name w:val="annotation reference"/>
    <w:rsid w:val="000217A4"/>
    <w:rPr>
      <w:sz w:val="16"/>
      <w:szCs w:val="16"/>
    </w:rPr>
  </w:style>
  <w:style w:type="paragraph" w:styleId="CommentText">
    <w:name w:val="annotation text"/>
    <w:basedOn w:val="Normal"/>
    <w:link w:val="CommentTextChar"/>
    <w:rsid w:val="000217A4"/>
    <w:rPr>
      <w:sz w:val="20"/>
    </w:rPr>
  </w:style>
  <w:style w:type="paragraph" w:styleId="CommentSubject">
    <w:name w:val="annotation subject"/>
    <w:basedOn w:val="CommentText"/>
    <w:next w:val="CommentText"/>
    <w:semiHidden/>
    <w:rsid w:val="000217A4"/>
    <w:rPr>
      <w:b/>
      <w:bCs/>
    </w:rPr>
  </w:style>
  <w:style w:type="paragraph" w:styleId="BalloonText">
    <w:name w:val="Balloon Text"/>
    <w:basedOn w:val="Normal"/>
    <w:semiHidden/>
    <w:rsid w:val="000217A4"/>
    <w:rPr>
      <w:rFonts w:ascii="Tahoma" w:hAnsi="Tahoma" w:cs="Tahoma"/>
      <w:sz w:val="16"/>
      <w:szCs w:val="16"/>
    </w:rPr>
  </w:style>
  <w:style w:type="paragraph" w:customStyle="1" w:styleId="CharCharCharCharCharCharCharCharCharCharCharCharCharCharCharCharCharCharCharCharCharCharCharCharCharCharCharCharCharChar1CharCharCharCharCharCharChar">
    <w:name w:val="Char Char Char Char Char Char Char Char Char Char Char Char Char Char Char Char Char Char Char Char Char Char Char Char Char Char Char Char Char Char1 Char Char Char Char Char Char Char"/>
    <w:basedOn w:val="Normal"/>
    <w:rsid w:val="00DC2318"/>
    <w:pPr>
      <w:spacing w:after="160" w:line="240" w:lineRule="exact"/>
    </w:pPr>
    <w:rPr>
      <w:rFonts w:ascii="Verdana" w:hAnsi="Verdana" w:cs="Verdana"/>
      <w:sz w:val="20"/>
      <w:lang w:val="en-US" w:eastAsia="en-US"/>
    </w:rPr>
  </w:style>
  <w:style w:type="paragraph" w:customStyle="1" w:styleId="ActHead9">
    <w:name w:val="ActHead 9"/>
    <w:aliases w:val="aat"/>
    <w:basedOn w:val="Normal"/>
    <w:next w:val="Normal"/>
    <w:qFormat/>
    <w:rsid w:val="007E0CFA"/>
    <w:pPr>
      <w:keepNext/>
      <w:keepLines/>
      <w:spacing w:before="280"/>
      <w:ind w:left="1134" w:hanging="1134"/>
      <w:outlineLvl w:val="8"/>
    </w:pPr>
    <w:rPr>
      <w:b/>
      <w:i/>
      <w:kern w:val="28"/>
      <w:sz w:val="28"/>
    </w:rPr>
  </w:style>
  <w:style w:type="paragraph" w:styleId="BodyText">
    <w:name w:val="Body Text"/>
    <w:basedOn w:val="Normal"/>
    <w:link w:val="BodyTextChar"/>
    <w:rsid w:val="005A3C2F"/>
    <w:rPr>
      <w:b/>
    </w:rPr>
  </w:style>
  <w:style w:type="character" w:customStyle="1" w:styleId="BodyTextChar">
    <w:name w:val="Body Text Char"/>
    <w:link w:val="BodyText"/>
    <w:rsid w:val="005A3C2F"/>
    <w:rPr>
      <w:b/>
      <w:sz w:val="24"/>
    </w:rPr>
  </w:style>
  <w:style w:type="paragraph" w:styleId="NoSpacing">
    <w:name w:val="No Spacing"/>
    <w:uiPriority w:val="1"/>
    <w:qFormat/>
    <w:rsid w:val="00DD082C"/>
    <w:rPr>
      <w:sz w:val="24"/>
      <w:lang w:val="en-AU" w:eastAsia="en-AU"/>
    </w:rPr>
  </w:style>
  <w:style w:type="paragraph" w:customStyle="1" w:styleId="BodyText1">
    <w:name w:val="Body Text1"/>
    <w:basedOn w:val="ListParagraph"/>
    <w:link w:val="BodytextChar0"/>
    <w:qFormat/>
    <w:rsid w:val="00BB3148"/>
    <w:pPr>
      <w:spacing w:before="120" w:after="240"/>
      <w:ind w:left="0"/>
    </w:pPr>
    <w:rPr>
      <w:szCs w:val="24"/>
    </w:rPr>
  </w:style>
  <w:style w:type="character" w:customStyle="1" w:styleId="BodytextChar0">
    <w:name w:val="Body text Char"/>
    <w:link w:val="BodyText1"/>
    <w:rsid w:val="00BB3148"/>
    <w:rPr>
      <w:sz w:val="24"/>
      <w:szCs w:val="24"/>
    </w:rPr>
  </w:style>
  <w:style w:type="paragraph" w:styleId="ListParagraph">
    <w:name w:val="List Paragraph"/>
    <w:basedOn w:val="Normal"/>
    <w:uiPriority w:val="34"/>
    <w:qFormat/>
    <w:rsid w:val="00BB3148"/>
    <w:pPr>
      <w:ind w:left="720"/>
    </w:pPr>
  </w:style>
  <w:style w:type="paragraph" w:customStyle="1" w:styleId="3Bodyparagraph">
    <w:name w:val="3. Body paragraph"/>
    <w:basedOn w:val="Normal"/>
    <w:qFormat/>
    <w:rsid w:val="00921671"/>
    <w:pPr>
      <w:numPr>
        <w:numId w:val="3"/>
      </w:numPr>
      <w:tabs>
        <w:tab w:val="num" w:pos="720"/>
      </w:tabs>
      <w:snapToGrid w:val="0"/>
      <w:spacing w:before="240" w:line="240" w:lineRule="atLeast"/>
      <w:ind w:left="720"/>
    </w:pPr>
    <w:rPr>
      <w:rFonts w:ascii="Calibri" w:eastAsia="Calibri" w:hAnsi="Calibri" w:cs="Calibri"/>
      <w:sz w:val="22"/>
      <w:szCs w:val="22"/>
      <w:lang w:eastAsia="ja-JP"/>
    </w:rPr>
  </w:style>
  <w:style w:type="paragraph" w:customStyle="1" w:styleId="4Subparagrapha">
    <w:name w:val="4. Subparagraph (a)"/>
    <w:basedOn w:val="Normal"/>
    <w:qFormat/>
    <w:rsid w:val="00921671"/>
    <w:pPr>
      <w:numPr>
        <w:ilvl w:val="1"/>
        <w:numId w:val="3"/>
      </w:numPr>
      <w:tabs>
        <w:tab w:val="num" w:pos="1440"/>
      </w:tabs>
      <w:snapToGrid w:val="0"/>
      <w:spacing w:before="240" w:line="240" w:lineRule="atLeast"/>
      <w:ind w:left="1440" w:hanging="360"/>
    </w:pPr>
    <w:rPr>
      <w:rFonts w:ascii="Calibri" w:eastAsia="Calibri" w:hAnsi="Calibri" w:cs="Calibri"/>
      <w:sz w:val="22"/>
      <w:szCs w:val="22"/>
      <w:lang w:eastAsia="ja-JP"/>
    </w:rPr>
  </w:style>
  <w:style w:type="paragraph" w:customStyle="1" w:styleId="5Subparagraphi">
    <w:name w:val="5. Subparagraph (i)"/>
    <w:basedOn w:val="Normal"/>
    <w:qFormat/>
    <w:rsid w:val="00921671"/>
    <w:pPr>
      <w:numPr>
        <w:ilvl w:val="2"/>
        <w:numId w:val="3"/>
      </w:numPr>
      <w:tabs>
        <w:tab w:val="num" w:pos="2160"/>
      </w:tabs>
      <w:snapToGrid w:val="0"/>
      <w:spacing w:before="240" w:line="240" w:lineRule="atLeast"/>
      <w:ind w:left="2160" w:hanging="360"/>
    </w:pPr>
    <w:rPr>
      <w:rFonts w:ascii="Calibri" w:eastAsia="Calibri" w:hAnsi="Calibri" w:cs="Calibri"/>
      <w:sz w:val="22"/>
      <w:szCs w:val="22"/>
      <w:lang w:eastAsia="ja-JP"/>
    </w:rPr>
  </w:style>
  <w:style w:type="character" w:styleId="Hyperlink">
    <w:name w:val="Hyperlink"/>
    <w:uiPriority w:val="99"/>
    <w:semiHidden/>
    <w:unhideWhenUsed/>
    <w:rsid w:val="00083501"/>
    <w:rPr>
      <w:color w:val="0563C1"/>
      <w:u w:val="single"/>
    </w:rPr>
  </w:style>
  <w:style w:type="paragraph" w:customStyle="1" w:styleId="notetext">
    <w:name w:val="note(text)"/>
    <w:aliases w:val="n"/>
    <w:basedOn w:val="Normal"/>
    <w:link w:val="notetextChar"/>
    <w:rsid w:val="00325D23"/>
    <w:pPr>
      <w:spacing w:before="122"/>
      <w:ind w:left="1985" w:hanging="851"/>
    </w:pPr>
    <w:rPr>
      <w:sz w:val="18"/>
    </w:rPr>
  </w:style>
  <w:style w:type="character" w:customStyle="1" w:styleId="notetextChar">
    <w:name w:val="note(text) Char"/>
    <w:aliases w:val="n Char"/>
    <w:link w:val="notetext"/>
    <w:rsid w:val="00325D23"/>
    <w:rPr>
      <w:sz w:val="18"/>
    </w:rPr>
  </w:style>
  <w:style w:type="paragraph" w:customStyle="1" w:styleId="CAB-NumberedParagraph">
    <w:name w:val="CAB - Numbered Paragraph"/>
    <w:basedOn w:val="Normal"/>
    <w:uiPriority w:val="98"/>
    <w:rsid w:val="00595508"/>
    <w:pPr>
      <w:tabs>
        <w:tab w:val="num" w:pos="1440"/>
      </w:tabs>
      <w:spacing w:after="200" w:line="276" w:lineRule="auto"/>
      <w:ind w:left="1440" w:hanging="360"/>
    </w:pPr>
    <w:rPr>
      <w:rFonts w:ascii="Arial" w:eastAsia="Calibri" w:hAnsi="Arial" w:cs="Arial"/>
      <w:sz w:val="22"/>
      <w:szCs w:val="22"/>
      <w:lang w:eastAsia="en-US"/>
    </w:rPr>
  </w:style>
  <w:style w:type="character" w:customStyle="1" w:styleId="subsectionChar">
    <w:name w:val="subsection Char"/>
    <w:aliases w:val="ss Char"/>
    <w:link w:val="subsection"/>
    <w:locked/>
    <w:rsid w:val="00BC562B"/>
    <w:rPr>
      <w:sz w:val="22"/>
      <w:szCs w:val="24"/>
    </w:rPr>
  </w:style>
  <w:style w:type="paragraph" w:customStyle="1" w:styleId="paragraphsub">
    <w:name w:val="paragraph(sub)"/>
    <w:aliases w:val="aa"/>
    <w:basedOn w:val="Normal"/>
    <w:rsid w:val="00BC562B"/>
    <w:pPr>
      <w:tabs>
        <w:tab w:val="right" w:pos="1985"/>
      </w:tabs>
      <w:spacing w:before="40"/>
      <w:ind w:left="2098" w:hanging="2098"/>
    </w:pPr>
    <w:rPr>
      <w:sz w:val="22"/>
    </w:rPr>
  </w:style>
  <w:style w:type="paragraph" w:customStyle="1" w:styleId="Paragraphtext">
    <w:name w:val="Paragraph text"/>
    <w:basedOn w:val="Normal"/>
    <w:qFormat/>
    <w:rsid w:val="003E01E5"/>
    <w:pPr>
      <w:spacing w:before="120" w:after="60"/>
    </w:pPr>
    <w:rPr>
      <w:rFonts w:ascii="Arial" w:hAnsi="Arial"/>
      <w:color w:val="000000"/>
      <w:sz w:val="21"/>
      <w:szCs w:val="24"/>
      <w:lang w:eastAsia="en-US"/>
    </w:rPr>
  </w:style>
  <w:style w:type="paragraph" w:customStyle="1" w:styleId="Definition">
    <w:name w:val="Definition"/>
    <w:aliases w:val="dd"/>
    <w:basedOn w:val="Normal"/>
    <w:rsid w:val="009F1309"/>
    <w:pPr>
      <w:spacing w:before="180"/>
      <w:ind w:left="1134"/>
    </w:pPr>
    <w:rPr>
      <w:sz w:val="22"/>
    </w:rPr>
  </w:style>
  <w:style w:type="paragraph" w:customStyle="1" w:styleId="SubsectionHead">
    <w:name w:val="SubsectionHead"/>
    <w:aliases w:val="ssh"/>
    <w:basedOn w:val="Normal"/>
    <w:next w:val="subsection"/>
    <w:rsid w:val="00D951C2"/>
    <w:pPr>
      <w:keepNext/>
      <w:keepLines/>
      <w:spacing w:before="240"/>
      <w:ind w:left="1134"/>
    </w:pPr>
    <w:rPr>
      <w:i/>
      <w:sz w:val="22"/>
    </w:rPr>
  </w:style>
  <w:style w:type="character" w:customStyle="1" w:styleId="CommentTextChar">
    <w:name w:val="Comment Text Char"/>
    <w:link w:val="CommentText"/>
    <w:rsid w:val="000843D2"/>
  </w:style>
  <w:style w:type="paragraph" w:customStyle="1" w:styleId="BoxList">
    <w:name w:val="BoxList"/>
    <w:aliases w:val="bl"/>
    <w:basedOn w:val="Normal"/>
    <w:qFormat/>
    <w:rsid w:val="004C67B7"/>
    <w:pPr>
      <w:pBdr>
        <w:top w:val="single" w:sz="6" w:space="5" w:color="auto"/>
        <w:left w:val="single" w:sz="6" w:space="5" w:color="auto"/>
        <w:bottom w:val="single" w:sz="6" w:space="5" w:color="auto"/>
        <w:right w:val="single" w:sz="6" w:space="5" w:color="auto"/>
      </w:pBdr>
      <w:spacing w:before="240"/>
      <w:ind w:left="1559" w:hanging="425"/>
    </w:pPr>
    <w:rPr>
      <w:sz w:val="22"/>
    </w:rPr>
  </w:style>
  <w:style w:type="paragraph" w:styleId="Header">
    <w:name w:val="header"/>
    <w:basedOn w:val="Normal"/>
    <w:link w:val="HeaderChar"/>
    <w:unhideWhenUsed/>
    <w:rsid w:val="00C6231A"/>
    <w:pPr>
      <w:tabs>
        <w:tab w:val="center" w:pos="4680"/>
        <w:tab w:val="right" w:pos="9360"/>
      </w:tabs>
    </w:pPr>
  </w:style>
  <w:style w:type="character" w:customStyle="1" w:styleId="HeaderChar">
    <w:name w:val="Header Char"/>
    <w:link w:val="Header"/>
    <w:rsid w:val="00C6231A"/>
    <w:rPr>
      <w:sz w:val="24"/>
      <w:lang w:val="en-AU" w:eastAsia="en-AU"/>
    </w:rPr>
  </w:style>
  <w:style w:type="paragraph" w:styleId="Footer">
    <w:name w:val="footer"/>
    <w:basedOn w:val="Normal"/>
    <w:link w:val="FooterChar"/>
    <w:uiPriority w:val="99"/>
    <w:unhideWhenUsed/>
    <w:rsid w:val="00C6231A"/>
    <w:pPr>
      <w:tabs>
        <w:tab w:val="center" w:pos="4680"/>
        <w:tab w:val="right" w:pos="9360"/>
      </w:tabs>
    </w:pPr>
  </w:style>
  <w:style w:type="character" w:customStyle="1" w:styleId="FooterChar">
    <w:name w:val="Footer Char"/>
    <w:link w:val="Footer"/>
    <w:uiPriority w:val="99"/>
    <w:rsid w:val="00C6231A"/>
    <w:rPr>
      <w:sz w:val="24"/>
      <w:lang w:val="en-AU" w:eastAsia="en-AU"/>
    </w:rPr>
  </w:style>
  <w:style w:type="paragraph" w:styleId="Revision">
    <w:name w:val="Revision"/>
    <w:hidden/>
    <w:uiPriority w:val="99"/>
    <w:semiHidden/>
    <w:rsid w:val="004E12FB"/>
    <w:rPr>
      <w:sz w:val="24"/>
      <w:lang w:val="en-AU" w:eastAsia="en-AU"/>
    </w:rPr>
  </w:style>
  <w:style w:type="paragraph" w:customStyle="1" w:styleId="1">
    <w:name w:val="1"/>
    <w:basedOn w:val="Normal"/>
    <w:rsid w:val="00D772A1"/>
    <w:pPr>
      <w:spacing w:after="160" w:line="240" w:lineRule="exact"/>
    </w:pPr>
    <w:rPr>
      <w:rFonts w:ascii="Verdana" w:hAnsi="Verdana" w:cs="Verdana"/>
      <w:sz w:val="20"/>
      <w:szCs w:val="24"/>
      <w:lang w:val="en-US" w:eastAsia="en-US"/>
    </w:rPr>
  </w:style>
  <w:style w:type="paragraph" w:customStyle="1" w:styleId="Default">
    <w:name w:val="Default"/>
    <w:rsid w:val="00D772A1"/>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148">
      <w:bodyDiv w:val="1"/>
      <w:marLeft w:val="0"/>
      <w:marRight w:val="0"/>
      <w:marTop w:val="0"/>
      <w:marBottom w:val="0"/>
      <w:divBdr>
        <w:top w:val="none" w:sz="0" w:space="0" w:color="auto"/>
        <w:left w:val="none" w:sz="0" w:space="0" w:color="auto"/>
        <w:bottom w:val="none" w:sz="0" w:space="0" w:color="auto"/>
        <w:right w:val="none" w:sz="0" w:space="0" w:color="auto"/>
      </w:divBdr>
    </w:div>
    <w:div w:id="99034337">
      <w:bodyDiv w:val="1"/>
      <w:marLeft w:val="0"/>
      <w:marRight w:val="0"/>
      <w:marTop w:val="0"/>
      <w:marBottom w:val="0"/>
      <w:divBdr>
        <w:top w:val="none" w:sz="0" w:space="0" w:color="auto"/>
        <w:left w:val="none" w:sz="0" w:space="0" w:color="auto"/>
        <w:bottom w:val="none" w:sz="0" w:space="0" w:color="auto"/>
        <w:right w:val="none" w:sz="0" w:space="0" w:color="auto"/>
      </w:divBdr>
    </w:div>
    <w:div w:id="150027011">
      <w:bodyDiv w:val="1"/>
      <w:marLeft w:val="0"/>
      <w:marRight w:val="0"/>
      <w:marTop w:val="0"/>
      <w:marBottom w:val="0"/>
      <w:divBdr>
        <w:top w:val="none" w:sz="0" w:space="0" w:color="auto"/>
        <w:left w:val="none" w:sz="0" w:space="0" w:color="auto"/>
        <w:bottom w:val="none" w:sz="0" w:space="0" w:color="auto"/>
        <w:right w:val="none" w:sz="0" w:space="0" w:color="auto"/>
      </w:divBdr>
      <w:divsChild>
        <w:div w:id="123935703">
          <w:marLeft w:val="0"/>
          <w:marRight w:val="0"/>
          <w:marTop w:val="0"/>
          <w:marBottom w:val="0"/>
          <w:divBdr>
            <w:top w:val="none" w:sz="0" w:space="0" w:color="auto"/>
            <w:left w:val="none" w:sz="0" w:space="0" w:color="auto"/>
            <w:bottom w:val="none" w:sz="0" w:space="0" w:color="auto"/>
            <w:right w:val="none" w:sz="0" w:space="0" w:color="auto"/>
          </w:divBdr>
          <w:divsChild>
            <w:div w:id="1491292015">
              <w:marLeft w:val="0"/>
              <w:marRight w:val="0"/>
              <w:marTop w:val="0"/>
              <w:marBottom w:val="0"/>
              <w:divBdr>
                <w:top w:val="none" w:sz="0" w:space="0" w:color="auto"/>
                <w:left w:val="none" w:sz="0" w:space="0" w:color="auto"/>
                <w:bottom w:val="none" w:sz="0" w:space="0" w:color="auto"/>
                <w:right w:val="none" w:sz="0" w:space="0" w:color="auto"/>
              </w:divBdr>
              <w:divsChild>
                <w:div w:id="1918322145">
                  <w:marLeft w:val="0"/>
                  <w:marRight w:val="0"/>
                  <w:marTop w:val="0"/>
                  <w:marBottom w:val="0"/>
                  <w:divBdr>
                    <w:top w:val="none" w:sz="0" w:space="0" w:color="auto"/>
                    <w:left w:val="none" w:sz="0" w:space="0" w:color="auto"/>
                    <w:bottom w:val="none" w:sz="0" w:space="0" w:color="auto"/>
                    <w:right w:val="none" w:sz="0" w:space="0" w:color="auto"/>
                  </w:divBdr>
                  <w:divsChild>
                    <w:div w:id="1692298070">
                      <w:marLeft w:val="0"/>
                      <w:marRight w:val="0"/>
                      <w:marTop w:val="0"/>
                      <w:marBottom w:val="0"/>
                      <w:divBdr>
                        <w:top w:val="none" w:sz="0" w:space="0" w:color="auto"/>
                        <w:left w:val="none" w:sz="0" w:space="0" w:color="auto"/>
                        <w:bottom w:val="none" w:sz="0" w:space="0" w:color="auto"/>
                        <w:right w:val="none" w:sz="0" w:space="0" w:color="auto"/>
                      </w:divBdr>
                      <w:divsChild>
                        <w:div w:id="30812192">
                          <w:marLeft w:val="0"/>
                          <w:marRight w:val="0"/>
                          <w:marTop w:val="0"/>
                          <w:marBottom w:val="0"/>
                          <w:divBdr>
                            <w:top w:val="none" w:sz="0" w:space="0" w:color="auto"/>
                            <w:left w:val="none" w:sz="0" w:space="0" w:color="auto"/>
                            <w:bottom w:val="none" w:sz="0" w:space="0" w:color="auto"/>
                            <w:right w:val="none" w:sz="0" w:space="0" w:color="auto"/>
                          </w:divBdr>
                          <w:divsChild>
                            <w:div w:id="1729575840">
                              <w:marLeft w:val="0"/>
                              <w:marRight w:val="0"/>
                              <w:marTop w:val="0"/>
                              <w:marBottom w:val="0"/>
                              <w:divBdr>
                                <w:top w:val="none" w:sz="0" w:space="0" w:color="auto"/>
                                <w:left w:val="none" w:sz="0" w:space="0" w:color="auto"/>
                                <w:bottom w:val="none" w:sz="0" w:space="0" w:color="auto"/>
                                <w:right w:val="none" w:sz="0" w:space="0" w:color="auto"/>
                              </w:divBdr>
                              <w:divsChild>
                                <w:div w:id="1144354780">
                                  <w:marLeft w:val="0"/>
                                  <w:marRight w:val="0"/>
                                  <w:marTop w:val="0"/>
                                  <w:marBottom w:val="0"/>
                                  <w:divBdr>
                                    <w:top w:val="none" w:sz="0" w:space="0" w:color="auto"/>
                                    <w:left w:val="none" w:sz="0" w:space="0" w:color="auto"/>
                                    <w:bottom w:val="none" w:sz="0" w:space="0" w:color="auto"/>
                                    <w:right w:val="none" w:sz="0" w:space="0" w:color="auto"/>
                                  </w:divBdr>
                                  <w:divsChild>
                                    <w:div w:id="256716628">
                                      <w:marLeft w:val="0"/>
                                      <w:marRight w:val="0"/>
                                      <w:marTop w:val="0"/>
                                      <w:marBottom w:val="0"/>
                                      <w:divBdr>
                                        <w:top w:val="none" w:sz="0" w:space="0" w:color="auto"/>
                                        <w:left w:val="none" w:sz="0" w:space="0" w:color="auto"/>
                                        <w:bottom w:val="none" w:sz="0" w:space="0" w:color="auto"/>
                                        <w:right w:val="none" w:sz="0" w:space="0" w:color="auto"/>
                                      </w:divBdr>
                                      <w:divsChild>
                                        <w:div w:id="391512238">
                                          <w:marLeft w:val="0"/>
                                          <w:marRight w:val="0"/>
                                          <w:marTop w:val="0"/>
                                          <w:marBottom w:val="0"/>
                                          <w:divBdr>
                                            <w:top w:val="none" w:sz="0" w:space="0" w:color="auto"/>
                                            <w:left w:val="none" w:sz="0" w:space="0" w:color="auto"/>
                                            <w:bottom w:val="none" w:sz="0" w:space="0" w:color="auto"/>
                                            <w:right w:val="none" w:sz="0" w:space="0" w:color="auto"/>
                                          </w:divBdr>
                                          <w:divsChild>
                                            <w:div w:id="432476845">
                                              <w:marLeft w:val="0"/>
                                              <w:marRight w:val="0"/>
                                              <w:marTop w:val="0"/>
                                              <w:marBottom w:val="0"/>
                                              <w:divBdr>
                                                <w:top w:val="none" w:sz="0" w:space="0" w:color="auto"/>
                                                <w:left w:val="none" w:sz="0" w:space="0" w:color="auto"/>
                                                <w:bottom w:val="none" w:sz="0" w:space="0" w:color="auto"/>
                                                <w:right w:val="none" w:sz="0" w:space="0" w:color="auto"/>
                                              </w:divBdr>
                                              <w:divsChild>
                                                <w:div w:id="342098124">
                                                  <w:marLeft w:val="0"/>
                                                  <w:marRight w:val="0"/>
                                                  <w:marTop w:val="0"/>
                                                  <w:marBottom w:val="0"/>
                                                  <w:divBdr>
                                                    <w:top w:val="none" w:sz="0" w:space="0" w:color="auto"/>
                                                    <w:left w:val="none" w:sz="0" w:space="0" w:color="auto"/>
                                                    <w:bottom w:val="none" w:sz="0" w:space="0" w:color="auto"/>
                                                    <w:right w:val="none" w:sz="0" w:space="0" w:color="auto"/>
                                                  </w:divBdr>
                                                  <w:divsChild>
                                                    <w:div w:id="240146235">
                                                      <w:marLeft w:val="0"/>
                                                      <w:marRight w:val="0"/>
                                                      <w:marTop w:val="0"/>
                                                      <w:marBottom w:val="0"/>
                                                      <w:divBdr>
                                                        <w:top w:val="none" w:sz="0" w:space="0" w:color="auto"/>
                                                        <w:left w:val="none" w:sz="0" w:space="0" w:color="auto"/>
                                                        <w:bottom w:val="none" w:sz="0" w:space="0" w:color="auto"/>
                                                        <w:right w:val="none" w:sz="0" w:space="0" w:color="auto"/>
                                                      </w:divBdr>
                                                      <w:divsChild>
                                                        <w:div w:id="12389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545345">
      <w:bodyDiv w:val="1"/>
      <w:marLeft w:val="0"/>
      <w:marRight w:val="0"/>
      <w:marTop w:val="0"/>
      <w:marBottom w:val="0"/>
      <w:divBdr>
        <w:top w:val="none" w:sz="0" w:space="0" w:color="auto"/>
        <w:left w:val="none" w:sz="0" w:space="0" w:color="auto"/>
        <w:bottom w:val="none" w:sz="0" w:space="0" w:color="auto"/>
        <w:right w:val="none" w:sz="0" w:space="0" w:color="auto"/>
      </w:divBdr>
      <w:divsChild>
        <w:div w:id="2031951664">
          <w:marLeft w:val="0"/>
          <w:marRight w:val="0"/>
          <w:marTop w:val="0"/>
          <w:marBottom w:val="0"/>
          <w:divBdr>
            <w:top w:val="none" w:sz="0" w:space="0" w:color="auto"/>
            <w:left w:val="none" w:sz="0" w:space="0" w:color="auto"/>
            <w:bottom w:val="none" w:sz="0" w:space="0" w:color="auto"/>
            <w:right w:val="none" w:sz="0" w:space="0" w:color="auto"/>
          </w:divBdr>
          <w:divsChild>
            <w:div w:id="696740608">
              <w:marLeft w:val="0"/>
              <w:marRight w:val="0"/>
              <w:marTop w:val="0"/>
              <w:marBottom w:val="0"/>
              <w:divBdr>
                <w:top w:val="none" w:sz="0" w:space="0" w:color="auto"/>
                <w:left w:val="none" w:sz="0" w:space="0" w:color="auto"/>
                <w:bottom w:val="none" w:sz="0" w:space="0" w:color="auto"/>
                <w:right w:val="none" w:sz="0" w:space="0" w:color="auto"/>
              </w:divBdr>
              <w:divsChild>
                <w:div w:id="1485968663">
                  <w:marLeft w:val="0"/>
                  <w:marRight w:val="0"/>
                  <w:marTop w:val="0"/>
                  <w:marBottom w:val="0"/>
                  <w:divBdr>
                    <w:top w:val="none" w:sz="0" w:space="0" w:color="auto"/>
                    <w:left w:val="none" w:sz="0" w:space="0" w:color="auto"/>
                    <w:bottom w:val="none" w:sz="0" w:space="0" w:color="auto"/>
                    <w:right w:val="none" w:sz="0" w:space="0" w:color="auto"/>
                  </w:divBdr>
                  <w:divsChild>
                    <w:div w:id="2090344980">
                      <w:marLeft w:val="0"/>
                      <w:marRight w:val="0"/>
                      <w:marTop w:val="0"/>
                      <w:marBottom w:val="0"/>
                      <w:divBdr>
                        <w:top w:val="none" w:sz="0" w:space="0" w:color="auto"/>
                        <w:left w:val="none" w:sz="0" w:space="0" w:color="auto"/>
                        <w:bottom w:val="none" w:sz="0" w:space="0" w:color="auto"/>
                        <w:right w:val="none" w:sz="0" w:space="0" w:color="auto"/>
                      </w:divBdr>
                      <w:divsChild>
                        <w:div w:id="1904825587">
                          <w:marLeft w:val="0"/>
                          <w:marRight w:val="0"/>
                          <w:marTop w:val="0"/>
                          <w:marBottom w:val="0"/>
                          <w:divBdr>
                            <w:top w:val="none" w:sz="0" w:space="0" w:color="auto"/>
                            <w:left w:val="none" w:sz="0" w:space="0" w:color="auto"/>
                            <w:bottom w:val="none" w:sz="0" w:space="0" w:color="auto"/>
                            <w:right w:val="none" w:sz="0" w:space="0" w:color="auto"/>
                          </w:divBdr>
                          <w:divsChild>
                            <w:div w:id="1743985705">
                              <w:marLeft w:val="0"/>
                              <w:marRight w:val="0"/>
                              <w:marTop w:val="0"/>
                              <w:marBottom w:val="0"/>
                              <w:divBdr>
                                <w:top w:val="none" w:sz="0" w:space="0" w:color="auto"/>
                                <w:left w:val="none" w:sz="0" w:space="0" w:color="auto"/>
                                <w:bottom w:val="none" w:sz="0" w:space="0" w:color="auto"/>
                                <w:right w:val="none" w:sz="0" w:space="0" w:color="auto"/>
                              </w:divBdr>
                              <w:divsChild>
                                <w:div w:id="1851293617">
                                  <w:marLeft w:val="0"/>
                                  <w:marRight w:val="0"/>
                                  <w:marTop w:val="0"/>
                                  <w:marBottom w:val="0"/>
                                  <w:divBdr>
                                    <w:top w:val="none" w:sz="0" w:space="0" w:color="auto"/>
                                    <w:left w:val="none" w:sz="0" w:space="0" w:color="auto"/>
                                    <w:bottom w:val="none" w:sz="0" w:space="0" w:color="auto"/>
                                    <w:right w:val="none" w:sz="0" w:space="0" w:color="auto"/>
                                  </w:divBdr>
                                  <w:divsChild>
                                    <w:div w:id="1082750680">
                                      <w:marLeft w:val="0"/>
                                      <w:marRight w:val="0"/>
                                      <w:marTop w:val="0"/>
                                      <w:marBottom w:val="0"/>
                                      <w:divBdr>
                                        <w:top w:val="none" w:sz="0" w:space="0" w:color="auto"/>
                                        <w:left w:val="none" w:sz="0" w:space="0" w:color="auto"/>
                                        <w:bottom w:val="none" w:sz="0" w:space="0" w:color="auto"/>
                                        <w:right w:val="none" w:sz="0" w:space="0" w:color="auto"/>
                                      </w:divBdr>
                                      <w:divsChild>
                                        <w:div w:id="1132406895">
                                          <w:marLeft w:val="0"/>
                                          <w:marRight w:val="0"/>
                                          <w:marTop w:val="0"/>
                                          <w:marBottom w:val="0"/>
                                          <w:divBdr>
                                            <w:top w:val="none" w:sz="0" w:space="0" w:color="auto"/>
                                            <w:left w:val="none" w:sz="0" w:space="0" w:color="auto"/>
                                            <w:bottom w:val="none" w:sz="0" w:space="0" w:color="auto"/>
                                            <w:right w:val="none" w:sz="0" w:space="0" w:color="auto"/>
                                          </w:divBdr>
                                          <w:divsChild>
                                            <w:div w:id="809521016">
                                              <w:marLeft w:val="0"/>
                                              <w:marRight w:val="0"/>
                                              <w:marTop w:val="0"/>
                                              <w:marBottom w:val="0"/>
                                              <w:divBdr>
                                                <w:top w:val="none" w:sz="0" w:space="0" w:color="auto"/>
                                                <w:left w:val="none" w:sz="0" w:space="0" w:color="auto"/>
                                                <w:bottom w:val="none" w:sz="0" w:space="0" w:color="auto"/>
                                                <w:right w:val="none" w:sz="0" w:space="0" w:color="auto"/>
                                              </w:divBdr>
                                              <w:divsChild>
                                                <w:div w:id="1254704377">
                                                  <w:marLeft w:val="0"/>
                                                  <w:marRight w:val="0"/>
                                                  <w:marTop w:val="0"/>
                                                  <w:marBottom w:val="0"/>
                                                  <w:divBdr>
                                                    <w:top w:val="none" w:sz="0" w:space="0" w:color="auto"/>
                                                    <w:left w:val="none" w:sz="0" w:space="0" w:color="auto"/>
                                                    <w:bottom w:val="none" w:sz="0" w:space="0" w:color="auto"/>
                                                    <w:right w:val="none" w:sz="0" w:space="0" w:color="auto"/>
                                                  </w:divBdr>
                                                  <w:divsChild>
                                                    <w:div w:id="1903100543">
                                                      <w:marLeft w:val="0"/>
                                                      <w:marRight w:val="0"/>
                                                      <w:marTop w:val="0"/>
                                                      <w:marBottom w:val="0"/>
                                                      <w:divBdr>
                                                        <w:top w:val="none" w:sz="0" w:space="0" w:color="auto"/>
                                                        <w:left w:val="none" w:sz="0" w:space="0" w:color="auto"/>
                                                        <w:bottom w:val="none" w:sz="0" w:space="0" w:color="auto"/>
                                                        <w:right w:val="none" w:sz="0" w:space="0" w:color="auto"/>
                                                      </w:divBdr>
                                                      <w:divsChild>
                                                        <w:div w:id="193026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1090288">
      <w:bodyDiv w:val="1"/>
      <w:marLeft w:val="0"/>
      <w:marRight w:val="0"/>
      <w:marTop w:val="0"/>
      <w:marBottom w:val="0"/>
      <w:divBdr>
        <w:top w:val="none" w:sz="0" w:space="0" w:color="auto"/>
        <w:left w:val="none" w:sz="0" w:space="0" w:color="auto"/>
        <w:bottom w:val="none" w:sz="0" w:space="0" w:color="auto"/>
        <w:right w:val="none" w:sz="0" w:space="0" w:color="auto"/>
      </w:divBdr>
    </w:div>
    <w:div w:id="273755842">
      <w:bodyDiv w:val="1"/>
      <w:marLeft w:val="0"/>
      <w:marRight w:val="0"/>
      <w:marTop w:val="0"/>
      <w:marBottom w:val="0"/>
      <w:divBdr>
        <w:top w:val="none" w:sz="0" w:space="0" w:color="auto"/>
        <w:left w:val="none" w:sz="0" w:space="0" w:color="auto"/>
        <w:bottom w:val="none" w:sz="0" w:space="0" w:color="auto"/>
        <w:right w:val="none" w:sz="0" w:space="0" w:color="auto"/>
      </w:divBdr>
    </w:div>
    <w:div w:id="366104724">
      <w:bodyDiv w:val="1"/>
      <w:marLeft w:val="0"/>
      <w:marRight w:val="0"/>
      <w:marTop w:val="0"/>
      <w:marBottom w:val="0"/>
      <w:divBdr>
        <w:top w:val="none" w:sz="0" w:space="0" w:color="auto"/>
        <w:left w:val="none" w:sz="0" w:space="0" w:color="auto"/>
        <w:bottom w:val="none" w:sz="0" w:space="0" w:color="auto"/>
        <w:right w:val="none" w:sz="0" w:space="0" w:color="auto"/>
      </w:divBdr>
    </w:div>
    <w:div w:id="403457282">
      <w:bodyDiv w:val="1"/>
      <w:marLeft w:val="0"/>
      <w:marRight w:val="0"/>
      <w:marTop w:val="0"/>
      <w:marBottom w:val="0"/>
      <w:divBdr>
        <w:top w:val="none" w:sz="0" w:space="0" w:color="auto"/>
        <w:left w:val="none" w:sz="0" w:space="0" w:color="auto"/>
        <w:bottom w:val="none" w:sz="0" w:space="0" w:color="auto"/>
        <w:right w:val="none" w:sz="0" w:space="0" w:color="auto"/>
      </w:divBdr>
    </w:div>
    <w:div w:id="426581666">
      <w:bodyDiv w:val="1"/>
      <w:marLeft w:val="0"/>
      <w:marRight w:val="0"/>
      <w:marTop w:val="0"/>
      <w:marBottom w:val="0"/>
      <w:divBdr>
        <w:top w:val="none" w:sz="0" w:space="0" w:color="auto"/>
        <w:left w:val="none" w:sz="0" w:space="0" w:color="auto"/>
        <w:bottom w:val="none" w:sz="0" w:space="0" w:color="auto"/>
        <w:right w:val="none" w:sz="0" w:space="0" w:color="auto"/>
      </w:divBdr>
    </w:div>
    <w:div w:id="479269164">
      <w:bodyDiv w:val="1"/>
      <w:marLeft w:val="0"/>
      <w:marRight w:val="0"/>
      <w:marTop w:val="0"/>
      <w:marBottom w:val="0"/>
      <w:divBdr>
        <w:top w:val="none" w:sz="0" w:space="0" w:color="auto"/>
        <w:left w:val="none" w:sz="0" w:space="0" w:color="auto"/>
        <w:bottom w:val="none" w:sz="0" w:space="0" w:color="auto"/>
        <w:right w:val="none" w:sz="0" w:space="0" w:color="auto"/>
      </w:divBdr>
    </w:div>
    <w:div w:id="485391150">
      <w:bodyDiv w:val="1"/>
      <w:marLeft w:val="0"/>
      <w:marRight w:val="0"/>
      <w:marTop w:val="0"/>
      <w:marBottom w:val="0"/>
      <w:divBdr>
        <w:top w:val="none" w:sz="0" w:space="0" w:color="auto"/>
        <w:left w:val="none" w:sz="0" w:space="0" w:color="auto"/>
        <w:bottom w:val="none" w:sz="0" w:space="0" w:color="auto"/>
        <w:right w:val="none" w:sz="0" w:space="0" w:color="auto"/>
      </w:divBdr>
    </w:div>
    <w:div w:id="522478718">
      <w:bodyDiv w:val="1"/>
      <w:marLeft w:val="0"/>
      <w:marRight w:val="0"/>
      <w:marTop w:val="0"/>
      <w:marBottom w:val="0"/>
      <w:divBdr>
        <w:top w:val="none" w:sz="0" w:space="0" w:color="auto"/>
        <w:left w:val="none" w:sz="0" w:space="0" w:color="auto"/>
        <w:bottom w:val="none" w:sz="0" w:space="0" w:color="auto"/>
        <w:right w:val="none" w:sz="0" w:space="0" w:color="auto"/>
      </w:divBdr>
    </w:div>
    <w:div w:id="590747074">
      <w:bodyDiv w:val="1"/>
      <w:marLeft w:val="0"/>
      <w:marRight w:val="0"/>
      <w:marTop w:val="0"/>
      <w:marBottom w:val="0"/>
      <w:divBdr>
        <w:top w:val="none" w:sz="0" w:space="0" w:color="auto"/>
        <w:left w:val="none" w:sz="0" w:space="0" w:color="auto"/>
        <w:bottom w:val="none" w:sz="0" w:space="0" w:color="auto"/>
        <w:right w:val="none" w:sz="0" w:space="0" w:color="auto"/>
      </w:divBdr>
    </w:div>
    <w:div w:id="591940086">
      <w:bodyDiv w:val="1"/>
      <w:marLeft w:val="0"/>
      <w:marRight w:val="0"/>
      <w:marTop w:val="0"/>
      <w:marBottom w:val="0"/>
      <w:divBdr>
        <w:top w:val="none" w:sz="0" w:space="0" w:color="auto"/>
        <w:left w:val="none" w:sz="0" w:space="0" w:color="auto"/>
        <w:bottom w:val="none" w:sz="0" w:space="0" w:color="auto"/>
        <w:right w:val="none" w:sz="0" w:space="0" w:color="auto"/>
      </w:divBdr>
    </w:div>
    <w:div w:id="655189362">
      <w:bodyDiv w:val="1"/>
      <w:marLeft w:val="0"/>
      <w:marRight w:val="0"/>
      <w:marTop w:val="0"/>
      <w:marBottom w:val="0"/>
      <w:divBdr>
        <w:top w:val="none" w:sz="0" w:space="0" w:color="auto"/>
        <w:left w:val="none" w:sz="0" w:space="0" w:color="auto"/>
        <w:bottom w:val="none" w:sz="0" w:space="0" w:color="auto"/>
        <w:right w:val="none" w:sz="0" w:space="0" w:color="auto"/>
      </w:divBdr>
      <w:divsChild>
        <w:div w:id="449279245">
          <w:marLeft w:val="0"/>
          <w:marRight w:val="0"/>
          <w:marTop w:val="0"/>
          <w:marBottom w:val="0"/>
          <w:divBdr>
            <w:top w:val="none" w:sz="0" w:space="0" w:color="auto"/>
            <w:left w:val="none" w:sz="0" w:space="0" w:color="auto"/>
            <w:bottom w:val="none" w:sz="0" w:space="0" w:color="auto"/>
            <w:right w:val="none" w:sz="0" w:space="0" w:color="auto"/>
          </w:divBdr>
          <w:divsChild>
            <w:div w:id="1210648941">
              <w:marLeft w:val="0"/>
              <w:marRight w:val="0"/>
              <w:marTop w:val="0"/>
              <w:marBottom w:val="0"/>
              <w:divBdr>
                <w:top w:val="none" w:sz="0" w:space="0" w:color="auto"/>
                <w:left w:val="none" w:sz="0" w:space="0" w:color="auto"/>
                <w:bottom w:val="none" w:sz="0" w:space="0" w:color="auto"/>
                <w:right w:val="none" w:sz="0" w:space="0" w:color="auto"/>
              </w:divBdr>
              <w:divsChild>
                <w:div w:id="112973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7509">
      <w:bodyDiv w:val="1"/>
      <w:marLeft w:val="0"/>
      <w:marRight w:val="0"/>
      <w:marTop w:val="0"/>
      <w:marBottom w:val="0"/>
      <w:divBdr>
        <w:top w:val="none" w:sz="0" w:space="0" w:color="auto"/>
        <w:left w:val="none" w:sz="0" w:space="0" w:color="auto"/>
        <w:bottom w:val="none" w:sz="0" w:space="0" w:color="auto"/>
        <w:right w:val="none" w:sz="0" w:space="0" w:color="auto"/>
      </w:divBdr>
    </w:div>
    <w:div w:id="803423929">
      <w:bodyDiv w:val="1"/>
      <w:marLeft w:val="0"/>
      <w:marRight w:val="0"/>
      <w:marTop w:val="0"/>
      <w:marBottom w:val="0"/>
      <w:divBdr>
        <w:top w:val="none" w:sz="0" w:space="0" w:color="auto"/>
        <w:left w:val="none" w:sz="0" w:space="0" w:color="auto"/>
        <w:bottom w:val="none" w:sz="0" w:space="0" w:color="auto"/>
        <w:right w:val="none" w:sz="0" w:space="0" w:color="auto"/>
      </w:divBdr>
    </w:div>
    <w:div w:id="846362317">
      <w:bodyDiv w:val="1"/>
      <w:marLeft w:val="0"/>
      <w:marRight w:val="0"/>
      <w:marTop w:val="0"/>
      <w:marBottom w:val="0"/>
      <w:divBdr>
        <w:top w:val="none" w:sz="0" w:space="0" w:color="auto"/>
        <w:left w:val="none" w:sz="0" w:space="0" w:color="auto"/>
        <w:bottom w:val="none" w:sz="0" w:space="0" w:color="auto"/>
        <w:right w:val="none" w:sz="0" w:space="0" w:color="auto"/>
      </w:divBdr>
    </w:div>
    <w:div w:id="1094864707">
      <w:bodyDiv w:val="1"/>
      <w:marLeft w:val="0"/>
      <w:marRight w:val="0"/>
      <w:marTop w:val="0"/>
      <w:marBottom w:val="0"/>
      <w:divBdr>
        <w:top w:val="none" w:sz="0" w:space="0" w:color="auto"/>
        <w:left w:val="none" w:sz="0" w:space="0" w:color="auto"/>
        <w:bottom w:val="none" w:sz="0" w:space="0" w:color="auto"/>
        <w:right w:val="none" w:sz="0" w:space="0" w:color="auto"/>
      </w:divBdr>
    </w:div>
    <w:div w:id="1097096388">
      <w:bodyDiv w:val="1"/>
      <w:marLeft w:val="0"/>
      <w:marRight w:val="0"/>
      <w:marTop w:val="0"/>
      <w:marBottom w:val="0"/>
      <w:divBdr>
        <w:top w:val="none" w:sz="0" w:space="0" w:color="auto"/>
        <w:left w:val="none" w:sz="0" w:space="0" w:color="auto"/>
        <w:bottom w:val="none" w:sz="0" w:space="0" w:color="auto"/>
        <w:right w:val="none" w:sz="0" w:space="0" w:color="auto"/>
      </w:divBdr>
    </w:div>
    <w:div w:id="1128544369">
      <w:bodyDiv w:val="1"/>
      <w:marLeft w:val="0"/>
      <w:marRight w:val="0"/>
      <w:marTop w:val="0"/>
      <w:marBottom w:val="0"/>
      <w:divBdr>
        <w:top w:val="none" w:sz="0" w:space="0" w:color="auto"/>
        <w:left w:val="none" w:sz="0" w:space="0" w:color="auto"/>
        <w:bottom w:val="none" w:sz="0" w:space="0" w:color="auto"/>
        <w:right w:val="none" w:sz="0" w:space="0" w:color="auto"/>
      </w:divBdr>
    </w:div>
    <w:div w:id="1136526276">
      <w:bodyDiv w:val="1"/>
      <w:marLeft w:val="0"/>
      <w:marRight w:val="0"/>
      <w:marTop w:val="0"/>
      <w:marBottom w:val="0"/>
      <w:divBdr>
        <w:top w:val="none" w:sz="0" w:space="0" w:color="auto"/>
        <w:left w:val="none" w:sz="0" w:space="0" w:color="auto"/>
        <w:bottom w:val="none" w:sz="0" w:space="0" w:color="auto"/>
        <w:right w:val="none" w:sz="0" w:space="0" w:color="auto"/>
      </w:divBdr>
    </w:div>
    <w:div w:id="1325550725">
      <w:bodyDiv w:val="1"/>
      <w:marLeft w:val="0"/>
      <w:marRight w:val="0"/>
      <w:marTop w:val="0"/>
      <w:marBottom w:val="0"/>
      <w:divBdr>
        <w:top w:val="none" w:sz="0" w:space="0" w:color="auto"/>
        <w:left w:val="none" w:sz="0" w:space="0" w:color="auto"/>
        <w:bottom w:val="none" w:sz="0" w:space="0" w:color="auto"/>
        <w:right w:val="none" w:sz="0" w:space="0" w:color="auto"/>
      </w:divBdr>
    </w:div>
    <w:div w:id="1340429507">
      <w:bodyDiv w:val="1"/>
      <w:marLeft w:val="0"/>
      <w:marRight w:val="0"/>
      <w:marTop w:val="0"/>
      <w:marBottom w:val="0"/>
      <w:divBdr>
        <w:top w:val="none" w:sz="0" w:space="0" w:color="auto"/>
        <w:left w:val="none" w:sz="0" w:space="0" w:color="auto"/>
        <w:bottom w:val="none" w:sz="0" w:space="0" w:color="auto"/>
        <w:right w:val="none" w:sz="0" w:space="0" w:color="auto"/>
      </w:divBdr>
    </w:div>
    <w:div w:id="1403941130">
      <w:bodyDiv w:val="1"/>
      <w:marLeft w:val="0"/>
      <w:marRight w:val="0"/>
      <w:marTop w:val="0"/>
      <w:marBottom w:val="0"/>
      <w:divBdr>
        <w:top w:val="none" w:sz="0" w:space="0" w:color="auto"/>
        <w:left w:val="none" w:sz="0" w:space="0" w:color="auto"/>
        <w:bottom w:val="none" w:sz="0" w:space="0" w:color="auto"/>
        <w:right w:val="none" w:sz="0" w:space="0" w:color="auto"/>
      </w:divBdr>
    </w:div>
    <w:div w:id="1445273624">
      <w:bodyDiv w:val="1"/>
      <w:marLeft w:val="0"/>
      <w:marRight w:val="0"/>
      <w:marTop w:val="0"/>
      <w:marBottom w:val="0"/>
      <w:divBdr>
        <w:top w:val="none" w:sz="0" w:space="0" w:color="auto"/>
        <w:left w:val="none" w:sz="0" w:space="0" w:color="auto"/>
        <w:bottom w:val="none" w:sz="0" w:space="0" w:color="auto"/>
        <w:right w:val="none" w:sz="0" w:space="0" w:color="auto"/>
      </w:divBdr>
      <w:divsChild>
        <w:div w:id="219705594">
          <w:marLeft w:val="0"/>
          <w:marRight w:val="0"/>
          <w:marTop w:val="0"/>
          <w:marBottom w:val="0"/>
          <w:divBdr>
            <w:top w:val="none" w:sz="0" w:space="0" w:color="auto"/>
            <w:left w:val="none" w:sz="0" w:space="0" w:color="auto"/>
            <w:bottom w:val="none" w:sz="0" w:space="0" w:color="auto"/>
            <w:right w:val="none" w:sz="0" w:space="0" w:color="auto"/>
          </w:divBdr>
          <w:divsChild>
            <w:div w:id="503016449">
              <w:marLeft w:val="0"/>
              <w:marRight w:val="0"/>
              <w:marTop w:val="0"/>
              <w:marBottom w:val="0"/>
              <w:divBdr>
                <w:top w:val="none" w:sz="0" w:space="0" w:color="auto"/>
                <w:left w:val="none" w:sz="0" w:space="0" w:color="auto"/>
                <w:bottom w:val="none" w:sz="0" w:space="0" w:color="auto"/>
                <w:right w:val="none" w:sz="0" w:space="0" w:color="auto"/>
              </w:divBdr>
              <w:divsChild>
                <w:div w:id="728110219">
                  <w:marLeft w:val="0"/>
                  <w:marRight w:val="0"/>
                  <w:marTop w:val="0"/>
                  <w:marBottom w:val="0"/>
                  <w:divBdr>
                    <w:top w:val="none" w:sz="0" w:space="0" w:color="auto"/>
                    <w:left w:val="none" w:sz="0" w:space="0" w:color="auto"/>
                    <w:bottom w:val="none" w:sz="0" w:space="0" w:color="auto"/>
                    <w:right w:val="none" w:sz="0" w:space="0" w:color="auto"/>
                  </w:divBdr>
                  <w:divsChild>
                    <w:div w:id="1375151965">
                      <w:marLeft w:val="0"/>
                      <w:marRight w:val="0"/>
                      <w:marTop w:val="0"/>
                      <w:marBottom w:val="0"/>
                      <w:divBdr>
                        <w:top w:val="none" w:sz="0" w:space="0" w:color="auto"/>
                        <w:left w:val="none" w:sz="0" w:space="0" w:color="auto"/>
                        <w:bottom w:val="none" w:sz="0" w:space="0" w:color="auto"/>
                        <w:right w:val="none" w:sz="0" w:space="0" w:color="auto"/>
                      </w:divBdr>
                      <w:divsChild>
                        <w:div w:id="1936593306">
                          <w:marLeft w:val="0"/>
                          <w:marRight w:val="0"/>
                          <w:marTop w:val="0"/>
                          <w:marBottom w:val="0"/>
                          <w:divBdr>
                            <w:top w:val="none" w:sz="0" w:space="0" w:color="auto"/>
                            <w:left w:val="none" w:sz="0" w:space="0" w:color="auto"/>
                            <w:bottom w:val="none" w:sz="0" w:space="0" w:color="auto"/>
                            <w:right w:val="none" w:sz="0" w:space="0" w:color="auto"/>
                          </w:divBdr>
                          <w:divsChild>
                            <w:div w:id="161166896">
                              <w:marLeft w:val="0"/>
                              <w:marRight w:val="0"/>
                              <w:marTop w:val="0"/>
                              <w:marBottom w:val="0"/>
                              <w:divBdr>
                                <w:top w:val="none" w:sz="0" w:space="0" w:color="auto"/>
                                <w:left w:val="none" w:sz="0" w:space="0" w:color="auto"/>
                                <w:bottom w:val="none" w:sz="0" w:space="0" w:color="auto"/>
                                <w:right w:val="none" w:sz="0" w:space="0" w:color="auto"/>
                              </w:divBdr>
                              <w:divsChild>
                                <w:div w:id="661546148">
                                  <w:marLeft w:val="0"/>
                                  <w:marRight w:val="0"/>
                                  <w:marTop w:val="0"/>
                                  <w:marBottom w:val="0"/>
                                  <w:divBdr>
                                    <w:top w:val="none" w:sz="0" w:space="0" w:color="auto"/>
                                    <w:left w:val="none" w:sz="0" w:space="0" w:color="auto"/>
                                    <w:bottom w:val="none" w:sz="0" w:space="0" w:color="auto"/>
                                    <w:right w:val="none" w:sz="0" w:space="0" w:color="auto"/>
                                  </w:divBdr>
                                  <w:divsChild>
                                    <w:div w:id="390271372">
                                      <w:marLeft w:val="0"/>
                                      <w:marRight w:val="0"/>
                                      <w:marTop w:val="0"/>
                                      <w:marBottom w:val="0"/>
                                      <w:divBdr>
                                        <w:top w:val="none" w:sz="0" w:space="0" w:color="auto"/>
                                        <w:left w:val="none" w:sz="0" w:space="0" w:color="auto"/>
                                        <w:bottom w:val="none" w:sz="0" w:space="0" w:color="auto"/>
                                        <w:right w:val="none" w:sz="0" w:space="0" w:color="auto"/>
                                      </w:divBdr>
                                      <w:divsChild>
                                        <w:div w:id="2071148678">
                                          <w:marLeft w:val="0"/>
                                          <w:marRight w:val="0"/>
                                          <w:marTop w:val="0"/>
                                          <w:marBottom w:val="0"/>
                                          <w:divBdr>
                                            <w:top w:val="none" w:sz="0" w:space="0" w:color="auto"/>
                                            <w:left w:val="none" w:sz="0" w:space="0" w:color="auto"/>
                                            <w:bottom w:val="none" w:sz="0" w:space="0" w:color="auto"/>
                                            <w:right w:val="none" w:sz="0" w:space="0" w:color="auto"/>
                                          </w:divBdr>
                                          <w:divsChild>
                                            <w:div w:id="722680592">
                                              <w:marLeft w:val="0"/>
                                              <w:marRight w:val="0"/>
                                              <w:marTop w:val="0"/>
                                              <w:marBottom w:val="0"/>
                                              <w:divBdr>
                                                <w:top w:val="none" w:sz="0" w:space="0" w:color="auto"/>
                                                <w:left w:val="none" w:sz="0" w:space="0" w:color="auto"/>
                                                <w:bottom w:val="none" w:sz="0" w:space="0" w:color="auto"/>
                                                <w:right w:val="none" w:sz="0" w:space="0" w:color="auto"/>
                                              </w:divBdr>
                                              <w:divsChild>
                                                <w:div w:id="991131794">
                                                  <w:marLeft w:val="0"/>
                                                  <w:marRight w:val="0"/>
                                                  <w:marTop w:val="0"/>
                                                  <w:marBottom w:val="0"/>
                                                  <w:divBdr>
                                                    <w:top w:val="none" w:sz="0" w:space="0" w:color="auto"/>
                                                    <w:left w:val="none" w:sz="0" w:space="0" w:color="auto"/>
                                                    <w:bottom w:val="none" w:sz="0" w:space="0" w:color="auto"/>
                                                    <w:right w:val="none" w:sz="0" w:space="0" w:color="auto"/>
                                                  </w:divBdr>
                                                  <w:divsChild>
                                                    <w:div w:id="1917277702">
                                                      <w:marLeft w:val="0"/>
                                                      <w:marRight w:val="0"/>
                                                      <w:marTop w:val="0"/>
                                                      <w:marBottom w:val="0"/>
                                                      <w:divBdr>
                                                        <w:top w:val="none" w:sz="0" w:space="0" w:color="auto"/>
                                                        <w:left w:val="none" w:sz="0" w:space="0" w:color="auto"/>
                                                        <w:bottom w:val="none" w:sz="0" w:space="0" w:color="auto"/>
                                                        <w:right w:val="none" w:sz="0" w:space="0" w:color="auto"/>
                                                      </w:divBdr>
                                                      <w:divsChild>
                                                        <w:div w:id="211748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3495934">
      <w:bodyDiv w:val="1"/>
      <w:marLeft w:val="0"/>
      <w:marRight w:val="0"/>
      <w:marTop w:val="0"/>
      <w:marBottom w:val="0"/>
      <w:divBdr>
        <w:top w:val="none" w:sz="0" w:space="0" w:color="auto"/>
        <w:left w:val="none" w:sz="0" w:space="0" w:color="auto"/>
        <w:bottom w:val="none" w:sz="0" w:space="0" w:color="auto"/>
        <w:right w:val="none" w:sz="0" w:space="0" w:color="auto"/>
      </w:divBdr>
    </w:div>
    <w:div w:id="1492217132">
      <w:bodyDiv w:val="1"/>
      <w:marLeft w:val="0"/>
      <w:marRight w:val="0"/>
      <w:marTop w:val="0"/>
      <w:marBottom w:val="0"/>
      <w:divBdr>
        <w:top w:val="none" w:sz="0" w:space="0" w:color="auto"/>
        <w:left w:val="none" w:sz="0" w:space="0" w:color="auto"/>
        <w:bottom w:val="none" w:sz="0" w:space="0" w:color="auto"/>
        <w:right w:val="none" w:sz="0" w:space="0" w:color="auto"/>
      </w:divBdr>
    </w:div>
    <w:div w:id="1520042865">
      <w:bodyDiv w:val="1"/>
      <w:marLeft w:val="0"/>
      <w:marRight w:val="0"/>
      <w:marTop w:val="0"/>
      <w:marBottom w:val="0"/>
      <w:divBdr>
        <w:top w:val="none" w:sz="0" w:space="0" w:color="auto"/>
        <w:left w:val="none" w:sz="0" w:space="0" w:color="auto"/>
        <w:bottom w:val="none" w:sz="0" w:space="0" w:color="auto"/>
        <w:right w:val="none" w:sz="0" w:space="0" w:color="auto"/>
      </w:divBdr>
    </w:div>
    <w:div w:id="1558318041">
      <w:bodyDiv w:val="1"/>
      <w:marLeft w:val="0"/>
      <w:marRight w:val="0"/>
      <w:marTop w:val="0"/>
      <w:marBottom w:val="0"/>
      <w:divBdr>
        <w:top w:val="none" w:sz="0" w:space="0" w:color="auto"/>
        <w:left w:val="none" w:sz="0" w:space="0" w:color="auto"/>
        <w:bottom w:val="none" w:sz="0" w:space="0" w:color="auto"/>
        <w:right w:val="none" w:sz="0" w:space="0" w:color="auto"/>
      </w:divBdr>
    </w:div>
    <w:div w:id="1707558417">
      <w:bodyDiv w:val="1"/>
      <w:marLeft w:val="0"/>
      <w:marRight w:val="0"/>
      <w:marTop w:val="0"/>
      <w:marBottom w:val="0"/>
      <w:divBdr>
        <w:top w:val="none" w:sz="0" w:space="0" w:color="auto"/>
        <w:left w:val="none" w:sz="0" w:space="0" w:color="auto"/>
        <w:bottom w:val="none" w:sz="0" w:space="0" w:color="auto"/>
        <w:right w:val="none" w:sz="0" w:space="0" w:color="auto"/>
      </w:divBdr>
    </w:div>
    <w:div w:id="1757551592">
      <w:bodyDiv w:val="1"/>
      <w:marLeft w:val="0"/>
      <w:marRight w:val="0"/>
      <w:marTop w:val="0"/>
      <w:marBottom w:val="0"/>
      <w:divBdr>
        <w:top w:val="none" w:sz="0" w:space="0" w:color="auto"/>
        <w:left w:val="none" w:sz="0" w:space="0" w:color="auto"/>
        <w:bottom w:val="none" w:sz="0" w:space="0" w:color="auto"/>
        <w:right w:val="none" w:sz="0" w:space="0" w:color="auto"/>
      </w:divBdr>
    </w:div>
    <w:div w:id="1763449579">
      <w:bodyDiv w:val="1"/>
      <w:marLeft w:val="0"/>
      <w:marRight w:val="0"/>
      <w:marTop w:val="0"/>
      <w:marBottom w:val="0"/>
      <w:divBdr>
        <w:top w:val="none" w:sz="0" w:space="0" w:color="auto"/>
        <w:left w:val="none" w:sz="0" w:space="0" w:color="auto"/>
        <w:bottom w:val="none" w:sz="0" w:space="0" w:color="auto"/>
        <w:right w:val="none" w:sz="0" w:space="0" w:color="auto"/>
      </w:divBdr>
    </w:div>
    <w:div w:id="1787576652">
      <w:bodyDiv w:val="1"/>
      <w:marLeft w:val="0"/>
      <w:marRight w:val="0"/>
      <w:marTop w:val="0"/>
      <w:marBottom w:val="0"/>
      <w:divBdr>
        <w:top w:val="none" w:sz="0" w:space="0" w:color="auto"/>
        <w:left w:val="none" w:sz="0" w:space="0" w:color="auto"/>
        <w:bottom w:val="none" w:sz="0" w:space="0" w:color="auto"/>
        <w:right w:val="none" w:sz="0" w:space="0" w:color="auto"/>
      </w:divBdr>
    </w:div>
    <w:div w:id="1835994214">
      <w:bodyDiv w:val="1"/>
      <w:marLeft w:val="0"/>
      <w:marRight w:val="0"/>
      <w:marTop w:val="0"/>
      <w:marBottom w:val="0"/>
      <w:divBdr>
        <w:top w:val="none" w:sz="0" w:space="0" w:color="auto"/>
        <w:left w:val="none" w:sz="0" w:space="0" w:color="auto"/>
        <w:bottom w:val="none" w:sz="0" w:space="0" w:color="auto"/>
        <w:right w:val="none" w:sz="0" w:space="0" w:color="auto"/>
      </w:divBdr>
    </w:div>
    <w:div w:id="1872834697">
      <w:bodyDiv w:val="1"/>
      <w:marLeft w:val="0"/>
      <w:marRight w:val="0"/>
      <w:marTop w:val="0"/>
      <w:marBottom w:val="0"/>
      <w:divBdr>
        <w:top w:val="none" w:sz="0" w:space="0" w:color="auto"/>
        <w:left w:val="none" w:sz="0" w:space="0" w:color="auto"/>
        <w:bottom w:val="none" w:sz="0" w:space="0" w:color="auto"/>
        <w:right w:val="none" w:sz="0" w:space="0" w:color="auto"/>
      </w:divBdr>
    </w:div>
    <w:div w:id="189688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201D1-75B4-4D2C-8C44-53275702B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1748</Words>
  <Characters>9970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Normal.dot</vt:lpstr>
    </vt:vector>
  </TitlesOfParts>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dc:title>
  <dc:subject/>
  <dc:creator/>
  <cp:keywords/>
  <cp:lastModifiedBy/>
  <cp:revision>1</cp:revision>
  <cp:lastPrinted>2008-02-29T01:26:00Z</cp:lastPrinted>
  <dcterms:created xsi:type="dcterms:W3CDTF">2020-04-23T00:27:00Z</dcterms:created>
  <dcterms:modified xsi:type="dcterms:W3CDTF">2020-04-23T00:27:00Z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CheckForSharePointFields">
    <vt:lpwstr>false</vt:lpwstr>
  </property>
  <property fmtid="{D5CDD505-2E9C-101B-9397-08002B2CF9AE}" pid="4" name="ObjectiveRef">
    <vt:lpwstr>Removed</vt:lpwstr>
  </property>
  <property fmtid="{D5CDD505-2E9C-101B-9397-08002B2CF9AE}" pid="5" name="LeadingLawyers">
    <vt:lpwstr>Removed</vt:lpwstr>
  </property>
</Properties>
</file>