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561330" w:rsidRDefault="00561330" w:rsidP="00554826">
      <w:pPr>
        <w:pStyle w:val="ShortT"/>
      </w:pPr>
      <w:r w:rsidRPr="00561330">
        <w:t>Therapeutic Goods</w:t>
      </w:r>
      <w:r w:rsidR="00554826" w:rsidRPr="00561330">
        <w:t xml:space="preserve"> (</w:t>
      </w:r>
      <w:r w:rsidR="008573CD">
        <w:t>M</w:t>
      </w:r>
      <w:r>
        <w:t xml:space="preserve">edical </w:t>
      </w:r>
      <w:r w:rsidR="008573CD">
        <w:t>D</w:t>
      </w:r>
      <w:r>
        <w:t>evices</w:t>
      </w:r>
      <w:r w:rsidR="00B323EC">
        <w:t>—Specified Articles</w:t>
      </w:r>
      <w:r w:rsidR="00554826" w:rsidRPr="00561330">
        <w:t xml:space="preserve">) </w:t>
      </w:r>
      <w:r w:rsidR="00B323EC">
        <w:t xml:space="preserve">Instrument </w:t>
      </w:r>
      <w:r w:rsidRPr="00561330">
        <w:t>2020</w:t>
      </w:r>
    </w:p>
    <w:p w:rsidR="00554826" w:rsidRPr="00561330" w:rsidRDefault="00554826" w:rsidP="00554826">
      <w:pPr>
        <w:pStyle w:val="SignCoverPageStart"/>
        <w:spacing w:before="240"/>
        <w:ind w:right="91"/>
        <w:rPr>
          <w:szCs w:val="22"/>
        </w:rPr>
      </w:pPr>
      <w:r w:rsidRPr="00561330">
        <w:rPr>
          <w:szCs w:val="22"/>
        </w:rPr>
        <w:t xml:space="preserve">I, </w:t>
      </w:r>
      <w:r w:rsidR="00561330" w:rsidRPr="00561330">
        <w:rPr>
          <w:szCs w:val="22"/>
        </w:rPr>
        <w:t>Tracey Duffy</w:t>
      </w:r>
      <w:r w:rsidRPr="00561330">
        <w:rPr>
          <w:szCs w:val="22"/>
        </w:rPr>
        <w:t xml:space="preserve">, </w:t>
      </w:r>
      <w:r w:rsidR="00561330" w:rsidRPr="00561330">
        <w:rPr>
          <w:szCs w:val="22"/>
        </w:rPr>
        <w:t>as delegate of the Secretary</w:t>
      </w:r>
      <w:r w:rsidR="008573CD">
        <w:rPr>
          <w:szCs w:val="22"/>
        </w:rPr>
        <w:t xml:space="preserve"> of the Department of Health</w:t>
      </w:r>
      <w:r w:rsidRPr="00561330">
        <w:rPr>
          <w:szCs w:val="22"/>
        </w:rPr>
        <w:t xml:space="preserve">, make the following </w:t>
      </w:r>
      <w:r w:rsidR="009220FA">
        <w:rPr>
          <w:szCs w:val="22"/>
        </w:rPr>
        <w:t>inst</w:t>
      </w:r>
      <w:r w:rsidR="00F75FE9">
        <w:rPr>
          <w:szCs w:val="22"/>
        </w:rPr>
        <w:t>r</w:t>
      </w:r>
      <w:r w:rsidR="009220FA">
        <w:rPr>
          <w:szCs w:val="22"/>
        </w:rPr>
        <w:t>ument</w:t>
      </w:r>
      <w:r w:rsidRPr="00561330">
        <w:rPr>
          <w:szCs w:val="22"/>
        </w:rPr>
        <w:t>.</w:t>
      </w:r>
    </w:p>
    <w:p w:rsidR="00554826" w:rsidRPr="00561330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561330">
        <w:rPr>
          <w:szCs w:val="22"/>
        </w:rPr>
        <w:t>Dated</w:t>
      </w:r>
      <w:r w:rsidR="002D076A">
        <w:rPr>
          <w:szCs w:val="22"/>
        </w:rPr>
        <w:t xml:space="preserve"> 22 </w:t>
      </w:r>
      <w:r w:rsidR="00A5765C">
        <w:rPr>
          <w:szCs w:val="22"/>
        </w:rPr>
        <w:t>April 2020</w:t>
      </w:r>
    </w:p>
    <w:p w:rsidR="00561330" w:rsidRPr="00561330" w:rsidRDefault="00561330" w:rsidP="0055482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61330">
        <w:rPr>
          <w:szCs w:val="22"/>
        </w:rPr>
        <w:t>Tracey Duffy</w:t>
      </w:r>
    </w:p>
    <w:p w:rsidR="00561330" w:rsidRPr="00561330" w:rsidRDefault="00561330" w:rsidP="00561330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561330">
        <w:rPr>
          <w:szCs w:val="22"/>
        </w:rPr>
        <w:t>First Assistant Secretary</w:t>
      </w:r>
    </w:p>
    <w:p w:rsidR="00561330" w:rsidRPr="00561330" w:rsidRDefault="00561330" w:rsidP="00561330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561330">
        <w:rPr>
          <w:szCs w:val="22"/>
        </w:rPr>
        <w:t>Medical Devices and Product Quality Division</w:t>
      </w:r>
    </w:p>
    <w:p w:rsidR="00554826" w:rsidRPr="00561330" w:rsidRDefault="00561330" w:rsidP="00561330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 w:rsidRPr="00561330">
        <w:rPr>
          <w:szCs w:val="22"/>
        </w:rPr>
        <w:t>Health Products Regulation Group</w:t>
      </w:r>
    </w:p>
    <w:p w:rsidR="00554826" w:rsidRPr="008E0027" w:rsidRDefault="00561330" w:rsidP="00554826">
      <w:pPr>
        <w:pStyle w:val="SignCoverPageEnd"/>
        <w:ind w:right="91"/>
        <w:rPr>
          <w:sz w:val="22"/>
        </w:rPr>
      </w:pPr>
      <w:r w:rsidRPr="00561330">
        <w:rPr>
          <w:sz w:val="22"/>
        </w:rPr>
        <w:t>Department of Health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2D076A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2D076A">
        <w:rPr>
          <w:noProof/>
        </w:rPr>
        <w:t>1  Name</w:t>
      </w:r>
      <w:r w:rsidR="002D076A">
        <w:rPr>
          <w:noProof/>
        </w:rPr>
        <w:tab/>
      </w:r>
      <w:r w:rsidR="002D076A">
        <w:rPr>
          <w:noProof/>
        </w:rPr>
        <w:fldChar w:fldCharType="begin"/>
      </w:r>
      <w:r w:rsidR="002D076A">
        <w:rPr>
          <w:noProof/>
        </w:rPr>
        <w:instrText xml:space="preserve"> PAGEREF _Toc38464505 \h </w:instrText>
      </w:r>
      <w:r w:rsidR="002D076A">
        <w:rPr>
          <w:noProof/>
        </w:rPr>
      </w:r>
      <w:r w:rsidR="002D076A">
        <w:rPr>
          <w:noProof/>
        </w:rPr>
        <w:fldChar w:fldCharType="separate"/>
      </w:r>
      <w:r w:rsidR="002D076A">
        <w:rPr>
          <w:noProof/>
        </w:rPr>
        <w:t>1</w:t>
      </w:r>
      <w:r w:rsidR="002D076A">
        <w:rPr>
          <w:noProof/>
        </w:rPr>
        <w:fldChar w:fldCharType="end"/>
      </w:r>
    </w:p>
    <w:p w:rsidR="002D076A" w:rsidRDefault="002D07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_Toc38464506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2D076A" w:rsidRDefault="002D07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_Toc38464507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2D076A" w:rsidRDefault="002D07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_Toc38464508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2D076A" w:rsidRDefault="002D07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Classes of articles specified to be medical devices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_Toc38464509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2D076A" w:rsidRDefault="002D07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_Toc38464510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2D076A" w:rsidRDefault="002D076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1—Specified classes of articles that are medical devices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_Toc38464511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D076A" w:rsidRDefault="002D076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_Toc38464512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D076A" w:rsidRDefault="002D076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(Articles that are Medical Devices) Specification 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_Toc38464513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0" w:name="_Toc38464505"/>
      <w:proofErr w:type="gramStart"/>
      <w:r w:rsidRPr="00554826">
        <w:lastRenderedPageBreak/>
        <w:t>1  Name</w:t>
      </w:r>
      <w:bookmarkEnd w:id="0"/>
      <w:proofErr w:type="gramEnd"/>
    </w:p>
    <w:p w:rsidR="00554826" w:rsidRPr="00561330" w:rsidRDefault="00554826" w:rsidP="00554826">
      <w:pPr>
        <w:pStyle w:val="subsection"/>
      </w:pPr>
      <w:r w:rsidRPr="009C2562">
        <w:tab/>
      </w:r>
      <w:r w:rsidRPr="009C2562">
        <w:tab/>
      </w:r>
      <w:r w:rsidRPr="00561330">
        <w:t xml:space="preserve">This instrument is the </w:t>
      </w:r>
      <w:bookmarkStart w:id="1" w:name="BKCheck15B_3"/>
      <w:bookmarkEnd w:id="1"/>
      <w:r w:rsidR="00561330" w:rsidRPr="00561330">
        <w:rPr>
          <w:i/>
        </w:rPr>
        <w:t>Therapeutic Goods (</w:t>
      </w:r>
      <w:r w:rsidR="005546E2">
        <w:rPr>
          <w:i/>
        </w:rPr>
        <w:t>Medical Devices</w:t>
      </w:r>
      <w:r w:rsidR="00F75FE9">
        <w:rPr>
          <w:i/>
        </w:rPr>
        <w:t>—</w:t>
      </w:r>
      <w:r w:rsidR="005546E2">
        <w:rPr>
          <w:i/>
        </w:rPr>
        <w:t xml:space="preserve">Specified </w:t>
      </w:r>
      <w:r w:rsidR="00561330" w:rsidRPr="00561330">
        <w:rPr>
          <w:i/>
        </w:rPr>
        <w:t xml:space="preserve">Articles) </w:t>
      </w:r>
      <w:r w:rsidR="005546E2">
        <w:rPr>
          <w:i/>
        </w:rPr>
        <w:t xml:space="preserve">Instrument </w:t>
      </w:r>
      <w:r w:rsidR="00561330" w:rsidRPr="00561330">
        <w:rPr>
          <w:i/>
        </w:rPr>
        <w:t>2020</w:t>
      </w:r>
      <w:r w:rsidRPr="00561330">
        <w:t>.</w:t>
      </w:r>
    </w:p>
    <w:p w:rsidR="00554826" w:rsidRPr="00561330" w:rsidRDefault="00554826" w:rsidP="00554826">
      <w:pPr>
        <w:pStyle w:val="ActHead5"/>
      </w:pPr>
      <w:bookmarkStart w:id="2" w:name="_Toc38464506"/>
      <w:proofErr w:type="gramStart"/>
      <w:r w:rsidRPr="00561330">
        <w:t>2  Commencement</w:t>
      </w:r>
      <w:bookmarkEnd w:id="2"/>
      <w:proofErr w:type="gramEnd"/>
    </w:p>
    <w:p w:rsidR="003767E2" w:rsidRPr="00561330" w:rsidRDefault="003767E2" w:rsidP="003767E2">
      <w:pPr>
        <w:pStyle w:val="subsection"/>
      </w:pPr>
      <w:r w:rsidRPr="00561330">
        <w:tab/>
        <w:t>(1)</w:t>
      </w:r>
      <w:r w:rsidRPr="00561330">
        <w:tab/>
        <w:t xml:space="preserve">Each provision of this instrument specified in column 1 of the table commences, or </w:t>
      </w:r>
      <w:proofErr w:type="gramStart"/>
      <w:r w:rsidRPr="00561330">
        <w:t>is taken</w:t>
      </w:r>
      <w:proofErr w:type="gramEnd"/>
      <w:r w:rsidRPr="00561330">
        <w:t xml:space="preserve"> to have commenced, in accordance with column 2 of the table. Any other statement in column 2 has effect according to its terms.</w:t>
      </w:r>
    </w:p>
    <w:p w:rsidR="003767E2" w:rsidRPr="00561330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561330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561330" w:rsidRDefault="003767E2" w:rsidP="00A02135">
            <w:pPr>
              <w:pStyle w:val="TableHeading"/>
            </w:pPr>
            <w:r w:rsidRPr="00561330">
              <w:t>Commencement information</w:t>
            </w:r>
          </w:p>
        </w:tc>
      </w:tr>
      <w:tr w:rsidR="003767E2" w:rsidRPr="00561330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561330" w:rsidRDefault="003767E2" w:rsidP="00A02135">
            <w:pPr>
              <w:pStyle w:val="TableHeading"/>
            </w:pPr>
            <w:r w:rsidRPr="0056133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561330" w:rsidRDefault="003767E2" w:rsidP="00A02135">
            <w:pPr>
              <w:pStyle w:val="TableHeading"/>
            </w:pPr>
            <w:r w:rsidRPr="0056133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561330" w:rsidRDefault="003767E2" w:rsidP="00A02135">
            <w:pPr>
              <w:pStyle w:val="TableHeading"/>
            </w:pPr>
            <w:r w:rsidRPr="00561330">
              <w:t>Column 3</w:t>
            </w:r>
          </w:p>
        </w:tc>
      </w:tr>
      <w:tr w:rsidR="003767E2" w:rsidRPr="00561330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561330" w:rsidRDefault="003767E2" w:rsidP="00A02135">
            <w:pPr>
              <w:pStyle w:val="TableHeading"/>
            </w:pPr>
            <w:r w:rsidRPr="0056133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561330" w:rsidRDefault="003767E2" w:rsidP="00A02135">
            <w:pPr>
              <w:pStyle w:val="TableHeading"/>
            </w:pPr>
            <w:r w:rsidRPr="0056133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561330" w:rsidRDefault="003767E2" w:rsidP="00A02135">
            <w:pPr>
              <w:pStyle w:val="TableHeading"/>
            </w:pPr>
            <w:r w:rsidRPr="00561330">
              <w:t>Date/Details</w:t>
            </w:r>
          </w:p>
        </w:tc>
      </w:tr>
      <w:tr w:rsidR="003767E2" w:rsidRPr="00561330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561330" w:rsidRDefault="003767E2" w:rsidP="00A02135">
            <w:pPr>
              <w:pStyle w:val="Tabletext"/>
            </w:pPr>
            <w:r w:rsidRPr="00561330">
              <w:t xml:space="preserve">1.  </w:t>
            </w:r>
            <w:r w:rsidR="00561330" w:rsidRPr="0056133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561330" w:rsidRDefault="008A7545" w:rsidP="00A02135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767E2" w:rsidRPr="00561330" w:rsidRDefault="003767E2" w:rsidP="00A02135">
            <w:pPr>
              <w:pStyle w:val="Tabletext"/>
            </w:pPr>
          </w:p>
        </w:tc>
      </w:tr>
    </w:tbl>
    <w:p w:rsidR="003767E2" w:rsidRPr="00561330" w:rsidRDefault="003767E2" w:rsidP="003767E2">
      <w:pPr>
        <w:pStyle w:val="notetext"/>
      </w:pPr>
      <w:r w:rsidRPr="00561330">
        <w:rPr>
          <w:snapToGrid w:val="0"/>
          <w:lang w:eastAsia="en-US"/>
        </w:rPr>
        <w:t>Note:</w:t>
      </w:r>
      <w:r w:rsidRPr="00561330">
        <w:rPr>
          <w:snapToGrid w:val="0"/>
          <w:lang w:eastAsia="en-US"/>
        </w:rPr>
        <w:tab/>
        <w:t>This table relates only to the provisions of this instrument</w:t>
      </w:r>
      <w:r w:rsidRPr="00561330">
        <w:t xml:space="preserve"> </w:t>
      </w:r>
      <w:r w:rsidRPr="00561330">
        <w:rPr>
          <w:snapToGrid w:val="0"/>
          <w:lang w:eastAsia="en-US"/>
        </w:rPr>
        <w:t xml:space="preserve">as originally made. It </w:t>
      </w:r>
      <w:proofErr w:type="gramStart"/>
      <w:r w:rsidRPr="00561330">
        <w:rPr>
          <w:snapToGrid w:val="0"/>
          <w:lang w:eastAsia="en-US"/>
        </w:rPr>
        <w:t>will not be amended</w:t>
      </w:r>
      <w:proofErr w:type="gramEnd"/>
      <w:r w:rsidRPr="00561330">
        <w:rPr>
          <w:snapToGrid w:val="0"/>
          <w:lang w:eastAsia="en-US"/>
        </w:rPr>
        <w:t xml:space="preserve"> to deal with any later amendments of this instrument.</w:t>
      </w:r>
    </w:p>
    <w:p w:rsidR="003767E2" w:rsidRPr="00561330" w:rsidRDefault="003767E2" w:rsidP="003767E2">
      <w:pPr>
        <w:pStyle w:val="subsection"/>
      </w:pPr>
      <w:r w:rsidRPr="00561330">
        <w:tab/>
        <w:t>(2)</w:t>
      </w:r>
      <w:r w:rsidRPr="00561330">
        <w:tab/>
        <w:t xml:space="preserve">Any information in column 3 of the table is not part of this instrument. Information </w:t>
      </w:r>
      <w:proofErr w:type="gramStart"/>
      <w:r w:rsidRPr="00561330">
        <w:t>may be inserted</w:t>
      </w:r>
      <w:proofErr w:type="gramEnd"/>
      <w:r w:rsidRPr="00561330">
        <w:t xml:space="preserve"> in this column, or information in it may be edited, in any published version of this instrument.</w:t>
      </w:r>
    </w:p>
    <w:p w:rsidR="00554826" w:rsidRPr="00561330" w:rsidRDefault="00554826" w:rsidP="00554826">
      <w:pPr>
        <w:pStyle w:val="ActHead5"/>
      </w:pPr>
      <w:bookmarkStart w:id="3" w:name="_Toc38464507"/>
      <w:proofErr w:type="gramStart"/>
      <w:r w:rsidRPr="00561330">
        <w:t>3  Authority</w:t>
      </w:r>
      <w:bookmarkEnd w:id="3"/>
      <w:proofErr w:type="gramEnd"/>
    </w:p>
    <w:p w:rsidR="00554826" w:rsidRPr="00561330" w:rsidRDefault="00554826" w:rsidP="00554826">
      <w:pPr>
        <w:pStyle w:val="subsection"/>
      </w:pPr>
      <w:r w:rsidRPr="00561330">
        <w:tab/>
      </w:r>
      <w:r w:rsidRPr="00561330">
        <w:tab/>
        <w:t xml:space="preserve">This instrument is made under </w:t>
      </w:r>
      <w:r w:rsidR="00561330">
        <w:t xml:space="preserve">subsection </w:t>
      </w:r>
      <w:proofErr w:type="gramStart"/>
      <w:r w:rsidR="00561330">
        <w:t>41BD(</w:t>
      </w:r>
      <w:proofErr w:type="gramEnd"/>
      <w:r w:rsidR="00561330">
        <w:t xml:space="preserve">2B) of the </w:t>
      </w:r>
      <w:r w:rsidR="00561330" w:rsidRPr="00561330">
        <w:rPr>
          <w:i/>
        </w:rPr>
        <w:t>Therapeutic Goods Act 1989</w:t>
      </w:r>
      <w:r w:rsidRPr="00561330">
        <w:t>.</w:t>
      </w:r>
    </w:p>
    <w:p w:rsidR="00554826" w:rsidRPr="00561330" w:rsidRDefault="00554826" w:rsidP="00554826">
      <w:pPr>
        <w:pStyle w:val="ActHead5"/>
      </w:pPr>
      <w:bookmarkStart w:id="4" w:name="_Toc38464508"/>
      <w:proofErr w:type="gramStart"/>
      <w:r w:rsidRPr="00561330">
        <w:t>4  Definitions</w:t>
      </w:r>
      <w:bookmarkEnd w:id="4"/>
      <w:proofErr w:type="gramEnd"/>
    </w:p>
    <w:p w:rsidR="00554826" w:rsidRPr="00561330" w:rsidRDefault="00554826" w:rsidP="00554826">
      <w:pPr>
        <w:pStyle w:val="notetext"/>
      </w:pPr>
      <w:r w:rsidRPr="00561330">
        <w:t>Note:</w:t>
      </w:r>
      <w:r w:rsidRPr="00561330">
        <w:tab/>
        <w:t xml:space="preserve">A number of expressions used in this instrument </w:t>
      </w:r>
      <w:proofErr w:type="gramStart"/>
      <w:r w:rsidRPr="00561330">
        <w:t>are defined</w:t>
      </w:r>
      <w:proofErr w:type="gramEnd"/>
      <w:r w:rsidRPr="00561330">
        <w:t xml:space="preserve"> in s</w:t>
      </w:r>
      <w:r w:rsidR="00561330">
        <w:t>ubs</w:t>
      </w:r>
      <w:r w:rsidRPr="00561330">
        <w:t xml:space="preserve">ection </w:t>
      </w:r>
      <w:r w:rsidR="00561330">
        <w:t xml:space="preserve">3(1) </w:t>
      </w:r>
      <w:r w:rsidRPr="00561330">
        <w:t>of the Act, including the following:</w:t>
      </w:r>
    </w:p>
    <w:p w:rsidR="00024EDA" w:rsidRDefault="00554826" w:rsidP="00554826">
      <w:pPr>
        <w:pStyle w:val="notepara"/>
      </w:pPr>
      <w:r w:rsidRPr="00561330">
        <w:t>(a)</w:t>
      </w:r>
      <w:r w:rsidRPr="00561330">
        <w:tab/>
      </w:r>
      <w:proofErr w:type="gramStart"/>
      <w:r w:rsidR="00561330">
        <w:t>medical</w:t>
      </w:r>
      <w:proofErr w:type="gramEnd"/>
      <w:r w:rsidR="00561330">
        <w:t xml:space="preserve"> device</w:t>
      </w:r>
      <w:r w:rsidR="00024EDA">
        <w:t>; and</w:t>
      </w:r>
    </w:p>
    <w:p w:rsidR="00554826" w:rsidRPr="00561330" w:rsidRDefault="00024EDA" w:rsidP="00554826">
      <w:pPr>
        <w:pStyle w:val="notepara"/>
      </w:pPr>
      <w:r>
        <w:t>(b)</w:t>
      </w:r>
      <w:r>
        <w:tab/>
      </w:r>
      <w:proofErr w:type="gramStart"/>
      <w:r>
        <w:t>supply</w:t>
      </w:r>
      <w:proofErr w:type="gramEnd"/>
      <w:r>
        <w:t>.</w:t>
      </w:r>
    </w:p>
    <w:p w:rsidR="00554826" w:rsidRPr="00561330" w:rsidRDefault="00554826" w:rsidP="00554826">
      <w:pPr>
        <w:pStyle w:val="subsection"/>
      </w:pPr>
      <w:r w:rsidRPr="00561330">
        <w:tab/>
      </w:r>
      <w:r w:rsidRPr="00561330">
        <w:tab/>
        <w:t>In this instrument:</w:t>
      </w:r>
    </w:p>
    <w:p w:rsidR="00554826" w:rsidRPr="00561330" w:rsidRDefault="00554826" w:rsidP="00554826">
      <w:pPr>
        <w:pStyle w:val="Definition"/>
      </w:pPr>
      <w:r w:rsidRPr="00561330">
        <w:rPr>
          <w:b/>
          <w:i/>
        </w:rPr>
        <w:t>Act</w:t>
      </w:r>
      <w:r w:rsidRPr="00561330">
        <w:t xml:space="preserve"> means the </w:t>
      </w:r>
      <w:r w:rsidR="00561330">
        <w:rPr>
          <w:i/>
        </w:rPr>
        <w:t xml:space="preserve">Therapeutic Goods </w:t>
      </w:r>
      <w:r w:rsidRPr="00561330">
        <w:rPr>
          <w:i/>
        </w:rPr>
        <w:t>Act</w:t>
      </w:r>
      <w:r w:rsidR="00561330">
        <w:rPr>
          <w:i/>
        </w:rPr>
        <w:t xml:space="preserve"> 1989</w:t>
      </w:r>
      <w:r w:rsidRPr="00561330">
        <w:t>.</w:t>
      </w:r>
    </w:p>
    <w:p w:rsidR="00554826" w:rsidRPr="00561330" w:rsidRDefault="00814A21" w:rsidP="00554826">
      <w:pPr>
        <w:pStyle w:val="ActHead5"/>
      </w:pPr>
      <w:bookmarkStart w:id="5" w:name="_Toc38464509"/>
      <w:proofErr w:type="gramStart"/>
      <w:r>
        <w:t>5</w:t>
      </w:r>
      <w:r w:rsidR="00554826" w:rsidRPr="00561330">
        <w:t xml:space="preserve">  </w:t>
      </w:r>
      <w:r w:rsidR="008E0AD8">
        <w:t>Classes</w:t>
      </w:r>
      <w:proofErr w:type="gramEnd"/>
      <w:r w:rsidR="008E0AD8">
        <w:t xml:space="preserve"> of a</w:t>
      </w:r>
      <w:r>
        <w:t xml:space="preserve">rticles </w:t>
      </w:r>
      <w:r w:rsidR="005546E2">
        <w:t xml:space="preserve">specified to be </w:t>
      </w:r>
      <w:r>
        <w:t>medical devices</w:t>
      </w:r>
      <w:bookmarkEnd w:id="5"/>
    </w:p>
    <w:p w:rsidR="00506800" w:rsidRDefault="00506800" w:rsidP="00506800">
      <w:pPr>
        <w:pStyle w:val="subsection"/>
        <w:tabs>
          <w:tab w:val="clear" w:pos="1021"/>
          <w:tab w:val="right" w:pos="0"/>
        </w:tabs>
        <w:ind w:left="709" w:hanging="414"/>
      </w:pPr>
      <w:r>
        <w:tab/>
        <w:t>The classes of instruments, apparatus, appliances, materials and other articles mentioned in Schedule 1 are specified to be medical devices</w:t>
      </w:r>
      <w:r w:rsidR="0012560E">
        <w:t xml:space="preserve"> for the purposes of paragraph 41BD(1)(ab) of the Act</w:t>
      </w:r>
      <w:r>
        <w:t>.</w:t>
      </w:r>
    </w:p>
    <w:p w:rsidR="0012560E" w:rsidRDefault="0012560E" w:rsidP="0012560E">
      <w:pPr>
        <w:pStyle w:val="notetext"/>
      </w:pPr>
      <w:r w:rsidRPr="009C2562">
        <w:t>Note:</w:t>
      </w:r>
      <w:r w:rsidRPr="009C2562">
        <w:tab/>
      </w:r>
      <w:r>
        <w:t xml:space="preserve">The meaning of </w:t>
      </w:r>
      <w:r>
        <w:rPr>
          <w:b/>
          <w:i/>
        </w:rPr>
        <w:t>medical device</w:t>
      </w:r>
      <w:r>
        <w:t xml:space="preserve"> in section 41BD of the Act includes any article that is included in</w:t>
      </w:r>
      <w:r w:rsidR="00332B9E">
        <w:t xml:space="preserve"> a</w:t>
      </w:r>
      <w:r>
        <w:t xml:space="preserve"> class of articles specified under subsection </w:t>
      </w:r>
      <w:proofErr w:type="gramStart"/>
      <w:r>
        <w:t>41BD(</w:t>
      </w:r>
      <w:proofErr w:type="gramEnd"/>
      <w:r>
        <w:t>2B).</w:t>
      </w:r>
    </w:p>
    <w:p w:rsidR="00E3268B" w:rsidRPr="00554826" w:rsidRDefault="00E3268B" w:rsidP="00E3268B">
      <w:pPr>
        <w:pStyle w:val="ActHead5"/>
      </w:pPr>
      <w:bookmarkStart w:id="6" w:name="_Toc26969763"/>
      <w:bookmarkStart w:id="7" w:name="_Toc38464510"/>
      <w:proofErr w:type="gramStart"/>
      <w:r>
        <w:t>6</w:t>
      </w:r>
      <w:r w:rsidRPr="00554826">
        <w:t xml:space="preserve">  </w:t>
      </w:r>
      <w:r>
        <w:t>Repeals</w:t>
      </w:r>
      <w:bookmarkEnd w:id="6"/>
      <w:bookmarkEnd w:id="7"/>
      <w:proofErr w:type="gramEnd"/>
    </w:p>
    <w:p w:rsidR="00024EDA" w:rsidRDefault="00E3268B" w:rsidP="00E3268B">
      <w:pPr>
        <w:pStyle w:val="subsection"/>
      </w:pPr>
      <w:r w:rsidRPr="006065DA">
        <w:tab/>
      </w:r>
      <w:r w:rsidRPr="006065DA">
        <w:tab/>
        <w:t>Each in</w:t>
      </w:r>
      <w:r>
        <w:t xml:space="preserve">strument that </w:t>
      </w:r>
      <w:proofErr w:type="gramStart"/>
      <w:r>
        <w:t>is specified</w:t>
      </w:r>
      <w:proofErr w:type="gramEnd"/>
      <w:r>
        <w:t xml:space="preserve"> in </w:t>
      </w:r>
      <w:r w:rsidRPr="006065DA">
        <w:t xml:space="preserve">Schedule </w:t>
      </w:r>
      <w:r>
        <w:t xml:space="preserve">2 </w:t>
      </w:r>
      <w:r w:rsidRPr="006065DA">
        <w:t>is repealed as set ou</w:t>
      </w:r>
      <w:r>
        <w:t>t in the applicable items in that</w:t>
      </w:r>
      <w:r w:rsidRPr="006065DA">
        <w:t xml:space="preserve"> Schedule.</w:t>
      </w:r>
    </w:p>
    <w:p w:rsidR="00024EDA" w:rsidRDefault="00024EDA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:rsidR="00E3268B" w:rsidRDefault="00E3268B" w:rsidP="00E3268B">
      <w:pPr>
        <w:pStyle w:val="subsection"/>
      </w:pPr>
    </w:p>
    <w:p w:rsidR="00E806DD" w:rsidRDefault="00E806DD" w:rsidP="00E806DD">
      <w:pPr>
        <w:pStyle w:val="ActHead6"/>
      </w:pPr>
      <w:bookmarkStart w:id="8" w:name="_Toc26969764"/>
      <w:bookmarkStart w:id="9" w:name="_Toc38464511"/>
      <w:r>
        <w:t xml:space="preserve">Schedule </w:t>
      </w:r>
      <w:r w:rsidRPr="004E1307">
        <w:t>1—</w:t>
      </w:r>
      <w:r w:rsidR="008E0AD8">
        <w:t>Specified classes of a</w:t>
      </w:r>
      <w:r>
        <w:t xml:space="preserve">rticles that are </w:t>
      </w:r>
      <w:bookmarkEnd w:id="8"/>
      <w:r>
        <w:t>medical devices</w:t>
      </w:r>
      <w:bookmarkEnd w:id="9"/>
    </w:p>
    <w:p w:rsidR="00E806DD" w:rsidRPr="00535383" w:rsidRDefault="00E806DD" w:rsidP="00E806DD">
      <w:pPr>
        <w:pStyle w:val="Schedulereference"/>
        <w:tabs>
          <w:tab w:val="left" w:pos="3480"/>
        </w:tabs>
        <w:ind w:left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Note:</w:t>
      </w:r>
      <w:r w:rsidRPr="00535383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See section 5.</w:t>
      </w:r>
    </w:p>
    <w:p w:rsidR="00E806DD" w:rsidRDefault="00E806DD" w:rsidP="00E806DD">
      <w:pPr>
        <w:spacing w:line="240" w:lineRule="auto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212"/>
      </w:tblGrid>
      <w:tr w:rsidR="00E806DD" w:rsidRPr="00C47ACA" w:rsidTr="00AE0AE1">
        <w:trPr>
          <w:tblHeader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806DD" w:rsidRPr="00C47ACA" w:rsidRDefault="008E0AD8">
            <w:pPr>
              <w:pStyle w:val="TableHeading"/>
            </w:pPr>
            <w:r>
              <w:t>Specified classes of a</w:t>
            </w:r>
            <w:r w:rsidR="00E806DD">
              <w:t>rticles</w:t>
            </w:r>
          </w:p>
        </w:tc>
      </w:tr>
      <w:tr w:rsidR="00E806DD" w:rsidRPr="00C47ACA" w:rsidTr="00AE0AE1">
        <w:trPr>
          <w:tblHeader/>
        </w:trPr>
        <w:tc>
          <w:tcPr>
            <w:tcW w:w="66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806DD" w:rsidRDefault="00E806DD" w:rsidP="008034D2">
            <w:pPr>
              <w:pStyle w:val="TableHeading"/>
            </w:pPr>
            <w:r>
              <w:t>Column 1</w:t>
            </w:r>
          </w:p>
        </w:tc>
        <w:tc>
          <w:tcPr>
            <w:tcW w:w="4338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806DD" w:rsidRPr="00C47ACA" w:rsidRDefault="00E806DD" w:rsidP="008034D2">
            <w:pPr>
              <w:pStyle w:val="TableHeading"/>
            </w:pPr>
            <w:r w:rsidRPr="00C47ACA">
              <w:t xml:space="preserve">Column </w:t>
            </w:r>
            <w:r>
              <w:t>2</w:t>
            </w:r>
          </w:p>
        </w:tc>
      </w:tr>
      <w:tr w:rsidR="00E806DD" w:rsidRPr="00C47ACA" w:rsidTr="00AE0AE1">
        <w:trPr>
          <w:tblHeader/>
        </w:trPr>
        <w:tc>
          <w:tcPr>
            <w:tcW w:w="662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E806DD" w:rsidRDefault="00E806DD" w:rsidP="008034D2">
            <w:pPr>
              <w:pStyle w:val="TableHeading"/>
            </w:pPr>
            <w:r w:rsidRPr="00C47ACA">
              <w:t>Item</w:t>
            </w:r>
          </w:p>
        </w:tc>
        <w:tc>
          <w:tcPr>
            <w:tcW w:w="4338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E806DD" w:rsidRPr="00C47ACA" w:rsidRDefault="00E806DD" w:rsidP="008E0AD8">
            <w:pPr>
              <w:pStyle w:val="TableHeading"/>
            </w:pPr>
            <w:r>
              <w:t xml:space="preserve">Specified </w:t>
            </w:r>
            <w:r w:rsidR="008E0AD8">
              <w:t>class</w:t>
            </w:r>
          </w:p>
        </w:tc>
      </w:tr>
      <w:tr w:rsidR="005546E2" w:rsidRPr="00C47ACA" w:rsidTr="00AE0AE1"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46E2" w:rsidRDefault="005546E2" w:rsidP="008034D2">
            <w:pPr>
              <w:pStyle w:val="Tabletext"/>
            </w:pPr>
            <w:r>
              <w:t>1</w:t>
            </w:r>
          </w:p>
        </w:tc>
        <w:tc>
          <w:tcPr>
            <w:tcW w:w="4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47C" w:rsidRPr="00332B9E" w:rsidRDefault="00D42E8C" w:rsidP="00737969">
            <w:pPr>
              <w:pStyle w:val="Tabletext"/>
            </w:pPr>
            <w:r w:rsidRPr="00A2547C">
              <w:t>articles that are non-sterile personal protect</w:t>
            </w:r>
            <w:r>
              <w:t>ive equipment or safety apparel</w:t>
            </w:r>
            <w:r w:rsidRPr="00A2547C">
              <w:t xml:space="preserve"> </w:t>
            </w:r>
            <w:r>
              <w:t>(</w:t>
            </w:r>
            <w:r w:rsidRPr="00A2547C">
              <w:t>including but not limited to aprons, face masks, gloves, goggles, gowns and visors</w:t>
            </w:r>
            <w:r>
              <w:t>)</w:t>
            </w:r>
            <w:r w:rsidRPr="00A2547C">
              <w:t xml:space="preserve"> intended</w:t>
            </w:r>
            <w:r>
              <w:t>,</w:t>
            </w:r>
            <w:r w:rsidRPr="00A2547C">
              <w:t xml:space="preserve"> by the person un</w:t>
            </w:r>
            <w:r>
              <w:t>der whose name the articles are or are to be</w:t>
            </w:r>
            <w:r w:rsidRPr="00A2547C">
              <w:t xml:space="preserve"> supplied</w:t>
            </w:r>
            <w:r>
              <w:t>,</w:t>
            </w:r>
            <w:r w:rsidRPr="00A2547C">
              <w:t xml:space="preserve"> to be use</w:t>
            </w:r>
            <w:r>
              <w:t xml:space="preserve">d for the prevention of </w:t>
            </w:r>
            <w:r w:rsidR="005A5F07">
              <w:t xml:space="preserve">the </w:t>
            </w:r>
            <w:r w:rsidR="00737969">
              <w:t>tra</w:t>
            </w:r>
            <w:bookmarkStart w:id="10" w:name="_GoBack"/>
            <w:bookmarkEnd w:id="10"/>
            <w:r w:rsidR="00737969">
              <w:t xml:space="preserve">nsmission of </w:t>
            </w:r>
            <w:r>
              <w:t>disease</w:t>
            </w:r>
            <w:r w:rsidRPr="00A2547C">
              <w:t xml:space="preserve"> between persons, including where </w:t>
            </w:r>
            <w:r>
              <w:t>that intention may be ascertained from the articles being represented as suita</w:t>
            </w:r>
            <w:r w:rsidRPr="00A2547C">
              <w:t>ble for use in</w:t>
            </w:r>
            <w:r>
              <w:t xml:space="preserve"> surgery, or clinical, medical or other health services</w:t>
            </w:r>
          </w:p>
        </w:tc>
      </w:tr>
      <w:tr w:rsidR="00E806DD" w:rsidRPr="00C47ACA" w:rsidTr="00AE0AE1">
        <w:tc>
          <w:tcPr>
            <w:tcW w:w="66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806DD" w:rsidRPr="00555C04" w:rsidRDefault="00E806DD" w:rsidP="008034D2">
            <w:pPr>
              <w:pStyle w:val="Tabletext"/>
            </w:pPr>
            <w:r>
              <w:t>2</w:t>
            </w:r>
          </w:p>
        </w:tc>
        <w:tc>
          <w:tcPr>
            <w:tcW w:w="433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61D73" w:rsidRDefault="009220FA" w:rsidP="00E61D73">
            <w:pPr>
              <w:pStyle w:val="Tabletext"/>
            </w:pPr>
            <w:r>
              <w:t>a</w:t>
            </w:r>
            <w:r w:rsidR="00E61D73" w:rsidRPr="00332B9E">
              <w:t xml:space="preserve">rticles </w:t>
            </w:r>
            <w:r>
              <w:t>(</w:t>
            </w:r>
            <w:r w:rsidR="00E61D73" w:rsidRPr="00332B9E">
              <w:t>whether used alone or in combination, and including the software necessary for their proper application</w:t>
            </w:r>
            <w:r>
              <w:t>)</w:t>
            </w:r>
            <w:r w:rsidR="00E61D73" w:rsidRPr="00332B9E">
              <w:t xml:space="preserve"> </w:t>
            </w:r>
            <w:r w:rsidR="00E61D73">
              <w:t>that:</w:t>
            </w:r>
          </w:p>
          <w:p w:rsidR="00E61D73" w:rsidRDefault="00E61D73" w:rsidP="00E61D73">
            <w:pPr>
              <w:pStyle w:val="Tabletext"/>
              <w:ind w:left="486" w:hanging="486"/>
            </w:pPr>
            <w:r>
              <w:t>(a)</w:t>
            </w:r>
            <w:r>
              <w:tab/>
              <w:t>are intended by the person under whose name the articles are, or are to be, supplied to be used for the examination of a specimen derived from a human body for the purpose of:</w:t>
            </w:r>
          </w:p>
          <w:p w:rsidR="00E61D73" w:rsidRDefault="00E61D73" w:rsidP="00E61D73">
            <w:pPr>
              <w:pStyle w:val="Tabletext"/>
              <w:ind w:left="912" w:hanging="486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  <w:t>predicting the susceptibility or predisposition of persons to a disease or ailment; or</w:t>
            </w:r>
          </w:p>
          <w:p w:rsidR="00E61D73" w:rsidRDefault="00E61D73" w:rsidP="00E61D73">
            <w:pPr>
              <w:pStyle w:val="Tabletext"/>
              <w:ind w:left="912" w:hanging="486"/>
            </w:pPr>
            <w:r>
              <w:t>(ii)</w:t>
            </w:r>
            <w:r>
              <w:tab/>
              <w:t>testing for pregnancy in persons; and</w:t>
            </w:r>
          </w:p>
          <w:p w:rsidR="00E806DD" w:rsidRPr="008F0637" w:rsidRDefault="00E61D73" w:rsidP="00B323EC">
            <w:pPr>
              <w:pStyle w:val="Tabletext"/>
              <w:ind w:left="486" w:hanging="486"/>
            </w:pPr>
            <w:r>
              <w:t>(b)</w:t>
            </w:r>
            <w:r>
              <w:tab/>
              <w:t>do not achieve their principal intended action in or on the human body by pharmacological, immunological or metabolic means, but that may be assisted in their function by such means</w:t>
            </w:r>
          </w:p>
        </w:tc>
      </w:tr>
    </w:tbl>
    <w:p w:rsidR="00E806DD" w:rsidRDefault="00E806DD" w:rsidP="00E806DD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>
        <w:br w:type="page"/>
      </w:r>
    </w:p>
    <w:p w:rsidR="00E806DD" w:rsidRDefault="00E806DD" w:rsidP="00E806DD">
      <w:pPr>
        <w:pStyle w:val="ActHead6"/>
      </w:pPr>
      <w:bookmarkStart w:id="11" w:name="_Toc26969765"/>
      <w:bookmarkStart w:id="12" w:name="_Toc38464512"/>
      <w:r>
        <w:lastRenderedPageBreak/>
        <w:t>Schedule 2</w:t>
      </w:r>
      <w:r w:rsidRPr="004E1307">
        <w:t>—Repeals</w:t>
      </w:r>
      <w:bookmarkEnd w:id="11"/>
      <w:bookmarkEnd w:id="12"/>
    </w:p>
    <w:p w:rsidR="00E806DD" w:rsidRDefault="00E806DD" w:rsidP="00E806DD">
      <w:pPr>
        <w:pStyle w:val="Schedulereference"/>
        <w:tabs>
          <w:tab w:val="left" w:pos="3480"/>
        </w:tabs>
        <w:ind w:left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Note: See section 6.</w:t>
      </w:r>
    </w:p>
    <w:p w:rsidR="00E806DD" w:rsidRPr="00D6537E" w:rsidRDefault="00E806DD" w:rsidP="00E806DD">
      <w:pPr>
        <w:pStyle w:val="ActHead9"/>
        <w:ind w:left="0" w:firstLine="0"/>
      </w:pPr>
      <w:bookmarkStart w:id="13" w:name="_Toc26969766"/>
      <w:bookmarkStart w:id="14" w:name="_Toc38464513"/>
      <w:r w:rsidRPr="002F32B6">
        <w:t>Therapeutic Goods (</w:t>
      </w:r>
      <w:r>
        <w:t>Articles</w:t>
      </w:r>
      <w:r w:rsidRPr="002F32B6">
        <w:t xml:space="preserve"> that are </w:t>
      </w:r>
      <w:r>
        <w:t>Medical Devices</w:t>
      </w:r>
      <w:r w:rsidRPr="002F32B6">
        <w:t>) Specification 201</w:t>
      </w:r>
      <w:r>
        <w:t>4</w:t>
      </w:r>
      <w:bookmarkEnd w:id="13"/>
      <w:bookmarkEnd w:id="14"/>
    </w:p>
    <w:p w:rsidR="00E806DD" w:rsidRDefault="00E806DD" w:rsidP="00E806DD">
      <w:pPr>
        <w:pStyle w:val="ItemHead"/>
      </w:pPr>
      <w:proofErr w:type="gramStart"/>
      <w:r w:rsidRPr="00B1728A">
        <w:t xml:space="preserve">1  </w:t>
      </w:r>
      <w:r>
        <w:t>The</w:t>
      </w:r>
      <w:proofErr w:type="gramEnd"/>
      <w:r>
        <w:t xml:space="preserve"> whole of the instrument</w:t>
      </w:r>
    </w:p>
    <w:p w:rsidR="00E806DD" w:rsidRDefault="00E806DD" w:rsidP="00E806DD">
      <w:pPr>
        <w:pStyle w:val="Item"/>
      </w:pPr>
      <w:r>
        <w:t>Repeal the instrument</w:t>
      </w:r>
    </w:p>
    <w:p w:rsidR="00554826" w:rsidRPr="00814A21" w:rsidRDefault="00554826">
      <w:pPr>
        <w:spacing w:line="240" w:lineRule="auto"/>
        <w:rPr>
          <w:rFonts w:eastAsia="Times New Roman" w:cs="Times New Roman"/>
          <w:lang w:eastAsia="en-AU"/>
        </w:rPr>
      </w:pPr>
    </w:p>
    <w:sectPr w:rsidR="00554826" w:rsidRPr="00814A21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74D" w:rsidRDefault="0050474D" w:rsidP="00715914">
      <w:pPr>
        <w:spacing w:line="240" w:lineRule="auto"/>
      </w:pPr>
      <w:r>
        <w:separator/>
      </w:r>
    </w:p>
  </w:endnote>
  <w:endnote w:type="continuationSeparator" w:id="0">
    <w:p w:rsidR="0050474D" w:rsidRDefault="0050474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6133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6133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6133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5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79"/>
      <w:gridCol w:w="516"/>
      <w:gridCol w:w="91"/>
    </w:tblGrid>
    <w:tr w:rsidR="00F6696E" w:rsidTr="009220FA">
      <w:tc>
        <w:tcPr>
          <w:tcW w:w="844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795" w:type="pct"/>
        </w:tcPr>
        <w:p w:rsidR="00F6696E" w:rsidRDefault="00F6696E" w:rsidP="00022D73">
          <w:pPr>
            <w:spacing w:line="0" w:lineRule="atLeast"/>
            <w:ind w:left="-829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25A03">
            <w:rPr>
              <w:i/>
              <w:noProof/>
              <w:sz w:val="18"/>
            </w:rPr>
            <w:t>Therapeutic Goods (Medical Devices—Specified Articles)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1" w:type="pct"/>
          <w:gridSpan w:val="2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5A0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9220FA">
      <w:trPr>
        <w:gridAfter w:val="1"/>
        <w:wAfter w:w="54" w:type="pct"/>
      </w:trPr>
      <w:tc>
        <w:tcPr>
          <w:tcW w:w="4946" w:type="pct"/>
          <w:gridSpan w:val="3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Pr="009220FA" w:rsidRDefault="00F6696E" w:rsidP="009220FA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21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"/>
      <w:gridCol w:w="6480"/>
      <w:gridCol w:w="1579"/>
    </w:tblGrid>
    <w:tr w:rsidR="008C2EAC" w:rsidTr="00E61D73">
      <w:tc>
        <w:tcPr>
          <w:tcW w:w="350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5A03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39" w:type="pct"/>
        </w:tcPr>
        <w:p w:rsidR="008C2EAC" w:rsidRDefault="008C2EAC" w:rsidP="00022D73">
          <w:pPr>
            <w:spacing w:line="0" w:lineRule="atLeast"/>
            <w:ind w:left="840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25A03">
            <w:rPr>
              <w:i/>
              <w:noProof/>
              <w:sz w:val="18"/>
            </w:rPr>
            <w:t>Therapeutic Goods (Medical Devices—Specified Articles)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11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E61D73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3"/>
      <w:gridCol w:w="6306"/>
      <w:gridCol w:w="604"/>
    </w:tblGrid>
    <w:tr w:rsidR="008C2EAC" w:rsidTr="009220FA">
      <w:tc>
        <w:tcPr>
          <w:tcW w:w="844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793" w:type="pct"/>
        </w:tcPr>
        <w:p w:rsidR="008C2EAC" w:rsidRDefault="008C2EAC" w:rsidP="00022D73">
          <w:pPr>
            <w:spacing w:line="0" w:lineRule="atLeast"/>
            <w:ind w:left="-829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25A03">
            <w:rPr>
              <w:i/>
              <w:noProof/>
              <w:sz w:val="18"/>
            </w:rPr>
            <w:t>Therapeutic Goods (Medical Devices—Specified Articles)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3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5A0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9220FA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74D" w:rsidRDefault="0050474D" w:rsidP="00715914">
      <w:pPr>
        <w:spacing w:line="240" w:lineRule="auto"/>
      </w:pPr>
      <w:r>
        <w:separator/>
      </w:r>
    </w:p>
  </w:footnote>
  <w:footnote w:type="continuationSeparator" w:id="0">
    <w:p w:rsidR="0050474D" w:rsidRDefault="0050474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2600D22"/>
    <w:multiLevelType w:val="hybridMultilevel"/>
    <w:tmpl w:val="F0AA42D0"/>
    <w:lvl w:ilvl="0" w:tplc="2FD2F4E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A760B"/>
    <w:multiLevelType w:val="hybridMultilevel"/>
    <w:tmpl w:val="5EF4430C"/>
    <w:lvl w:ilvl="0" w:tplc="9B9295D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30"/>
    <w:rsid w:val="00004174"/>
    <w:rsid w:val="00004470"/>
    <w:rsid w:val="000136AF"/>
    <w:rsid w:val="00022D73"/>
    <w:rsid w:val="00024EDA"/>
    <w:rsid w:val="000258B1"/>
    <w:rsid w:val="000358C2"/>
    <w:rsid w:val="00040A89"/>
    <w:rsid w:val="000437C1"/>
    <w:rsid w:val="0004455A"/>
    <w:rsid w:val="00047A8C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2560E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7022E"/>
    <w:rsid w:val="00281308"/>
    <w:rsid w:val="00284719"/>
    <w:rsid w:val="00297ECB"/>
    <w:rsid w:val="002A7BCF"/>
    <w:rsid w:val="002C3FD1"/>
    <w:rsid w:val="002D043A"/>
    <w:rsid w:val="002D076A"/>
    <w:rsid w:val="002D266B"/>
    <w:rsid w:val="002D6224"/>
    <w:rsid w:val="00304F8B"/>
    <w:rsid w:val="003215FB"/>
    <w:rsid w:val="00332B9E"/>
    <w:rsid w:val="00335BC6"/>
    <w:rsid w:val="003415D3"/>
    <w:rsid w:val="00344338"/>
    <w:rsid w:val="00344701"/>
    <w:rsid w:val="00352B0F"/>
    <w:rsid w:val="00360459"/>
    <w:rsid w:val="003767E2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6571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474D"/>
    <w:rsid w:val="00505D3D"/>
    <w:rsid w:val="00506800"/>
    <w:rsid w:val="00506AF6"/>
    <w:rsid w:val="00516B8D"/>
    <w:rsid w:val="005303C8"/>
    <w:rsid w:val="00537FBC"/>
    <w:rsid w:val="005546E2"/>
    <w:rsid w:val="00554826"/>
    <w:rsid w:val="00561330"/>
    <w:rsid w:val="00562877"/>
    <w:rsid w:val="00575989"/>
    <w:rsid w:val="00584811"/>
    <w:rsid w:val="00585784"/>
    <w:rsid w:val="00593AA6"/>
    <w:rsid w:val="00594161"/>
    <w:rsid w:val="00594749"/>
    <w:rsid w:val="005A5F07"/>
    <w:rsid w:val="005A65D5"/>
    <w:rsid w:val="005B4067"/>
    <w:rsid w:val="005C3F41"/>
    <w:rsid w:val="005D1D92"/>
    <w:rsid w:val="005D2D09"/>
    <w:rsid w:val="00600219"/>
    <w:rsid w:val="00604F2A"/>
    <w:rsid w:val="00616581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17363"/>
    <w:rsid w:val="0072147A"/>
    <w:rsid w:val="00723791"/>
    <w:rsid w:val="00731E00"/>
    <w:rsid w:val="00737969"/>
    <w:rsid w:val="007440B7"/>
    <w:rsid w:val="007500C8"/>
    <w:rsid w:val="007556EA"/>
    <w:rsid w:val="00756272"/>
    <w:rsid w:val="00762D38"/>
    <w:rsid w:val="00770D00"/>
    <w:rsid w:val="007715C9"/>
    <w:rsid w:val="00771613"/>
    <w:rsid w:val="00774EDD"/>
    <w:rsid w:val="007757EC"/>
    <w:rsid w:val="00783E89"/>
    <w:rsid w:val="00793915"/>
    <w:rsid w:val="0079512C"/>
    <w:rsid w:val="007C2253"/>
    <w:rsid w:val="007D45FB"/>
    <w:rsid w:val="007D7911"/>
    <w:rsid w:val="007E163D"/>
    <w:rsid w:val="007E667A"/>
    <w:rsid w:val="007F28C9"/>
    <w:rsid w:val="007F51B2"/>
    <w:rsid w:val="008040DD"/>
    <w:rsid w:val="008117E9"/>
    <w:rsid w:val="00814A21"/>
    <w:rsid w:val="00814C4B"/>
    <w:rsid w:val="00824498"/>
    <w:rsid w:val="00825A03"/>
    <w:rsid w:val="00826BD1"/>
    <w:rsid w:val="00831307"/>
    <w:rsid w:val="00854D0B"/>
    <w:rsid w:val="00856A31"/>
    <w:rsid w:val="008573CD"/>
    <w:rsid w:val="00860B4E"/>
    <w:rsid w:val="008634A3"/>
    <w:rsid w:val="00867B37"/>
    <w:rsid w:val="008754D0"/>
    <w:rsid w:val="00875D13"/>
    <w:rsid w:val="008855C9"/>
    <w:rsid w:val="00886456"/>
    <w:rsid w:val="00896176"/>
    <w:rsid w:val="008A46E1"/>
    <w:rsid w:val="008A4F43"/>
    <w:rsid w:val="008A7545"/>
    <w:rsid w:val="008B2706"/>
    <w:rsid w:val="008C2EAC"/>
    <w:rsid w:val="008D0EE0"/>
    <w:rsid w:val="008E0027"/>
    <w:rsid w:val="008E0AD8"/>
    <w:rsid w:val="008E6067"/>
    <w:rsid w:val="008F54E7"/>
    <w:rsid w:val="00900B6E"/>
    <w:rsid w:val="00903422"/>
    <w:rsid w:val="009220FA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B56FF"/>
    <w:rsid w:val="009C3413"/>
    <w:rsid w:val="009E6556"/>
    <w:rsid w:val="00A0441E"/>
    <w:rsid w:val="00A12128"/>
    <w:rsid w:val="00A22C98"/>
    <w:rsid w:val="00A231E2"/>
    <w:rsid w:val="00A2547C"/>
    <w:rsid w:val="00A369E3"/>
    <w:rsid w:val="00A57600"/>
    <w:rsid w:val="00A5765C"/>
    <w:rsid w:val="00A64912"/>
    <w:rsid w:val="00A70A74"/>
    <w:rsid w:val="00A75FE9"/>
    <w:rsid w:val="00AD53CC"/>
    <w:rsid w:val="00AD5641"/>
    <w:rsid w:val="00AE0AE1"/>
    <w:rsid w:val="00AF06CF"/>
    <w:rsid w:val="00B07CDB"/>
    <w:rsid w:val="00B16A31"/>
    <w:rsid w:val="00B17DFD"/>
    <w:rsid w:val="00B25306"/>
    <w:rsid w:val="00B27831"/>
    <w:rsid w:val="00B308FE"/>
    <w:rsid w:val="00B323EC"/>
    <w:rsid w:val="00B33709"/>
    <w:rsid w:val="00B33B3C"/>
    <w:rsid w:val="00B36392"/>
    <w:rsid w:val="00B418CB"/>
    <w:rsid w:val="00B47444"/>
    <w:rsid w:val="00B50ADC"/>
    <w:rsid w:val="00B566B1"/>
    <w:rsid w:val="00B63834"/>
    <w:rsid w:val="00B6477B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08A2"/>
    <w:rsid w:val="00C11B98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C0B8A"/>
    <w:rsid w:val="00CE051D"/>
    <w:rsid w:val="00CE1335"/>
    <w:rsid w:val="00CE493D"/>
    <w:rsid w:val="00CF07FA"/>
    <w:rsid w:val="00CF0BB2"/>
    <w:rsid w:val="00CF3EE8"/>
    <w:rsid w:val="00D13441"/>
    <w:rsid w:val="00D150E7"/>
    <w:rsid w:val="00D42E8C"/>
    <w:rsid w:val="00D52DC2"/>
    <w:rsid w:val="00D53BCC"/>
    <w:rsid w:val="00D54C9E"/>
    <w:rsid w:val="00D6537E"/>
    <w:rsid w:val="00D70DFB"/>
    <w:rsid w:val="00D766DF"/>
    <w:rsid w:val="00D8206C"/>
    <w:rsid w:val="00D91F10"/>
    <w:rsid w:val="00D948F0"/>
    <w:rsid w:val="00DA186E"/>
    <w:rsid w:val="00DA1C0A"/>
    <w:rsid w:val="00DA4116"/>
    <w:rsid w:val="00DB251C"/>
    <w:rsid w:val="00DB4630"/>
    <w:rsid w:val="00DC4F88"/>
    <w:rsid w:val="00DE011D"/>
    <w:rsid w:val="00DE107C"/>
    <w:rsid w:val="00DF2388"/>
    <w:rsid w:val="00E05704"/>
    <w:rsid w:val="00E3268B"/>
    <w:rsid w:val="00E338EF"/>
    <w:rsid w:val="00E544BB"/>
    <w:rsid w:val="00E61D73"/>
    <w:rsid w:val="00E73229"/>
    <w:rsid w:val="00E74DC7"/>
    <w:rsid w:val="00E806DD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75FE9"/>
    <w:rsid w:val="00F83989"/>
    <w:rsid w:val="00F85099"/>
    <w:rsid w:val="00F9379C"/>
    <w:rsid w:val="00F9632C"/>
    <w:rsid w:val="00F9705C"/>
    <w:rsid w:val="00FA1E52"/>
    <w:rsid w:val="00FB5A08"/>
    <w:rsid w:val="00FC6A80"/>
    <w:rsid w:val="00FD257D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C8FF55B"/>
  <w15:docId w15:val="{EE5F2C89-8C4D-40EE-BC52-C38177D6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chedulereference">
    <w:name w:val="Schedule reference"/>
    <w:basedOn w:val="Normal"/>
    <w:next w:val="Normal"/>
    <w:rsid w:val="00E806DD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88420-2F27-4674-BDF9-75B4B994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Freebairn, Will</dc:creator>
  <cp:lastModifiedBy>Edlington, Mandy</cp:lastModifiedBy>
  <cp:revision>3</cp:revision>
  <dcterms:created xsi:type="dcterms:W3CDTF">2020-04-22T07:46:00Z</dcterms:created>
  <dcterms:modified xsi:type="dcterms:W3CDTF">2020-04-22T07:47:00Z</dcterms:modified>
</cp:coreProperties>
</file>