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137B4" w14:textId="77777777" w:rsidR="00703828" w:rsidRPr="00BD4288" w:rsidRDefault="00703828" w:rsidP="00703828">
      <w:pPr>
        <w:rPr>
          <w:rFonts w:ascii="Times New Roman" w:hAnsi="Times New Roman" w:cs="Times New Roman"/>
          <w:sz w:val="28"/>
        </w:rPr>
      </w:pPr>
      <w:r w:rsidRPr="00BD4288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7AAEA6CD">
            <wp:extent cx="1503328" cy="1105200"/>
            <wp:effectExtent l="0" t="0" r="1905" b="0"/>
            <wp:docPr id="1" name="Picture 1" descr="A close up of a kangaroo and emu holding a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BD4288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345A2408" w:rsidR="00703828" w:rsidRPr="00BD4288" w:rsidRDefault="001410FE" w:rsidP="00703828">
      <w:pPr>
        <w:pStyle w:val="ShortT"/>
      </w:pPr>
      <w:bookmarkStart w:id="0" w:name="_Hlk6916327"/>
      <w:r w:rsidRPr="00BD4288">
        <w:t>Radiocommunications (</w:t>
      </w:r>
      <w:bookmarkStart w:id="1" w:name="Citation"/>
      <w:r w:rsidR="00ED5D7A" w:rsidRPr="00ED5D7A">
        <w:rPr>
          <w:bCs/>
        </w:rPr>
        <w:t>Electromagnetic Radiation — Human Exposure</w:t>
      </w:r>
      <w:bookmarkEnd w:id="1"/>
      <w:r w:rsidR="00ED5D7A">
        <w:rPr>
          <w:bCs/>
        </w:rPr>
        <w:t xml:space="preserve">) </w:t>
      </w:r>
      <w:r w:rsidRPr="00BD4288">
        <w:t xml:space="preserve">Amendment </w:t>
      </w:r>
      <w:r w:rsidR="00ED5D7A">
        <w:t>Standard</w:t>
      </w:r>
      <w:r w:rsidRPr="00BD4288">
        <w:t xml:space="preserve"> 20</w:t>
      </w:r>
      <w:r w:rsidR="009E3ED9">
        <w:t>20</w:t>
      </w:r>
      <w:r w:rsidRPr="00BD4288">
        <w:t xml:space="preserve"> (No. </w:t>
      </w:r>
      <w:r w:rsidR="00ED5D7A">
        <w:t>1</w:t>
      </w:r>
      <w:r w:rsidRPr="00BD4288">
        <w:t>)</w:t>
      </w:r>
    </w:p>
    <w:bookmarkEnd w:id="0"/>
    <w:p w14:paraId="65784851" w14:textId="77777777" w:rsidR="00703828" w:rsidRPr="00BD4288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17B9D65C" w:rsidR="00703828" w:rsidRPr="00BD4288" w:rsidRDefault="00703828" w:rsidP="00703828">
      <w:pPr>
        <w:pStyle w:val="SignCoverPageStart"/>
        <w:spacing w:before="0" w:line="240" w:lineRule="auto"/>
        <w:rPr>
          <w:szCs w:val="22"/>
        </w:rPr>
      </w:pPr>
      <w:r w:rsidRPr="00BD4288">
        <w:rPr>
          <w:szCs w:val="22"/>
        </w:rPr>
        <w:t xml:space="preserve">The Australian Communications and Media Authority makes </w:t>
      </w:r>
      <w:r w:rsidR="00763259">
        <w:rPr>
          <w:szCs w:val="22"/>
        </w:rPr>
        <w:t>this</w:t>
      </w:r>
      <w:r w:rsidRPr="00BD4288">
        <w:rPr>
          <w:szCs w:val="22"/>
        </w:rPr>
        <w:t xml:space="preserve"> </w:t>
      </w:r>
      <w:r w:rsidR="00ED5D7A">
        <w:rPr>
          <w:szCs w:val="22"/>
        </w:rPr>
        <w:t>instrument</w:t>
      </w:r>
      <w:r w:rsidR="00121BB9" w:rsidRPr="00BD4288">
        <w:rPr>
          <w:szCs w:val="22"/>
        </w:rPr>
        <w:t xml:space="preserve"> under </w:t>
      </w:r>
      <w:r w:rsidR="0036711F" w:rsidRPr="00BD4288">
        <w:rPr>
          <w:szCs w:val="22"/>
        </w:rPr>
        <w:t xml:space="preserve">subsection </w:t>
      </w:r>
      <w:r w:rsidR="00ED5D7A">
        <w:rPr>
          <w:szCs w:val="22"/>
        </w:rPr>
        <w:t>162</w:t>
      </w:r>
      <w:r w:rsidR="0036711F" w:rsidRPr="00BD4288">
        <w:rPr>
          <w:szCs w:val="22"/>
        </w:rPr>
        <w:t>(1)</w:t>
      </w:r>
      <w:r w:rsidR="00121BB9" w:rsidRPr="00BD4288">
        <w:t xml:space="preserve"> of the </w:t>
      </w:r>
      <w:r w:rsidR="0036711F" w:rsidRPr="00BD4288">
        <w:rPr>
          <w:i/>
        </w:rPr>
        <w:t>Radiocommunications Act 19</w:t>
      </w:r>
      <w:r w:rsidR="00AB03E0">
        <w:rPr>
          <w:i/>
        </w:rPr>
        <w:t>92</w:t>
      </w:r>
      <w:r w:rsidR="00121BB9" w:rsidRPr="00BD4288">
        <w:t>.</w:t>
      </w:r>
    </w:p>
    <w:p w14:paraId="5E47FA36" w14:textId="57DF2767" w:rsidR="00703828" w:rsidRPr="00BD4288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BD4288">
        <w:rPr>
          <w:rFonts w:ascii="Times New Roman" w:hAnsi="Times New Roman" w:cs="Times New Roman"/>
        </w:rPr>
        <w:t>Dated</w:t>
      </w:r>
      <w:bookmarkStart w:id="2" w:name="BKCheck15B_1"/>
      <w:bookmarkEnd w:id="2"/>
      <w:r w:rsidRPr="00BD4288">
        <w:rPr>
          <w:rFonts w:ascii="Times New Roman" w:hAnsi="Times New Roman" w:cs="Times New Roman"/>
        </w:rPr>
        <w:t>:</w:t>
      </w:r>
      <w:r w:rsidR="004A0141">
        <w:rPr>
          <w:rFonts w:ascii="Times New Roman" w:hAnsi="Times New Roman" w:cs="Times New Roman"/>
        </w:rPr>
        <w:t xml:space="preserve"> </w:t>
      </w:r>
      <w:r w:rsidR="000A3D56">
        <w:rPr>
          <w:rFonts w:ascii="Times New Roman" w:hAnsi="Times New Roman" w:cs="Times New Roman"/>
        </w:rPr>
        <w:t>9 April 2020</w:t>
      </w:r>
    </w:p>
    <w:p w14:paraId="685098EF" w14:textId="3F866988" w:rsidR="000836CB" w:rsidRDefault="000836CB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7F9E22C6" w14:textId="3C018504" w:rsidR="009E3ED9" w:rsidRDefault="00926263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bookmarkStart w:id="3" w:name="_GoBack"/>
      <w:bookmarkEnd w:id="3"/>
      <w:proofErr w:type="spellStart"/>
      <w:r>
        <w:rPr>
          <w:rFonts w:ascii="Times New Roman" w:hAnsi="Times New Roman" w:cs="Times New Roman"/>
        </w:rPr>
        <w:t>Nerida</w:t>
      </w:r>
      <w:proofErr w:type="spellEnd"/>
      <w:r>
        <w:rPr>
          <w:rFonts w:ascii="Times New Roman" w:hAnsi="Times New Roman" w:cs="Times New Roman"/>
        </w:rPr>
        <w:t xml:space="preserve"> O’Loughlin</w:t>
      </w:r>
    </w:p>
    <w:p w14:paraId="204E8D3D" w14:textId="2CECDE9F" w:rsidR="009E3ED9" w:rsidRDefault="00926263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A56D6F1" w14:textId="70A90C6C" w:rsidR="00703828" w:rsidRDefault="00703828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BD4288">
        <w:rPr>
          <w:rFonts w:ascii="Times New Roman" w:hAnsi="Times New Roman" w:cs="Times New Roman"/>
        </w:rPr>
        <w:t>Member</w:t>
      </w:r>
      <w:bookmarkStart w:id="4" w:name="Minister"/>
    </w:p>
    <w:p w14:paraId="2F746F71" w14:textId="5693B298" w:rsidR="00D46603" w:rsidRDefault="00D46603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3F9E850F" w14:textId="495962CC" w:rsidR="009E3ED9" w:rsidRDefault="00926263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Caruso</w:t>
      </w:r>
    </w:p>
    <w:p w14:paraId="62EEC1A8" w14:textId="0855F320" w:rsidR="009E3ED9" w:rsidRDefault="00926263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0808F8D" w14:textId="3F63638C" w:rsidR="00703828" w:rsidRPr="00BD4288" w:rsidRDefault="001C12ED" w:rsidP="00D46603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926263">
        <w:rPr>
          <w:rFonts w:ascii="Times New Roman" w:hAnsi="Times New Roman" w:cs="Times New Roman"/>
          <w:strike/>
        </w:rPr>
        <w:t>Member</w:t>
      </w:r>
      <w:r w:rsidR="00703828" w:rsidRPr="00BD4288">
        <w:rPr>
          <w:rFonts w:ascii="Times New Roman" w:hAnsi="Times New Roman" w:cs="Times New Roman"/>
        </w:rPr>
        <w:t>/</w:t>
      </w:r>
      <w:r w:rsidR="00703828" w:rsidRPr="009E3ED9">
        <w:rPr>
          <w:rFonts w:ascii="Times New Roman" w:hAnsi="Times New Roman" w:cs="Times New Roman"/>
        </w:rPr>
        <w:t>General Manager</w:t>
      </w:r>
      <w:bookmarkEnd w:id="4"/>
    </w:p>
    <w:p w14:paraId="1F0FF050" w14:textId="77777777" w:rsidR="00703828" w:rsidRPr="00BD4288" w:rsidRDefault="00703828" w:rsidP="00703828">
      <w:pPr>
        <w:pStyle w:val="SignCoverPageEnd"/>
        <w:rPr>
          <w:szCs w:val="22"/>
        </w:rPr>
      </w:pPr>
    </w:p>
    <w:p w14:paraId="4182E99B" w14:textId="77777777" w:rsidR="00703828" w:rsidRPr="00BD4288" w:rsidRDefault="00703828" w:rsidP="00703828">
      <w:pPr>
        <w:pStyle w:val="SignCoverPageEnd"/>
        <w:rPr>
          <w:szCs w:val="22"/>
        </w:rPr>
      </w:pPr>
      <w:r w:rsidRPr="00BD4288">
        <w:rPr>
          <w:szCs w:val="22"/>
        </w:rPr>
        <w:t>Australian Communications and Media Authority</w:t>
      </w:r>
    </w:p>
    <w:p w14:paraId="5648B028" w14:textId="77777777" w:rsidR="0017734A" w:rsidRPr="00BD4288" w:rsidRDefault="0017734A">
      <w:pPr>
        <w:rPr>
          <w:rFonts w:ascii="Times New Roman" w:hAnsi="Times New Roman" w:cs="Times New Roman"/>
        </w:rPr>
      </w:pPr>
    </w:p>
    <w:p w14:paraId="3D9AC7FF" w14:textId="77777777" w:rsidR="0017734A" w:rsidRPr="00BD4288" w:rsidRDefault="0017734A">
      <w:pPr>
        <w:rPr>
          <w:rFonts w:ascii="Times New Roman" w:hAnsi="Times New Roman" w:cs="Times New Roman"/>
        </w:rPr>
      </w:pPr>
    </w:p>
    <w:p w14:paraId="75F756D4" w14:textId="77777777" w:rsidR="0017734A" w:rsidRPr="00BD4288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BD4288" w:rsidRDefault="0017734A">
      <w:pPr>
        <w:rPr>
          <w:rFonts w:ascii="Times New Roman" w:hAnsi="Times New Roman" w:cs="Times New Roman"/>
        </w:rPr>
        <w:sectPr w:rsidR="0017734A" w:rsidRPr="00BD4288" w:rsidSect="002F0E3F"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7D783CB" w14:textId="77777777" w:rsidR="0091792E" w:rsidRPr="00BD4288" w:rsidRDefault="0091792E" w:rsidP="0091792E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5" w:name="_Toc444596031"/>
    </w:p>
    <w:p w14:paraId="5B3FCD21" w14:textId="5D918EBB" w:rsidR="00F31EC9" w:rsidRPr="00BD4288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 w:rsidRPr="00BD4288">
        <w:rPr>
          <w:rStyle w:val="CharSectno"/>
        </w:rPr>
        <w:t>1</w:t>
      </w:r>
      <w:r w:rsidRPr="00BD4288">
        <w:t xml:space="preserve">  Name</w:t>
      </w:r>
      <w:proofErr w:type="gramEnd"/>
    </w:p>
    <w:p w14:paraId="39AD4640" w14:textId="62921300" w:rsidR="00F31EC9" w:rsidRPr="00BD4288" w:rsidRDefault="00F31EC9" w:rsidP="00F31EC9">
      <w:pPr>
        <w:pStyle w:val="subsection"/>
      </w:pPr>
      <w:r w:rsidRPr="00BD4288">
        <w:tab/>
      </w:r>
      <w:r w:rsidRPr="00BD4288">
        <w:tab/>
        <w:t xml:space="preserve">This is the </w:t>
      </w:r>
      <w:bookmarkStart w:id="6" w:name="BKCheck15B_3"/>
      <w:bookmarkStart w:id="7" w:name="_Hlk6916360"/>
      <w:bookmarkEnd w:id="6"/>
      <w:r w:rsidR="00ED5D7A" w:rsidRPr="00ED5D7A">
        <w:rPr>
          <w:i/>
        </w:rPr>
        <w:t>Radiocommunications (Electromagnetic Radiation — Human Exposure) Amendment Standard 20</w:t>
      </w:r>
      <w:r w:rsidR="009E3ED9">
        <w:rPr>
          <w:i/>
        </w:rPr>
        <w:t>20</w:t>
      </w:r>
      <w:r w:rsidR="00ED5D7A" w:rsidRPr="00ED5D7A">
        <w:rPr>
          <w:i/>
        </w:rPr>
        <w:t xml:space="preserve"> (No. 1</w:t>
      </w:r>
      <w:r w:rsidR="007D4F25" w:rsidRPr="00BD4288">
        <w:rPr>
          <w:i/>
        </w:rPr>
        <w:t>)</w:t>
      </w:r>
      <w:bookmarkEnd w:id="7"/>
      <w:r w:rsidRPr="00BD4288">
        <w:t>.</w:t>
      </w:r>
    </w:p>
    <w:p w14:paraId="476CE83B" w14:textId="77777777" w:rsidR="00F31EC9" w:rsidRPr="00BD4288" w:rsidRDefault="00F31EC9" w:rsidP="00F31EC9">
      <w:pPr>
        <w:pStyle w:val="ActHead5"/>
      </w:pPr>
      <w:bookmarkStart w:id="8" w:name="_Toc444596032"/>
      <w:proofErr w:type="gramStart"/>
      <w:r w:rsidRPr="00BD4288">
        <w:rPr>
          <w:rStyle w:val="CharSectno"/>
        </w:rPr>
        <w:t>2</w:t>
      </w:r>
      <w:r w:rsidRPr="00BD4288">
        <w:t xml:space="preserve">  Commencement</w:t>
      </w:r>
      <w:bookmarkEnd w:id="8"/>
      <w:proofErr w:type="gramEnd"/>
    </w:p>
    <w:p w14:paraId="6CF91964" w14:textId="4D8D9599" w:rsidR="00F0197E" w:rsidRPr="00BD4288" w:rsidRDefault="00F31EC9" w:rsidP="00F0197E">
      <w:pPr>
        <w:pStyle w:val="subsection"/>
      </w:pPr>
      <w:r w:rsidRPr="00BD4288">
        <w:tab/>
      </w:r>
      <w:r w:rsidRPr="00BD4288">
        <w:tab/>
        <w:t xml:space="preserve">This instrument commences </w:t>
      </w:r>
      <w:r w:rsidR="00F0197E" w:rsidRPr="00BD4288">
        <w:t xml:space="preserve">at the start of the day after it is registered on the Federal Register of Legislation. </w:t>
      </w:r>
    </w:p>
    <w:p w14:paraId="3DBB2798" w14:textId="14AD2BD2" w:rsidR="00F31EC9" w:rsidRPr="00BD4288" w:rsidRDefault="00F31EC9" w:rsidP="000340E0">
      <w:pPr>
        <w:pStyle w:val="LI-BodyTextNote"/>
        <w:spacing w:before="122"/>
      </w:pPr>
      <w:r w:rsidRPr="00BD4288">
        <w:t>Note:</w:t>
      </w:r>
      <w:r w:rsidRPr="00BD4288">
        <w:tab/>
        <w:t>The Federa</w:t>
      </w:r>
      <w:r w:rsidR="00F26DEC" w:rsidRPr="00BD4288">
        <w:t xml:space="preserve">l Register of Legislation </w:t>
      </w:r>
      <w:r w:rsidRPr="00BD4288">
        <w:t xml:space="preserve">may be accessed </w:t>
      </w:r>
      <w:r w:rsidR="00331677">
        <w:t xml:space="preserve">free of charge </w:t>
      </w:r>
      <w:r w:rsidRPr="00BD4288">
        <w:t xml:space="preserve">at </w:t>
      </w:r>
      <w:hyperlink r:id="rId15" w:history="1">
        <w:r w:rsidRPr="00BD4288">
          <w:rPr>
            <w:rStyle w:val="Hyperlink"/>
            <w:rFonts w:eastAsiaTheme="majorEastAsia"/>
          </w:rPr>
          <w:t>www.legislation.gov.au</w:t>
        </w:r>
      </w:hyperlink>
      <w:r w:rsidRPr="00BD4288">
        <w:t>.</w:t>
      </w:r>
    </w:p>
    <w:p w14:paraId="4FEAC7C9" w14:textId="77777777" w:rsidR="00F31EC9" w:rsidRPr="00BD4288" w:rsidRDefault="00F31EC9" w:rsidP="00F31EC9">
      <w:pPr>
        <w:pStyle w:val="ActHead5"/>
      </w:pPr>
      <w:bookmarkStart w:id="9" w:name="_Toc444596033"/>
      <w:proofErr w:type="gramStart"/>
      <w:r w:rsidRPr="00BD4288">
        <w:rPr>
          <w:rStyle w:val="CharSectno"/>
        </w:rPr>
        <w:t>3</w:t>
      </w:r>
      <w:r w:rsidRPr="00BD4288">
        <w:t xml:space="preserve">  Authority</w:t>
      </w:r>
      <w:bookmarkEnd w:id="9"/>
      <w:proofErr w:type="gramEnd"/>
    </w:p>
    <w:p w14:paraId="7CFF547D" w14:textId="6D80741D" w:rsidR="00F31EC9" w:rsidRPr="00BD4288" w:rsidRDefault="00F31EC9" w:rsidP="00F31EC9">
      <w:pPr>
        <w:pStyle w:val="subsection"/>
      </w:pPr>
      <w:r w:rsidRPr="00BD4288">
        <w:tab/>
      </w:r>
      <w:r w:rsidRPr="00BD4288">
        <w:tab/>
        <w:t xml:space="preserve">This instrument is made under </w:t>
      </w:r>
      <w:r w:rsidR="00DA27CE" w:rsidRPr="00BD4288">
        <w:t xml:space="preserve">subsection </w:t>
      </w:r>
      <w:r w:rsidR="001B653C">
        <w:t xml:space="preserve">162(1) of the </w:t>
      </w:r>
      <w:r w:rsidR="001B653C" w:rsidRPr="001B653C">
        <w:rPr>
          <w:i/>
        </w:rPr>
        <w:t>Radiocommunications Act 1992</w:t>
      </w:r>
      <w:r w:rsidRPr="00BD4288">
        <w:t>.</w:t>
      </w:r>
    </w:p>
    <w:p w14:paraId="6A5943E2" w14:textId="5616ACB3" w:rsidR="00F31EC9" w:rsidRPr="00BD4288" w:rsidRDefault="00F31EC9" w:rsidP="00F31EC9">
      <w:pPr>
        <w:pStyle w:val="ActHead5"/>
      </w:pPr>
      <w:bookmarkStart w:id="10" w:name="_Toc444596034"/>
      <w:proofErr w:type="gramStart"/>
      <w:r w:rsidRPr="00BD4288">
        <w:t xml:space="preserve">4  </w:t>
      </w:r>
      <w:r w:rsidR="00C4249D" w:rsidRPr="00BD4288">
        <w:t>Amendment</w:t>
      </w:r>
      <w:r w:rsidR="00130C48" w:rsidRPr="00BD4288">
        <w:t>s</w:t>
      </w:r>
      <w:proofErr w:type="gramEnd"/>
    </w:p>
    <w:p w14:paraId="7D8E1455" w14:textId="76E80FC6" w:rsidR="00F31EC9" w:rsidRPr="00BD4288" w:rsidRDefault="00F31EC9" w:rsidP="00F31EC9">
      <w:pPr>
        <w:pStyle w:val="subsection"/>
        <w:rPr>
          <w:rStyle w:val="CharSectno"/>
        </w:rPr>
      </w:pPr>
      <w:r w:rsidRPr="00BD4288">
        <w:tab/>
      </w:r>
      <w:r w:rsidRPr="00BD4288">
        <w:tab/>
      </w:r>
      <w:r w:rsidR="00C4249D" w:rsidRPr="00BD4288">
        <w:t>The</w:t>
      </w:r>
      <w:r w:rsidR="00EF6088" w:rsidRPr="00BD4288">
        <w:t xml:space="preserve"> instrument that is specified in Schedule</w:t>
      </w:r>
      <w:r w:rsidR="00C4249D" w:rsidRPr="00BD4288">
        <w:t xml:space="preserve"> 1</w:t>
      </w:r>
      <w:r w:rsidR="00EF6088" w:rsidRPr="00BD4288">
        <w:t xml:space="preserve"> is amended as set ou</w:t>
      </w:r>
      <w:r w:rsidR="00C4249D" w:rsidRPr="00BD4288">
        <w:t>t in the applicable items in</w:t>
      </w:r>
      <w:r w:rsidR="00130C48" w:rsidRPr="00BD4288">
        <w:t xml:space="preserve"> that</w:t>
      </w:r>
      <w:r w:rsidR="00C4249D" w:rsidRPr="00BD4288">
        <w:t xml:space="preserve"> </w:t>
      </w:r>
      <w:r w:rsidR="00EF6088" w:rsidRPr="00BD4288">
        <w:t>Schedul</w:t>
      </w:r>
      <w:r w:rsidR="00C4249D" w:rsidRPr="00BD4288">
        <w:t>e</w:t>
      </w:r>
      <w:r w:rsidR="00EF6088" w:rsidRPr="00BD4288">
        <w:t>.</w:t>
      </w:r>
      <w:r w:rsidR="00EF6088" w:rsidRPr="00BD4288">
        <w:rPr>
          <w:i/>
        </w:rPr>
        <w:t xml:space="preserve"> </w:t>
      </w:r>
    </w:p>
    <w:bookmarkEnd w:id="10"/>
    <w:p w14:paraId="0210BC6A" w14:textId="190BC6ED" w:rsidR="00F31EC9" w:rsidRPr="00BD4288" w:rsidRDefault="00F31EC9" w:rsidP="00F856A6">
      <w:pPr>
        <w:pStyle w:val="notetext"/>
      </w:pPr>
      <w:r w:rsidRPr="00BD4288">
        <w:t xml:space="preserve"> </w:t>
      </w:r>
    </w:p>
    <w:bookmarkEnd w:id="5"/>
    <w:p w14:paraId="73817C1C" w14:textId="77777777" w:rsidR="0091792E" w:rsidRPr="00BD4288" w:rsidRDefault="0091792E">
      <w:pPr>
        <w:rPr>
          <w:rFonts w:ascii="Times New Roman" w:hAnsi="Times New Roman" w:cs="Times New Roman"/>
          <w:b/>
          <w:sz w:val="24"/>
          <w:szCs w:val="24"/>
        </w:rPr>
        <w:sectPr w:rsidR="0091792E" w:rsidRPr="00BD4288" w:rsidSect="00570159">
          <w:headerReference w:type="default" r:id="rId16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5C0412ED" w14:textId="024BCC10" w:rsidR="006F5CF2" w:rsidRDefault="00265688" w:rsidP="0091792E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 w:rsidRPr="00BD4288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6F5CF2" w:rsidRPr="00BD4288">
        <w:rPr>
          <w:rFonts w:ascii="Arial" w:hAnsi="Arial" w:cs="Arial"/>
          <w:sz w:val="32"/>
          <w:szCs w:val="32"/>
        </w:rPr>
        <w:t>—</w:t>
      </w:r>
      <w:r w:rsidRPr="00BD4288">
        <w:rPr>
          <w:rFonts w:ascii="Arial" w:hAnsi="Arial" w:cs="Arial"/>
          <w:sz w:val="32"/>
          <w:szCs w:val="32"/>
        </w:rPr>
        <w:t>Amendments</w:t>
      </w:r>
    </w:p>
    <w:p w14:paraId="30E033DE" w14:textId="5B48D98A" w:rsidR="00660F02" w:rsidRPr="00834C2E" w:rsidRDefault="00660F02" w:rsidP="00834C2E">
      <w:pPr>
        <w:pStyle w:val="subsection"/>
        <w:spacing w:before="0"/>
      </w:pPr>
      <w:r>
        <w:rPr>
          <w:rStyle w:val="CharSectno"/>
          <w:bCs/>
          <w:sz w:val="18"/>
          <w:szCs w:val="18"/>
        </w:rPr>
        <w:tab/>
      </w:r>
      <w:r>
        <w:rPr>
          <w:rStyle w:val="CharSectno"/>
          <w:bCs/>
          <w:sz w:val="18"/>
          <w:szCs w:val="18"/>
        </w:rPr>
        <w:tab/>
        <w:t>(section 4)</w:t>
      </w:r>
    </w:p>
    <w:p w14:paraId="5B1178A7" w14:textId="0D4DCE4A" w:rsidR="00265688" w:rsidRPr="003243BB" w:rsidRDefault="003243BB" w:rsidP="003243BB">
      <w:pPr>
        <w:pStyle w:val="ActHead9"/>
        <w:ind w:left="0" w:firstLine="0"/>
        <w:rPr>
          <w:bCs/>
          <w:szCs w:val="28"/>
        </w:rPr>
      </w:pPr>
      <w:bookmarkStart w:id="11" w:name="_Toc444596036"/>
      <w:r w:rsidRPr="003243BB">
        <w:rPr>
          <w:bCs/>
          <w:szCs w:val="28"/>
        </w:rPr>
        <w:t>Radiocommunications (Electromagnetic Radiation — Human Exposure) Standard 2014</w:t>
      </w:r>
      <w:r w:rsidRPr="003243BB">
        <w:rPr>
          <w:szCs w:val="28"/>
        </w:rPr>
        <w:t xml:space="preserve"> </w:t>
      </w:r>
      <w:r w:rsidR="00DA27CE" w:rsidRPr="00BD4288">
        <w:rPr>
          <w:b w:val="0"/>
          <w:szCs w:val="28"/>
        </w:rPr>
        <w:t>(</w:t>
      </w:r>
      <w:r w:rsidR="00156794" w:rsidRPr="00BD4288">
        <w:rPr>
          <w:rStyle w:val="legsubtitle1"/>
          <w:b/>
          <w:szCs w:val="28"/>
        </w:rPr>
        <w:t>F201</w:t>
      </w:r>
      <w:r>
        <w:rPr>
          <w:rStyle w:val="legsubtitle1"/>
          <w:b/>
          <w:szCs w:val="28"/>
        </w:rPr>
        <w:t>4L00960</w:t>
      </w:r>
      <w:r w:rsidR="00156794" w:rsidRPr="00BD4288">
        <w:rPr>
          <w:rStyle w:val="legsubtitle1"/>
          <w:b/>
          <w:szCs w:val="28"/>
        </w:rPr>
        <w:t>)</w:t>
      </w:r>
    </w:p>
    <w:p w14:paraId="68A79D2C" w14:textId="56445B41" w:rsidR="0098197A" w:rsidRDefault="00BA1733" w:rsidP="0098197A">
      <w:pPr>
        <w:pStyle w:val="ItemHead"/>
      </w:pPr>
      <w:proofErr w:type="gramStart"/>
      <w:r>
        <w:t>1</w:t>
      </w:r>
      <w:r w:rsidRPr="00BD4288">
        <w:t xml:space="preserve">  </w:t>
      </w:r>
      <w:r w:rsidR="0098197A">
        <w:t>Subsection</w:t>
      </w:r>
      <w:proofErr w:type="gramEnd"/>
      <w:r w:rsidR="0098197A">
        <w:t xml:space="preserve"> 5(1) (</w:t>
      </w:r>
      <w:r w:rsidR="00C60608">
        <w:t xml:space="preserve">after the </w:t>
      </w:r>
      <w:r w:rsidR="0098197A">
        <w:t xml:space="preserve">definition of </w:t>
      </w:r>
      <w:r w:rsidR="00C60608">
        <w:rPr>
          <w:i/>
          <w:iCs/>
        </w:rPr>
        <w:t>IEC 62209-2</w:t>
      </w:r>
      <w:r w:rsidR="0098197A">
        <w:t>)</w:t>
      </w:r>
    </w:p>
    <w:p w14:paraId="01457EA6" w14:textId="29881818" w:rsidR="0098197A" w:rsidRDefault="00C60608" w:rsidP="00700139">
      <w:pPr>
        <w:pStyle w:val="Item"/>
      </w:pPr>
      <w:r>
        <w:t>Insert</w:t>
      </w:r>
      <w:r w:rsidR="0098197A">
        <w:t>:</w:t>
      </w:r>
    </w:p>
    <w:p w14:paraId="0B266913" w14:textId="77777777" w:rsidR="00802D9D" w:rsidRDefault="0098197A" w:rsidP="00700139">
      <w:pPr>
        <w:pStyle w:val="ItemHead"/>
        <w:spacing w:before="120"/>
        <w:rPr>
          <w:rFonts w:ascii="Times New Roman" w:hAnsi="Times New Roman"/>
          <w:b w:val="0"/>
          <w:kern w:val="0"/>
          <w:sz w:val="22"/>
        </w:rPr>
      </w:pPr>
      <w:r>
        <w:tab/>
      </w:r>
      <w:bookmarkStart w:id="12" w:name="_Hlk29370697"/>
      <w:r w:rsidR="00C60608">
        <w:rPr>
          <w:rFonts w:ascii="Times New Roman" w:hAnsi="Times New Roman"/>
          <w:bCs/>
          <w:i/>
          <w:iCs/>
          <w:kern w:val="0"/>
          <w:sz w:val="22"/>
        </w:rPr>
        <w:t>IEC TR 63170</w:t>
      </w:r>
      <w:r>
        <w:rPr>
          <w:rFonts w:ascii="Times New Roman" w:hAnsi="Times New Roman"/>
          <w:bCs/>
          <w:kern w:val="0"/>
          <w:sz w:val="22"/>
        </w:rPr>
        <w:t xml:space="preserve"> </w:t>
      </w:r>
      <w:bookmarkEnd w:id="12"/>
      <w:r>
        <w:rPr>
          <w:rFonts w:ascii="Times New Roman" w:hAnsi="Times New Roman"/>
          <w:b w:val="0"/>
          <w:kern w:val="0"/>
          <w:sz w:val="22"/>
        </w:rPr>
        <w:t>means</w:t>
      </w:r>
      <w:r w:rsidR="00802D9D">
        <w:rPr>
          <w:rFonts w:ascii="Times New Roman" w:hAnsi="Times New Roman"/>
          <w:b w:val="0"/>
          <w:kern w:val="0"/>
          <w:sz w:val="22"/>
        </w:rPr>
        <w:t>:</w:t>
      </w:r>
    </w:p>
    <w:p w14:paraId="5B99C083" w14:textId="2875D7CA" w:rsidR="00802D9D" w:rsidRPr="00802D9D" w:rsidRDefault="00802D9D" w:rsidP="00802D9D">
      <w:pPr>
        <w:pStyle w:val="ItemHead"/>
        <w:numPr>
          <w:ilvl w:val="0"/>
          <w:numId w:val="23"/>
        </w:numPr>
        <w:spacing w:before="120"/>
        <w:rPr>
          <w:rFonts w:ascii="Times New Roman" w:hAnsi="Times New Roman" w:cs="Calibri"/>
          <w:b w:val="0"/>
          <w:kern w:val="0"/>
          <w:sz w:val="22"/>
          <w:szCs w:val="22"/>
          <w:lang w:eastAsia="en-US"/>
        </w:rPr>
      </w:pPr>
      <w:r w:rsidRPr="00C60608">
        <w:rPr>
          <w:rFonts w:ascii="Times New Roman" w:hAnsi="Times New Roman" w:cs="Calibri"/>
          <w:b w:val="0"/>
          <w:i/>
          <w:iCs/>
          <w:kern w:val="0"/>
          <w:sz w:val="22"/>
          <w:szCs w:val="22"/>
          <w:lang w:eastAsia="en-US"/>
        </w:rPr>
        <w:t>IEC TR 63170:2018 – Measurement procedure for the evaluation of power density related to human exposure to radio frequency fields from wireless communication devices operating between 6 GHz and 100 GHz</w:t>
      </w:r>
      <w:r>
        <w:rPr>
          <w:rFonts w:ascii="Times New Roman" w:hAnsi="Times New Roman" w:cs="Calibri"/>
          <w:b w:val="0"/>
          <w:kern w:val="0"/>
          <w:sz w:val="22"/>
          <w:szCs w:val="22"/>
          <w:lang w:eastAsia="en-US"/>
        </w:rPr>
        <w:t>, published by the International Electrotechnical Commission (IEC)</w:t>
      </w:r>
      <w:r w:rsidRPr="00802D9D">
        <w:rPr>
          <w:rFonts w:ascii="Times New Roman" w:hAnsi="Times New Roman"/>
          <w:b w:val="0"/>
          <w:kern w:val="0"/>
          <w:sz w:val="22"/>
        </w:rPr>
        <w:t>; or</w:t>
      </w:r>
    </w:p>
    <w:p w14:paraId="347B4DCA" w14:textId="5BCF5181" w:rsidR="00802D9D" w:rsidRPr="00145DB8" w:rsidRDefault="00802D9D" w:rsidP="00802D9D">
      <w:pPr>
        <w:pStyle w:val="Item"/>
        <w:numPr>
          <w:ilvl w:val="0"/>
          <w:numId w:val="23"/>
        </w:numPr>
        <w:spacing w:before="60"/>
      </w:pPr>
      <w:r>
        <w:t>if a later document published by t</w:t>
      </w:r>
      <w:r w:rsidRPr="00802D9D">
        <w:t>he International Electrotechnical Commission (IEC)</w:t>
      </w:r>
      <w:r w:rsidR="009646DB">
        <w:t xml:space="preserve"> </w:t>
      </w:r>
      <w:r>
        <w:t>is expressed to replace the document mentioned in paragraph (a) – the later document.</w:t>
      </w:r>
    </w:p>
    <w:p w14:paraId="2B97A3FF" w14:textId="41AB1619" w:rsidR="005D10BA" w:rsidRDefault="00802D9D" w:rsidP="00802D9D">
      <w:pPr>
        <w:pStyle w:val="ItemHead"/>
        <w:ind w:firstLine="0"/>
      </w:pPr>
      <w:r w:rsidRPr="00B312F3">
        <w:rPr>
          <w:rFonts w:ascii="Times New Roman" w:hAnsi="Times New Roman"/>
          <w:b w:val="0"/>
          <w:i/>
          <w:iCs/>
          <w:kern w:val="0"/>
          <w:sz w:val="18"/>
          <w:szCs w:val="18"/>
        </w:rPr>
        <w:t>Note</w:t>
      </w:r>
      <w:r w:rsidRPr="00775AE8">
        <w:rPr>
          <w:i/>
          <w:iCs/>
          <w:sz w:val="18"/>
          <w:szCs w:val="18"/>
        </w:rPr>
        <w:tab/>
      </w:r>
      <w:r w:rsidRPr="00802D9D">
        <w:rPr>
          <w:rFonts w:ascii="Times New Roman" w:hAnsi="Times New Roman"/>
          <w:b w:val="0"/>
          <w:bCs/>
          <w:i/>
          <w:iCs/>
          <w:kern w:val="0"/>
          <w:sz w:val="18"/>
          <w:szCs w:val="18"/>
        </w:rPr>
        <w:t>IEC TR 63170</w:t>
      </w:r>
      <w:r w:rsidRPr="00802D9D">
        <w:rPr>
          <w:rFonts w:ascii="Times New Roman" w:hAnsi="Times New Roman"/>
          <w:b w:val="0"/>
          <w:bCs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kern w:val="0"/>
          <w:sz w:val="18"/>
          <w:szCs w:val="18"/>
        </w:rPr>
        <w:t xml:space="preserve">may be obtained for a fee from </w:t>
      </w:r>
      <w:bookmarkStart w:id="13" w:name="_Hlk18594729"/>
      <w:r w:rsidR="00D115C4" w:rsidRPr="00D115C4">
        <w:rPr>
          <w:rFonts w:ascii="Times New Roman" w:hAnsi="Times New Roman"/>
          <w:b w:val="0"/>
          <w:kern w:val="0"/>
          <w:sz w:val="18"/>
          <w:szCs w:val="18"/>
        </w:rPr>
        <w:t>a Standards Australia distributor listed on the Standards Australia website </w:t>
      </w:r>
      <w:bookmarkEnd w:id="13"/>
      <w:r w:rsidR="00D115C4" w:rsidRPr="00D115C4">
        <w:rPr>
          <w:rFonts w:ascii="Times New Roman" w:hAnsi="Times New Roman"/>
          <w:b w:val="0"/>
          <w:kern w:val="0"/>
          <w:sz w:val="18"/>
          <w:szCs w:val="18"/>
        </w:rPr>
        <w:t> (</w:t>
      </w:r>
      <w:hyperlink r:id="rId17" w:history="1">
        <w:r w:rsidR="00D115C4" w:rsidRPr="00D115C4">
          <w:rPr>
            <w:rStyle w:val="Hyperlink"/>
            <w:rFonts w:ascii="Times New Roman" w:hAnsi="Times New Roman"/>
            <w:b w:val="0"/>
            <w:kern w:val="0"/>
            <w:sz w:val="18"/>
            <w:szCs w:val="18"/>
          </w:rPr>
          <w:t>https://www.standards.org.au/search-for-a-standard</w:t>
        </w:r>
      </w:hyperlink>
      <w:r w:rsidR="00D115C4" w:rsidRPr="00D115C4">
        <w:rPr>
          <w:rFonts w:ascii="Times New Roman" w:hAnsi="Times New Roman"/>
          <w:b w:val="0"/>
          <w:kern w:val="0"/>
          <w:sz w:val="18"/>
          <w:szCs w:val="18"/>
        </w:rPr>
        <w:t>)</w:t>
      </w:r>
      <w:r>
        <w:rPr>
          <w:rFonts w:ascii="Times New Roman" w:hAnsi="Times New Roman"/>
          <w:b w:val="0"/>
          <w:kern w:val="0"/>
          <w:sz w:val="18"/>
          <w:szCs w:val="18"/>
        </w:rPr>
        <w:t xml:space="preserve"> </w:t>
      </w:r>
      <w:r w:rsidRPr="00850126">
        <w:rPr>
          <w:rFonts w:ascii="Times New Roman" w:hAnsi="Times New Roman"/>
          <w:b w:val="0"/>
          <w:kern w:val="0"/>
          <w:sz w:val="18"/>
          <w:szCs w:val="18"/>
          <w:lang w:val="en-US"/>
        </w:rPr>
        <w:t xml:space="preserve">or can otherwise be made available for viewing on </w:t>
      </w:r>
      <w:r>
        <w:rPr>
          <w:rFonts w:ascii="Times New Roman" w:hAnsi="Times New Roman"/>
          <w:b w:val="0"/>
          <w:kern w:val="0"/>
          <w:sz w:val="18"/>
          <w:szCs w:val="18"/>
          <w:lang w:val="en-US"/>
        </w:rPr>
        <w:t xml:space="preserve">prior </w:t>
      </w:r>
      <w:r w:rsidRPr="00850126">
        <w:rPr>
          <w:rFonts w:ascii="Times New Roman" w:hAnsi="Times New Roman"/>
          <w:b w:val="0"/>
          <w:kern w:val="0"/>
          <w:sz w:val="18"/>
          <w:szCs w:val="18"/>
          <w:lang w:val="en-US"/>
        </w:rPr>
        <w:t xml:space="preserve">request </w:t>
      </w:r>
      <w:r>
        <w:rPr>
          <w:rFonts w:ascii="Times New Roman" w:hAnsi="Times New Roman"/>
          <w:b w:val="0"/>
          <w:kern w:val="0"/>
          <w:sz w:val="18"/>
          <w:szCs w:val="18"/>
          <w:lang w:val="en-US"/>
        </w:rPr>
        <w:t>at</w:t>
      </w:r>
      <w:r w:rsidRPr="00850126">
        <w:rPr>
          <w:rFonts w:ascii="Times New Roman" w:hAnsi="Times New Roman"/>
          <w:b w:val="0"/>
          <w:kern w:val="0"/>
          <w:sz w:val="18"/>
          <w:szCs w:val="18"/>
          <w:lang w:val="en-US"/>
        </w:rPr>
        <w:t xml:space="preserve"> an ACMA office, subject to licensing conditions</w:t>
      </w:r>
      <w:r>
        <w:rPr>
          <w:rFonts w:ascii="Times New Roman" w:hAnsi="Times New Roman"/>
          <w:b w:val="0"/>
          <w:kern w:val="0"/>
          <w:sz w:val="18"/>
          <w:szCs w:val="18"/>
          <w:lang w:val="en-US"/>
        </w:rPr>
        <w:t>.</w:t>
      </w:r>
    </w:p>
    <w:p w14:paraId="52711461" w14:textId="1172E899" w:rsidR="00CD7078" w:rsidRDefault="00CD7078" w:rsidP="00EB059B">
      <w:pPr>
        <w:pStyle w:val="ItemHead"/>
      </w:pPr>
      <w:proofErr w:type="gramStart"/>
      <w:r>
        <w:t>2  Paragraph</w:t>
      </w:r>
      <w:proofErr w:type="gramEnd"/>
      <w:r>
        <w:t xml:space="preserve"> 6(2)(f)</w:t>
      </w:r>
    </w:p>
    <w:p w14:paraId="0051E431" w14:textId="16B20330" w:rsidR="00CD7078" w:rsidRPr="003A5E56" w:rsidRDefault="00CD7078" w:rsidP="003A5E56">
      <w:pPr>
        <w:pStyle w:val="Item"/>
      </w:pPr>
      <w:r>
        <w:t>Omit “subsections 9(1), 10(1) or 11(1)”, substitute “subsections 9(1), 9</w:t>
      </w:r>
      <w:proofErr w:type="gramStart"/>
      <w:r>
        <w:t>B(</w:t>
      </w:r>
      <w:proofErr w:type="gramEnd"/>
      <w:r>
        <w:t>1), 10(1), 10A(1) or 11(1)”.</w:t>
      </w:r>
    </w:p>
    <w:p w14:paraId="387A066B" w14:textId="31905625" w:rsidR="00EB059B" w:rsidRDefault="00CD7078" w:rsidP="00EB059B">
      <w:pPr>
        <w:pStyle w:val="ItemHead"/>
      </w:pPr>
      <w:proofErr w:type="gramStart"/>
      <w:r>
        <w:t>3</w:t>
      </w:r>
      <w:r w:rsidR="00EB059B">
        <w:t xml:space="preserve">  Subsection</w:t>
      </w:r>
      <w:proofErr w:type="gramEnd"/>
      <w:r w:rsidR="00EB059B">
        <w:t xml:space="preserve"> 8(1)</w:t>
      </w:r>
    </w:p>
    <w:p w14:paraId="5E6A0879" w14:textId="45E7754D" w:rsidR="00885C1D" w:rsidRDefault="000C104E" w:rsidP="00885C1D">
      <w:pPr>
        <w:pStyle w:val="Item"/>
      </w:pPr>
      <w:r>
        <w:t>Omit</w:t>
      </w:r>
      <w:r w:rsidR="00885C1D">
        <w:t xml:space="preserve"> “</w:t>
      </w:r>
      <w:r>
        <w:t>section 9, 10 or 11</w:t>
      </w:r>
      <w:r w:rsidR="00885C1D">
        <w:t xml:space="preserve">”, </w:t>
      </w:r>
      <w:r>
        <w:t>substitute</w:t>
      </w:r>
      <w:r w:rsidR="00885C1D">
        <w:t xml:space="preserve"> “</w:t>
      </w:r>
      <w:r>
        <w:t>section 9, 9B, 10, 10A or 11</w:t>
      </w:r>
      <w:r w:rsidR="00885C1D">
        <w:t>”</w:t>
      </w:r>
      <w:r>
        <w:t>.</w:t>
      </w:r>
    </w:p>
    <w:p w14:paraId="3C5507B8" w14:textId="09459C3E" w:rsidR="00EB059B" w:rsidRDefault="00CD7078" w:rsidP="00EB059B">
      <w:pPr>
        <w:pStyle w:val="ItemHead"/>
      </w:pPr>
      <w:proofErr w:type="gramStart"/>
      <w:r>
        <w:t>4</w:t>
      </w:r>
      <w:r w:rsidR="00EB059B">
        <w:t xml:space="preserve">  Subsection</w:t>
      </w:r>
      <w:proofErr w:type="gramEnd"/>
      <w:r w:rsidR="00EB059B">
        <w:t xml:space="preserve"> 8(2)</w:t>
      </w:r>
    </w:p>
    <w:p w14:paraId="6B9BBAFC" w14:textId="5B8BDFF1" w:rsidR="000C104E" w:rsidRDefault="000C104E" w:rsidP="000C104E">
      <w:pPr>
        <w:pStyle w:val="Item"/>
      </w:pPr>
      <w:r>
        <w:t>Omit “section 9, 10 or 11”, substitute “section 9, 9B, 10, 10A or 11”.</w:t>
      </w:r>
    </w:p>
    <w:p w14:paraId="3425A9D7" w14:textId="4E879EFC" w:rsidR="001A1BFE" w:rsidRDefault="00CD7078" w:rsidP="001A1BFE">
      <w:pPr>
        <w:pStyle w:val="ItemHead"/>
      </w:pPr>
      <w:proofErr w:type="gramStart"/>
      <w:r>
        <w:t>5</w:t>
      </w:r>
      <w:r w:rsidR="00A64DDF">
        <w:t xml:space="preserve">  </w:t>
      </w:r>
      <w:r w:rsidR="0015584B">
        <w:t>Section</w:t>
      </w:r>
      <w:proofErr w:type="gramEnd"/>
      <w:r w:rsidR="0015584B">
        <w:t xml:space="preserve"> 9 (heading)</w:t>
      </w:r>
    </w:p>
    <w:p w14:paraId="5F34D267" w14:textId="2EDA28E0" w:rsidR="003F7A2A" w:rsidRDefault="0015584B" w:rsidP="003F7A2A">
      <w:pPr>
        <w:pStyle w:val="Item"/>
      </w:pPr>
      <w:r>
        <w:t>After “</w:t>
      </w:r>
      <w:r w:rsidR="00317BC2">
        <w:rPr>
          <w:rFonts w:ascii="Arial" w:hAnsi="Arial"/>
          <w:b/>
          <w:kern w:val="28"/>
          <w:sz w:val="24"/>
        </w:rPr>
        <w:t>proximity to the human ear</w:t>
      </w:r>
      <w:r>
        <w:t>”</w:t>
      </w:r>
      <w:r w:rsidR="00D35A52">
        <w:t>,</w:t>
      </w:r>
      <w:r>
        <w:t xml:space="preserve"> insert</w:t>
      </w:r>
      <w:r w:rsidR="00D35A52">
        <w:t xml:space="preserve"> </w:t>
      </w:r>
      <w:proofErr w:type="gramStart"/>
      <w:r w:rsidR="00D35A52">
        <w:t xml:space="preserve">“ </w:t>
      </w:r>
      <w:r w:rsidR="00317BC2">
        <w:rPr>
          <w:rFonts w:ascii="Arial" w:hAnsi="Arial"/>
          <w:b/>
          <w:kern w:val="28"/>
          <w:sz w:val="24"/>
        </w:rPr>
        <w:t>–</w:t>
      </w:r>
      <w:proofErr w:type="gramEnd"/>
      <w:r w:rsidR="00317BC2">
        <w:rPr>
          <w:rFonts w:ascii="Arial" w:hAnsi="Arial"/>
          <w:b/>
          <w:kern w:val="28"/>
          <w:sz w:val="24"/>
        </w:rPr>
        <w:t xml:space="preserve"> 300MHz to 6GHz</w:t>
      </w:r>
      <w:r w:rsidR="00D35A52">
        <w:t>”</w:t>
      </w:r>
    </w:p>
    <w:p w14:paraId="1E0A97B3" w14:textId="43EB06AF" w:rsidR="00592E1B" w:rsidRDefault="00CD7078" w:rsidP="00592E1B">
      <w:pPr>
        <w:pStyle w:val="ItemHead"/>
      </w:pPr>
      <w:proofErr w:type="gramStart"/>
      <w:r>
        <w:t>6</w:t>
      </w:r>
      <w:r w:rsidR="00592E1B">
        <w:t xml:space="preserve">  Section</w:t>
      </w:r>
      <w:proofErr w:type="gramEnd"/>
      <w:r w:rsidR="00592E1B">
        <w:t xml:space="preserve"> 9A (heading)</w:t>
      </w:r>
    </w:p>
    <w:p w14:paraId="13F8353D" w14:textId="0EFE9E28" w:rsidR="00592E1B" w:rsidRDefault="00592E1B" w:rsidP="000A1B61">
      <w:pPr>
        <w:pStyle w:val="Item"/>
      </w:pPr>
      <w:r>
        <w:t>After “</w:t>
      </w:r>
      <w:r w:rsidR="00317BC2">
        <w:rPr>
          <w:rFonts w:ascii="Arial" w:hAnsi="Arial"/>
          <w:b/>
          <w:kern w:val="28"/>
          <w:sz w:val="24"/>
        </w:rPr>
        <w:t>proximity to the human ear</w:t>
      </w:r>
      <w:r>
        <w:t xml:space="preserve">”, insert </w:t>
      </w:r>
      <w:proofErr w:type="gramStart"/>
      <w:r w:rsidR="00317BC2">
        <w:t xml:space="preserve">“ </w:t>
      </w:r>
      <w:r w:rsidR="00317BC2" w:rsidRPr="00642362">
        <w:rPr>
          <w:rFonts w:ascii="Arial" w:hAnsi="Arial"/>
          <w:b/>
          <w:kern w:val="28"/>
          <w:sz w:val="24"/>
        </w:rPr>
        <w:t>–</w:t>
      </w:r>
      <w:proofErr w:type="gramEnd"/>
      <w:r w:rsidR="00317BC2" w:rsidRPr="00642362">
        <w:rPr>
          <w:rFonts w:ascii="Arial" w:hAnsi="Arial"/>
          <w:b/>
          <w:kern w:val="28"/>
          <w:sz w:val="24"/>
        </w:rPr>
        <w:t xml:space="preserve"> 300MHz to </w:t>
      </w:r>
      <w:r w:rsidR="00317BC2">
        <w:rPr>
          <w:rFonts w:ascii="Arial" w:hAnsi="Arial"/>
          <w:b/>
          <w:kern w:val="28"/>
          <w:sz w:val="24"/>
        </w:rPr>
        <w:t>3</w:t>
      </w:r>
      <w:r w:rsidR="00317BC2" w:rsidRPr="00642362">
        <w:rPr>
          <w:rFonts w:ascii="Arial" w:hAnsi="Arial"/>
          <w:b/>
          <w:kern w:val="28"/>
          <w:sz w:val="24"/>
        </w:rPr>
        <w:t>GHz</w:t>
      </w:r>
      <w:r>
        <w:t>”</w:t>
      </w:r>
    </w:p>
    <w:p w14:paraId="765FD0B3" w14:textId="2A6C38F3" w:rsidR="00BA1733" w:rsidRPr="00BD4288" w:rsidRDefault="00CD7078" w:rsidP="00BA1733">
      <w:pPr>
        <w:pStyle w:val="ItemHead"/>
      </w:pPr>
      <w:proofErr w:type="gramStart"/>
      <w:r>
        <w:t>7</w:t>
      </w:r>
      <w:r w:rsidR="003F7A2A">
        <w:t xml:space="preserve">  </w:t>
      </w:r>
      <w:r w:rsidR="00D35A52">
        <w:t>After</w:t>
      </w:r>
      <w:proofErr w:type="gramEnd"/>
      <w:r w:rsidR="00D35A52">
        <w:t xml:space="preserve"> section 9A</w:t>
      </w:r>
      <w:r w:rsidR="00517FA7" w:rsidRPr="00517FA7">
        <w:t> </w:t>
      </w:r>
    </w:p>
    <w:p w14:paraId="5BDEE8C2" w14:textId="77777777" w:rsidR="00D35A52" w:rsidRPr="0003480E" w:rsidRDefault="00D35A52" w:rsidP="0003480E">
      <w:pPr>
        <w:pStyle w:val="Item"/>
        <w:rPr>
          <w:kern w:val="28"/>
          <w:szCs w:val="22"/>
        </w:rPr>
      </w:pPr>
      <w:r w:rsidRPr="0003480E">
        <w:rPr>
          <w:kern w:val="28"/>
          <w:szCs w:val="22"/>
        </w:rPr>
        <w:t>Insert:</w:t>
      </w:r>
    </w:p>
    <w:p w14:paraId="11943644" w14:textId="2A7E8399" w:rsidR="00D35A52" w:rsidRPr="00117B43" w:rsidRDefault="00D35A52" w:rsidP="00D35A52">
      <w:pPr>
        <w:pStyle w:val="ItemHead"/>
        <w:spacing w:before="120"/>
        <w:ind w:left="1276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9B</w:t>
      </w:r>
      <w:r w:rsidRPr="00117B43">
        <w:rPr>
          <w:rFonts w:cs="Arial"/>
          <w:sz w:val="22"/>
          <w:szCs w:val="22"/>
        </w:rPr>
        <w:tab/>
      </w:r>
      <w:r w:rsidR="002A1832" w:rsidRPr="002A1832">
        <w:rPr>
          <w:rFonts w:cs="Arial"/>
          <w:sz w:val="22"/>
          <w:szCs w:val="22"/>
        </w:rPr>
        <w:t>Measurement methods for performance standards: aware user device or non</w:t>
      </w:r>
      <w:r w:rsidR="002A1832" w:rsidRPr="002A1832">
        <w:rPr>
          <w:rFonts w:cs="Arial"/>
          <w:sz w:val="22"/>
          <w:szCs w:val="22"/>
        </w:rPr>
        <w:noBreakHyphen/>
        <w:t xml:space="preserve">aware user device </w:t>
      </w:r>
      <w:proofErr w:type="gramStart"/>
      <w:r w:rsidR="002A1832" w:rsidRPr="002A1832">
        <w:rPr>
          <w:rFonts w:cs="Arial"/>
          <w:sz w:val="22"/>
          <w:szCs w:val="22"/>
        </w:rPr>
        <w:t>in close proximity to</w:t>
      </w:r>
      <w:proofErr w:type="gramEnd"/>
      <w:r w:rsidR="002A1832" w:rsidRPr="002A1832">
        <w:rPr>
          <w:rFonts w:cs="Arial"/>
          <w:sz w:val="22"/>
          <w:szCs w:val="22"/>
        </w:rPr>
        <w:t xml:space="preserve"> the human ear</w:t>
      </w:r>
      <w:r w:rsidR="002A1832">
        <w:rPr>
          <w:rFonts w:cs="Arial"/>
          <w:sz w:val="22"/>
          <w:szCs w:val="22"/>
        </w:rPr>
        <w:t xml:space="preserve"> – 6GHz to 100GHz</w:t>
      </w:r>
    </w:p>
    <w:p w14:paraId="5E672EA1" w14:textId="3E22C95E" w:rsidR="00D35A52" w:rsidRPr="00117B43" w:rsidRDefault="00384731" w:rsidP="002A1832">
      <w:pPr>
        <w:pStyle w:val="Item"/>
        <w:numPr>
          <w:ilvl w:val="0"/>
          <w:numId w:val="24"/>
        </w:numPr>
        <w:tabs>
          <w:tab w:val="left" w:pos="1276"/>
        </w:tabs>
        <w:spacing w:before="120"/>
      </w:pPr>
      <w:r>
        <w:rPr>
          <w:kern w:val="28"/>
          <w:szCs w:val="22"/>
        </w:rPr>
        <w:t>Subject to section 9C, t</w:t>
      </w:r>
      <w:r w:rsidR="002A1832">
        <w:rPr>
          <w:kern w:val="28"/>
          <w:szCs w:val="22"/>
        </w:rPr>
        <w:t xml:space="preserve">his section applies to an </w:t>
      </w:r>
      <w:r w:rsidR="002A1832" w:rsidRPr="005A41FC">
        <w:t>aware user device or non</w:t>
      </w:r>
      <w:r w:rsidR="002A1832">
        <w:noBreakHyphen/>
      </w:r>
      <w:r w:rsidR="002A1832" w:rsidRPr="005A41FC">
        <w:t xml:space="preserve">aware user device </w:t>
      </w:r>
      <w:r w:rsidR="00D35A52" w:rsidRPr="002A1832">
        <w:rPr>
          <w:kern w:val="28"/>
          <w:szCs w:val="22"/>
        </w:rPr>
        <w:t xml:space="preserve">to which this Standard applies </w:t>
      </w:r>
      <w:r w:rsidR="00D87D95">
        <w:rPr>
          <w:kern w:val="28"/>
          <w:szCs w:val="22"/>
        </w:rPr>
        <w:t>that</w:t>
      </w:r>
      <w:r w:rsidR="00D35A52" w:rsidRPr="002A1832">
        <w:rPr>
          <w:kern w:val="28"/>
          <w:szCs w:val="22"/>
        </w:rPr>
        <w:t>:</w:t>
      </w:r>
    </w:p>
    <w:p w14:paraId="32E1C9CA" w14:textId="77777777" w:rsidR="00D87D95" w:rsidRPr="00D87D95" w:rsidRDefault="00D87D95" w:rsidP="00D35A52">
      <w:pPr>
        <w:pStyle w:val="Item"/>
        <w:numPr>
          <w:ilvl w:val="0"/>
          <w:numId w:val="8"/>
        </w:numPr>
      </w:pPr>
      <w:r w:rsidRPr="00D87D95">
        <w:rPr>
          <w:kern w:val="28"/>
          <w:szCs w:val="22"/>
        </w:rPr>
        <w:t>is designed to be used or held with the radiating part of the aware user device or non</w:t>
      </w:r>
      <w:r w:rsidRPr="00D87D95">
        <w:rPr>
          <w:kern w:val="28"/>
          <w:szCs w:val="22"/>
        </w:rPr>
        <w:noBreakHyphen/>
        <w:t xml:space="preserve">aware user device </w:t>
      </w:r>
      <w:proofErr w:type="gramStart"/>
      <w:r w:rsidRPr="00D87D95">
        <w:rPr>
          <w:kern w:val="28"/>
          <w:szCs w:val="22"/>
        </w:rPr>
        <w:t>in close proximity to</w:t>
      </w:r>
      <w:proofErr w:type="gramEnd"/>
      <w:r w:rsidRPr="00D87D95">
        <w:rPr>
          <w:kern w:val="28"/>
          <w:szCs w:val="22"/>
        </w:rPr>
        <w:t xml:space="preserve"> the human ear; and </w:t>
      </w:r>
    </w:p>
    <w:p w14:paraId="12585B4B" w14:textId="5B679E03" w:rsidR="00D35A52" w:rsidRDefault="00D87D95" w:rsidP="00D35A52">
      <w:pPr>
        <w:pStyle w:val="Item"/>
        <w:numPr>
          <w:ilvl w:val="0"/>
          <w:numId w:val="8"/>
        </w:numPr>
        <w:rPr>
          <w:kern w:val="28"/>
          <w:szCs w:val="22"/>
        </w:rPr>
      </w:pPr>
      <w:r>
        <w:rPr>
          <w:kern w:val="28"/>
          <w:szCs w:val="22"/>
        </w:rPr>
        <w:t xml:space="preserve">transmits on a frequency </w:t>
      </w:r>
      <w:bookmarkStart w:id="14" w:name="_Hlk29394209"/>
      <w:r w:rsidR="0003480E">
        <w:rPr>
          <w:kern w:val="28"/>
          <w:szCs w:val="22"/>
        </w:rPr>
        <w:t>above</w:t>
      </w:r>
      <w:r>
        <w:rPr>
          <w:kern w:val="28"/>
          <w:szCs w:val="22"/>
        </w:rPr>
        <w:t xml:space="preserve"> </w:t>
      </w:r>
      <w:r w:rsidR="0003480E">
        <w:rPr>
          <w:kern w:val="28"/>
          <w:szCs w:val="22"/>
        </w:rPr>
        <w:t>6GHz but less than or equal to 100GHz</w:t>
      </w:r>
      <w:bookmarkEnd w:id="14"/>
      <w:r w:rsidR="0003480E">
        <w:rPr>
          <w:kern w:val="28"/>
          <w:szCs w:val="22"/>
        </w:rPr>
        <w:t>.</w:t>
      </w:r>
    </w:p>
    <w:p w14:paraId="62B31573" w14:textId="6210910F" w:rsidR="00D35A52" w:rsidRDefault="00EB059B" w:rsidP="0003480E">
      <w:pPr>
        <w:pStyle w:val="ItemHead"/>
        <w:numPr>
          <w:ilvl w:val="0"/>
          <w:numId w:val="24"/>
        </w:numPr>
        <w:spacing w:before="120"/>
        <w:rPr>
          <w:rFonts w:ascii="Times New Roman" w:hAnsi="Times New Roman"/>
          <w:b w:val="0"/>
          <w:kern w:val="0"/>
          <w:sz w:val="22"/>
          <w:szCs w:val="22"/>
        </w:rPr>
      </w:pPr>
      <w:r w:rsidRPr="00EB059B">
        <w:rPr>
          <w:rFonts w:ascii="Times New Roman" w:hAnsi="Times New Roman"/>
          <w:b w:val="0"/>
          <w:sz w:val="22"/>
          <w:szCs w:val="22"/>
        </w:rPr>
        <w:lastRenderedPageBreak/>
        <w:t>T</w:t>
      </w:r>
      <w:r w:rsidR="00D35A52" w:rsidRPr="00EB059B">
        <w:rPr>
          <w:rFonts w:ascii="Times New Roman" w:hAnsi="Times New Roman"/>
          <w:b w:val="0"/>
          <w:sz w:val="22"/>
          <w:szCs w:val="22"/>
        </w:rPr>
        <w:t xml:space="preserve">he </w:t>
      </w:r>
      <w:r w:rsidRPr="00EB059B">
        <w:rPr>
          <w:rFonts w:ascii="Times New Roman" w:hAnsi="Times New Roman"/>
          <w:b w:val="0"/>
          <w:kern w:val="0"/>
          <w:sz w:val="22"/>
          <w:szCs w:val="22"/>
        </w:rPr>
        <w:t xml:space="preserve">measurement methods to determine if the aware user device or non-aware user device meets the standard for performance in subsection 8(1) or 8(2) are the measurement methods identified in </w:t>
      </w:r>
      <w:bookmarkStart w:id="15" w:name="_Hlk29378547"/>
      <w:r w:rsidRPr="00EB059B">
        <w:rPr>
          <w:rFonts w:ascii="Times New Roman" w:hAnsi="Times New Roman"/>
          <w:b w:val="0"/>
          <w:kern w:val="0"/>
          <w:sz w:val="22"/>
          <w:szCs w:val="22"/>
        </w:rPr>
        <w:t>IEC TR 63170</w:t>
      </w:r>
      <w:bookmarkEnd w:id="15"/>
      <w:r w:rsidRPr="00EB059B">
        <w:rPr>
          <w:rFonts w:ascii="Times New Roman" w:hAnsi="Times New Roman"/>
          <w:b w:val="0"/>
          <w:kern w:val="0"/>
          <w:sz w:val="22"/>
          <w:szCs w:val="22"/>
        </w:rPr>
        <w:t>.</w:t>
      </w:r>
    </w:p>
    <w:p w14:paraId="3F844764" w14:textId="77777777" w:rsidR="00FB5978" w:rsidRDefault="00EB059B" w:rsidP="00595CCF">
      <w:pPr>
        <w:pStyle w:val="Item"/>
        <w:numPr>
          <w:ilvl w:val="0"/>
          <w:numId w:val="24"/>
        </w:numPr>
      </w:pPr>
      <w:r>
        <w:t xml:space="preserve">A </w:t>
      </w:r>
      <w:r w:rsidRPr="00EB059B">
        <w:t xml:space="preserve">test report must comply with the requirements in </w:t>
      </w:r>
      <w:r w:rsidRPr="00EB059B">
        <w:rPr>
          <w:szCs w:val="22"/>
        </w:rPr>
        <w:t>IEC TR 63170</w:t>
      </w:r>
      <w:r>
        <w:rPr>
          <w:b/>
          <w:szCs w:val="22"/>
        </w:rPr>
        <w:t xml:space="preserve"> </w:t>
      </w:r>
      <w:r w:rsidRPr="00EB059B">
        <w:t>which contained the measurement methods identified in accordance with subsection</w:t>
      </w:r>
      <w:r w:rsidR="000C104E">
        <w:t xml:space="preserve"> </w:t>
      </w:r>
      <w:r w:rsidRPr="00EB059B">
        <w:t>(2).</w:t>
      </w:r>
    </w:p>
    <w:p w14:paraId="3A772183" w14:textId="14D10699" w:rsidR="00073066" w:rsidRPr="00403A2F" w:rsidRDefault="00073066" w:rsidP="009C4357">
      <w:pPr>
        <w:pStyle w:val="notetext"/>
      </w:pPr>
      <w:r w:rsidRPr="009C4357">
        <w:t>Note</w:t>
      </w:r>
      <w:r w:rsidRPr="009C4357">
        <w:tab/>
      </w:r>
      <w:r w:rsidR="00CE5882" w:rsidRPr="00F82592">
        <w:t xml:space="preserve">In circumstances where a device transmits on frequencies </w:t>
      </w:r>
      <w:r w:rsidR="001500FF" w:rsidRPr="00F82592">
        <w:t xml:space="preserve">between </w:t>
      </w:r>
      <w:r w:rsidR="00CE5882" w:rsidRPr="00F82592">
        <w:t xml:space="preserve">300MHz to 6GHz </w:t>
      </w:r>
      <w:r w:rsidR="001500FF" w:rsidRPr="00F82592">
        <w:t>(inclusive) and</w:t>
      </w:r>
      <w:r w:rsidR="00CE5882" w:rsidRPr="00F82592">
        <w:t xml:space="preserve"> above 6GHz but less than or equal to 100GHz</w:t>
      </w:r>
      <w:r w:rsidR="008F71CA">
        <w:t>,</w:t>
      </w:r>
      <w:r w:rsidR="001500FF" w:rsidRPr="00F82592">
        <w:t xml:space="preserve"> both sections 9</w:t>
      </w:r>
      <w:r w:rsidR="00F82592">
        <w:t xml:space="preserve"> (subject to section 9A)</w:t>
      </w:r>
      <w:r w:rsidR="001500FF" w:rsidRPr="00F82592">
        <w:t xml:space="preserve"> and 9B may apply</w:t>
      </w:r>
      <w:r w:rsidR="00595CCF" w:rsidRPr="00F82592">
        <w:t>.</w:t>
      </w:r>
      <w:r w:rsidR="001500FF" w:rsidRPr="00F82592">
        <w:t xml:space="preserve"> </w:t>
      </w:r>
    </w:p>
    <w:p w14:paraId="37F9F549" w14:textId="52B254D7" w:rsidR="00592E1B" w:rsidRPr="00117B43" w:rsidRDefault="00592E1B" w:rsidP="00592E1B">
      <w:pPr>
        <w:pStyle w:val="ItemHead"/>
        <w:spacing w:before="120"/>
        <w:ind w:left="1276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9C</w:t>
      </w:r>
      <w:r w:rsidRPr="00117B43">
        <w:rPr>
          <w:rFonts w:cs="Arial"/>
          <w:sz w:val="22"/>
          <w:szCs w:val="22"/>
        </w:rPr>
        <w:tab/>
      </w:r>
      <w:r w:rsidR="00F1185A">
        <w:rPr>
          <w:rFonts w:cs="Arial"/>
          <w:sz w:val="22"/>
          <w:szCs w:val="22"/>
        </w:rPr>
        <w:t>Transitional arrangements for m</w:t>
      </w:r>
      <w:r w:rsidRPr="002A1832">
        <w:rPr>
          <w:rFonts w:cs="Arial"/>
          <w:sz w:val="22"/>
          <w:szCs w:val="22"/>
        </w:rPr>
        <w:t>easurement methods for performance standards: aware user device or non</w:t>
      </w:r>
      <w:r w:rsidRPr="002A1832">
        <w:rPr>
          <w:rFonts w:cs="Arial"/>
          <w:sz w:val="22"/>
          <w:szCs w:val="22"/>
        </w:rPr>
        <w:noBreakHyphen/>
        <w:t xml:space="preserve">aware user device </w:t>
      </w:r>
      <w:proofErr w:type="gramStart"/>
      <w:r w:rsidRPr="002A1832">
        <w:rPr>
          <w:rFonts w:cs="Arial"/>
          <w:sz w:val="22"/>
          <w:szCs w:val="22"/>
        </w:rPr>
        <w:t>in close proximity to</w:t>
      </w:r>
      <w:proofErr w:type="gramEnd"/>
      <w:r w:rsidRPr="002A1832">
        <w:rPr>
          <w:rFonts w:cs="Arial"/>
          <w:sz w:val="22"/>
          <w:szCs w:val="22"/>
        </w:rPr>
        <w:t xml:space="preserve"> the human ear</w:t>
      </w:r>
      <w:r>
        <w:rPr>
          <w:rFonts w:cs="Arial"/>
          <w:sz w:val="22"/>
          <w:szCs w:val="22"/>
        </w:rPr>
        <w:t xml:space="preserve"> – 6GHz to 100GHz</w:t>
      </w:r>
    </w:p>
    <w:p w14:paraId="0B43CDFC" w14:textId="027DA97F" w:rsidR="00592E1B" w:rsidRPr="00117B43" w:rsidRDefault="00592E1B" w:rsidP="000A1B61">
      <w:pPr>
        <w:pStyle w:val="Item"/>
        <w:numPr>
          <w:ilvl w:val="0"/>
          <w:numId w:val="28"/>
        </w:numPr>
        <w:tabs>
          <w:tab w:val="left" w:pos="1276"/>
        </w:tabs>
        <w:spacing w:before="120"/>
      </w:pPr>
      <w:r>
        <w:rPr>
          <w:kern w:val="28"/>
          <w:szCs w:val="22"/>
        </w:rPr>
        <w:t xml:space="preserve">This section applies to an </w:t>
      </w:r>
      <w:r w:rsidRPr="005A41FC">
        <w:t>aware user device or non</w:t>
      </w:r>
      <w:r>
        <w:noBreakHyphen/>
      </w:r>
      <w:r w:rsidRPr="005A41FC">
        <w:t xml:space="preserve">aware user device </w:t>
      </w:r>
      <w:r w:rsidRPr="002A1832">
        <w:rPr>
          <w:kern w:val="28"/>
          <w:szCs w:val="22"/>
        </w:rPr>
        <w:t xml:space="preserve">to which this Standard applies </w:t>
      </w:r>
      <w:r>
        <w:rPr>
          <w:kern w:val="28"/>
          <w:szCs w:val="22"/>
        </w:rPr>
        <w:t>that</w:t>
      </w:r>
      <w:r w:rsidRPr="002A1832">
        <w:rPr>
          <w:kern w:val="28"/>
          <w:szCs w:val="22"/>
        </w:rPr>
        <w:t>:</w:t>
      </w:r>
    </w:p>
    <w:p w14:paraId="4341F591" w14:textId="77777777" w:rsidR="00592E1B" w:rsidRPr="00D87D95" w:rsidRDefault="00592E1B" w:rsidP="000A1B61">
      <w:pPr>
        <w:pStyle w:val="Item"/>
        <w:numPr>
          <w:ilvl w:val="0"/>
          <w:numId w:val="29"/>
        </w:numPr>
      </w:pPr>
      <w:r w:rsidRPr="00D87D95">
        <w:rPr>
          <w:kern w:val="28"/>
          <w:szCs w:val="22"/>
        </w:rPr>
        <w:t>is designed to be used or held with the radiating part of the aware user device or non</w:t>
      </w:r>
      <w:r w:rsidRPr="00D87D95">
        <w:rPr>
          <w:kern w:val="28"/>
          <w:szCs w:val="22"/>
        </w:rPr>
        <w:noBreakHyphen/>
        <w:t xml:space="preserve">aware user device </w:t>
      </w:r>
      <w:proofErr w:type="gramStart"/>
      <w:r w:rsidRPr="00D87D95">
        <w:rPr>
          <w:kern w:val="28"/>
          <w:szCs w:val="22"/>
        </w:rPr>
        <w:t>in close proximity to</w:t>
      </w:r>
      <w:proofErr w:type="gramEnd"/>
      <w:r w:rsidRPr="00D87D95">
        <w:rPr>
          <w:kern w:val="28"/>
          <w:szCs w:val="22"/>
        </w:rPr>
        <w:t xml:space="preserve"> the human ear; and </w:t>
      </w:r>
    </w:p>
    <w:p w14:paraId="54769E48" w14:textId="127F0D12" w:rsidR="00592E1B" w:rsidRDefault="00592E1B" w:rsidP="00F1185A">
      <w:pPr>
        <w:pStyle w:val="Item"/>
        <w:numPr>
          <w:ilvl w:val="0"/>
          <w:numId w:val="29"/>
        </w:numPr>
        <w:rPr>
          <w:kern w:val="28"/>
          <w:szCs w:val="22"/>
        </w:rPr>
      </w:pPr>
      <w:r>
        <w:rPr>
          <w:kern w:val="28"/>
          <w:szCs w:val="22"/>
        </w:rPr>
        <w:t>transmits on a frequency above 6GHz but less than or equal to 100GHz</w:t>
      </w:r>
      <w:r w:rsidR="00B955D8">
        <w:rPr>
          <w:kern w:val="28"/>
          <w:szCs w:val="22"/>
        </w:rPr>
        <w:t>; and</w:t>
      </w:r>
    </w:p>
    <w:p w14:paraId="2F25156D" w14:textId="3AB2BB8F" w:rsidR="00B955D8" w:rsidRDefault="00B955D8" w:rsidP="00B955D8">
      <w:pPr>
        <w:pStyle w:val="Item"/>
        <w:numPr>
          <w:ilvl w:val="0"/>
          <w:numId w:val="29"/>
        </w:numPr>
      </w:pPr>
      <w:r>
        <w:t>was either:</w:t>
      </w:r>
    </w:p>
    <w:p w14:paraId="75D22F38" w14:textId="275B25BA" w:rsidR="00B955D8" w:rsidRDefault="00B955D8" w:rsidP="00B955D8">
      <w:pPr>
        <w:pStyle w:val="Item"/>
        <w:tabs>
          <w:tab w:val="left" w:pos="2694"/>
        </w:tabs>
        <w:ind w:left="2694" w:hanging="709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manufactured or imported not later than 3 months after the commencement of the </w:t>
      </w:r>
      <w:r>
        <w:rPr>
          <w:i/>
          <w:iCs/>
        </w:rPr>
        <w:t>Radiocommunications (Electromagnetic Radiation – Human Exposure) Amendment Standard 2020 (No. 1)</w:t>
      </w:r>
      <w:r w:rsidR="000C0229">
        <w:t>; or</w:t>
      </w:r>
    </w:p>
    <w:p w14:paraId="4F72B8FF" w14:textId="59062066" w:rsidR="000C0229" w:rsidRPr="008D44F4" w:rsidRDefault="000C0229" w:rsidP="000C0229">
      <w:pPr>
        <w:pStyle w:val="Item"/>
        <w:tabs>
          <w:tab w:val="left" w:pos="2694"/>
        </w:tabs>
        <w:ind w:left="2694" w:hanging="709"/>
      </w:pPr>
      <w:r>
        <w:t>(ii)</w:t>
      </w:r>
      <w:r>
        <w:tab/>
        <w:t xml:space="preserve">altered or modified in a material way not later than 3 months after the commencement of the </w:t>
      </w:r>
      <w:r>
        <w:rPr>
          <w:i/>
          <w:iCs/>
        </w:rPr>
        <w:t>Radiocommunications (Electromagnetic Radiation – Human Exposure) Amendment Standard 2020 (No. 1)</w:t>
      </w:r>
      <w:r w:rsidR="00443D53">
        <w:t>.</w:t>
      </w:r>
    </w:p>
    <w:p w14:paraId="39351F56" w14:textId="30217A30" w:rsidR="00205945" w:rsidRPr="00B77D8D" w:rsidRDefault="00111D2E" w:rsidP="00B77D8D">
      <w:pPr>
        <w:pStyle w:val="ItemHead"/>
        <w:numPr>
          <w:ilvl w:val="0"/>
          <w:numId w:val="28"/>
        </w:numPr>
        <w:spacing w:before="120"/>
        <w:rPr>
          <w:rFonts w:ascii="Times New Roman" w:hAnsi="Times New Roman"/>
          <w:b w:val="0"/>
          <w:kern w:val="0"/>
          <w:sz w:val="22"/>
          <w:szCs w:val="22"/>
        </w:rPr>
      </w:pPr>
      <w:r w:rsidRPr="00111D2E">
        <w:rPr>
          <w:rFonts w:ascii="Times New Roman" w:hAnsi="Times New Roman"/>
          <w:b w:val="0"/>
          <w:sz w:val="22"/>
          <w:szCs w:val="22"/>
        </w:rPr>
        <w:t>This Standard does not set a measurement method to determine if an aware user device or non-aware user device to which this section applies meets the standard for performance in subsection 8(1) or 8(2)</w:t>
      </w:r>
      <w:r w:rsidR="00205945" w:rsidRPr="00B77D8D">
        <w:rPr>
          <w:rFonts w:ascii="Times New Roman" w:hAnsi="Times New Roman"/>
          <w:b w:val="0"/>
          <w:kern w:val="0"/>
          <w:sz w:val="22"/>
          <w:szCs w:val="22"/>
        </w:rPr>
        <w:t>.</w:t>
      </w:r>
    </w:p>
    <w:p w14:paraId="3A734760" w14:textId="14D17FCC" w:rsidR="00EC5D17" w:rsidRDefault="00CD7078" w:rsidP="00EC5D17">
      <w:pPr>
        <w:pStyle w:val="ItemHead"/>
      </w:pPr>
      <w:proofErr w:type="gramStart"/>
      <w:r>
        <w:t>8</w:t>
      </w:r>
      <w:r w:rsidR="000C104E">
        <w:t xml:space="preserve">  </w:t>
      </w:r>
      <w:r w:rsidR="00EC5D17">
        <w:t>Section</w:t>
      </w:r>
      <w:proofErr w:type="gramEnd"/>
      <w:r w:rsidR="00EC5D17">
        <w:t xml:space="preserve"> 10 (heading)</w:t>
      </w:r>
    </w:p>
    <w:p w14:paraId="738613ED" w14:textId="314CE2F2" w:rsidR="00EC5D17" w:rsidRDefault="00EC5D17" w:rsidP="00EC5D17">
      <w:pPr>
        <w:pStyle w:val="Item"/>
      </w:pPr>
      <w:r>
        <w:t>After “</w:t>
      </w:r>
      <w:r w:rsidRPr="009C4357">
        <w:rPr>
          <w:rFonts w:ascii="Arial" w:hAnsi="Arial" w:cs="Arial"/>
          <w:b/>
          <w:bCs/>
          <w:sz w:val="24"/>
          <w:szCs w:val="24"/>
        </w:rPr>
        <w:t>from the human body</w:t>
      </w:r>
      <w:r>
        <w:t xml:space="preserve">”, insert </w:t>
      </w:r>
      <w:proofErr w:type="gramStart"/>
      <w:r>
        <w:t>“</w:t>
      </w:r>
      <w:r w:rsidRPr="009C4357">
        <w:rPr>
          <w:rFonts w:ascii="Arial" w:hAnsi="Arial" w:cs="Arial"/>
          <w:b/>
          <w:bCs/>
          <w:sz w:val="24"/>
          <w:szCs w:val="24"/>
        </w:rPr>
        <w:t xml:space="preserve"> –</w:t>
      </w:r>
      <w:proofErr w:type="gramEnd"/>
      <w:r w:rsidRPr="009C4357">
        <w:rPr>
          <w:rFonts w:ascii="Arial" w:hAnsi="Arial" w:cs="Arial"/>
          <w:b/>
          <w:bCs/>
          <w:sz w:val="24"/>
          <w:szCs w:val="24"/>
        </w:rPr>
        <w:t xml:space="preserve"> 30MHz to 6GHz</w:t>
      </w:r>
      <w:r>
        <w:t>”</w:t>
      </w:r>
      <w:r w:rsidR="001B119F">
        <w:t>.</w:t>
      </w:r>
    </w:p>
    <w:p w14:paraId="14A43263" w14:textId="44206D75" w:rsidR="000C104E" w:rsidRPr="00BD4288" w:rsidRDefault="00CD7078" w:rsidP="000C104E">
      <w:pPr>
        <w:pStyle w:val="ItemHead"/>
      </w:pPr>
      <w:proofErr w:type="gramStart"/>
      <w:r>
        <w:t>9</w:t>
      </w:r>
      <w:r w:rsidR="00EC5D17">
        <w:t xml:space="preserve">  </w:t>
      </w:r>
      <w:r w:rsidR="000C104E">
        <w:t>After</w:t>
      </w:r>
      <w:proofErr w:type="gramEnd"/>
      <w:r w:rsidR="000C104E">
        <w:t xml:space="preserve"> section 10</w:t>
      </w:r>
      <w:r w:rsidR="000C104E" w:rsidRPr="00517FA7">
        <w:t> </w:t>
      </w:r>
    </w:p>
    <w:p w14:paraId="7A2DAB1F" w14:textId="77777777" w:rsidR="000C104E" w:rsidRPr="0003480E" w:rsidRDefault="000C104E" w:rsidP="000C104E">
      <w:pPr>
        <w:pStyle w:val="Item"/>
        <w:rPr>
          <w:kern w:val="28"/>
          <w:szCs w:val="22"/>
        </w:rPr>
      </w:pPr>
      <w:r w:rsidRPr="0003480E">
        <w:rPr>
          <w:kern w:val="28"/>
          <w:szCs w:val="22"/>
        </w:rPr>
        <w:t>Insert:</w:t>
      </w:r>
    </w:p>
    <w:p w14:paraId="450AB614" w14:textId="3D4C9DDB" w:rsidR="000C104E" w:rsidRPr="00117B43" w:rsidRDefault="00EC5D17" w:rsidP="000C104E">
      <w:pPr>
        <w:pStyle w:val="ItemHead"/>
        <w:spacing w:before="120"/>
        <w:ind w:left="1276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="001B119F">
        <w:rPr>
          <w:rFonts w:cs="Arial"/>
          <w:sz w:val="22"/>
          <w:szCs w:val="22"/>
        </w:rPr>
        <w:t>A</w:t>
      </w:r>
      <w:r w:rsidR="000C104E" w:rsidRPr="00117B43">
        <w:rPr>
          <w:rFonts w:cs="Arial"/>
          <w:sz w:val="22"/>
          <w:szCs w:val="22"/>
        </w:rPr>
        <w:tab/>
      </w:r>
      <w:bookmarkStart w:id="16" w:name="_Toc288485859"/>
      <w:r w:rsidR="001B119F" w:rsidRPr="001B119F">
        <w:rPr>
          <w:rFonts w:cs="Arial"/>
          <w:bCs/>
          <w:sz w:val="22"/>
          <w:szCs w:val="22"/>
        </w:rPr>
        <w:t>Measurement methods for performance standards: aware user device or non–aware user device</w:t>
      </w:r>
      <w:r w:rsidR="001B119F">
        <w:rPr>
          <w:rFonts w:cs="Arial"/>
          <w:bCs/>
          <w:sz w:val="22"/>
          <w:szCs w:val="22"/>
        </w:rPr>
        <w:t xml:space="preserve"> </w:t>
      </w:r>
      <w:r w:rsidR="001B119F" w:rsidRPr="001B119F">
        <w:rPr>
          <w:rFonts w:cs="Arial"/>
          <w:bCs/>
          <w:sz w:val="22"/>
          <w:szCs w:val="22"/>
        </w:rPr>
        <w:t>20cm or less from the human body</w:t>
      </w:r>
      <w:bookmarkEnd w:id="16"/>
      <w:r w:rsidR="000C104E">
        <w:rPr>
          <w:rFonts w:cs="Arial"/>
          <w:sz w:val="22"/>
          <w:szCs w:val="22"/>
        </w:rPr>
        <w:t>– 6GHz to 100GHz</w:t>
      </w:r>
    </w:p>
    <w:p w14:paraId="46F7F3CF" w14:textId="19B118A7" w:rsidR="000C104E" w:rsidRPr="00117B43" w:rsidRDefault="00DE1C75" w:rsidP="001B119F">
      <w:pPr>
        <w:pStyle w:val="Item"/>
        <w:numPr>
          <w:ilvl w:val="0"/>
          <w:numId w:val="26"/>
        </w:numPr>
        <w:tabs>
          <w:tab w:val="left" w:pos="1276"/>
        </w:tabs>
        <w:spacing w:before="120"/>
      </w:pPr>
      <w:r>
        <w:rPr>
          <w:kern w:val="28"/>
          <w:szCs w:val="22"/>
        </w:rPr>
        <w:t>Subject to section 10B, t</w:t>
      </w:r>
      <w:r w:rsidR="000C104E">
        <w:rPr>
          <w:kern w:val="28"/>
          <w:szCs w:val="22"/>
        </w:rPr>
        <w:t xml:space="preserve">his section applies to an </w:t>
      </w:r>
      <w:r w:rsidR="000C104E" w:rsidRPr="005A41FC">
        <w:t>aware user device or non</w:t>
      </w:r>
      <w:r w:rsidR="000C104E">
        <w:noBreakHyphen/>
      </w:r>
      <w:r w:rsidR="000C104E" w:rsidRPr="005A41FC">
        <w:t xml:space="preserve">aware user device </w:t>
      </w:r>
      <w:r w:rsidR="000C104E" w:rsidRPr="002A1832">
        <w:rPr>
          <w:kern w:val="28"/>
          <w:szCs w:val="22"/>
        </w:rPr>
        <w:t xml:space="preserve">to which this Standard applies </w:t>
      </w:r>
      <w:r w:rsidR="000C104E">
        <w:rPr>
          <w:kern w:val="28"/>
          <w:szCs w:val="22"/>
        </w:rPr>
        <w:t>that</w:t>
      </w:r>
      <w:r w:rsidR="000C104E" w:rsidRPr="002A1832">
        <w:rPr>
          <w:kern w:val="28"/>
          <w:szCs w:val="22"/>
        </w:rPr>
        <w:t>:</w:t>
      </w:r>
    </w:p>
    <w:p w14:paraId="31511E2C" w14:textId="51C6160E" w:rsidR="000C104E" w:rsidRPr="00D87D95" w:rsidRDefault="000C104E" w:rsidP="001B119F">
      <w:pPr>
        <w:pStyle w:val="Item"/>
        <w:numPr>
          <w:ilvl w:val="0"/>
          <w:numId w:val="27"/>
        </w:numPr>
      </w:pPr>
      <w:r w:rsidRPr="00D87D95">
        <w:rPr>
          <w:kern w:val="28"/>
          <w:szCs w:val="22"/>
        </w:rPr>
        <w:t xml:space="preserve">is </w:t>
      </w:r>
      <w:r w:rsidR="001B119F" w:rsidRPr="00B573C8">
        <w:t>designed to be used or held with the radiating part of the aware user device or non</w:t>
      </w:r>
      <w:r w:rsidR="001B119F">
        <w:noBreakHyphen/>
      </w:r>
      <w:r w:rsidR="001B119F" w:rsidRPr="00B573C8">
        <w:t>aware user device</w:t>
      </w:r>
      <w:r w:rsidR="001B119F">
        <w:t xml:space="preserve"> </w:t>
      </w:r>
      <w:proofErr w:type="gramStart"/>
      <w:r w:rsidR="001B119F">
        <w:t>in close proximity to</w:t>
      </w:r>
      <w:proofErr w:type="gramEnd"/>
      <w:r w:rsidR="001B119F">
        <w:t xml:space="preserve"> the human body but</w:t>
      </w:r>
      <w:r w:rsidR="001B119F" w:rsidRPr="00ED5B62">
        <w:t xml:space="preserve"> </w:t>
      </w:r>
      <w:r w:rsidR="001B119F">
        <w:t>not more than 20cm from the human body</w:t>
      </w:r>
      <w:r w:rsidRPr="00D87D95">
        <w:rPr>
          <w:kern w:val="28"/>
          <w:szCs w:val="22"/>
        </w:rPr>
        <w:t xml:space="preserve">; and </w:t>
      </w:r>
    </w:p>
    <w:p w14:paraId="2F5F2FA1" w14:textId="77777777" w:rsidR="00D36F8D" w:rsidRDefault="000C104E" w:rsidP="001B119F">
      <w:pPr>
        <w:pStyle w:val="Item"/>
        <w:numPr>
          <w:ilvl w:val="0"/>
          <w:numId w:val="27"/>
        </w:numPr>
        <w:rPr>
          <w:kern w:val="28"/>
          <w:szCs w:val="22"/>
        </w:rPr>
      </w:pPr>
      <w:r>
        <w:rPr>
          <w:kern w:val="28"/>
          <w:szCs w:val="22"/>
        </w:rPr>
        <w:t>transmits on a frequency above 6GHz but less than or equal to 100GHz</w:t>
      </w:r>
      <w:r w:rsidR="0073247C">
        <w:rPr>
          <w:kern w:val="28"/>
          <w:szCs w:val="22"/>
        </w:rPr>
        <w:t>; a</w:t>
      </w:r>
      <w:r w:rsidR="00D36F8D">
        <w:rPr>
          <w:kern w:val="28"/>
          <w:szCs w:val="22"/>
        </w:rPr>
        <w:t>nd</w:t>
      </w:r>
    </w:p>
    <w:p w14:paraId="0FFF4CE3" w14:textId="4BCB75E8" w:rsidR="000C104E" w:rsidRDefault="00D36F8D" w:rsidP="001B119F">
      <w:pPr>
        <w:pStyle w:val="Item"/>
        <w:numPr>
          <w:ilvl w:val="0"/>
          <w:numId w:val="27"/>
        </w:numPr>
        <w:rPr>
          <w:kern w:val="28"/>
          <w:szCs w:val="22"/>
        </w:rPr>
      </w:pPr>
      <w:r>
        <w:rPr>
          <w:kern w:val="28"/>
          <w:szCs w:val="22"/>
        </w:rPr>
        <w:t>is not mentioned in subsection 9</w:t>
      </w:r>
      <w:proofErr w:type="gramStart"/>
      <w:r>
        <w:rPr>
          <w:kern w:val="28"/>
          <w:szCs w:val="22"/>
        </w:rPr>
        <w:t>B(</w:t>
      </w:r>
      <w:proofErr w:type="gramEnd"/>
      <w:r>
        <w:rPr>
          <w:kern w:val="28"/>
          <w:szCs w:val="22"/>
        </w:rPr>
        <w:t>1)</w:t>
      </w:r>
      <w:r w:rsidR="000C104E">
        <w:rPr>
          <w:kern w:val="28"/>
          <w:szCs w:val="22"/>
        </w:rPr>
        <w:t>.</w:t>
      </w:r>
    </w:p>
    <w:p w14:paraId="50355E35" w14:textId="77777777" w:rsidR="000C104E" w:rsidRDefault="000C104E" w:rsidP="001B119F">
      <w:pPr>
        <w:pStyle w:val="ItemHead"/>
        <w:numPr>
          <w:ilvl w:val="0"/>
          <w:numId w:val="26"/>
        </w:numPr>
        <w:spacing w:before="120"/>
        <w:rPr>
          <w:rFonts w:ascii="Times New Roman" w:hAnsi="Times New Roman"/>
          <w:b w:val="0"/>
          <w:kern w:val="0"/>
          <w:sz w:val="22"/>
          <w:szCs w:val="22"/>
        </w:rPr>
      </w:pPr>
      <w:r w:rsidRPr="00EB059B">
        <w:rPr>
          <w:rFonts w:ascii="Times New Roman" w:hAnsi="Times New Roman"/>
          <w:b w:val="0"/>
          <w:sz w:val="22"/>
          <w:szCs w:val="22"/>
        </w:rPr>
        <w:t xml:space="preserve">The </w:t>
      </w:r>
      <w:r w:rsidRPr="00EB059B">
        <w:rPr>
          <w:rFonts w:ascii="Times New Roman" w:hAnsi="Times New Roman"/>
          <w:b w:val="0"/>
          <w:kern w:val="0"/>
          <w:sz w:val="22"/>
          <w:szCs w:val="22"/>
        </w:rPr>
        <w:t>measurement methods to determine if the aware user device or non-aware user device meets the standard for performance in subsection 8(1) or 8(2) are the measurement methods identified in IEC TR 63170.</w:t>
      </w:r>
    </w:p>
    <w:p w14:paraId="0DBD9C4C" w14:textId="77777777" w:rsidR="00FB5978" w:rsidRDefault="000C104E" w:rsidP="00595CCF">
      <w:pPr>
        <w:pStyle w:val="Item"/>
        <w:numPr>
          <w:ilvl w:val="0"/>
          <w:numId w:val="26"/>
        </w:numPr>
      </w:pPr>
      <w:r>
        <w:t xml:space="preserve">A </w:t>
      </w:r>
      <w:r w:rsidRPr="00EB059B">
        <w:t xml:space="preserve">test report must comply with the requirements in </w:t>
      </w:r>
      <w:r w:rsidRPr="00EB059B">
        <w:rPr>
          <w:szCs w:val="22"/>
        </w:rPr>
        <w:t>IEC TR 63170</w:t>
      </w:r>
      <w:r>
        <w:rPr>
          <w:b/>
          <w:szCs w:val="22"/>
        </w:rPr>
        <w:t xml:space="preserve"> </w:t>
      </w:r>
      <w:r w:rsidRPr="00EB059B">
        <w:t>which contained the measurement methods identified in accordance with subsection</w:t>
      </w:r>
      <w:r w:rsidR="00EF5718">
        <w:t xml:space="preserve"> </w:t>
      </w:r>
      <w:r w:rsidRPr="00EB059B">
        <w:t>(2).</w:t>
      </w:r>
      <w:bookmarkEnd w:id="11"/>
    </w:p>
    <w:p w14:paraId="73F330BF" w14:textId="0BA95F81" w:rsidR="00595CCF" w:rsidRPr="00595CCF" w:rsidRDefault="00595CCF" w:rsidP="009C4357">
      <w:pPr>
        <w:pStyle w:val="notetext"/>
      </w:pPr>
      <w:r w:rsidRPr="009C4357">
        <w:lastRenderedPageBreak/>
        <w:t>Note</w:t>
      </w:r>
      <w:r w:rsidRPr="009C4357">
        <w:tab/>
      </w:r>
      <w:r w:rsidRPr="00A95BA2">
        <w:t>In circumstances where a device transmits on frequencies between 30MHz to 6GHz (inclusive) and above 6GHz but less than or equal to 100GHz</w:t>
      </w:r>
      <w:r w:rsidR="009048A1">
        <w:t>,</w:t>
      </w:r>
      <w:r w:rsidRPr="00A95BA2">
        <w:t xml:space="preserve"> both sections </w:t>
      </w:r>
      <w:r w:rsidRPr="00317BC2">
        <w:t>10 and 10A</w:t>
      </w:r>
      <w:r w:rsidR="00A95BA2" w:rsidRPr="00317BC2">
        <w:t xml:space="preserve"> (subject to section 10B)</w:t>
      </w:r>
      <w:r w:rsidRPr="00E05BB7">
        <w:t xml:space="preserve"> may apply.</w:t>
      </w:r>
    </w:p>
    <w:p w14:paraId="3451487D" w14:textId="72C7B64F" w:rsidR="003E676F" w:rsidRPr="00117B43" w:rsidRDefault="003E676F" w:rsidP="003E676F">
      <w:pPr>
        <w:pStyle w:val="ItemHead"/>
        <w:spacing w:before="120"/>
        <w:ind w:left="1276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10B</w:t>
      </w:r>
      <w:r w:rsidRPr="00117B4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Transitional arrangements for m</w:t>
      </w:r>
      <w:r w:rsidRPr="002A1832">
        <w:rPr>
          <w:rFonts w:cs="Arial"/>
          <w:sz w:val="22"/>
          <w:szCs w:val="22"/>
        </w:rPr>
        <w:t>easurement methods for performance standards: aware user device or non</w:t>
      </w:r>
      <w:r w:rsidRPr="002A1832">
        <w:rPr>
          <w:rFonts w:cs="Arial"/>
          <w:sz w:val="22"/>
          <w:szCs w:val="22"/>
        </w:rPr>
        <w:noBreakHyphen/>
        <w:t xml:space="preserve">aware user device </w:t>
      </w:r>
      <w:r>
        <w:rPr>
          <w:rFonts w:cs="Arial"/>
          <w:sz w:val="22"/>
          <w:szCs w:val="22"/>
        </w:rPr>
        <w:t>20cm or less from the human body – 6GHz to 100GHz</w:t>
      </w:r>
    </w:p>
    <w:p w14:paraId="2D56A832" w14:textId="14E754B9" w:rsidR="003E676F" w:rsidRPr="00117B43" w:rsidRDefault="003E676F" w:rsidP="000A1B61">
      <w:pPr>
        <w:pStyle w:val="Item"/>
        <w:numPr>
          <w:ilvl w:val="0"/>
          <w:numId w:val="31"/>
        </w:numPr>
        <w:tabs>
          <w:tab w:val="left" w:pos="1276"/>
        </w:tabs>
        <w:spacing w:before="120"/>
      </w:pPr>
      <w:r>
        <w:rPr>
          <w:kern w:val="28"/>
          <w:szCs w:val="22"/>
        </w:rPr>
        <w:t xml:space="preserve">This section applies to an </w:t>
      </w:r>
      <w:r w:rsidRPr="005A41FC">
        <w:t>aware user device or non</w:t>
      </w:r>
      <w:r>
        <w:noBreakHyphen/>
      </w:r>
      <w:r w:rsidRPr="005A41FC">
        <w:t xml:space="preserve">aware user device </w:t>
      </w:r>
      <w:r w:rsidRPr="002A1832">
        <w:rPr>
          <w:kern w:val="28"/>
          <w:szCs w:val="22"/>
        </w:rPr>
        <w:t xml:space="preserve">to which this Standard applies </w:t>
      </w:r>
      <w:r>
        <w:rPr>
          <w:kern w:val="28"/>
          <w:szCs w:val="22"/>
        </w:rPr>
        <w:t>that</w:t>
      </w:r>
      <w:r w:rsidRPr="002A1832">
        <w:rPr>
          <w:kern w:val="28"/>
          <w:szCs w:val="22"/>
        </w:rPr>
        <w:t>:</w:t>
      </w:r>
    </w:p>
    <w:p w14:paraId="1E220BB1" w14:textId="77777777" w:rsidR="006F03E5" w:rsidRPr="00D87D95" w:rsidRDefault="006F03E5" w:rsidP="000A1B61">
      <w:pPr>
        <w:pStyle w:val="Item"/>
        <w:numPr>
          <w:ilvl w:val="0"/>
          <w:numId w:val="32"/>
        </w:numPr>
      </w:pPr>
      <w:r w:rsidRPr="00D87D95">
        <w:rPr>
          <w:kern w:val="28"/>
          <w:szCs w:val="22"/>
        </w:rPr>
        <w:t xml:space="preserve">is </w:t>
      </w:r>
      <w:r w:rsidRPr="000A1B61">
        <w:rPr>
          <w:kern w:val="28"/>
          <w:szCs w:val="22"/>
        </w:rPr>
        <w:t>designed</w:t>
      </w:r>
      <w:r w:rsidRPr="00B573C8">
        <w:t xml:space="preserve"> to be used or held with the radiating part of the aware user device or non</w:t>
      </w:r>
      <w:r>
        <w:noBreakHyphen/>
      </w:r>
      <w:r w:rsidRPr="00B573C8">
        <w:t>aware user device</w:t>
      </w:r>
      <w:r>
        <w:t xml:space="preserve"> </w:t>
      </w:r>
      <w:proofErr w:type="gramStart"/>
      <w:r>
        <w:t>in close proximity to</w:t>
      </w:r>
      <w:proofErr w:type="gramEnd"/>
      <w:r>
        <w:t xml:space="preserve"> the human body but</w:t>
      </w:r>
      <w:r w:rsidRPr="00ED5B62">
        <w:t xml:space="preserve"> </w:t>
      </w:r>
      <w:r>
        <w:t>not more than 20cm from the human body</w:t>
      </w:r>
      <w:r w:rsidRPr="00D87D95">
        <w:rPr>
          <w:kern w:val="28"/>
          <w:szCs w:val="22"/>
        </w:rPr>
        <w:t xml:space="preserve">; and </w:t>
      </w:r>
    </w:p>
    <w:p w14:paraId="601D28D9" w14:textId="072A6293" w:rsidR="003E676F" w:rsidRDefault="003E676F" w:rsidP="000D15AA">
      <w:pPr>
        <w:pStyle w:val="Item"/>
        <w:numPr>
          <w:ilvl w:val="0"/>
          <w:numId w:val="32"/>
        </w:numPr>
        <w:rPr>
          <w:kern w:val="28"/>
          <w:szCs w:val="22"/>
        </w:rPr>
      </w:pPr>
      <w:r w:rsidRPr="00350153">
        <w:rPr>
          <w:kern w:val="28"/>
          <w:szCs w:val="22"/>
        </w:rPr>
        <w:t>transmits on a frequency above 6GHz but less than or equal to 100GHz; and</w:t>
      </w:r>
    </w:p>
    <w:p w14:paraId="00145DE0" w14:textId="10C12B08" w:rsidR="0096392C" w:rsidRPr="000A1B61" w:rsidRDefault="0096392C" w:rsidP="000A1B61">
      <w:pPr>
        <w:pStyle w:val="Item"/>
        <w:numPr>
          <w:ilvl w:val="0"/>
          <w:numId w:val="32"/>
        </w:numPr>
      </w:pPr>
      <w:r>
        <w:t>is not mentioned in subsection 9</w:t>
      </w:r>
      <w:proofErr w:type="gramStart"/>
      <w:r>
        <w:t>B(</w:t>
      </w:r>
      <w:proofErr w:type="gramEnd"/>
      <w:r>
        <w:t>1)</w:t>
      </w:r>
      <w:r w:rsidR="005169E5">
        <w:t>; and</w:t>
      </w:r>
    </w:p>
    <w:p w14:paraId="59B4E4DF" w14:textId="77777777" w:rsidR="003E676F" w:rsidRDefault="003E676F" w:rsidP="000A1B61">
      <w:pPr>
        <w:pStyle w:val="Item"/>
        <w:numPr>
          <w:ilvl w:val="0"/>
          <w:numId w:val="32"/>
        </w:numPr>
      </w:pPr>
      <w:r>
        <w:t>was either:</w:t>
      </w:r>
    </w:p>
    <w:p w14:paraId="0BBD2943" w14:textId="77777777" w:rsidR="003E676F" w:rsidRDefault="003E676F" w:rsidP="003E676F">
      <w:pPr>
        <w:pStyle w:val="Item"/>
        <w:tabs>
          <w:tab w:val="left" w:pos="2694"/>
        </w:tabs>
        <w:ind w:left="2694" w:hanging="709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manufactured or imported not later than 3 months after the commencement of the </w:t>
      </w:r>
      <w:r>
        <w:rPr>
          <w:i/>
          <w:iCs/>
        </w:rPr>
        <w:t>Radiocommunications (Electromagnetic Radiation – Human Exposure) Amendment Standard 2020 (No. 1)</w:t>
      </w:r>
      <w:r>
        <w:t>; or</w:t>
      </w:r>
    </w:p>
    <w:p w14:paraId="72E4B88B" w14:textId="45A8EB20" w:rsidR="003E676F" w:rsidRPr="008D44F4" w:rsidRDefault="003E676F" w:rsidP="003E676F">
      <w:pPr>
        <w:pStyle w:val="Item"/>
        <w:tabs>
          <w:tab w:val="left" w:pos="2694"/>
        </w:tabs>
        <w:ind w:left="2694" w:hanging="709"/>
      </w:pPr>
      <w:r>
        <w:t>(ii)</w:t>
      </w:r>
      <w:r>
        <w:tab/>
        <w:t xml:space="preserve">altered or modified in a material way not later than 3 months after the commencement of the </w:t>
      </w:r>
      <w:r>
        <w:rPr>
          <w:i/>
          <w:iCs/>
        </w:rPr>
        <w:t>Radiocommunications (Electromagnetic Radiation – Human Exposure) Amendment Standard 2020 (No. 1)</w:t>
      </w:r>
      <w:r w:rsidR="00855DD9">
        <w:t>.</w:t>
      </w:r>
    </w:p>
    <w:p w14:paraId="6E8D8C7B" w14:textId="0ECC866C" w:rsidR="003E676F" w:rsidRPr="00B77D8D" w:rsidRDefault="00111D2E" w:rsidP="00B77D8D">
      <w:pPr>
        <w:pStyle w:val="ItemHead"/>
        <w:numPr>
          <w:ilvl w:val="0"/>
          <w:numId w:val="31"/>
        </w:numPr>
        <w:spacing w:before="120"/>
        <w:rPr>
          <w:rFonts w:ascii="Times New Roman" w:hAnsi="Times New Roman"/>
          <w:b w:val="0"/>
          <w:kern w:val="0"/>
          <w:sz w:val="22"/>
          <w:szCs w:val="22"/>
        </w:rPr>
      </w:pPr>
      <w:r w:rsidRPr="00111D2E">
        <w:rPr>
          <w:rFonts w:ascii="Times New Roman" w:hAnsi="Times New Roman"/>
          <w:b w:val="0"/>
          <w:sz w:val="22"/>
          <w:szCs w:val="22"/>
        </w:rPr>
        <w:t>This Standard does not set a measurement method to determine if an aware user device or non-aware user device to which this section applies meets the standard for performance in subsection 8(1) or 8(2)</w:t>
      </w:r>
      <w:r w:rsidR="003E676F" w:rsidRPr="00B77D8D">
        <w:rPr>
          <w:rFonts w:ascii="Times New Roman" w:hAnsi="Times New Roman"/>
          <w:b w:val="0"/>
          <w:kern w:val="0"/>
          <w:sz w:val="22"/>
          <w:szCs w:val="22"/>
        </w:rPr>
        <w:t>.</w:t>
      </w:r>
    </w:p>
    <w:p w14:paraId="33BB524E" w14:textId="77777777" w:rsidR="003E676F" w:rsidRPr="000A1B61" w:rsidRDefault="003E676F" w:rsidP="000A1B61">
      <w:pPr>
        <w:pStyle w:val="ItemHead"/>
      </w:pPr>
    </w:p>
    <w:sectPr w:rsidR="003E676F" w:rsidRPr="000A1B61" w:rsidSect="00957210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7B015" w14:textId="77777777" w:rsidR="004D49F1" w:rsidRDefault="004D49F1" w:rsidP="0017734A">
      <w:pPr>
        <w:spacing w:after="0" w:line="240" w:lineRule="auto"/>
      </w:pPr>
      <w:r>
        <w:separator/>
      </w:r>
    </w:p>
  </w:endnote>
  <w:endnote w:type="continuationSeparator" w:id="0">
    <w:p w14:paraId="4DC33682" w14:textId="77777777" w:rsidR="004D49F1" w:rsidRDefault="004D49F1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332E" w14:textId="3BE9CDF5" w:rsidR="00946618" w:rsidRDefault="00946618" w:rsidP="0077726D">
    <w:pPr>
      <w:pStyle w:val="Footer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80FBA20" w14:textId="6AECDD3F" w:rsidR="0017734A" w:rsidRDefault="001B653C" w:rsidP="00196A99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 w:rsidRPr="001B653C">
      <w:rPr>
        <w:rFonts w:ascii="Times New Roman" w:hAnsi="Times New Roman" w:cs="Times New Roman"/>
        <w:i/>
        <w:sz w:val="20"/>
        <w:szCs w:val="20"/>
      </w:rPr>
      <w:t>Radiocommunications (Electromagnetic Radiation — Human Exposure) Amendment Standard 20</w:t>
    </w:r>
    <w:r w:rsidR="00C60608">
      <w:rPr>
        <w:rFonts w:ascii="Times New Roman" w:hAnsi="Times New Roman" w:cs="Times New Roman"/>
        <w:i/>
        <w:sz w:val="20"/>
        <w:szCs w:val="20"/>
      </w:rPr>
      <w:t xml:space="preserve">20 </w:t>
    </w:r>
    <w:r w:rsidRPr="001B653C">
      <w:rPr>
        <w:rFonts w:ascii="Times New Roman" w:hAnsi="Times New Roman" w:cs="Times New Roman"/>
        <w:i/>
        <w:sz w:val="20"/>
        <w:szCs w:val="20"/>
      </w:rPr>
      <w:t>(No. 1)</w:t>
    </w:r>
  </w:p>
  <w:p w14:paraId="23330E08" w14:textId="2C48ACDE" w:rsidR="00C612E4" w:rsidRDefault="00C612E4" w:rsidP="00196A99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</w:r>
    <w:r w:rsidRPr="00C612E4">
      <w:rPr>
        <w:rFonts w:ascii="Times New Roman" w:hAnsi="Times New Roman" w:cs="Times New Roman"/>
        <w:i/>
        <w:sz w:val="20"/>
        <w:szCs w:val="20"/>
      </w:rPr>
      <w:fldChar w:fldCharType="begin"/>
    </w:r>
    <w:r w:rsidRPr="00C612E4">
      <w:rPr>
        <w:rFonts w:ascii="Times New Roman" w:hAnsi="Times New Roman" w:cs="Times New Roman"/>
        <w:i/>
        <w:sz w:val="20"/>
        <w:szCs w:val="20"/>
      </w:rPr>
      <w:instrText xml:space="preserve"> PAGE   \* MERGEFORMAT </w:instrText>
    </w:r>
    <w:r w:rsidRPr="00C612E4">
      <w:rPr>
        <w:rFonts w:ascii="Times New Roman" w:hAnsi="Times New Roman" w:cs="Times New Roman"/>
        <w:i/>
        <w:sz w:val="20"/>
        <w:szCs w:val="20"/>
      </w:rPr>
      <w:fldChar w:fldCharType="separate"/>
    </w:r>
    <w:r w:rsidRPr="00C612E4">
      <w:rPr>
        <w:rFonts w:ascii="Times New Roman" w:hAnsi="Times New Roman" w:cs="Times New Roman"/>
        <w:i/>
        <w:noProof/>
        <w:sz w:val="20"/>
        <w:szCs w:val="20"/>
      </w:rPr>
      <w:t>1</w:t>
    </w:r>
    <w:r w:rsidRPr="00C612E4">
      <w:rPr>
        <w:rFonts w:ascii="Times New Roman" w:hAnsi="Times New Roman" w:cs="Times New Roman"/>
        <w:i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688B" w14:textId="77777777" w:rsidR="00C43B25" w:rsidRDefault="00C43B25" w:rsidP="0077726D">
    <w:pPr>
      <w:pStyle w:val="Footer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1BF669D0" w14:textId="1BF097ED" w:rsidR="00C43B25" w:rsidRDefault="00C43B25" w:rsidP="00196A99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 w:rsidRPr="001B653C">
      <w:rPr>
        <w:rFonts w:ascii="Times New Roman" w:hAnsi="Times New Roman" w:cs="Times New Roman"/>
        <w:i/>
        <w:sz w:val="20"/>
        <w:szCs w:val="20"/>
      </w:rPr>
      <w:t>Radiocommunications (Electromagnetic Radiation — Human Exposure) Amendment Standard 20</w:t>
    </w:r>
    <w:r w:rsidR="00885C1D">
      <w:rPr>
        <w:rFonts w:ascii="Times New Roman" w:hAnsi="Times New Roman" w:cs="Times New Roman"/>
        <w:i/>
        <w:sz w:val="20"/>
        <w:szCs w:val="20"/>
      </w:rPr>
      <w:t>20</w:t>
    </w:r>
    <w:r w:rsidRPr="001B653C">
      <w:rPr>
        <w:rFonts w:ascii="Times New Roman" w:hAnsi="Times New Roman" w:cs="Times New Roman"/>
        <w:i/>
        <w:sz w:val="20"/>
        <w:szCs w:val="20"/>
      </w:rPr>
      <w:t xml:space="preserve"> (No. 1)</w:t>
    </w:r>
  </w:p>
  <w:p w14:paraId="11293890" w14:textId="3F7767F3" w:rsidR="00C612E4" w:rsidRPr="008B67F3" w:rsidRDefault="00C612E4" w:rsidP="00196A99">
    <w:pPr>
      <w:pStyle w:val="Footer"/>
      <w:jc w:val="center"/>
      <w:rPr>
        <w:rFonts w:ascii="Times New Roman" w:hAnsi="Times New Roman" w:cs="Times New Roman"/>
        <w:iCs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</w:r>
    <w:r w:rsidRPr="008B67F3">
      <w:rPr>
        <w:rFonts w:ascii="Times New Roman" w:hAnsi="Times New Roman" w:cs="Times New Roman"/>
        <w:iCs/>
        <w:sz w:val="20"/>
        <w:szCs w:val="20"/>
      </w:rPr>
      <w:fldChar w:fldCharType="begin"/>
    </w:r>
    <w:r w:rsidRPr="00505A9E">
      <w:rPr>
        <w:rFonts w:ascii="Times New Roman" w:hAnsi="Times New Roman" w:cs="Times New Roman"/>
        <w:iCs/>
        <w:sz w:val="20"/>
        <w:szCs w:val="20"/>
      </w:rPr>
      <w:instrText xml:space="preserve"> PAGE   \* MERGEFORMAT </w:instrText>
    </w:r>
    <w:r w:rsidRPr="008B67F3">
      <w:rPr>
        <w:rFonts w:ascii="Times New Roman" w:hAnsi="Times New Roman" w:cs="Times New Roman"/>
        <w:iCs/>
        <w:sz w:val="20"/>
        <w:szCs w:val="20"/>
      </w:rPr>
      <w:fldChar w:fldCharType="separate"/>
    </w:r>
    <w:r w:rsidRPr="00505A9E">
      <w:rPr>
        <w:rFonts w:ascii="Times New Roman" w:hAnsi="Times New Roman" w:cs="Times New Roman"/>
        <w:iCs/>
        <w:noProof/>
        <w:sz w:val="20"/>
        <w:szCs w:val="20"/>
      </w:rPr>
      <w:t>1</w:t>
    </w:r>
    <w:r w:rsidRPr="008B67F3">
      <w:rPr>
        <w:rFonts w:ascii="Times New Roman" w:hAnsi="Times New Roman" w:cs="Times New Roman"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A1D14" w14:textId="77777777" w:rsidR="004D49F1" w:rsidRDefault="004D49F1" w:rsidP="0017734A">
      <w:pPr>
        <w:spacing w:after="0" w:line="240" w:lineRule="auto"/>
      </w:pPr>
      <w:r>
        <w:separator/>
      </w:r>
    </w:p>
  </w:footnote>
  <w:footnote w:type="continuationSeparator" w:id="0">
    <w:p w14:paraId="678F0046" w14:textId="77777777" w:rsidR="004D49F1" w:rsidRDefault="004D49F1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46B3" w14:textId="77777777" w:rsidR="005957A6" w:rsidRDefault="005957A6">
    <w:pPr>
      <w:pStyle w:val="Header"/>
    </w:pPr>
  </w:p>
  <w:p w14:paraId="12661DDE" w14:textId="77777777"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BAAD" w14:textId="77777777" w:rsidR="00F85ED9" w:rsidRDefault="00F85ED9" w:rsidP="00E7332E">
    <w:pPr>
      <w:pStyle w:val="Header"/>
    </w:pPr>
  </w:p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7987D" w14:textId="77777777" w:rsidR="00CC64DD" w:rsidRDefault="00CC64DD" w:rsidP="00892659">
    <w:pPr>
      <w:pStyle w:val="Header"/>
      <w:pBdr>
        <w:bottom w:val="single" w:sz="4" w:space="1" w:color="auto"/>
      </w:pBdr>
    </w:pPr>
  </w:p>
  <w:p w14:paraId="6361980C" w14:textId="7664C49D" w:rsidR="00CC64DD" w:rsidRPr="00CC64DD" w:rsidRDefault="0091792E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F448A" w14:textId="77777777" w:rsidR="00763259" w:rsidRDefault="00763259" w:rsidP="00892659">
    <w:pPr>
      <w:pStyle w:val="Header"/>
      <w:pBdr>
        <w:bottom w:val="single" w:sz="4" w:space="1" w:color="auto"/>
      </w:pBdr>
    </w:pPr>
  </w:p>
  <w:p w14:paraId="1C7533BC" w14:textId="620BC4FB" w:rsidR="00763259" w:rsidRPr="00CC64DD" w:rsidRDefault="00763259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C0D"/>
    <w:multiLevelType w:val="hybridMultilevel"/>
    <w:tmpl w:val="D11812B8"/>
    <w:lvl w:ilvl="0" w:tplc="2FB6D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251C"/>
    <w:multiLevelType w:val="hybridMultilevel"/>
    <w:tmpl w:val="1C0090C6"/>
    <w:lvl w:ilvl="0" w:tplc="D7BE306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F1182A"/>
    <w:multiLevelType w:val="hybridMultilevel"/>
    <w:tmpl w:val="50F43040"/>
    <w:lvl w:ilvl="0" w:tplc="953EF10E">
      <w:start w:val="1"/>
      <w:numFmt w:val="lowerLetter"/>
      <w:lvlText w:val="(%1)"/>
      <w:lvlJc w:val="left"/>
      <w:pPr>
        <w:ind w:left="19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6" w:hanging="360"/>
      </w:pPr>
    </w:lvl>
    <w:lvl w:ilvl="2" w:tplc="0C09001B" w:tentative="1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AD36FF8"/>
    <w:multiLevelType w:val="hybridMultilevel"/>
    <w:tmpl w:val="C1EC04EE"/>
    <w:lvl w:ilvl="0" w:tplc="9E34B138">
      <w:start w:val="1"/>
      <w:numFmt w:val="decimal"/>
      <w:lvlText w:val="(%1)"/>
      <w:lvlJc w:val="left"/>
      <w:pPr>
        <w:ind w:left="1271" w:hanging="42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C658B0"/>
    <w:multiLevelType w:val="hybridMultilevel"/>
    <w:tmpl w:val="9ADC953A"/>
    <w:lvl w:ilvl="0" w:tplc="79B0EEF4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4165D5"/>
    <w:multiLevelType w:val="hybridMultilevel"/>
    <w:tmpl w:val="FBF0B12C"/>
    <w:lvl w:ilvl="0" w:tplc="6CAA32C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4A6412"/>
    <w:multiLevelType w:val="hybridMultilevel"/>
    <w:tmpl w:val="7696D5DE"/>
    <w:lvl w:ilvl="0" w:tplc="38C65104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31A18"/>
    <w:multiLevelType w:val="hybridMultilevel"/>
    <w:tmpl w:val="19229B8E"/>
    <w:lvl w:ilvl="0" w:tplc="022CAD9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A6B581C"/>
    <w:multiLevelType w:val="hybridMultilevel"/>
    <w:tmpl w:val="A2729F84"/>
    <w:lvl w:ilvl="0" w:tplc="1696EBF4">
      <w:start w:val="1"/>
      <w:numFmt w:val="lowerLetter"/>
      <w:lvlText w:val="(%1)"/>
      <w:lvlJc w:val="left"/>
      <w:pPr>
        <w:ind w:left="19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9" w:hanging="360"/>
      </w:pPr>
    </w:lvl>
    <w:lvl w:ilvl="2" w:tplc="0C09001B" w:tentative="1">
      <w:start w:val="1"/>
      <w:numFmt w:val="lowerRoman"/>
      <w:lvlText w:val="%3."/>
      <w:lvlJc w:val="right"/>
      <w:pPr>
        <w:ind w:left="3439" w:hanging="180"/>
      </w:pPr>
    </w:lvl>
    <w:lvl w:ilvl="3" w:tplc="0C09000F" w:tentative="1">
      <w:start w:val="1"/>
      <w:numFmt w:val="decimal"/>
      <w:lvlText w:val="%4."/>
      <w:lvlJc w:val="left"/>
      <w:pPr>
        <w:ind w:left="4159" w:hanging="360"/>
      </w:pPr>
    </w:lvl>
    <w:lvl w:ilvl="4" w:tplc="0C090019" w:tentative="1">
      <w:start w:val="1"/>
      <w:numFmt w:val="lowerLetter"/>
      <w:lvlText w:val="%5."/>
      <w:lvlJc w:val="left"/>
      <w:pPr>
        <w:ind w:left="4879" w:hanging="360"/>
      </w:pPr>
    </w:lvl>
    <w:lvl w:ilvl="5" w:tplc="0C09001B" w:tentative="1">
      <w:start w:val="1"/>
      <w:numFmt w:val="lowerRoman"/>
      <w:lvlText w:val="%6."/>
      <w:lvlJc w:val="right"/>
      <w:pPr>
        <w:ind w:left="5599" w:hanging="180"/>
      </w:pPr>
    </w:lvl>
    <w:lvl w:ilvl="6" w:tplc="0C09000F" w:tentative="1">
      <w:start w:val="1"/>
      <w:numFmt w:val="decimal"/>
      <w:lvlText w:val="%7."/>
      <w:lvlJc w:val="left"/>
      <w:pPr>
        <w:ind w:left="6319" w:hanging="360"/>
      </w:pPr>
    </w:lvl>
    <w:lvl w:ilvl="7" w:tplc="0C090019" w:tentative="1">
      <w:start w:val="1"/>
      <w:numFmt w:val="lowerLetter"/>
      <w:lvlText w:val="%8."/>
      <w:lvlJc w:val="left"/>
      <w:pPr>
        <w:ind w:left="7039" w:hanging="360"/>
      </w:pPr>
    </w:lvl>
    <w:lvl w:ilvl="8" w:tplc="0C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1" w15:restartNumberingAfterBreak="0">
    <w:nsid w:val="3A877EE0"/>
    <w:multiLevelType w:val="hybridMultilevel"/>
    <w:tmpl w:val="A2729F84"/>
    <w:lvl w:ilvl="0" w:tplc="1696EBF4">
      <w:start w:val="1"/>
      <w:numFmt w:val="lowerLetter"/>
      <w:lvlText w:val="(%1)"/>
      <w:lvlJc w:val="left"/>
      <w:pPr>
        <w:ind w:left="19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9" w:hanging="360"/>
      </w:pPr>
    </w:lvl>
    <w:lvl w:ilvl="2" w:tplc="0C09001B" w:tentative="1">
      <w:start w:val="1"/>
      <w:numFmt w:val="lowerRoman"/>
      <w:lvlText w:val="%3."/>
      <w:lvlJc w:val="right"/>
      <w:pPr>
        <w:ind w:left="3439" w:hanging="180"/>
      </w:pPr>
    </w:lvl>
    <w:lvl w:ilvl="3" w:tplc="0C09000F" w:tentative="1">
      <w:start w:val="1"/>
      <w:numFmt w:val="decimal"/>
      <w:lvlText w:val="%4."/>
      <w:lvlJc w:val="left"/>
      <w:pPr>
        <w:ind w:left="4159" w:hanging="360"/>
      </w:pPr>
    </w:lvl>
    <w:lvl w:ilvl="4" w:tplc="0C090019" w:tentative="1">
      <w:start w:val="1"/>
      <w:numFmt w:val="lowerLetter"/>
      <w:lvlText w:val="%5."/>
      <w:lvlJc w:val="left"/>
      <w:pPr>
        <w:ind w:left="4879" w:hanging="360"/>
      </w:pPr>
    </w:lvl>
    <w:lvl w:ilvl="5" w:tplc="0C09001B" w:tentative="1">
      <w:start w:val="1"/>
      <w:numFmt w:val="lowerRoman"/>
      <w:lvlText w:val="%6."/>
      <w:lvlJc w:val="right"/>
      <w:pPr>
        <w:ind w:left="5599" w:hanging="180"/>
      </w:pPr>
    </w:lvl>
    <w:lvl w:ilvl="6" w:tplc="0C09000F" w:tentative="1">
      <w:start w:val="1"/>
      <w:numFmt w:val="decimal"/>
      <w:lvlText w:val="%7."/>
      <w:lvlJc w:val="left"/>
      <w:pPr>
        <w:ind w:left="6319" w:hanging="360"/>
      </w:pPr>
    </w:lvl>
    <w:lvl w:ilvl="7" w:tplc="0C090019" w:tentative="1">
      <w:start w:val="1"/>
      <w:numFmt w:val="lowerLetter"/>
      <w:lvlText w:val="%8."/>
      <w:lvlJc w:val="left"/>
      <w:pPr>
        <w:ind w:left="7039" w:hanging="360"/>
      </w:pPr>
    </w:lvl>
    <w:lvl w:ilvl="8" w:tplc="0C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 w15:restartNumberingAfterBreak="0">
    <w:nsid w:val="3AA4536D"/>
    <w:multiLevelType w:val="hybridMultilevel"/>
    <w:tmpl w:val="C1EC04EE"/>
    <w:lvl w:ilvl="0" w:tplc="9E34B138">
      <w:start w:val="1"/>
      <w:numFmt w:val="decimal"/>
      <w:lvlText w:val="(%1)"/>
      <w:lvlJc w:val="left"/>
      <w:pPr>
        <w:ind w:left="1271" w:hanging="42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051C2"/>
    <w:multiLevelType w:val="hybridMultilevel"/>
    <w:tmpl w:val="86746EE2"/>
    <w:lvl w:ilvl="0" w:tplc="D914521C">
      <w:start w:val="1"/>
      <w:numFmt w:val="lowerLetter"/>
      <w:lvlText w:val="(%1)"/>
      <w:lvlJc w:val="left"/>
      <w:pPr>
        <w:ind w:left="205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775" w:hanging="360"/>
      </w:pPr>
    </w:lvl>
    <w:lvl w:ilvl="2" w:tplc="0C09001B" w:tentative="1">
      <w:start w:val="1"/>
      <w:numFmt w:val="lowerRoman"/>
      <w:lvlText w:val="%3."/>
      <w:lvlJc w:val="right"/>
      <w:pPr>
        <w:ind w:left="3495" w:hanging="180"/>
      </w:pPr>
    </w:lvl>
    <w:lvl w:ilvl="3" w:tplc="0C09000F" w:tentative="1">
      <w:start w:val="1"/>
      <w:numFmt w:val="decimal"/>
      <w:lvlText w:val="%4."/>
      <w:lvlJc w:val="left"/>
      <w:pPr>
        <w:ind w:left="4215" w:hanging="360"/>
      </w:pPr>
    </w:lvl>
    <w:lvl w:ilvl="4" w:tplc="0C090019" w:tentative="1">
      <w:start w:val="1"/>
      <w:numFmt w:val="lowerLetter"/>
      <w:lvlText w:val="%5."/>
      <w:lvlJc w:val="left"/>
      <w:pPr>
        <w:ind w:left="4935" w:hanging="360"/>
      </w:pPr>
    </w:lvl>
    <w:lvl w:ilvl="5" w:tplc="0C09001B" w:tentative="1">
      <w:start w:val="1"/>
      <w:numFmt w:val="lowerRoman"/>
      <w:lvlText w:val="%6."/>
      <w:lvlJc w:val="right"/>
      <w:pPr>
        <w:ind w:left="5655" w:hanging="180"/>
      </w:pPr>
    </w:lvl>
    <w:lvl w:ilvl="6" w:tplc="0C09000F" w:tentative="1">
      <w:start w:val="1"/>
      <w:numFmt w:val="decimal"/>
      <w:lvlText w:val="%7."/>
      <w:lvlJc w:val="left"/>
      <w:pPr>
        <w:ind w:left="6375" w:hanging="360"/>
      </w:pPr>
    </w:lvl>
    <w:lvl w:ilvl="7" w:tplc="0C090019" w:tentative="1">
      <w:start w:val="1"/>
      <w:numFmt w:val="lowerLetter"/>
      <w:lvlText w:val="%8."/>
      <w:lvlJc w:val="left"/>
      <w:pPr>
        <w:ind w:left="7095" w:hanging="360"/>
      </w:pPr>
    </w:lvl>
    <w:lvl w:ilvl="8" w:tplc="0C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558B7173"/>
    <w:multiLevelType w:val="hybridMultilevel"/>
    <w:tmpl w:val="A2729F84"/>
    <w:lvl w:ilvl="0" w:tplc="1696EBF4">
      <w:start w:val="1"/>
      <w:numFmt w:val="lowerLetter"/>
      <w:lvlText w:val="(%1)"/>
      <w:lvlJc w:val="left"/>
      <w:pPr>
        <w:ind w:left="19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9" w:hanging="360"/>
      </w:pPr>
    </w:lvl>
    <w:lvl w:ilvl="2" w:tplc="0C09001B" w:tentative="1">
      <w:start w:val="1"/>
      <w:numFmt w:val="lowerRoman"/>
      <w:lvlText w:val="%3."/>
      <w:lvlJc w:val="right"/>
      <w:pPr>
        <w:ind w:left="3439" w:hanging="180"/>
      </w:pPr>
    </w:lvl>
    <w:lvl w:ilvl="3" w:tplc="0C09000F" w:tentative="1">
      <w:start w:val="1"/>
      <w:numFmt w:val="decimal"/>
      <w:lvlText w:val="%4."/>
      <w:lvlJc w:val="left"/>
      <w:pPr>
        <w:ind w:left="4159" w:hanging="360"/>
      </w:pPr>
    </w:lvl>
    <w:lvl w:ilvl="4" w:tplc="0C090019" w:tentative="1">
      <w:start w:val="1"/>
      <w:numFmt w:val="lowerLetter"/>
      <w:lvlText w:val="%5."/>
      <w:lvlJc w:val="left"/>
      <w:pPr>
        <w:ind w:left="4879" w:hanging="360"/>
      </w:pPr>
    </w:lvl>
    <w:lvl w:ilvl="5" w:tplc="0C09001B" w:tentative="1">
      <w:start w:val="1"/>
      <w:numFmt w:val="lowerRoman"/>
      <w:lvlText w:val="%6."/>
      <w:lvlJc w:val="right"/>
      <w:pPr>
        <w:ind w:left="5599" w:hanging="180"/>
      </w:pPr>
    </w:lvl>
    <w:lvl w:ilvl="6" w:tplc="0C09000F" w:tentative="1">
      <w:start w:val="1"/>
      <w:numFmt w:val="decimal"/>
      <w:lvlText w:val="%7."/>
      <w:lvlJc w:val="left"/>
      <w:pPr>
        <w:ind w:left="6319" w:hanging="360"/>
      </w:pPr>
    </w:lvl>
    <w:lvl w:ilvl="7" w:tplc="0C090019" w:tentative="1">
      <w:start w:val="1"/>
      <w:numFmt w:val="lowerLetter"/>
      <w:lvlText w:val="%8."/>
      <w:lvlJc w:val="left"/>
      <w:pPr>
        <w:ind w:left="7039" w:hanging="360"/>
      </w:pPr>
    </w:lvl>
    <w:lvl w:ilvl="8" w:tplc="0C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7" w15:restartNumberingAfterBreak="0">
    <w:nsid w:val="55915E5A"/>
    <w:multiLevelType w:val="hybridMultilevel"/>
    <w:tmpl w:val="9EF00920"/>
    <w:lvl w:ilvl="0" w:tplc="5F5848B6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7202A8"/>
    <w:multiLevelType w:val="hybridMultilevel"/>
    <w:tmpl w:val="C1EC04EE"/>
    <w:lvl w:ilvl="0" w:tplc="9E34B138">
      <w:start w:val="1"/>
      <w:numFmt w:val="decimal"/>
      <w:lvlText w:val="(%1)"/>
      <w:lvlJc w:val="left"/>
      <w:pPr>
        <w:ind w:left="1271" w:hanging="42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9845F4E"/>
    <w:multiLevelType w:val="hybridMultilevel"/>
    <w:tmpl w:val="B4C2EA48"/>
    <w:lvl w:ilvl="0" w:tplc="437415A4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400" w:hanging="360"/>
      </w:pPr>
    </w:lvl>
    <w:lvl w:ilvl="2" w:tplc="0C09001B" w:tentative="1">
      <w:start w:val="1"/>
      <w:numFmt w:val="lowerRoman"/>
      <w:lvlText w:val="%3."/>
      <w:lvlJc w:val="right"/>
      <w:pPr>
        <w:ind w:left="6120" w:hanging="180"/>
      </w:pPr>
    </w:lvl>
    <w:lvl w:ilvl="3" w:tplc="0C09000F" w:tentative="1">
      <w:start w:val="1"/>
      <w:numFmt w:val="decimal"/>
      <w:lvlText w:val="%4."/>
      <w:lvlJc w:val="left"/>
      <w:pPr>
        <w:ind w:left="6840" w:hanging="360"/>
      </w:pPr>
    </w:lvl>
    <w:lvl w:ilvl="4" w:tplc="0C090019" w:tentative="1">
      <w:start w:val="1"/>
      <w:numFmt w:val="lowerLetter"/>
      <w:lvlText w:val="%5."/>
      <w:lvlJc w:val="left"/>
      <w:pPr>
        <w:ind w:left="7560" w:hanging="360"/>
      </w:pPr>
    </w:lvl>
    <w:lvl w:ilvl="5" w:tplc="0C09001B" w:tentative="1">
      <w:start w:val="1"/>
      <w:numFmt w:val="lowerRoman"/>
      <w:lvlText w:val="%6."/>
      <w:lvlJc w:val="right"/>
      <w:pPr>
        <w:ind w:left="8280" w:hanging="180"/>
      </w:pPr>
    </w:lvl>
    <w:lvl w:ilvl="6" w:tplc="0C09000F" w:tentative="1">
      <w:start w:val="1"/>
      <w:numFmt w:val="decimal"/>
      <w:lvlText w:val="%7."/>
      <w:lvlJc w:val="left"/>
      <w:pPr>
        <w:ind w:left="9000" w:hanging="360"/>
      </w:pPr>
    </w:lvl>
    <w:lvl w:ilvl="7" w:tplc="0C090019" w:tentative="1">
      <w:start w:val="1"/>
      <w:numFmt w:val="lowerLetter"/>
      <w:lvlText w:val="%8."/>
      <w:lvlJc w:val="left"/>
      <w:pPr>
        <w:ind w:left="9720" w:hanging="360"/>
      </w:pPr>
    </w:lvl>
    <w:lvl w:ilvl="8" w:tplc="0C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5B604A54"/>
    <w:multiLevelType w:val="hybridMultilevel"/>
    <w:tmpl w:val="C61E04C8"/>
    <w:lvl w:ilvl="0" w:tplc="1B8E70E6">
      <w:start w:val="1"/>
      <w:numFmt w:val="decimal"/>
      <w:lvlText w:val="(%1)"/>
      <w:lvlJc w:val="left"/>
      <w:pPr>
        <w:ind w:left="16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9" w:hanging="360"/>
      </w:pPr>
    </w:lvl>
    <w:lvl w:ilvl="2" w:tplc="0C09001B" w:tentative="1">
      <w:start w:val="1"/>
      <w:numFmt w:val="lowerRoman"/>
      <w:lvlText w:val="%3."/>
      <w:lvlJc w:val="right"/>
      <w:pPr>
        <w:ind w:left="3079" w:hanging="180"/>
      </w:pPr>
    </w:lvl>
    <w:lvl w:ilvl="3" w:tplc="0C09000F" w:tentative="1">
      <w:start w:val="1"/>
      <w:numFmt w:val="decimal"/>
      <w:lvlText w:val="%4."/>
      <w:lvlJc w:val="left"/>
      <w:pPr>
        <w:ind w:left="3799" w:hanging="360"/>
      </w:pPr>
    </w:lvl>
    <w:lvl w:ilvl="4" w:tplc="0C090019" w:tentative="1">
      <w:start w:val="1"/>
      <w:numFmt w:val="lowerLetter"/>
      <w:lvlText w:val="%5."/>
      <w:lvlJc w:val="left"/>
      <w:pPr>
        <w:ind w:left="4519" w:hanging="360"/>
      </w:pPr>
    </w:lvl>
    <w:lvl w:ilvl="5" w:tplc="0C09001B" w:tentative="1">
      <w:start w:val="1"/>
      <w:numFmt w:val="lowerRoman"/>
      <w:lvlText w:val="%6."/>
      <w:lvlJc w:val="right"/>
      <w:pPr>
        <w:ind w:left="5239" w:hanging="180"/>
      </w:pPr>
    </w:lvl>
    <w:lvl w:ilvl="6" w:tplc="0C09000F" w:tentative="1">
      <w:start w:val="1"/>
      <w:numFmt w:val="decimal"/>
      <w:lvlText w:val="%7."/>
      <w:lvlJc w:val="left"/>
      <w:pPr>
        <w:ind w:left="5959" w:hanging="360"/>
      </w:pPr>
    </w:lvl>
    <w:lvl w:ilvl="7" w:tplc="0C090019" w:tentative="1">
      <w:start w:val="1"/>
      <w:numFmt w:val="lowerLetter"/>
      <w:lvlText w:val="%8."/>
      <w:lvlJc w:val="left"/>
      <w:pPr>
        <w:ind w:left="6679" w:hanging="360"/>
      </w:pPr>
    </w:lvl>
    <w:lvl w:ilvl="8" w:tplc="0C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1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D2D22"/>
    <w:multiLevelType w:val="hybridMultilevel"/>
    <w:tmpl w:val="A2729F84"/>
    <w:lvl w:ilvl="0" w:tplc="1696EBF4">
      <w:start w:val="1"/>
      <w:numFmt w:val="lowerLetter"/>
      <w:lvlText w:val="(%1)"/>
      <w:lvlJc w:val="left"/>
      <w:pPr>
        <w:ind w:left="19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9" w:hanging="360"/>
      </w:pPr>
    </w:lvl>
    <w:lvl w:ilvl="2" w:tplc="0C09001B" w:tentative="1">
      <w:start w:val="1"/>
      <w:numFmt w:val="lowerRoman"/>
      <w:lvlText w:val="%3."/>
      <w:lvlJc w:val="right"/>
      <w:pPr>
        <w:ind w:left="3439" w:hanging="180"/>
      </w:pPr>
    </w:lvl>
    <w:lvl w:ilvl="3" w:tplc="0C09000F" w:tentative="1">
      <w:start w:val="1"/>
      <w:numFmt w:val="decimal"/>
      <w:lvlText w:val="%4."/>
      <w:lvlJc w:val="left"/>
      <w:pPr>
        <w:ind w:left="4159" w:hanging="360"/>
      </w:pPr>
    </w:lvl>
    <w:lvl w:ilvl="4" w:tplc="0C090019" w:tentative="1">
      <w:start w:val="1"/>
      <w:numFmt w:val="lowerLetter"/>
      <w:lvlText w:val="%5."/>
      <w:lvlJc w:val="left"/>
      <w:pPr>
        <w:ind w:left="4879" w:hanging="360"/>
      </w:pPr>
    </w:lvl>
    <w:lvl w:ilvl="5" w:tplc="0C09001B" w:tentative="1">
      <w:start w:val="1"/>
      <w:numFmt w:val="lowerRoman"/>
      <w:lvlText w:val="%6."/>
      <w:lvlJc w:val="right"/>
      <w:pPr>
        <w:ind w:left="5599" w:hanging="180"/>
      </w:pPr>
    </w:lvl>
    <w:lvl w:ilvl="6" w:tplc="0C09000F" w:tentative="1">
      <w:start w:val="1"/>
      <w:numFmt w:val="decimal"/>
      <w:lvlText w:val="%7."/>
      <w:lvlJc w:val="left"/>
      <w:pPr>
        <w:ind w:left="6319" w:hanging="360"/>
      </w:pPr>
    </w:lvl>
    <w:lvl w:ilvl="7" w:tplc="0C090019" w:tentative="1">
      <w:start w:val="1"/>
      <w:numFmt w:val="lowerLetter"/>
      <w:lvlText w:val="%8."/>
      <w:lvlJc w:val="left"/>
      <w:pPr>
        <w:ind w:left="7039" w:hanging="360"/>
      </w:pPr>
    </w:lvl>
    <w:lvl w:ilvl="8" w:tplc="0C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23" w15:restartNumberingAfterBreak="0">
    <w:nsid w:val="65B17B56"/>
    <w:multiLevelType w:val="hybridMultilevel"/>
    <w:tmpl w:val="856AD8C4"/>
    <w:lvl w:ilvl="0" w:tplc="88B63C88">
      <w:start w:val="1"/>
      <w:numFmt w:val="lowerRoman"/>
      <w:lvlText w:val="(%1)"/>
      <w:lvlJc w:val="left"/>
      <w:pPr>
        <w:ind w:left="2847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66911E1D"/>
    <w:multiLevelType w:val="hybridMultilevel"/>
    <w:tmpl w:val="1C7040D8"/>
    <w:lvl w:ilvl="0" w:tplc="EB76BB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3B02C8"/>
    <w:multiLevelType w:val="hybridMultilevel"/>
    <w:tmpl w:val="9EF00920"/>
    <w:lvl w:ilvl="0" w:tplc="5F5848B6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1C0255"/>
    <w:multiLevelType w:val="hybridMultilevel"/>
    <w:tmpl w:val="98E63106"/>
    <w:lvl w:ilvl="0" w:tplc="18689F5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1E31AE"/>
    <w:multiLevelType w:val="hybridMultilevel"/>
    <w:tmpl w:val="A2729F84"/>
    <w:lvl w:ilvl="0" w:tplc="1696EBF4">
      <w:start w:val="1"/>
      <w:numFmt w:val="lowerLetter"/>
      <w:lvlText w:val="(%1)"/>
      <w:lvlJc w:val="left"/>
      <w:pPr>
        <w:ind w:left="19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9" w:hanging="360"/>
      </w:pPr>
    </w:lvl>
    <w:lvl w:ilvl="2" w:tplc="0C09001B" w:tentative="1">
      <w:start w:val="1"/>
      <w:numFmt w:val="lowerRoman"/>
      <w:lvlText w:val="%3."/>
      <w:lvlJc w:val="right"/>
      <w:pPr>
        <w:ind w:left="3439" w:hanging="180"/>
      </w:pPr>
    </w:lvl>
    <w:lvl w:ilvl="3" w:tplc="0C09000F" w:tentative="1">
      <w:start w:val="1"/>
      <w:numFmt w:val="decimal"/>
      <w:lvlText w:val="%4."/>
      <w:lvlJc w:val="left"/>
      <w:pPr>
        <w:ind w:left="4159" w:hanging="360"/>
      </w:pPr>
    </w:lvl>
    <w:lvl w:ilvl="4" w:tplc="0C090019" w:tentative="1">
      <w:start w:val="1"/>
      <w:numFmt w:val="lowerLetter"/>
      <w:lvlText w:val="%5."/>
      <w:lvlJc w:val="left"/>
      <w:pPr>
        <w:ind w:left="4879" w:hanging="360"/>
      </w:pPr>
    </w:lvl>
    <w:lvl w:ilvl="5" w:tplc="0C09001B" w:tentative="1">
      <w:start w:val="1"/>
      <w:numFmt w:val="lowerRoman"/>
      <w:lvlText w:val="%6."/>
      <w:lvlJc w:val="right"/>
      <w:pPr>
        <w:ind w:left="5599" w:hanging="180"/>
      </w:pPr>
    </w:lvl>
    <w:lvl w:ilvl="6" w:tplc="0C09000F" w:tentative="1">
      <w:start w:val="1"/>
      <w:numFmt w:val="decimal"/>
      <w:lvlText w:val="%7."/>
      <w:lvlJc w:val="left"/>
      <w:pPr>
        <w:ind w:left="6319" w:hanging="360"/>
      </w:pPr>
    </w:lvl>
    <w:lvl w:ilvl="7" w:tplc="0C090019" w:tentative="1">
      <w:start w:val="1"/>
      <w:numFmt w:val="lowerLetter"/>
      <w:lvlText w:val="%8."/>
      <w:lvlJc w:val="left"/>
      <w:pPr>
        <w:ind w:left="7039" w:hanging="360"/>
      </w:pPr>
    </w:lvl>
    <w:lvl w:ilvl="8" w:tplc="0C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28" w15:restartNumberingAfterBreak="0">
    <w:nsid w:val="71E24A02"/>
    <w:multiLevelType w:val="hybridMultilevel"/>
    <w:tmpl w:val="98E63106"/>
    <w:lvl w:ilvl="0" w:tplc="18689F5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767BBD"/>
    <w:multiLevelType w:val="hybridMultilevel"/>
    <w:tmpl w:val="A2729F84"/>
    <w:lvl w:ilvl="0" w:tplc="1696EBF4">
      <w:start w:val="1"/>
      <w:numFmt w:val="lowerLetter"/>
      <w:lvlText w:val="(%1)"/>
      <w:lvlJc w:val="left"/>
      <w:pPr>
        <w:ind w:left="19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9" w:hanging="360"/>
      </w:pPr>
    </w:lvl>
    <w:lvl w:ilvl="2" w:tplc="0C09001B" w:tentative="1">
      <w:start w:val="1"/>
      <w:numFmt w:val="lowerRoman"/>
      <w:lvlText w:val="%3."/>
      <w:lvlJc w:val="right"/>
      <w:pPr>
        <w:ind w:left="3439" w:hanging="180"/>
      </w:pPr>
    </w:lvl>
    <w:lvl w:ilvl="3" w:tplc="0C09000F" w:tentative="1">
      <w:start w:val="1"/>
      <w:numFmt w:val="decimal"/>
      <w:lvlText w:val="%4."/>
      <w:lvlJc w:val="left"/>
      <w:pPr>
        <w:ind w:left="4159" w:hanging="360"/>
      </w:pPr>
    </w:lvl>
    <w:lvl w:ilvl="4" w:tplc="0C090019" w:tentative="1">
      <w:start w:val="1"/>
      <w:numFmt w:val="lowerLetter"/>
      <w:lvlText w:val="%5."/>
      <w:lvlJc w:val="left"/>
      <w:pPr>
        <w:ind w:left="4879" w:hanging="360"/>
      </w:pPr>
    </w:lvl>
    <w:lvl w:ilvl="5" w:tplc="0C09001B" w:tentative="1">
      <w:start w:val="1"/>
      <w:numFmt w:val="lowerRoman"/>
      <w:lvlText w:val="%6."/>
      <w:lvlJc w:val="right"/>
      <w:pPr>
        <w:ind w:left="5599" w:hanging="180"/>
      </w:pPr>
    </w:lvl>
    <w:lvl w:ilvl="6" w:tplc="0C09000F" w:tentative="1">
      <w:start w:val="1"/>
      <w:numFmt w:val="decimal"/>
      <w:lvlText w:val="%7."/>
      <w:lvlJc w:val="left"/>
      <w:pPr>
        <w:ind w:left="6319" w:hanging="360"/>
      </w:pPr>
    </w:lvl>
    <w:lvl w:ilvl="7" w:tplc="0C090019" w:tentative="1">
      <w:start w:val="1"/>
      <w:numFmt w:val="lowerLetter"/>
      <w:lvlText w:val="%8."/>
      <w:lvlJc w:val="left"/>
      <w:pPr>
        <w:ind w:left="7039" w:hanging="360"/>
      </w:pPr>
    </w:lvl>
    <w:lvl w:ilvl="8" w:tplc="0C0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30" w15:restartNumberingAfterBreak="0">
    <w:nsid w:val="72A8798C"/>
    <w:multiLevelType w:val="hybridMultilevel"/>
    <w:tmpl w:val="C1EC04EE"/>
    <w:lvl w:ilvl="0" w:tplc="9E34B138">
      <w:start w:val="1"/>
      <w:numFmt w:val="decimal"/>
      <w:lvlText w:val="(%1)"/>
      <w:lvlJc w:val="left"/>
      <w:pPr>
        <w:ind w:left="1271" w:hanging="42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D19060D"/>
    <w:multiLevelType w:val="hybridMultilevel"/>
    <w:tmpl w:val="6EF8905E"/>
    <w:lvl w:ilvl="0" w:tplc="3F2A9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4"/>
  </w:num>
  <w:num w:numId="4">
    <w:abstractNumId w:val="21"/>
  </w:num>
  <w:num w:numId="5">
    <w:abstractNumId w:val="13"/>
  </w:num>
  <w:num w:numId="6">
    <w:abstractNumId w:val="7"/>
  </w:num>
  <w:num w:numId="7">
    <w:abstractNumId w:val="20"/>
  </w:num>
  <w:num w:numId="8">
    <w:abstractNumId w:val="11"/>
  </w:num>
  <w:num w:numId="9">
    <w:abstractNumId w:val="6"/>
  </w:num>
  <w:num w:numId="10">
    <w:abstractNumId w:val="15"/>
  </w:num>
  <w:num w:numId="11">
    <w:abstractNumId w:val="2"/>
  </w:num>
  <w:num w:numId="12">
    <w:abstractNumId w:val="31"/>
  </w:num>
  <w:num w:numId="13">
    <w:abstractNumId w:val="19"/>
  </w:num>
  <w:num w:numId="14">
    <w:abstractNumId w:val="23"/>
  </w:num>
  <w:num w:numId="15">
    <w:abstractNumId w:val="4"/>
  </w:num>
  <w:num w:numId="16">
    <w:abstractNumId w:val="25"/>
  </w:num>
  <w:num w:numId="17">
    <w:abstractNumId w:val="26"/>
  </w:num>
  <w:num w:numId="18">
    <w:abstractNumId w:val="17"/>
  </w:num>
  <w:num w:numId="19">
    <w:abstractNumId w:val="28"/>
  </w:num>
  <w:num w:numId="20">
    <w:abstractNumId w:val="5"/>
  </w:num>
  <w:num w:numId="21">
    <w:abstractNumId w:val="1"/>
  </w:num>
  <w:num w:numId="22">
    <w:abstractNumId w:val="0"/>
  </w:num>
  <w:num w:numId="23">
    <w:abstractNumId w:val="24"/>
  </w:num>
  <w:num w:numId="24">
    <w:abstractNumId w:val="18"/>
  </w:num>
  <w:num w:numId="25">
    <w:abstractNumId w:val="9"/>
  </w:num>
  <w:num w:numId="26">
    <w:abstractNumId w:val="3"/>
  </w:num>
  <w:num w:numId="27">
    <w:abstractNumId w:val="29"/>
  </w:num>
  <w:num w:numId="28">
    <w:abstractNumId w:val="12"/>
  </w:num>
  <w:num w:numId="29">
    <w:abstractNumId w:val="16"/>
  </w:num>
  <w:num w:numId="30">
    <w:abstractNumId w:val="22"/>
  </w:num>
  <w:num w:numId="31">
    <w:abstractNumId w:val="30"/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17867"/>
    <w:rsid w:val="000253FA"/>
    <w:rsid w:val="00032B82"/>
    <w:rsid w:val="000340E0"/>
    <w:rsid w:val="0003480E"/>
    <w:rsid w:val="000403B3"/>
    <w:rsid w:val="0006365C"/>
    <w:rsid w:val="00066114"/>
    <w:rsid w:val="00070BC5"/>
    <w:rsid w:val="00073066"/>
    <w:rsid w:val="00073EC1"/>
    <w:rsid w:val="000836CB"/>
    <w:rsid w:val="000912DF"/>
    <w:rsid w:val="00097057"/>
    <w:rsid w:val="00097890"/>
    <w:rsid w:val="000A04AC"/>
    <w:rsid w:val="000A1B61"/>
    <w:rsid w:val="000A3D56"/>
    <w:rsid w:val="000A430B"/>
    <w:rsid w:val="000A7FE6"/>
    <w:rsid w:val="000B043F"/>
    <w:rsid w:val="000B23A0"/>
    <w:rsid w:val="000B4E1A"/>
    <w:rsid w:val="000C0229"/>
    <w:rsid w:val="000C104E"/>
    <w:rsid w:val="000C5A8B"/>
    <w:rsid w:val="000D339C"/>
    <w:rsid w:val="000D48D9"/>
    <w:rsid w:val="000D6298"/>
    <w:rsid w:val="000E475A"/>
    <w:rsid w:val="000F1394"/>
    <w:rsid w:val="000F251B"/>
    <w:rsid w:val="00105CF3"/>
    <w:rsid w:val="00111D2E"/>
    <w:rsid w:val="00112E80"/>
    <w:rsid w:val="00117B43"/>
    <w:rsid w:val="00120625"/>
    <w:rsid w:val="00121BB9"/>
    <w:rsid w:val="001232CF"/>
    <w:rsid w:val="00130C48"/>
    <w:rsid w:val="00140695"/>
    <w:rsid w:val="001410FE"/>
    <w:rsid w:val="00141836"/>
    <w:rsid w:val="0014279F"/>
    <w:rsid w:val="001446F6"/>
    <w:rsid w:val="00145DB8"/>
    <w:rsid w:val="001500FF"/>
    <w:rsid w:val="001517AD"/>
    <w:rsid w:val="0015584B"/>
    <w:rsid w:val="00155BD3"/>
    <w:rsid w:val="00156794"/>
    <w:rsid w:val="0016521E"/>
    <w:rsid w:val="00166918"/>
    <w:rsid w:val="001716DF"/>
    <w:rsid w:val="00174B19"/>
    <w:rsid w:val="0017734A"/>
    <w:rsid w:val="00177E98"/>
    <w:rsid w:val="00182585"/>
    <w:rsid w:val="001825E8"/>
    <w:rsid w:val="00182B4C"/>
    <w:rsid w:val="00190897"/>
    <w:rsid w:val="00193B12"/>
    <w:rsid w:val="00196A99"/>
    <w:rsid w:val="001A1BFE"/>
    <w:rsid w:val="001A23DC"/>
    <w:rsid w:val="001B119F"/>
    <w:rsid w:val="001B653C"/>
    <w:rsid w:val="001C12ED"/>
    <w:rsid w:val="001C1DAB"/>
    <w:rsid w:val="001C2C5F"/>
    <w:rsid w:val="001C3CA0"/>
    <w:rsid w:val="001D0247"/>
    <w:rsid w:val="001D0638"/>
    <w:rsid w:val="001D341B"/>
    <w:rsid w:val="001D60E6"/>
    <w:rsid w:val="001E52EE"/>
    <w:rsid w:val="001E6783"/>
    <w:rsid w:val="001E682E"/>
    <w:rsid w:val="00201FC6"/>
    <w:rsid w:val="00205945"/>
    <w:rsid w:val="0020657F"/>
    <w:rsid w:val="002113D7"/>
    <w:rsid w:val="0021176E"/>
    <w:rsid w:val="00217026"/>
    <w:rsid w:val="00220B89"/>
    <w:rsid w:val="002218A1"/>
    <w:rsid w:val="0023229F"/>
    <w:rsid w:val="00237B8C"/>
    <w:rsid w:val="0024247C"/>
    <w:rsid w:val="00250894"/>
    <w:rsid w:val="002516B7"/>
    <w:rsid w:val="00253AF5"/>
    <w:rsid w:val="002607CE"/>
    <w:rsid w:val="00260AEB"/>
    <w:rsid w:val="0026263D"/>
    <w:rsid w:val="00263D41"/>
    <w:rsid w:val="00265688"/>
    <w:rsid w:val="00270593"/>
    <w:rsid w:val="002803DB"/>
    <w:rsid w:val="00280AC2"/>
    <w:rsid w:val="002907BA"/>
    <w:rsid w:val="00292502"/>
    <w:rsid w:val="00295B1C"/>
    <w:rsid w:val="00296D43"/>
    <w:rsid w:val="002A05AA"/>
    <w:rsid w:val="002A0EB6"/>
    <w:rsid w:val="002A1832"/>
    <w:rsid w:val="002A37D5"/>
    <w:rsid w:val="002A40E4"/>
    <w:rsid w:val="002A6DE1"/>
    <w:rsid w:val="002B5793"/>
    <w:rsid w:val="002B6033"/>
    <w:rsid w:val="002B73D8"/>
    <w:rsid w:val="002D3CF2"/>
    <w:rsid w:val="002D4A72"/>
    <w:rsid w:val="002D7014"/>
    <w:rsid w:val="002E304A"/>
    <w:rsid w:val="002E3840"/>
    <w:rsid w:val="002E3CDB"/>
    <w:rsid w:val="002E5390"/>
    <w:rsid w:val="002E7740"/>
    <w:rsid w:val="002F0E3F"/>
    <w:rsid w:val="002F2B06"/>
    <w:rsid w:val="002F7F2E"/>
    <w:rsid w:val="00306DAE"/>
    <w:rsid w:val="00317BC2"/>
    <w:rsid w:val="00320B8E"/>
    <w:rsid w:val="0032128C"/>
    <w:rsid w:val="003243BB"/>
    <w:rsid w:val="00330910"/>
    <w:rsid w:val="00330E3F"/>
    <w:rsid w:val="00331677"/>
    <w:rsid w:val="003356DF"/>
    <w:rsid w:val="00350153"/>
    <w:rsid w:val="00350826"/>
    <w:rsid w:val="003526E7"/>
    <w:rsid w:val="0035270A"/>
    <w:rsid w:val="00354CC7"/>
    <w:rsid w:val="00357EC0"/>
    <w:rsid w:val="003633A1"/>
    <w:rsid w:val="00365A8B"/>
    <w:rsid w:val="0036711F"/>
    <w:rsid w:val="0037190C"/>
    <w:rsid w:val="003810F8"/>
    <w:rsid w:val="00384731"/>
    <w:rsid w:val="003974E2"/>
    <w:rsid w:val="003A0791"/>
    <w:rsid w:val="003A5E56"/>
    <w:rsid w:val="003A6FC7"/>
    <w:rsid w:val="003B17C8"/>
    <w:rsid w:val="003B2710"/>
    <w:rsid w:val="003B3F5B"/>
    <w:rsid w:val="003C44A9"/>
    <w:rsid w:val="003D42C5"/>
    <w:rsid w:val="003E676F"/>
    <w:rsid w:val="003F7A2A"/>
    <w:rsid w:val="00403A2F"/>
    <w:rsid w:val="00403A9F"/>
    <w:rsid w:val="00410890"/>
    <w:rsid w:val="00411B92"/>
    <w:rsid w:val="004146CD"/>
    <w:rsid w:val="00417C3B"/>
    <w:rsid w:val="004202AD"/>
    <w:rsid w:val="0042141B"/>
    <w:rsid w:val="00421FEB"/>
    <w:rsid w:val="00422980"/>
    <w:rsid w:val="004309EA"/>
    <w:rsid w:val="004361D9"/>
    <w:rsid w:val="00436AAD"/>
    <w:rsid w:val="00443D53"/>
    <w:rsid w:val="0044431E"/>
    <w:rsid w:val="00444D10"/>
    <w:rsid w:val="00445E4C"/>
    <w:rsid w:val="0046060F"/>
    <w:rsid w:val="00460FD9"/>
    <w:rsid w:val="00473DD0"/>
    <w:rsid w:val="00474A84"/>
    <w:rsid w:val="00475CAC"/>
    <w:rsid w:val="00477CF4"/>
    <w:rsid w:val="00485261"/>
    <w:rsid w:val="00490EE4"/>
    <w:rsid w:val="00491397"/>
    <w:rsid w:val="00496A53"/>
    <w:rsid w:val="004A0141"/>
    <w:rsid w:val="004A0519"/>
    <w:rsid w:val="004A5D20"/>
    <w:rsid w:val="004B02F8"/>
    <w:rsid w:val="004B5752"/>
    <w:rsid w:val="004B5A51"/>
    <w:rsid w:val="004B73D0"/>
    <w:rsid w:val="004D49F1"/>
    <w:rsid w:val="004D5A2C"/>
    <w:rsid w:val="004D6B79"/>
    <w:rsid w:val="004E0C92"/>
    <w:rsid w:val="004E7777"/>
    <w:rsid w:val="004F2890"/>
    <w:rsid w:val="004F32A0"/>
    <w:rsid w:val="004F5D89"/>
    <w:rsid w:val="005006F9"/>
    <w:rsid w:val="00501033"/>
    <w:rsid w:val="005058D2"/>
    <w:rsid w:val="00505A9E"/>
    <w:rsid w:val="00511055"/>
    <w:rsid w:val="00514EE2"/>
    <w:rsid w:val="005169E5"/>
    <w:rsid w:val="00517FA7"/>
    <w:rsid w:val="005245F4"/>
    <w:rsid w:val="00524717"/>
    <w:rsid w:val="00531C11"/>
    <w:rsid w:val="00534220"/>
    <w:rsid w:val="00535035"/>
    <w:rsid w:val="00535E86"/>
    <w:rsid w:val="0056193D"/>
    <w:rsid w:val="00563F70"/>
    <w:rsid w:val="00570159"/>
    <w:rsid w:val="00574BD5"/>
    <w:rsid w:val="005849EE"/>
    <w:rsid w:val="00587AB2"/>
    <w:rsid w:val="00590209"/>
    <w:rsid w:val="0059120F"/>
    <w:rsid w:val="00592E1B"/>
    <w:rsid w:val="005957A6"/>
    <w:rsid w:val="00595CCF"/>
    <w:rsid w:val="005A4962"/>
    <w:rsid w:val="005B4848"/>
    <w:rsid w:val="005B539F"/>
    <w:rsid w:val="005C02FA"/>
    <w:rsid w:val="005C19F7"/>
    <w:rsid w:val="005C23A5"/>
    <w:rsid w:val="005C5ABA"/>
    <w:rsid w:val="005D10BA"/>
    <w:rsid w:val="005D59FA"/>
    <w:rsid w:val="005D717F"/>
    <w:rsid w:val="005E0259"/>
    <w:rsid w:val="006062C9"/>
    <w:rsid w:val="00611E00"/>
    <w:rsid w:val="00614257"/>
    <w:rsid w:val="0061481C"/>
    <w:rsid w:val="00616690"/>
    <w:rsid w:val="00616E48"/>
    <w:rsid w:val="00617143"/>
    <w:rsid w:val="0061726E"/>
    <w:rsid w:val="006202CA"/>
    <w:rsid w:val="00637C21"/>
    <w:rsid w:val="00637F5A"/>
    <w:rsid w:val="0064156B"/>
    <w:rsid w:val="00657FEA"/>
    <w:rsid w:val="00660F02"/>
    <w:rsid w:val="006654BF"/>
    <w:rsid w:val="00665C7A"/>
    <w:rsid w:val="00682099"/>
    <w:rsid w:val="0068479E"/>
    <w:rsid w:val="00685E85"/>
    <w:rsid w:val="006935FA"/>
    <w:rsid w:val="006A06F8"/>
    <w:rsid w:val="006A15E8"/>
    <w:rsid w:val="006A3535"/>
    <w:rsid w:val="006B0532"/>
    <w:rsid w:val="006B2E2F"/>
    <w:rsid w:val="006C0251"/>
    <w:rsid w:val="006D7F14"/>
    <w:rsid w:val="006E6C02"/>
    <w:rsid w:val="006E7A3D"/>
    <w:rsid w:val="006F03E5"/>
    <w:rsid w:val="006F5CF2"/>
    <w:rsid w:val="00700139"/>
    <w:rsid w:val="00703828"/>
    <w:rsid w:val="007055D1"/>
    <w:rsid w:val="00705E04"/>
    <w:rsid w:val="00721611"/>
    <w:rsid w:val="00721966"/>
    <w:rsid w:val="00721F40"/>
    <w:rsid w:val="00722862"/>
    <w:rsid w:val="0072323E"/>
    <w:rsid w:val="0073247C"/>
    <w:rsid w:val="00733FB0"/>
    <w:rsid w:val="007459AD"/>
    <w:rsid w:val="007459E5"/>
    <w:rsid w:val="0074734B"/>
    <w:rsid w:val="007538EB"/>
    <w:rsid w:val="00763259"/>
    <w:rsid w:val="00763A81"/>
    <w:rsid w:val="007649D6"/>
    <w:rsid w:val="00764E0A"/>
    <w:rsid w:val="00775AE8"/>
    <w:rsid w:val="0077726D"/>
    <w:rsid w:val="00783D67"/>
    <w:rsid w:val="00791055"/>
    <w:rsid w:val="007944C8"/>
    <w:rsid w:val="007B278F"/>
    <w:rsid w:val="007B579A"/>
    <w:rsid w:val="007C04B1"/>
    <w:rsid w:val="007C4EDA"/>
    <w:rsid w:val="007D100C"/>
    <w:rsid w:val="007D4F25"/>
    <w:rsid w:val="007E27AC"/>
    <w:rsid w:val="007E3485"/>
    <w:rsid w:val="007F0995"/>
    <w:rsid w:val="007F43BC"/>
    <w:rsid w:val="007F43E2"/>
    <w:rsid w:val="00800926"/>
    <w:rsid w:val="00802CC8"/>
    <w:rsid w:val="00802D9D"/>
    <w:rsid w:val="00813C63"/>
    <w:rsid w:val="00813E5A"/>
    <w:rsid w:val="00820BC0"/>
    <w:rsid w:val="00820EC6"/>
    <w:rsid w:val="0083081F"/>
    <w:rsid w:val="008331B0"/>
    <w:rsid w:val="00834C2E"/>
    <w:rsid w:val="00850126"/>
    <w:rsid w:val="0085102B"/>
    <w:rsid w:val="00855DD9"/>
    <w:rsid w:val="00861AA2"/>
    <w:rsid w:val="00873E16"/>
    <w:rsid w:val="0087432E"/>
    <w:rsid w:val="008761F2"/>
    <w:rsid w:val="00877B4A"/>
    <w:rsid w:val="00885C1D"/>
    <w:rsid w:val="00892659"/>
    <w:rsid w:val="00896A23"/>
    <w:rsid w:val="00897161"/>
    <w:rsid w:val="008A2FA8"/>
    <w:rsid w:val="008B57A5"/>
    <w:rsid w:val="008B67F3"/>
    <w:rsid w:val="008D642E"/>
    <w:rsid w:val="008F0612"/>
    <w:rsid w:val="008F10CF"/>
    <w:rsid w:val="008F71CA"/>
    <w:rsid w:val="00901C25"/>
    <w:rsid w:val="009048A1"/>
    <w:rsid w:val="0090786E"/>
    <w:rsid w:val="00917056"/>
    <w:rsid w:val="0091792E"/>
    <w:rsid w:val="00921470"/>
    <w:rsid w:val="00926263"/>
    <w:rsid w:val="00926636"/>
    <w:rsid w:val="00927257"/>
    <w:rsid w:val="00927898"/>
    <w:rsid w:val="0093475D"/>
    <w:rsid w:val="00935767"/>
    <w:rsid w:val="0094289A"/>
    <w:rsid w:val="00946618"/>
    <w:rsid w:val="00947990"/>
    <w:rsid w:val="00957210"/>
    <w:rsid w:val="0096392C"/>
    <w:rsid w:val="009646DB"/>
    <w:rsid w:val="00966A0B"/>
    <w:rsid w:val="0097132A"/>
    <w:rsid w:val="00980FD3"/>
    <w:rsid w:val="0098197A"/>
    <w:rsid w:val="0098442A"/>
    <w:rsid w:val="00987A5F"/>
    <w:rsid w:val="009915D2"/>
    <w:rsid w:val="0099363A"/>
    <w:rsid w:val="009A159E"/>
    <w:rsid w:val="009B04F8"/>
    <w:rsid w:val="009C35A6"/>
    <w:rsid w:val="009C4357"/>
    <w:rsid w:val="009D4AF3"/>
    <w:rsid w:val="009E3ED9"/>
    <w:rsid w:val="009E48CD"/>
    <w:rsid w:val="009F134F"/>
    <w:rsid w:val="009F34A0"/>
    <w:rsid w:val="009F3C19"/>
    <w:rsid w:val="009F3E9C"/>
    <w:rsid w:val="009F69E9"/>
    <w:rsid w:val="00A00F95"/>
    <w:rsid w:val="00A04A88"/>
    <w:rsid w:val="00A15D4C"/>
    <w:rsid w:val="00A17D37"/>
    <w:rsid w:val="00A17FF9"/>
    <w:rsid w:val="00A32C84"/>
    <w:rsid w:val="00A3719A"/>
    <w:rsid w:val="00A50D1D"/>
    <w:rsid w:val="00A533E4"/>
    <w:rsid w:val="00A55A29"/>
    <w:rsid w:val="00A64187"/>
    <w:rsid w:val="00A64DDF"/>
    <w:rsid w:val="00A8580A"/>
    <w:rsid w:val="00A95BA2"/>
    <w:rsid w:val="00A95E77"/>
    <w:rsid w:val="00A965A3"/>
    <w:rsid w:val="00A97B52"/>
    <w:rsid w:val="00AA2885"/>
    <w:rsid w:val="00AA3B3F"/>
    <w:rsid w:val="00AA425A"/>
    <w:rsid w:val="00AA4F16"/>
    <w:rsid w:val="00AA72FD"/>
    <w:rsid w:val="00AB03E0"/>
    <w:rsid w:val="00AB08BB"/>
    <w:rsid w:val="00AB663C"/>
    <w:rsid w:val="00AC1169"/>
    <w:rsid w:val="00AC38D4"/>
    <w:rsid w:val="00AC3D6A"/>
    <w:rsid w:val="00AD1382"/>
    <w:rsid w:val="00AD14AA"/>
    <w:rsid w:val="00AD1EEA"/>
    <w:rsid w:val="00AD476D"/>
    <w:rsid w:val="00AD7EF0"/>
    <w:rsid w:val="00AE2F82"/>
    <w:rsid w:val="00AE4565"/>
    <w:rsid w:val="00AE50D5"/>
    <w:rsid w:val="00AF33ED"/>
    <w:rsid w:val="00AF630D"/>
    <w:rsid w:val="00AF6631"/>
    <w:rsid w:val="00B00826"/>
    <w:rsid w:val="00B0157A"/>
    <w:rsid w:val="00B05800"/>
    <w:rsid w:val="00B14464"/>
    <w:rsid w:val="00B16318"/>
    <w:rsid w:val="00B16ADC"/>
    <w:rsid w:val="00B218AB"/>
    <w:rsid w:val="00B22FA4"/>
    <w:rsid w:val="00B306A0"/>
    <w:rsid w:val="00B312F3"/>
    <w:rsid w:val="00B3360A"/>
    <w:rsid w:val="00B467B2"/>
    <w:rsid w:val="00B53C81"/>
    <w:rsid w:val="00B54209"/>
    <w:rsid w:val="00B57D76"/>
    <w:rsid w:val="00B71A99"/>
    <w:rsid w:val="00B7359B"/>
    <w:rsid w:val="00B77D8D"/>
    <w:rsid w:val="00B90F17"/>
    <w:rsid w:val="00B9274B"/>
    <w:rsid w:val="00B955D8"/>
    <w:rsid w:val="00BA0B4D"/>
    <w:rsid w:val="00BA1733"/>
    <w:rsid w:val="00BA34C5"/>
    <w:rsid w:val="00BB4284"/>
    <w:rsid w:val="00BC6250"/>
    <w:rsid w:val="00BD2CD7"/>
    <w:rsid w:val="00BD2F21"/>
    <w:rsid w:val="00BD4288"/>
    <w:rsid w:val="00BD6188"/>
    <w:rsid w:val="00BD6CA3"/>
    <w:rsid w:val="00BD77C9"/>
    <w:rsid w:val="00BE1E19"/>
    <w:rsid w:val="00BE3B69"/>
    <w:rsid w:val="00BE5236"/>
    <w:rsid w:val="00BE74D4"/>
    <w:rsid w:val="00BF161C"/>
    <w:rsid w:val="00BF7734"/>
    <w:rsid w:val="00C021E7"/>
    <w:rsid w:val="00C0721E"/>
    <w:rsid w:val="00C11DDA"/>
    <w:rsid w:val="00C1738A"/>
    <w:rsid w:val="00C20572"/>
    <w:rsid w:val="00C32F3A"/>
    <w:rsid w:val="00C36606"/>
    <w:rsid w:val="00C409D4"/>
    <w:rsid w:val="00C42198"/>
    <w:rsid w:val="00C4249D"/>
    <w:rsid w:val="00C43723"/>
    <w:rsid w:val="00C43B25"/>
    <w:rsid w:val="00C4459C"/>
    <w:rsid w:val="00C54775"/>
    <w:rsid w:val="00C60608"/>
    <w:rsid w:val="00C612E4"/>
    <w:rsid w:val="00C71233"/>
    <w:rsid w:val="00C75D19"/>
    <w:rsid w:val="00C77971"/>
    <w:rsid w:val="00C8552C"/>
    <w:rsid w:val="00C91E52"/>
    <w:rsid w:val="00CA56B9"/>
    <w:rsid w:val="00CB139E"/>
    <w:rsid w:val="00CC4583"/>
    <w:rsid w:val="00CC64DD"/>
    <w:rsid w:val="00CC77BA"/>
    <w:rsid w:val="00CD7078"/>
    <w:rsid w:val="00CE5882"/>
    <w:rsid w:val="00CF4B8F"/>
    <w:rsid w:val="00D04DB2"/>
    <w:rsid w:val="00D07CC2"/>
    <w:rsid w:val="00D07F2E"/>
    <w:rsid w:val="00D115C4"/>
    <w:rsid w:val="00D144E2"/>
    <w:rsid w:val="00D2168B"/>
    <w:rsid w:val="00D24F9B"/>
    <w:rsid w:val="00D25EB0"/>
    <w:rsid w:val="00D26102"/>
    <w:rsid w:val="00D26ECA"/>
    <w:rsid w:val="00D33516"/>
    <w:rsid w:val="00D35A52"/>
    <w:rsid w:val="00D36F8D"/>
    <w:rsid w:val="00D46603"/>
    <w:rsid w:val="00D63506"/>
    <w:rsid w:val="00D63767"/>
    <w:rsid w:val="00D64E33"/>
    <w:rsid w:val="00D708E4"/>
    <w:rsid w:val="00D840DC"/>
    <w:rsid w:val="00D87D95"/>
    <w:rsid w:val="00D94B46"/>
    <w:rsid w:val="00D96D57"/>
    <w:rsid w:val="00D971B5"/>
    <w:rsid w:val="00DA27CE"/>
    <w:rsid w:val="00DA5BA3"/>
    <w:rsid w:val="00DB3C67"/>
    <w:rsid w:val="00DB685B"/>
    <w:rsid w:val="00DB76A1"/>
    <w:rsid w:val="00DB7A8C"/>
    <w:rsid w:val="00DC39CC"/>
    <w:rsid w:val="00DC6B14"/>
    <w:rsid w:val="00DD7D1F"/>
    <w:rsid w:val="00DE037F"/>
    <w:rsid w:val="00DE1C75"/>
    <w:rsid w:val="00DE347C"/>
    <w:rsid w:val="00DE7F44"/>
    <w:rsid w:val="00DF4ACA"/>
    <w:rsid w:val="00E00C39"/>
    <w:rsid w:val="00E05BB7"/>
    <w:rsid w:val="00E07E5C"/>
    <w:rsid w:val="00E1191F"/>
    <w:rsid w:val="00E119E6"/>
    <w:rsid w:val="00E138D0"/>
    <w:rsid w:val="00E2399E"/>
    <w:rsid w:val="00E23F90"/>
    <w:rsid w:val="00E318F7"/>
    <w:rsid w:val="00E33518"/>
    <w:rsid w:val="00E35069"/>
    <w:rsid w:val="00E50713"/>
    <w:rsid w:val="00E57E03"/>
    <w:rsid w:val="00E62B65"/>
    <w:rsid w:val="00E63B20"/>
    <w:rsid w:val="00E64B52"/>
    <w:rsid w:val="00E71C31"/>
    <w:rsid w:val="00E71CAE"/>
    <w:rsid w:val="00E7332E"/>
    <w:rsid w:val="00E91157"/>
    <w:rsid w:val="00E92483"/>
    <w:rsid w:val="00E937D2"/>
    <w:rsid w:val="00E9552E"/>
    <w:rsid w:val="00E96829"/>
    <w:rsid w:val="00EA4919"/>
    <w:rsid w:val="00EB059B"/>
    <w:rsid w:val="00EB07EA"/>
    <w:rsid w:val="00EB51E0"/>
    <w:rsid w:val="00EB752B"/>
    <w:rsid w:val="00EB78AA"/>
    <w:rsid w:val="00EB7C23"/>
    <w:rsid w:val="00EC54C3"/>
    <w:rsid w:val="00EC5894"/>
    <w:rsid w:val="00EC5D17"/>
    <w:rsid w:val="00EC7A8A"/>
    <w:rsid w:val="00ED1DAF"/>
    <w:rsid w:val="00ED2093"/>
    <w:rsid w:val="00ED2C49"/>
    <w:rsid w:val="00ED5D7A"/>
    <w:rsid w:val="00EF0E2B"/>
    <w:rsid w:val="00EF5718"/>
    <w:rsid w:val="00EF6088"/>
    <w:rsid w:val="00F0197E"/>
    <w:rsid w:val="00F1185A"/>
    <w:rsid w:val="00F215F3"/>
    <w:rsid w:val="00F26DEC"/>
    <w:rsid w:val="00F31BB3"/>
    <w:rsid w:val="00F31EC9"/>
    <w:rsid w:val="00F42EA3"/>
    <w:rsid w:val="00F451EE"/>
    <w:rsid w:val="00F47839"/>
    <w:rsid w:val="00F53096"/>
    <w:rsid w:val="00F57423"/>
    <w:rsid w:val="00F60F77"/>
    <w:rsid w:val="00F62C07"/>
    <w:rsid w:val="00F64191"/>
    <w:rsid w:val="00F72B84"/>
    <w:rsid w:val="00F76343"/>
    <w:rsid w:val="00F764B4"/>
    <w:rsid w:val="00F77DB5"/>
    <w:rsid w:val="00F82592"/>
    <w:rsid w:val="00F856A6"/>
    <w:rsid w:val="00F85ED9"/>
    <w:rsid w:val="00F90520"/>
    <w:rsid w:val="00F90642"/>
    <w:rsid w:val="00F931DC"/>
    <w:rsid w:val="00F9554E"/>
    <w:rsid w:val="00F97CBB"/>
    <w:rsid w:val="00FB1C69"/>
    <w:rsid w:val="00FB1F3D"/>
    <w:rsid w:val="00FB5978"/>
    <w:rsid w:val="00FB59C1"/>
    <w:rsid w:val="00FE73B7"/>
    <w:rsid w:val="00FE7AF9"/>
    <w:rsid w:val="00FF0D27"/>
    <w:rsid w:val="00FF355C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gsubtitle1">
    <w:name w:val="legsubtitle1"/>
    <w:basedOn w:val="DefaultParagraphFont"/>
    <w:rsid w:val="00156794"/>
    <w:rPr>
      <w:b/>
      <w:bCs/>
    </w:rPr>
  </w:style>
  <w:style w:type="paragraph" w:customStyle="1" w:styleId="ACMABodyText">
    <w:name w:val="ACMA Body Text"/>
    <w:rsid w:val="0014279F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14279F"/>
    <w:pPr>
      <w:keepNext/>
      <w:keepLines/>
      <w:spacing w:before="360" w:after="0" w:line="240" w:lineRule="auto"/>
      <w:ind w:left="964" w:hanging="964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TableColHead">
    <w:name w:val="TableColHead"/>
    <w:basedOn w:val="Normal"/>
    <w:rsid w:val="0014279F"/>
    <w:pPr>
      <w:keepNext/>
      <w:spacing w:before="120" w:after="60" w:line="200" w:lineRule="exact"/>
    </w:pPr>
    <w:rPr>
      <w:rFonts w:ascii="Times New Roman" w:eastAsia="Times New Roman" w:hAnsi="Times New Roman" w:cs="Times New Roman"/>
      <w:b/>
      <w:sz w:val="18"/>
      <w:szCs w:val="24"/>
      <w:lang w:eastAsia="en-AU"/>
    </w:rPr>
  </w:style>
  <w:style w:type="paragraph" w:customStyle="1" w:styleId="TableText">
    <w:name w:val="TableText"/>
    <w:basedOn w:val="Normal"/>
    <w:rsid w:val="0014279F"/>
    <w:pPr>
      <w:spacing w:before="60" w:after="60" w:line="240" w:lineRule="exact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ote">
    <w:name w:val="Note"/>
    <w:basedOn w:val="Normal"/>
    <w:rsid w:val="00721611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C39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FA8"/>
    <w:rPr>
      <w:color w:val="954F72" w:themeColor="followedHyperlink"/>
      <w:u w:val="single"/>
    </w:rPr>
  </w:style>
  <w:style w:type="paragraph" w:customStyle="1" w:styleId="zr1">
    <w:name w:val="zr1"/>
    <w:basedOn w:val="Normal"/>
    <w:rsid w:val="00F4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F4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basedOn w:val="Normal"/>
    <w:rsid w:val="00F4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standards.org.au/search-for-a-standard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legislation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27E205E9ECA4D9726A1AFCB1653C2" ma:contentTypeVersion="13" ma:contentTypeDescription="Create a new document." ma:contentTypeScope="" ma:versionID="a841f5e86cdc2c3b6a4ec958e7504011">
  <xsd:schema xmlns:xsd="http://www.w3.org/2001/XMLSchema" xmlns:xs="http://www.w3.org/2001/XMLSchema" xmlns:p="http://schemas.microsoft.com/office/2006/metadata/properties" xmlns:ns3="75eea15c-2071-4c8d-9b7e-c00750b61f59" xmlns:ns4="50fce270-47b9-462b-93f8-8c8c4324667b" targetNamespace="http://schemas.microsoft.com/office/2006/metadata/properties" ma:root="true" ma:fieldsID="2b9a1aba7b7a2333175f90223e3035af" ns3:_="" ns4:_="">
    <xsd:import namespace="75eea15c-2071-4c8d-9b7e-c00750b61f59"/>
    <xsd:import namespace="50fce270-47b9-462b-93f8-8c8c43246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a15c-2071-4c8d-9b7e-c00750b61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e270-47b9-462b-93f8-8c8c43246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753-F443-4DA5-A307-630041295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ea15c-2071-4c8d-9b7e-c00750b61f59"/>
    <ds:schemaRef ds:uri="50fce270-47b9-462b-93f8-8c8c43246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2C111-2A72-4981-886E-56DEC9034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06175D-4B33-4E02-A366-A7DE1A88D8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A4D42-0232-4454-A5DF-EBAAEAB1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2020-04-06T05:22:00Z</dcterms:created>
  <dcterms:modified xsi:type="dcterms:W3CDTF">2020-04-09T04:01:00Z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0x0101003B127E205E9ECA4D9726A1AFCB1653C2</vt:lpwstr>
  </property>
  <property fmtid="{D5CDD505-2E9C-101B-9397-08002B2CF9AE}" pid="3" name="_dlc_DocIdItemGuid">
    <vt:lpwstr>9a3f427a-698e-4e7d-9c02-d1d07cabf244</vt:lpwstr>
  </property>
</Properties>
</file>