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67" w:rsidRDefault="00B70967" w:rsidP="00B70967">
      <w:pPr>
        <w:rPr>
          <w:sz w:val="28"/>
        </w:rPr>
      </w:pPr>
      <w:r>
        <w:rPr>
          <w:noProof/>
          <w:lang w:eastAsia="en-AU"/>
        </w:rPr>
        <w:drawing>
          <wp:inline distT="0" distB="0" distL="0" distR="0">
            <wp:extent cx="1504950" cy="11049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rsidR="00B70967" w:rsidRDefault="00B70967" w:rsidP="00B70967">
      <w:pPr>
        <w:rPr>
          <w:sz w:val="19"/>
        </w:rPr>
      </w:pPr>
    </w:p>
    <w:p w:rsidR="00B70967" w:rsidRDefault="00B70967" w:rsidP="00B70967">
      <w:pPr>
        <w:pStyle w:val="ShortT"/>
      </w:pPr>
      <w:r>
        <w:t>Child Care Subsidy Amendment (Coronavirus Response Measures No. 2) Minister’s Rules 2020</w:t>
      </w:r>
    </w:p>
    <w:p w:rsidR="00B70967" w:rsidRDefault="00B70967" w:rsidP="00B70967">
      <w:pPr>
        <w:pStyle w:val="SignCoverPageStart"/>
        <w:ind w:right="794"/>
        <w:rPr>
          <w:szCs w:val="22"/>
        </w:rPr>
      </w:pPr>
      <w:r>
        <w:rPr>
          <w:szCs w:val="22"/>
        </w:rPr>
        <w:t xml:space="preserve">I, Dan </w:t>
      </w:r>
      <w:proofErr w:type="spellStart"/>
      <w:r>
        <w:rPr>
          <w:szCs w:val="22"/>
        </w:rPr>
        <w:t>Tehan</w:t>
      </w:r>
      <w:proofErr w:type="spellEnd"/>
      <w:r>
        <w:rPr>
          <w:szCs w:val="22"/>
        </w:rPr>
        <w:t>, Minister for Education, make the followi</w:t>
      </w:r>
      <w:bookmarkStart w:id="0" w:name="_GoBack"/>
      <w:bookmarkEnd w:id="0"/>
      <w:r>
        <w:rPr>
          <w:szCs w:val="22"/>
        </w:rPr>
        <w:t>ng rules.</w:t>
      </w:r>
    </w:p>
    <w:p w:rsidR="00B70967" w:rsidRDefault="00B70967" w:rsidP="00B70967">
      <w:pPr>
        <w:keepNext/>
        <w:spacing w:before="300" w:line="240" w:lineRule="atLeast"/>
        <w:ind w:right="397"/>
        <w:jc w:val="both"/>
        <w:rPr>
          <w:szCs w:val="22"/>
        </w:rPr>
      </w:pPr>
      <w:r>
        <w:rPr>
          <w:szCs w:val="22"/>
        </w:rPr>
        <w:t>Dated</w:t>
      </w:r>
      <w:r>
        <w:rPr>
          <w:szCs w:val="22"/>
        </w:rPr>
        <w:tab/>
      </w:r>
      <w:r w:rsidR="002C3D60">
        <w:rPr>
          <w:szCs w:val="22"/>
        </w:rPr>
        <w:t xml:space="preserve">5 April </w:t>
      </w:r>
      <w:r>
        <w:rPr>
          <w:szCs w:val="22"/>
        </w:rPr>
        <w:fldChar w:fldCharType="begin"/>
      </w:r>
      <w:r>
        <w:rPr>
          <w:szCs w:val="22"/>
        </w:rPr>
        <w:instrText xml:space="preserve"> DOCPROPERTY  DateMade </w:instrText>
      </w:r>
      <w:r>
        <w:rPr>
          <w:szCs w:val="22"/>
        </w:rPr>
        <w:fldChar w:fldCharType="separate"/>
      </w:r>
      <w:r>
        <w:rPr>
          <w:szCs w:val="22"/>
        </w:rPr>
        <w:t>2020</w:t>
      </w:r>
      <w:r>
        <w:rPr>
          <w:szCs w:val="22"/>
        </w:rPr>
        <w:fldChar w:fldCharType="end"/>
      </w:r>
    </w:p>
    <w:p w:rsidR="00B70967" w:rsidRDefault="00B70967" w:rsidP="00B70967">
      <w:pPr>
        <w:keepNext/>
        <w:tabs>
          <w:tab w:val="left" w:pos="3402"/>
        </w:tabs>
        <w:spacing w:before="1440" w:line="300" w:lineRule="atLeast"/>
        <w:ind w:right="397"/>
        <w:rPr>
          <w:szCs w:val="22"/>
        </w:rPr>
      </w:pPr>
      <w:r>
        <w:rPr>
          <w:szCs w:val="22"/>
        </w:rPr>
        <w:t xml:space="preserve">Dan </w:t>
      </w:r>
      <w:proofErr w:type="spellStart"/>
      <w:r>
        <w:rPr>
          <w:szCs w:val="22"/>
        </w:rPr>
        <w:t>Tehan</w:t>
      </w:r>
      <w:proofErr w:type="spellEnd"/>
      <w:r>
        <w:t xml:space="preserve"> </w:t>
      </w:r>
    </w:p>
    <w:p w:rsidR="00B70967" w:rsidRDefault="00B70967" w:rsidP="00B70967">
      <w:pPr>
        <w:pStyle w:val="SignCoverPageEnd"/>
        <w:ind w:right="794"/>
        <w:rPr>
          <w:szCs w:val="22"/>
        </w:rPr>
      </w:pPr>
      <w:r>
        <w:rPr>
          <w:szCs w:val="22"/>
        </w:rPr>
        <w:t>Minister for Education</w:t>
      </w:r>
    </w:p>
    <w:p w:rsidR="00B70967" w:rsidRDefault="00B70967" w:rsidP="00B70967"/>
    <w:p w:rsidR="00B70967" w:rsidRDefault="00B70967" w:rsidP="00B70967">
      <w:pPr>
        <w:pStyle w:val="Header"/>
        <w:tabs>
          <w:tab w:val="left" w:pos="720"/>
        </w:tabs>
      </w:pPr>
      <w:r>
        <w:rPr>
          <w:rStyle w:val="CharAmSchNo"/>
        </w:rPr>
        <w:t xml:space="preserve"> </w:t>
      </w:r>
      <w:r>
        <w:rPr>
          <w:rStyle w:val="CharAmSchText"/>
        </w:rPr>
        <w:t xml:space="preserve"> </w:t>
      </w:r>
    </w:p>
    <w:p w:rsidR="00B70967" w:rsidRDefault="00B70967" w:rsidP="00B70967">
      <w:pPr>
        <w:pStyle w:val="Header"/>
        <w:tabs>
          <w:tab w:val="left" w:pos="720"/>
        </w:tabs>
      </w:pPr>
      <w:r>
        <w:rPr>
          <w:rStyle w:val="CharAmPartNo"/>
        </w:rPr>
        <w:t xml:space="preserve"> </w:t>
      </w:r>
      <w:r>
        <w:rPr>
          <w:rStyle w:val="CharAmPartText"/>
        </w:rPr>
        <w:t xml:space="preserve"> </w:t>
      </w:r>
    </w:p>
    <w:p w:rsidR="00B70967" w:rsidRDefault="00B70967" w:rsidP="00B70967">
      <w:pPr>
        <w:spacing w:line="240" w:lineRule="auto"/>
        <w:sectPr w:rsidR="00B70967">
          <w:footerReference w:type="default" r:id="rId8"/>
          <w:pgSz w:w="11907" w:h="16839"/>
          <w:pgMar w:top="1440" w:right="1797" w:bottom="1440" w:left="1797" w:header="720" w:footer="709" w:gutter="0"/>
          <w:cols w:space="720"/>
        </w:sectPr>
      </w:pPr>
    </w:p>
    <w:p w:rsidR="00B70967" w:rsidRDefault="00B70967" w:rsidP="00B70967">
      <w:pPr>
        <w:outlineLvl w:val="0"/>
        <w:rPr>
          <w:sz w:val="36"/>
        </w:rPr>
      </w:pPr>
      <w:r>
        <w:rPr>
          <w:sz w:val="36"/>
        </w:rPr>
        <w:lastRenderedPageBreak/>
        <w:t>Contents</w:t>
      </w:r>
    </w:p>
    <w:p w:rsidR="00B70967" w:rsidRDefault="00B70967" w:rsidP="00B7096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  Name</w:t>
      </w:r>
      <w:r>
        <w:rPr>
          <w:noProof/>
        </w:rPr>
        <w:tab/>
      </w:r>
      <w:r>
        <w:rPr>
          <w:noProof/>
        </w:rPr>
        <w:tab/>
      </w:r>
      <w:r>
        <w:rPr>
          <w:noProof/>
        </w:rPr>
        <w:fldChar w:fldCharType="begin"/>
      </w:r>
      <w:r>
        <w:rPr>
          <w:noProof/>
        </w:rPr>
        <w:instrText xml:space="preserve"> PAGEREF _Toc36384229 \h </w:instrText>
      </w:r>
      <w:r>
        <w:rPr>
          <w:noProof/>
        </w:rPr>
      </w:r>
      <w:r>
        <w:rPr>
          <w:noProof/>
        </w:rPr>
        <w:fldChar w:fldCharType="separate"/>
      </w:r>
      <w:r>
        <w:rPr>
          <w:noProof/>
        </w:rPr>
        <w:t>1</w:t>
      </w:r>
      <w:r>
        <w:rPr>
          <w:noProof/>
        </w:rPr>
        <w:fldChar w:fldCharType="end"/>
      </w:r>
    </w:p>
    <w:p w:rsidR="00B70967" w:rsidRDefault="00B70967" w:rsidP="00B7096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_Toc36384230 \h </w:instrText>
      </w:r>
      <w:r>
        <w:rPr>
          <w:noProof/>
        </w:rPr>
      </w:r>
      <w:r>
        <w:rPr>
          <w:noProof/>
        </w:rPr>
        <w:fldChar w:fldCharType="separate"/>
      </w:r>
      <w:r>
        <w:rPr>
          <w:noProof/>
        </w:rPr>
        <w:t>1</w:t>
      </w:r>
      <w:r>
        <w:rPr>
          <w:noProof/>
        </w:rPr>
        <w:fldChar w:fldCharType="end"/>
      </w:r>
    </w:p>
    <w:p w:rsidR="00B70967" w:rsidRDefault="00B70967" w:rsidP="00B7096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_Toc36384231 \h </w:instrText>
      </w:r>
      <w:r>
        <w:rPr>
          <w:noProof/>
        </w:rPr>
      </w:r>
      <w:r>
        <w:rPr>
          <w:noProof/>
        </w:rPr>
        <w:fldChar w:fldCharType="separate"/>
      </w:r>
      <w:r>
        <w:rPr>
          <w:noProof/>
        </w:rPr>
        <w:t>1</w:t>
      </w:r>
      <w:r>
        <w:rPr>
          <w:noProof/>
        </w:rPr>
        <w:fldChar w:fldCharType="end"/>
      </w:r>
    </w:p>
    <w:p w:rsidR="00B70967" w:rsidRDefault="00B70967" w:rsidP="00B70967">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_Toc36384232 \h </w:instrText>
      </w:r>
      <w:r>
        <w:rPr>
          <w:noProof/>
        </w:rPr>
      </w:r>
      <w:r>
        <w:rPr>
          <w:noProof/>
        </w:rPr>
        <w:fldChar w:fldCharType="separate"/>
      </w:r>
      <w:r>
        <w:rPr>
          <w:noProof/>
        </w:rPr>
        <w:t>1</w:t>
      </w:r>
      <w:r>
        <w:rPr>
          <w:noProof/>
        </w:rPr>
        <w:fldChar w:fldCharType="end"/>
      </w:r>
    </w:p>
    <w:p w:rsidR="00B70967" w:rsidRDefault="00B70967" w:rsidP="00B70967">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_Toc36384233 \h </w:instrText>
      </w:r>
      <w:r>
        <w:rPr>
          <w:noProof/>
        </w:rPr>
      </w:r>
      <w:r>
        <w:rPr>
          <w:noProof/>
        </w:rPr>
        <w:fldChar w:fldCharType="separate"/>
      </w:r>
      <w:r>
        <w:rPr>
          <w:noProof/>
        </w:rPr>
        <w:t>2</w:t>
      </w:r>
      <w:r>
        <w:rPr>
          <w:noProof/>
        </w:rPr>
        <w:fldChar w:fldCharType="end"/>
      </w:r>
    </w:p>
    <w:p w:rsidR="00B70967" w:rsidRDefault="00B70967" w:rsidP="00B70967">
      <w:pPr>
        <w:pStyle w:val="TOC9"/>
        <w:rPr>
          <w:rFonts w:asciiTheme="minorHAnsi" w:eastAsiaTheme="minorEastAsia" w:hAnsiTheme="minorHAnsi" w:cstheme="minorBidi"/>
          <w:i w:val="0"/>
          <w:noProof/>
          <w:kern w:val="0"/>
          <w:sz w:val="22"/>
          <w:szCs w:val="22"/>
        </w:rPr>
      </w:pPr>
      <w:r>
        <w:rPr>
          <w:noProof/>
        </w:rPr>
        <w:t>Child Care Subsidy Minister’s Rules 2017</w:t>
      </w:r>
      <w:r>
        <w:rPr>
          <w:noProof/>
        </w:rPr>
        <w:tab/>
      </w:r>
      <w:r>
        <w:rPr>
          <w:noProof/>
        </w:rPr>
        <w:fldChar w:fldCharType="begin"/>
      </w:r>
      <w:r>
        <w:rPr>
          <w:noProof/>
        </w:rPr>
        <w:instrText xml:space="preserve"> PAGEREF _Toc36384234 \h </w:instrText>
      </w:r>
      <w:r>
        <w:rPr>
          <w:noProof/>
        </w:rPr>
      </w:r>
      <w:r>
        <w:rPr>
          <w:noProof/>
        </w:rPr>
        <w:fldChar w:fldCharType="separate"/>
      </w:r>
      <w:r>
        <w:rPr>
          <w:noProof/>
        </w:rPr>
        <w:t>2</w:t>
      </w:r>
      <w:r>
        <w:rPr>
          <w:noProof/>
        </w:rPr>
        <w:fldChar w:fldCharType="end"/>
      </w:r>
    </w:p>
    <w:p w:rsidR="00B70967" w:rsidRDefault="00B70967" w:rsidP="00B70967">
      <w:r>
        <w:fldChar w:fldCharType="end"/>
      </w:r>
    </w:p>
    <w:p w:rsidR="00B70967" w:rsidRDefault="00B70967" w:rsidP="00B70967">
      <w:pPr>
        <w:spacing w:line="240" w:lineRule="auto"/>
        <w:sectPr w:rsidR="00B70967">
          <w:pgSz w:w="11907" w:h="16839"/>
          <w:pgMar w:top="2093" w:right="1797" w:bottom="1440" w:left="1797" w:header="720" w:footer="709" w:gutter="0"/>
          <w:pgNumType w:fmt="lowerRoman" w:start="1"/>
          <w:cols w:space="720"/>
        </w:sectPr>
      </w:pPr>
    </w:p>
    <w:p w:rsidR="00B70967" w:rsidRDefault="00B70967" w:rsidP="00B70967">
      <w:pPr>
        <w:pStyle w:val="ActHead5"/>
      </w:pPr>
      <w:bookmarkStart w:id="1" w:name="_Toc36384229"/>
      <w:r>
        <w:rPr>
          <w:rStyle w:val="CharSectno"/>
        </w:rPr>
        <w:lastRenderedPageBreak/>
        <w:t>1</w:t>
      </w:r>
      <w:r>
        <w:t xml:space="preserve">  Name</w:t>
      </w:r>
      <w:bookmarkEnd w:id="1"/>
    </w:p>
    <w:p w:rsidR="00B70967" w:rsidRDefault="00B70967" w:rsidP="00B70967">
      <w:pPr>
        <w:pStyle w:val="subsection"/>
      </w:pPr>
      <w:r>
        <w:tab/>
      </w:r>
      <w:r>
        <w:tab/>
        <w:t xml:space="preserve">This instrument is the </w:t>
      </w:r>
      <w:r>
        <w:rPr>
          <w:i/>
        </w:rPr>
        <w:fldChar w:fldCharType="begin"/>
      </w:r>
      <w:r>
        <w:rPr>
          <w:i/>
        </w:rPr>
        <w:instrText xml:space="preserve"> STYLEREF  ShortT </w:instrText>
      </w:r>
      <w:r>
        <w:rPr>
          <w:i/>
        </w:rPr>
        <w:fldChar w:fldCharType="separate"/>
      </w:r>
      <w:r>
        <w:rPr>
          <w:i/>
          <w:noProof/>
        </w:rPr>
        <w:t>Child Care Subsidy Amendment (Coronavirus Response Measures No. 2) Minister’s Rules 2020</w:t>
      </w:r>
      <w:r>
        <w:rPr>
          <w:i/>
        </w:rPr>
        <w:fldChar w:fldCharType="end"/>
      </w:r>
      <w:r>
        <w:t>.</w:t>
      </w:r>
    </w:p>
    <w:p w:rsidR="00B70967" w:rsidRDefault="00B70967" w:rsidP="00B70967">
      <w:pPr>
        <w:pStyle w:val="ActHead5"/>
      </w:pPr>
      <w:bookmarkStart w:id="2" w:name="_Toc36384230"/>
      <w:r>
        <w:rPr>
          <w:rStyle w:val="CharSectno"/>
        </w:rPr>
        <w:t>2</w:t>
      </w:r>
      <w:r>
        <w:t xml:space="preserve">  Commencement</w:t>
      </w:r>
      <w:bookmarkEnd w:id="2"/>
    </w:p>
    <w:p w:rsidR="00B70967" w:rsidRDefault="00B70967" w:rsidP="00B70967">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rsidR="00B70967" w:rsidRDefault="00B70967" w:rsidP="00B70967">
      <w:pPr>
        <w:pStyle w:val="Tabletext"/>
      </w:pPr>
    </w:p>
    <w:tbl>
      <w:tblPr>
        <w:tblW w:w="0"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2693"/>
      </w:tblGrid>
      <w:tr w:rsidR="00B70967" w:rsidTr="00B70967">
        <w:trPr>
          <w:tblHeader/>
        </w:trPr>
        <w:tc>
          <w:tcPr>
            <w:tcW w:w="8222" w:type="dxa"/>
            <w:gridSpan w:val="3"/>
            <w:tcBorders>
              <w:top w:val="single" w:sz="12" w:space="0" w:color="auto"/>
              <w:left w:val="nil"/>
              <w:bottom w:val="single" w:sz="6" w:space="0" w:color="auto"/>
              <w:right w:val="nil"/>
            </w:tcBorders>
            <w:hideMark/>
          </w:tcPr>
          <w:p w:rsidR="00B70967" w:rsidRDefault="00B70967">
            <w:pPr>
              <w:pStyle w:val="TableHeading"/>
              <w:rPr>
                <w:lang w:eastAsia="en-US"/>
              </w:rPr>
            </w:pPr>
            <w:r>
              <w:rPr>
                <w:lang w:eastAsia="en-US"/>
              </w:rPr>
              <w:t>Commencement information</w:t>
            </w:r>
          </w:p>
        </w:tc>
      </w:tr>
      <w:tr w:rsidR="00B70967" w:rsidTr="00B70967">
        <w:trPr>
          <w:tblHeader/>
        </w:trPr>
        <w:tc>
          <w:tcPr>
            <w:tcW w:w="1701" w:type="dxa"/>
            <w:tcBorders>
              <w:top w:val="single" w:sz="6" w:space="0" w:color="auto"/>
              <w:left w:val="nil"/>
              <w:bottom w:val="single" w:sz="6" w:space="0" w:color="auto"/>
              <w:right w:val="nil"/>
            </w:tcBorders>
            <w:hideMark/>
          </w:tcPr>
          <w:p w:rsidR="00B70967" w:rsidRDefault="00B70967">
            <w:pPr>
              <w:pStyle w:val="TableHeading"/>
              <w:rPr>
                <w:lang w:eastAsia="en-US"/>
              </w:rPr>
            </w:pPr>
            <w:r>
              <w:rPr>
                <w:lang w:eastAsia="en-US"/>
              </w:rPr>
              <w:t>Column 1</w:t>
            </w:r>
          </w:p>
        </w:tc>
        <w:tc>
          <w:tcPr>
            <w:tcW w:w="3828" w:type="dxa"/>
            <w:tcBorders>
              <w:top w:val="single" w:sz="6" w:space="0" w:color="auto"/>
              <w:left w:val="nil"/>
              <w:bottom w:val="single" w:sz="6" w:space="0" w:color="auto"/>
              <w:right w:val="nil"/>
            </w:tcBorders>
            <w:hideMark/>
          </w:tcPr>
          <w:p w:rsidR="00B70967" w:rsidRDefault="00B70967">
            <w:pPr>
              <w:pStyle w:val="TableHeading"/>
              <w:rPr>
                <w:lang w:eastAsia="en-US"/>
              </w:rPr>
            </w:pPr>
            <w:r>
              <w:rPr>
                <w:lang w:eastAsia="en-US"/>
              </w:rPr>
              <w:t>Column 2</w:t>
            </w:r>
          </w:p>
        </w:tc>
        <w:tc>
          <w:tcPr>
            <w:tcW w:w="2693" w:type="dxa"/>
            <w:tcBorders>
              <w:top w:val="single" w:sz="6" w:space="0" w:color="auto"/>
              <w:left w:val="nil"/>
              <w:bottom w:val="single" w:sz="6" w:space="0" w:color="auto"/>
              <w:right w:val="nil"/>
            </w:tcBorders>
            <w:hideMark/>
          </w:tcPr>
          <w:p w:rsidR="00B70967" w:rsidRDefault="00B70967">
            <w:pPr>
              <w:pStyle w:val="TableHeading"/>
              <w:rPr>
                <w:lang w:eastAsia="en-US"/>
              </w:rPr>
            </w:pPr>
            <w:r>
              <w:rPr>
                <w:lang w:eastAsia="en-US"/>
              </w:rPr>
              <w:t>Column 3</w:t>
            </w:r>
          </w:p>
        </w:tc>
      </w:tr>
      <w:tr w:rsidR="00B70967" w:rsidTr="00B70967">
        <w:trPr>
          <w:tblHeader/>
        </w:trPr>
        <w:tc>
          <w:tcPr>
            <w:tcW w:w="1701" w:type="dxa"/>
            <w:tcBorders>
              <w:top w:val="single" w:sz="6" w:space="0" w:color="auto"/>
              <w:left w:val="nil"/>
              <w:bottom w:val="single" w:sz="12" w:space="0" w:color="auto"/>
              <w:right w:val="nil"/>
            </w:tcBorders>
            <w:hideMark/>
          </w:tcPr>
          <w:p w:rsidR="00B70967" w:rsidRDefault="00B70967">
            <w:pPr>
              <w:pStyle w:val="TableHeading"/>
              <w:rPr>
                <w:lang w:eastAsia="en-US"/>
              </w:rPr>
            </w:pPr>
            <w:r>
              <w:rPr>
                <w:lang w:eastAsia="en-US"/>
              </w:rPr>
              <w:t>Provisions</w:t>
            </w:r>
          </w:p>
        </w:tc>
        <w:tc>
          <w:tcPr>
            <w:tcW w:w="3828" w:type="dxa"/>
            <w:tcBorders>
              <w:top w:val="single" w:sz="6" w:space="0" w:color="auto"/>
              <w:left w:val="nil"/>
              <w:bottom w:val="single" w:sz="12" w:space="0" w:color="auto"/>
              <w:right w:val="nil"/>
            </w:tcBorders>
            <w:hideMark/>
          </w:tcPr>
          <w:p w:rsidR="00B70967" w:rsidRDefault="00B70967">
            <w:pPr>
              <w:pStyle w:val="TableHeading"/>
              <w:rPr>
                <w:lang w:eastAsia="en-US"/>
              </w:rPr>
            </w:pPr>
            <w:r>
              <w:rPr>
                <w:lang w:eastAsia="en-US"/>
              </w:rPr>
              <w:t>Commencement</w:t>
            </w:r>
          </w:p>
        </w:tc>
        <w:tc>
          <w:tcPr>
            <w:tcW w:w="2693" w:type="dxa"/>
            <w:tcBorders>
              <w:top w:val="single" w:sz="6" w:space="0" w:color="auto"/>
              <w:left w:val="nil"/>
              <w:bottom w:val="single" w:sz="12" w:space="0" w:color="auto"/>
              <w:right w:val="nil"/>
            </w:tcBorders>
            <w:hideMark/>
          </w:tcPr>
          <w:p w:rsidR="00B70967" w:rsidRDefault="00B70967">
            <w:pPr>
              <w:pStyle w:val="TableHeading"/>
              <w:rPr>
                <w:lang w:eastAsia="en-US"/>
              </w:rPr>
            </w:pPr>
            <w:r>
              <w:rPr>
                <w:lang w:eastAsia="en-US"/>
              </w:rPr>
              <w:t>Date/Details</w:t>
            </w:r>
          </w:p>
        </w:tc>
      </w:tr>
      <w:tr w:rsidR="00B70967" w:rsidTr="00B70967">
        <w:tc>
          <w:tcPr>
            <w:tcW w:w="1701" w:type="dxa"/>
            <w:tcBorders>
              <w:top w:val="single" w:sz="12" w:space="0" w:color="auto"/>
              <w:left w:val="nil"/>
              <w:bottom w:val="single" w:sz="2" w:space="0" w:color="auto"/>
              <w:right w:val="nil"/>
            </w:tcBorders>
            <w:hideMark/>
          </w:tcPr>
          <w:p w:rsidR="00B70967" w:rsidRDefault="00B70967">
            <w:pPr>
              <w:pStyle w:val="Tabletext"/>
              <w:rPr>
                <w:lang w:eastAsia="en-US"/>
              </w:rPr>
            </w:pPr>
            <w:r>
              <w:rPr>
                <w:lang w:eastAsia="en-US"/>
              </w:rPr>
              <w:t>1.  Sections 1 to 4 and anything in this instrument not elsewhere covered by this table</w:t>
            </w:r>
          </w:p>
        </w:tc>
        <w:tc>
          <w:tcPr>
            <w:tcW w:w="3828" w:type="dxa"/>
            <w:tcBorders>
              <w:top w:val="single" w:sz="12" w:space="0" w:color="auto"/>
              <w:left w:val="nil"/>
              <w:bottom w:val="single" w:sz="2" w:space="0" w:color="auto"/>
              <w:right w:val="nil"/>
            </w:tcBorders>
            <w:hideMark/>
          </w:tcPr>
          <w:p w:rsidR="00B70967" w:rsidRDefault="00B70967">
            <w:pPr>
              <w:pStyle w:val="Tabletext"/>
              <w:rPr>
                <w:lang w:eastAsia="en-US"/>
              </w:rPr>
            </w:pPr>
            <w:r>
              <w:rPr>
                <w:lang w:eastAsia="en-US"/>
              </w:rPr>
              <w:t>The day after this instrument is registered.</w:t>
            </w:r>
          </w:p>
        </w:tc>
        <w:tc>
          <w:tcPr>
            <w:tcW w:w="2693" w:type="dxa"/>
            <w:tcBorders>
              <w:top w:val="single" w:sz="12" w:space="0" w:color="auto"/>
              <w:left w:val="nil"/>
              <w:bottom w:val="single" w:sz="2" w:space="0" w:color="auto"/>
              <w:right w:val="nil"/>
            </w:tcBorders>
          </w:tcPr>
          <w:p w:rsidR="00B70967" w:rsidRDefault="00B70967">
            <w:pPr>
              <w:pStyle w:val="Tabletext"/>
              <w:rPr>
                <w:lang w:eastAsia="en-US"/>
              </w:rPr>
            </w:pPr>
          </w:p>
        </w:tc>
      </w:tr>
      <w:tr w:rsidR="00B70967" w:rsidTr="00B70967">
        <w:tc>
          <w:tcPr>
            <w:tcW w:w="1701" w:type="dxa"/>
            <w:tcBorders>
              <w:top w:val="single" w:sz="2" w:space="0" w:color="auto"/>
              <w:left w:val="nil"/>
              <w:bottom w:val="single" w:sz="4" w:space="0" w:color="auto"/>
              <w:right w:val="nil"/>
            </w:tcBorders>
            <w:hideMark/>
          </w:tcPr>
          <w:p w:rsidR="00B70967" w:rsidRDefault="00B70967">
            <w:pPr>
              <w:pStyle w:val="Tabletext"/>
              <w:rPr>
                <w:lang w:eastAsia="en-US"/>
              </w:rPr>
            </w:pPr>
            <w:r>
              <w:rPr>
                <w:lang w:eastAsia="en-US"/>
              </w:rPr>
              <w:t>2.  Schedule 1, other than item 2</w:t>
            </w:r>
          </w:p>
        </w:tc>
        <w:tc>
          <w:tcPr>
            <w:tcW w:w="3828" w:type="dxa"/>
            <w:tcBorders>
              <w:top w:val="single" w:sz="2" w:space="0" w:color="auto"/>
              <w:left w:val="nil"/>
              <w:bottom w:val="single" w:sz="4" w:space="0" w:color="auto"/>
              <w:right w:val="nil"/>
            </w:tcBorders>
            <w:hideMark/>
          </w:tcPr>
          <w:p w:rsidR="00B70967" w:rsidRDefault="00B70967">
            <w:pPr>
              <w:pStyle w:val="Tablea"/>
              <w:rPr>
                <w:lang w:eastAsia="en-US"/>
              </w:rPr>
            </w:pPr>
            <w:r>
              <w:rPr>
                <w:lang w:eastAsia="en-US"/>
              </w:rPr>
              <w:t>The day after this instrument is registered.</w:t>
            </w:r>
          </w:p>
        </w:tc>
        <w:tc>
          <w:tcPr>
            <w:tcW w:w="2693" w:type="dxa"/>
            <w:tcBorders>
              <w:top w:val="single" w:sz="2" w:space="0" w:color="auto"/>
              <w:left w:val="nil"/>
              <w:bottom w:val="single" w:sz="4" w:space="0" w:color="auto"/>
              <w:right w:val="nil"/>
            </w:tcBorders>
          </w:tcPr>
          <w:p w:rsidR="00B70967" w:rsidRDefault="00B70967">
            <w:pPr>
              <w:pStyle w:val="Tabletext"/>
              <w:rPr>
                <w:lang w:eastAsia="en-US"/>
              </w:rPr>
            </w:pPr>
          </w:p>
        </w:tc>
      </w:tr>
      <w:tr w:rsidR="00B70967" w:rsidTr="00B70967">
        <w:tc>
          <w:tcPr>
            <w:tcW w:w="1701" w:type="dxa"/>
            <w:tcBorders>
              <w:top w:val="single" w:sz="4" w:space="0" w:color="auto"/>
              <w:left w:val="nil"/>
              <w:bottom w:val="single" w:sz="12" w:space="0" w:color="auto"/>
              <w:right w:val="nil"/>
            </w:tcBorders>
            <w:hideMark/>
          </w:tcPr>
          <w:p w:rsidR="00B70967" w:rsidRDefault="00B70967">
            <w:pPr>
              <w:pStyle w:val="Tabletext"/>
              <w:rPr>
                <w:lang w:eastAsia="en-US"/>
              </w:rPr>
            </w:pPr>
            <w:r>
              <w:rPr>
                <w:lang w:eastAsia="en-US"/>
              </w:rPr>
              <w:t>3.  Schedule 1, item 2</w:t>
            </w:r>
          </w:p>
        </w:tc>
        <w:tc>
          <w:tcPr>
            <w:tcW w:w="3828" w:type="dxa"/>
            <w:tcBorders>
              <w:top w:val="single" w:sz="4" w:space="0" w:color="auto"/>
              <w:left w:val="nil"/>
              <w:bottom w:val="single" w:sz="12" w:space="0" w:color="auto"/>
              <w:right w:val="nil"/>
            </w:tcBorders>
            <w:hideMark/>
          </w:tcPr>
          <w:p w:rsidR="00B70967" w:rsidRDefault="00B70967">
            <w:pPr>
              <w:pStyle w:val="Tabletext"/>
              <w:rPr>
                <w:lang w:eastAsia="en-US"/>
              </w:rPr>
            </w:pPr>
            <w:r>
              <w:rPr>
                <w:lang w:eastAsia="en-US"/>
              </w:rPr>
              <w:t>23 March 2020</w:t>
            </w:r>
          </w:p>
        </w:tc>
        <w:tc>
          <w:tcPr>
            <w:tcW w:w="2693" w:type="dxa"/>
            <w:tcBorders>
              <w:top w:val="single" w:sz="4" w:space="0" w:color="auto"/>
              <w:left w:val="nil"/>
              <w:bottom w:val="single" w:sz="12" w:space="0" w:color="auto"/>
              <w:right w:val="nil"/>
            </w:tcBorders>
            <w:hideMark/>
          </w:tcPr>
          <w:p w:rsidR="00B70967" w:rsidRDefault="00B70967">
            <w:pPr>
              <w:pStyle w:val="Tabletext"/>
              <w:rPr>
                <w:lang w:eastAsia="en-US"/>
              </w:rPr>
            </w:pPr>
            <w:r>
              <w:rPr>
                <w:lang w:eastAsia="en-US"/>
              </w:rPr>
              <w:t>23 March 2020.</w:t>
            </w:r>
          </w:p>
        </w:tc>
      </w:tr>
    </w:tbl>
    <w:p w:rsidR="00B70967" w:rsidRDefault="00B70967" w:rsidP="00B70967">
      <w:pPr>
        <w:pStyle w:val="notetext"/>
        <w:rPr>
          <w:szCs w:val="20"/>
        </w:rPr>
      </w:pPr>
      <w:r>
        <w:rPr>
          <w:snapToGrid w:val="0"/>
          <w:lang w:eastAsia="en-US"/>
        </w:rPr>
        <w:t>Note:</w:t>
      </w:r>
      <w:r>
        <w:rPr>
          <w:snapToGrid w:val="0"/>
          <w:lang w:eastAsia="en-US"/>
        </w:rPr>
        <w:tab/>
        <w:t>This table relates only to the provisions of this instrument</w:t>
      </w:r>
      <w:r>
        <w:t xml:space="preserve"> </w:t>
      </w:r>
      <w:r>
        <w:rPr>
          <w:snapToGrid w:val="0"/>
          <w:lang w:eastAsia="en-US"/>
        </w:rPr>
        <w:t>as originally made. It will not be amended to deal with any later amendments of this instrument.</w:t>
      </w:r>
    </w:p>
    <w:p w:rsidR="00B70967" w:rsidRDefault="00B70967" w:rsidP="00B70967">
      <w:pPr>
        <w:pStyle w:val="subsection"/>
      </w:pPr>
      <w:r>
        <w:tab/>
        <w:t>(2)</w:t>
      </w:r>
      <w:r>
        <w:tab/>
        <w:t>Any information in column 3 of the table is not part of this instrument. Information may be inserted in this column, or information in it may be edited, in any published version of this instrument.</w:t>
      </w:r>
    </w:p>
    <w:p w:rsidR="00B70967" w:rsidRDefault="00B70967" w:rsidP="00B70967">
      <w:pPr>
        <w:pStyle w:val="ActHead5"/>
      </w:pPr>
      <w:bookmarkStart w:id="3" w:name="_Toc36384231"/>
      <w:r>
        <w:rPr>
          <w:rStyle w:val="CharSectno"/>
        </w:rPr>
        <w:t>3</w:t>
      </w:r>
      <w:r>
        <w:t xml:space="preserve">  Authority</w:t>
      </w:r>
      <w:bookmarkEnd w:id="3"/>
    </w:p>
    <w:p w:rsidR="00B70967" w:rsidRDefault="00B70967" w:rsidP="00B70967">
      <w:pPr>
        <w:pStyle w:val="subsection"/>
      </w:pPr>
      <w:r>
        <w:tab/>
      </w:r>
      <w:r>
        <w:tab/>
        <w:t xml:space="preserve">This instrument is made under the </w:t>
      </w:r>
      <w:r>
        <w:rPr>
          <w:i/>
        </w:rPr>
        <w:t>A New Tax System (Family Assistance) Act 1999</w:t>
      </w:r>
      <w:r>
        <w:t>.</w:t>
      </w:r>
    </w:p>
    <w:p w:rsidR="00B70967" w:rsidRDefault="00B70967" w:rsidP="00B70967">
      <w:pPr>
        <w:pStyle w:val="ActHead5"/>
      </w:pPr>
      <w:bookmarkStart w:id="4" w:name="_Toc36384232"/>
      <w:r>
        <w:rPr>
          <w:rStyle w:val="CharSectno"/>
        </w:rPr>
        <w:t>4</w:t>
      </w:r>
      <w:r>
        <w:t xml:space="preserve">  Schedules</w:t>
      </w:r>
      <w:bookmarkEnd w:id="4"/>
    </w:p>
    <w:p w:rsidR="00B70967" w:rsidRDefault="00B70967" w:rsidP="00B70967">
      <w:pPr>
        <w:pStyle w:val="subsection"/>
      </w:pPr>
      <w:r>
        <w:tab/>
      </w:r>
      <w:r>
        <w:tab/>
        <w:t>Each instrument that is specified in a Schedule to this instrument is amended or repealed as set out in the applicable items in the Schedule concerned, and any other item in a Schedule to this instrument has effect according to its terms.</w:t>
      </w:r>
    </w:p>
    <w:p w:rsidR="00B70967" w:rsidRDefault="00B70967" w:rsidP="00B70967">
      <w:pPr>
        <w:pStyle w:val="ActHead6"/>
        <w:pageBreakBefore/>
      </w:pPr>
      <w:bookmarkStart w:id="5" w:name="_Toc36384233"/>
      <w:bookmarkStart w:id="6" w:name="opcCurrentFind"/>
      <w:bookmarkStart w:id="7" w:name="opcAmSched"/>
      <w:r>
        <w:rPr>
          <w:rStyle w:val="CharAmSchNo"/>
        </w:rPr>
        <w:lastRenderedPageBreak/>
        <w:t>Schedule 1</w:t>
      </w:r>
      <w:r>
        <w:t>—</w:t>
      </w:r>
      <w:r>
        <w:rPr>
          <w:rStyle w:val="CharAmSchText"/>
        </w:rPr>
        <w:t>Amendments</w:t>
      </w:r>
      <w:bookmarkEnd w:id="5"/>
    </w:p>
    <w:p w:rsidR="00B70967" w:rsidRDefault="00B70967" w:rsidP="00B70967">
      <w:pPr>
        <w:pStyle w:val="ActHead9"/>
      </w:pPr>
      <w:bookmarkStart w:id="8" w:name="_Toc36384234"/>
      <w:bookmarkEnd w:id="6"/>
      <w:bookmarkEnd w:id="7"/>
      <w:r>
        <w:t>Child Care Subsidy Minister’s Rules 2017</w:t>
      </w:r>
      <w:bookmarkEnd w:id="8"/>
    </w:p>
    <w:p w:rsidR="00B70967" w:rsidRDefault="00B70967" w:rsidP="00B70967">
      <w:pPr>
        <w:pStyle w:val="ItemHead"/>
      </w:pPr>
      <w:r>
        <w:t>1  Subsection 4(1)</w:t>
      </w:r>
    </w:p>
    <w:p w:rsidR="00B70967" w:rsidRDefault="00B70967" w:rsidP="00B70967">
      <w:pPr>
        <w:pStyle w:val="Item"/>
      </w:pPr>
      <w:r>
        <w:t>Insert:</w:t>
      </w:r>
    </w:p>
    <w:p w:rsidR="00B70967" w:rsidRDefault="00B70967" w:rsidP="00B70967">
      <w:pPr>
        <w:pStyle w:val="Definition"/>
      </w:pPr>
      <w:r>
        <w:rPr>
          <w:b/>
          <w:i/>
        </w:rPr>
        <w:t>business continuity payment</w:t>
      </w:r>
      <w:r>
        <w:t xml:space="preserve"> means a payment under section 205A of the Family Assistance Administration Act.</w:t>
      </w:r>
    </w:p>
    <w:p w:rsidR="00B70967" w:rsidRDefault="00B70967" w:rsidP="00B70967">
      <w:pPr>
        <w:pStyle w:val="ItemHead"/>
      </w:pPr>
      <w:r>
        <w:t>2  Subsections 54A(3) and (4)</w:t>
      </w:r>
    </w:p>
    <w:p w:rsidR="00B70967" w:rsidRDefault="00B70967" w:rsidP="00B70967">
      <w:pPr>
        <w:pStyle w:val="Item"/>
      </w:pPr>
      <w:r>
        <w:t>Repeal the subsections, substitute:</w:t>
      </w:r>
    </w:p>
    <w:p w:rsidR="00B70967" w:rsidRDefault="00B70967" w:rsidP="00B70967">
      <w:pPr>
        <w:pStyle w:val="SubsectionHead"/>
      </w:pPr>
      <w:r>
        <w:t>Condition</w:t>
      </w:r>
    </w:p>
    <w:p w:rsidR="00B70967" w:rsidRDefault="00B70967" w:rsidP="00B70967">
      <w:pPr>
        <w:pStyle w:val="subsection"/>
      </w:pPr>
      <w:r>
        <w:tab/>
        <w:t>(3)</w:t>
      </w:r>
      <w:r>
        <w:tab/>
        <w:t>A condition is that the child did not attend the session of care in the following circumstances:</w:t>
      </w:r>
    </w:p>
    <w:p w:rsidR="00B70967" w:rsidRDefault="00B70967" w:rsidP="00B70967">
      <w:pPr>
        <w:pStyle w:val="paragraph"/>
        <w:numPr>
          <w:ilvl w:val="0"/>
          <w:numId w:val="1"/>
        </w:numPr>
      </w:pPr>
      <w:r>
        <w:t>the service is closed because a health agency has advised or required the service to close as a result of the COVID</w:t>
      </w:r>
      <w:r>
        <w:noBreakHyphen/>
        <w:t>19 pandemic;</w:t>
      </w:r>
    </w:p>
    <w:p w:rsidR="00B70967" w:rsidRDefault="00B70967" w:rsidP="00B70967">
      <w:pPr>
        <w:pStyle w:val="paragraph"/>
        <w:numPr>
          <w:ilvl w:val="0"/>
          <w:numId w:val="1"/>
        </w:numPr>
      </w:pPr>
      <w:r>
        <w:t>the service is not closed.</w:t>
      </w:r>
    </w:p>
    <w:p w:rsidR="00B70967" w:rsidRDefault="00B70967" w:rsidP="00B70967">
      <w:pPr>
        <w:pStyle w:val="subsection"/>
      </w:pPr>
      <w:r>
        <w:tab/>
        <w:t>(3A)</w:t>
      </w:r>
      <w:r>
        <w:tab/>
        <w:t>In addition, if the session of care was provided by a FDC service or an IHC service that is not closed, it is a condition that the Secretary has not, since 2 July 2018, made a decision under Division 4 of Part 8 of the Family Assistance Administration Act (other than a decision under section 197AA or section 197C), or given a notice under section 199A of that Act, in relation to the service or the approved child care provider of the service.</w:t>
      </w:r>
    </w:p>
    <w:p w:rsidR="00B70967" w:rsidRDefault="00B70967" w:rsidP="00B70967">
      <w:pPr>
        <w:pStyle w:val="SubsectionHead"/>
      </w:pPr>
      <w:r>
        <w:t>Period</w:t>
      </w:r>
    </w:p>
    <w:p w:rsidR="00B70967" w:rsidRDefault="00B70967" w:rsidP="00B70967">
      <w:pPr>
        <w:pStyle w:val="subsection"/>
      </w:pPr>
      <w:r>
        <w:tab/>
        <w:t>(4)</w:t>
      </w:r>
      <w:r>
        <w:tab/>
        <w:t>Where paragraph (3)(a) applies, the period is the period:</w:t>
      </w:r>
    </w:p>
    <w:p w:rsidR="00B70967" w:rsidRDefault="00B70967" w:rsidP="00B70967">
      <w:pPr>
        <w:pStyle w:val="paragraph"/>
      </w:pPr>
      <w:r>
        <w:tab/>
        <w:t>(a)</w:t>
      </w:r>
      <w:r>
        <w:tab/>
        <w:t>beginning on the day the child care service closes as a result of the advice or requirement referred to in paragraph (3)(a); and</w:t>
      </w:r>
    </w:p>
    <w:p w:rsidR="00B70967" w:rsidRDefault="00B70967" w:rsidP="00B70967">
      <w:pPr>
        <w:pStyle w:val="paragraph"/>
      </w:pPr>
      <w:r>
        <w:tab/>
        <w:t>(b)</w:t>
      </w:r>
      <w:r>
        <w:tab/>
        <w:t>ending on the earlier of:</w:t>
      </w:r>
    </w:p>
    <w:p w:rsidR="00B70967" w:rsidRDefault="00B70967" w:rsidP="00B70967">
      <w:pPr>
        <w:pStyle w:val="paragraphsub"/>
      </w:pPr>
      <w:r>
        <w:tab/>
        <w:t>(</w:t>
      </w:r>
      <w:proofErr w:type="spellStart"/>
      <w:r>
        <w:t>i</w:t>
      </w:r>
      <w:proofErr w:type="spellEnd"/>
      <w:r>
        <w:t>)</w:t>
      </w:r>
      <w:r>
        <w:tab/>
        <w:t>the last day in the period that the health agency advises or requires the child care service to be closed; and</w:t>
      </w:r>
    </w:p>
    <w:p w:rsidR="00B70967" w:rsidRDefault="00B70967" w:rsidP="00B70967">
      <w:pPr>
        <w:pStyle w:val="paragraphsub"/>
      </w:pPr>
      <w:r>
        <w:tab/>
        <w:t>(ii)</w:t>
      </w:r>
      <w:r>
        <w:tab/>
        <w:t>30 June 2020.</w:t>
      </w:r>
    </w:p>
    <w:p w:rsidR="00B70967" w:rsidRDefault="00B70967" w:rsidP="00B70967">
      <w:pPr>
        <w:pStyle w:val="subsection"/>
      </w:pPr>
      <w:r>
        <w:tab/>
        <w:t>(4A)</w:t>
      </w:r>
      <w:r>
        <w:tab/>
        <w:t>Where paragraph (3)(b) applies, the period is the period beginning on 23 March 2020 and ending on 30 June 2020.</w:t>
      </w:r>
    </w:p>
    <w:p w:rsidR="00B70967" w:rsidRDefault="00B70967" w:rsidP="00B70967">
      <w:pPr>
        <w:pStyle w:val="ItemHead"/>
      </w:pPr>
      <w:r>
        <w:t>3  Before section 57</w:t>
      </w:r>
    </w:p>
    <w:p w:rsidR="00B70967" w:rsidRDefault="00B70967" w:rsidP="00B70967">
      <w:pPr>
        <w:pStyle w:val="Item"/>
      </w:pPr>
      <w:r>
        <w:t>Insert:</w:t>
      </w:r>
    </w:p>
    <w:p w:rsidR="00B70967" w:rsidRDefault="00B70967" w:rsidP="00B70967">
      <w:pPr>
        <w:pStyle w:val="ActHead3"/>
      </w:pPr>
      <w:bookmarkStart w:id="9" w:name="_Toc36384235"/>
      <w:r>
        <w:t>Division 1—General</w:t>
      </w:r>
      <w:bookmarkEnd w:id="9"/>
    </w:p>
    <w:p w:rsidR="00B70967" w:rsidRDefault="00B70967" w:rsidP="00B70967">
      <w:pPr>
        <w:pStyle w:val="ActHead5"/>
      </w:pPr>
      <w:bookmarkStart w:id="10" w:name="_Toc36384236"/>
      <w:r>
        <w:t>57AA  Application</w:t>
      </w:r>
      <w:bookmarkEnd w:id="10"/>
    </w:p>
    <w:p w:rsidR="00B70967" w:rsidRDefault="00B70967" w:rsidP="00B70967">
      <w:pPr>
        <w:pStyle w:val="subsection"/>
      </w:pPr>
      <w:r>
        <w:tab/>
      </w:r>
      <w:r>
        <w:tab/>
        <w:t>This Division applies to a business continuity payment to a provider in relation to a service for a period to which Division 2 does not apply.</w:t>
      </w:r>
    </w:p>
    <w:p w:rsidR="00B70967" w:rsidRDefault="00B70967" w:rsidP="00B70967">
      <w:pPr>
        <w:pStyle w:val="ItemHead"/>
      </w:pPr>
      <w:r>
        <w:t>4  After section 60</w:t>
      </w:r>
    </w:p>
    <w:p w:rsidR="00B70967" w:rsidRDefault="00B70967" w:rsidP="00B70967">
      <w:pPr>
        <w:pStyle w:val="Item"/>
      </w:pPr>
      <w:r>
        <w:t>Insert:</w:t>
      </w:r>
    </w:p>
    <w:p w:rsidR="00B70967" w:rsidRDefault="00B70967" w:rsidP="00B70967">
      <w:pPr>
        <w:pStyle w:val="ActHead3"/>
      </w:pPr>
      <w:bookmarkStart w:id="11" w:name="_Toc36384237"/>
      <w:r>
        <w:lastRenderedPageBreak/>
        <w:t>Division 2—Coronavirus response business continuity payments</w:t>
      </w:r>
      <w:bookmarkEnd w:id="11"/>
    </w:p>
    <w:p w:rsidR="00B70967" w:rsidRDefault="00B70967" w:rsidP="00B70967">
      <w:pPr>
        <w:pStyle w:val="ActHead5"/>
      </w:pPr>
      <w:bookmarkStart w:id="12" w:name="_Toc36384238"/>
      <w:r>
        <w:t>60A  Application</w:t>
      </w:r>
      <w:bookmarkEnd w:id="12"/>
    </w:p>
    <w:p w:rsidR="00B70967" w:rsidRDefault="00B70967" w:rsidP="00B70967">
      <w:pPr>
        <w:pStyle w:val="subsection"/>
      </w:pPr>
      <w:r>
        <w:tab/>
      </w:r>
      <w:r>
        <w:tab/>
        <w:t>This Division applies to a business continuity payment to a provider in relation a service and a report under subsection 204B(1) of the Family Assistance Administration Act for a week occurring in the period beginning on 6 April 2020 and ending on 28 June 2020.</w:t>
      </w:r>
    </w:p>
    <w:p w:rsidR="00B70967" w:rsidRDefault="00B70967" w:rsidP="00B70967">
      <w:pPr>
        <w:pStyle w:val="ActHead5"/>
        <w:rPr>
          <w:rStyle w:val="CharSectno"/>
        </w:rPr>
      </w:pPr>
      <w:bookmarkStart w:id="13" w:name="_Toc36384239"/>
      <w:bookmarkStart w:id="14" w:name="_Toc34133695"/>
      <w:r>
        <w:rPr>
          <w:rStyle w:val="CharSectno"/>
        </w:rPr>
        <w:t>60B  Definition</w:t>
      </w:r>
      <w:bookmarkEnd w:id="13"/>
    </w:p>
    <w:p w:rsidR="00B70967" w:rsidRDefault="00B70967" w:rsidP="00B70967">
      <w:pPr>
        <w:pStyle w:val="subsection"/>
      </w:pPr>
      <w:r>
        <w:tab/>
      </w:r>
      <w:r>
        <w:tab/>
        <w:t>In this Division:</w:t>
      </w:r>
    </w:p>
    <w:p w:rsidR="00B70967" w:rsidRDefault="00B70967" w:rsidP="00B70967">
      <w:pPr>
        <w:pStyle w:val="Definition"/>
      </w:pPr>
      <w:r>
        <w:rPr>
          <w:b/>
          <w:i/>
        </w:rPr>
        <w:t>reference fortnight</w:t>
      </w:r>
      <w:r>
        <w:t xml:space="preserve"> means:</w:t>
      </w:r>
    </w:p>
    <w:p w:rsidR="00B70967" w:rsidRDefault="00B70967" w:rsidP="00B70967">
      <w:pPr>
        <w:pStyle w:val="paragraph"/>
      </w:pPr>
      <w:r>
        <w:tab/>
        <w:t>(a)</w:t>
      </w:r>
      <w:r>
        <w:tab/>
        <w:t>in relation to an OSHC service that provides only vacation care—the fortnight starting on the first Monday of the school holidays between school Term 3 and Term 4 in 2019 in the State or Territory in which the service is located; and</w:t>
      </w:r>
    </w:p>
    <w:p w:rsidR="00B70967" w:rsidRDefault="00B70967" w:rsidP="00B70967">
      <w:pPr>
        <w:pStyle w:val="paragraph"/>
      </w:pPr>
      <w:r>
        <w:tab/>
        <w:t>(b)</w:t>
      </w:r>
      <w:r>
        <w:tab/>
        <w:t>in relation to any other kind of service—the fortnight starting 17 February 2020.</w:t>
      </w:r>
    </w:p>
    <w:p w:rsidR="00B70967" w:rsidRDefault="00B70967" w:rsidP="00B70967">
      <w:pPr>
        <w:pStyle w:val="ActHead5"/>
      </w:pPr>
      <w:bookmarkStart w:id="15" w:name="_Toc36384240"/>
      <w:r>
        <w:rPr>
          <w:rStyle w:val="CharSectno"/>
        </w:rPr>
        <w:t>60C</w:t>
      </w:r>
      <w:r>
        <w:t xml:space="preserve">  Circumstances in which a business continuity payment may be made</w:t>
      </w:r>
      <w:bookmarkEnd w:id="14"/>
      <w:bookmarkEnd w:id="15"/>
    </w:p>
    <w:p w:rsidR="00B70967" w:rsidRDefault="00B70967" w:rsidP="00B70967">
      <w:pPr>
        <w:pStyle w:val="subsection"/>
      </w:pPr>
      <w:bookmarkStart w:id="16" w:name="_Toc36384241"/>
      <w:bookmarkStart w:id="17" w:name="_Toc34133696"/>
      <w:r>
        <w:tab/>
      </w:r>
      <w:r>
        <w:tab/>
        <w:t xml:space="preserve">For paragraph 205A(1)(c) of the Family Assistance Administration Act, if a provider fails to give a report under subsection 204B(1) of that Act in relation to a service by the time required under that section, a business continuity payment may be made if the Secretary is satisfied that the failure is due to circumstances which: </w:t>
      </w:r>
    </w:p>
    <w:p w:rsidR="00B70967" w:rsidRDefault="00B70967" w:rsidP="00B70967">
      <w:pPr>
        <w:pStyle w:val="paragraph"/>
      </w:pPr>
      <w:r>
        <w:tab/>
        <w:t>(a)</w:t>
      </w:r>
      <w:r>
        <w:tab/>
        <w:t>are beyond the control of the provider; and</w:t>
      </w:r>
    </w:p>
    <w:p w:rsidR="00B70967" w:rsidRDefault="00B70967" w:rsidP="00B70967">
      <w:pPr>
        <w:pStyle w:val="paragraph"/>
      </w:pPr>
      <w:r>
        <w:tab/>
        <w:t>(b)</w:t>
      </w:r>
      <w:r>
        <w:tab/>
        <w:t xml:space="preserve">prevent the service from giving the report by the required time. </w:t>
      </w:r>
    </w:p>
    <w:p w:rsidR="00B70967" w:rsidRDefault="00B70967" w:rsidP="00B70967">
      <w:pPr>
        <w:pStyle w:val="noteToPara"/>
        <w:rPr>
          <w:snapToGrid w:val="0"/>
        </w:rPr>
      </w:pPr>
      <w:r>
        <w:rPr>
          <w:snapToGrid w:val="0"/>
        </w:rPr>
        <w:t xml:space="preserve">Note: </w:t>
      </w:r>
      <w:r>
        <w:rPr>
          <w:snapToGrid w:val="0"/>
        </w:rPr>
        <w:tab/>
        <w:t>The time required for a report is set out in paragraph 204B(2)(d) of the Family Assistance Administration Act.</w:t>
      </w:r>
    </w:p>
    <w:p w:rsidR="00B70967" w:rsidRDefault="00B70967" w:rsidP="00B70967">
      <w:pPr>
        <w:pStyle w:val="ActHead5"/>
      </w:pPr>
      <w:r>
        <w:rPr>
          <w:rStyle w:val="CharSectno"/>
        </w:rPr>
        <w:t>60D</w:t>
      </w:r>
      <w:r>
        <w:t xml:space="preserve">  Method of determining payment amount</w:t>
      </w:r>
      <w:bookmarkEnd w:id="16"/>
      <w:bookmarkEnd w:id="17"/>
    </w:p>
    <w:p w:rsidR="00B70967" w:rsidRDefault="00B70967" w:rsidP="00B70967">
      <w:pPr>
        <w:pStyle w:val="subsection"/>
      </w:pPr>
      <w:r>
        <w:tab/>
        <w:t>(1)</w:t>
      </w:r>
      <w:r>
        <w:tab/>
        <w:t>For paragraph 205A(2)(a) of the Family Assistance Administration Act, the amount of a business continuity payment is the sum of the weekly payments as worked out under sections 60E and 60F of these Rules for each week in the period specified in the notice given to the approved provider under subsection 205A(4) of that Act.</w:t>
      </w:r>
    </w:p>
    <w:p w:rsidR="00B70967" w:rsidRDefault="00B70967" w:rsidP="00B70967">
      <w:pPr>
        <w:pStyle w:val="SubsectionHead"/>
      </w:pPr>
      <w:r>
        <w:t>Rounding up or down</w:t>
      </w:r>
    </w:p>
    <w:p w:rsidR="00B70967" w:rsidRDefault="00B70967" w:rsidP="00B70967">
      <w:pPr>
        <w:pStyle w:val="subsection"/>
      </w:pPr>
      <w:r>
        <w:tab/>
        <w:t>(2)</w:t>
      </w:r>
      <w:r>
        <w:tab/>
        <w:t>If the amount of a business continuity payment under subsection (1) is not a multiple of $100, the amount is to be rounded to the nearest multiple of $100 (rounding up an amount that is a multiple of $50 but not $100).</w:t>
      </w:r>
    </w:p>
    <w:p w:rsidR="00B70967" w:rsidRDefault="00B70967" w:rsidP="00B70967">
      <w:pPr>
        <w:pStyle w:val="ActHead5"/>
      </w:pPr>
      <w:bookmarkStart w:id="18" w:name="_Toc34133697"/>
      <w:bookmarkStart w:id="19" w:name="_Toc36384242"/>
      <w:r>
        <w:rPr>
          <w:rStyle w:val="CharSectno"/>
        </w:rPr>
        <w:t>60E</w:t>
      </w:r>
      <w:r>
        <w:t xml:space="preserve">  Base weekly amount where service received a fee reduction amount</w:t>
      </w:r>
      <w:bookmarkEnd w:id="18"/>
      <w:r>
        <w:t xml:space="preserve"> during reference fortnight</w:t>
      </w:r>
      <w:bookmarkEnd w:id="19"/>
    </w:p>
    <w:p w:rsidR="00B70967" w:rsidRDefault="00B70967" w:rsidP="00B70967">
      <w:pPr>
        <w:pStyle w:val="subsection"/>
      </w:pPr>
      <w:r>
        <w:tab/>
        <w:t>(1)</w:t>
      </w:r>
      <w:r>
        <w:tab/>
        <w:t>Where an approved service has, during the reference fortnight, been paid one or more fee reduction amounts under section 67EB of the Family Assistance Administration Act, the amount of the business continuity payment for each week to which it relates is the sum of reference hourly fees for all sessions of care provided by the service during the reference fortnight, divided by two.</w:t>
      </w:r>
    </w:p>
    <w:p w:rsidR="00B70967" w:rsidRDefault="00B70967" w:rsidP="00B70967">
      <w:pPr>
        <w:pStyle w:val="notetext"/>
      </w:pPr>
      <w:r>
        <w:t xml:space="preserve">Note: </w:t>
      </w:r>
      <w:r>
        <w:tab/>
        <w:t xml:space="preserve">For the definition of </w:t>
      </w:r>
      <w:r>
        <w:rPr>
          <w:b/>
          <w:i/>
        </w:rPr>
        <w:t>fee reduction amount</w:t>
      </w:r>
      <w:r>
        <w:t>, see section 67EB of the Family Assistance Administration Act.</w:t>
      </w:r>
    </w:p>
    <w:p w:rsidR="00B70967" w:rsidRDefault="00B70967" w:rsidP="00B70967">
      <w:pPr>
        <w:pStyle w:val="subsection"/>
      </w:pPr>
      <w:r>
        <w:tab/>
        <w:t>(2)</w:t>
      </w:r>
      <w:r>
        <w:tab/>
        <w:t xml:space="preserve">For subsection (1), the </w:t>
      </w:r>
      <w:r>
        <w:rPr>
          <w:b/>
          <w:i/>
        </w:rPr>
        <w:t>reference hourly fee</w:t>
      </w:r>
      <w:r>
        <w:t xml:space="preserve"> for a session of care is 50 per cent of the lower of:</w:t>
      </w:r>
    </w:p>
    <w:p w:rsidR="00B70967" w:rsidRDefault="00B70967" w:rsidP="00B70967">
      <w:pPr>
        <w:pStyle w:val="paragraph"/>
      </w:pPr>
      <w:r>
        <w:lastRenderedPageBreak/>
        <w:tab/>
        <w:t>(a)</w:t>
      </w:r>
      <w:r>
        <w:tab/>
        <w:t>the hourly session fee for the session; and</w:t>
      </w:r>
    </w:p>
    <w:p w:rsidR="00B70967" w:rsidRDefault="00B70967" w:rsidP="00B70967">
      <w:pPr>
        <w:pStyle w:val="paragraph"/>
      </w:pPr>
      <w:r>
        <w:tab/>
        <w:t>(b)</w:t>
      </w:r>
      <w:r>
        <w:tab/>
        <w:t>the CCS hourly rate cap for the session.</w:t>
      </w:r>
    </w:p>
    <w:p w:rsidR="00B70967" w:rsidRDefault="00B70967" w:rsidP="00B70967">
      <w:pPr>
        <w:pStyle w:val="notetext"/>
      </w:pPr>
      <w:r>
        <w:t>Note:</w:t>
      </w:r>
      <w:r>
        <w:tab/>
        <w:t xml:space="preserve">The </w:t>
      </w:r>
      <w:r>
        <w:rPr>
          <w:b/>
          <w:i/>
        </w:rPr>
        <w:t>CCS hourly rate cap</w:t>
      </w:r>
      <w:r>
        <w:t xml:space="preserve"> for a session of care is set out in the table at </w:t>
      </w:r>
      <w:proofErr w:type="spellStart"/>
      <w:r>
        <w:t>subitem</w:t>
      </w:r>
      <w:proofErr w:type="spellEnd"/>
      <w:r>
        <w:t xml:space="preserve"> 2(3) of Schedule 2 to the Family Assistance Act.</w:t>
      </w:r>
    </w:p>
    <w:p w:rsidR="00B70967" w:rsidRDefault="00B70967" w:rsidP="00B70967">
      <w:pPr>
        <w:pStyle w:val="subsection"/>
      </w:pPr>
      <w:r>
        <w:tab/>
        <w:t>(3)</w:t>
      </w:r>
      <w:r>
        <w:tab/>
        <w:t>Despite subsection (1), the amount of business continuity payment in relation to a service for a week is nil if:</w:t>
      </w:r>
    </w:p>
    <w:p w:rsidR="00B70967" w:rsidRDefault="00B70967" w:rsidP="00B70967">
      <w:pPr>
        <w:pStyle w:val="paragraph"/>
      </w:pPr>
      <w:r>
        <w:tab/>
        <w:t>(a)</w:t>
      </w:r>
      <w:r>
        <w:tab/>
        <w:t xml:space="preserve">the Secretary is satisfied that the provider has failed to comply with any requirements on the payment of business continuity payments set out in the </w:t>
      </w:r>
      <w:r w:rsidRPr="00B70967">
        <w:rPr>
          <w:i/>
        </w:rPr>
        <w:t xml:space="preserve">Early Childhood Education and Care Relief Package Payment Conditions </w:t>
      </w:r>
      <w:r>
        <w:t>document, as published by the Department from time to time; or</w:t>
      </w:r>
    </w:p>
    <w:p w:rsidR="00B70967" w:rsidRDefault="00B70967" w:rsidP="00B70967">
      <w:pPr>
        <w:pStyle w:val="notetext"/>
      </w:pPr>
      <w:r>
        <w:t>Note:</w:t>
      </w:r>
      <w:r>
        <w:tab/>
        <w:t xml:space="preserve">In 2020, the </w:t>
      </w:r>
      <w:r w:rsidRPr="00B70967">
        <w:rPr>
          <w:i/>
        </w:rPr>
        <w:t>Early Childhood Education and Care Relief Package</w:t>
      </w:r>
      <w:r>
        <w:rPr>
          <w:i/>
        </w:rPr>
        <w:t xml:space="preserve"> Payment Conditions </w:t>
      </w:r>
      <w:r>
        <w:t xml:space="preserve">document was available on the Department’s website at </w:t>
      </w:r>
      <w:hyperlink r:id="rId9" w:history="1">
        <w:r>
          <w:rPr>
            <w:rStyle w:val="Hyperlink"/>
          </w:rPr>
          <w:t>www.dese.gov.au</w:t>
        </w:r>
      </w:hyperlink>
      <w:r>
        <w:t>.</w:t>
      </w:r>
    </w:p>
    <w:p w:rsidR="00B70967" w:rsidRDefault="00B70967" w:rsidP="00B70967">
      <w:pPr>
        <w:pStyle w:val="paragraph"/>
      </w:pPr>
      <w:r>
        <w:tab/>
        <w:t>(b)</w:t>
      </w:r>
      <w:r>
        <w:tab/>
        <w:t>the provider receives fees in relation to sessions of care provided to children during the week by services of the provider; or</w:t>
      </w:r>
    </w:p>
    <w:p w:rsidR="00B70967" w:rsidRDefault="00B70967" w:rsidP="00B70967">
      <w:pPr>
        <w:pStyle w:val="paragraph"/>
      </w:pPr>
      <w:r>
        <w:tab/>
        <w:t>(c)</w:t>
      </w:r>
      <w:r>
        <w:tab/>
        <w:t>the service is closed for a reason other than because a health agency has advised or required the service to close because of the COVID-19 pandemic; or</w:t>
      </w:r>
    </w:p>
    <w:p w:rsidR="00B70967" w:rsidRDefault="00B70967" w:rsidP="00B70967">
      <w:pPr>
        <w:pStyle w:val="paragraph"/>
      </w:pPr>
      <w:r>
        <w:tab/>
        <w:t>(d)</w:t>
      </w:r>
      <w:r>
        <w:tab/>
        <w:t>there are no children enrolled for care by the service during the week.</w:t>
      </w:r>
    </w:p>
    <w:p w:rsidR="00B70967" w:rsidRDefault="00B70967" w:rsidP="00B70967">
      <w:pPr>
        <w:pStyle w:val="ActHead5"/>
      </w:pPr>
      <w:bookmarkStart w:id="20" w:name="_Toc36384244"/>
      <w:r>
        <w:t>60F  Supplementary amounts</w:t>
      </w:r>
      <w:bookmarkEnd w:id="20"/>
    </w:p>
    <w:p w:rsidR="00B70967" w:rsidRDefault="00B70967" w:rsidP="00B70967">
      <w:pPr>
        <w:pStyle w:val="subsection"/>
      </w:pPr>
      <w:r>
        <w:tab/>
      </w:r>
      <w:r>
        <w:tab/>
        <w:t xml:space="preserve">The amount of business continuity payment under this section is the amount worked out in accordance with the </w:t>
      </w:r>
      <w:r w:rsidRPr="00B70967">
        <w:rPr>
          <w:i/>
        </w:rPr>
        <w:t xml:space="preserve">Early Childhood Education and Care Relief Package Payment Conditions </w:t>
      </w:r>
      <w:r>
        <w:t>document, as published by the Department from time to time.</w:t>
      </w:r>
    </w:p>
    <w:p w:rsidR="00B70967" w:rsidRDefault="00B70967" w:rsidP="00B70967">
      <w:pPr>
        <w:pStyle w:val="notetext"/>
      </w:pPr>
      <w:r>
        <w:t>Note:</w:t>
      </w:r>
      <w:r>
        <w:tab/>
        <w:t xml:space="preserve">In 2020, the </w:t>
      </w:r>
      <w:r w:rsidRPr="00B70967">
        <w:rPr>
          <w:i/>
        </w:rPr>
        <w:t xml:space="preserve">Early Childhood Education and Care Relief Package Payment Conditions </w:t>
      </w:r>
      <w:r>
        <w:t xml:space="preserve">document was available on the Department’s website at </w:t>
      </w:r>
      <w:hyperlink r:id="rId10" w:history="1">
        <w:r>
          <w:rPr>
            <w:rStyle w:val="Hyperlink"/>
          </w:rPr>
          <w:t>www.dese.gov.au</w:t>
        </w:r>
      </w:hyperlink>
      <w:r>
        <w:t>.</w:t>
      </w:r>
    </w:p>
    <w:p w:rsidR="00B70967" w:rsidRDefault="00B70967" w:rsidP="00B70967"/>
    <w:p w:rsidR="00617B18" w:rsidRDefault="00617B18"/>
    <w:sectPr w:rsidR="00617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AF8" w:rsidRDefault="00972AF8" w:rsidP="00972AF8">
      <w:pPr>
        <w:spacing w:line="240" w:lineRule="auto"/>
      </w:pPr>
      <w:r>
        <w:separator/>
      </w:r>
    </w:p>
  </w:endnote>
  <w:endnote w:type="continuationSeparator" w:id="0">
    <w:p w:rsidR="00972AF8" w:rsidRDefault="00972AF8" w:rsidP="00972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F8" w:rsidRDefault="0097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AF8" w:rsidRDefault="00972AF8" w:rsidP="00972AF8">
      <w:pPr>
        <w:spacing w:line="240" w:lineRule="auto"/>
      </w:pPr>
      <w:r>
        <w:separator/>
      </w:r>
    </w:p>
  </w:footnote>
  <w:footnote w:type="continuationSeparator" w:id="0">
    <w:p w:rsidR="00972AF8" w:rsidRDefault="00972AF8" w:rsidP="00972A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F28F0"/>
    <w:multiLevelType w:val="hybridMultilevel"/>
    <w:tmpl w:val="A5CAC5FE"/>
    <w:lvl w:ilvl="0" w:tplc="E5322A22">
      <w:start w:val="1"/>
      <w:numFmt w:val="lowerLetter"/>
      <w:lvlText w:val="(%1)"/>
      <w:lvlJc w:val="left"/>
      <w:pPr>
        <w:ind w:left="1800" w:hanging="360"/>
      </w:pPr>
      <w:rPr>
        <w:i w:val="0"/>
      </w:rPr>
    </w:lvl>
    <w:lvl w:ilvl="1" w:tplc="B2AAC306">
      <w:start w:val="1"/>
      <w:numFmt w:val="lowerRoman"/>
      <w:lvlText w:val="(%2)"/>
      <w:lvlJc w:val="left"/>
      <w:pPr>
        <w:ind w:left="2520" w:hanging="360"/>
      </w:pPr>
    </w:lvl>
    <w:lvl w:ilvl="2" w:tplc="C4C41212">
      <w:start w:val="1"/>
      <w:numFmt w:val="upp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67"/>
    <w:rsid w:val="002C3D60"/>
    <w:rsid w:val="00617B18"/>
    <w:rsid w:val="00972AF8"/>
    <w:rsid w:val="00B70967"/>
    <w:rsid w:val="00E00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A0B5"/>
  <w15:chartTrackingRefBased/>
  <w15:docId w15:val="{E02B06DD-5079-4E6A-8C06-61597104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67"/>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70967"/>
    <w:rPr>
      <w:color w:val="0000FF"/>
      <w:u w:val="single"/>
    </w:rPr>
  </w:style>
  <w:style w:type="paragraph" w:styleId="TOC5">
    <w:name w:val="toc 5"/>
    <w:basedOn w:val="Normal"/>
    <w:next w:val="Normal"/>
    <w:autoRedefine/>
    <w:uiPriority w:val="39"/>
    <w:semiHidden/>
    <w:unhideWhenUsed/>
    <w:rsid w:val="00B7096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autoRedefine/>
    <w:uiPriority w:val="39"/>
    <w:semiHidden/>
    <w:unhideWhenUsed/>
    <w:rsid w:val="00B7096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autoRedefine/>
    <w:uiPriority w:val="39"/>
    <w:semiHidden/>
    <w:unhideWhenUsed/>
    <w:rsid w:val="00B70967"/>
    <w:pPr>
      <w:keepLines/>
      <w:tabs>
        <w:tab w:val="right" w:pos="8278"/>
      </w:tabs>
      <w:spacing w:before="80" w:line="240" w:lineRule="auto"/>
      <w:ind w:left="851" w:right="567"/>
    </w:pPr>
    <w:rPr>
      <w:rFonts w:eastAsia="Times New Roman" w:cs="Times New Roman"/>
      <w:i/>
      <w:kern w:val="28"/>
      <w:sz w:val="20"/>
      <w:lang w:eastAsia="en-AU"/>
    </w:rPr>
  </w:style>
  <w:style w:type="paragraph" w:styleId="Header">
    <w:name w:val="header"/>
    <w:basedOn w:val="Normal"/>
    <w:link w:val="HeaderChar"/>
    <w:unhideWhenUsed/>
    <w:rsid w:val="00B70967"/>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B70967"/>
    <w:rPr>
      <w:rFonts w:ascii="Times New Roman" w:eastAsia="Times New Roman" w:hAnsi="Times New Roman" w:cs="Times New Roman"/>
      <w:sz w:val="16"/>
      <w:szCs w:val="20"/>
      <w:lang w:eastAsia="en-AU"/>
    </w:rPr>
  </w:style>
  <w:style w:type="paragraph" w:customStyle="1" w:styleId="ShortT">
    <w:name w:val="ShortT"/>
    <w:basedOn w:val="Normal"/>
    <w:next w:val="Normal"/>
    <w:qFormat/>
    <w:rsid w:val="00B70967"/>
    <w:pPr>
      <w:spacing w:line="240" w:lineRule="auto"/>
    </w:pPr>
    <w:rPr>
      <w:rFonts w:eastAsia="Times New Roman" w:cs="Times New Roman"/>
      <w:b/>
      <w:sz w:val="40"/>
      <w:lang w:eastAsia="en-AU"/>
    </w:rPr>
  </w:style>
  <w:style w:type="paragraph" w:customStyle="1" w:styleId="ActHead3">
    <w:name w:val="ActHead 3"/>
    <w:aliases w:val="d"/>
    <w:basedOn w:val="Normal"/>
    <w:next w:val="Normal"/>
    <w:qFormat/>
    <w:rsid w:val="00B70967"/>
    <w:pPr>
      <w:keepNext/>
      <w:keepLines/>
      <w:spacing w:before="240" w:line="240" w:lineRule="auto"/>
      <w:ind w:left="1134" w:hanging="1134"/>
      <w:outlineLvl w:val="2"/>
    </w:pPr>
    <w:rPr>
      <w:rFonts w:eastAsia="Times New Roman" w:cs="Times New Roman"/>
      <w:b/>
      <w:kern w:val="28"/>
      <w:sz w:val="28"/>
      <w:lang w:eastAsia="en-AU"/>
    </w:rPr>
  </w:style>
  <w:style w:type="character" w:customStyle="1" w:styleId="ActHead5Char">
    <w:name w:val="ActHead 5 Char"/>
    <w:aliases w:val="s Char"/>
    <w:link w:val="ActHead5"/>
    <w:locked/>
    <w:rsid w:val="00B70967"/>
    <w:rPr>
      <w:rFonts w:ascii="Times New Roman" w:eastAsia="Times New Roman" w:hAnsi="Times New Roman" w:cs="Times New Roman"/>
      <w:b/>
      <w:kern w:val="28"/>
      <w:sz w:val="24"/>
      <w:lang w:eastAsia="en-AU"/>
    </w:rPr>
  </w:style>
  <w:style w:type="paragraph" w:customStyle="1" w:styleId="subsection">
    <w:name w:val="subsection"/>
    <w:aliases w:val="ss,Subsection"/>
    <w:basedOn w:val="Normal"/>
    <w:link w:val="subsectionChar"/>
    <w:rsid w:val="00B70967"/>
    <w:pPr>
      <w:tabs>
        <w:tab w:val="right" w:pos="1021"/>
      </w:tabs>
      <w:spacing w:before="180" w:line="240" w:lineRule="auto"/>
      <w:ind w:left="1134" w:hanging="1134"/>
    </w:pPr>
    <w:rPr>
      <w:rFonts w:eastAsia="Times New Roman" w:cs="Times New Roman"/>
      <w:lang w:eastAsia="en-AU"/>
    </w:rPr>
  </w:style>
  <w:style w:type="paragraph" w:customStyle="1" w:styleId="ActHead5">
    <w:name w:val="ActHead 5"/>
    <w:aliases w:val="s"/>
    <w:basedOn w:val="Normal"/>
    <w:next w:val="subsection"/>
    <w:link w:val="ActHead5Char"/>
    <w:qFormat/>
    <w:rsid w:val="00B70967"/>
    <w:pPr>
      <w:keepNext/>
      <w:keepLines/>
      <w:spacing w:before="280" w:line="240" w:lineRule="auto"/>
      <w:ind w:left="1134" w:hanging="1134"/>
      <w:outlineLvl w:val="4"/>
    </w:pPr>
    <w:rPr>
      <w:rFonts w:eastAsia="Times New Roman" w:cs="Times New Roman"/>
      <w:b/>
      <w:kern w:val="28"/>
      <w:sz w:val="24"/>
      <w:szCs w:val="22"/>
      <w:lang w:eastAsia="en-AU"/>
    </w:rPr>
  </w:style>
  <w:style w:type="paragraph" w:customStyle="1" w:styleId="ActHead6">
    <w:name w:val="ActHead 6"/>
    <w:aliases w:val="as"/>
    <w:basedOn w:val="Normal"/>
    <w:next w:val="Normal"/>
    <w:qFormat/>
    <w:rsid w:val="00B70967"/>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ItemHead">
    <w:name w:val="ItemHead"/>
    <w:aliases w:val="ih"/>
    <w:basedOn w:val="Normal"/>
    <w:next w:val="Item"/>
    <w:rsid w:val="00B70967"/>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ActHead9">
    <w:name w:val="ActHead 9"/>
    <w:aliases w:val="aat"/>
    <w:basedOn w:val="Normal"/>
    <w:next w:val="ItemHead"/>
    <w:qFormat/>
    <w:rsid w:val="00B70967"/>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subsectionChar">
    <w:name w:val="subsection Char"/>
    <w:aliases w:val="ss Char"/>
    <w:basedOn w:val="DefaultParagraphFont"/>
    <w:link w:val="subsection"/>
    <w:locked/>
    <w:rsid w:val="00B70967"/>
    <w:rPr>
      <w:rFonts w:ascii="Times New Roman" w:eastAsia="Times New Roman" w:hAnsi="Times New Roman" w:cs="Times New Roman"/>
      <w:szCs w:val="20"/>
      <w:lang w:eastAsia="en-AU"/>
    </w:rPr>
  </w:style>
  <w:style w:type="paragraph" w:customStyle="1" w:styleId="Definition">
    <w:name w:val="Definition"/>
    <w:aliases w:val="dd"/>
    <w:basedOn w:val="Normal"/>
    <w:rsid w:val="00B70967"/>
    <w:pPr>
      <w:spacing w:before="180" w:line="240" w:lineRule="auto"/>
      <w:ind w:left="1134"/>
    </w:pPr>
    <w:rPr>
      <w:rFonts w:eastAsia="Times New Roman" w:cs="Times New Roman"/>
      <w:lang w:eastAsia="en-AU"/>
    </w:rPr>
  </w:style>
  <w:style w:type="paragraph" w:customStyle="1" w:styleId="Item">
    <w:name w:val="Item"/>
    <w:aliases w:val="i"/>
    <w:basedOn w:val="Normal"/>
    <w:next w:val="ItemHead"/>
    <w:rsid w:val="00B70967"/>
    <w:pPr>
      <w:keepLines/>
      <w:spacing w:before="80" w:line="240" w:lineRule="auto"/>
      <w:ind w:left="709"/>
    </w:pPr>
    <w:rPr>
      <w:rFonts w:eastAsia="Times New Roman" w:cs="Times New Roman"/>
      <w:lang w:eastAsia="en-AU"/>
    </w:rPr>
  </w:style>
  <w:style w:type="paragraph" w:customStyle="1" w:styleId="noteToPara">
    <w:name w:val="noteToPara"/>
    <w:aliases w:val="ntp"/>
    <w:basedOn w:val="Normal"/>
    <w:rsid w:val="00B70967"/>
    <w:pPr>
      <w:spacing w:before="122" w:line="198" w:lineRule="exact"/>
      <w:ind w:left="2353" w:hanging="709"/>
    </w:pPr>
    <w:rPr>
      <w:rFonts w:eastAsia="Times New Roman" w:cs="Times New Roman"/>
      <w:sz w:val="18"/>
      <w:lang w:eastAsia="en-AU"/>
    </w:rPr>
  </w:style>
  <w:style w:type="paragraph" w:customStyle="1" w:styleId="paragraphsub">
    <w:name w:val="paragraph(sub)"/>
    <w:aliases w:val="aa"/>
    <w:basedOn w:val="Normal"/>
    <w:rsid w:val="00B70967"/>
    <w:pPr>
      <w:tabs>
        <w:tab w:val="right" w:pos="1985"/>
      </w:tabs>
      <w:spacing w:before="40" w:line="240" w:lineRule="auto"/>
      <w:ind w:left="2098" w:hanging="2098"/>
    </w:pPr>
    <w:rPr>
      <w:rFonts w:eastAsia="Times New Roman" w:cs="Times New Roman"/>
      <w:lang w:eastAsia="en-AU"/>
    </w:rPr>
  </w:style>
  <w:style w:type="character" w:customStyle="1" w:styleId="paragraphChar">
    <w:name w:val="paragraph Char"/>
    <w:aliases w:val="a Char"/>
    <w:basedOn w:val="DefaultParagraphFont"/>
    <w:link w:val="paragraph"/>
    <w:locked/>
    <w:rsid w:val="00B70967"/>
    <w:rPr>
      <w:rFonts w:ascii="Times New Roman" w:eastAsia="Times New Roman" w:hAnsi="Times New Roman" w:cs="Times New Roman"/>
      <w:lang w:eastAsia="en-AU"/>
    </w:rPr>
  </w:style>
  <w:style w:type="paragraph" w:customStyle="1" w:styleId="paragraph">
    <w:name w:val="paragraph"/>
    <w:aliases w:val="a"/>
    <w:basedOn w:val="Normal"/>
    <w:link w:val="paragraphChar"/>
    <w:rsid w:val="00B70967"/>
    <w:pPr>
      <w:tabs>
        <w:tab w:val="right" w:pos="1531"/>
      </w:tabs>
      <w:spacing w:before="40" w:line="240" w:lineRule="auto"/>
      <w:ind w:left="1644" w:hanging="1644"/>
    </w:pPr>
    <w:rPr>
      <w:rFonts w:eastAsia="Times New Roman" w:cs="Times New Roman"/>
      <w:szCs w:val="22"/>
      <w:lang w:eastAsia="en-AU"/>
    </w:rPr>
  </w:style>
  <w:style w:type="paragraph" w:customStyle="1" w:styleId="SubsectionHead">
    <w:name w:val="SubsectionHead"/>
    <w:aliases w:val="ssh"/>
    <w:basedOn w:val="Normal"/>
    <w:next w:val="subsection"/>
    <w:rsid w:val="00B70967"/>
    <w:pPr>
      <w:keepNext/>
      <w:keepLines/>
      <w:spacing w:before="240" w:line="240" w:lineRule="auto"/>
      <w:ind w:left="1134"/>
    </w:pPr>
    <w:rPr>
      <w:rFonts w:eastAsia="Times New Roman" w:cs="Times New Roman"/>
      <w:i/>
      <w:lang w:eastAsia="en-AU"/>
    </w:rPr>
  </w:style>
  <w:style w:type="paragraph" w:customStyle="1" w:styleId="Tablea">
    <w:name w:val="Table(a)"/>
    <w:aliases w:val="ta"/>
    <w:basedOn w:val="Normal"/>
    <w:rsid w:val="00B70967"/>
    <w:pPr>
      <w:spacing w:before="60" w:line="240" w:lineRule="auto"/>
      <w:ind w:left="284" w:hanging="284"/>
    </w:pPr>
    <w:rPr>
      <w:rFonts w:eastAsia="Times New Roman" w:cs="Times New Roman"/>
      <w:sz w:val="20"/>
      <w:lang w:eastAsia="en-AU"/>
    </w:rPr>
  </w:style>
  <w:style w:type="paragraph" w:customStyle="1" w:styleId="Tabletext">
    <w:name w:val="Tabletext"/>
    <w:aliases w:val="tt"/>
    <w:basedOn w:val="Normal"/>
    <w:rsid w:val="00B70967"/>
    <w:pPr>
      <w:spacing w:before="60" w:line="240" w:lineRule="atLeast"/>
    </w:pPr>
    <w:rPr>
      <w:rFonts w:eastAsia="Times New Roman" w:cs="Times New Roman"/>
      <w:sz w:val="20"/>
      <w:lang w:eastAsia="en-AU"/>
    </w:rPr>
  </w:style>
  <w:style w:type="paragraph" w:customStyle="1" w:styleId="SignCoverPageEnd">
    <w:name w:val="SignCoverPageEnd"/>
    <w:basedOn w:val="Normal"/>
    <w:next w:val="Normal"/>
    <w:rsid w:val="00B70967"/>
    <w:pPr>
      <w:keepNext/>
      <w:pBdr>
        <w:bottom w:val="single" w:sz="4" w:space="12" w:color="auto"/>
      </w:pBdr>
      <w:tabs>
        <w:tab w:val="left" w:pos="3402"/>
      </w:tabs>
      <w:spacing w:after="240" w:line="300" w:lineRule="atLeast"/>
      <w:ind w:right="397"/>
    </w:pPr>
    <w:rPr>
      <w:rFonts w:eastAsia="Times New Roman" w:cs="Times New Roman"/>
      <w:lang w:eastAsia="en-AU"/>
    </w:rPr>
  </w:style>
  <w:style w:type="paragraph" w:customStyle="1" w:styleId="SignCoverPageStart">
    <w:name w:val="SignCoverPageStart"/>
    <w:basedOn w:val="Normal"/>
    <w:next w:val="Normal"/>
    <w:rsid w:val="00B70967"/>
    <w:pPr>
      <w:pBdr>
        <w:top w:val="single" w:sz="4" w:space="1" w:color="auto"/>
      </w:pBdr>
      <w:spacing w:before="360"/>
      <w:ind w:right="397"/>
      <w:jc w:val="both"/>
    </w:pPr>
    <w:rPr>
      <w:rFonts w:eastAsia="Times New Roman" w:cs="Times New Roman"/>
      <w:lang w:eastAsia="en-AU"/>
    </w:rPr>
  </w:style>
  <w:style w:type="character" w:customStyle="1" w:styleId="notetextChar">
    <w:name w:val="note(text) Char"/>
    <w:aliases w:val="n Char"/>
    <w:basedOn w:val="DefaultParagraphFont"/>
    <w:link w:val="notetext"/>
    <w:locked/>
    <w:rsid w:val="00B70967"/>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B70967"/>
    <w:pPr>
      <w:spacing w:before="122" w:line="240" w:lineRule="auto"/>
      <w:ind w:left="1985" w:hanging="851"/>
    </w:pPr>
    <w:rPr>
      <w:rFonts w:eastAsia="Times New Roman" w:cs="Times New Roman"/>
      <w:sz w:val="18"/>
      <w:szCs w:val="22"/>
      <w:lang w:eastAsia="en-AU"/>
    </w:rPr>
  </w:style>
  <w:style w:type="paragraph" w:customStyle="1" w:styleId="TableHeading">
    <w:name w:val="TableHeading"/>
    <w:aliases w:val="th"/>
    <w:basedOn w:val="Normal"/>
    <w:next w:val="Tabletext"/>
    <w:rsid w:val="00B70967"/>
    <w:pPr>
      <w:keepNext/>
      <w:spacing w:before="60" w:line="240" w:lineRule="atLeast"/>
    </w:pPr>
    <w:rPr>
      <w:rFonts w:eastAsia="Times New Roman" w:cs="Times New Roman"/>
      <w:b/>
      <w:sz w:val="20"/>
      <w:lang w:eastAsia="en-AU"/>
    </w:rPr>
  </w:style>
  <w:style w:type="character" w:customStyle="1" w:styleId="CharAmPartNo">
    <w:name w:val="CharAmPartNo"/>
    <w:basedOn w:val="DefaultParagraphFont"/>
    <w:qFormat/>
    <w:rsid w:val="00B70967"/>
  </w:style>
  <w:style w:type="character" w:customStyle="1" w:styleId="CharAmPartText">
    <w:name w:val="CharAmPartText"/>
    <w:basedOn w:val="DefaultParagraphFont"/>
    <w:qFormat/>
    <w:rsid w:val="00B70967"/>
  </w:style>
  <w:style w:type="character" w:customStyle="1" w:styleId="CharAmSchNo">
    <w:name w:val="CharAmSchNo"/>
    <w:basedOn w:val="DefaultParagraphFont"/>
    <w:qFormat/>
    <w:rsid w:val="00B70967"/>
  </w:style>
  <w:style w:type="character" w:customStyle="1" w:styleId="CharAmSchText">
    <w:name w:val="CharAmSchText"/>
    <w:basedOn w:val="DefaultParagraphFont"/>
    <w:qFormat/>
    <w:rsid w:val="00B70967"/>
  </w:style>
  <w:style w:type="character" w:customStyle="1" w:styleId="CharSectno">
    <w:name w:val="CharSectno"/>
    <w:basedOn w:val="DefaultParagraphFont"/>
    <w:qFormat/>
    <w:rsid w:val="00B70967"/>
  </w:style>
  <w:style w:type="paragraph" w:styleId="Footer">
    <w:name w:val="footer"/>
    <w:basedOn w:val="Normal"/>
    <w:link w:val="FooterChar"/>
    <w:uiPriority w:val="99"/>
    <w:unhideWhenUsed/>
    <w:rsid w:val="00972AF8"/>
    <w:pPr>
      <w:tabs>
        <w:tab w:val="center" w:pos="4513"/>
        <w:tab w:val="right" w:pos="9026"/>
      </w:tabs>
      <w:spacing w:line="240" w:lineRule="auto"/>
    </w:pPr>
  </w:style>
  <w:style w:type="character" w:customStyle="1" w:styleId="FooterChar">
    <w:name w:val="Footer Char"/>
    <w:basedOn w:val="DefaultParagraphFont"/>
    <w:link w:val="Footer"/>
    <w:uiPriority w:val="99"/>
    <w:rsid w:val="00972AF8"/>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4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ese.gov.au" TargetMode="External"/><Relationship Id="rId4" Type="http://schemas.openxmlformats.org/officeDocument/2006/relationships/webSettings" Target="webSettings.xml"/><Relationship Id="rId9" Type="http://schemas.openxmlformats.org/officeDocument/2006/relationships/hyperlink" Target="http://www.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B7BE10F8</Template>
  <TotalTime>2</TotalTime>
  <Pages>6</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SSC</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PAPWORTH,Charlotte</dc:creator>
  <cp:keywords/>
  <dc:description/>
  <cp:lastModifiedBy>HARRIS,Sonia</cp:lastModifiedBy>
  <cp:revision>3</cp:revision>
  <dcterms:created xsi:type="dcterms:W3CDTF">2020-04-05T06:17:00Z</dcterms:created>
  <dcterms:modified xsi:type="dcterms:W3CDTF">2020-04-05T06:18:00Z</dcterms:modified>
</cp:coreProperties>
</file>