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1B96F" w14:textId="77777777" w:rsidR="005E317F" w:rsidRPr="00F419CF" w:rsidRDefault="005E317F" w:rsidP="005E317F">
      <w:pPr>
        <w:rPr>
          <w:sz w:val="28"/>
        </w:rPr>
      </w:pPr>
      <w:r w:rsidRPr="00F419CF">
        <w:rPr>
          <w:noProof/>
          <w:lang w:eastAsia="en-AU"/>
        </w:rPr>
        <w:drawing>
          <wp:inline distT="0" distB="0" distL="0" distR="0" wp14:anchorId="0A609F5C" wp14:editId="37CE422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F03C8D7" w14:textId="77777777" w:rsidR="005E317F" w:rsidRPr="00F419CF" w:rsidRDefault="005E317F" w:rsidP="005E317F">
      <w:pPr>
        <w:rPr>
          <w:sz w:val="19"/>
        </w:rPr>
      </w:pPr>
    </w:p>
    <w:p w14:paraId="5F3CC123" w14:textId="023B57F8" w:rsidR="005E317F" w:rsidRPr="00F419CF" w:rsidRDefault="00067106" w:rsidP="005E317F">
      <w:pPr>
        <w:pStyle w:val="ShortT"/>
      </w:pPr>
      <w:r w:rsidRPr="00F419CF">
        <w:t>Health Insurance (Section 3C General Medical Services – COVID-19 Telehealth and Telephone Attendances) Amendment (Expansion of Specialist Services) Determination 2020</w:t>
      </w:r>
    </w:p>
    <w:p w14:paraId="38CA3E2C" w14:textId="19CDEE77" w:rsidR="005E317F" w:rsidRPr="00F419CF" w:rsidRDefault="005E317F" w:rsidP="005E317F">
      <w:pPr>
        <w:pStyle w:val="SignCoverPageStart"/>
        <w:spacing w:before="240"/>
        <w:ind w:right="91"/>
        <w:rPr>
          <w:szCs w:val="22"/>
        </w:rPr>
      </w:pPr>
      <w:r w:rsidRPr="00F419CF">
        <w:rPr>
          <w:szCs w:val="22"/>
        </w:rPr>
        <w:t xml:space="preserve">I, </w:t>
      </w:r>
      <w:r w:rsidR="00A01F80" w:rsidRPr="00F419CF">
        <w:rPr>
          <w:szCs w:val="22"/>
        </w:rPr>
        <w:t>GREG HUNT</w:t>
      </w:r>
      <w:r w:rsidRPr="00F419CF">
        <w:rPr>
          <w:szCs w:val="22"/>
        </w:rPr>
        <w:t xml:space="preserve">, </w:t>
      </w:r>
      <w:r w:rsidR="00A71CF0" w:rsidRPr="00F419CF">
        <w:rPr>
          <w:szCs w:val="22"/>
        </w:rPr>
        <w:t xml:space="preserve">the </w:t>
      </w:r>
      <w:r w:rsidR="00DF0C0A" w:rsidRPr="00F419CF">
        <w:rPr>
          <w:szCs w:val="22"/>
        </w:rPr>
        <w:t>Minister for Health</w:t>
      </w:r>
      <w:r w:rsidRPr="00F419CF">
        <w:rPr>
          <w:szCs w:val="22"/>
        </w:rPr>
        <w:t xml:space="preserve">, make the following </w:t>
      </w:r>
      <w:r w:rsidR="00DF0C0A" w:rsidRPr="00F419CF">
        <w:rPr>
          <w:szCs w:val="22"/>
        </w:rPr>
        <w:t>determination</w:t>
      </w:r>
      <w:r w:rsidRPr="00F419CF">
        <w:rPr>
          <w:szCs w:val="22"/>
        </w:rPr>
        <w:t>.</w:t>
      </w:r>
    </w:p>
    <w:p w14:paraId="41BFEB63" w14:textId="485D48E8" w:rsidR="005E317F" w:rsidRPr="00F419CF" w:rsidRDefault="00F419CF" w:rsidP="005E317F">
      <w:pPr>
        <w:keepNext/>
        <w:spacing w:before="300" w:line="240" w:lineRule="atLeast"/>
        <w:ind w:right="397"/>
        <w:jc w:val="both"/>
        <w:rPr>
          <w:szCs w:val="22"/>
        </w:rPr>
      </w:pPr>
      <w:r w:rsidRPr="00F419CF">
        <w:rPr>
          <w:szCs w:val="22"/>
        </w:rPr>
        <w:t>Dated</w:t>
      </w:r>
      <w:r w:rsidRPr="00F419CF">
        <w:rPr>
          <w:szCs w:val="22"/>
        </w:rPr>
        <w:tab/>
        <w:t xml:space="preserve">4 </w:t>
      </w:r>
      <w:r w:rsidR="00CC17E4" w:rsidRPr="00F419CF">
        <w:rPr>
          <w:szCs w:val="22"/>
        </w:rPr>
        <w:t>April 2020</w:t>
      </w:r>
      <w:r w:rsidR="005E317F" w:rsidRPr="00F419CF">
        <w:rPr>
          <w:szCs w:val="22"/>
        </w:rPr>
        <w:tab/>
      </w:r>
      <w:r w:rsidR="005E317F" w:rsidRPr="00F419CF">
        <w:rPr>
          <w:szCs w:val="22"/>
        </w:rPr>
        <w:tab/>
      </w:r>
    </w:p>
    <w:p w14:paraId="7AB600CA" w14:textId="64CA8EE0" w:rsidR="005E317F" w:rsidRPr="00F419CF" w:rsidRDefault="00A01F80" w:rsidP="005E317F">
      <w:pPr>
        <w:keepNext/>
        <w:tabs>
          <w:tab w:val="left" w:pos="3402"/>
        </w:tabs>
        <w:spacing w:before="1440" w:line="300" w:lineRule="atLeast"/>
        <w:ind w:right="397"/>
        <w:rPr>
          <w:b/>
          <w:szCs w:val="22"/>
        </w:rPr>
      </w:pPr>
      <w:r w:rsidRPr="00F419CF">
        <w:t xml:space="preserve">Greg Hunt </w:t>
      </w:r>
    </w:p>
    <w:p w14:paraId="33493EB1" w14:textId="354FA148" w:rsidR="005E317F" w:rsidRPr="00F419CF" w:rsidRDefault="00A01F80" w:rsidP="00A71CF0">
      <w:pPr>
        <w:pStyle w:val="SignCoverPageEnd"/>
        <w:ind w:right="91"/>
        <w:rPr>
          <w:sz w:val="22"/>
        </w:rPr>
      </w:pPr>
      <w:r w:rsidRPr="00F419CF">
        <w:rPr>
          <w:sz w:val="22"/>
        </w:rPr>
        <w:t>Minister for</w:t>
      </w:r>
      <w:r w:rsidR="00A71CF0" w:rsidRPr="00F419CF">
        <w:rPr>
          <w:sz w:val="22"/>
        </w:rPr>
        <w:t xml:space="preserve"> Health</w:t>
      </w:r>
    </w:p>
    <w:p w14:paraId="1BF6E924" w14:textId="77777777" w:rsidR="00B20990" w:rsidRPr="00F419CF" w:rsidRDefault="00B20990" w:rsidP="00B20990"/>
    <w:p w14:paraId="6A5ABF93" w14:textId="77777777" w:rsidR="00B20990" w:rsidRPr="00F419CF" w:rsidRDefault="00B20990" w:rsidP="00B20990"/>
    <w:p w14:paraId="6D1027A7" w14:textId="77777777" w:rsidR="007E15BF" w:rsidRPr="00F419CF" w:rsidRDefault="007E15BF" w:rsidP="00B20990"/>
    <w:p w14:paraId="4FC44AAA" w14:textId="77777777" w:rsidR="00145E0B" w:rsidRPr="00F419CF" w:rsidRDefault="00145E0B" w:rsidP="00145E0B">
      <w:pPr>
        <w:rPr>
          <w:rFonts w:ascii="Arial" w:hAnsi="Arial" w:cs="Arial"/>
        </w:rPr>
      </w:pPr>
    </w:p>
    <w:p w14:paraId="061A65A2" w14:textId="77777777" w:rsidR="007E0C25" w:rsidRPr="00F419CF" w:rsidRDefault="007E0C25" w:rsidP="00B20990">
      <w:pPr>
        <w:rPr>
          <w:rFonts w:ascii="Arial" w:hAnsi="Arial" w:cs="Arial"/>
          <w:b/>
          <w:szCs w:val="22"/>
        </w:rPr>
      </w:pPr>
    </w:p>
    <w:p w14:paraId="1A42149B" w14:textId="07B7D8C7" w:rsidR="007E0C25" w:rsidRPr="00F419CF" w:rsidRDefault="007E0C25" w:rsidP="007E0C25">
      <w:pPr>
        <w:pStyle w:val="TablePlainParagraph"/>
        <w:rPr>
          <w:rFonts w:ascii="Times New Roman" w:hAnsi="Times New Roman" w:cs="Times New Roman"/>
          <w:sz w:val="22"/>
          <w:lang w:val="en-GB" w:eastAsia="en-GB"/>
        </w:rPr>
      </w:pPr>
      <w:r w:rsidRPr="00F419CF">
        <w:rPr>
          <w:rFonts w:ascii="Times New Roman" w:hAnsi="Times New Roman" w:cs="Times New Roman"/>
          <w:sz w:val="22"/>
        </w:rPr>
        <w:t> </w:t>
      </w:r>
    </w:p>
    <w:p w14:paraId="19BA46FD" w14:textId="77777777" w:rsidR="007E0C25" w:rsidRPr="00F419CF" w:rsidRDefault="007E0C25" w:rsidP="00B20990">
      <w:pPr>
        <w:rPr>
          <w:rFonts w:ascii="Arial" w:hAnsi="Arial" w:cs="Arial"/>
          <w:b/>
          <w:szCs w:val="22"/>
        </w:rPr>
        <w:sectPr w:rsidR="007E0C25" w:rsidRPr="00F419CF"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31901E3C" w14:textId="77777777" w:rsidR="007E15BF" w:rsidRPr="00F419CF" w:rsidRDefault="007E15BF" w:rsidP="00B20990">
      <w:pPr>
        <w:outlineLvl w:val="0"/>
        <w:rPr>
          <w:sz w:val="36"/>
        </w:rPr>
      </w:pPr>
    </w:p>
    <w:p w14:paraId="36745EC4" w14:textId="77777777" w:rsidR="00B20990" w:rsidRPr="00F419CF" w:rsidRDefault="00B20990" w:rsidP="00B20990">
      <w:pPr>
        <w:outlineLvl w:val="0"/>
        <w:rPr>
          <w:sz w:val="36"/>
        </w:rPr>
      </w:pPr>
      <w:r w:rsidRPr="00F419CF">
        <w:rPr>
          <w:sz w:val="36"/>
        </w:rPr>
        <w:t>Contents</w:t>
      </w:r>
    </w:p>
    <w:bookmarkStart w:id="0" w:name="BKCheck15B_2"/>
    <w:bookmarkEnd w:id="0"/>
    <w:p w14:paraId="4474C648" w14:textId="77777777" w:rsidR="00067106" w:rsidRPr="00F419CF" w:rsidRDefault="00B20990">
      <w:pPr>
        <w:pStyle w:val="TOC5"/>
        <w:rPr>
          <w:rFonts w:asciiTheme="minorHAnsi" w:eastAsiaTheme="minorEastAsia" w:hAnsiTheme="minorHAnsi" w:cstheme="minorBidi"/>
          <w:noProof/>
          <w:kern w:val="0"/>
          <w:sz w:val="22"/>
          <w:szCs w:val="22"/>
          <w:lang w:val="en-GB" w:eastAsia="en-GB"/>
        </w:rPr>
      </w:pPr>
      <w:r w:rsidRPr="00F419CF">
        <w:fldChar w:fldCharType="begin"/>
      </w:r>
      <w:r w:rsidRPr="00F419CF">
        <w:instrText xml:space="preserve"> TOC \o "1-9" </w:instrText>
      </w:r>
      <w:r w:rsidRPr="00F419CF">
        <w:fldChar w:fldCharType="separate"/>
      </w:r>
      <w:r w:rsidR="00067106" w:rsidRPr="00F419CF">
        <w:rPr>
          <w:noProof/>
        </w:rPr>
        <w:t>1  Name</w:t>
      </w:r>
      <w:r w:rsidR="00067106" w:rsidRPr="00F419CF">
        <w:rPr>
          <w:noProof/>
        </w:rPr>
        <w:tab/>
      </w:r>
      <w:r w:rsidR="00067106" w:rsidRPr="00F419CF">
        <w:rPr>
          <w:noProof/>
        </w:rPr>
        <w:fldChar w:fldCharType="begin"/>
      </w:r>
      <w:r w:rsidR="00067106" w:rsidRPr="00F419CF">
        <w:rPr>
          <w:noProof/>
        </w:rPr>
        <w:instrText xml:space="preserve"> PAGEREF _Toc36654925 \h </w:instrText>
      </w:r>
      <w:r w:rsidR="00067106" w:rsidRPr="00F419CF">
        <w:rPr>
          <w:noProof/>
        </w:rPr>
      </w:r>
      <w:r w:rsidR="00067106" w:rsidRPr="00F419CF">
        <w:rPr>
          <w:noProof/>
        </w:rPr>
        <w:fldChar w:fldCharType="separate"/>
      </w:r>
      <w:r w:rsidR="00A71CF0" w:rsidRPr="00F419CF">
        <w:rPr>
          <w:noProof/>
        </w:rPr>
        <w:t>1</w:t>
      </w:r>
      <w:r w:rsidR="00067106" w:rsidRPr="00F419CF">
        <w:rPr>
          <w:noProof/>
        </w:rPr>
        <w:fldChar w:fldCharType="end"/>
      </w:r>
    </w:p>
    <w:p w14:paraId="4EE78CC0" w14:textId="77777777" w:rsidR="00067106" w:rsidRPr="00F419CF" w:rsidRDefault="00067106">
      <w:pPr>
        <w:pStyle w:val="TOC5"/>
        <w:rPr>
          <w:rFonts w:asciiTheme="minorHAnsi" w:eastAsiaTheme="minorEastAsia" w:hAnsiTheme="minorHAnsi" w:cstheme="minorBidi"/>
          <w:noProof/>
          <w:kern w:val="0"/>
          <w:sz w:val="22"/>
          <w:szCs w:val="22"/>
          <w:lang w:val="en-GB" w:eastAsia="en-GB"/>
        </w:rPr>
      </w:pPr>
      <w:r w:rsidRPr="00F419CF">
        <w:rPr>
          <w:noProof/>
        </w:rPr>
        <w:t>2  Commencement</w:t>
      </w:r>
      <w:r w:rsidRPr="00F419CF">
        <w:rPr>
          <w:noProof/>
        </w:rPr>
        <w:tab/>
      </w:r>
      <w:r w:rsidRPr="00F419CF">
        <w:rPr>
          <w:noProof/>
        </w:rPr>
        <w:fldChar w:fldCharType="begin"/>
      </w:r>
      <w:r w:rsidRPr="00F419CF">
        <w:rPr>
          <w:noProof/>
        </w:rPr>
        <w:instrText xml:space="preserve"> PAGEREF _Toc36654926 \h </w:instrText>
      </w:r>
      <w:r w:rsidRPr="00F419CF">
        <w:rPr>
          <w:noProof/>
        </w:rPr>
      </w:r>
      <w:r w:rsidRPr="00F419CF">
        <w:rPr>
          <w:noProof/>
        </w:rPr>
        <w:fldChar w:fldCharType="separate"/>
      </w:r>
      <w:r w:rsidR="00A71CF0" w:rsidRPr="00F419CF">
        <w:rPr>
          <w:noProof/>
        </w:rPr>
        <w:t>1</w:t>
      </w:r>
      <w:r w:rsidRPr="00F419CF">
        <w:rPr>
          <w:noProof/>
        </w:rPr>
        <w:fldChar w:fldCharType="end"/>
      </w:r>
    </w:p>
    <w:p w14:paraId="240F7E5D" w14:textId="77777777" w:rsidR="00067106" w:rsidRPr="00F419CF" w:rsidRDefault="00067106">
      <w:pPr>
        <w:pStyle w:val="TOC5"/>
        <w:rPr>
          <w:rFonts w:asciiTheme="minorHAnsi" w:eastAsiaTheme="minorEastAsia" w:hAnsiTheme="minorHAnsi" w:cstheme="minorBidi"/>
          <w:noProof/>
          <w:kern w:val="0"/>
          <w:sz w:val="22"/>
          <w:szCs w:val="22"/>
          <w:lang w:val="en-GB" w:eastAsia="en-GB"/>
        </w:rPr>
      </w:pPr>
      <w:r w:rsidRPr="00F419CF">
        <w:rPr>
          <w:noProof/>
        </w:rPr>
        <w:t>3  Authority</w:t>
      </w:r>
      <w:r w:rsidRPr="00F419CF">
        <w:rPr>
          <w:noProof/>
        </w:rPr>
        <w:tab/>
      </w:r>
      <w:r w:rsidRPr="00F419CF">
        <w:rPr>
          <w:noProof/>
        </w:rPr>
        <w:fldChar w:fldCharType="begin"/>
      </w:r>
      <w:r w:rsidRPr="00F419CF">
        <w:rPr>
          <w:noProof/>
        </w:rPr>
        <w:instrText xml:space="preserve"> PAGEREF _Toc36654927 \h </w:instrText>
      </w:r>
      <w:r w:rsidRPr="00F419CF">
        <w:rPr>
          <w:noProof/>
        </w:rPr>
      </w:r>
      <w:r w:rsidRPr="00F419CF">
        <w:rPr>
          <w:noProof/>
        </w:rPr>
        <w:fldChar w:fldCharType="separate"/>
      </w:r>
      <w:r w:rsidR="00A71CF0" w:rsidRPr="00F419CF">
        <w:rPr>
          <w:noProof/>
        </w:rPr>
        <w:t>1</w:t>
      </w:r>
      <w:r w:rsidRPr="00F419CF">
        <w:rPr>
          <w:noProof/>
        </w:rPr>
        <w:fldChar w:fldCharType="end"/>
      </w:r>
    </w:p>
    <w:p w14:paraId="016F7CBF" w14:textId="77777777" w:rsidR="00067106" w:rsidRPr="00F419CF" w:rsidRDefault="00067106">
      <w:pPr>
        <w:pStyle w:val="TOC5"/>
        <w:rPr>
          <w:rFonts w:asciiTheme="minorHAnsi" w:eastAsiaTheme="minorEastAsia" w:hAnsiTheme="minorHAnsi" w:cstheme="minorBidi"/>
          <w:noProof/>
          <w:kern w:val="0"/>
          <w:sz w:val="22"/>
          <w:szCs w:val="22"/>
          <w:lang w:val="en-GB" w:eastAsia="en-GB"/>
        </w:rPr>
      </w:pPr>
      <w:r w:rsidRPr="00F419CF">
        <w:rPr>
          <w:noProof/>
        </w:rPr>
        <w:t>4  Schedules</w:t>
      </w:r>
      <w:r w:rsidRPr="00F419CF">
        <w:rPr>
          <w:noProof/>
        </w:rPr>
        <w:tab/>
      </w:r>
      <w:r w:rsidRPr="00F419CF">
        <w:rPr>
          <w:noProof/>
        </w:rPr>
        <w:fldChar w:fldCharType="begin"/>
      </w:r>
      <w:r w:rsidRPr="00F419CF">
        <w:rPr>
          <w:noProof/>
        </w:rPr>
        <w:instrText xml:space="preserve"> PAGEREF _Toc36654928 \h </w:instrText>
      </w:r>
      <w:r w:rsidRPr="00F419CF">
        <w:rPr>
          <w:noProof/>
        </w:rPr>
      </w:r>
      <w:r w:rsidRPr="00F419CF">
        <w:rPr>
          <w:noProof/>
        </w:rPr>
        <w:fldChar w:fldCharType="separate"/>
      </w:r>
      <w:r w:rsidR="00A71CF0" w:rsidRPr="00F419CF">
        <w:rPr>
          <w:noProof/>
        </w:rPr>
        <w:t>1</w:t>
      </w:r>
      <w:r w:rsidRPr="00F419CF">
        <w:rPr>
          <w:noProof/>
        </w:rPr>
        <w:fldChar w:fldCharType="end"/>
      </w:r>
    </w:p>
    <w:p w14:paraId="2D115F63" w14:textId="77777777" w:rsidR="00067106" w:rsidRPr="00F419CF" w:rsidRDefault="00067106">
      <w:pPr>
        <w:pStyle w:val="TOC6"/>
        <w:rPr>
          <w:rFonts w:asciiTheme="minorHAnsi" w:eastAsiaTheme="minorEastAsia" w:hAnsiTheme="minorHAnsi" w:cstheme="minorBidi"/>
          <w:b w:val="0"/>
          <w:noProof/>
          <w:kern w:val="0"/>
          <w:sz w:val="22"/>
          <w:szCs w:val="22"/>
          <w:lang w:val="en-GB" w:eastAsia="en-GB"/>
        </w:rPr>
      </w:pPr>
      <w:r w:rsidRPr="00F419CF">
        <w:rPr>
          <w:noProof/>
        </w:rPr>
        <w:t>Schedule 1—Amendments</w:t>
      </w:r>
      <w:r w:rsidRPr="00F419CF">
        <w:rPr>
          <w:noProof/>
        </w:rPr>
        <w:tab/>
      </w:r>
      <w:r w:rsidRPr="00F419CF">
        <w:rPr>
          <w:noProof/>
        </w:rPr>
        <w:fldChar w:fldCharType="begin"/>
      </w:r>
      <w:r w:rsidRPr="00F419CF">
        <w:rPr>
          <w:noProof/>
        </w:rPr>
        <w:instrText xml:space="preserve"> PAGEREF _Toc36654929 \h </w:instrText>
      </w:r>
      <w:r w:rsidRPr="00F419CF">
        <w:rPr>
          <w:noProof/>
        </w:rPr>
      </w:r>
      <w:r w:rsidRPr="00F419CF">
        <w:rPr>
          <w:noProof/>
        </w:rPr>
        <w:fldChar w:fldCharType="separate"/>
      </w:r>
      <w:r w:rsidR="00A71CF0" w:rsidRPr="00F419CF">
        <w:rPr>
          <w:noProof/>
        </w:rPr>
        <w:t>2</w:t>
      </w:r>
      <w:r w:rsidRPr="00F419CF">
        <w:rPr>
          <w:noProof/>
        </w:rPr>
        <w:fldChar w:fldCharType="end"/>
      </w:r>
    </w:p>
    <w:p w14:paraId="0E85350E" w14:textId="77777777" w:rsidR="00067106" w:rsidRPr="00F419CF" w:rsidRDefault="00067106">
      <w:pPr>
        <w:pStyle w:val="TOC9"/>
        <w:rPr>
          <w:rFonts w:asciiTheme="minorHAnsi" w:eastAsiaTheme="minorEastAsia" w:hAnsiTheme="minorHAnsi" w:cstheme="minorBidi"/>
          <w:i w:val="0"/>
          <w:noProof/>
          <w:kern w:val="0"/>
          <w:sz w:val="22"/>
          <w:szCs w:val="22"/>
          <w:lang w:val="en-GB" w:eastAsia="en-GB"/>
        </w:rPr>
      </w:pPr>
      <w:r w:rsidRPr="00F419CF">
        <w:rPr>
          <w:noProof/>
        </w:rPr>
        <w:t>Health Insurance (Section 3C General Medical Services - COVID-19 Telehealth and Telephone Attendances) Determination 2020</w:t>
      </w:r>
      <w:r w:rsidRPr="00F419CF">
        <w:rPr>
          <w:noProof/>
        </w:rPr>
        <w:tab/>
      </w:r>
      <w:r w:rsidRPr="00F419CF">
        <w:rPr>
          <w:noProof/>
        </w:rPr>
        <w:fldChar w:fldCharType="begin"/>
      </w:r>
      <w:r w:rsidRPr="00F419CF">
        <w:rPr>
          <w:noProof/>
        </w:rPr>
        <w:instrText xml:space="preserve"> PAGEREF _Toc36654930 \h </w:instrText>
      </w:r>
      <w:r w:rsidRPr="00F419CF">
        <w:rPr>
          <w:noProof/>
        </w:rPr>
      </w:r>
      <w:r w:rsidRPr="00F419CF">
        <w:rPr>
          <w:noProof/>
        </w:rPr>
        <w:fldChar w:fldCharType="separate"/>
      </w:r>
      <w:r w:rsidR="00A71CF0" w:rsidRPr="00F419CF">
        <w:rPr>
          <w:noProof/>
        </w:rPr>
        <w:t>2</w:t>
      </w:r>
      <w:r w:rsidRPr="00F419CF">
        <w:rPr>
          <w:noProof/>
        </w:rPr>
        <w:fldChar w:fldCharType="end"/>
      </w:r>
    </w:p>
    <w:p w14:paraId="69F53096" w14:textId="77777777" w:rsidR="00B20990" w:rsidRPr="00F419CF" w:rsidRDefault="00B20990" w:rsidP="005E317F">
      <w:r w:rsidRPr="00F419CF">
        <w:rPr>
          <w:rFonts w:cs="Times New Roman"/>
          <w:sz w:val="20"/>
        </w:rPr>
        <w:fldChar w:fldCharType="end"/>
      </w:r>
    </w:p>
    <w:p w14:paraId="7E55C993" w14:textId="77777777" w:rsidR="00B20990" w:rsidRPr="00F419CF" w:rsidRDefault="00B20990" w:rsidP="00B20990"/>
    <w:p w14:paraId="3C22F980" w14:textId="77777777" w:rsidR="00B20990" w:rsidRPr="00F419CF" w:rsidRDefault="00B20990" w:rsidP="00B20990">
      <w:pPr>
        <w:sectPr w:rsidR="00B20990" w:rsidRPr="00F419CF" w:rsidSect="00DB5ADC">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24CA68F6" w14:textId="77777777" w:rsidR="005E317F" w:rsidRPr="00F419CF" w:rsidRDefault="005E317F" w:rsidP="005E317F">
      <w:pPr>
        <w:pStyle w:val="ActHead5"/>
      </w:pPr>
      <w:bookmarkStart w:id="1" w:name="_Toc36654925"/>
      <w:r w:rsidRPr="00F419CF">
        <w:rPr>
          <w:rStyle w:val="CharSectno"/>
        </w:rPr>
        <w:lastRenderedPageBreak/>
        <w:t>1</w:t>
      </w:r>
      <w:r w:rsidRPr="00F419CF">
        <w:t xml:space="preserve">  Name</w:t>
      </w:r>
      <w:bookmarkEnd w:id="1"/>
    </w:p>
    <w:p w14:paraId="04296775" w14:textId="4F0DF4B1" w:rsidR="005E317F" w:rsidRPr="00F419CF" w:rsidRDefault="005E317F" w:rsidP="005E317F">
      <w:pPr>
        <w:pStyle w:val="subsection"/>
      </w:pPr>
      <w:r w:rsidRPr="00F419CF">
        <w:tab/>
      </w:r>
      <w:r w:rsidRPr="00F419CF">
        <w:tab/>
        <w:t xml:space="preserve">This instrument is the </w:t>
      </w:r>
      <w:bookmarkStart w:id="2" w:name="BKCheck15B_3"/>
      <w:bookmarkEnd w:id="2"/>
      <w:r w:rsidR="00067106" w:rsidRPr="00F419CF">
        <w:rPr>
          <w:i/>
        </w:rPr>
        <w:t>Health Insurance (Section 3C General Medical Services – COVID-19 Telehealth and Telephone Attendances) Amendment (Expansion of Specialist Services) Determination 2020</w:t>
      </w:r>
      <w:r w:rsidRPr="00F419CF">
        <w:t>.</w:t>
      </w:r>
    </w:p>
    <w:p w14:paraId="4372AEEC" w14:textId="77777777" w:rsidR="005E317F" w:rsidRPr="00F419CF" w:rsidRDefault="005E317F" w:rsidP="005E317F">
      <w:pPr>
        <w:pStyle w:val="ActHead5"/>
      </w:pPr>
      <w:bookmarkStart w:id="3" w:name="_Toc36654926"/>
      <w:r w:rsidRPr="00F419CF">
        <w:rPr>
          <w:rStyle w:val="CharSectno"/>
        </w:rPr>
        <w:t>2</w:t>
      </w:r>
      <w:r w:rsidRPr="00F419CF">
        <w:t xml:space="preserve">  Commencement</w:t>
      </w:r>
      <w:bookmarkEnd w:id="3"/>
    </w:p>
    <w:p w14:paraId="21AD6F26" w14:textId="77777777" w:rsidR="00002BCC" w:rsidRPr="00F419CF" w:rsidRDefault="00002BCC" w:rsidP="00002BCC">
      <w:pPr>
        <w:pStyle w:val="subsection"/>
      </w:pPr>
      <w:r w:rsidRPr="00F419CF">
        <w:tab/>
        <w:t>(1)</w:t>
      </w:r>
      <w:r w:rsidRPr="00F419CF">
        <w:tab/>
        <w:t>Each provision of this instrument specified in column 1 of the table commences, or is taken to have commenced, in accordance with column 2 of the table. Any other statement in column 2 has effect according to its terms.</w:t>
      </w:r>
    </w:p>
    <w:p w14:paraId="158DCF5C" w14:textId="77777777" w:rsidR="00002BCC" w:rsidRPr="00F419CF"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471FE4" w:rsidRPr="00F419CF" w14:paraId="7596CBBA" w14:textId="77777777" w:rsidTr="00DB5ADC">
        <w:trPr>
          <w:tblHeader/>
        </w:trPr>
        <w:tc>
          <w:tcPr>
            <w:tcW w:w="8364" w:type="dxa"/>
            <w:gridSpan w:val="3"/>
            <w:tcBorders>
              <w:top w:val="single" w:sz="12" w:space="0" w:color="auto"/>
              <w:bottom w:val="single" w:sz="6" w:space="0" w:color="auto"/>
            </w:tcBorders>
            <w:shd w:val="clear" w:color="auto" w:fill="auto"/>
            <w:hideMark/>
          </w:tcPr>
          <w:p w14:paraId="7C58CBFE" w14:textId="77777777" w:rsidR="00002BCC" w:rsidRPr="00F419CF" w:rsidRDefault="00002BCC" w:rsidP="00DB5ADC">
            <w:pPr>
              <w:pStyle w:val="TableHeading"/>
            </w:pPr>
            <w:r w:rsidRPr="00F419CF">
              <w:t>Commencement information</w:t>
            </w:r>
          </w:p>
        </w:tc>
      </w:tr>
      <w:tr w:rsidR="00471FE4" w:rsidRPr="00F419CF" w14:paraId="105670F2" w14:textId="77777777" w:rsidTr="00DB5ADC">
        <w:trPr>
          <w:tblHeader/>
        </w:trPr>
        <w:tc>
          <w:tcPr>
            <w:tcW w:w="2127" w:type="dxa"/>
            <w:tcBorders>
              <w:top w:val="single" w:sz="6" w:space="0" w:color="auto"/>
              <w:bottom w:val="single" w:sz="6" w:space="0" w:color="auto"/>
            </w:tcBorders>
            <w:shd w:val="clear" w:color="auto" w:fill="auto"/>
            <w:hideMark/>
          </w:tcPr>
          <w:p w14:paraId="35129389" w14:textId="77777777" w:rsidR="00002BCC" w:rsidRPr="00F419CF" w:rsidRDefault="00002BCC" w:rsidP="00DB5ADC">
            <w:pPr>
              <w:pStyle w:val="TableHeading"/>
            </w:pPr>
            <w:r w:rsidRPr="00F419CF">
              <w:t>Column 1</w:t>
            </w:r>
          </w:p>
        </w:tc>
        <w:tc>
          <w:tcPr>
            <w:tcW w:w="4394" w:type="dxa"/>
            <w:tcBorders>
              <w:top w:val="single" w:sz="6" w:space="0" w:color="auto"/>
              <w:bottom w:val="single" w:sz="6" w:space="0" w:color="auto"/>
            </w:tcBorders>
            <w:shd w:val="clear" w:color="auto" w:fill="auto"/>
            <w:hideMark/>
          </w:tcPr>
          <w:p w14:paraId="24B2B714" w14:textId="77777777" w:rsidR="00002BCC" w:rsidRPr="00F419CF" w:rsidRDefault="00002BCC" w:rsidP="00DB5ADC">
            <w:pPr>
              <w:pStyle w:val="TableHeading"/>
            </w:pPr>
            <w:r w:rsidRPr="00F419CF">
              <w:t>Column 2</w:t>
            </w:r>
          </w:p>
        </w:tc>
        <w:tc>
          <w:tcPr>
            <w:tcW w:w="1843" w:type="dxa"/>
            <w:tcBorders>
              <w:top w:val="single" w:sz="6" w:space="0" w:color="auto"/>
              <w:bottom w:val="single" w:sz="6" w:space="0" w:color="auto"/>
            </w:tcBorders>
            <w:shd w:val="clear" w:color="auto" w:fill="auto"/>
            <w:hideMark/>
          </w:tcPr>
          <w:p w14:paraId="7726389A" w14:textId="77777777" w:rsidR="00002BCC" w:rsidRPr="00F419CF" w:rsidRDefault="00002BCC" w:rsidP="00DB5ADC">
            <w:pPr>
              <w:pStyle w:val="TableHeading"/>
            </w:pPr>
            <w:r w:rsidRPr="00F419CF">
              <w:t>Column 3</w:t>
            </w:r>
          </w:p>
        </w:tc>
      </w:tr>
      <w:tr w:rsidR="00471FE4" w:rsidRPr="00F419CF" w14:paraId="0FA80B9E" w14:textId="77777777" w:rsidTr="00DB5ADC">
        <w:trPr>
          <w:tblHeader/>
        </w:trPr>
        <w:tc>
          <w:tcPr>
            <w:tcW w:w="2127" w:type="dxa"/>
            <w:tcBorders>
              <w:top w:val="single" w:sz="6" w:space="0" w:color="auto"/>
              <w:bottom w:val="single" w:sz="12" w:space="0" w:color="auto"/>
            </w:tcBorders>
            <w:shd w:val="clear" w:color="auto" w:fill="auto"/>
            <w:hideMark/>
          </w:tcPr>
          <w:p w14:paraId="5F37B746" w14:textId="77777777" w:rsidR="00002BCC" w:rsidRPr="00F419CF" w:rsidRDefault="00002BCC" w:rsidP="00DB5ADC">
            <w:pPr>
              <w:pStyle w:val="TableHeading"/>
            </w:pPr>
            <w:r w:rsidRPr="00F419CF">
              <w:t>Provisions</w:t>
            </w:r>
          </w:p>
        </w:tc>
        <w:tc>
          <w:tcPr>
            <w:tcW w:w="4394" w:type="dxa"/>
            <w:tcBorders>
              <w:top w:val="single" w:sz="6" w:space="0" w:color="auto"/>
              <w:bottom w:val="single" w:sz="12" w:space="0" w:color="auto"/>
            </w:tcBorders>
            <w:shd w:val="clear" w:color="auto" w:fill="auto"/>
            <w:hideMark/>
          </w:tcPr>
          <w:p w14:paraId="777EDD94" w14:textId="77777777" w:rsidR="00002BCC" w:rsidRPr="00F419CF" w:rsidRDefault="00002BCC" w:rsidP="00DB5ADC">
            <w:pPr>
              <w:pStyle w:val="TableHeading"/>
            </w:pPr>
            <w:r w:rsidRPr="00F419CF">
              <w:t>Commencement</w:t>
            </w:r>
          </w:p>
        </w:tc>
        <w:tc>
          <w:tcPr>
            <w:tcW w:w="1843" w:type="dxa"/>
            <w:tcBorders>
              <w:top w:val="single" w:sz="6" w:space="0" w:color="auto"/>
              <w:bottom w:val="single" w:sz="12" w:space="0" w:color="auto"/>
            </w:tcBorders>
            <w:shd w:val="clear" w:color="auto" w:fill="auto"/>
            <w:hideMark/>
          </w:tcPr>
          <w:p w14:paraId="59077F35" w14:textId="77777777" w:rsidR="00002BCC" w:rsidRPr="00F419CF" w:rsidRDefault="00002BCC" w:rsidP="00DB5ADC">
            <w:pPr>
              <w:pStyle w:val="TableHeading"/>
            </w:pPr>
            <w:r w:rsidRPr="00F419CF">
              <w:t>Date/Details</w:t>
            </w:r>
          </w:p>
        </w:tc>
      </w:tr>
      <w:tr w:rsidR="00471FE4" w:rsidRPr="00F419CF" w14:paraId="3BC4CFD4" w14:textId="77777777" w:rsidTr="00DB5ADC">
        <w:tc>
          <w:tcPr>
            <w:tcW w:w="2127" w:type="dxa"/>
            <w:tcBorders>
              <w:top w:val="single" w:sz="12" w:space="0" w:color="auto"/>
              <w:bottom w:val="single" w:sz="12" w:space="0" w:color="auto"/>
            </w:tcBorders>
            <w:shd w:val="clear" w:color="auto" w:fill="auto"/>
            <w:hideMark/>
          </w:tcPr>
          <w:p w14:paraId="3CD26D70" w14:textId="3CCE72C2" w:rsidR="00002BCC" w:rsidRPr="00F419CF" w:rsidRDefault="00002BCC" w:rsidP="00C239E4">
            <w:pPr>
              <w:pStyle w:val="Tabletext"/>
            </w:pPr>
            <w:r w:rsidRPr="00F419CF">
              <w:t xml:space="preserve">1.  </w:t>
            </w:r>
            <w:r w:rsidR="00C239E4" w:rsidRPr="00F419CF">
              <w:t>The whole of this instrument.</w:t>
            </w:r>
          </w:p>
        </w:tc>
        <w:tc>
          <w:tcPr>
            <w:tcW w:w="4394" w:type="dxa"/>
            <w:tcBorders>
              <w:top w:val="single" w:sz="12" w:space="0" w:color="auto"/>
              <w:bottom w:val="single" w:sz="12" w:space="0" w:color="auto"/>
            </w:tcBorders>
            <w:shd w:val="clear" w:color="auto" w:fill="auto"/>
            <w:hideMark/>
          </w:tcPr>
          <w:p w14:paraId="6FBD2EA3" w14:textId="3426AA43" w:rsidR="00002BCC" w:rsidRPr="00F419CF" w:rsidRDefault="00D371F3" w:rsidP="00DB5ADC">
            <w:pPr>
              <w:pStyle w:val="Tabletext"/>
            </w:pPr>
            <w:r w:rsidRPr="00F419CF">
              <w:t xml:space="preserve">Immediately after the commencement of the </w:t>
            </w:r>
            <w:r w:rsidRPr="00F419CF">
              <w:rPr>
                <w:i/>
              </w:rPr>
              <w:t>Health Insurance (Section 3C General Medical Services – COVID-19 Telehealth and Telephone Attendances) Amendment (Bulk-billing) Determination 2020</w:t>
            </w:r>
            <w:r w:rsidRPr="00F419CF">
              <w:t xml:space="preserve">. </w:t>
            </w:r>
          </w:p>
        </w:tc>
        <w:tc>
          <w:tcPr>
            <w:tcW w:w="1843" w:type="dxa"/>
            <w:tcBorders>
              <w:top w:val="single" w:sz="12" w:space="0" w:color="auto"/>
              <w:bottom w:val="single" w:sz="12" w:space="0" w:color="auto"/>
            </w:tcBorders>
            <w:shd w:val="clear" w:color="auto" w:fill="auto"/>
          </w:tcPr>
          <w:p w14:paraId="47B311F5" w14:textId="4A5EA9C6" w:rsidR="00002BCC" w:rsidRPr="00F419CF" w:rsidRDefault="00002BCC" w:rsidP="00DB5ADC">
            <w:pPr>
              <w:pStyle w:val="Tabletext"/>
              <w:rPr>
                <w:i/>
              </w:rPr>
            </w:pPr>
          </w:p>
        </w:tc>
      </w:tr>
    </w:tbl>
    <w:p w14:paraId="0865BA1B" w14:textId="77777777" w:rsidR="00002BCC" w:rsidRPr="00F419CF" w:rsidRDefault="00002BCC" w:rsidP="00002BCC">
      <w:pPr>
        <w:pStyle w:val="notetext"/>
      </w:pPr>
      <w:r w:rsidRPr="00F419CF">
        <w:rPr>
          <w:snapToGrid w:val="0"/>
          <w:lang w:eastAsia="en-US"/>
        </w:rPr>
        <w:t>Note:</w:t>
      </w:r>
      <w:r w:rsidRPr="00F419CF">
        <w:rPr>
          <w:snapToGrid w:val="0"/>
          <w:lang w:eastAsia="en-US"/>
        </w:rPr>
        <w:tab/>
        <w:t>This table relates only to the provisions of this instrument</w:t>
      </w:r>
      <w:r w:rsidRPr="00F419CF">
        <w:t xml:space="preserve"> </w:t>
      </w:r>
      <w:r w:rsidRPr="00F419CF">
        <w:rPr>
          <w:snapToGrid w:val="0"/>
          <w:lang w:eastAsia="en-US"/>
        </w:rPr>
        <w:t>as originally made. It will not be amended to deal with any later amendments of this instrument.</w:t>
      </w:r>
    </w:p>
    <w:p w14:paraId="41A1593A" w14:textId="77777777" w:rsidR="00002BCC" w:rsidRPr="00F419CF" w:rsidRDefault="00002BCC" w:rsidP="00002BCC">
      <w:pPr>
        <w:pStyle w:val="subsection"/>
      </w:pPr>
      <w:r w:rsidRPr="00F419CF">
        <w:tab/>
        <w:t>(2)</w:t>
      </w:r>
      <w:r w:rsidRPr="00F419CF">
        <w:tab/>
        <w:t>Any information in column 3 of the table is not part of this instrument. Information may be inserted in this column, or information in it may be edited, in any published version of this instrument.</w:t>
      </w:r>
    </w:p>
    <w:p w14:paraId="65E8E17B" w14:textId="77777777" w:rsidR="005E317F" w:rsidRPr="00F419CF" w:rsidRDefault="005E317F" w:rsidP="005E317F">
      <w:pPr>
        <w:pStyle w:val="ActHead5"/>
      </w:pPr>
      <w:bookmarkStart w:id="4" w:name="_Toc36654927"/>
      <w:r w:rsidRPr="00F419CF">
        <w:rPr>
          <w:rStyle w:val="CharSectno"/>
        </w:rPr>
        <w:t>3</w:t>
      </w:r>
      <w:r w:rsidRPr="00F419CF">
        <w:t xml:space="preserve">  Authority</w:t>
      </w:r>
      <w:bookmarkEnd w:id="4"/>
    </w:p>
    <w:p w14:paraId="321F1C9A" w14:textId="0A7DEA03" w:rsidR="005E317F" w:rsidRPr="00F419CF" w:rsidRDefault="005E317F" w:rsidP="005E317F">
      <w:pPr>
        <w:pStyle w:val="subsection"/>
      </w:pPr>
      <w:r w:rsidRPr="00F419CF">
        <w:tab/>
      </w:r>
      <w:r w:rsidRPr="00F419CF">
        <w:tab/>
        <w:t xml:space="preserve">This instrument is made under </w:t>
      </w:r>
      <w:r w:rsidR="00C239E4" w:rsidRPr="00F419CF">
        <w:t xml:space="preserve">subsection 3C(1) of the </w:t>
      </w:r>
      <w:r w:rsidR="00C239E4" w:rsidRPr="00F419CF">
        <w:rPr>
          <w:i/>
        </w:rPr>
        <w:t>Health Insurance Act 1973</w:t>
      </w:r>
      <w:r w:rsidR="00C239E4" w:rsidRPr="00F419CF">
        <w:t xml:space="preserve">. </w:t>
      </w:r>
    </w:p>
    <w:p w14:paraId="6E990F84" w14:textId="77777777" w:rsidR="005E317F" w:rsidRPr="00F419CF" w:rsidRDefault="005E317F" w:rsidP="005E317F">
      <w:pPr>
        <w:pStyle w:val="ActHead5"/>
      </w:pPr>
      <w:bookmarkStart w:id="5" w:name="_Toc36654928"/>
      <w:r w:rsidRPr="00F419CF">
        <w:t>4  Schedules</w:t>
      </w:r>
      <w:bookmarkEnd w:id="5"/>
    </w:p>
    <w:p w14:paraId="00F5376A" w14:textId="77777777" w:rsidR="005E317F" w:rsidRPr="00F419CF" w:rsidRDefault="005E317F" w:rsidP="005E317F">
      <w:pPr>
        <w:pStyle w:val="subsection"/>
      </w:pPr>
      <w:r w:rsidRPr="00F419CF">
        <w:tab/>
      </w:r>
      <w:r w:rsidRPr="00F419CF">
        <w:tab/>
        <w:t>Each instrument that is specified in a Schedule to this instrument is amended or repealed as set out in the applicable items in the Schedule concerned, and any other item in a Schedule to this instrument has effect according to its terms.</w:t>
      </w:r>
    </w:p>
    <w:p w14:paraId="5A5B85BE" w14:textId="77777777" w:rsidR="005E317F" w:rsidRPr="00F419CF" w:rsidRDefault="005E317F" w:rsidP="005E317F">
      <w:pPr>
        <w:pStyle w:val="ActHead6"/>
        <w:pageBreakBefore/>
      </w:pPr>
      <w:bookmarkStart w:id="6" w:name="_Toc36654929"/>
      <w:r w:rsidRPr="00F419CF">
        <w:rPr>
          <w:rStyle w:val="CharAmSchNo"/>
        </w:rPr>
        <w:lastRenderedPageBreak/>
        <w:t>Schedule 1</w:t>
      </w:r>
      <w:r w:rsidRPr="00F419CF">
        <w:t>—</w:t>
      </w:r>
      <w:r w:rsidRPr="00F419CF">
        <w:rPr>
          <w:rStyle w:val="CharAmSchText"/>
        </w:rPr>
        <w:t>Amendments</w:t>
      </w:r>
      <w:bookmarkEnd w:id="6"/>
    </w:p>
    <w:p w14:paraId="0426B89F" w14:textId="60C4EA20" w:rsidR="005E317F" w:rsidRPr="00F419CF" w:rsidRDefault="0061709B" w:rsidP="00D2692A">
      <w:pPr>
        <w:pStyle w:val="ActHead9"/>
        <w:ind w:left="0" w:firstLine="0"/>
      </w:pPr>
      <w:bookmarkStart w:id="7" w:name="_Toc36654930"/>
      <w:r w:rsidRPr="00F419CF">
        <w:t>Health Insurance (Section 3C General Medical Services - COVID-19 Telehealth and Telephone Attendances) Determination 2020</w:t>
      </w:r>
      <w:bookmarkEnd w:id="7"/>
    </w:p>
    <w:p w14:paraId="08E12BC3" w14:textId="3F8B837A" w:rsidR="00DE59FC" w:rsidRPr="00F419CF" w:rsidRDefault="00DE59FC" w:rsidP="00DE59FC">
      <w:pPr>
        <w:pStyle w:val="ItemHead"/>
      </w:pPr>
      <w:bookmarkStart w:id="8" w:name="_Toc33794621"/>
      <w:r w:rsidRPr="00F419CF">
        <w:t>1  Section 5 (note</w:t>
      </w:r>
      <w:r w:rsidR="00417350" w:rsidRPr="00F419CF">
        <w:t xml:space="preserve">, after </w:t>
      </w:r>
      <w:r w:rsidR="00417350" w:rsidRPr="00F419CF">
        <w:rPr>
          <w:i/>
        </w:rPr>
        <w:t>clinically relevant service</w:t>
      </w:r>
      <w:r w:rsidRPr="00F419CF">
        <w:t>)</w:t>
      </w:r>
    </w:p>
    <w:p w14:paraId="75927128" w14:textId="77777777" w:rsidR="00417350" w:rsidRPr="00F419CF" w:rsidRDefault="00417350" w:rsidP="00417350">
      <w:pPr>
        <w:pStyle w:val="Item"/>
      </w:pPr>
      <w:r w:rsidRPr="00F419CF">
        <w:t>Insert:</w:t>
      </w:r>
    </w:p>
    <w:p w14:paraId="41588984" w14:textId="73B0BA11" w:rsidR="00DE59FC" w:rsidRPr="00F419CF" w:rsidRDefault="00DE59FC" w:rsidP="00993B86">
      <w:pPr>
        <w:pStyle w:val="Item"/>
        <w:numPr>
          <w:ilvl w:val="0"/>
          <w:numId w:val="17"/>
        </w:numPr>
      </w:pPr>
      <w:r w:rsidRPr="00F419CF">
        <w:t>consultant physician</w:t>
      </w:r>
    </w:p>
    <w:p w14:paraId="42136F8A" w14:textId="3145A864" w:rsidR="008C6CAB" w:rsidRPr="00F419CF" w:rsidRDefault="00A954E4" w:rsidP="008C6CAB">
      <w:pPr>
        <w:pStyle w:val="ItemHead"/>
      </w:pPr>
      <w:r w:rsidRPr="00F419CF">
        <w:t>2</w:t>
      </w:r>
      <w:r w:rsidR="008C6CAB" w:rsidRPr="00F419CF">
        <w:t xml:space="preserve">  Subsection 5(1) (definition of </w:t>
      </w:r>
      <w:r w:rsidR="008C6CAB" w:rsidRPr="00F419CF">
        <w:rPr>
          <w:i/>
        </w:rPr>
        <w:t>psychiatrist assessment and management plan</w:t>
      </w:r>
      <w:r w:rsidR="008C6CAB" w:rsidRPr="00F419CF">
        <w:t>)</w:t>
      </w:r>
    </w:p>
    <w:p w14:paraId="7EAAE156" w14:textId="2E50548D" w:rsidR="008C6CAB" w:rsidRPr="00F419CF" w:rsidRDefault="008C6CAB" w:rsidP="008C6CAB">
      <w:pPr>
        <w:pStyle w:val="Item"/>
      </w:pPr>
      <w:r w:rsidRPr="00F419CF">
        <w:t>Omit “</w:t>
      </w:r>
      <w:r w:rsidR="00480DD7" w:rsidRPr="00F419CF">
        <w:t xml:space="preserve">under item </w:t>
      </w:r>
      <w:r w:rsidRPr="00F419CF">
        <w:t>291</w:t>
      </w:r>
      <w:r w:rsidR="00480DD7" w:rsidRPr="00F419CF">
        <w:t>”, substitute</w:t>
      </w:r>
      <w:r w:rsidRPr="00F419CF">
        <w:t xml:space="preserve"> “</w:t>
      </w:r>
      <w:r w:rsidR="00480DD7" w:rsidRPr="00F419CF">
        <w:t xml:space="preserve">made under item </w:t>
      </w:r>
      <w:r w:rsidRPr="00F419CF">
        <w:t>92435 or 92475</w:t>
      </w:r>
      <w:r w:rsidR="00800BEB" w:rsidRPr="00F419CF">
        <w:t xml:space="preserve"> in this </w:t>
      </w:r>
      <w:r w:rsidR="00993B86" w:rsidRPr="00F419CF">
        <w:t>instrument</w:t>
      </w:r>
      <w:r w:rsidR="00800BEB" w:rsidRPr="00F419CF">
        <w:t xml:space="preserve"> or item 291</w:t>
      </w:r>
      <w:r w:rsidRPr="00F419CF">
        <w:t>”.</w:t>
      </w:r>
    </w:p>
    <w:p w14:paraId="7CA07733" w14:textId="70AFDD72" w:rsidR="00DE59FC" w:rsidRPr="00F419CF" w:rsidRDefault="00770C08" w:rsidP="00DE59FC">
      <w:pPr>
        <w:pStyle w:val="ItemHead"/>
      </w:pPr>
      <w:r w:rsidRPr="00F419CF">
        <w:t>3</w:t>
      </w:r>
      <w:r w:rsidR="00DE59FC" w:rsidRPr="00F419CF">
        <w:t xml:space="preserve">  Subsection 5(1)</w:t>
      </w:r>
    </w:p>
    <w:p w14:paraId="3309CF19" w14:textId="4457F494" w:rsidR="00DE59FC" w:rsidRPr="00F419CF" w:rsidRDefault="00DE59FC" w:rsidP="00DE59FC">
      <w:pPr>
        <w:pStyle w:val="Item"/>
      </w:pPr>
      <w:r w:rsidRPr="00F419CF">
        <w:t>Insert:</w:t>
      </w:r>
    </w:p>
    <w:p w14:paraId="6B354B46" w14:textId="46C55536" w:rsidR="0061709B" w:rsidRPr="00F419CF" w:rsidRDefault="00C239E4" w:rsidP="0061709B">
      <w:pPr>
        <w:pStyle w:val="Definition"/>
      </w:pPr>
      <w:r w:rsidRPr="00F419CF">
        <w:rPr>
          <w:b/>
          <w:i/>
        </w:rPr>
        <w:t>s</w:t>
      </w:r>
      <w:r w:rsidR="0061709B" w:rsidRPr="00F419CF">
        <w:rPr>
          <w:b/>
          <w:i/>
        </w:rPr>
        <w:t xml:space="preserve">ingle course of treatment </w:t>
      </w:r>
      <w:r w:rsidRPr="00F419CF">
        <w:t>has the meaning given by</w:t>
      </w:r>
      <w:r w:rsidR="0061709B" w:rsidRPr="00F419CF">
        <w:t xml:space="preserve"> clause 1.1.5 of the general medical services table. </w:t>
      </w:r>
    </w:p>
    <w:p w14:paraId="55BAAA40" w14:textId="6A909ED2" w:rsidR="008C6CAB" w:rsidRPr="00F419CF" w:rsidRDefault="0093791F" w:rsidP="008C6CAB">
      <w:pPr>
        <w:pStyle w:val="ItemHead"/>
      </w:pPr>
      <w:r w:rsidRPr="00F419CF">
        <w:t>4</w:t>
      </w:r>
      <w:r w:rsidR="008C6CAB" w:rsidRPr="00F419CF">
        <w:t xml:space="preserve">  Subclause 1.1.10(2) of Division </w:t>
      </w:r>
      <w:r w:rsidR="00800BEB" w:rsidRPr="00F419CF">
        <w:t>1</w:t>
      </w:r>
      <w:r w:rsidR="008C6CAB" w:rsidRPr="00F419CF">
        <w:t xml:space="preserve">.1 of Schedule </w:t>
      </w:r>
      <w:r w:rsidR="00800BEB" w:rsidRPr="00F419CF">
        <w:t>1</w:t>
      </w:r>
    </w:p>
    <w:p w14:paraId="3C8CB9BC" w14:textId="3914C96D" w:rsidR="00551145" w:rsidRPr="00F419CF" w:rsidRDefault="008C6CAB" w:rsidP="008C6CAB">
      <w:pPr>
        <w:pStyle w:val="Item"/>
      </w:pPr>
      <w:r w:rsidRPr="00F419CF">
        <w:t>Omit “</w:t>
      </w:r>
      <w:r w:rsidR="002118A4" w:rsidRPr="00F419CF">
        <w:t>Subgroup 17 or 18 of Group A40 or items 135, 137, 139 or 289 of the general medical services table</w:t>
      </w:r>
      <w:r w:rsidR="00551145" w:rsidRPr="00F419CF">
        <w:t xml:space="preserve"> has previously been provided to the patient.”,</w:t>
      </w:r>
      <w:r w:rsidRPr="00F419CF">
        <w:t xml:space="preserve"> insert</w:t>
      </w:r>
      <w:r w:rsidR="00551145" w:rsidRPr="00F419CF">
        <w:t>:</w:t>
      </w:r>
      <w:r w:rsidRPr="00F419CF">
        <w:t xml:space="preserve"> </w:t>
      </w:r>
    </w:p>
    <w:p w14:paraId="70E7F2E3" w14:textId="1FB2924A" w:rsidR="00551145" w:rsidRPr="00F419CF" w:rsidRDefault="008C6CAB" w:rsidP="008C6CAB">
      <w:pPr>
        <w:pStyle w:val="Item"/>
      </w:pPr>
      <w:r w:rsidRPr="00F419CF">
        <w:t>“</w:t>
      </w:r>
      <w:r w:rsidR="00551145" w:rsidRPr="00F419CF">
        <w:t>any of the following items has previously been provided to the patient:</w:t>
      </w:r>
    </w:p>
    <w:p w14:paraId="18E2BEA5" w14:textId="4858EB8D" w:rsidR="00551145" w:rsidRPr="00F419CF" w:rsidRDefault="00551145" w:rsidP="00551145">
      <w:pPr>
        <w:pStyle w:val="Definition"/>
        <w:keepNext/>
        <w:keepLines/>
        <w:numPr>
          <w:ilvl w:val="0"/>
          <w:numId w:val="19"/>
        </w:numPr>
        <w:ind w:left="1633" w:hanging="357"/>
      </w:pPr>
      <w:r w:rsidRPr="00F419CF">
        <w:t>an item in Subgroup 17 or 18 of Group A40; or</w:t>
      </w:r>
    </w:p>
    <w:p w14:paraId="4DB88746" w14:textId="38D26609" w:rsidR="00551145" w:rsidRPr="00F419CF" w:rsidRDefault="00551145" w:rsidP="00551145">
      <w:pPr>
        <w:pStyle w:val="Definition"/>
        <w:keepNext/>
        <w:keepLines/>
        <w:numPr>
          <w:ilvl w:val="0"/>
          <w:numId w:val="19"/>
        </w:numPr>
        <w:ind w:left="1633" w:hanging="357"/>
      </w:pPr>
      <w:r w:rsidRPr="00F419CF">
        <w:t>item 92434 or 92474; or</w:t>
      </w:r>
    </w:p>
    <w:p w14:paraId="3B2A7646" w14:textId="21079D72" w:rsidR="00551145" w:rsidRPr="00F419CF" w:rsidRDefault="00551145" w:rsidP="00551145">
      <w:pPr>
        <w:pStyle w:val="Definition"/>
        <w:keepNext/>
        <w:keepLines/>
        <w:numPr>
          <w:ilvl w:val="0"/>
          <w:numId w:val="19"/>
        </w:numPr>
        <w:ind w:left="1633" w:hanging="357"/>
      </w:pPr>
      <w:r w:rsidRPr="00F419CF">
        <w:t>item 135, 137, 139 or 289 of the general medical services table.”</w:t>
      </w:r>
    </w:p>
    <w:p w14:paraId="0C2D3DA3" w14:textId="62FF1F56" w:rsidR="008C6CAB" w:rsidRPr="00F419CF" w:rsidRDefault="0093791F" w:rsidP="008C6CAB">
      <w:pPr>
        <w:pStyle w:val="ItemHead"/>
      </w:pPr>
      <w:r w:rsidRPr="00F419CF">
        <w:t>5</w:t>
      </w:r>
      <w:r w:rsidR="008C6CAB" w:rsidRPr="00F419CF">
        <w:t xml:space="preserve">  Paragraph 1.1.11(7)(b) of Division 1.1 of Schedule 1</w:t>
      </w:r>
    </w:p>
    <w:p w14:paraId="74B8B5F8" w14:textId="34A3E165" w:rsidR="00856BDC" w:rsidRPr="00F419CF" w:rsidRDefault="008C6CAB" w:rsidP="00856BDC">
      <w:pPr>
        <w:pStyle w:val="Item"/>
      </w:pPr>
      <w:r w:rsidRPr="00F419CF">
        <w:t>Omit “</w:t>
      </w:r>
      <w:r w:rsidR="00ED7A6C" w:rsidRPr="00F419CF">
        <w:t>under item 291 of the general medical services table</w:t>
      </w:r>
      <w:r w:rsidRPr="00F419CF">
        <w:t>”</w:t>
      </w:r>
      <w:r w:rsidR="00ED7A6C" w:rsidRPr="00F419CF">
        <w:t>.</w:t>
      </w:r>
    </w:p>
    <w:p w14:paraId="376D95B3" w14:textId="7D5338A6" w:rsidR="00856BDC" w:rsidRPr="00F419CF" w:rsidRDefault="0093791F" w:rsidP="00856BDC">
      <w:pPr>
        <w:pStyle w:val="ItemHead"/>
      </w:pPr>
      <w:r w:rsidRPr="00F419CF">
        <w:t>6</w:t>
      </w:r>
      <w:r w:rsidR="00856BDC" w:rsidRPr="00F419CF">
        <w:t xml:space="preserve">  Subclause 1.1.12(2) of Division 1.1 of Schedule 1 (table items 92114, 92120, 92126 and 92132)</w:t>
      </w:r>
    </w:p>
    <w:p w14:paraId="279DF76A" w14:textId="1DC54990" w:rsidR="00856BDC" w:rsidRPr="00F419CF" w:rsidRDefault="00856BDC" w:rsidP="00856BDC">
      <w:pPr>
        <w:pStyle w:val="Item"/>
      </w:pPr>
      <w:r w:rsidRPr="00F419CF">
        <w:t>Omit “Psychiatrist Assessment and Management Plan”, insert “psychiatrist assessment and management plan”.</w:t>
      </w:r>
    </w:p>
    <w:bookmarkEnd w:id="8"/>
    <w:p w14:paraId="217ADAAF" w14:textId="331FC403" w:rsidR="00856BDC" w:rsidRPr="00F419CF" w:rsidRDefault="0093791F" w:rsidP="00856BDC">
      <w:pPr>
        <w:pStyle w:val="ItemHead"/>
      </w:pPr>
      <w:r w:rsidRPr="00F419CF">
        <w:t>7</w:t>
      </w:r>
      <w:r w:rsidR="00856BDC" w:rsidRPr="00F419CF">
        <w:t xml:space="preserve">  Subclause (1) of Division 2.1 of Schedule 2</w:t>
      </w:r>
    </w:p>
    <w:p w14:paraId="277DD5EB" w14:textId="62D47767" w:rsidR="00856BDC" w:rsidRPr="00F419CF" w:rsidRDefault="00856BDC" w:rsidP="000C16E4">
      <w:pPr>
        <w:pStyle w:val="Item"/>
      </w:pPr>
      <w:r w:rsidRPr="00F419CF">
        <w:t xml:space="preserve">Repeal the subclause. </w:t>
      </w:r>
    </w:p>
    <w:p w14:paraId="6815E834" w14:textId="3BACFF3D" w:rsidR="00C12355" w:rsidRPr="00F419CF" w:rsidRDefault="0093791F" w:rsidP="00C12355">
      <w:pPr>
        <w:pStyle w:val="ItemHead"/>
      </w:pPr>
      <w:r w:rsidRPr="00F419CF">
        <w:t>8</w:t>
      </w:r>
      <w:r w:rsidR="00C12355" w:rsidRPr="00F419CF">
        <w:t xml:space="preserve">  Subclause 2.1.1(1) of Division 2.1 of Schedule 2</w:t>
      </w:r>
    </w:p>
    <w:p w14:paraId="72DADE01" w14:textId="419CC6FF" w:rsidR="008C6CAB" w:rsidRPr="00F419CF" w:rsidRDefault="00C12355" w:rsidP="008C6CAB">
      <w:pPr>
        <w:pStyle w:val="Item"/>
      </w:pPr>
      <w:r w:rsidRPr="00F419CF">
        <w:t xml:space="preserve">Omit </w:t>
      </w:r>
      <w:r w:rsidR="008C6CAB" w:rsidRPr="00F419CF">
        <w:t>“or 26”, substitute “26 or 32”.</w:t>
      </w:r>
    </w:p>
    <w:p w14:paraId="5295B5F9" w14:textId="07572B63" w:rsidR="006761FC" w:rsidRPr="00F419CF" w:rsidRDefault="0093791F" w:rsidP="006761FC">
      <w:pPr>
        <w:pStyle w:val="ItemHead"/>
      </w:pPr>
      <w:r w:rsidRPr="00F419CF">
        <w:t>9</w:t>
      </w:r>
      <w:r w:rsidR="006761FC" w:rsidRPr="00F419CF">
        <w:t xml:space="preserve">  At the end of clause 2.1.1 of Division 2.1 of Schedule 2</w:t>
      </w:r>
    </w:p>
    <w:p w14:paraId="1E06CDF5" w14:textId="021DD852" w:rsidR="006761FC" w:rsidRPr="00F419CF" w:rsidRDefault="006761FC" w:rsidP="00E6528E">
      <w:pPr>
        <w:pStyle w:val="Item"/>
      </w:pPr>
      <w:r w:rsidRPr="00F419CF">
        <w:t>Insert:</w:t>
      </w:r>
    </w:p>
    <w:p w14:paraId="17DF7EEC" w14:textId="440CF188" w:rsidR="006E45FB" w:rsidRPr="00F419CF" w:rsidRDefault="006E45FB" w:rsidP="006E45FB">
      <w:pPr>
        <w:pStyle w:val="subsection"/>
      </w:pPr>
      <w:r w:rsidRPr="00F419CF">
        <w:lastRenderedPageBreak/>
        <w:tab/>
      </w:r>
      <w:r w:rsidR="00E6528E" w:rsidRPr="00F419CF">
        <w:t>(2</w:t>
      </w:r>
      <w:r w:rsidRPr="00F419CF">
        <w:t>)</w:t>
      </w:r>
      <w:r w:rsidRPr="00F419CF">
        <w:tab/>
        <w:t xml:space="preserve">In items </w:t>
      </w:r>
      <w:r w:rsidR="007F587A" w:rsidRPr="00F419CF">
        <w:t>92434 and 92474</w:t>
      </w:r>
      <w:r w:rsidRPr="00F419CF">
        <w:t xml:space="preserve">:  </w:t>
      </w:r>
    </w:p>
    <w:p w14:paraId="7414E718" w14:textId="77777777" w:rsidR="006E45FB" w:rsidRPr="00F419CF" w:rsidRDefault="006E45FB" w:rsidP="006E45FB">
      <w:pPr>
        <w:pStyle w:val="Definition"/>
      </w:pPr>
      <w:r w:rsidRPr="00F419CF">
        <w:rPr>
          <w:b/>
          <w:i/>
        </w:rPr>
        <w:t>eligible allied health provider</w:t>
      </w:r>
      <w:r w:rsidRPr="00F419CF">
        <w:t xml:space="preserve"> has the meaning given in clause 2.11.5 of the general medical services table. </w:t>
      </w:r>
    </w:p>
    <w:p w14:paraId="78455BCB" w14:textId="29F6611F" w:rsidR="006E45FB" w:rsidRPr="00F419CF" w:rsidRDefault="006E45FB" w:rsidP="00C12355">
      <w:pPr>
        <w:pStyle w:val="Definition"/>
      </w:pPr>
      <w:r w:rsidRPr="00F419CF">
        <w:rPr>
          <w:b/>
          <w:i/>
          <w:lang w:eastAsia="en-US"/>
        </w:rPr>
        <w:t>risk assessment</w:t>
      </w:r>
      <w:r w:rsidRPr="00F419CF">
        <w:rPr>
          <w:b/>
          <w:i/>
        </w:rPr>
        <w:t xml:space="preserve"> </w:t>
      </w:r>
      <w:r w:rsidRPr="00F419CF">
        <w:t xml:space="preserve">has the meaning given in clause 2.11.5 of the general medical services table. </w:t>
      </w:r>
    </w:p>
    <w:p w14:paraId="0617ECED" w14:textId="466B0AB4" w:rsidR="006761FC" w:rsidRPr="00F419CF" w:rsidRDefault="0093791F" w:rsidP="006761FC">
      <w:pPr>
        <w:pStyle w:val="ItemHead"/>
      </w:pPr>
      <w:r w:rsidRPr="00F419CF">
        <w:t>10</w:t>
      </w:r>
      <w:r w:rsidR="006761FC" w:rsidRPr="00F419CF">
        <w:t xml:space="preserve"> Schedule 2 (after item 91826)</w:t>
      </w:r>
    </w:p>
    <w:p w14:paraId="5EE8E70F" w14:textId="77777777" w:rsidR="006761FC" w:rsidRPr="00F419CF" w:rsidRDefault="006761FC" w:rsidP="006761FC">
      <w:pPr>
        <w:pStyle w:val="Item"/>
      </w:pPr>
      <w:r w:rsidRPr="00F419CF">
        <w:t>Insert:</w:t>
      </w:r>
    </w:p>
    <w:p w14:paraId="27F515AC" w14:textId="77777777" w:rsidR="006761FC" w:rsidRPr="00F419CF" w:rsidRDefault="006761FC" w:rsidP="006761FC">
      <w:pPr>
        <w:pStyle w:val="Tabletext"/>
      </w:pPr>
    </w:p>
    <w:tbl>
      <w:tblPr>
        <w:tblW w:w="4909" w:type="pct"/>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1120"/>
        <w:gridCol w:w="5798"/>
        <w:gridCol w:w="1244"/>
      </w:tblGrid>
      <w:tr w:rsidR="00471FE4" w:rsidRPr="00F419CF" w14:paraId="09FC6809" w14:textId="77777777" w:rsidTr="00B60801">
        <w:trPr>
          <w:trHeight w:val="549"/>
        </w:trPr>
        <w:tc>
          <w:tcPr>
            <w:tcW w:w="686" w:type="pct"/>
            <w:tcBorders>
              <w:top w:val="single" w:sz="2" w:space="0" w:color="auto"/>
              <w:left w:val="nil"/>
              <w:bottom w:val="single" w:sz="2" w:space="0" w:color="auto"/>
              <w:right w:val="nil"/>
            </w:tcBorders>
            <w:shd w:val="clear" w:color="auto" w:fill="auto"/>
            <w:hideMark/>
          </w:tcPr>
          <w:p w14:paraId="05519029" w14:textId="77777777" w:rsidR="006761FC" w:rsidRPr="00F419CF" w:rsidRDefault="006761FC" w:rsidP="00B60801">
            <w:pPr>
              <w:pStyle w:val="Tabletext"/>
            </w:pPr>
            <w:bookmarkStart w:id="9" w:name="CU_362411"/>
            <w:bookmarkStart w:id="10" w:name="CU_1165895"/>
            <w:bookmarkEnd w:id="9"/>
            <w:bookmarkEnd w:id="10"/>
            <w:r w:rsidRPr="00F419CF">
              <w:t xml:space="preserve">92422 </w:t>
            </w:r>
          </w:p>
          <w:p w14:paraId="004D3E8E" w14:textId="2EFDE47D" w:rsidR="00B62E06" w:rsidRPr="00F419CF" w:rsidRDefault="00B62E06" w:rsidP="00B60801">
            <w:pPr>
              <w:pStyle w:val="Tabletext"/>
            </w:pPr>
          </w:p>
        </w:tc>
        <w:tc>
          <w:tcPr>
            <w:tcW w:w="3552" w:type="pct"/>
            <w:tcBorders>
              <w:top w:val="single" w:sz="2" w:space="0" w:color="auto"/>
              <w:left w:val="nil"/>
              <w:bottom w:val="single" w:sz="2" w:space="0" w:color="auto"/>
              <w:right w:val="nil"/>
            </w:tcBorders>
            <w:shd w:val="clear" w:color="auto" w:fill="auto"/>
            <w:hideMark/>
          </w:tcPr>
          <w:p w14:paraId="2E65839C" w14:textId="77777777" w:rsidR="006761FC" w:rsidRPr="00F419CF" w:rsidRDefault="006761FC" w:rsidP="00B60801">
            <w:pPr>
              <w:pStyle w:val="Tabletext"/>
            </w:pPr>
            <w:r w:rsidRPr="00F419CF">
              <w:t>Telehealth attendance by a consultant physician in the practice of the consultant physician’s specialty (other than psychiatry) of at least 45 minutes in duration for an initial assessment of a patient with at least 2 morbidities (which may include complex congenital, developmental and behavioural disorders) following referral of the patient to the consultant physician by a referring practitioner, if:</w:t>
            </w:r>
          </w:p>
          <w:p w14:paraId="0776D018" w14:textId="77777777" w:rsidR="006761FC" w:rsidRPr="00F419CF" w:rsidRDefault="006761FC" w:rsidP="00B60801">
            <w:pPr>
              <w:pStyle w:val="Tablea"/>
            </w:pPr>
            <w:r w:rsidRPr="00F419CF">
              <w:t>(a) an assessment is undertaken that covers:</w:t>
            </w:r>
          </w:p>
          <w:p w14:paraId="7419D11A" w14:textId="77777777" w:rsidR="006761FC" w:rsidRPr="00F419CF" w:rsidRDefault="006761FC" w:rsidP="00B60801">
            <w:pPr>
              <w:pStyle w:val="Tablei"/>
            </w:pPr>
            <w:r w:rsidRPr="00F419CF">
              <w:t>(i) a comprehensive history, including psychosocial history and medication review; and</w:t>
            </w:r>
          </w:p>
          <w:p w14:paraId="1D77CEFB" w14:textId="77777777" w:rsidR="006761FC" w:rsidRPr="00F419CF" w:rsidRDefault="006761FC" w:rsidP="00B60801">
            <w:pPr>
              <w:pStyle w:val="Tablei"/>
            </w:pPr>
            <w:r w:rsidRPr="00F419CF">
              <w:t>(ii) comprehensive multi or detailed single organ system assessment; and</w:t>
            </w:r>
          </w:p>
          <w:p w14:paraId="184C2277" w14:textId="77777777" w:rsidR="006761FC" w:rsidRPr="00F419CF" w:rsidRDefault="006761FC" w:rsidP="00B60801">
            <w:pPr>
              <w:pStyle w:val="Tablei"/>
            </w:pPr>
            <w:r w:rsidRPr="00F419CF">
              <w:t>(iii) the formulation of differential diagnoses; and</w:t>
            </w:r>
          </w:p>
          <w:p w14:paraId="3BD2FA4F" w14:textId="77777777" w:rsidR="006761FC" w:rsidRPr="00F419CF" w:rsidRDefault="006761FC" w:rsidP="00B60801">
            <w:pPr>
              <w:pStyle w:val="Tablea"/>
            </w:pPr>
            <w:r w:rsidRPr="00F419CF">
              <w:t>(b) a consultant physician treatment and management plan of significant complexity is prepared and provided to the referring practitioner, which involves:</w:t>
            </w:r>
          </w:p>
          <w:p w14:paraId="27D982B1" w14:textId="77777777" w:rsidR="006761FC" w:rsidRPr="00F419CF" w:rsidRDefault="006761FC" w:rsidP="00B60801">
            <w:pPr>
              <w:pStyle w:val="Tablei"/>
            </w:pPr>
            <w:r w:rsidRPr="00F419CF">
              <w:t>(i) an opinion on diagnosis and risk assessment; and</w:t>
            </w:r>
          </w:p>
          <w:p w14:paraId="5E77798B" w14:textId="77777777" w:rsidR="006761FC" w:rsidRPr="00F419CF" w:rsidRDefault="006761FC" w:rsidP="00B60801">
            <w:pPr>
              <w:pStyle w:val="Tablei"/>
            </w:pPr>
            <w:r w:rsidRPr="00F419CF">
              <w:t>(ii) treatment options and decisions; and</w:t>
            </w:r>
          </w:p>
          <w:p w14:paraId="287EC102" w14:textId="77777777" w:rsidR="006761FC" w:rsidRPr="00F419CF" w:rsidRDefault="006761FC" w:rsidP="00B60801">
            <w:pPr>
              <w:pStyle w:val="Tablei"/>
            </w:pPr>
            <w:r w:rsidRPr="00F419CF">
              <w:t>(iii) medication recommendations; and</w:t>
            </w:r>
          </w:p>
          <w:p w14:paraId="21BF38B4" w14:textId="0EA5FBEB" w:rsidR="006761FC" w:rsidRPr="00F419CF" w:rsidRDefault="006761FC" w:rsidP="00B60801">
            <w:pPr>
              <w:pStyle w:val="Tablea"/>
            </w:pPr>
            <w:r w:rsidRPr="00F419CF">
              <w:t>(c) an attendance on the patient to which item </w:t>
            </w:r>
            <w:r w:rsidR="007F587A" w:rsidRPr="00F419CF">
              <w:t>110, 116, 119, 91824, 91834, 91825, 91835, 91826 or 91836</w:t>
            </w:r>
            <w:r w:rsidRPr="00F419CF">
              <w:t xml:space="preserve"> applies did not take place on the same day by the same consultant physician; and</w:t>
            </w:r>
          </w:p>
          <w:p w14:paraId="3FEF161A" w14:textId="6A95ED1C" w:rsidR="006761FC" w:rsidRPr="00F419CF" w:rsidRDefault="006761FC" w:rsidP="00B60801">
            <w:pPr>
              <w:pStyle w:val="Tablea"/>
            </w:pPr>
            <w:r w:rsidRPr="00F419CF">
              <w:t xml:space="preserve">(d) this item </w:t>
            </w:r>
            <w:r w:rsidR="007F587A" w:rsidRPr="00F419CF">
              <w:t>or item 132 or 92431</w:t>
            </w:r>
            <w:r w:rsidRPr="00F419CF">
              <w:t xml:space="preserve"> has not applied to an attendance on the patient in the preceding 12 months by the same consultant physician</w:t>
            </w:r>
          </w:p>
        </w:tc>
        <w:tc>
          <w:tcPr>
            <w:tcW w:w="762" w:type="pct"/>
            <w:tcBorders>
              <w:top w:val="single" w:sz="2" w:space="0" w:color="auto"/>
              <w:left w:val="nil"/>
              <w:bottom w:val="single" w:sz="2" w:space="0" w:color="auto"/>
              <w:right w:val="nil"/>
            </w:tcBorders>
            <w:shd w:val="clear" w:color="auto" w:fill="auto"/>
            <w:hideMark/>
          </w:tcPr>
          <w:p w14:paraId="522FAC93" w14:textId="77777777" w:rsidR="006761FC" w:rsidRPr="00F419CF" w:rsidRDefault="006761FC" w:rsidP="00B60801">
            <w:pPr>
              <w:pStyle w:val="Tabletext"/>
              <w:jc w:val="right"/>
            </w:pPr>
            <w:r w:rsidRPr="00F419CF">
              <w:t>272.15</w:t>
            </w:r>
          </w:p>
        </w:tc>
      </w:tr>
      <w:tr w:rsidR="00471FE4" w:rsidRPr="00F419CF" w14:paraId="6871868B" w14:textId="77777777" w:rsidTr="00B60801">
        <w:trPr>
          <w:trHeight w:val="477"/>
        </w:trPr>
        <w:tc>
          <w:tcPr>
            <w:tcW w:w="686" w:type="pct"/>
            <w:tcBorders>
              <w:top w:val="single" w:sz="2" w:space="0" w:color="auto"/>
              <w:left w:val="nil"/>
              <w:bottom w:val="single" w:sz="12" w:space="0" w:color="auto"/>
              <w:right w:val="nil"/>
            </w:tcBorders>
            <w:shd w:val="clear" w:color="auto" w:fill="auto"/>
            <w:hideMark/>
          </w:tcPr>
          <w:p w14:paraId="332FD293" w14:textId="77777777" w:rsidR="006761FC" w:rsidRPr="00F419CF" w:rsidRDefault="006761FC" w:rsidP="00B60801">
            <w:pPr>
              <w:pStyle w:val="Tabletext"/>
            </w:pPr>
            <w:bookmarkStart w:id="11" w:name="CU_1267096"/>
            <w:bookmarkStart w:id="12" w:name="CU_1368573"/>
            <w:bookmarkEnd w:id="11"/>
            <w:bookmarkEnd w:id="12"/>
            <w:r w:rsidRPr="00F419CF">
              <w:t>92423</w:t>
            </w:r>
          </w:p>
          <w:p w14:paraId="4CAE18CF" w14:textId="14B64190" w:rsidR="006761FC" w:rsidRPr="00F419CF" w:rsidRDefault="006761FC" w:rsidP="00B60801">
            <w:pPr>
              <w:pStyle w:val="Notetodelete"/>
              <w:rPr>
                <w:color w:val="auto"/>
              </w:rPr>
            </w:pPr>
          </w:p>
        </w:tc>
        <w:tc>
          <w:tcPr>
            <w:tcW w:w="3552" w:type="pct"/>
            <w:tcBorders>
              <w:top w:val="single" w:sz="2" w:space="0" w:color="auto"/>
              <w:left w:val="nil"/>
              <w:bottom w:val="single" w:sz="12" w:space="0" w:color="auto"/>
              <w:right w:val="nil"/>
            </w:tcBorders>
            <w:shd w:val="clear" w:color="auto" w:fill="auto"/>
            <w:hideMark/>
          </w:tcPr>
          <w:p w14:paraId="4DFA9B02" w14:textId="77777777" w:rsidR="006761FC" w:rsidRPr="00F419CF" w:rsidRDefault="006761FC" w:rsidP="00B60801">
            <w:pPr>
              <w:pStyle w:val="Tabletext"/>
            </w:pPr>
            <w:r w:rsidRPr="00F419CF">
              <w:t>Telehealth attendance by a consultant physician in the practice of the consultant physician’s specialty (other than psychiatry) of at least 20 minutes in duration after the first attendance in a single course of treatment for a review of a patient with at least 2 morbidities (which may include complex congenital, developmental and behavioural disorders) if:</w:t>
            </w:r>
          </w:p>
          <w:p w14:paraId="22198574" w14:textId="77777777" w:rsidR="006761FC" w:rsidRPr="00F419CF" w:rsidRDefault="006761FC" w:rsidP="00B60801">
            <w:pPr>
              <w:pStyle w:val="Tablea"/>
            </w:pPr>
            <w:r w:rsidRPr="00F419CF">
              <w:t>(a) a review is undertaken that covers:</w:t>
            </w:r>
          </w:p>
          <w:p w14:paraId="482171EE" w14:textId="77777777" w:rsidR="006761FC" w:rsidRPr="00F419CF" w:rsidRDefault="006761FC" w:rsidP="00B60801">
            <w:pPr>
              <w:pStyle w:val="Tablei"/>
            </w:pPr>
            <w:r w:rsidRPr="00F419CF">
              <w:t>(i) review of initial presenting problems and results of diagnostic investigations; and</w:t>
            </w:r>
          </w:p>
          <w:p w14:paraId="461C998B" w14:textId="77777777" w:rsidR="006761FC" w:rsidRPr="00F419CF" w:rsidRDefault="006761FC" w:rsidP="00B60801">
            <w:pPr>
              <w:pStyle w:val="Tablei"/>
            </w:pPr>
            <w:r w:rsidRPr="00F419CF">
              <w:t>(ii) review of responses to treatment and medication plans initiated at time of initial consultation; and</w:t>
            </w:r>
          </w:p>
          <w:p w14:paraId="523B3A6B" w14:textId="77777777" w:rsidR="006761FC" w:rsidRPr="00F419CF" w:rsidRDefault="006761FC" w:rsidP="00B60801">
            <w:pPr>
              <w:pStyle w:val="Tablei"/>
            </w:pPr>
            <w:r w:rsidRPr="00F419CF">
              <w:t>(iii) comprehensive multi or detailed single organ system assessment; and</w:t>
            </w:r>
          </w:p>
          <w:p w14:paraId="453CFB4E" w14:textId="77777777" w:rsidR="006761FC" w:rsidRPr="00F419CF" w:rsidRDefault="006761FC" w:rsidP="00B60801">
            <w:pPr>
              <w:pStyle w:val="Tablei"/>
            </w:pPr>
            <w:r w:rsidRPr="00F419CF">
              <w:t>(iv) review of original and differential diagnoses; and</w:t>
            </w:r>
          </w:p>
          <w:p w14:paraId="4F81B068" w14:textId="77777777" w:rsidR="006761FC" w:rsidRPr="00F419CF" w:rsidRDefault="006761FC" w:rsidP="00B60801">
            <w:pPr>
              <w:pStyle w:val="Tablea"/>
            </w:pPr>
            <w:r w:rsidRPr="00F419CF">
              <w:t>(b) the modified consultant physician treatment and management plan is provided to the referring practitioner, which involves, if appropriate:</w:t>
            </w:r>
          </w:p>
          <w:p w14:paraId="3D597427" w14:textId="77777777" w:rsidR="006761FC" w:rsidRPr="00F419CF" w:rsidRDefault="006761FC" w:rsidP="00B60801">
            <w:pPr>
              <w:pStyle w:val="Tablei"/>
            </w:pPr>
            <w:r w:rsidRPr="00F419CF">
              <w:lastRenderedPageBreak/>
              <w:t>(i) a revised opinion on the diagnosis and risk assessment; and</w:t>
            </w:r>
          </w:p>
          <w:p w14:paraId="2BC9C500" w14:textId="77777777" w:rsidR="006761FC" w:rsidRPr="00F419CF" w:rsidRDefault="006761FC" w:rsidP="00B60801">
            <w:pPr>
              <w:pStyle w:val="Tablei"/>
            </w:pPr>
            <w:r w:rsidRPr="00F419CF">
              <w:t>(ii) treatment options and decisions; and</w:t>
            </w:r>
          </w:p>
          <w:p w14:paraId="769759C1" w14:textId="77777777" w:rsidR="006761FC" w:rsidRPr="00F419CF" w:rsidRDefault="006761FC" w:rsidP="00B60801">
            <w:pPr>
              <w:pStyle w:val="Tablei"/>
            </w:pPr>
            <w:r w:rsidRPr="00F419CF">
              <w:t>(iii) revised medication recommendations; and</w:t>
            </w:r>
          </w:p>
          <w:p w14:paraId="275B2944" w14:textId="3BF9D6F9" w:rsidR="006761FC" w:rsidRPr="00F419CF" w:rsidRDefault="006761FC" w:rsidP="00B60801">
            <w:pPr>
              <w:pStyle w:val="Tablea"/>
            </w:pPr>
            <w:r w:rsidRPr="00F419CF">
              <w:t>(c) an attendance on the patient to which item 110, 116, 119, 91824</w:t>
            </w:r>
            <w:r w:rsidR="007F587A" w:rsidRPr="00F419CF">
              <w:t>, 91834</w:t>
            </w:r>
            <w:r w:rsidRPr="00F419CF">
              <w:t>, 91825</w:t>
            </w:r>
            <w:r w:rsidR="007F587A" w:rsidRPr="00F419CF">
              <w:t>, 91835, 91826 or 91836</w:t>
            </w:r>
            <w:r w:rsidRPr="00F419CF">
              <w:t xml:space="preserve"> applies did not take place on the same day by the same consultant physician; and</w:t>
            </w:r>
          </w:p>
          <w:p w14:paraId="6F4ADBC2" w14:textId="2ABC1AC6" w:rsidR="006761FC" w:rsidRPr="00F419CF" w:rsidRDefault="006761FC" w:rsidP="00B60801">
            <w:pPr>
              <w:pStyle w:val="Tablea"/>
            </w:pPr>
            <w:r w:rsidRPr="00F419CF">
              <w:t xml:space="preserve">(d) item 132, </w:t>
            </w:r>
            <w:r w:rsidR="007F587A" w:rsidRPr="00F419CF">
              <w:t xml:space="preserve">92422 or 92431 </w:t>
            </w:r>
            <w:r w:rsidRPr="00F419CF">
              <w:t>applied to an attendance claimed in the preceding 12 months; and</w:t>
            </w:r>
          </w:p>
          <w:p w14:paraId="25DD9B50" w14:textId="7BBFBC0C" w:rsidR="006761FC" w:rsidRPr="00F419CF" w:rsidRDefault="006761FC" w:rsidP="00B60801">
            <w:pPr>
              <w:pStyle w:val="Tablea"/>
            </w:pPr>
            <w:r w:rsidRPr="00F419CF">
              <w:t xml:space="preserve">(e) the attendance under this item is claimed by the same consultant physician who claimed item 132, </w:t>
            </w:r>
            <w:r w:rsidR="007F587A" w:rsidRPr="00F419CF">
              <w:t>92422 or 92431</w:t>
            </w:r>
            <w:r w:rsidRPr="00F419CF">
              <w:t>; and</w:t>
            </w:r>
          </w:p>
          <w:p w14:paraId="419C0D07" w14:textId="1DFE7407" w:rsidR="006761FC" w:rsidRPr="00F419CF" w:rsidRDefault="006761FC" w:rsidP="00B60801">
            <w:pPr>
              <w:pStyle w:val="Tablea"/>
            </w:pPr>
            <w:r w:rsidRPr="00F419CF">
              <w:t xml:space="preserve">(f) this item or item 133 </w:t>
            </w:r>
            <w:r w:rsidR="007F587A" w:rsidRPr="00F419CF">
              <w:t>or 92432</w:t>
            </w:r>
            <w:r w:rsidRPr="00F419CF">
              <w:t xml:space="preserve"> has not applied more than twice in any 12 month period</w:t>
            </w:r>
          </w:p>
        </w:tc>
        <w:tc>
          <w:tcPr>
            <w:tcW w:w="762" w:type="pct"/>
            <w:tcBorders>
              <w:top w:val="single" w:sz="2" w:space="0" w:color="auto"/>
              <w:left w:val="nil"/>
              <w:bottom w:val="single" w:sz="12" w:space="0" w:color="auto"/>
              <w:right w:val="nil"/>
            </w:tcBorders>
            <w:shd w:val="clear" w:color="auto" w:fill="auto"/>
            <w:hideMark/>
          </w:tcPr>
          <w:p w14:paraId="1AAC8B87" w14:textId="77777777" w:rsidR="006761FC" w:rsidRPr="00F419CF" w:rsidRDefault="006761FC" w:rsidP="00B60801">
            <w:pPr>
              <w:pStyle w:val="Tabletext"/>
              <w:jc w:val="right"/>
            </w:pPr>
            <w:r w:rsidRPr="00F419CF">
              <w:lastRenderedPageBreak/>
              <w:t>136.25</w:t>
            </w:r>
          </w:p>
        </w:tc>
      </w:tr>
    </w:tbl>
    <w:p w14:paraId="66436DCB" w14:textId="7F8E451B" w:rsidR="006761FC" w:rsidRPr="00F419CF" w:rsidRDefault="0093791F" w:rsidP="006761FC">
      <w:pPr>
        <w:pStyle w:val="ItemHead"/>
      </w:pPr>
      <w:r w:rsidRPr="00F419CF">
        <w:t>11</w:t>
      </w:r>
      <w:r w:rsidR="006761FC" w:rsidRPr="00F419CF">
        <w:t xml:space="preserve"> Schedule 2 (after item 91831)</w:t>
      </w:r>
    </w:p>
    <w:p w14:paraId="4C23EAEC" w14:textId="77810E90" w:rsidR="006761FC" w:rsidRPr="00F419CF" w:rsidRDefault="006761FC" w:rsidP="00B86AE6">
      <w:pPr>
        <w:pStyle w:val="Item"/>
      </w:pPr>
      <w:r w:rsidRPr="00F419CF">
        <w:t>Insert:</w:t>
      </w:r>
    </w:p>
    <w:tbl>
      <w:tblPr>
        <w:tblW w:w="4918" w:type="pct"/>
        <w:tblInd w:w="77" w:type="dxa"/>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25"/>
        <w:gridCol w:w="10"/>
        <w:gridCol w:w="5490"/>
        <w:gridCol w:w="56"/>
        <w:gridCol w:w="1429"/>
        <w:gridCol w:w="67"/>
      </w:tblGrid>
      <w:tr w:rsidR="00471FE4" w:rsidRPr="00F419CF" w14:paraId="3C1EEFA0" w14:textId="77777777" w:rsidTr="00CD6CD4">
        <w:trPr>
          <w:gridAfter w:val="1"/>
          <w:wAfter w:w="41" w:type="pct"/>
        </w:trPr>
        <w:tc>
          <w:tcPr>
            <w:tcW w:w="688" w:type="pct"/>
            <w:tcBorders>
              <w:top w:val="single" w:sz="4" w:space="0" w:color="auto"/>
              <w:left w:val="nil"/>
              <w:bottom w:val="single" w:sz="4" w:space="0" w:color="auto"/>
              <w:right w:val="nil"/>
            </w:tcBorders>
            <w:shd w:val="clear" w:color="auto" w:fill="auto"/>
            <w:hideMark/>
          </w:tcPr>
          <w:p w14:paraId="68B05285" w14:textId="77777777" w:rsidR="00CD6CD4" w:rsidRPr="00F419CF" w:rsidRDefault="00CD6CD4" w:rsidP="00B60801">
            <w:pPr>
              <w:pStyle w:val="Tabletext"/>
            </w:pPr>
            <w:r w:rsidRPr="00F419CF">
              <w:t>92434</w:t>
            </w:r>
          </w:p>
          <w:p w14:paraId="4F5AB1A0" w14:textId="45B5FF84" w:rsidR="00CD6CD4" w:rsidRPr="00F419CF" w:rsidRDefault="00CD6CD4" w:rsidP="00B60801">
            <w:pPr>
              <w:pStyle w:val="Tabletext"/>
            </w:pPr>
          </w:p>
        </w:tc>
        <w:tc>
          <w:tcPr>
            <w:tcW w:w="3363" w:type="pct"/>
            <w:gridSpan w:val="2"/>
            <w:tcBorders>
              <w:top w:val="single" w:sz="4" w:space="0" w:color="auto"/>
              <w:left w:val="nil"/>
              <w:bottom w:val="single" w:sz="4" w:space="0" w:color="auto"/>
              <w:right w:val="nil"/>
            </w:tcBorders>
            <w:shd w:val="clear" w:color="auto" w:fill="auto"/>
            <w:hideMark/>
          </w:tcPr>
          <w:p w14:paraId="655D23E2" w14:textId="77777777" w:rsidR="00CD6CD4" w:rsidRPr="00F419CF" w:rsidRDefault="00CD6CD4" w:rsidP="00B60801">
            <w:pPr>
              <w:pStyle w:val="Tabletext"/>
            </w:pPr>
            <w:r w:rsidRPr="00F419CF">
              <w:t>Telehealth attendance of at least 45 minutes in duration, by a consultant physician in the practice of the consultant physician’s specialty of psychiatry, following referral of the patient to the consultant physician by a referring practitioner, for assessment, diagnosis and preparation of a treatment and management plan for a patient under 13 years with autism or another pervasive developmental disorder, if the consultant physician does all of the following:</w:t>
            </w:r>
          </w:p>
          <w:p w14:paraId="4136905C" w14:textId="77777777" w:rsidR="00CD6CD4" w:rsidRPr="00F419CF" w:rsidRDefault="00CD6CD4" w:rsidP="00CD6CD4">
            <w:pPr>
              <w:pStyle w:val="Tabletext"/>
            </w:pPr>
            <w:r w:rsidRPr="00F419CF">
              <w:t>(a) undertakes a comprehensive assessment and makes a diagnosis (if appropriate, using information provided by an eligible allied health provider);</w:t>
            </w:r>
          </w:p>
          <w:p w14:paraId="654CEB8B" w14:textId="77777777" w:rsidR="00CD6CD4" w:rsidRPr="00F419CF" w:rsidRDefault="00CD6CD4" w:rsidP="00CD6CD4">
            <w:pPr>
              <w:pStyle w:val="Tabletext"/>
            </w:pPr>
            <w:r w:rsidRPr="00F419CF">
              <w:t>(b) develops a treatment and management plan which must include the following:</w:t>
            </w:r>
          </w:p>
          <w:p w14:paraId="52F51055" w14:textId="77777777" w:rsidR="00CD6CD4" w:rsidRPr="00F419CF" w:rsidRDefault="00CD6CD4" w:rsidP="00CD6CD4">
            <w:pPr>
              <w:pStyle w:val="Tablei"/>
            </w:pPr>
            <w:r w:rsidRPr="00F419CF">
              <w:t>(i) an assessment and diagnosis of the patient’s condition;</w:t>
            </w:r>
          </w:p>
          <w:p w14:paraId="1E8068BE" w14:textId="77777777" w:rsidR="00CD6CD4" w:rsidRPr="00F419CF" w:rsidRDefault="00CD6CD4" w:rsidP="00CD6CD4">
            <w:pPr>
              <w:pStyle w:val="Tablei"/>
            </w:pPr>
            <w:r w:rsidRPr="00F419CF">
              <w:t>(ii) a risk assessment;</w:t>
            </w:r>
          </w:p>
          <w:p w14:paraId="3F3F0F06" w14:textId="77777777" w:rsidR="00CD6CD4" w:rsidRPr="00F419CF" w:rsidRDefault="00CD6CD4" w:rsidP="00CD6CD4">
            <w:pPr>
              <w:pStyle w:val="Tablei"/>
            </w:pPr>
            <w:r w:rsidRPr="00F419CF">
              <w:t>(iii) treatment options and decisions;</w:t>
            </w:r>
          </w:p>
          <w:p w14:paraId="71303663" w14:textId="77777777" w:rsidR="00CD6CD4" w:rsidRPr="00F419CF" w:rsidRDefault="00CD6CD4" w:rsidP="00CD6CD4">
            <w:pPr>
              <w:pStyle w:val="Tablei"/>
            </w:pPr>
            <w:r w:rsidRPr="00F419CF">
              <w:t>(iv) if necessary—medication recommendations;</w:t>
            </w:r>
          </w:p>
          <w:p w14:paraId="61A372AB" w14:textId="77777777" w:rsidR="00CD6CD4" w:rsidRPr="00F419CF" w:rsidRDefault="00CD6CD4" w:rsidP="00CD6CD4">
            <w:pPr>
              <w:pStyle w:val="Tabletext"/>
            </w:pPr>
            <w:r w:rsidRPr="00F419CF">
              <w:t>(c) provides a copy of the treatment and management plan to the referring practitioner;</w:t>
            </w:r>
          </w:p>
          <w:p w14:paraId="5672E9F4" w14:textId="77777777" w:rsidR="00CD6CD4" w:rsidRPr="00F419CF" w:rsidRDefault="00CD6CD4" w:rsidP="00CD6CD4">
            <w:pPr>
              <w:pStyle w:val="Tabletext"/>
            </w:pPr>
            <w:r w:rsidRPr="00F419CF">
              <w:t>(d) provides a copy of the treatment and management plan to one or more allied health providers, if appropriate, for the treatment of the patient;</w:t>
            </w:r>
          </w:p>
          <w:p w14:paraId="11861BB2" w14:textId="3D68E37E" w:rsidR="00CD6CD4" w:rsidRPr="00F419CF" w:rsidRDefault="00CD6CD4" w:rsidP="007F587A">
            <w:pPr>
              <w:pStyle w:val="Tabletext"/>
            </w:pPr>
            <w:r w:rsidRPr="00F419CF">
              <w:t>(other than attendance on a patient for whom payment has previously been made under this item or item 135, 137, 139, 289, 92</w:t>
            </w:r>
            <w:r w:rsidR="007F587A" w:rsidRPr="00F419CF">
              <w:t xml:space="preserve">140, 92143, 9214, 92144, 92142, 92145 </w:t>
            </w:r>
            <w:r w:rsidRPr="00F419CF">
              <w:t>or 92474)</w:t>
            </w:r>
          </w:p>
        </w:tc>
        <w:tc>
          <w:tcPr>
            <w:tcW w:w="908" w:type="pct"/>
            <w:gridSpan w:val="2"/>
            <w:tcBorders>
              <w:top w:val="single" w:sz="4" w:space="0" w:color="auto"/>
              <w:left w:val="nil"/>
              <w:bottom w:val="single" w:sz="4" w:space="0" w:color="auto"/>
              <w:right w:val="nil"/>
            </w:tcBorders>
            <w:shd w:val="clear" w:color="auto" w:fill="auto"/>
            <w:hideMark/>
          </w:tcPr>
          <w:p w14:paraId="60E13E46" w14:textId="77777777" w:rsidR="00CD6CD4" w:rsidRPr="00F419CF" w:rsidRDefault="00CD6CD4" w:rsidP="00B60801">
            <w:pPr>
              <w:pStyle w:val="Tabletext"/>
              <w:jc w:val="right"/>
            </w:pPr>
            <w:r w:rsidRPr="00F419CF">
              <w:t>272.15</w:t>
            </w:r>
          </w:p>
        </w:tc>
      </w:tr>
      <w:tr w:rsidR="00471FE4" w:rsidRPr="00F419CF" w14:paraId="4D168D30" w14:textId="77777777" w:rsidTr="00B60801">
        <w:trPr>
          <w:gridAfter w:val="1"/>
          <w:wAfter w:w="41" w:type="pct"/>
        </w:trPr>
        <w:tc>
          <w:tcPr>
            <w:tcW w:w="688" w:type="pct"/>
            <w:tcBorders>
              <w:top w:val="single" w:sz="4" w:space="0" w:color="auto"/>
              <w:left w:val="nil"/>
              <w:bottom w:val="single" w:sz="4" w:space="0" w:color="auto"/>
              <w:right w:val="nil"/>
            </w:tcBorders>
            <w:shd w:val="clear" w:color="auto" w:fill="auto"/>
            <w:hideMark/>
          </w:tcPr>
          <w:p w14:paraId="059D4FE3" w14:textId="77777777" w:rsidR="006761FC" w:rsidRPr="00F419CF" w:rsidRDefault="006761FC" w:rsidP="00B60801">
            <w:pPr>
              <w:pStyle w:val="Tabletext"/>
            </w:pPr>
            <w:r w:rsidRPr="00F419CF">
              <w:t>92435</w:t>
            </w:r>
          </w:p>
          <w:p w14:paraId="7F0E7DD2" w14:textId="2DFE6297" w:rsidR="006761FC" w:rsidRPr="00F419CF" w:rsidRDefault="006761FC" w:rsidP="007F587A">
            <w:pPr>
              <w:pStyle w:val="Tabletext"/>
            </w:pPr>
          </w:p>
        </w:tc>
        <w:tc>
          <w:tcPr>
            <w:tcW w:w="3363" w:type="pct"/>
            <w:gridSpan w:val="2"/>
            <w:tcBorders>
              <w:top w:val="single" w:sz="4" w:space="0" w:color="auto"/>
              <w:left w:val="nil"/>
              <w:bottom w:val="single" w:sz="4" w:space="0" w:color="auto"/>
              <w:right w:val="nil"/>
            </w:tcBorders>
            <w:shd w:val="clear" w:color="auto" w:fill="auto"/>
            <w:hideMark/>
          </w:tcPr>
          <w:p w14:paraId="69FDD0A1" w14:textId="77777777" w:rsidR="006761FC" w:rsidRPr="00F419CF" w:rsidRDefault="006761FC" w:rsidP="00B60801">
            <w:pPr>
              <w:pStyle w:val="Tabletext"/>
            </w:pPr>
            <w:r w:rsidRPr="00F419CF">
              <w:t>Telehealth attendance of more than 45 minutes in by a consultant physician in the practice of the consultant physician’s specialty of psychiatry, if:</w:t>
            </w:r>
          </w:p>
          <w:p w14:paraId="4939ADB1" w14:textId="77777777" w:rsidR="006761FC" w:rsidRPr="00F419CF" w:rsidRDefault="006761FC" w:rsidP="00B60801">
            <w:pPr>
              <w:pStyle w:val="Tablea"/>
            </w:pPr>
            <w:r w:rsidRPr="00F419CF">
              <w:t>(a) the attendance follows referral of the patient to the consultant for an assessment or management by a medical practitioner in general practice (not including a specialist or consultant physician) or a participating nurse practitioner; and</w:t>
            </w:r>
          </w:p>
          <w:p w14:paraId="44C94D25" w14:textId="77777777" w:rsidR="006761FC" w:rsidRPr="00F419CF" w:rsidRDefault="006761FC" w:rsidP="00B60801">
            <w:pPr>
              <w:pStyle w:val="Tablea"/>
            </w:pPr>
            <w:r w:rsidRPr="00F419CF">
              <w:t>(b) during the attendance, the consultant:</w:t>
            </w:r>
          </w:p>
          <w:p w14:paraId="79A16937" w14:textId="77777777" w:rsidR="006761FC" w:rsidRPr="00F419CF" w:rsidRDefault="006761FC" w:rsidP="00B60801">
            <w:pPr>
              <w:pStyle w:val="Tablei"/>
            </w:pPr>
            <w:r w:rsidRPr="00F419CF">
              <w:t>(i) uses an outcome tool (if clinically appropriate); and</w:t>
            </w:r>
          </w:p>
          <w:p w14:paraId="404E6EF2" w14:textId="77777777" w:rsidR="006761FC" w:rsidRPr="00F419CF" w:rsidRDefault="006761FC" w:rsidP="00B60801">
            <w:pPr>
              <w:pStyle w:val="Tablei"/>
            </w:pPr>
            <w:r w:rsidRPr="00F419CF">
              <w:t>(ii) carries out a mental state examination; and</w:t>
            </w:r>
          </w:p>
          <w:p w14:paraId="1C031F72" w14:textId="77777777" w:rsidR="006761FC" w:rsidRPr="00F419CF" w:rsidRDefault="006761FC" w:rsidP="00B60801">
            <w:pPr>
              <w:pStyle w:val="Tablei"/>
            </w:pPr>
            <w:r w:rsidRPr="00F419CF">
              <w:lastRenderedPageBreak/>
              <w:t>(iii) makes a psychiatric diagnosis; and</w:t>
            </w:r>
          </w:p>
          <w:p w14:paraId="3EDA109C" w14:textId="77777777" w:rsidR="006761FC" w:rsidRPr="00F419CF" w:rsidRDefault="006761FC" w:rsidP="00B60801">
            <w:pPr>
              <w:pStyle w:val="Tablea"/>
            </w:pPr>
            <w:r w:rsidRPr="00F419CF">
              <w:t>(c) the consultant decides that it is clinically appropriate for the patient to be managed by the referring practitioner without ongoing treatment by the consultant; and</w:t>
            </w:r>
          </w:p>
          <w:p w14:paraId="4EBC135A" w14:textId="77777777" w:rsidR="006761FC" w:rsidRPr="00F419CF" w:rsidRDefault="006761FC" w:rsidP="00B60801">
            <w:pPr>
              <w:pStyle w:val="Tablea"/>
            </w:pPr>
            <w:r w:rsidRPr="00F419CF">
              <w:t>(d) within 2 weeks after the attendance, the consultant:</w:t>
            </w:r>
          </w:p>
          <w:p w14:paraId="203F4601" w14:textId="77777777" w:rsidR="006761FC" w:rsidRPr="00F419CF" w:rsidRDefault="006761FC" w:rsidP="00B60801">
            <w:pPr>
              <w:pStyle w:val="Tablei"/>
            </w:pPr>
            <w:r w:rsidRPr="00F419CF">
              <w:t>(i) prepares a written diagnosis of the patient; and</w:t>
            </w:r>
          </w:p>
          <w:p w14:paraId="366D53D4" w14:textId="77777777" w:rsidR="006761FC" w:rsidRPr="00F419CF" w:rsidRDefault="006761FC" w:rsidP="00B60801">
            <w:pPr>
              <w:pStyle w:val="Tablei"/>
            </w:pPr>
            <w:r w:rsidRPr="00F419CF">
              <w:t>(ii) prepares a written management plan for the patient that:</w:t>
            </w:r>
          </w:p>
          <w:p w14:paraId="1B35C016" w14:textId="77777777" w:rsidR="006761FC" w:rsidRPr="00F419CF" w:rsidRDefault="006761FC" w:rsidP="00B60801">
            <w:pPr>
              <w:pStyle w:val="TableAA"/>
            </w:pPr>
            <w:r w:rsidRPr="00F419CF">
              <w:t>(A) covers the next 12 months; and</w:t>
            </w:r>
          </w:p>
          <w:p w14:paraId="7816DE2F" w14:textId="77777777" w:rsidR="006761FC" w:rsidRPr="00F419CF" w:rsidRDefault="006761FC" w:rsidP="00B60801">
            <w:pPr>
              <w:pStyle w:val="TableAA"/>
            </w:pPr>
            <w:r w:rsidRPr="00F419CF">
              <w:t>(B) is appropriate to the patient’s diagnosis; and</w:t>
            </w:r>
          </w:p>
          <w:p w14:paraId="2056BB3F" w14:textId="77777777" w:rsidR="006761FC" w:rsidRPr="00F419CF" w:rsidRDefault="006761FC" w:rsidP="00B60801">
            <w:pPr>
              <w:pStyle w:val="TableAA"/>
            </w:pPr>
            <w:r w:rsidRPr="00F419CF">
              <w:t>(C) comprehensively evaluates the patient’s biological, psychological and social issues; and</w:t>
            </w:r>
          </w:p>
          <w:p w14:paraId="3A5A1144" w14:textId="77777777" w:rsidR="006761FC" w:rsidRPr="00F419CF" w:rsidRDefault="006761FC" w:rsidP="00B60801">
            <w:pPr>
              <w:pStyle w:val="TableAA"/>
            </w:pPr>
            <w:r w:rsidRPr="00F419CF">
              <w:t>(D) addresses the patient’s diagnostic psychiatric issues; and</w:t>
            </w:r>
          </w:p>
          <w:p w14:paraId="2C552C14" w14:textId="77777777" w:rsidR="006761FC" w:rsidRPr="00F419CF" w:rsidRDefault="006761FC" w:rsidP="00B60801">
            <w:pPr>
              <w:pStyle w:val="TableAA"/>
            </w:pPr>
            <w:r w:rsidRPr="00F419CF">
              <w:t>(E) makes management recommendations addressing the patient’s biological, psychological and social issues; and</w:t>
            </w:r>
          </w:p>
          <w:p w14:paraId="5A88D4F4" w14:textId="77777777" w:rsidR="006761FC" w:rsidRPr="00F419CF" w:rsidRDefault="006761FC" w:rsidP="00B60801">
            <w:pPr>
              <w:pStyle w:val="Tablei"/>
            </w:pPr>
            <w:r w:rsidRPr="00F419CF">
              <w:t>(iii) gives the referring practitioner a copy of the diagnosis and the management plan; and</w:t>
            </w:r>
          </w:p>
          <w:p w14:paraId="4E5E7EBD" w14:textId="77777777" w:rsidR="006761FC" w:rsidRPr="00F419CF" w:rsidRDefault="006761FC" w:rsidP="00B60801">
            <w:pPr>
              <w:pStyle w:val="Tablei"/>
            </w:pPr>
            <w:r w:rsidRPr="00F419CF">
              <w:t>(iv) if clinically appropriate, explains the diagnosis and management plan, and a gives a copy, to:</w:t>
            </w:r>
          </w:p>
          <w:p w14:paraId="1A30FA4B" w14:textId="77777777" w:rsidR="006761FC" w:rsidRPr="00F419CF" w:rsidRDefault="006761FC" w:rsidP="00B60801">
            <w:pPr>
              <w:pStyle w:val="TableAA"/>
            </w:pPr>
            <w:r w:rsidRPr="00F419CF">
              <w:t>(A) the patient; and</w:t>
            </w:r>
          </w:p>
          <w:p w14:paraId="29D570DC" w14:textId="3049C554" w:rsidR="00E6528E" w:rsidRPr="00F419CF" w:rsidRDefault="006761FC" w:rsidP="00B60801">
            <w:pPr>
              <w:pStyle w:val="TableAA"/>
            </w:pPr>
            <w:r w:rsidRPr="00F419CF">
              <w:t>(B) the patient’s carer (if any), if the patient agrees</w:t>
            </w:r>
            <w:r w:rsidR="00E6528E" w:rsidRPr="00F419CF">
              <w:t xml:space="preserve">; and </w:t>
            </w:r>
          </w:p>
          <w:p w14:paraId="63FEDCB8" w14:textId="3FE07484" w:rsidR="006761FC" w:rsidRPr="00F419CF" w:rsidRDefault="00E6528E" w:rsidP="00A632D7">
            <w:pPr>
              <w:pStyle w:val="Tablea"/>
            </w:pPr>
            <w:r w:rsidRPr="00F419CF">
              <w:t xml:space="preserve">(e) in the preceding 12 months, a service to which this item or item 291 or </w:t>
            </w:r>
            <w:r w:rsidR="007F587A" w:rsidRPr="00F419CF">
              <w:t>92475</w:t>
            </w:r>
            <w:r w:rsidRPr="00F419CF">
              <w:t xml:space="preserve"> applies has not been provided.</w:t>
            </w:r>
          </w:p>
        </w:tc>
        <w:tc>
          <w:tcPr>
            <w:tcW w:w="908" w:type="pct"/>
            <w:gridSpan w:val="2"/>
            <w:tcBorders>
              <w:top w:val="single" w:sz="4" w:space="0" w:color="auto"/>
              <w:left w:val="nil"/>
              <w:bottom w:val="single" w:sz="4" w:space="0" w:color="auto"/>
              <w:right w:val="nil"/>
            </w:tcBorders>
            <w:shd w:val="clear" w:color="auto" w:fill="auto"/>
            <w:hideMark/>
          </w:tcPr>
          <w:p w14:paraId="43667801" w14:textId="77777777" w:rsidR="006761FC" w:rsidRPr="00F419CF" w:rsidRDefault="006761FC" w:rsidP="00B60801">
            <w:pPr>
              <w:pStyle w:val="Tabletext"/>
              <w:jc w:val="right"/>
            </w:pPr>
            <w:r w:rsidRPr="00F419CF">
              <w:lastRenderedPageBreak/>
              <w:t>466.80</w:t>
            </w:r>
          </w:p>
        </w:tc>
      </w:tr>
      <w:tr w:rsidR="00471FE4" w:rsidRPr="00F419CF" w14:paraId="5FFAAD70" w14:textId="77777777" w:rsidTr="00B60801">
        <w:trPr>
          <w:gridAfter w:val="1"/>
          <w:wAfter w:w="41" w:type="pct"/>
        </w:trPr>
        <w:tc>
          <w:tcPr>
            <w:tcW w:w="688" w:type="pct"/>
            <w:tcBorders>
              <w:top w:val="single" w:sz="4" w:space="0" w:color="auto"/>
              <w:left w:val="nil"/>
              <w:bottom w:val="single" w:sz="4" w:space="0" w:color="auto"/>
              <w:right w:val="nil"/>
            </w:tcBorders>
            <w:shd w:val="clear" w:color="auto" w:fill="auto"/>
            <w:hideMark/>
          </w:tcPr>
          <w:p w14:paraId="75334792" w14:textId="006E7D9C" w:rsidR="006761FC" w:rsidRPr="00F419CF" w:rsidRDefault="006761FC" w:rsidP="00B60801">
            <w:pPr>
              <w:pStyle w:val="Tabletext"/>
            </w:pPr>
            <w:bookmarkStart w:id="13" w:name="CU_693392"/>
            <w:bookmarkStart w:id="14" w:name="CU_694869"/>
            <w:bookmarkEnd w:id="13"/>
            <w:bookmarkEnd w:id="14"/>
            <w:r w:rsidRPr="00F419CF">
              <w:t>92436</w:t>
            </w:r>
          </w:p>
          <w:p w14:paraId="4B4DA3C6" w14:textId="20E2B90E" w:rsidR="006761FC" w:rsidRPr="00F419CF" w:rsidRDefault="006761FC" w:rsidP="00B60801">
            <w:pPr>
              <w:pStyle w:val="Tabletext"/>
            </w:pPr>
          </w:p>
        </w:tc>
        <w:tc>
          <w:tcPr>
            <w:tcW w:w="3363" w:type="pct"/>
            <w:gridSpan w:val="2"/>
            <w:tcBorders>
              <w:top w:val="single" w:sz="4" w:space="0" w:color="auto"/>
              <w:left w:val="nil"/>
              <w:bottom w:val="single" w:sz="4" w:space="0" w:color="auto"/>
              <w:right w:val="nil"/>
            </w:tcBorders>
            <w:shd w:val="clear" w:color="auto" w:fill="auto"/>
            <w:hideMark/>
          </w:tcPr>
          <w:p w14:paraId="7C90C6F5" w14:textId="77777777" w:rsidR="006761FC" w:rsidRPr="00F419CF" w:rsidRDefault="006761FC" w:rsidP="00B60801">
            <w:pPr>
              <w:pStyle w:val="Tabletext"/>
            </w:pPr>
            <w:r w:rsidRPr="00F419CF">
              <w:t>Telehealth attendance of more than 30 minutes but not more than 45 minutes in duration by a consultant physician in the practice of the consultant physician’s specialty of psychiatry, if:</w:t>
            </w:r>
          </w:p>
          <w:p w14:paraId="592D91A6" w14:textId="771D71B2" w:rsidR="006761FC" w:rsidRPr="00F419CF" w:rsidRDefault="006761FC" w:rsidP="00B60801">
            <w:pPr>
              <w:pStyle w:val="Tablea"/>
            </w:pPr>
            <w:r w:rsidRPr="00F419CF">
              <w:t>(a) the patient is being managed by a medical practitioner or a participating nurse practitioner in accordance with a management plan prepared by the consultant in accordance with item 291</w:t>
            </w:r>
            <w:r w:rsidR="007F587A" w:rsidRPr="00F419CF">
              <w:t>, 92435, 92475</w:t>
            </w:r>
            <w:r w:rsidRPr="00F419CF">
              <w:t>; and</w:t>
            </w:r>
          </w:p>
          <w:p w14:paraId="443975D4" w14:textId="77777777" w:rsidR="006761FC" w:rsidRPr="00F419CF" w:rsidRDefault="006761FC" w:rsidP="00B60801">
            <w:pPr>
              <w:pStyle w:val="Tablea"/>
            </w:pPr>
            <w:r w:rsidRPr="00F419CF">
              <w:t>(b) the attendance follows referral of the patient to the consultant for review of the management plan by the medical practitioner or a participating nurse practitioner managing the patient; and</w:t>
            </w:r>
          </w:p>
          <w:p w14:paraId="6B6A2EC3" w14:textId="77777777" w:rsidR="006761FC" w:rsidRPr="00F419CF" w:rsidRDefault="006761FC" w:rsidP="00B60801">
            <w:pPr>
              <w:pStyle w:val="Tablea"/>
            </w:pPr>
            <w:r w:rsidRPr="00F419CF">
              <w:t>(c) during the attendance, the consultant:</w:t>
            </w:r>
          </w:p>
          <w:p w14:paraId="6390EC7E" w14:textId="77777777" w:rsidR="006761FC" w:rsidRPr="00F419CF" w:rsidRDefault="006761FC" w:rsidP="00B60801">
            <w:pPr>
              <w:pStyle w:val="Tablei"/>
            </w:pPr>
            <w:r w:rsidRPr="00F419CF">
              <w:t>(i) uses an outcome tool (if clinically appropriate); and</w:t>
            </w:r>
          </w:p>
          <w:p w14:paraId="49CD8F24" w14:textId="77777777" w:rsidR="006761FC" w:rsidRPr="00F419CF" w:rsidRDefault="006761FC" w:rsidP="00B60801">
            <w:pPr>
              <w:pStyle w:val="Tablei"/>
            </w:pPr>
            <w:r w:rsidRPr="00F419CF">
              <w:t>(ii) carries out a mental state examination; and</w:t>
            </w:r>
          </w:p>
          <w:p w14:paraId="6DF92B19" w14:textId="77777777" w:rsidR="006761FC" w:rsidRPr="00F419CF" w:rsidRDefault="006761FC" w:rsidP="00B60801">
            <w:pPr>
              <w:pStyle w:val="Tablei"/>
            </w:pPr>
            <w:r w:rsidRPr="00F419CF">
              <w:t>(iii) makes a psychiatric diagnosis; and</w:t>
            </w:r>
          </w:p>
          <w:p w14:paraId="0AF741D1" w14:textId="77777777" w:rsidR="006761FC" w:rsidRPr="00F419CF" w:rsidRDefault="006761FC" w:rsidP="00B60801">
            <w:pPr>
              <w:pStyle w:val="Tablei"/>
            </w:pPr>
            <w:r w:rsidRPr="00F419CF">
              <w:t>(iv) reviews the management plan; and</w:t>
            </w:r>
          </w:p>
          <w:p w14:paraId="4AA49969" w14:textId="77777777" w:rsidR="006761FC" w:rsidRPr="00F419CF" w:rsidRDefault="006761FC" w:rsidP="00B60801">
            <w:pPr>
              <w:pStyle w:val="Tablea"/>
            </w:pPr>
            <w:r w:rsidRPr="00F419CF">
              <w:t>(d) within 2 weeks after the attendance, the consultant:</w:t>
            </w:r>
          </w:p>
          <w:p w14:paraId="279E2A9C" w14:textId="77777777" w:rsidR="006761FC" w:rsidRPr="00F419CF" w:rsidRDefault="006761FC" w:rsidP="00B60801">
            <w:pPr>
              <w:pStyle w:val="Tablei"/>
            </w:pPr>
            <w:r w:rsidRPr="00F419CF">
              <w:t>(i) prepares a written diagnosis of the patient; and</w:t>
            </w:r>
          </w:p>
          <w:p w14:paraId="79D577DD" w14:textId="77777777" w:rsidR="006761FC" w:rsidRPr="00F419CF" w:rsidRDefault="006761FC" w:rsidP="00B60801">
            <w:pPr>
              <w:pStyle w:val="Tablei"/>
            </w:pPr>
            <w:r w:rsidRPr="00F419CF">
              <w:t>(ii) revises the management plan; and</w:t>
            </w:r>
          </w:p>
          <w:p w14:paraId="0D644749" w14:textId="77777777" w:rsidR="006761FC" w:rsidRPr="00F419CF" w:rsidRDefault="006761FC" w:rsidP="00B60801">
            <w:pPr>
              <w:pStyle w:val="Tablei"/>
            </w:pPr>
            <w:r w:rsidRPr="00F419CF">
              <w:t>(iii) gives the referring practitioner a copy of the diagnosis and the revised management plan; and</w:t>
            </w:r>
          </w:p>
          <w:p w14:paraId="5B0F6182" w14:textId="77777777" w:rsidR="006761FC" w:rsidRPr="00F419CF" w:rsidRDefault="006761FC" w:rsidP="00B60801">
            <w:pPr>
              <w:pStyle w:val="Tablei"/>
            </w:pPr>
            <w:r w:rsidRPr="00F419CF">
              <w:t>(iv) if clinically appropriate, explains the diagnosis and the revised management plan, and gives a copy, to:</w:t>
            </w:r>
          </w:p>
          <w:p w14:paraId="781C9596" w14:textId="77777777" w:rsidR="006761FC" w:rsidRPr="00F419CF" w:rsidRDefault="006761FC" w:rsidP="00B60801">
            <w:pPr>
              <w:pStyle w:val="TableAA"/>
            </w:pPr>
            <w:r w:rsidRPr="00F419CF">
              <w:t>(A) the patient; and</w:t>
            </w:r>
          </w:p>
          <w:p w14:paraId="7BA381C4" w14:textId="77777777" w:rsidR="006761FC" w:rsidRPr="00F419CF" w:rsidRDefault="006761FC" w:rsidP="00B60801">
            <w:pPr>
              <w:pStyle w:val="TableAA"/>
            </w:pPr>
            <w:r w:rsidRPr="00F419CF">
              <w:t>(B) the patient’s carer (if any), if the patient agrees; and</w:t>
            </w:r>
          </w:p>
          <w:p w14:paraId="4AB63A28" w14:textId="05F480E5" w:rsidR="006761FC" w:rsidRPr="00F419CF" w:rsidRDefault="006761FC" w:rsidP="00B60801">
            <w:pPr>
              <w:pStyle w:val="Tablea"/>
            </w:pPr>
            <w:r w:rsidRPr="00F419CF">
              <w:t>(e) in the preceding 12 months, a service to which item 291</w:t>
            </w:r>
            <w:r w:rsidR="007F587A" w:rsidRPr="00F419CF">
              <w:t>, 92435</w:t>
            </w:r>
            <w:r w:rsidRPr="00F419CF">
              <w:t>, 92475 applies has been provided; and</w:t>
            </w:r>
          </w:p>
          <w:p w14:paraId="4BE1F768" w14:textId="6A114DD0" w:rsidR="006761FC" w:rsidRPr="00F419CF" w:rsidRDefault="006761FC" w:rsidP="00B60801">
            <w:pPr>
              <w:pStyle w:val="Tablea"/>
            </w:pPr>
            <w:r w:rsidRPr="00F419CF">
              <w:lastRenderedPageBreak/>
              <w:t xml:space="preserve">(f) in the preceding 12 months, a service to which this item or item 293 or </w:t>
            </w:r>
            <w:r w:rsidR="007F587A" w:rsidRPr="00F419CF">
              <w:t>92476</w:t>
            </w:r>
            <w:r w:rsidRPr="00F419CF">
              <w:t xml:space="preserve"> applies has not been provided</w:t>
            </w:r>
          </w:p>
        </w:tc>
        <w:tc>
          <w:tcPr>
            <w:tcW w:w="908" w:type="pct"/>
            <w:gridSpan w:val="2"/>
            <w:tcBorders>
              <w:top w:val="single" w:sz="4" w:space="0" w:color="auto"/>
              <w:left w:val="nil"/>
              <w:bottom w:val="single" w:sz="4" w:space="0" w:color="auto"/>
              <w:right w:val="nil"/>
            </w:tcBorders>
            <w:shd w:val="clear" w:color="auto" w:fill="auto"/>
            <w:hideMark/>
          </w:tcPr>
          <w:p w14:paraId="36DD39AF" w14:textId="77777777" w:rsidR="006761FC" w:rsidRPr="00F419CF" w:rsidRDefault="006761FC" w:rsidP="00B60801">
            <w:pPr>
              <w:pStyle w:val="Tabletext"/>
              <w:jc w:val="right"/>
            </w:pPr>
            <w:r w:rsidRPr="00F419CF">
              <w:lastRenderedPageBreak/>
              <w:t>291.80</w:t>
            </w:r>
          </w:p>
        </w:tc>
      </w:tr>
      <w:tr w:rsidR="00471FE4" w:rsidRPr="00F419CF" w14:paraId="3E5027C9" w14:textId="77777777" w:rsidTr="00B60801">
        <w:trPr>
          <w:gridAfter w:val="1"/>
          <w:wAfter w:w="41" w:type="pct"/>
        </w:trPr>
        <w:tc>
          <w:tcPr>
            <w:tcW w:w="688" w:type="pct"/>
            <w:tcBorders>
              <w:top w:val="single" w:sz="4" w:space="0" w:color="auto"/>
              <w:left w:val="nil"/>
              <w:bottom w:val="single" w:sz="4" w:space="0" w:color="auto"/>
              <w:right w:val="nil"/>
            </w:tcBorders>
            <w:shd w:val="clear" w:color="auto" w:fill="auto"/>
          </w:tcPr>
          <w:p w14:paraId="76991FE7" w14:textId="6B69E491" w:rsidR="000A74E6" w:rsidRPr="00F419CF" w:rsidRDefault="000A74E6" w:rsidP="00B60801">
            <w:pPr>
              <w:pStyle w:val="Tabletext"/>
            </w:pPr>
            <w:r w:rsidRPr="00F419CF">
              <w:t>92437</w:t>
            </w:r>
          </w:p>
          <w:p w14:paraId="2EDC8ABD" w14:textId="08204F3A" w:rsidR="006761FC" w:rsidRPr="00F419CF" w:rsidRDefault="006761FC" w:rsidP="007F587A">
            <w:pPr>
              <w:pStyle w:val="Tabletext"/>
            </w:pPr>
          </w:p>
        </w:tc>
        <w:tc>
          <w:tcPr>
            <w:tcW w:w="3363" w:type="pct"/>
            <w:gridSpan w:val="2"/>
            <w:tcBorders>
              <w:top w:val="single" w:sz="4" w:space="0" w:color="auto"/>
              <w:left w:val="nil"/>
              <w:bottom w:val="single" w:sz="4" w:space="0" w:color="auto"/>
              <w:right w:val="nil"/>
            </w:tcBorders>
            <w:shd w:val="clear" w:color="auto" w:fill="auto"/>
          </w:tcPr>
          <w:p w14:paraId="5DC34176" w14:textId="5050D91E" w:rsidR="006761FC" w:rsidRPr="00F419CF" w:rsidRDefault="006761FC" w:rsidP="00B60801">
            <w:pPr>
              <w:pStyle w:val="Tabletext"/>
            </w:pPr>
            <w:r w:rsidRPr="00F419CF">
              <w:t>Telehealth attendance of more than 45 minutes in duration by a consultant physician in the practice of the consultant physician’s speciality of psychiatry following referral of the patient to the consultant physician by a referring practitioner:</w:t>
            </w:r>
          </w:p>
          <w:p w14:paraId="48A62C77" w14:textId="6BDD74D8" w:rsidR="00B71FB1" w:rsidRPr="00F419CF" w:rsidRDefault="006761FC" w:rsidP="00B60801">
            <w:pPr>
              <w:pStyle w:val="Tablea"/>
            </w:pPr>
            <w:r w:rsidRPr="00F419CF">
              <w:t xml:space="preserve">(a) </w:t>
            </w:r>
            <w:r w:rsidR="00B71FB1" w:rsidRPr="00F419CF">
              <w:t>if the patient:</w:t>
            </w:r>
          </w:p>
          <w:p w14:paraId="5994C296" w14:textId="14E3747C" w:rsidR="00B71FB1" w:rsidRPr="00F419CF" w:rsidRDefault="00B71FB1" w:rsidP="00B71FB1">
            <w:pPr>
              <w:pStyle w:val="Tablei"/>
            </w:pPr>
            <w:r w:rsidRPr="00F419CF">
              <w:t>(i) is a new patient for this consultant physician; or</w:t>
            </w:r>
          </w:p>
          <w:p w14:paraId="53BD788F" w14:textId="2BACE465" w:rsidR="00253E55" w:rsidRPr="00F419CF" w:rsidRDefault="00B71FB1" w:rsidP="00253E55">
            <w:pPr>
              <w:pStyle w:val="Tablei"/>
            </w:pPr>
            <w:r w:rsidRPr="00F419CF">
              <w:t>(ii) has not received an attendance from this consultant physician in the preceding 24 months; and</w:t>
            </w:r>
          </w:p>
          <w:p w14:paraId="35F340D2" w14:textId="1B9347A6" w:rsidR="00253E55" w:rsidRPr="00F419CF" w:rsidRDefault="00253E55" w:rsidP="007F587A">
            <w:pPr>
              <w:pStyle w:val="Tablea"/>
            </w:pPr>
            <w:r w:rsidRPr="00F419CF">
              <w:t xml:space="preserve">(b) the patient has not received an attendance under this item, </w:t>
            </w:r>
            <w:r w:rsidRPr="00F419CF">
              <w:rPr>
                <w:shd w:val="clear" w:color="auto" w:fill="FFFFFF"/>
              </w:rPr>
              <w:t xml:space="preserve">item 296, 297, 299 or 92477, or any of items 300 to 346, 353 to 358, 361 to 370, </w:t>
            </w:r>
            <w:r w:rsidR="007F587A" w:rsidRPr="00F419CF">
              <w:t xml:space="preserve">91827 to 91831 </w:t>
            </w:r>
            <w:r w:rsidRPr="00F419CF">
              <w:t xml:space="preserve">or 91837 to 91841, </w:t>
            </w:r>
            <w:r w:rsidRPr="00F419CF">
              <w:rPr>
                <w:shd w:val="clear" w:color="auto" w:fill="FFFFFF"/>
              </w:rPr>
              <w:t>in the preceding 24 months.</w:t>
            </w:r>
          </w:p>
        </w:tc>
        <w:tc>
          <w:tcPr>
            <w:tcW w:w="908" w:type="pct"/>
            <w:gridSpan w:val="2"/>
            <w:tcBorders>
              <w:top w:val="single" w:sz="4" w:space="0" w:color="auto"/>
              <w:left w:val="nil"/>
              <w:bottom w:val="single" w:sz="4" w:space="0" w:color="auto"/>
              <w:right w:val="nil"/>
            </w:tcBorders>
            <w:shd w:val="clear" w:color="auto" w:fill="auto"/>
          </w:tcPr>
          <w:p w14:paraId="500A82FE" w14:textId="77777777" w:rsidR="006761FC" w:rsidRPr="00F419CF" w:rsidRDefault="006761FC" w:rsidP="00B60801">
            <w:pPr>
              <w:pStyle w:val="Tabletext"/>
              <w:jc w:val="right"/>
            </w:pPr>
            <w:r w:rsidRPr="00F419CF">
              <w:t>268.45</w:t>
            </w:r>
          </w:p>
        </w:tc>
      </w:tr>
      <w:tr w:rsidR="00471FE4" w:rsidRPr="00F419CF" w14:paraId="4D07E6A5" w14:textId="77777777" w:rsidTr="00B60801">
        <w:tc>
          <w:tcPr>
            <w:tcW w:w="694" w:type="pct"/>
            <w:gridSpan w:val="2"/>
            <w:tcBorders>
              <w:top w:val="single" w:sz="4" w:space="0" w:color="auto"/>
              <w:left w:val="nil"/>
              <w:bottom w:val="single" w:sz="4" w:space="0" w:color="auto"/>
              <w:right w:val="nil"/>
            </w:tcBorders>
            <w:shd w:val="clear" w:color="auto" w:fill="auto"/>
            <w:hideMark/>
          </w:tcPr>
          <w:p w14:paraId="241317DF" w14:textId="57B23FDA" w:rsidR="006761FC" w:rsidRPr="00F419CF" w:rsidRDefault="006761FC" w:rsidP="00B60801">
            <w:pPr>
              <w:pStyle w:val="Tabletext"/>
            </w:pPr>
            <w:bookmarkStart w:id="15" w:name="CU_389693"/>
            <w:bookmarkStart w:id="16" w:name="CU_391170"/>
            <w:bookmarkEnd w:id="15"/>
            <w:bookmarkEnd w:id="16"/>
            <w:r w:rsidRPr="00F419CF">
              <w:t>92458</w:t>
            </w:r>
          </w:p>
          <w:p w14:paraId="6B76F21A" w14:textId="77777777" w:rsidR="006761FC" w:rsidRPr="00F419CF" w:rsidRDefault="006761FC" w:rsidP="007F587A">
            <w:pPr>
              <w:pStyle w:val="Tabletext"/>
            </w:pPr>
          </w:p>
        </w:tc>
        <w:tc>
          <w:tcPr>
            <w:tcW w:w="3391" w:type="pct"/>
            <w:gridSpan w:val="2"/>
            <w:tcBorders>
              <w:top w:val="single" w:sz="4" w:space="0" w:color="auto"/>
              <w:left w:val="nil"/>
              <w:bottom w:val="single" w:sz="4" w:space="0" w:color="auto"/>
              <w:right w:val="nil"/>
            </w:tcBorders>
            <w:shd w:val="clear" w:color="auto" w:fill="auto"/>
            <w:hideMark/>
          </w:tcPr>
          <w:p w14:paraId="4D32AE74" w14:textId="77777777" w:rsidR="006761FC" w:rsidRPr="00F419CF" w:rsidRDefault="006761FC" w:rsidP="00B60801">
            <w:pPr>
              <w:pStyle w:val="Tabletext"/>
            </w:pPr>
            <w:r w:rsidRPr="00F419CF">
              <w:t>Telehealth attendance by a consultant physician in the practice of the consultant physician’s specialty of psychiatry, following referral of the patient to the consultant physician by a referring practitioner, involving an interview of a person other than the patient of not less than 20 minutes, but less than 45 minutes, in duration, in the course of initial diagnostic evaluation of a patient</w:t>
            </w:r>
          </w:p>
        </w:tc>
        <w:tc>
          <w:tcPr>
            <w:tcW w:w="915" w:type="pct"/>
            <w:gridSpan w:val="2"/>
            <w:tcBorders>
              <w:top w:val="single" w:sz="4" w:space="0" w:color="auto"/>
              <w:left w:val="nil"/>
              <w:bottom w:val="single" w:sz="4" w:space="0" w:color="auto"/>
              <w:right w:val="nil"/>
            </w:tcBorders>
            <w:shd w:val="clear" w:color="auto" w:fill="auto"/>
            <w:hideMark/>
          </w:tcPr>
          <w:p w14:paraId="2C5B7E45" w14:textId="77777777" w:rsidR="006761FC" w:rsidRPr="00F419CF" w:rsidRDefault="006761FC" w:rsidP="00B60801">
            <w:pPr>
              <w:pStyle w:val="Tabletext"/>
              <w:jc w:val="right"/>
            </w:pPr>
            <w:r w:rsidRPr="00F419CF">
              <w:t>130.70</w:t>
            </w:r>
          </w:p>
        </w:tc>
      </w:tr>
      <w:tr w:rsidR="00471FE4" w:rsidRPr="00F419CF" w14:paraId="621212F5" w14:textId="77777777" w:rsidTr="00B60801">
        <w:tc>
          <w:tcPr>
            <w:tcW w:w="694" w:type="pct"/>
            <w:gridSpan w:val="2"/>
            <w:tcBorders>
              <w:top w:val="single" w:sz="4" w:space="0" w:color="auto"/>
              <w:left w:val="nil"/>
              <w:bottom w:val="single" w:sz="4" w:space="0" w:color="auto"/>
              <w:right w:val="nil"/>
            </w:tcBorders>
            <w:shd w:val="clear" w:color="auto" w:fill="auto"/>
            <w:hideMark/>
          </w:tcPr>
          <w:p w14:paraId="43283004" w14:textId="77777777" w:rsidR="006761FC" w:rsidRPr="00F419CF" w:rsidRDefault="006761FC" w:rsidP="00B60801">
            <w:pPr>
              <w:pStyle w:val="Tabletext"/>
            </w:pPr>
            <w:bookmarkStart w:id="17" w:name="CU_35107077"/>
            <w:bookmarkStart w:id="18" w:name="CU_35108554"/>
            <w:bookmarkEnd w:id="17"/>
            <w:bookmarkEnd w:id="18"/>
            <w:r w:rsidRPr="00F419CF">
              <w:t>92459</w:t>
            </w:r>
          </w:p>
          <w:p w14:paraId="77C6EEC1" w14:textId="7C3062C0" w:rsidR="006761FC" w:rsidRPr="00F419CF" w:rsidRDefault="006761FC" w:rsidP="00B60801">
            <w:pPr>
              <w:pStyle w:val="Tabletext"/>
            </w:pPr>
          </w:p>
        </w:tc>
        <w:tc>
          <w:tcPr>
            <w:tcW w:w="3391" w:type="pct"/>
            <w:gridSpan w:val="2"/>
            <w:tcBorders>
              <w:top w:val="single" w:sz="4" w:space="0" w:color="auto"/>
              <w:left w:val="nil"/>
              <w:bottom w:val="single" w:sz="4" w:space="0" w:color="auto"/>
              <w:right w:val="nil"/>
            </w:tcBorders>
            <w:shd w:val="clear" w:color="auto" w:fill="auto"/>
            <w:hideMark/>
          </w:tcPr>
          <w:p w14:paraId="25C25222" w14:textId="77777777" w:rsidR="006761FC" w:rsidRPr="00F419CF" w:rsidRDefault="006761FC" w:rsidP="00B60801">
            <w:pPr>
              <w:pStyle w:val="Tabletext"/>
            </w:pPr>
            <w:r w:rsidRPr="00F419CF">
              <w:t>Telehealth attendance by a consultant physician in the practice of the consultant physician’s specialty of psychiatry, following referral of the patient to the consultant physician by a referring practitioner, involving an interview of a person other than the patient of not less than 45 minutes in duration, in the course of initial diagnostic evaluation of a patient</w:t>
            </w:r>
          </w:p>
        </w:tc>
        <w:tc>
          <w:tcPr>
            <w:tcW w:w="915" w:type="pct"/>
            <w:gridSpan w:val="2"/>
            <w:tcBorders>
              <w:top w:val="single" w:sz="4" w:space="0" w:color="auto"/>
              <w:left w:val="nil"/>
              <w:bottom w:val="single" w:sz="4" w:space="0" w:color="auto"/>
              <w:right w:val="nil"/>
            </w:tcBorders>
            <w:shd w:val="clear" w:color="auto" w:fill="auto"/>
            <w:hideMark/>
          </w:tcPr>
          <w:p w14:paraId="2AD5AB1C" w14:textId="77777777" w:rsidR="006761FC" w:rsidRPr="00F419CF" w:rsidRDefault="006761FC" w:rsidP="00B60801">
            <w:pPr>
              <w:pStyle w:val="Tabletext"/>
              <w:jc w:val="right"/>
            </w:pPr>
            <w:r w:rsidRPr="00F419CF">
              <w:t>180.45</w:t>
            </w:r>
          </w:p>
        </w:tc>
      </w:tr>
      <w:tr w:rsidR="00471FE4" w:rsidRPr="00F419CF" w14:paraId="369415D1" w14:textId="77777777" w:rsidTr="00B60801">
        <w:tc>
          <w:tcPr>
            <w:tcW w:w="694" w:type="pct"/>
            <w:gridSpan w:val="2"/>
            <w:tcBorders>
              <w:top w:val="single" w:sz="4" w:space="0" w:color="auto"/>
              <w:left w:val="nil"/>
              <w:bottom w:val="single" w:sz="4" w:space="0" w:color="auto"/>
              <w:right w:val="nil"/>
            </w:tcBorders>
            <w:shd w:val="clear" w:color="auto" w:fill="auto"/>
            <w:hideMark/>
          </w:tcPr>
          <w:p w14:paraId="6A6E2D46" w14:textId="77777777" w:rsidR="006761FC" w:rsidRPr="00F419CF" w:rsidRDefault="006761FC" w:rsidP="00B60801">
            <w:pPr>
              <w:pStyle w:val="Tabletext"/>
            </w:pPr>
            <w:r w:rsidRPr="00F419CF">
              <w:t>92460</w:t>
            </w:r>
          </w:p>
          <w:p w14:paraId="1FCBC254" w14:textId="67494979" w:rsidR="006761FC" w:rsidRPr="00F419CF" w:rsidRDefault="006761FC" w:rsidP="00B60801">
            <w:pPr>
              <w:pStyle w:val="Tabletext"/>
            </w:pPr>
          </w:p>
        </w:tc>
        <w:tc>
          <w:tcPr>
            <w:tcW w:w="3391" w:type="pct"/>
            <w:gridSpan w:val="2"/>
            <w:tcBorders>
              <w:top w:val="single" w:sz="4" w:space="0" w:color="auto"/>
              <w:left w:val="nil"/>
              <w:bottom w:val="single" w:sz="4" w:space="0" w:color="auto"/>
              <w:right w:val="nil"/>
            </w:tcBorders>
            <w:shd w:val="clear" w:color="auto" w:fill="auto"/>
            <w:hideMark/>
          </w:tcPr>
          <w:p w14:paraId="66EAD992" w14:textId="1DE204EB" w:rsidR="006761FC" w:rsidRPr="00F419CF" w:rsidRDefault="006761FC" w:rsidP="007F587A">
            <w:pPr>
              <w:pStyle w:val="Tabletext"/>
            </w:pPr>
            <w:r w:rsidRPr="00F419CF">
              <w:t xml:space="preserve">Telehealth attendance by a consultant physician in the practice of the consultant physician’s specialty of psychiatry, following referral of the patient to the consultant physician by a referring practitioner, involving an interview of a person other than the patient of not less than 20 minutes in duration, in the course of continuing management of a patient—if that attendance and another attendance to which this item </w:t>
            </w:r>
            <w:r w:rsidR="007F587A" w:rsidRPr="00F419CF">
              <w:t xml:space="preserve">or item 352 or 92500 </w:t>
            </w:r>
            <w:r w:rsidRPr="00F419CF">
              <w:t>applies have not exceeded 4 in a calendar year for the patient</w:t>
            </w:r>
          </w:p>
        </w:tc>
        <w:tc>
          <w:tcPr>
            <w:tcW w:w="915" w:type="pct"/>
            <w:gridSpan w:val="2"/>
            <w:tcBorders>
              <w:top w:val="single" w:sz="4" w:space="0" w:color="auto"/>
              <w:left w:val="nil"/>
              <w:bottom w:val="single" w:sz="4" w:space="0" w:color="auto"/>
              <w:right w:val="nil"/>
            </w:tcBorders>
            <w:shd w:val="clear" w:color="auto" w:fill="auto"/>
            <w:hideMark/>
          </w:tcPr>
          <w:p w14:paraId="5AA993B3" w14:textId="77777777" w:rsidR="006761FC" w:rsidRPr="00F419CF" w:rsidRDefault="006761FC" w:rsidP="00B60801">
            <w:pPr>
              <w:pStyle w:val="Tabletext"/>
              <w:jc w:val="right"/>
            </w:pPr>
            <w:r w:rsidRPr="00F419CF">
              <w:t>130.70</w:t>
            </w:r>
          </w:p>
        </w:tc>
      </w:tr>
    </w:tbl>
    <w:p w14:paraId="6A15B9F5" w14:textId="1054279E" w:rsidR="006761FC" w:rsidRPr="00F419CF" w:rsidRDefault="0093791F" w:rsidP="006761FC">
      <w:pPr>
        <w:pStyle w:val="ItemHead"/>
      </w:pPr>
      <w:r w:rsidRPr="00F419CF">
        <w:t>12</w:t>
      </w:r>
      <w:r w:rsidR="006761FC" w:rsidRPr="00F419CF">
        <w:t xml:space="preserve"> Schedule 2 (after item 91836)</w:t>
      </w:r>
    </w:p>
    <w:p w14:paraId="5E8BCD56" w14:textId="77777777" w:rsidR="006761FC" w:rsidRPr="00F419CF" w:rsidRDefault="006761FC" w:rsidP="006761FC">
      <w:pPr>
        <w:pStyle w:val="Item"/>
      </w:pPr>
      <w:r w:rsidRPr="00F419CF">
        <w:t>Insert:</w:t>
      </w:r>
    </w:p>
    <w:p w14:paraId="34513436" w14:textId="77777777" w:rsidR="006761FC" w:rsidRPr="00F419CF" w:rsidRDefault="006761FC" w:rsidP="006761FC"/>
    <w:tbl>
      <w:tblPr>
        <w:tblW w:w="4909" w:type="pct"/>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1120"/>
        <w:gridCol w:w="5798"/>
        <w:gridCol w:w="1244"/>
      </w:tblGrid>
      <w:tr w:rsidR="00471FE4" w:rsidRPr="00F419CF" w14:paraId="440E1DF0" w14:textId="77777777" w:rsidTr="00B60801">
        <w:trPr>
          <w:trHeight w:val="549"/>
        </w:trPr>
        <w:tc>
          <w:tcPr>
            <w:tcW w:w="686" w:type="pct"/>
            <w:tcBorders>
              <w:top w:val="single" w:sz="2" w:space="0" w:color="auto"/>
              <w:left w:val="nil"/>
              <w:bottom w:val="single" w:sz="2" w:space="0" w:color="auto"/>
              <w:right w:val="nil"/>
            </w:tcBorders>
            <w:shd w:val="clear" w:color="auto" w:fill="auto"/>
            <w:hideMark/>
          </w:tcPr>
          <w:p w14:paraId="2A4CB889" w14:textId="77777777" w:rsidR="006761FC" w:rsidRPr="00F419CF" w:rsidRDefault="006761FC" w:rsidP="00B60801">
            <w:pPr>
              <w:pStyle w:val="Tabletext"/>
            </w:pPr>
            <w:r w:rsidRPr="00F419CF">
              <w:t>92431</w:t>
            </w:r>
          </w:p>
          <w:p w14:paraId="0ADEDCF2" w14:textId="07C6AF30" w:rsidR="006761FC" w:rsidRPr="00F419CF" w:rsidRDefault="006761FC" w:rsidP="007F587A">
            <w:pPr>
              <w:pStyle w:val="Notetodelete"/>
              <w:rPr>
                <w:color w:val="auto"/>
              </w:rPr>
            </w:pPr>
          </w:p>
        </w:tc>
        <w:tc>
          <w:tcPr>
            <w:tcW w:w="3552" w:type="pct"/>
            <w:tcBorders>
              <w:top w:val="single" w:sz="2" w:space="0" w:color="auto"/>
              <w:left w:val="nil"/>
              <w:bottom w:val="single" w:sz="2" w:space="0" w:color="auto"/>
              <w:right w:val="nil"/>
            </w:tcBorders>
            <w:shd w:val="clear" w:color="auto" w:fill="auto"/>
            <w:hideMark/>
          </w:tcPr>
          <w:p w14:paraId="22CEE09F" w14:textId="77777777" w:rsidR="006761FC" w:rsidRPr="00F419CF" w:rsidRDefault="006761FC" w:rsidP="00B60801">
            <w:pPr>
              <w:pStyle w:val="Tabletext"/>
            </w:pPr>
            <w:r w:rsidRPr="00F419CF">
              <w:t>Phone attendance by a consultant physician in the practice of the consultant physician’s specialty (other than psychiatry) of at least 45 minutes in duration for an initial assessment of a patient with at least 2 morbidities (which may include complex congenital, developmental and behavioural disorders) following referral of the patient to the consultant physician by a referring practitioner, if:</w:t>
            </w:r>
          </w:p>
          <w:p w14:paraId="758BE9C8" w14:textId="77777777" w:rsidR="006761FC" w:rsidRPr="00F419CF" w:rsidRDefault="006761FC" w:rsidP="00B60801">
            <w:pPr>
              <w:pStyle w:val="Tablea"/>
            </w:pPr>
            <w:r w:rsidRPr="00F419CF">
              <w:t>(a) an assessment is undertaken that covers:</w:t>
            </w:r>
          </w:p>
          <w:p w14:paraId="13949C70" w14:textId="77777777" w:rsidR="006761FC" w:rsidRPr="00F419CF" w:rsidRDefault="006761FC" w:rsidP="00B60801">
            <w:pPr>
              <w:pStyle w:val="Tablei"/>
            </w:pPr>
            <w:r w:rsidRPr="00F419CF">
              <w:t>(i) a comprehensive history, including psychosocial history and medication review; and</w:t>
            </w:r>
          </w:p>
          <w:p w14:paraId="4742350D" w14:textId="77777777" w:rsidR="006761FC" w:rsidRPr="00F419CF" w:rsidRDefault="006761FC" w:rsidP="00B60801">
            <w:pPr>
              <w:pStyle w:val="Tablei"/>
            </w:pPr>
            <w:r w:rsidRPr="00F419CF">
              <w:t>(ii) comprehensive multi or detailed single organ system assessment; and</w:t>
            </w:r>
          </w:p>
          <w:p w14:paraId="51FA0EAF" w14:textId="77777777" w:rsidR="006761FC" w:rsidRPr="00F419CF" w:rsidRDefault="006761FC" w:rsidP="00B60801">
            <w:pPr>
              <w:pStyle w:val="Tablei"/>
            </w:pPr>
            <w:r w:rsidRPr="00F419CF">
              <w:t>(iii) the formulation of differential diagnoses; and</w:t>
            </w:r>
          </w:p>
          <w:p w14:paraId="01123D0C" w14:textId="77777777" w:rsidR="006761FC" w:rsidRPr="00F419CF" w:rsidRDefault="006761FC" w:rsidP="00B60801">
            <w:pPr>
              <w:pStyle w:val="Tablea"/>
            </w:pPr>
            <w:r w:rsidRPr="00F419CF">
              <w:lastRenderedPageBreak/>
              <w:t>(b) a consultant physician treatment and management plan of significant complexity is prepared and provided to the referring practitioner, which involves:</w:t>
            </w:r>
          </w:p>
          <w:p w14:paraId="33BCB74C" w14:textId="77777777" w:rsidR="006761FC" w:rsidRPr="00F419CF" w:rsidRDefault="006761FC" w:rsidP="00B60801">
            <w:pPr>
              <w:pStyle w:val="Tablei"/>
            </w:pPr>
            <w:r w:rsidRPr="00F419CF">
              <w:t>(i) an opinion on diagnosis and risk assessment; and</w:t>
            </w:r>
          </w:p>
          <w:p w14:paraId="69D0B274" w14:textId="77777777" w:rsidR="006761FC" w:rsidRPr="00F419CF" w:rsidRDefault="006761FC" w:rsidP="00B60801">
            <w:pPr>
              <w:pStyle w:val="Tablei"/>
            </w:pPr>
            <w:r w:rsidRPr="00F419CF">
              <w:t>(ii) treatment options and decisions; and</w:t>
            </w:r>
          </w:p>
          <w:p w14:paraId="065AFB4D" w14:textId="77777777" w:rsidR="006761FC" w:rsidRPr="00F419CF" w:rsidRDefault="006761FC" w:rsidP="00B60801">
            <w:pPr>
              <w:pStyle w:val="Tablei"/>
            </w:pPr>
            <w:r w:rsidRPr="00F419CF">
              <w:t>(iii) medication recommendations; and</w:t>
            </w:r>
          </w:p>
          <w:p w14:paraId="6B676B06" w14:textId="3B5AE7A5" w:rsidR="006761FC" w:rsidRPr="00F419CF" w:rsidRDefault="006761FC" w:rsidP="00B60801">
            <w:pPr>
              <w:pStyle w:val="Tablea"/>
            </w:pPr>
            <w:r w:rsidRPr="00F419CF">
              <w:t>(c) an attendance on the patient to which item </w:t>
            </w:r>
            <w:r w:rsidR="007F587A" w:rsidRPr="00F419CF">
              <w:t>110, 116, 119, 91824, 91834, 91825, 91835, 91826 or 91836</w:t>
            </w:r>
            <w:r w:rsidRPr="00F419CF">
              <w:t xml:space="preserve"> applies did not take place on the same day by the same consultant physician; and</w:t>
            </w:r>
          </w:p>
          <w:p w14:paraId="7981ABE7" w14:textId="53883448" w:rsidR="006761FC" w:rsidRPr="00F419CF" w:rsidRDefault="006761FC" w:rsidP="00B60801">
            <w:pPr>
              <w:pStyle w:val="Tablea"/>
            </w:pPr>
            <w:r w:rsidRPr="00F419CF">
              <w:t xml:space="preserve">(d) this item </w:t>
            </w:r>
            <w:r w:rsidR="007F587A" w:rsidRPr="00F419CF">
              <w:t>or item 132 or 92422</w:t>
            </w:r>
            <w:r w:rsidRPr="00F419CF">
              <w:t xml:space="preserve"> has not applied to an attendance on the patient in the preceding 12 months by the same consultant physician</w:t>
            </w:r>
          </w:p>
        </w:tc>
        <w:tc>
          <w:tcPr>
            <w:tcW w:w="762" w:type="pct"/>
            <w:tcBorders>
              <w:top w:val="single" w:sz="2" w:space="0" w:color="auto"/>
              <w:left w:val="nil"/>
              <w:bottom w:val="single" w:sz="2" w:space="0" w:color="auto"/>
              <w:right w:val="nil"/>
            </w:tcBorders>
            <w:shd w:val="clear" w:color="auto" w:fill="auto"/>
            <w:hideMark/>
          </w:tcPr>
          <w:p w14:paraId="7EACBE51" w14:textId="77777777" w:rsidR="006761FC" w:rsidRPr="00F419CF" w:rsidRDefault="006761FC" w:rsidP="00B60801">
            <w:pPr>
              <w:pStyle w:val="Tabletext"/>
              <w:jc w:val="right"/>
            </w:pPr>
            <w:r w:rsidRPr="00F419CF">
              <w:lastRenderedPageBreak/>
              <w:t>272.15</w:t>
            </w:r>
          </w:p>
        </w:tc>
      </w:tr>
      <w:tr w:rsidR="00471FE4" w:rsidRPr="00F419CF" w14:paraId="47039286" w14:textId="77777777" w:rsidTr="00B60801">
        <w:trPr>
          <w:trHeight w:val="477"/>
        </w:trPr>
        <w:tc>
          <w:tcPr>
            <w:tcW w:w="686" w:type="pct"/>
            <w:tcBorders>
              <w:top w:val="single" w:sz="2" w:space="0" w:color="auto"/>
              <w:left w:val="nil"/>
              <w:bottom w:val="single" w:sz="2" w:space="0" w:color="auto"/>
              <w:right w:val="nil"/>
            </w:tcBorders>
            <w:shd w:val="clear" w:color="auto" w:fill="auto"/>
            <w:hideMark/>
          </w:tcPr>
          <w:p w14:paraId="6C9F6B68" w14:textId="77777777" w:rsidR="006761FC" w:rsidRPr="00F419CF" w:rsidRDefault="006761FC" w:rsidP="00B60801">
            <w:pPr>
              <w:pStyle w:val="Tabletext"/>
            </w:pPr>
            <w:r w:rsidRPr="00F419CF">
              <w:t>92432</w:t>
            </w:r>
          </w:p>
          <w:p w14:paraId="3AE87236" w14:textId="6405822E" w:rsidR="006761FC" w:rsidRPr="00F419CF" w:rsidRDefault="006761FC" w:rsidP="007F587A">
            <w:pPr>
              <w:pStyle w:val="Notetodelete"/>
              <w:rPr>
                <w:color w:val="auto"/>
              </w:rPr>
            </w:pPr>
          </w:p>
        </w:tc>
        <w:tc>
          <w:tcPr>
            <w:tcW w:w="3552" w:type="pct"/>
            <w:tcBorders>
              <w:top w:val="single" w:sz="2" w:space="0" w:color="auto"/>
              <w:left w:val="nil"/>
              <w:bottom w:val="single" w:sz="2" w:space="0" w:color="auto"/>
              <w:right w:val="nil"/>
            </w:tcBorders>
            <w:shd w:val="clear" w:color="auto" w:fill="auto"/>
            <w:hideMark/>
          </w:tcPr>
          <w:p w14:paraId="02725E28" w14:textId="77777777" w:rsidR="006761FC" w:rsidRPr="00F419CF" w:rsidRDefault="006761FC" w:rsidP="00B60801">
            <w:pPr>
              <w:pStyle w:val="Tabletext"/>
            </w:pPr>
            <w:r w:rsidRPr="00F419CF">
              <w:t>Phone attendance by a consultant physician in the practice of the consultant physician’s specialty (other than psychiatry) of at least 20 minutes in duration after the first attendance in a single course of treatment for a review of a patient with at least 2 morbidities (which may include complex congenital, developmental and behavioural disorders) if:</w:t>
            </w:r>
          </w:p>
          <w:p w14:paraId="7892E484" w14:textId="77777777" w:rsidR="006761FC" w:rsidRPr="00F419CF" w:rsidRDefault="006761FC" w:rsidP="00B60801">
            <w:pPr>
              <w:pStyle w:val="Tablea"/>
            </w:pPr>
            <w:r w:rsidRPr="00F419CF">
              <w:t>(a) a review is undertaken that covers:</w:t>
            </w:r>
          </w:p>
          <w:p w14:paraId="3655A0CE" w14:textId="77777777" w:rsidR="006761FC" w:rsidRPr="00F419CF" w:rsidRDefault="006761FC" w:rsidP="00B60801">
            <w:pPr>
              <w:pStyle w:val="Tablei"/>
            </w:pPr>
            <w:r w:rsidRPr="00F419CF">
              <w:t>(i) review of initial presenting problems and results of diagnostic investigations; and</w:t>
            </w:r>
          </w:p>
          <w:p w14:paraId="0E06CB31" w14:textId="77777777" w:rsidR="006761FC" w:rsidRPr="00F419CF" w:rsidRDefault="006761FC" w:rsidP="00B60801">
            <w:pPr>
              <w:pStyle w:val="Tablei"/>
            </w:pPr>
            <w:r w:rsidRPr="00F419CF">
              <w:t>(ii) review of responses to treatment and medication plans initiated at time of initial consultation; and</w:t>
            </w:r>
          </w:p>
          <w:p w14:paraId="35ADCDCD" w14:textId="77777777" w:rsidR="006761FC" w:rsidRPr="00F419CF" w:rsidRDefault="006761FC" w:rsidP="00B60801">
            <w:pPr>
              <w:pStyle w:val="Tablei"/>
            </w:pPr>
            <w:r w:rsidRPr="00F419CF">
              <w:t>(iii) comprehensive multi or detailed single organ system assessment; and</w:t>
            </w:r>
          </w:p>
          <w:p w14:paraId="67BCF162" w14:textId="77777777" w:rsidR="006761FC" w:rsidRPr="00F419CF" w:rsidRDefault="006761FC" w:rsidP="00B60801">
            <w:pPr>
              <w:pStyle w:val="Tablei"/>
            </w:pPr>
            <w:r w:rsidRPr="00F419CF">
              <w:t>(iv) review of original and differential diagnoses; and</w:t>
            </w:r>
          </w:p>
          <w:p w14:paraId="56853A7B" w14:textId="77777777" w:rsidR="006761FC" w:rsidRPr="00F419CF" w:rsidRDefault="006761FC" w:rsidP="00B60801">
            <w:pPr>
              <w:pStyle w:val="Tablea"/>
            </w:pPr>
            <w:r w:rsidRPr="00F419CF">
              <w:t>(b) the modified consultant physician treatment and management plan is provided to the referring practitioner, which involves, if appropriate:</w:t>
            </w:r>
          </w:p>
          <w:p w14:paraId="50216084" w14:textId="77777777" w:rsidR="006761FC" w:rsidRPr="00F419CF" w:rsidRDefault="006761FC" w:rsidP="00B60801">
            <w:pPr>
              <w:pStyle w:val="Tablei"/>
            </w:pPr>
            <w:r w:rsidRPr="00F419CF">
              <w:t>(i) a revised opinion on the diagnosis and risk assessment; and</w:t>
            </w:r>
          </w:p>
          <w:p w14:paraId="2B808E02" w14:textId="77777777" w:rsidR="006761FC" w:rsidRPr="00F419CF" w:rsidRDefault="006761FC" w:rsidP="00B60801">
            <w:pPr>
              <w:pStyle w:val="Tablei"/>
            </w:pPr>
            <w:r w:rsidRPr="00F419CF">
              <w:t>(ii) treatment options and decisions; and</w:t>
            </w:r>
          </w:p>
          <w:p w14:paraId="7DD4A556" w14:textId="77777777" w:rsidR="006761FC" w:rsidRPr="00F419CF" w:rsidRDefault="006761FC" w:rsidP="00B60801">
            <w:pPr>
              <w:pStyle w:val="Tablei"/>
            </w:pPr>
            <w:r w:rsidRPr="00F419CF">
              <w:t>(iii) revised medication recommendations; and</w:t>
            </w:r>
          </w:p>
          <w:p w14:paraId="61D7C070" w14:textId="32C3BD41" w:rsidR="006761FC" w:rsidRPr="00F419CF" w:rsidRDefault="006761FC" w:rsidP="00B60801">
            <w:pPr>
              <w:pStyle w:val="Tablea"/>
            </w:pPr>
            <w:r w:rsidRPr="00F419CF">
              <w:t>(c) an attendance on the patient to which item </w:t>
            </w:r>
            <w:r w:rsidR="007F587A" w:rsidRPr="00F419CF">
              <w:t>110, 116, 119, 91824, 91834, 91825, 91835, 91826 or 91836</w:t>
            </w:r>
            <w:r w:rsidRPr="00F419CF">
              <w:t xml:space="preserve"> applies did not take place on the same day by the same consultant physician; and</w:t>
            </w:r>
          </w:p>
          <w:p w14:paraId="2CFE6D9E" w14:textId="1113A462" w:rsidR="006761FC" w:rsidRPr="00F419CF" w:rsidRDefault="006761FC" w:rsidP="00B60801">
            <w:pPr>
              <w:pStyle w:val="Tablea"/>
            </w:pPr>
            <w:r w:rsidRPr="00F419CF">
              <w:t xml:space="preserve">(d) item 132, </w:t>
            </w:r>
            <w:r w:rsidR="007F587A" w:rsidRPr="00F419CF">
              <w:t xml:space="preserve">92422 or 92431 </w:t>
            </w:r>
            <w:r w:rsidRPr="00F419CF">
              <w:t>applied to an attendance claimed in the preceding 12 months; and</w:t>
            </w:r>
          </w:p>
          <w:p w14:paraId="37C01393" w14:textId="3307CDD9" w:rsidR="006761FC" w:rsidRPr="00F419CF" w:rsidRDefault="006761FC" w:rsidP="00B60801">
            <w:pPr>
              <w:pStyle w:val="Tablea"/>
            </w:pPr>
            <w:r w:rsidRPr="00F419CF">
              <w:t xml:space="preserve">(e) the attendance under this item is claimed by the same consultant physician who claimed item 132, </w:t>
            </w:r>
            <w:r w:rsidR="007F587A" w:rsidRPr="00F419CF">
              <w:t>92422 or 92431</w:t>
            </w:r>
            <w:r w:rsidRPr="00F419CF">
              <w:t>; and</w:t>
            </w:r>
          </w:p>
          <w:p w14:paraId="5EBBCBB0" w14:textId="7E116783" w:rsidR="006761FC" w:rsidRPr="00F419CF" w:rsidRDefault="006761FC" w:rsidP="00B60801">
            <w:pPr>
              <w:pStyle w:val="Tablea"/>
            </w:pPr>
            <w:r w:rsidRPr="00F419CF">
              <w:t xml:space="preserve">(f) this item </w:t>
            </w:r>
            <w:r w:rsidR="007F587A" w:rsidRPr="00F419CF">
              <w:t>or item 133 or 92423</w:t>
            </w:r>
            <w:r w:rsidRPr="00F419CF">
              <w:t xml:space="preserve"> has not applied more than twice in any 12 month period</w:t>
            </w:r>
          </w:p>
        </w:tc>
        <w:tc>
          <w:tcPr>
            <w:tcW w:w="762" w:type="pct"/>
            <w:tcBorders>
              <w:top w:val="single" w:sz="2" w:space="0" w:color="auto"/>
              <w:left w:val="nil"/>
              <w:bottom w:val="single" w:sz="2" w:space="0" w:color="auto"/>
              <w:right w:val="nil"/>
            </w:tcBorders>
            <w:shd w:val="clear" w:color="auto" w:fill="auto"/>
            <w:hideMark/>
          </w:tcPr>
          <w:p w14:paraId="6581FE3F" w14:textId="77777777" w:rsidR="006761FC" w:rsidRPr="00F419CF" w:rsidRDefault="006761FC" w:rsidP="00B60801">
            <w:pPr>
              <w:pStyle w:val="Tabletext"/>
              <w:jc w:val="right"/>
            </w:pPr>
            <w:r w:rsidRPr="00F419CF">
              <w:t>136.25</w:t>
            </w:r>
          </w:p>
        </w:tc>
      </w:tr>
    </w:tbl>
    <w:p w14:paraId="6F18FE23" w14:textId="549B6452" w:rsidR="006761FC" w:rsidRPr="00F419CF" w:rsidRDefault="0093791F" w:rsidP="006761FC">
      <w:pPr>
        <w:pStyle w:val="ItemHead"/>
      </w:pPr>
      <w:r w:rsidRPr="00F419CF">
        <w:t>13</w:t>
      </w:r>
      <w:r w:rsidR="006761FC" w:rsidRPr="00F419CF">
        <w:t xml:space="preserve"> Schedule 2 (after item 91841)</w:t>
      </w:r>
    </w:p>
    <w:p w14:paraId="2CDA6E4A" w14:textId="77777777" w:rsidR="006761FC" w:rsidRPr="00F419CF" w:rsidRDefault="006761FC" w:rsidP="006761FC">
      <w:pPr>
        <w:pStyle w:val="Item"/>
      </w:pPr>
      <w:r w:rsidRPr="00F419CF">
        <w:t>Insert:</w:t>
      </w:r>
    </w:p>
    <w:p w14:paraId="1AC6F3D3" w14:textId="77777777" w:rsidR="00CD6CD4" w:rsidRPr="00F419CF" w:rsidRDefault="00CD6CD4" w:rsidP="00CD6CD4">
      <w:pPr>
        <w:pStyle w:val="ItemHead"/>
      </w:pPr>
    </w:p>
    <w:tbl>
      <w:tblPr>
        <w:tblW w:w="4918" w:type="pct"/>
        <w:tblInd w:w="77" w:type="dxa"/>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25"/>
        <w:gridCol w:w="10"/>
        <w:gridCol w:w="5490"/>
        <w:gridCol w:w="56"/>
        <w:gridCol w:w="1429"/>
        <w:gridCol w:w="67"/>
      </w:tblGrid>
      <w:tr w:rsidR="00471FE4" w:rsidRPr="00F419CF" w14:paraId="20B82B2E" w14:textId="77777777" w:rsidTr="00CD6CD4">
        <w:trPr>
          <w:gridAfter w:val="1"/>
          <w:wAfter w:w="41" w:type="pct"/>
        </w:trPr>
        <w:tc>
          <w:tcPr>
            <w:tcW w:w="688" w:type="pct"/>
            <w:tcBorders>
              <w:top w:val="single" w:sz="4" w:space="0" w:color="auto"/>
              <w:left w:val="nil"/>
              <w:bottom w:val="single" w:sz="4" w:space="0" w:color="auto"/>
              <w:right w:val="nil"/>
            </w:tcBorders>
            <w:shd w:val="clear" w:color="auto" w:fill="auto"/>
            <w:hideMark/>
          </w:tcPr>
          <w:p w14:paraId="32EA9736" w14:textId="00492D47" w:rsidR="00CD6CD4" w:rsidRPr="00F419CF" w:rsidRDefault="00CD6CD4" w:rsidP="007F587A">
            <w:pPr>
              <w:pStyle w:val="Tabletext"/>
            </w:pPr>
            <w:r w:rsidRPr="00F419CF">
              <w:t>92474</w:t>
            </w:r>
          </w:p>
        </w:tc>
        <w:tc>
          <w:tcPr>
            <w:tcW w:w="3363" w:type="pct"/>
            <w:gridSpan w:val="2"/>
            <w:tcBorders>
              <w:top w:val="single" w:sz="4" w:space="0" w:color="auto"/>
              <w:left w:val="nil"/>
              <w:bottom w:val="single" w:sz="4" w:space="0" w:color="auto"/>
              <w:right w:val="nil"/>
            </w:tcBorders>
            <w:shd w:val="clear" w:color="auto" w:fill="auto"/>
            <w:hideMark/>
          </w:tcPr>
          <w:p w14:paraId="6CB7BEF7" w14:textId="77777777" w:rsidR="00CD6CD4" w:rsidRPr="00F419CF" w:rsidRDefault="00CD6CD4" w:rsidP="00B60801">
            <w:pPr>
              <w:pStyle w:val="Tabletext"/>
            </w:pPr>
            <w:r w:rsidRPr="00F419CF">
              <w:t xml:space="preserve">Phone attendance of at least 45 minutes in duration , by a consultant physician in the practice of the consultant physician’s specialty of psychiatry, following referral of the patient to the consultant physician by a referring practitioner, for assessment, diagnosis and preparation of a treatment and management plan </w:t>
            </w:r>
            <w:r w:rsidRPr="00F419CF">
              <w:lastRenderedPageBreak/>
              <w:t>for a patient under 13 years with autism or another pervasive developmental disorder, if the consultant physician does all of the following:</w:t>
            </w:r>
          </w:p>
          <w:p w14:paraId="60260D74" w14:textId="77777777" w:rsidR="00CD6CD4" w:rsidRPr="00F419CF" w:rsidRDefault="00CD6CD4" w:rsidP="00CD6CD4">
            <w:pPr>
              <w:pStyle w:val="Tabletext"/>
            </w:pPr>
            <w:r w:rsidRPr="00F419CF">
              <w:t>(a) undertakes a comprehensive assessment and makes a diagnosis (if appropriate, using information provided by an eligible allied health provider);</w:t>
            </w:r>
          </w:p>
          <w:p w14:paraId="2EDF0192" w14:textId="77777777" w:rsidR="00CD6CD4" w:rsidRPr="00F419CF" w:rsidRDefault="00CD6CD4" w:rsidP="00CD6CD4">
            <w:pPr>
              <w:pStyle w:val="Tabletext"/>
            </w:pPr>
            <w:r w:rsidRPr="00F419CF">
              <w:t>(b) develops a treatment and management plan which must include the following:</w:t>
            </w:r>
          </w:p>
          <w:p w14:paraId="3C4BFD21" w14:textId="77777777" w:rsidR="00CD6CD4" w:rsidRPr="00F419CF" w:rsidRDefault="00CD6CD4" w:rsidP="00CD6CD4">
            <w:pPr>
              <w:pStyle w:val="Tablei"/>
            </w:pPr>
            <w:r w:rsidRPr="00F419CF">
              <w:t>(i) an assessment and diagnosis of the patient’s condition;</w:t>
            </w:r>
          </w:p>
          <w:p w14:paraId="4A3AB294" w14:textId="77777777" w:rsidR="00CD6CD4" w:rsidRPr="00F419CF" w:rsidRDefault="00CD6CD4" w:rsidP="00CD6CD4">
            <w:pPr>
              <w:pStyle w:val="Tablei"/>
            </w:pPr>
            <w:r w:rsidRPr="00F419CF">
              <w:t>(ii) a risk assessment;</w:t>
            </w:r>
          </w:p>
          <w:p w14:paraId="48E1BE91" w14:textId="77777777" w:rsidR="00CD6CD4" w:rsidRPr="00F419CF" w:rsidRDefault="00CD6CD4" w:rsidP="00CD6CD4">
            <w:pPr>
              <w:pStyle w:val="Tablei"/>
            </w:pPr>
            <w:r w:rsidRPr="00F419CF">
              <w:t>(iii) treatment options and decisions;</w:t>
            </w:r>
          </w:p>
          <w:p w14:paraId="1758A29C" w14:textId="77777777" w:rsidR="00CD6CD4" w:rsidRPr="00F419CF" w:rsidRDefault="00CD6CD4" w:rsidP="00CD6CD4">
            <w:pPr>
              <w:pStyle w:val="Tablei"/>
            </w:pPr>
            <w:r w:rsidRPr="00F419CF">
              <w:t>(iv) if necessary—medication recommendations;</w:t>
            </w:r>
          </w:p>
          <w:p w14:paraId="3E62FDA8" w14:textId="77777777" w:rsidR="00CD6CD4" w:rsidRPr="00F419CF" w:rsidRDefault="00CD6CD4" w:rsidP="00CD6CD4">
            <w:pPr>
              <w:pStyle w:val="Tabletext"/>
            </w:pPr>
            <w:r w:rsidRPr="00F419CF">
              <w:t>(c) provides a copy of the treatment and management plan to the referring practitioner;</w:t>
            </w:r>
          </w:p>
          <w:p w14:paraId="76A9FEB4" w14:textId="77777777" w:rsidR="00CD6CD4" w:rsidRPr="00F419CF" w:rsidRDefault="00CD6CD4" w:rsidP="00CD6CD4">
            <w:pPr>
              <w:pStyle w:val="Tabletext"/>
            </w:pPr>
            <w:r w:rsidRPr="00F419CF">
              <w:t>(d) provides a copy of the treatment and management plan to one or more allied health providers, if appropriate, for the treatment of the patient;</w:t>
            </w:r>
          </w:p>
          <w:p w14:paraId="729D3613" w14:textId="03F0BFF9" w:rsidR="00CD6CD4" w:rsidRPr="00F419CF" w:rsidRDefault="00CD6CD4" w:rsidP="007F587A">
            <w:pPr>
              <w:pStyle w:val="Tabletext"/>
            </w:pPr>
            <w:r w:rsidRPr="00F419CF">
              <w:t xml:space="preserve">(other than attendance on a patient for whom payment has previously been made under this item or </w:t>
            </w:r>
            <w:r w:rsidR="007F587A" w:rsidRPr="00F419CF">
              <w:t>item 135, 137, 139, 289, 92140, 92143, 92141, 92144, 92142, 92145 or 92434</w:t>
            </w:r>
            <w:r w:rsidRPr="00F419CF">
              <w:t>)</w:t>
            </w:r>
          </w:p>
        </w:tc>
        <w:tc>
          <w:tcPr>
            <w:tcW w:w="908" w:type="pct"/>
            <w:gridSpan w:val="2"/>
            <w:tcBorders>
              <w:top w:val="single" w:sz="4" w:space="0" w:color="auto"/>
              <w:left w:val="nil"/>
              <w:bottom w:val="single" w:sz="4" w:space="0" w:color="auto"/>
              <w:right w:val="nil"/>
            </w:tcBorders>
            <w:shd w:val="clear" w:color="auto" w:fill="auto"/>
            <w:hideMark/>
          </w:tcPr>
          <w:p w14:paraId="14306C51" w14:textId="77777777" w:rsidR="00CD6CD4" w:rsidRPr="00F419CF" w:rsidRDefault="00CD6CD4" w:rsidP="00B60801">
            <w:pPr>
              <w:pStyle w:val="Tabletext"/>
              <w:jc w:val="right"/>
            </w:pPr>
            <w:r w:rsidRPr="00F419CF">
              <w:lastRenderedPageBreak/>
              <w:t>272.15</w:t>
            </w:r>
          </w:p>
        </w:tc>
      </w:tr>
      <w:tr w:rsidR="00471FE4" w:rsidRPr="00F419CF" w14:paraId="46CFA257" w14:textId="77777777" w:rsidTr="00B60801">
        <w:trPr>
          <w:gridAfter w:val="1"/>
          <w:wAfter w:w="41" w:type="pct"/>
        </w:trPr>
        <w:tc>
          <w:tcPr>
            <w:tcW w:w="688" w:type="pct"/>
            <w:tcBorders>
              <w:top w:val="single" w:sz="4" w:space="0" w:color="auto"/>
              <w:left w:val="nil"/>
              <w:bottom w:val="single" w:sz="4" w:space="0" w:color="auto"/>
              <w:right w:val="nil"/>
            </w:tcBorders>
            <w:shd w:val="clear" w:color="auto" w:fill="auto"/>
            <w:hideMark/>
          </w:tcPr>
          <w:p w14:paraId="0CCF5D48" w14:textId="77777777" w:rsidR="006761FC" w:rsidRPr="00F419CF" w:rsidRDefault="006761FC" w:rsidP="00B60801">
            <w:pPr>
              <w:pStyle w:val="Tabletext"/>
            </w:pPr>
            <w:r w:rsidRPr="00F419CF">
              <w:t>92475</w:t>
            </w:r>
          </w:p>
          <w:p w14:paraId="0A3A38D9" w14:textId="401B81E2" w:rsidR="006761FC" w:rsidRPr="00F419CF" w:rsidRDefault="006761FC" w:rsidP="007F587A">
            <w:pPr>
              <w:pStyle w:val="Tabletext"/>
            </w:pPr>
          </w:p>
        </w:tc>
        <w:tc>
          <w:tcPr>
            <w:tcW w:w="3363" w:type="pct"/>
            <w:gridSpan w:val="2"/>
            <w:tcBorders>
              <w:top w:val="single" w:sz="4" w:space="0" w:color="auto"/>
              <w:left w:val="nil"/>
              <w:bottom w:val="single" w:sz="4" w:space="0" w:color="auto"/>
              <w:right w:val="nil"/>
            </w:tcBorders>
            <w:shd w:val="clear" w:color="auto" w:fill="auto"/>
            <w:hideMark/>
          </w:tcPr>
          <w:p w14:paraId="76A39E51" w14:textId="77777777" w:rsidR="006761FC" w:rsidRPr="00F419CF" w:rsidRDefault="006761FC" w:rsidP="00B60801">
            <w:pPr>
              <w:pStyle w:val="Tabletext"/>
            </w:pPr>
            <w:r w:rsidRPr="00F419CF">
              <w:t>Phone attendance of more than 45 minutes in duration  by a consultant physician in the practice of the consultant physician’s specialty of psychiatry, if:</w:t>
            </w:r>
          </w:p>
          <w:p w14:paraId="7DFD802F" w14:textId="77777777" w:rsidR="006761FC" w:rsidRPr="00F419CF" w:rsidRDefault="006761FC" w:rsidP="00B60801">
            <w:pPr>
              <w:pStyle w:val="Tablea"/>
            </w:pPr>
            <w:r w:rsidRPr="00F419CF">
              <w:t>(a) the attendance follows referral of the patient to the consultant for an assessment or management by a medical practitioner in general practice (not including a specialist or consultant physician) or a participating nurse practitioner; and</w:t>
            </w:r>
          </w:p>
          <w:p w14:paraId="012B8789" w14:textId="77777777" w:rsidR="006761FC" w:rsidRPr="00F419CF" w:rsidRDefault="006761FC" w:rsidP="00B60801">
            <w:pPr>
              <w:pStyle w:val="Tablea"/>
            </w:pPr>
            <w:r w:rsidRPr="00F419CF">
              <w:t>(b) during the attendance, the consultant:</w:t>
            </w:r>
          </w:p>
          <w:p w14:paraId="7DFB3B01" w14:textId="77777777" w:rsidR="006761FC" w:rsidRPr="00F419CF" w:rsidRDefault="006761FC" w:rsidP="00B60801">
            <w:pPr>
              <w:pStyle w:val="Tablei"/>
            </w:pPr>
            <w:r w:rsidRPr="00F419CF">
              <w:t>(i) uses an outcome tool (if clinically appropriate); and</w:t>
            </w:r>
          </w:p>
          <w:p w14:paraId="2A1383F6" w14:textId="77777777" w:rsidR="006761FC" w:rsidRPr="00F419CF" w:rsidRDefault="006761FC" w:rsidP="00B60801">
            <w:pPr>
              <w:pStyle w:val="Tablei"/>
            </w:pPr>
            <w:r w:rsidRPr="00F419CF">
              <w:t>(ii) carries out a mental state examination; and</w:t>
            </w:r>
          </w:p>
          <w:p w14:paraId="49BA3747" w14:textId="77777777" w:rsidR="006761FC" w:rsidRPr="00F419CF" w:rsidRDefault="006761FC" w:rsidP="00B60801">
            <w:pPr>
              <w:pStyle w:val="Tablei"/>
            </w:pPr>
            <w:r w:rsidRPr="00F419CF">
              <w:t>(iii) makes a psychiatric diagnosis; and</w:t>
            </w:r>
          </w:p>
          <w:p w14:paraId="07E78081" w14:textId="77777777" w:rsidR="006761FC" w:rsidRPr="00F419CF" w:rsidRDefault="006761FC" w:rsidP="00B60801">
            <w:pPr>
              <w:pStyle w:val="Tablea"/>
            </w:pPr>
            <w:r w:rsidRPr="00F419CF">
              <w:t>(c) the consultant decides that it is clinically appropriate for the patient to be managed by the referring practitioner without ongoing treatment by the consultant; and</w:t>
            </w:r>
          </w:p>
          <w:p w14:paraId="573982F1" w14:textId="77777777" w:rsidR="006761FC" w:rsidRPr="00F419CF" w:rsidRDefault="006761FC" w:rsidP="00B60801">
            <w:pPr>
              <w:pStyle w:val="Tablea"/>
            </w:pPr>
            <w:r w:rsidRPr="00F419CF">
              <w:t>(d) within 2 weeks after the attendance, the consultant:</w:t>
            </w:r>
          </w:p>
          <w:p w14:paraId="54614C96" w14:textId="77777777" w:rsidR="006761FC" w:rsidRPr="00F419CF" w:rsidRDefault="006761FC" w:rsidP="00B60801">
            <w:pPr>
              <w:pStyle w:val="Tablei"/>
            </w:pPr>
            <w:r w:rsidRPr="00F419CF">
              <w:t>(i) prepares a written diagnosis of the patient; and</w:t>
            </w:r>
          </w:p>
          <w:p w14:paraId="33C40C0E" w14:textId="77777777" w:rsidR="006761FC" w:rsidRPr="00F419CF" w:rsidRDefault="006761FC" w:rsidP="00B60801">
            <w:pPr>
              <w:pStyle w:val="Tablei"/>
            </w:pPr>
            <w:r w:rsidRPr="00F419CF">
              <w:t>(ii) prepares a written management plan for the patient that:</w:t>
            </w:r>
          </w:p>
          <w:p w14:paraId="030F4EB4" w14:textId="77777777" w:rsidR="006761FC" w:rsidRPr="00F419CF" w:rsidRDefault="006761FC" w:rsidP="00B60801">
            <w:pPr>
              <w:pStyle w:val="TableAA"/>
            </w:pPr>
            <w:r w:rsidRPr="00F419CF">
              <w:t>(A) covers the next 12 months; and</w:t>
            </w:r>
          </w:p>
          <w:p w14:paraId="7D4B0C27" w14:textId="77777777" w:rsidR="006761FC" w:rsidRPr="00F419CF" w:rsidRDefault="006761FC" w:rsidP="00B60801">
            <w:pPr>
              <w:pStyle w:val="TableAA"/>
            </w:pPr>
            <w:r w:rsidRPr="00F419CF">
              <w:t>(B) is appropriate to the patient’s diagnosis; and</w:t>
            </w:r>
          </w:p>
          <w:p w14:paraId="431E4049" w14:textId="77777777" w:rsidR="006761FC" w:rsidRPr="00F419CF" w:rsidRDefault="006761FC" w:rsidP="00B60801">
            <w:pPr>
              <w:pStyle w:val="TableAA"/>
            </w:pPr>
            <w:r w:rsidRPr="00F419CF">
              <w:t>(C) comprehensively evaluates the patient’s biological, psychological and social issues; and</w:t>
            </w:r>
          </w:p>
          <w:p w14:paraId="7A9514B2" w14:textId="77777777" w:rsidR="006761FC" w:rsidRPr="00F419CF" w:rsidRDefault="006761FC" w:rsidP="00B60801">
            <w:pPr>
              <w:pStyle w:val="TableAA"/>
            </w:pPr>
            <w:r w:rsidRPr="00F419CF">
              <w:t>(D) addresses the patient’s diagnostic psychiatric issues; and</w:t>
            </w:r>
          </w:p>
          <w:p w14:paraId="4447EB3F" w14:textId="77777777" w:rsidR="006761FC" w:rsidRPr="00F419CF" w:rsidRDefault="006761FC" w:rsidP="00B60801">
            <w:pPr>
              <w:pStyle w:val="TableAA"/>
            </w:pPr>
            <w:r w:rsidRPr="00F419CF">
              <w:t>(E) makes management recommendations addressing the patient’s biological, psychological and social issues; and</w:t>
            </w:r>
          </w:p>
          <w:p w14:paraId="1618B006" w14:textId="77777777" w:rsidR="006761FC" w:rsidRPr="00F419CF" w:rsidRDefault="006761FC" w:rsidP="00B60801">
            <w:pPr>
              <w:pStyle w:val="Tablei"/>
            </w:pPr>
            <w:r w:rsidRPr="00F419CF">
              <w:t>(iii) gives the referring practitioner a copy of the diagnosis and the management plan; and</w:t>
            </w:r>
          </w:p>
          <w:p w14:paraId="4C258B61" w14:textId="77777777" w:rsidR="006761FC" w:rsidRPr="00F419CF" w:rsidRDefault="006761FC" w:rsidP="00B60801">
            <w:pPr>
              <w:pStyle w:val="Tablei"/>
            </w:pPr>
            <w:r w:rsidRPr="00F419CF">
              <w:t>(iv) if clinically appropriate, explains the diagnosis and management plan, and a gives a copy, to:</w:t>
            </w:r>
          </w:p>
          <w:p w14:paraId="5760E0BA" w14:textId="77777777" w:rsidR="006761FC" w:rsidRPr="00F419CF" w:rsidRDefault="006761FC" w:rsidP="00B60801">
            <w:pPr>
              <w:pStyle w:val="TableAA"/>
            </w:pPr>
            <w:r w:rsidRPr="00F419CF">
              <w:lastRenderedPageBreak/>
              <w:t>(A) the patient; and</w:t>
            </w:r>
          </w:p>
          <w:p w14:paraId="39B77491" w14:textId="19C2529A" w:rsidR="006761FC" w:rsidRPr="00F419CF" w:rsidRDefault="006761FC" w:rsidP="00B60801">
            <w:pPr>
              <w:pStyle w:val="TableAA"/>
            </w:pPr>
            <w:r w:rsidRPr="00F419CF">
              <w:t>(B) the patient’s carer (if any), if the patient agrees</w:t>
            </w:r>
            <w:r w:rsidR="00E6528E" w:rsidRPr="00F419CF">
              <w:t>; and</w:t>
            </w:r>
          </w:p>
          <w:p w14:paraId="3A9A2D44" w14:textId="4C4B5D2E" w:rsidR="00E6528E" w:rsidRPr="00F419CF" w:rsidRDefault="00E6528E" w:rsidP="00A632D7">
            <w:pPr>
              <w:pStyle w:val="Tablea"/>
            </w:pPr>
            <w:r w:rsidRPr="00F419CF">
              <w:t xml:space="preserve">(e) in the preceding 12 months, a service to which this item or item 291 or </w:t>
            </w:r>
            <w:r w:rsidR="007F587A" w:rsidRPr="00F419CF">
              <w:t>92435</w:t>
            </w:r>
            <w:r w:rsidRPr="00F419CF">
              <w:t xml:space="preserve"> applies has not been provided.</w:t>
            </w:r>
          </w:p>
        </w:tc>
        <w:tc>
          <w:tcPr>
            <w:tcW w:w="908" w:type="pct"/>
            <w:gridSpan w:val="2"/>
            <w:tcBorders>
              <w:top w:val="single" w:sz="4" w:space="0" w:color="auto"/>
              <w:left w:val="nil"/>
              <w:bottom w:val="single" w:sz="4" w:space="0" w:color="auto"/>
              <w:right w:val="nil"/>
            </w:tcBorders>
            <w:shd w:val="clear" w:color="auto" w:fill="auto"/>
            <w:hideMark/>
          </w:tcPr>
          <w:p w14:paraId="47C7608B" w14:textId="77777777" w:rsidR="006761FC" w:rsidRPr="00F419CF" w:rsidRDefault="006761FC" w:rsidP="00B60801">
            <w:pPr>
              <w:pStyle w:val="Tabletext"/>
              <w:jc w:val="right"/>
            </w:pPr>
            <w:r w:rsidRPr="00F419CF">
              <w:lastRenderedPageBreak/>
              <w:t>466.80</w:t>
            </w:r>
          </w:p>
        </w:tc>
      </w:tr>
      <w:tr w:rsidR="00471FE4" w:rsidRPr="00F419CF" w14:paraId="38925DE5" w14:textId="77777777" w:rsidTr="00B60801">
        <w:trPr>
          <w:gridAfter w:val="1"/>
          <w:wAfter w:w="41" w:type="pct"/>
        </w:trPr>
        <w:tc>
          <w:tcPr>
            <w:tcW w:w="688" w:type="pct"/>
            <w:tcBorders>
              <w:top w:val="single" w:sz="4" w:space="0" w:color="auto"/>
              <w:left w:val="nil"/>
              <w:bottom w:val="single" w:sz="4" w:space="0" w:color="auto"/>
              <w:right w:val="nil"/>
            </w:tcBorders>
            <w:shd w:val="clear" w:color="auto" w:fill="auto"/>
            <w:hideMark/>
          </w:tcPr>
          <w:p w14:paraId="2693C863" w14:textId="77777777" w:rsidR="006761FC" w:rsidRPr="00F419CF" w:rsidRDefault="006761FC" w:rsidP="00B60801">
            <w:pPr>
              <w:pStyle w:val="Tabletext"/>
            </w:pPr>
            <w:r w:rsidRPr="00F419CF">
              <w:t>92476</w:t>
            </w:r>
          </w:p>
          <w:p w14:paraId="0E7B3D35" w14:textId="02429198" w:rsidR="006761FC" w:rsidRPr="00F419CF" w:rsidRDefault="006761FC" w:rsidP="00B60801">
            <w:pPr>
              <w:pStyle w:val="Tabletext"/>
            </w:pPr>
          </w:p>
        </w:tc>
        <w:tc>
          <w:tcPr>
            <w:tcW w:w="3363" w:type="pct"/>
            <w:gridSpan w:val="2"/>
            <w:tcBorders>
              <w:top w:val="single" w:sz="4" w:space="0" w:color="auto"/>
              <w:left w:val="nil"/>
              <w:bottom w:val="single" w:sz="4" w:space="0" w:color="auto"/>
              <w:right w:val="nil"/>
            </w:tcBorders>
            <w:shd w:val="clear" w:color="auto" w:fill="auto"/>
            <w:hideMark/>
          </w:tcPr>
          <w:p w14:paraId="28E7D96C" w14:textId="77777777" w:rsidR="006761FC" w:rsidRPr="00F419CF" w:rsidRDefault="006761FC" w:rsidP="00B60801">
            <w:pPr>
              <w:pStyle w:val="Tabletext"/>
            </w:pPr>
            <w:r w:rsidRPr="00F419CF">
              <w:t>Phone attendance of more than 30 minutes but not more than 45 minutes in duration  by a consultant physician in the practice of the consultant physician’s specialty of psychiatry, if:</w:t>
            </w:r>
          </w:p>
          <w:p w14:paraId="618CBC6E" w14:textId="09D4B3A7" w:rsidR="006761FC" w:rsidRPr="00F419CF" w:rsidRDefault="006761FC" w:rsidP="00B60801">
            <w:pPr>
              <w:pStyle w:val="Tablea"/>
            </w:pPr>
            <w:r w:rsidRPr="00F419CF">
              <w:t>(a) the patient is being managed by a medical practitioner or a participating nurse practitioner in accordance with a management plan prepared by the consultant in accordance with item 291</w:t>
            </w:r>
            <w:r w:rsidR="007F587A" w:rsidRPr="00F419CF">
              <w:t>, 92435, 92475</w:t>
            </w:r>
            <w:r w:rsidRPr="00F419CF">
              <w:t>; and</w:t>
            </w:r>
          </w:p>
          <w:p w14:paraId="6F25AAA4" w14:textId="77777777" w:rsidR="006761FC" w:rsidRPr="00F419CF" w:rsidRDefault="006761FC" w:rsidP="00B60801">
            <w:pPr>
              <w:pStyle w:val="Tablea"/>
            </w:pPr>
            <w:r w:rsidRPr="00F419CF">
              <w:t>(b) the attendance follows referral of the patient to the consultant for review of the management plan by the medical practitioner or a participating nurse practitioner managing the patient; and</w:t>
            </w:r>
          </w:p>
          <w:p w14:paraId="131037E3" w14:textId="77777777" w:rsidR="006761FC" w:rsidRPr="00F419CF" w:rsidRDefault="006761FC" w:rsidP="00B60801">
            <w:pPr>
              <w:pStyle w:val="Tablea"/>
            </w:pPr>
            <w:r w:rsidRPr="00F419CF">
              <w:t>(c) during the attendance, the consultant:</w:t>
            </w:r>
          </w:p>
          <w:p w14:paraId="703CBEED" w14:textId="77777777" w:rsidR="006761FC" w:rsidRPr="00F419CF" w:rsidRDefault="006761FC" w:rsidP="00B60801">
            <w:pPr>
              <w:pStyle w:val="Tablei"/>
            </w:pPr>
            <w:r w:rsidRPr="00F419CF">
              <w:t>(i) uses an outcome tool (if clinically appropriate); and</w:t>
            </w:r>
          </w:p>
          <w:p w14:paraId="65758487" w14:textId="77777777" w:rsidR="006761FC" w:rsidRPr="00F419CF" w:rsidRDefault="006761FC" w:rsidP="00B60801">
            <w:pPr>
              <w:pStyle w:val="Tablei"/>
            </w:pPr>
            <w:r w:rsidRPr="00F419CF">
              <w:t>(ii) carries out a mental state examination; and</w:t>
            </w:r>
          </w:p>
          <w:p w14:paraId="686A27C0" w14:textId="77777777" w:rsidR="006761FC" w:rsidRPr="00F419CF" w:rsidRDefault="006761FC" w:rsidP="00B60801">
            <w:pPr>
              <w:pStyle w:val="Tablei"/>
            </w:pPr>
            <w:r w:rsidRPr="00F419CF">
              <w:t>(iii) makes a psychiatric diagnosis; and</w:t>
            </w:r>
          </w:p>
          <w:p w14:paraId="4B83E27E" w14:textId="77777777" w:rsidR="006761FC" w:rsidRPr="00F419CF" w:rsidRDefault="006761FC" w:rsidP="00B60801">
            <w:pPr>
              <w:pStyle w:val="Tablei"/>
            </w:pPr>
            <w:r w:rsidRPr="00F419CF">
              <w:t>(iv) reviews the management plan; and</w:t>
            </w:r>
          </w:p>
          <w:p w14:paraId="1D94CB46" w14:textId="77777777" w:rsidR="006761FC" w:rsidRPr="00F419CF" w:rsidRDefault="006761FC" w:rsidP="00B60801">
            <w:pPr>
              <w:pStyle w:val="Tablea"/>
            </w:pPr>
            <w:r w:rsidRPr="00F419CF">
              <w:t>(d) within 2 weeks after the attendance, the consultant:</w:t>
            </w:r>
          </w:p>
          <w:p w14:paraId="70470B8D" w14:textId="77777777" w:rsidR="006761FC" w:rsidRPr="00F419CF" w:rsidRDefault="006761FC" w:rsidP="00B60801">
            <w:pPr>
              <w:pStyle w:val="Tablei"/>
            </w:pPr>
            <w:r w:rsidRPr="00F419CF">
              <w:t>(i) prepares a written diagnosis of the patient; and</w:t>
            </w:r>
          </w:p>
          <w:p w14:paraId="7093193B" w14:textId="77777777" w:rsidR="006761FC" w:rsidRPr="00F419CF" w:rsidRDefault="006761FC" w:rsidP="00B60801">
            <w:pPr>
              <w:pStyle w:val="Tablei"/>
            </w:pPr>
            <w:r w:rsidRPr="00F419CF">
              <w:t>(ii) revises the management plan; and</w:t>
            </w:r>
          </w:p>
          <w:p w14:paraId="563BD3C2" w14:textId="77777777" w:rsidR="006761FC" w:rsidRPr="00F419CF" w:rsidRDefault="006761FC" w:rsidP="00B60801">
            <w:pPr>
              <w:pStyle w:val="Tablei"/>
            </w:pPr>
            <w:r w:rsidRPr="00F419CF">
              <w:t>(iii) gives the referring practitioner a copy of the diagnosis and the revised management plan; and</w:t>
            </w:r>
          </w:p>
          <w:p w14:paraId="5037A5E6" w14:textId="77777777" w:rsidR="006761FC" w:rsidRPr="00F419CF" w:rsidRDefault="006761FC" w:rsidP="00B60801">
            <w:pPr>
              <w:pStyle w:val="Tablei"/>
            </w:pPr>
            <w:r w:rsidRPr="00F419CF">
              <w:t>(iv) if clinically appropriate, explains the diagnosis and the revised management plan, and gives a copy, to:</w:t>
            </w:r>
          </w:p>
          <w:p w14:paraId="01E43C07" w14:textId="77777777" w:rsidR="006761FC" w:rsidRPr="00F419CF" w:rsidRDefault="006761FC" w:rsidP="00B60801">
            <w:pPr>
              <w:pStyle w:val="TableAA"/>
            </w:pPr>
            <w:r w:rsidRPr="00F419CF">
              <w:t>(A) the patient; and</w:t>
            </w:r>
          </w:p>
          <w:p w14:paraId="2BDF995C" w14:textId="77777777" w:rsidR="006761FC" w:rsidRPr="00F419CF" w:rsidRDefault="006761FC" w:rsidP="00B60801">
            <w:pPr>
              <w:pStyle w:val="TableAA"/>
            </w:pPr>
            <w:r w:rsidRPr="00F419CF">
              <w:t>(B) the patient’s carer (if any), if the patient agrees; and</w:t>
            </w:r>
          </w:p>
          <w:p w14:paraId="3C0B1679" w14:textId="05A93991" w:rsidR="006761FC" w:rsidRPr="00F419CF" w:rsidRDefault="006761FC" w:rsidP="00B60801">
            <w:pPr>
              <w:pStyle w:val="Tablea"/>
            </w:pPr>
            <w:r w:rsidRPr="00F419CF">
              <w:t>(e) in the preceding 12 months, a service to which item 291</w:t>
            </w:r>
            <w:r w:rsidR="007F587A" w:rsidRPr="00F419CF">
              <w:t>, 92435 or 92475</w:t>
            </w:r>
            <w:r w:rsidRPr="00F419CF">
              <w:t xml:space="preserve"> applies has been provided; and</w:t>
            </w:r>
          </w:p>
          <w:p w14:paraId="1069E558" w14:textId="6915AA90" w:rsidR="006761FC" w:rsidRPr="00F419CF" w:rsidRDefault="006761FC" w:rsidP="00B60801">
            <w:pPr>
              <w:pStyle w:val="Tablea"/>
            </w:pPr>
            <w:r w:rsidRPr="00F419CF">
              <w:t>(f) in the preceding 12 months, a service to which this item or item 293 or</w:t>
            </w:r>
            <w:r w:rsidR="007F587A" w:rsidRPr="00F419CF">
              <w:t xml:space="preserve"> 92436</w:t>
            </w:r>
            <w:r w:rsidRPr="00F419CF">
              <w:t xml:space="preserve"> applies has not been provided</w:t>
            </w:r>
          </w:p>
        </w:tc>
        <w:tc>
          <w:tcPr>
            <w:tcW w:w="908" w:type="pct"/>
            <w:gridSpan w:val="2"/>
            <w:tcBorders>
              <w:top w:val="single" w:sz="4" w:space="0" w:color="auto"/>
              <w:left w:val="nil"/>
              <w:bottom w:val="single" w:sz="4" w:space="0" w:color="auto"/>
              <w:right w:val="nil"/>
            </w:tcBorders>
            <w:shd w:val="clear" w:color="auto" w:fill="auto"/>
            <w:hideMark/>
          </w:tcPr>
          <w:p w14:paraId="49901C16" w14:textId="77777777" w:rsidR="006761FC" w:rsidRPr="00F419CF" w:rsidRDefault="006761FC" w:rsidP="00B60801">
            <w:pPr>
              <w:pStyle w:val="Tabletext"/>
              <w:jc w:val="right"/>
            </w:pPr>
            <w:r w:rsidRPr="00F419CF">
              <w:t>291.80</w:t>
            </w:r>
          </w:p>
        </w:tc>
      </w:tr>
      <w:tr w:rsidR="00471FE4" w:rsidRPr="00F419CF" w14:paraId="61903F71" w14:textId="77777777" w:rsidTr="00B60801">
        <w:trPr>
          <w:gridAfter w:val="1"/>
          <w:wAfter w:w="41" w:type="pct"/>
        </w:trPr>
        <w:tc>
          <w:tcPr>
            <w:tcW w:w="688" w:type="pct"/>
            <w:tcBorders>
              <w:top w:val="single" w:sz="4" w:space="0" w:color="auto"/>
              <w:left w:val="nil"/>
              <w:bottom w:val="single" w:sz="4" w:space="0" w:color="auto"/>
              <w:right w:val="nil"/>
            </w:tcBorders>
            <w:shd w:val="clear" w:color="auto" w:fill="auto"/>
          </w:tcPr>
          <w:p w14:paraId="2C42634B" w14:textId="09E80E63" w:rsidR="000A74E6" w:rsidRPr="00F419CF" w:rsidRDefault="000A74E6" w:rsidP="00B60801">
            <w:pPr>
              <w:pStyle w:val="Tabletext"/>
            </w:pPr>
            <w:r w:rsidRPr="00F419CF">
              <w:t>92477</w:t>
            </w:r>
          </w:p>
          <w:p w14:paraId="6228F53A" w14:textId="6D1BEF6B" w:rsidR="006761FC" w:rsidRPr="00F419CF" w:rsidRDefault="006761FC" w:rsidP="007F587A">
            <w:pPr>
              <w:pStyle w:val="Tabletext"/>
            </w:pPr>
          </w:p>
        </w:tc>
        <w:tc>
          <w:tcPr>
            <w:tcW w:w="3363" w:type="pct"/>
            <w:gridSpan w:val="2"/>
            <w:tcBorders>
              <w:top w:val="single" w:sz="4" w:space="0" w:color="auto"/>
              <w:left w:val="nil"/>
              <w:bottom w:val="single" w:sz="4" w:space="0" w:color="auto"/>
              <w:right w:val="nil"/>
            </w:tcBorders>
            <w:shd w:val="clear" w:color="auto" w:fill="auto"/>
          </w:tcPr>
          <w:p w14:paraId="57F788B6" w14:textId="686475D4" w:rsidR="00D51AE2" w:rsidRPr="00F419CF" w:rsidRDefault="00943B2B" w:rsidP="00D51AE2">
            <w:pPr>
              <w:pStyle w:val="Tabletext"/>
            </w:pPr>
            <w:r w:rsidRPr="00F419CF">
              <w:t xml:space="preserve">Phone </w:t>
            </w:r>
            <w:r w:rsidR="00D51AE2" w:rsidRPr="00F419CF">
              <w:t>attendance of more than 45 minutes in duration by a consultant physician in the practice of the consultant physician’s speciality of psychiatry following referral of the patient to the consultant physician by a referring practitioner:</w:t>
            </w:r>
          </w:p>
          <w:p w14:paraId="4E449CB6" w14:textId="77777777" w:rsidR="00D51AE2" w:rsidRPr="00F419CF" w:rsidRDefault="00D51AE2" w:rsidP="00D51AE2">
            <w:pPr>
              <w:pStyle w:val="Tablea"/>
            </w:pPr>
            <w:r w:rsidRPr="00F419CF">
              <w:t>(a) if the patient:</w:t>
            </w:r>
          </w:p>
          <w:p w14:paraId="393CCFDA" w14:textId="77777777" w:rsidR="00D51AE2" w:rsidRPr="00F419CF" w:rsidRDefault="00D51AE2" w:rsidP="00D51AE2">
            <w:pPr>
              <w:pStyle w:val="Tablei"/>
            </w:pPr>
            <w:r w:rsidRPr="00F419CF">
              <w:t>(i) is a new patient for this consultant physician; or</w:t>
            </w:r>
          </w:p>
          <w:p w14:paraId="6CFEC0F3" w14:textId="77777777" w:rsidR="00D51AE2" w:rsidRPr="00F419CF" w:rsidRDefault="00D51AE2" w:rsidP="00D51AE2">
            <w:pPr>
              <w:pStyle w:val="Tablei"/>
            </w:pPr>
            <w:r w:rsidRPr="00F419CF">
              <w:t>(ii) has not received an attendance from this consultant physician in the preceding 24 months; and</w:t>
            </w:r>
          </w:p>
          <w:p w14:paraId="6D003721" w14:textId="039549F0" w:rsidR="006761FC" w:rsidRPr="00F419CF" w:rsidRDefault="00D51AE2" w:rsidP="007F587A">
            <w:pPr>
              <w:pStyle w:val="Tabletext"/>
              <w:rPr>
                <w:shd w:val="clear" w:color="auto" w:fill="FFFFFF"/>
              </w:rPr>
            </w:pPr>
            <w:r w:rsidRPr="00F419CF">
              <w:t>(b) the patient has not received</w:t>
            </w:r>
            <w:r w:rsidR="00253E55" w:rsidRPr="00F419CF">
              <w:t xml:space="preserve"> an attendance under this item, </w:t>
            </w:r>
            <w:r w:rsidR="00253E55" w:rsidRPr="00F419CF">
              <w:rPr>
                <w:shd w:val="clear" w:color="auto" w:fill="FFFFFF"/>
              </w:rPr>
              <w:t xml:space="preserve">item 296, 297, </w:t>
            </w:r>
            <w:r w:rsidR="007F587A" w:rsidRPr="00F419CF">
              <w:rPr>
                <w:shd w:val="clear" w:color="auto" w:fill="FFFFFF"/>
              </w:rPr>
              <w:t>299 or 92437</w:t>
            </w:r>
            <w:r w:rsidR="00253E55" w:rsidRPr="00F419CF">
              <w:rPr>
                <w:shd w:val="clear" w:color="auto" w:fill="FFFFFF"/>
              </w:rPr>
              <w:t xml:space="preserve">, or any of items 300 to 346, 353 to 358, 361 to 370, </w:t>
            </w:r>
            <w:r w:rsidR="007F587A" w:rsidRPr="00F419CF">
              <w:t>91827 to 91831 or 91837 to 91841</w:t>
            </w:r>
            <w:r w:rsidR="00253E55" w:rsidRPr="00F419CF">
              <w:t xml:space="preserve">, </w:t>
            </w:r>
            <w:r w:rsidR="00253E55" w:rsidRPr="00F419CF">
              <w:rPr>
                <w:shd w:val="clear" w:color="auto" w:fill="FFFFFF"/>
              </w:rPr>
              <w:t xml:space="preserve">in the preceding 24 months. </w:t>
            </w:r>
          </w:p>
        </w:tc>
        <w:tc>
          <w:tcPr>
            <w:tcW w:w="908" w:type="pct"/>
            <w:gridSpan w:val="2"/>
            <w:tcBorders>
              <w:top w:val="single" w:sz="4" w:space="0" w:color="auto"/>
              <w:left w:val="nil"/>
              <w:bottom w:val="single" w:sz="4" w:space="0" w:color="auto"/>
              <w:right w:val="nil"/>
            </w:tcBorders>
            <w:shd w:val="clear" w:color="auto" w:fill="auto"/>
          </w:tcPr>
          <w:p w14:paraId="3C4FEEFD" w14:textId="77777777" w:rsidR="006761FC" w:rsidRPr="00F419CF" w:rsidRDefault="006761FC" w:rsidP="00B60801">
            <w:pPr>
              <w:pStyle w:val="Tabletext"/>
              <w:jc w:val="right"/>
            </w:pPr>
            <w:r w:rsidRPr="00F419CF">
              <w:t>268.45</w:t>
            </w:r>
          </w:p>
        </w:tc>
      </w:tr>
      <w:tr w:rsidR="00471FE4" w:rsidRPr="00F419CF" w14:paraId="076F927C" w14:textId="77777777" w:rsidTr="00B60801">
        <w:tc>
          <w:tcPr>
            <w:tcW w:w="694" w:type="pct"/>
            <w:gridSpan w:val="2"/>
            <w:tcBorders>
              <w:top w:val="single" w:sz="4" w:space="0" w:color="auto"/>
              <w:left w:val="nil"/>
              <w:bottom w:val="single" w:sz="4" w:space="0" w:color="auto"/>
              <w:right w:val="nil"/>
            </w:tcBorders>
            <w:shd w:val="clear" w:color="auto" w:fill="auto"/>
            <w:hideMark/>
          </w:tcPr>
          <w:p w14:paraId="75DEC297" w14:textId="4CB47D04" w:rsidR="006761FC" w:rsidRPr="00F419CF" w:rsidRDefault="006761FC" w:rsidP="00B60801">
            <w:pPr>
              <w:pStyle w:val="Tabletext"/>
            </w:pPr>
            <w:r w:rsidRPr="00F419CF">
              <w:t>92498</w:t>
            </w:r>
          </w:p>
          <w:p w14:paraId="7DDC1450" w14:textId="32062B9F" w:rsidR="006761FC" w:rsidRPr="00F419CF" w:rsidRDefault="006761FC" w:rsidP="007F587A">
            <w:pPr>
              <w:pStyle w:val="Tabletext"/>
            </w:pPr>
          </w:p>
        </w:tc>
        <w:tc>
          <w:tcPr>
            <w:tcW w:w="3391" w:type="pct"/>
            <w:gridSpan w:val="2"/>
            <w:tcBorders>
              <w:top w:val="single" w:sz="4" w:space="0" w:color="auto"/>
              <w:left w:val="nil"/>
              <w:bottom w:val="single" w:sz="4" w:space="0" w:color="auto"/>
              <w:right w:val="nil"/>
            </w:tcBorders>
            <w:shd w:val="clear" w:color="auto" w:fill="auto"/>
            <w:hideMark/>
          </w:tcPr>
          <w:p w14:paraId="7F042BD5" w14:textId="77777777" w:rsidR="006761FC" w:rsidRPr="00F419CF" w:rsidRDefault="006761FC" w:rsidP="00B60801">
            <w:pPr>
              <w:pStyle w:val="Tabletext"/>
            </w:pPr>
            <w:r w:rsidRPr="00F419CF">
              <w:t>Phone attendance by a consultant physician in the practice of the consultant physician’s specialty of psychiatry, following referral of the patient to the consultant physician by a referring practitioner, involving an interview of a person other than the patient of not less than 20 minutes, but less than 45 minutes, in duration, in the course of initial diagnostic evaluation of a patient</w:t>
            </w:r>
          </w:p>
        </w:tc>
        <w:tc>
          <w:tcPr>
            <w:tcW w:w="915" w:type="pct"/>
            <w:gridSpan w:val="2"/>
            <w:tcBorders>
              <w:top w:val="single" w:sz="4" w:space="0" w:color="auto"/>
              <w:left w:val="nil"/>
              <w:bottom w:val="single" w:sz="4" w:space="0" w:color="auto"/>
              <w:right w:val="nil"/>
            </w:tcBorders>
            <w:shd w:val="clear" w:color="auto" w:fill="auto"/>
            <w:hideMark/>
          </w:tcPr>
          <w:p w14:paraId="5E128470" w14:textId="77777777" w:rsidR="006761FC" w:rsidRPr="00F419CF" w:rsidRDefault="006761FC" w:rsidP="00B60801">
            <w:pPr>
              <w:pStyle w:val="Tabletext"/>
              <w:jc w:val="right"/>
            </w:pPr>
            <w:r w:rsidRPr="00F419CF">
              <w:t>130.70</w:t>
            </w:r>
          </w:p>
        </w:tc>
      </w:tr>
      <w:tr w:rsidR="00471FE4" w:rsidRPr="00F419CF" w14:paraId="0365570B" w14:textId="77777777" w:rsidTr="00B60801">
        <w:tc>
          <w:tcPr>
            <w:tcW w:w="694" w:type="pct"/>
            <w:gridSpan w:val="2"/>
            <w:tcBorders>
              <w:top w:val="single" w:sz="4" w:space="0" w:color="auto"/>
              <w:left w:val="nil"/>
              <w:bottom w:val="single" w:sz="4" w:space="0" w:color="auto"/>
              <w:right w:val="nil"/>
            </w:tcBorders>
            <w:shd w:val="clear" w:color="auto" w:fill="auto"/>
            <w:hideMark/>
          </w:tcPr>
          <w:p w14:paraId="5E5351B2" w14:textId="77777777" w:rsidR="006761FC" w:rsidRPr="00F419CF" w:rsidRDefault="006761FC" w:rsidP="00B60801">
            <w:pPr>
              <w:pStyle w:val="Tabletext"/>
            </w:pPr>
            <w:r w:rsidRPr="00F419CF">
              <w:lastRenderedPageBreak/>
              <w:t>92499</w:t>
            </w:r>
          </w:p>
          <w:p w14:paraId="3D7211C6" w14:textId="31C44A81" w:rsidR="006761FC" w:rsidRPr="00F419CF" w:rsidRDefault="006761FC" w:rsidP="00B60801">
            <w:pPr>
              <w:pStyle w:val="Tabletext"/>
            </w:pPr>
          </w:p>
        </w:tc>
        <w:tc>
          <w:tcPr>
            <w:tcW w:w="3391" w:type="pct"/>
            <w:gridSpan w:val="2"/>
            <w:tcBorders>
              <w:top w:val="single" w:sz="4" w:space="0" w:color="auto"/>
              <w:left w:val="nil"/>
              <w:bottom w:val="single" w:sz="4" w:space="0" w:color="auto"/>
              <w:right w:val="nil"/>
            </w:tcBorders>
            <w:shd w:val="clear" w:color="auto" w:fill="auto"/>
            <w:hideMark/>
          </w:tcPr>
          <w:p w14:paraId="5C20B949" w14:textId="77777777" w:rsidR="006761FC" w:rsidRPr="00F419CF" w:rsidRDefault="006761FC" w:rsidP="00B60801">
            <w:pPr>
              <w:pStyle w:val="Tabletext"/>
            </w:pPr>
            <w:r w:rsidRPr="00F419CF">
              <w:t>Phone attendance by a consultant physician in the practice of the consultant physician’s specialty of psychiatry, following referral of the patient to the consultant physician by a referring practitioner, involving an interview of a person other than the patient of not less than 45 minutes in duration, in the course of initial diagnostic evaluation of a patient</w:t>
            </w:r>
          </w:p>
        </w:tc>
        <w:tc>
          <w:tcPr>
            <w:tcW w:w="915" w:type="pct"/>
            <w:gridSpan w:val="2"/>
            <w:tcBorders>
              <w:top w:val="single" w:sz="4" w:space="0" w:color="auto"/>
              <w:left w:val="nil"/>
              <w:bottom w:val="single" w:sz="4" w:space="0" w:color="auto"/>
              <w:right w:val="nil"/>
            </w:tcBorders>
            <w:shd w:val="clear" w:color="auto" w:fill="auto"/>
            <w:hideMark/>
          </w:tcPr>
          <w:p w14:paraId="6E7115FC" w14:textId="77777777" w:rsidR="006761FC" w:rsidRPr="00F419CF" w:rsidRDefault="006761FC" w:rsidP="00B60801">
            <w:pPr>
              <w:pStyle w:val="Tabletext"/>
              <w:jc w:val="right"/>
            </w:pPr>
            <w:r w:rsidRPr="00F419CF">
              <w:t>180.45</w:t>
            </w:r>
          </w:p>
        </w:tc>
      </w:tr>
      <w:tr w:rsidR="00471FE4" w:rsidRPr="00F419CF" w14:paraId="71A046BE" w14:textId="77777777" w:rsidTr="00B60801">
        <w:tc>
          <w:tcPr>
            <w:tcW w:w="694" w:type="pct"/>
            <w:gridSpan w:val="2"/>
            <w:tcBorders>
              <w:top w:val="single" w:sz="4" w:space="0" w:color="auto"/>
              <w:left w:val="nil"/>
              <w:bottom w:val="single" w:sz="4" w:space="0" w:color="auto"/>
              <w:right w:val="nil"/>
            </w:tcBorders>
            <w:shd w:val="clear" w:color="auto" w:fill="auto"/>
            <w:hideMark/>
          </w:tcPr>
          <w:p w14:paraId="61C8E316" w14:textId="77777777" w:rsidR="006761FC" w:rsidRPr="00F419CF" w:rsidRDefault="006761FC" w:rsidP="00B60801">
            <w:pPr>
              <w:pStyle w:val="Tabletext"/>
            </w:pPr>
            <w:r w:rsidRPr="00F419CF">
              <w:t>92500</w:t>
            </w:r>
          </w:p>
          <w:p w14:paraId="72BCB5A1" w14:textId="526B053D" w:rsidR="006761FC" w:rsidRPr="00F419CF" w:rsidRDefault="006761FC" w:rsidP="00B60801">
            <w:pPr>
              <w:pStyle w:val="Tabletext"/>
            </w:pPr>
          </w:p>
        </w:tc>
        <w:tc>
          <w:tcPr>
            <w:tcW w:w="3391" w:type="pct"/>
            <w:gridSpan w:val="2"/>
            <w:tcBorders>
              <w:top w:val="single" w:sz="4" w:space="0" w:color="auto"/>
              <w:left w:val="nil"/>
              <w:bottom w:val="single" w:sz="4" w:space="0" w:color="auto"/>
              <w:right w:val="nil"/>
            </w:tcBorders>
            <w:shd w:val="clear" w:color="auto" w:fill="auto"/>
            <w:hideMark/>
          </w:tcPr>
          <w:p w14:paraId="4C90DE3E" w14:textId="297044EF" w:rsidR="006761FC" w:rsidRPr="00F419CF" w:rsidRDefault="006761FC" w:rsidP="00B60801">
            <w:pPr>
              <w:pStyle w:val="Tabletext"/>
            </w:pPr>
            <w:r w:rsidRPr="00F419CF">
              <w:t xml:space="preserve">Phone attendance by a consultant physician in the practice of the consultant physician’s specialty of psychiatry, following referral of the patient to the consultant physician by a referring practitioner, involving an interview of a person other than the patient of not less than 20 minutes in duration, in the course of continuing management of a patient—if that attendance and another attendance to which this item </w:t>
            </w:r>
            <w:r w:rsidR="007F587A" w:rsidRPr="00F419CF">
              <w:t>or item 352 or 92460</w:t>
            </w:r>
            <w:r w:rsidRPr="00F419CF">
              <w:t xml:space="preserve"> applies have not exceeded 4 in a calendar year for the patient</w:t>
            </w:r>
          </w:p>
        </w:tc>
        <w:tc>
          <w:tcPr>
            <w:tcW w:w="915" w:type="pct"/>
            <w:gridSpan w:val="2"/>
            <w:tcBorders>
              <w:top w:val="single" w:sz="4" w:space="0" w:color="auto"/>
              <w:left w:val="nil"/>
              <w:bottom w:val="single" w:sz="4" w:space="0" w:color="auto"/>
              <w:right w:val="nil"/>
            </w:tcBorders>
            <w:shd w:val="clear" w:color="auto" w:fill="auto"/>
            <w:hideMark/>
          </w:tcPr>
          <w:p w14:paraId="6CAADAFE" w14:textId="77777777" w:rsidR="006761FC" w:rsidRPr="00F419CF" w:rsidRDefault="006761FC" w:rsidP="00B60801">
            <w:pPr>
              <w:pStyle w:val="Tabletext"/>
              <w:jc w:val="right"/>
            </w:pPr>
            <w:r w:rsidRPr="00F419CF">
              <w:t>130.70</w:t>
            </w:r>
          </w:p>
        </w:tc>
      </w:tr>
    </w:tbl>
    <w:p w14:paraId="2CC6EC9F" w14:textId="71093043" w:rsidR="006761FC" w:rsidRPr="00F419CF" w:rsidRDefault="0093791F" w:rsidP="006761FC">
      <w:pPr>
        <w:pStyle w:val="ItemHead"/>
      </w:pPr>
      <w:r w:rsidRPr="00F419CF">
        <w:t>14</w:t>
      </w:r>
      <w:r w:rsidR="006761FC" w:rsidRPr="00F419CF">
        <w:t xml:space="preserve"> Schedule 2 (at the end of the table)</w:t>
      </w:r>
    </w:p>
    <w:p w14:paraId="66706481" w14:textId="77777777" w:rsidR="006761FC" w:rsidRPr="00F419CF" w:rsidRDefault="006761FC" w:rsidP="006761FC">
      <w:pPr>
        <w:pStyle w:val="Item"/>
      </w:pPr>
      <w:r w:rsidRPr="00F419CF">
        <w:t>Insert:</w:t>
      </w:r>
    </w:p>
    <w:p w14:paraId="00CC936A" w14:textId="77777777" w:rsidR="006761FC" w:rsidRPr="00F419CF" w:rsidRDefault="006761FC" w:rsidP="006761FC">
      <w:pPr>
        <w:pStyle w:val="subsection"/>
      </w:pPr>
    </w:p>
    <w:tbl>
      <w:tblPr>
        <w:tblW w:w="5000" w:type="pct"/>
        <w:tblInd w:w="-28" w:type="dxa"/>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55"/>
        <w:gridCol w:w="5891"/>
        <w:gridCol w:w="1267"/>
      </w:tblGrid>
      <w:tr w:rsidR="00471FE4" w:rsidRPr="00F419CF" w14:paraId="0A884DD3" w14:textId="77777777" w:rsidTr="00B60801">
        <w:tc>
          <w:tcPr>
            <w:tcW w:w="5000" w:type="pct"/>
            <w:gridSpan w:val="3"/>
            <w:tcBorders>
              <w:top w:val="single" w:sz="12" w:space="0" w:color="auto"/>
              <w:left w:val="nil"/>
              <w:bottom w:val="single" w:sz="6" w:space="0" w:color="auto"/>
              <w:right w:val="nil"/>
            </w:tcBorders>
            <w:shd w:val="clear" w:color="auto" w:fill="auto"/>
            <w:hideMark/>
          </w:tcPr>
          <w:p w14:paraId="43400839" w14:textId="11347738" w:rsidR="006761FC" w:rsidRPr="00F419CF" w:rsidRDefault="006761FC" w:rsidP="000A74E6">
            <w:pPr>
              <w:pStyle w:val="TableHeading"/>
            </w:pPr>
            <w:r w:rsidRPr="00F419CF">
              <w:t>Subgroup 31—</w:t>
            </w:r>
            <w:r w:rsidR="000A74E6" w:rsidRPr="00F419CF">
              <w:t>Geriatric Medicine</w:t>
            </w:r>
            <w:r w:rsidR="00CA47CD" w:rsidRPr="00F419CF">
              <w:t xml:space="preserve"> – </w:t>
            </w:r>
            <w:r w:rsidR="000A74E6" w:rsidRPr="00F419CF">
              <w:t>Telehealth Services</w:t>
            </w:r>
          </w:p>
        </w:tc>
      </w:tr>
      <w:tr w:rsidR="00471FE4" w:rsidRPr="00F419CF" w14:paraId="042EFC38" w14:textId="77777777" w:rsidTr="00B60801">
        <w:tc>
          <w:tcPr>
            <w:tcW w:w="695" w:type="pct"/>
            <w:tcBorders>
              <w:top w:val="single" w:sz="6" w:space="0" w:color="auto"/>
              <w:left w:val="nil"/>
              <w:bottom w:val="single" w:sz="12" w:space="0" w:color="auto"/>
              <w:right w:val="nil"/>
            </w:tcBorders>
            <w:shd w:val="clear" w:color="auto" w:fill="auto"/>
            <w:hideMark/>
          </w:tcPr>
          <w:p w14:paraId="2A1E51CC" w14:textId="77777777" w:rsidR="006761FC" w:rsidRPr="00F419CF" w:rsidRDefault="006761FC" w:rsidP="00B60801">
            <w:pPr>
              <w:pStyle w:val="TableHeading"/>
            </w:pPr>
            <w:r w:rsidRPr="00F419CF">
              <w:t>Column 1</w:t>
            </w:r>
          </w:p>
          <w:p w14:paraId="6834D726" w14:textId="77777777" w:rsidR="006761FC" w:rsidRPr="00F419CF" w:rsidRDefault="006761FC" w:rsidP="00B60801">
            <w:pPr>
              <w:pStyle w:val="TableHeading"/>
            </w:pPr>
            <w:r w:rsidRPr="00F419CF">
              <w:t>Item</w:t>
            </w:r>
          </w:p>
        </w:tc>
        <w:tc>
          <w:tcPr>
            <w:tcW w:w="3543" w:type="pct"/>
            <w:tcBorders>
              <w:top w:val="single" w:sz="6" w:space="0" w:color="auto"/>
              <w:left w:val="nil"/>
              <w:bottom w:val="single" w:sz="12" w:space="0" w:color="auto"/>
              <w:right w:val="nil"/>
            </w:tcBorders>
            <w:shd w:val="clear" w:color="auto" w:fill="auto"/>
            <w:hideMark/>
          </w:tcPr>
          <w:p w14:paraId="4E2EB70D" w14:textId="77777777" w:rsidR="006761FC" w:rsidRPr="00F419CF" w:rsidRDefault="006761FC" w:rsidP="00B60801">
            <w:pPr>
              <w:pStyle w:val="TableHeading"/>
            </w:pPr>
            <w:r w:rsidRPr="00F419CF">
              <w:t>Column 2</w:t>
            </w:r>
          </w:p>
          <w:p w14:paraId="71315D4A" w14:textId="77777777" w:rsidR="006761FC" w:rsidRPr="00F419CF" w:rsidRDefault="006761FC" w:rsidP="00B60801">
            <w:pPr>
              <w:pStyle w:val="TableHeading"/>
            </w:pPr>
            <w:r w:rsidRPr="00F419CF">
              <w:t>Description</w:t>
            </w:r>
          </w:p>
        </w:tc>
        <w:tc>
          <w:tcPr>
            <w:tcW w:w="762" w:type="pct"/>
            <w:tcBorders>
              <w:top w:val="single" w:sz="6" w:space="0" w:color="auto"/>
              <w:left w:val="nil"/>
              <w:bottom w:val="single" w:sz="12" w:space="0" w:color="auto"/>
              <w:right w:val="nil"/>
            </w:tcBorders>
            <w:shd w:val="clear" w:color="auto" w:fill="auto"/>
            <w:hideMark/>
          </w:tcPr>
          <w:p w14:paraId="0DD4CB7C" w14:textId="77777777" w:rsidR="006761FC" w:rsidRPr="00F419CF" w:rsidRDefault="006761FC" w:rsidP="00B60801">
            <w:pPr>
              <w:pStyle w:val="TableHeading"/>
              <w:jc w:val="right"/>
            </w:pPr>
            <w:r w:rsidRPr="00F419CF">
              <w:t>Column 3</w:t>
            </w:r>
          </w:p>
          <w:p w14:paraId="378F013B" w14:textId="77777777" w:rsidR="006761FC" w:rsidRPr="00F419CF" w:rsidRDefault="006761FC" w:rsidP="00B60801">
            <w:pPr>
              <w:pStyle w:val="TableHeading"/>
              <w:jc w:val="right"/>
            </w:pPr>
            <w:r w:rsidRPr="00F419CF">
              <w:t>Fee ($)</w:t>
            </w:r>
          </w:p>
        </w:tc>
      </w:tr>
      <w:tr w:rsidR="00471FE4" w:rsidRPr="00F419CF" w14:paraId="5E5B833F" w14:textId="77777777" w:rsidTr="00B60801">
        <w:tc>
          <w:tcPr>
            <w:tcW w:w="695" w:type="pct"/>
            <w:tcBorders>
              <w:top w:val="single" w:sz="12" w:space="0" w:color="auto"/>
              <w:left w:val="nil"/>
              <w:bottom w:val="single" w:sz="4" w:space="0" w:color="auto"/>
              <w:right w:val="nil"/>
            </w:tcBorders>
            <w:shd w:val="clear" w:color="auto" w:fill="auto"/>
            <w:hideMark/>
          </w:tcPr>
          <w:p w14:paraId="198EA446" w14:textId="77777777" w:rsidR="006761FC" w:rsidRPr="00F419CF" w:rsidRDefault="006761FC" w:rsidP="00B60801">
            <w:pPr>
              <w:pStyle w:val="Tabletext"/>
            </w:pPr>
            <w:bookmarkStart w:id="19" w:name="CU_374042"/>
            <w:bookmarkStart w:id="20" w:name="CU_375519"/>
            <w:bookmarkEnd w:id="19"/>
            <w:bookmarkEnd w:id="20"/>
            <w:r w:rsidRPr="00F419CF">
              <w:t xml:space="preserve">92623 </w:t>
            </w:r>
          </w:p>
          <w:p w14:paraId="1040C030" w14:textId="57D4A632" w:rsidR="006761FC" w:rsidRPr="00F419CF" w:rsidRDefault="006761FC" w:rsidP="007F587A">
            <w:pPr>
              <w:pStyle w:val="Tabletext"/>
            </w:pPr>
          </w:p>
        </w:tc>
        <w:tc>
          <w:tcPr>
            <w:tcW w:w="3543" w:type="pct"/>
            <w:tcBorders>
              <w:top w:val="single" w:sz="12" w:space="0" w:color="auto"/>
              <w:left w:val="nil"/>
              <w:bottom w:val="single" w:sz="4" w:space="0" w:color="auto"/>
              <w:right w:val="nil"/>
            </w:tcBorders>
            <w:shd w:val="clear" w:color="auto" w:fill="auto"/>
            <w:hideMark/>
          </w:tcPr>
          <w:p w14:paraId="1F19B21A" w14:textId="77777777" w:rsidR="006761FC" w:rsidRPr="00F419CF" w:rsidRDefault="006761FC" w:rsidP="00B60801">
            <w:pPr>
              <w:pStyle w:val="Tabletext"/>
            </w:pPr>
            <w:r w:rsidRPr="00F419CF">
              <w:t>Telehealth attendance of more than 60 minutes in duration by a consultant physician or specialist in the practice of the consultant physician’s or specialist’s specialty of geriatric medicine, if:</w:t>
            </w:r>
          </w:p>
          <w:p w14:paraId="37D25FEB" w14:textId="77777777" w:rsidR="006761FC" w:rsidRPr="00F419CF" w:rsidRDefault="006761FC" w:rsidP="00B60801">
            <w:pPr>
              <w:pStyle w:val="Tablea"/>
            </w:pPr>
            <w:r w:rsidRPr="00F419CF">
              <w:t>(a) the patient is at least 65 years old and referred by a medical practitioner practising in general practice (not including a specialist or consultant physician) or a participating nurse practitioner; and</w:t>
            </w:r>
          </w:p>
          <w:p w14:paraId="1CB6975C" w14:textId="77777777" w:rsidR="006761FC" w:rsidRPr="00F419CF" w:rsidRDefault="006761FC" w:rsidP="00B60801">
            <w:pPr>
              <w:pStyle w:val="Tablea"/>
            </w:pPr>
            <w:r w:rsidRPr="00F419CF">
              <w:t>(b) the attendance is initiated by the referring practitioner for the provision of a comprehensive assessment and management plan; and</w:t>
            </w:r>
          </w:p>
          <w:p w14:paraId="23D967DC" w14:textId="77777777" w:rsidR="006761FC" w:rsidRPr="00F419CF" w:rsidRDefault="006761FC" w:rsidP="00B60801">
            <w:pPr>
              <w:pStyle w:val="Tablea"/>
            </w:pPr>
            <w:r w:rsidRPr="00F419CF">
              <w:t>(c) during the attendance:</w:t>
            </w:r>
          </w:p>
          <w:p w14:paraId="667228AE" w14:textId="4ACFD7B6" w:rsidR="006761FC" w:rsidRPr="00F419CF" w:rsidRDefault="006761FC" w:rsidP="00B60801">
            <w:pPr>
              <w:pStyle w:val="Tablei"/>
            </w:pPr>
            <w:r w:rsidRPr="00F419CF">
              <w:t xml:space="preserve">(i) </w:t>
            </w:r>
            <w:r w:rsidR="00AB13B6" w:rsidRPr="00F419CF">
              <w:t>all relevant</w:t>
            </w:r>
            <w:r w:rsidRPr="00F419CF">
              <w:t xml:space="preserve"> aspects of the patient’s health are evaluated in detail using appropriately validated assessment tools if indicated (the </w:t>
            </w:r>
            <w:r w:rsidRPr="00F419CF">
              <w:rPr>
                <w:b/>
                <w:i/>
              </w:rPr>
              <w:t>assessment</w:t>
            </w:r>
            <w:r w:rsidRPr="00F419CF">
              <w:t>); and</w:t>
            </w:r>
          </w:p>
          <w:p w14:paraId="448F792C" w14:textId="77777777" w:rsidR="006761FC" w:rsidRPr="00F419CF" w:rsidRDefault="006761FC" w:rsidP="00B60801">
            <w:pPr>
              <w:pStyle w:val="Tablei"/>
            </w:pPr>
            <w:r w:rsidRPr="00F419CF">
              <w:t xml:space="preserve">(ii) the patient’s various health problems and care needs are identified and prioritised (the </w:t>
            </w:r>
            <w:r w:rsidRPr="00F419CF">
              <w:rPr>
                <w:b/>
                <w:i/>
              </w:rPr>
              <w:t>formulation</w:t>
            </w:r>
            <w:r w:rsidRPr="00F419CF">
              <w:t>); and</w:t>
            </w:r>
          </w:p>
          <w:p w14:paraId="4F285E48" w14:textId="77777777" w:rsidR="006761FC" w:rsidRPr="00F419CF" w:rsidRDefault="006761FC" w:rsidP="00B60801">
            <w:pPr>
              <w:pStyle w:val="Tablei"/>
            </w:pPr>
            <w:r w:rsidRPr="00F419CF">
              <w:t xml:space="preserve">(iii) a detailed management plan is prepared (the </w:t>
            </w:r>
            <w:r w:rsidRPr="00F419CF">
              <w:rPr>
                <w:b/>
                <w:i/>
              </w:rPr>
              <w:t>management plan</w:t>
            </w:r>
            <w:r w:rsidRPr="00F419CF">
              <w:t>) setting out:</w:t>
            </w:r>
          </w:p>
          <w:p w14:paraId="5AB5CD11" w14:textId="77777777" w:rsidR="006761FC" w:rsidRPr="00F419CF" w:rsidRDefault="006761FC" w:rsidP="00B60801">
            <w:pPr>
              <w:pStyle w:val="TableAA"/>
            </w:pPr>
            <w:r w:rsidRPr="00F419CF">
              <w:t>(A) the prioritised list of health problems and care needs; and</w:t>
            </w:r>
          </w:p>
          <w:p w14:paraId="0B88E802" w14:textId="77777777" w:rsidR="006761FC" w:rsidRPr="00F419CF" w:rsidRDefault="006761FC" w:rsidP="00B60801">
            <w:pPr>
              <w:pStyle w:val="TableAA"/>
            </w:pPr>
            <w:r w:rsidRPr="00F419CF">
              <w:t>(B) short and longer term management goals; and</w:t>
            </w:r>
          </w:p>
          <w:p w14:paraId="1E395E9C" w14:textId="77777777" w:rsidR="006761FC" w:rsidRPr="00F419CF" w:rsidRDefault="006761FC" w:rsidP="00B60801">
            <w:pPr>
              <w:pStyle w:val="TableAA"/>
            </w:pPr>
            <w:r w:rsidRPr="00F419CF">
              <w:t>(C) recommended actions or intervention strategies to be undertaken by the patient’s general practitioner or another relevant health care provider that are likely to improve or maintain health status and are readily available and acceptable to the patient and the patient’s family and carers; and</w:t>
            </w:r>
          </w:p>
          <w:p w14:paraId="19EF3DE6" w14:textId="77777777" w:rsidR="006761FC" w:rsidRPr="00F419CF" w:rsidRDefault="006761FC" w:rsidP="00B60801">
            <w:pPr>
              <w:pStyle w:val="Tablei"/>
            </w:pPr>
            <w:r w:rsidRPr="00F419CF">
              <w:lastRenderedPageBreak/>
              <w:t>(iv) the management plan is explained and discussed with the patient and, if appropriate, the patient’s family and any carers; and</w:t>
            </w:r>
          </w:p>
          <w:p w14:paraId="0A264F04" w14:textId="77777777" w:rsidR="006761FC" w:rsidRPr="00F419CF" w:rsidRDefault="006761FC" w:rsidP="00B60801">
            <w:pPr>
              <w:pStyle w:val="Tablei"/>
            </w:pPr>
            <w:r w:rsidRPr="00F419CF">
              <w:t>(v) the management plan is communicated in writing to the referring practitioner; and</w:t>
            </w:r>
          </w:p>
          <w:p w14:paraId="7AB1F13D" w14:textId="1188BE25" w:rsidR="006761FC" w:rsidRPr="00F419CF" w:rsidRDefault="006761FC" w:rsidP="00B60801">
            <w:pPr>
              <w:pStyle w:val="Tablea"/>
            </w:pPr>
            <w:r w:rsidRPr="00F419CF">
              <w:t>(d) an attendance to which item 104, 105, 107, 108, 110, 116, 119</w:t>
            </w:r>
            <w:r w:rsidR="007F587A" w:rsidRPr="00F419CF">
              <w:t>, 91822, 91832, 91823, 91833</w:t>
            </w:r>
            <w:r w:rsidRPr="00F419CF">
              <w:t xml:space="preserve">, </w:t>
            </w:r>
            <w:r w:rsidR="007F587A" w:rsidRPr="00F419CF">
              <w:t xml:space="preserve">91824, 91834, 91825, 91835, 91826 or 91836 </w:t>
            </w:r>
            <w:r w:rsidRPr="00F419CF">
              <w:t>applies has not been provided to the patient on the same day by the same practitioner; and</w:t>
            </w:r>
          </w:p>
          <w:p w14:paraId="1780B87C" w14:textId="1EFE502F" w:rsidR="006761FC" w:rsidRPr="00F419CF" w:rsidRDefault="006761FC" w:rsidP="00B60801">
            <w:pPr>
              <w:pStyle w:val="Tablea"/>
            </w:pPr>
            <w:r w:rsidRPr="00F419CF">
              <w:t>(e) an attendance to which this item or item</w:t>
            </w:r>
            <w:r w:rsidR="007F587A" w:rsidRPr="00F419CF">
              <w:t> 92628</w:t>
            </w:r>
            <w:r w:rsidRPr="00F419CF">
              <w:t xml:space="preserve"> or 145 applies has not been provided to the patient by the same practitioner in the preceding 12 months</w:t>
            </w:r>
          </w:p>
        </w:tc>
        <w:tc>
          <w:tcPr>
            <w:tcW w:w="762" w:type="pct"/>
            <w:tcBorders>
              <w:top w:val="single" w:sz="12" w:space="0" w:color="auto"/>
              <w:left w:val="nil"/>
              <w:bottom w:val="single" w:sz="4" w:space="0" w:color="auto"/>
              <w:right w:val="nil"/>
            </w:tcBorders>
            <w:shd w:val="clear" w:color="auto" w:fill="auto"/>
            <w:hideMark/>
          </w:tcPr>
          <w:p w14:paraId="40322252" w14:textId="77777777" w:rsidR="006761FC" w:rsidRPr="00F419CF" w:rsidRDefault="006761FC" w:rsidP="00B60801">
            <w:pPr>
              <w:pStyle w:val="Tabletext"/>
              <w:jc w:val="right"/>
            </w:pPr>
            <w:r w:rsidRPr="00F419CF">
              <w:lastRenderedPageBreak/>
              <w:t>466.80</w:t>
            </w:r>
          </w:p>
        </w:tc>
      </w:tr>
      <w:tr w:rsidR="00471FE4" w:rsidRPr="00F419CF" w14:paraId="05603769" w14:textId="77777777" w:rsidTr="00B60801">
        <w:tc>
          <w:tcPr>
            <w:tcW w:w="695" w:type="pct"/>
            <w:tcBorders>
              <w:top w:val="single" w:sz="4" w:space="0" w:color="auto"/>
              <w:left w:val="nil"/>
              <w:bottom w:val="single" w:sz="4" w:space="0" w:color="auto"/>
              <w:right w:val="nil"/>
            </w:tcBorders>
            <w:shd w:val="clear" w:color="auto" w:fill="auto"/>
            <w:hideMark/>
          </w:tcPr>
          <w:p w14:paraId="77C6F175" w14:textId="77777777" w:rsidR="006761FC" w:rsidRPr="00F419CF" w:rsidRDefault="006761FC" w:rsidP="00B60801">
            <w:pPr>
              <w:pStyle w:val="Tabletext"/>
            </w:pPr>
            <w:bookmarkStart w:id="21" w:name="CU_475973"/>
            <w:bookmarkStart w:id="22" w:name="CU_477450"/>
            <w:bookmarkEnd w:id="21"/>
            <w:bookmarkEnd w:id="22"/>
            <w:r w:rsidRPr="00F419CF">
              <w:t>92624</w:t>
            </w:r>
          </w:p>
          <w:p w14:paraId="262A1316" w14:textId="2B57CE2F" w:rsidR="006761FC" w:rsidRPr="00F419CF" w:rsidRDefault="006761FC" w:rsidP="007F587A">
            <w:pPr>
              <w:pStyle w:val="Tabletext"/>
            </w:pPr>
          </w:p>
        </w:tc>
        <w:tc>
          <w:tcPr>
            <w:tcW w:w="3543" w:type="pct"/>
            <w:tcBorders>
              <w:top w:val="single" w:sz="4" w:space="0" w:color="auto"/>
              <w:left w:val="nil"/>
              <w:bottom w:val="single" w:sz="4" w:space="0" w:color="auto"/>
              <w:right w:val="nil"/>
            </w:tcBorders>
            <w:shd w:val="clear" w:color="auto" w:fill="auto"/>
            <w:hideMark/>
          </w:tcPr>
          <w:p w14:paraId="372AF6F4" w14:textId="735FB6F3" w:rsidR="006761FC" w:rsidRPr="00F419CF" w:rsidRDefault="006761FC" w:rsidP="00B60801">
            <w:pPr>
              <w:pStyle w:val="Tabletext"/>
            </w:pPr>
            <w:r w:rsidRPr="00F419CF">
              <w:t>Telehealth attendance of more than 30 minutes in duration by a consultant physician or specialist in the practice of the consultant physician’s or specialist’s specialty of geriatric medicine to review a management plan previously prepared by that consultant physician or specialist under item </w:t>
            </w:r>
            <w:r w:rsidR="007F587A" w:rsidRPr="00F419CF">
              <w:t>141, 92623</w:t>
            </w:r>
            <w:r w:rsidRPr="00F419CF">
              <w:t>, 92628</w:t>
            </w:r>
            <w:r w:rsidR="007F587A" w:rsidRPr="00F419CF">
              <w:t xml:space="preserve"> </w:t>
            </w:r>
            <w:r w:rsidRPr="00F419CF">
              <w:t>or 145, if:</w:t>
            </w:r>
          </w:p>
          <w:p w14:paraId="0650BED1" w14:textId="77777777" w:rsidR="006761FC" w:rsidRPr="00F419CF" w:rsidRDefault="006761FC" w:rsidP="00B60801">
            <w:pPr>
              <w:pStyle w:val="Tablea"/>
            </w:pPr>
            <w:r w:rsidRPr="00F419CF">
              <w:t>(a) the review is initiated by the referring medical practitioner practising in general practice or a participating nurse practitioner; and</w:t>
            </w:r>
          </w:p>
          <w:p w14:paraId="62B51909" w14:textId="77777777" w:rsidR="006761FC" w:rsidRPr="00F419CF" w:rsidRDefault="006761FC" w:rsidP="00B60801">
            <w:pPr>
              <w:pStyle w:val="Tablea"/>
            </w:pPr>
            <w:r w:rsidRPr="00F419CF">
              <w:t>(b) during the attendance:</w:t>
            </w:r>
          </w:p>
          <w:p w14:paraId="588E688D" w14:textId="77777777" w:rsidR="006761FC" w:rsidRPr="00F419CF" w:rsidRDefault="006761FC" w:rsidP="00B60801">
            <w:pPr>
              <w:pStyle w:val="Tablei"/>
            </w:pPr>
            <w:r w:rsidRPr="00F419CF">
              <w:t>(i) the patient’s health status is reassessed; and</w:t>
            </w:r>
          </w:p>
          <w:p w14:paraId="6A4DD3D8" w14:textId="118889B7" w:rsidR="006761FC" w:rsidRPr="00F419CF" w:rsidRDefault="006761FC" w:rsidP="00B60801">
            <w:pPr>
              <w:pStyle w:val="Tablei"/>
            </w:pPr>
            <w:r w:rsidRPr="00F419CF">
              <w:t>(ii) a management plan prepared under item </w:t>
            </w:r>
            <w:r w:rsidR="007F587A" w:rsidRPr="00F419CF">
              <w:t>141, 92623</w:t>
            </w:r>
            <w:r w:rsidRPr="00F419CF">
              <w:t>, 92628</w:t>
            </w:r>
            <w:r w:rsidR="007F587A" w:rsidRPr="00F419CF">
              <w:t xml:space="preserve"> </w:t>
            </w:r>
            <w:r w:rsidRPr="00F419CF">
              <w:t>or 145 is reviewed and revised; and</w:t>
            </w:r>
          </w:p>
          <w:p w14:paraId="46C4F184" w14:textId="77777777" w:rsidR="006761FC" w:rsidRPr="00F419CF" w:rsidRDefault="006761FC" w:rsidP="00B60801">
            <w:pPr>
              <w:pStyle w:val="Tablei"/>
            </w:pPr>
            <w:r w:rsidRPr="00F419CF">
              <w:t>(iii) the revised management plan is explained to the patient and (if appropriate) the patient’s family and any carers and communicated in writing to the referring practitioner; and</w:t>
            </w:r>
          </w:p>
          <w:p w14:paraId="0C722BF3" w14:textId="38E38A34" w:rsidR="006761FC" w:rsidRPr="00F419CF" w:rsidRDefault="006761FC" w:rsidP="00B60801">
            <w:pPr>
              <w:pStyle w:val="Tablea"/>
            </w:pPr>
            <w:r w:rsidRPr="00F419CF">
              <w:t>(c) an attendance to which item 104, 105, 107, 108, 110, 116, 119</w:t>
            </w:r>
            <w:r w:rsidR="007F587A" w:rsidRPr="00F419CF">
              <w:t>, 91822, 91832, 91823, 91833</w:t>
            </w:r>
            <w:r w:rsidRPr="00F419CF">
              <w:t xml:space="preserve">, </w:t>
            </w:r>
            <w:r w:rsidR="007F587A" w:rsidRPr="00F419CF">
              <w:t xml:space="preserve">91824, 91834, 91825, 91835, 91826 </w:t>
            </w:r>
            <w:r w:rsidRPr="00F419CF">
              <w:t>or</w:t>
            </w:r>
            <w:r w:rsidR="007F587A" w:rsidRPr="00F419CF">
              <w:t xml:space="preserve"> 91836 </w:t>
            </w:r>
            <w:r w:rsidRPr="00F419CF">
              <w:t>applies was not provided to the patient on the same day by the same practitioner; and</w:t>
            </w:r>
          </w:p>
          <w:p w14:paraId="130CB856" w14:textId="3E37ED20" w:rsidR="006761FC" w:rsidRPr="00F419CF" w:rsidRDefault="006761FC" w:rsidP="00B60801">
            <w:pPr>
              <w:pStyle w:val="Tablea"/>
            </w:pPr>
            <w:r w:rsidRPr="00F419CF">
              <w:t>(d) an attendance to which item </w:t>
            </w:r>
            <w:r w:rsidR="007F587A" w:rsidRPr="00F419CF">
              <w:t>141, 92623</w:t>
            </w:r>
            <w:r w:rsidRPr="00F419CF">
              <w:t>, 92628 or 145 applies has been provided to the patient by the same practitioner in the preceding 12 months; and</w:t>
            </w:r>
          </w:p>
          <w:p w14:paraId="6A08716A" w14:textId="331774A8" w:rsidR="006761FC" w:rsidRPr="00F419CF" w:rsidRDefault="006761FC" w:rsidP="00B60801">
            <w:pPr>
              <w:pStyle w:val="Tablea"/>
            </w:pPr>
            <w:r w:rsidRPr="00F419CF">
              <w:t>(e) an attendance to which this item or item </w:t>
            </w:r>
            <w:r w:rsidR="007F587A" w:rsidRPr="00F419CF">
              <w:t>92629</w:t>
            </w:r>
            <w:r w:rsidRPr="00F419CF">
              <w:t xml:space="preserve"> or 147 applies has not been provided to the patient in the preceding 12 months, unless there has been a significant change in the patient’s clinical condition or care circumstances that requires a further review</w:t>
            </w:r>
          </w:p>
        </w:tc>
        <w:tc>
          <w:tcPr>
            <w:tcW w:w="762" w:type="pct"/>
            <w:tcBorders>
              <w:top w:val="single" w:sz="4" w:space="0" w:color="auto"/>
              <w:left w:val="nil"/>
              <w:bottom w:val="single" w:sz="4" w:space="0" w:color="auto"/>
              <w:right w:val="nil"/>
            </w:tcBorders>
            <w:shd w:val="clear" w:color="auto" w:fill="auto"/>
            <w:hideMark/>
          </w:tcPr>
          <w:p w14:paraId="60F3D5DC" w14:textId="77777777" w:rsidR="006761FC" w:rsidRPr="00F419CF" w:rsidRDefault="006761FC" w:rsidP="00B60801">
            <w:pPr>
              <w:pStyle w:val="Tabletext"/>
              <w:jc w:val="right"/>
            </w:pPr>
            <w:r w:rsidRPr="00F419CF">
              <w:t>291.80</w:t>
            </w:r>
          </w:p>
        </w:tc>
      </w:tr>
      <w:tr w:rsidR="00471FE4" w:rsidRPr="00F419CF" w14:paraId="77610433" w14:textId="77777777" w:rsidTr="00B60801">
        <w:trPr>
          <w:tblHeader/>
        </w:trPr>
        <w:tc>
          <w:tcPr>
            <w:tcW w:w="5000" w:type="pct"/>
            <w:gridSpan w:val="3"/>
            <w:tcBorders>
              <w:top w:val="single" w:sz="12" w:space="0" w:color="auto"/>
              <w:left w:val="nil"/>
              <w:bottom w:val="single" w:sz="6" w:space="0" w:color="auto"/>
              <w:right w:val="nil"/>
            </w:tcBorders>
            <w:shd w:val="clear" w:color="auto" w:fill="auto"/>
            <w:hideMark/>
          </w:tcPr>
          <w:p w14:paraId="573A6C7E" w14:textId="1472CFE0" w:rsidR="006761FC" w:rsidRPr="00F419CF" w:rsidRDefault="006761FC" w:rsidP="000A74E6">
            <w:pPr>
              <w:pStyle w:val="TableHeading"/>
            </w:pPr>
            <w:r w:rsidRPr="00F419CF">
              <w:t>Subgroup 32—</w:t>
            </w:r>
            <w:r w:rsidR="000A74E6" w:rsidRPr="00F419CF">
              <w:t>Geriatric Medicine—Phone Services</w:t>
            </w:r>
          </w:p>
        </w:tc>
      </w:tr>
      <w:tr w:rsidR="00471FE4" w:rsidRPr="00F419CF" w14:paraId="7C4E1D03" w14:textId="77777777" w:rsidTr="00B60801">
        <w:tc>
          <w:tcPr>
            <w:tcW w:w="695" w:type="pct"/>
            <w:tcBorders>
              <w:top w:val="single" w:sz="12" w:space="0" w:color="auto"/>
              <w:left w:val="nil"/>
              <w:bottom w:val="single" w:sz="4" w:space="0" w:color="auto"/>
              <w:right w:val="nil"/>
            </w:tcBorders>
            <w:shd w:val="clear" w:color="auto" w:fill="auto"/>
            <w:hideMark/>
          </w:tcPr>
          <w:p w14:paraId="5FEAFDFB" w14:textId="77777777" w:rsidR="006761FC" w:rsidRPr="00F419CF" w:rsidRDefault="006761FC" w:rsidP="00B60801">
            <w:pPr>
              <w:pStyle w:val="Tabletext"/>
            </w:pPr>
            <w:r w:rsidRPr="00F419CF">
              <w:t>92628</w:t>
            </w:r>
          </w:p>
          <w:p w14:paraId="551E5DEC" w14:textId="25E32B52" w:rsidR="006761FC" w:rsidRPr="00F419CF" w:rsidRDefault="006761FC" w:rsidP="00B60801">
            <w:pPr>
              <w:pStyle w:val="Tabletext"/>
            </w:pPr>
          </w:p>
        </w:tc>
        <w:tc>
          <w:tcPr>
            <w:tcW w:w="3543" w:type="pct"/>
            <w:tcBorders>
              <w:top w:val="single" w:sz="12" w:space="0" w:color="auto"/>
              <w:left w:val="nil"/>
              <w:bottom w:val="single" w:sz="4" w:space="0" w:color="auto"/>
              <w:right w:val="nil"/>
            </w:tcBorders>
            <w:shd w:val="clear" w:color="auto" w:fill="auto"/>
            <w:hideMark/>
          </w:tcPr>
          <w:p w14:paraId="09061B7A" w14:textId="77777777" w:rsidR="006761FC" w:rsidRPr="00F419CF" w:rsidRDefault="006761FC" w:rsidP="00B60801">
            <w:pPr>
              <w:pStyle w:val="Tabletext"/>
            </w:pPr>
            <w:r w:rsidRPr="00F419CF">
              <w:t>Phone attendance of more than 60 minutes in duration by a consultant physician or specialist in the practice of the consultant physician’s or specialist’s specialty of geriatric medicine, if:</w:t>
            </w:r>
          </w:p>
          <w:p w14:paraId="4A58CAA5" w14:textId="77777777" w:rsidR="006761FC" w:rsidRPr="00F419CF" w:rsidRDefault="006761FC" w:rsidP="00B60801">
            <w:pPr>
              <w:pStyle w:val="Tablea"/>
            </w:pPr>
            <w:r w:rsidRPr="00F419CF">
              <w:t>(a) the patient is at least 65 years old and referred by a medical practitioner practising in general practice (not including a specialist or consultant physician) or a participating nurse practitioner; and</w:t>
            </w:r>
          </w:p>
          <w:p w14:paraId="4B63060A" w14:textId="77777777" w:rsidR="006761FC" w:rsidRPr="00F419CF" w:rsidRDefault="006761FC" w:rsidP="00B60801">
            <w:pPr>
              <w:pStyle w:val="Tablea"/>
            </w:pPr>
            <w:r w:rsidRPr="00F419CF">
              <w:t>(b) the attendance is initiated by the referring practitioner for the provision of a comprehensive assessment and management plan; and</w:t>
            </w:r>
          </w:p>
          <w:p w14:paraId="30EB8F44" w14:textId="77777777" w:rsidR="006761FC" w:rsidRPr="00F419CF" w:rsidRDefault="006761FC" w:rsidP="00B60801">
            <w:pPr>
              <w:pStyle w:val="Tablea"/>
            </w:pPr>
            <w:r w:rsidRPr="00F419CF">
              <w:t>(c) during the attendance:</w:t>
            </w:r>
          </w:p>
          <w:p w14:paraId="57E3F12E" w14:textId="4C216C92" w:rsidR="006761FC" w:rsidRPr="00F419CF" w:rsidRDefault="006761FC" w:rsidP="00B60801">
            <w:pPr>
              <w:pStyle w:val="Tablei"/>
            </w:pPr>
            <w:r w:rsidRPr="00F419CF">
              <w:lastRenderedPageBreak/>
              <w:t xml:space="preserve">(i) </w:t>
            </w:r>
            <w:r w:rsidR="00AB13B6" w:rsidRPr="00F419CF">
              <w:t>all relevant</w:t>
            </w:r>
            <w:r w:rsidRPr="00F419CF">
              <w:t xml:space="preserve"> aspects of the patient’s health are evaluated in detail using appropriately validated assessment tools if indicated (the </w:t>
            </w:r>
            <w:r w:rsidRPr="00F419CF">
              <w:rPr>
                <w:b/>
                <w:i/>
              </w:rPr>
              <w:t>assessment</w:t>
            </w:r>
            <w:r w:rsidRPr="00F419CF">
              <w:t>); and</w:t>
            </w:r>
          </w:p>
          <w:p w14:paraId="5EA84481" w14:textId="77777777" w:rsidR="006761FC" w:rsidRPr="00F419CF" w:rsidRDefault="006761FC" w:rsidP="00B60801">
            <w:pPr>
              <w:pStyle w:val="Tablei"/>
            </w:pPr>
            <w:r w:rsidRPr="00F419CF">
              <w:t xml:space="preserve">(ii) the patient’s various health problems and care needs are identified and prioritised (the </w:t>
            </w:r>
            <w:r w:rsidRPr="00F419CF">
              <w:rPr>
                <w:b/>
                <w:i/>
              </w:rPr>
              <w:t>formulation</w:t>
            </w:r>
            <w:r w:rsidRPr="00F419CF">
              <w:t>); and</w:t>
            </w:r>
          </w:p>
          <w:p w14:paraId="7858FE0C" w14:textId="77777777" w:rsidR="006761FC" w:rsidRPr="00F419CF" w:rsidRDefault="006761FC" w:rsidP="00B60801">
            <w:pPr>
              <w:pStyle w:val="Tablei"/>
            </w:pPr>
            <w:r w:rsidRPr="00F419CF">
              <w:t xml:space="preserve">(iii) a detailed management plan is prepared (the </w:t>
            </w:r>
            <w:r w:rsidRPr="00F419CF">
              <w:rPr>
                <w:b/>
                <w:i/>
              </w:rPr>
              <w:t>management plan</w:t>
            </w:r>
            <w:r w:rsidRPr="00F419CF">
              <w:t>) setting out:</w:t>
            </w:r>
          </w:p>
          <w:p w14:paraId="091715DD" w14:textId="77777777" w:rsidR="006761FC" w:rsidRPr="00F419CF" w:rsidRDefault="006761FC" w:rsidP="00B60801">
            <w:pPr>
              <w:pStyle w:val="TableAA"/>
            </w:pPr>
            <w:r w:rsidRPr="00F419CF">
              <w:t>(A) the prioritised list of health problems and care needs; and</w:t>
            </w:r>
          </w:p>
          <w:p w14:paraId="55AE6A5E" w14:textId="77777777" w:rsidR="006761FC" w:rsidRPr="00F419CF" w:rsidRDefault="006761FC" w:rsidP="00B60801">
            <w:pPr>
              <w:pStyle w:val="TableAA"/>
            </w:pPr>
            <w:r w:rsidRPr="00F419CF">
              <w:t>(B) short and longer term management goals; and</w:t>
            </w:r>
          </w:p>
          <w:p w14:paraId="1F338300" w14:textId="77777777" w:rsidR="006761FC" w:rsidRPr="00F419CF" w:rsidRDefault="006761FC" w:rsidP="00B60801">
            <w:pPr>
              <w:pStyle w:val="TableAA"/>
            </w:pPr>
            <w:r w:rsidRPr="00F419CF">
              <w:t>(C) recommended actions or intervention strategies to be undertaken by the patient’s general practitioner or another relevant health care provider that are likely to improve or maintain health status and are readily available and acceptable to the patient and the patient’s family and carers; and</w:t>
            </w:r>
          </w:p>
          <w:p w14:paraId="16354B3A" w14:textId="77777777" w:rsidR="006761FC" w:rsidRPr="00F419CF" w:rsidRDefault="006761FC" w:rsidP="00B60801">
            <w:pPr>
              <w:pStyle w:val="Tablei"/>
            </w:pPr>
            <w:r w:rsidRPr="00F419CF">
              <w:t>(iv) the management plan is explained and discussed with the patient and, if appropriate, the patient’s family and any carers; and</w:t>
            </w:r>
          </w:p>
          <w:p w14:paraId="1593BAB4" w14:textId="77777777" w:rsidR="006761FC" w:rsidRPr="00F419CF" w:rsidRDefault="006761FC" w:rsidP="00B60801">
            <w:pPr>
              <w:pStyle w:val="Tablei"/>
            </w:pPr>
            <w:r w:rsidRPr="00F419CF">
              <w:t>(v) the management plan is communicated in writing to the referring practitioner; and</w:t>
            </w:r>
          </w:p>
          <w:p w14:paraId="5F6E3B91" w14:textId="67775049" w:rsidR="006761FC" w:rsidRPr="00F419CF" w:rsidRDefault="006761FC" w:rsidP="00B60801">
            <w:pPr>
              <w:pStyle w:val="Tablea"/>
            </w:pPr>
            <w:r w:rsidRPr="00F419CF">
              <w:t>(d) an attendance to which item 104, 105, 107, 108, 110, 116, 119, 91822</w:t>
            </w:r>
            <w:r w:rsidR="007F587A" w:rsidRPr="00F419CF">
              <w:t>, 91832, 91823, 91833</w:t>
            </w:r>
            <w:r w:rsidRPr="00F419CF">
              <w:t xml:space="preserve">, </w:t>
            </w:r>
            <w:r w:rsidR="007F587A" w:rsidRPr="00F419CF">
              <w:t xml:space="preserve">91824, 91834, 91825, 91835, 91826 or 91836 </w:t>
            </w:r>
            <w:r w:rsidRPr="00F419CF">
              <w:t>applies has not been provided to the patient on the same day by the same practitioner; and</w:t>
            </w:r>
          </w:p>
          <w:p w14:paraId="22F02203" w14:textId="7E42040A" w:rsidR="006761FC" w:rsidRPr="00F419CF" w:rsidRDefault="006761FC" w:rsidP="00B60801">
            <w:pPr>
              <w:pStyle w:val="Tablea"/>
            </w:pPr>
            <w:r w:rsidRPr="00F419CF">
              <w:t>(e) an attendance to which this item or item</w:t>
            </w:r>
            <w:r w:rsidR="007F587A" w:rsidRPr="00F419CF">
              <w:t xml:space="preserve"> 92623</w:t>
            </w:r>
            <w:r w:rsidRPr="00F419CF">
              <w:t> or 145 applies has not been provided to the patient by the same practitioner in the preceding 12 months</w:t>
            </w:r>
          </w:p>
        </w:tc>
        <w:tc>
          <w:tcPr>
            <w:tcW w:w="762" w:type="pct"/>
            <w:tcBorders>
              <w:top w:val="single" w:sz="12" w:space="0" w:color="auto"/>
              <w:left w:val="nil"/>
              <w:bottom w:val="single" w:sz="4" w:space="0" w:color="auto"/>
              <w:right w:val="nil"/>
            </w:tcBorders>
            <w:shd w:val="clear" w:color="auto" w:fill="auto"/>
            <w:hideMark/>
          </w:tcPr>
          <w:p w14:paraId="71559BFD" w14:textId="77777777" w:rsidR="006761FC" w:rsidRPr="00F419CF" w:rsidRDefault="006761FC" w:rsidP="00B60801">
            <w:pPr>
              <w:pStyle w:val="Tabletext"/>
              <w:jc w:val="right"/>
            </w:pPr>
            <w:r w:rsidRPr="00F419CF">
              <w:lastRenderedPageBreak/>
              <w:t>466.80</w:t>
            </w:r>
          </w:p>
        </w:tc>
      </w:tr>
      <w:tr w:rsidR="00471FE4" w:rsidRPr="00F419CF" w14:paraId="4F76E918" w14:textId="77777777" w:rsidTr="00B60801">
        <w:tc>
          <w:tcPr>
            <w:tcW w:w="695" w:type="pct"/>
            <w:tcBorders>
              <w:top w:val="single" w:sz="4" w:space="0" w:color="auto"/>
              <w:left w:val="nil"/>
              <w:bottom w:val="single" w:sz="4" w:space="0" w:color="auto"/>
              <w:right w:val="nil"/>
            </w:tcBorders>
            <w:shd w:val="clear" w:color="auto" w:fill="auto"/>
            <w:hideMark/>
          </w:tcPr>
          <w:p w14:paraId="5BBBEFB4" w14:textId="77777777" w:rsidR="006761FC" w:rsidRPr="00F419CF" w:rsidRDefault="006761FC" w:rsidP="00B60801">
            <w:pPr>
              <w:pStyle w:val="Tabletext"/>
            </w:pPr>
            <w:r w:rsidRPr="00F419CF">
              <w:t>92629</w:t>
            </w:r>
          </w:p>
          <w:p w14:paraId="53E7B0B8" w14:textId="45A1DF74" w:rsidR="006761FC" w:rsidRPr="00F419CF" w:rsidRDefault="006761FC" w:rsidP="00B60801">
            <w:pPr>
              <w:pStyle w:val="Tabletext"/>
            </w:pPr>
          </w:p>
        </w:tc>
        <w:tc>
          <w:tcPr>
            <w:tcW w:w="3543" w:type="pct"/>
            <w:tcBorders>
              <w:top w:val="single" w:sz="4" w:space="0" w:color="auto"/>
              <w:left w:val="nil"/>
              <w:bottom w:val="single" w:sz="4" w:space="0" w:color="auto"/>
              <w:right w:val="nil"/>
            </w:tcBorders>
            <w:shd w:val="clear" w:color="auto" w:fill="auto"/>
            <w:hideMark/>
          </w:tcPr>
          <w:p w14:paraId="7A7364FF" w14:textId="4B5685B9" w:rsidR="006761FC" w:rsidRPr="00F419CF" w:rsidRDefault="006761FC" w:rsidP="00B60801">
            <w:pPr>
              <w:pStyle w:val="Tabletext"/>
            </w:pPr>
            <w:r w:rsidRPr="00F419CF">
              <w:t xml:space="preserve">Phone attendance of more than 30 minutes in duration by a consultant physician or specialist in the practice of the consultant physician’s or specialist’s specialty of geriatric medicine to review a management plan previously prepared by that consultant physician or specialist under </w:t>
            </w:r>
            <w:r w:rsidR="007F587A" w:rsidRPr="00F419CF">
              <w:t xml:space="preserve">item 141, 92623, 92628 </w:t>
            </w:r>
            <w:r w:rsidRPr="00F419CF">
              <w:t>or 145, if:</w:t>
            </w:r>
          </w:p>
          <w:p w14:paraId="37F688E4" w14:textId="77777777" w:rsidR="006761FC" w:rsidRPr="00F419CF" w:rsidRDefault="006761FC" w:rsidP="00B60801">
            <w:pPr>
              <w:pStyle w:val="Tablea"/>
            </w:pPr>
            <w:r w:rsidRPr="00F419CF">
              <w:t>(a) the review is initiated by the referring medical practitioner practising in general practice or a participating nurse practitioner; and</w:t>
            </w:r>
          </w:p>
          <w:p w14:paraId="07EE6F38" w14:textId="77777777" w:rsidR="006761FC" w:rsidRPr="00F419CF" w:rsidRDefault="006761FC" w:rsidP="00B60801">
            <w:pPr>
              <w:pStyle w:val="Tablea"/>
            </w:pPr>
            <w:r w:rsidRPr="00F419CF">
              <w:t>(b) during the attendance:</w:t>
            </w:r>
          </w:p>
          <w:p w14:paraId="612D6965" w14:textId="77777777" w:rsidR="006761FC" w:rsidRPr="00F419CF" w:rsidRDefault="006761FC" w:rsidP="00B60801">
            <w:pPr>
              <w:pStyle w:val="Tablei"/>
            </w:pPr>
            <w:r w:rsidRPr="00F419CF">
              <w:t>(i) the patient’s health status is reassessed; and</w:t>
            </w:r>
          </w:p>
          <w:p w14:paraId="26312E6C" w14:textId="4DA3408A" w:rsidR="006761FC" w:rsidRPr="00F419CF" w:rsidRDefault="006761FC" w:rsidP="00B60801">
            <w:pPr>
              <w:pStyle w:val="Tablei"/>
            </w:pPr>
            <w:r w:rsidRPr="00F419CF">
              <w:t xml:space="preserve">(ii) a management plan prepared under </w:t>
            </w:r>
            <w:r w:rsidR="007F587A" w:rsidRPr="00F419CF">
              <w:t xml:space="preserve">item 141, 92623, 92628 </w:t>
            </w:r>
            <w:r w:rsidRPr="00F419CF">
              <w:t>or 145 is reviewed and revised; and</w:t>
            </w:r>
          </w:p>
          <w:p w14:paraId="47CE99D5" w14:textId="77777777" w:rsidR="006761FC" w:rsidRPr="00F419CF" w:rsidRDefault="006761FC" w:rsidP="00B60801">
            <w:pPr>
              <w:pStyle w:val="Tablei"/>
            </w:pPr>
            <w:r w:rsidRPr="00F419CF">
              <w:t>(iii) the revised management plan is explained to the patient and (if appropriate) the patient’s family and any carers and communicated in writing to the referring practitioner; and</w:t>
            </w:r>
          </w:p>
          <w:p w14:paraId="5BF06DD9" w14:textId="018E78B7" w:rsidR="006761FC" w:rsidRPr="00F419CF" w:rsidRDefault="006761FC" w:rsidP="00B60801">
            <w:pPr>
              <w:pStyle w:val="Tablea"/>
            </w:pPr>
            <w:r w:rsidRPr="00F419CF">
              <w:t>(c) an attendance to which item 104, 105, 107, 108, 110, 116, 119</w:t>
            </w:r>
            <w:r w:rsidR="007F587A" w:rsidRPr="00F419CF">
              <w:t>, 91822, 91832, 91823, 91833</w:t>
            </w:r>
            <w:r w:rsidRPr="00F419CF">
              <w:t xml:space="preserve">, </w:t>
            </w:r>
            <w:r w:rsidR="007F587A" w:rsidRPr="00F419CF">
              <w:t>91824, 91834, 91825, 91835, 91826</w:t>
            </w:r>
            <w:r w:rsidRPr="00F419CF">
              <w:t xml:space="preserve"> or</w:t>
            </w:r>
            <w:r w:rsidR="007F587A" w:rsidRPr="00F419CF">
              <w:t xml:space="preserve"> 91836</w:t>
            </w:r>
            <w:r w:rsidRPr="00F419CF">
              <w:t xml:space="preserve"> applies was not provided to the patient on the same day by the same practitioner; and</w:t>
            </w:r>
          </w:p>
          <w:p w14:paraId="31B30622" w14:textId="6CC60E11" w:rsidR="006761FC" w:rsidRPr="00F419CF" w:rsidRDefault="006761FC" w:rsidP="00B60801">
            <w:pPr>
              <w:pStyle w:val="Tablea"/>
            </w:pPr>
            <w:r w:rsidRPr="00F419CF">
              <w:t xml:space="preserve">(d) an attendance to which </w:t>
            </w:r>
            <w:r w:rsidR="007F587A" w:rsidRPr="00F419CF">
              <w:t xml:space="preserve">item 141, 92623, 92628 </w:t>
            </w:r>
            <w:r w:rsidRPr="00F419CF">
              <w:t>or 145 applies has been provided to the patient by the same practitioner in the preceding 12 months; and</w:t>
            </w:r>
          </w:p>
          <w:p w14:paraId="3BFF1A32" w14:textId="17C46BF9" w:rsidR="006761FC" w:rsidRPr="00F419CF" w:rsidRDefault="006761FC" w:rsidP="007F587A">
            <w:pPr>
              <w:pStyle w:val="Tablea"/>
            </w:pPr>
            <w:r w:rsidRPr="00F419CF">
              <w:t>(e) an attendance to which this item or item</w:t>
            </w:r>
            <w:r w:rsidR="007F587A" w:rsidRPr="00F419CF">
              <w:t xml:space="preserve"> 92624 </w:t>
            </w:r>
            <w:r w:rsidRPr="00F419CF">
              <w:t xml:space="preserve">or 147 applies has not been provided to the patient in the preceding 12 months, unless </w:t>
            </w:r>
            <w:r w:rsidRPr="00F419CF">
              <w:lastRenderedPageBreak/>
              <w:t>there has been a significant change in the patient’s clinical condition or care circumstances that requires a further review</w:t>
            </w:r>
          </w:p>
        </w:tc>
        <w:tc>
          <w:tcPr>
            <w:tcW w:w="762" w:type="pct"/>
            <w:tcBorders>
              <w:top w:val="single" w:sz="4" w:space="0" w:color="auto"/>
              <w:left w:val="nil"/>
              <w:bottom w:val="single" w:sz="4" w:space="0" w:color="auto"/>
              <w:right w:val="nil"/>
            </w:tcBorders>
            <w:shd w:val="clear" w:color="auto" w:fill="auto"/>
            <w:hideMark/>
          </w:tcPr>
          <w:p w14:paraId="449CD3D2" w14:textId="77777777" w:rsidR="006761FC" w:rsidRPr="00F419CF" w:rsidRDefault="006761FC" w:rsidP="00B60801">
            <w:pPr>
              <w:pStyle w:val="Tabletext"/>
              <w:jc w:val="right"/>
            </w:pPr>
            <w:r w:rsidRPr="00F419CF">
              <w:lastRenderedPageBreak/>
              <w:t>291.80</w:t>
            </w:r>
          </w:p>
        </w:tc>
      </w:tr>
    </w:tbl>
    <w:p w14:paraId="132AF990" w14:textId="77A0501B" w:rsidR="008C6CAB" w:rsidRPr="00F419CF" w:rsidRDefault="0093791F" w:rsidP="008C6CAB">
      <w:pPr>
        <w:pStyle w:val="ItemHead"/>
      </w:pPr>
      <w:r w:rsidRPr="00F419CF">
        <w:t>15</w:t>
      </w:r>
      <w:r w:rsidR="008C6CAB" w:rsidRPr="00F419CF">
        <w:t xml:space="preserve">  Subclause 3.1.2(2) of Division 3.1 of Schedule 3</w:t>
      </w:r>
    </w:p>
    <w:p w14:paraId="49B56BA9" w14:textId="510127F9" w:rsidR="008C6CAB" w:rsidRPr="00F419CF" w:rsidRDefault="008C6CAB" w:rsidP="008C6CAB">
      <w:pPr>
        <w:pStyle w:val="Item"/>
      </w:pPr>
      <w:r w:rsidRPr="00F419CF">
        <w:t>After “general medical services table”, insert “or</w:t>
      </w:r>
      <w:r w:rsidR="00D07269" w:rsidRPr="00F419CF">
        <w:t xml:space="preserve"> to which any of items </w:t>
      </w:r>
      <w:r w:rsidR="007F2A15" w:rsidRPr="00F419CF">
        <w:t xml:space="preserve">91827, 91828, 91829, 91830, 91831, 91837, 91838, 91839, 91840, 91841, </w:t>
      </w:r>
      <w:r w:rsidRPr="00F419CF">
        <w:t>92437, 92458, 9245</w:t>
      </w:r>
      <w:r w:rsidR="00BC63EE" w:rsidRPr="00F419CF">
        <w:t>9, 92460, 92477, 92498, 92499 or</w:t>
      </w:r>
      <w:r w:rsidRPr="00F419CF">
        <w:t xml:space="preserve"> 92500”.</w:t>
      </w:r>
    </w:p>
    <w:p w14:paraId="52337442" w14:textId="77777777" w:rsidR="00567F61" w:rsidRPr="00F419CF" w:rsidRDefault="00567F61" w:rsidP="00567F61">
      <w:pPr>
        <w:pStyle w:val="ItemHead"/>
      </w:pPr>
      <w:r w:rsidRPr="00F419CF">
        <w:t>16  Subclause 3.1.2(3) of Division 3.1 of Schedule 3</w:t>
      </w:r>
    </w:p>
    <w:p w14:paraId="1AFFE3C4" w14:textId="7C346B49" w:rsidR="00567F61" w:rsidRPr="00F419CF" w:rsidRDefault="00567F61" w:rsidP="00567F61">
      <w:pPr>
        <w:pStyle w:val="Item"/>
      </w:pPr>
      <w:r w:rsidRPr="00F419CF">
        <w:t>After “general medical services table”, insert “or to which any of items 91</w:t>
      </w:r>
      <w:r w:rsidR="00BC63EE" w:rsidRPr="00F419CF">
        <w:t>824, 91825, 91826, 91834, 91835 or</w:t>
      </w:r>
      <w:r w:rsidRPr="00F419CF">
        <w:t xml:space="preserve"> 91836”.</w:t>
      </w:r>
    </w:p>
    <w:p w14:paraId="65D19D3C" w14:textId="77777777" w:rsidR="00567F61" w:rsidRPr="00F419CF" w:rsidRDefault="00567F61" w:rsidP="00567F61">
      <w:pPr>
        <w:pStyle w:val="ItemHead"/>
      </w:pPr>
      <w:r w:rsidRPr="00F419CF">
        <w:t>17  Subclause 3.1.2(4) of Division 3.1 of Schedule 3</w:t>
      </w:r>
    </w:p>
    <w:p w14:paraId="3589E821" w14:textId="77777777" w:rsidR="00567F61" w:rsidRPr="00F419CF" w:rsidRDefault="00567F61" w:rsidP="00567F61">
      <w:pPr>
        <w:pStyle w:val="Item"/>
      </w:pPr>
      <w:r w:rsidRPr="00F419CF">
        <w:t xml:space="preserve">After “general medical services table”, insert “or to which any of items 92434 or 92474”. </w:t>
      </w:r>
    </w:p>
    <w:p w14:paraId="069B11F5" w14:textId="77777777" w:rsidR="00567F61" w:rsidRPr="00F419CF" w:rsidRDefault="00567F61" w:rsidP="00567F61">
      <w:pPr>
        <w:pStyle w:val="ItemHead"/>
      </w:pPr>
      <w:r w:rsidRPr="00F419CF">
        <w:t>18  Subclause 3.1.2(5) of Division 3.1 of Schedule 3</w:t>
      </w:r>
    </w:p>
    <w:p w14:paraId="060CA0ED" w14:textId="77777777" w:rsidR="00567F61" w:rsidRPr="00F419CF" w:rsidRDefault="00567F61" w:rsidP="00567F61">
      <w:pPr>
        <w:pStyle w:val="Item"/>
      </w:pPr>
      <w:r w:rsidRPr="00F419CF">
        <w:t xml:space="preserve">After “item 289”, insert “, 92434 or 92474”. </w:t>
      </w:r>
    </w:p>
    <w:p w14:paraId="2D864B10" w14:textId="77777777" w:rsidR="00567F61" w:rsidRPr="00F419CF" w:rsidRDefault="00567F61" w:rsidP="00567F61">
      <w:pPr>
        <w:pStyle w:val="ItemHead"/>
      </w:pPr>
      <w:r w:rsidRPr="00F419CF">
        <w:t>19  Subclause 3.1.2(5) of Division 3.1 of Schedule 3</w:t>
      </w:r>
    </w:p>
    <w:p w14:paraId="13FA69AD" w14:textId="77777777" w:rsidR="00567F61" w:rsidRPr="00F419CF" w:rsidRDefault="00567F61" w:rsidP="00567F61">
      <w:pPr>
        <w:pStyle w:val="Item"/>
      </w:pPr>
      <w:r w:rsidRPr="00F419CF">
        <w:t>After “general medical services table”, insert “or to which any of items 91827, 91828, 91829, 91830, 91831, 91837, 91838, 91839, 91840, 91841, 92437, 92458, 92459, 92460, 92477, 92498, 92499 or 92500”.</w:t>
      </w:r>
    </w:p>
    <w:p w14:paraId="08B4C28E" w14:textId="77777777" w:rsidR="00567F61" w:rsidRPr="00F419CF" w:rsidRDefault="00567F61" w:rsidP="00567F61">
      <w:pPr>
        <w:pStyle w:val="ItemHead"/>
      </w:pPr>
      <w:r w:rsidRPr="00F419CF">
        <w:t>20  Subclause 3.1.2(6) of Division 3.1 of Schedule 3</w:t>
      </w:r>
    </w:p>
    <w:p w14:paraId="1998779D" w14:textId="77777777" w:rsidR="00567F61" w:rsidRPr="00F419CF" w:rsidRDefault="00567F61" w:rsidP="00567F61">
      <w:pPr>
        <w:pStyle w:val="Item"/>
      </w:pPr>
      <w:r w:rsidRPr="00F419CF">
        <w:t>After “general medical services table”, insert “or to which item 92140 or 92143”.</w:t>
      </w:r>
    </w:p>
    <w:p w14:paraId="09317417" w14:textId="77777777" w:rsidR="00567F61" w:rsidRPr="00F419CF" w:rsidRDefault="00567F61" w:rsidP="00567F61">
      <w:pPr>
        <w:pStyle w:val="ItemHead"/>
      </w:pPr>
      <w:r w:rsidRPr="00F419CF">
        <w:t>21  Subclause 3.1.2(7) of Division 3.1 of Schedule 3</w:t>
      </w:r>
    </w:p>
    <w:p w14:paraId="493F56B8" w14:textId="77777777" w:rsidR="00567F61" w:rsidRPr="00F419CF" w:rsidRDefault="00567F61" w:rsidP="00567F61">
      <w:pPr>
        <w:pStyle w:val="Item"/>
      </w:pPr>
      <w:r w:rsidRPr="00F419CF">
        <w:t>After “item 135”, insert “, 92140 or 92143”.</w:t>
      </w:r>
    </w:p>
    <w:p w14:paraId="1DEEABCF" w14:textId="77777777" w:rsidR="00567F61" w:rsidRPr="00F419CF" w:rsidRDefault="00567F61" w:rsidP="00567F61">
      <w:pPr>
        <w:pStyle w:val="ItemHead"/>
      </w:pPr>
      <w:r w:rsidRPr="00F419CF">
        <w:t>22  Subclause 3.1.2(7) of Division 3.1 of Schedule 3</w:t>
      </w:r>
    </w:p>
    <w:p w14:paraId="6841EB4E" w14:textId="0CCFE779" w:rsidR="00567F61" w:rsidRPr="00F419CF" w:rsidRDefault="00567F61" w:rsidP="00567F61">
      <w:pPr>
        <w:pStyle w:val="Item"/>
      </w:pPr>
      <w:r w:rsidRPr="00F419CF">
        <w:t>After “general medical services table”, insert “or to which any of items 91</w:t>
      </w:r>
      <w:r w:rsidR="00BC63EE" w:rsidRPr="00F419CF">
        <w:t>824, 91825, 91826, 91834, 91835 or</w:t>
      </w:r>
      <w:r w:rsidRPr="00F419CF">
        <w:t xml:space="preserve"> 91836”</w:t>
      </w:r>
    </w:p>
    <w:p w14:paraId="43ECF7A3" w14:textId="77777777" w:rsidR="00567F61" w:rsidRPr="00F419CF" w:rsidRDefault="00567F61" w:rsidP="00567F61">
      <w:pPr>
        <w:pStyle w:val="ItemHead"/>
      </w:pPr>
      <w:r w:rsidRPr="00F419CF">
        <w:t>23  Subclause 3.1.2(8) of Division 3.1 of Schedule 3</w:t>
      </w:r>
    </w:p>
    <w:p w14:paraId="10D376D8" w14:textId="088D69E9" w:rsidR="00BC5EEB" w:rsidRPr="00F419CF" w:rsidRDefault="00567F61" w:rsidP="00316BAC">
      <w:pPr>
        <w:pStyle w:val="Item"/>
      </w:pPr>
      <w:r w:rsidRPr="00F419CF">
        <w:t>Omit “137 or 139”, insert “137, 139, 92141</w:t>
      </w:r>
      <w:r w:rsidR="00BC5EEB" w:rsidRPr="00F419CF">
        <w:t>, 92142,</w:t>
      </w:r>
      <w:r w:rsidRPr="00F419CF">
        <w:t xml:space="preserve"> 92144</w:t>
      </w:r>
      <w:r w:rsidR="00BC5EEB" w:rsidRPr="00F419CF">
        <w:t xml:space="preserve"> or 92145</w:t>
      </w:r>
      <w:r w:rsidRPr="00F419CF">
        <w:t>”.</w:t>
      </w:r>
    </w:p>
    <w:p w14:paraId="0FA6AF1B" w14:textId="77777777" w:rsidR="00567F61" w:rsidRPr="00F419CF" w:rsidRDefault="00567F61" w:rsidP="00567F61">
      <w:pPr>
        <w:pStyle w:val="ItemHead"/>
      </w:pPr>
      <w:r w:rsidRPr="00F419CF">
        <w:t>24  Subclause 3.1.2(8) of Division 3.1 of Schedule 3</w:t>
      </w:r>
    </w:p>
    <w:p w14:paraId="089868C4" w14:textId="77777777" w:rsidR="00567F61" w:rsidRPr="00F419CF" w:rsidRDefault="00567F61" w:rsidP="00567F61">
      <w:pPr>
        <w:pStyle w:val="Item"/>
      </w:pPr>
      <w:r w:rsidRPr="00F419CF">
        <w:t xml:space="preserve">After “general medical services table”, insert “or to which item 92140, 92143, 92434 or 92474”. </w:t>
      </w:r>
    </w:p>
    <w:p w14:paraId="59F7E564" w14:textId="77777777" w:rsidR="00567F61" w:rsidRPr="00F419CF" w:rsidRDefault="00567F61" w:rsidP="00567F61">
      <w:pPr>
        <w:pStyle w:val="ItemHead"/>
      </w:pPr>
      <w:r w:rsidRPr="00F419CF">
        <w:t>25  Subclause 3.1.3(2) of Division 3.1 of Schedule 3</w:t>
      </w:r>
    </w:p>
    <w:p w14:paraId="16282464" w14:textId="77777777" w:rsidR="00567F61" w:rsidRPr="00F419CF" w:rsidRDefault="00567F61" w:rsidP="00567F61">
      <w:pPr>
        <w:pStyle w:val="Item"/>
      </w:pPr>
      <w:r w:rsidRPr="00F419CF">
        <w:t>After “general medical services table”, insert “or to which any of items 91827, 91828, 91829, 91830, 91831, 91837, 91838, 91839, 91840, 91841, 92437, 92458, 92459, 92460, 92477, 92498, 92499 or 92500”.</w:t>
      </w:r>
    </w:p>
    <w:p w14:paraId="1D08DBDC" w14:textId="77777777" w:rsidR="00567F61" w:rsidRPr="00F419CF" w:rsidRDefault="00567F61" w:rsidP="00567F61">
      <w:pPr>
        <w:pStyle w:val="ItemHead"/>
      </w:pPr>
      <w:r w:rsidRPr="00F419CF">
        <w:lastRenderedPageBreak/>
        <w:t>26  Subclause 3.1.3(3) of Division 3.1 of Schedule 3</w:t>
      </w:r>
    </w:p>
    <w:p w14:paraId="77E73DFE" w14:textId="6FD2DE2F" w:rsidR="00567F61" w:rsidRPr="00F419CF" w:rsidRDefault="00567F61" w:rsidP="00567F61">
      <w:pPr>
        <w:pStyle w:val="Item"/>
      </w:pPr>
      <w:r w:rsidRPr="00F419CF">
        <w:t>After “general medical services table”, insert “or to which any of items 91790, 91800, 91</w:t>
      </w:r>
      <w:r w:rsidR="00BC63EE" w:rsidRPr="00F419CF">
        <w:t>801, 91802, 91795, 91809, 91810 or</w:t>
      </w:r>
      <w:r w:rsidRPr="00F419CF">
        <w:t xml:space="preserve"> 91811”.</w:t>
      </w:r>
    </w:p>
    <w:p w14:paraId="7D422684" w14:textId="77777777" w:rsidR="00567F61" w:rsidRPr="00F419CF" w:rsidRDefault="00567F61" w:rsidP="00567F61">
      <w:pPr>
        <w:pStyle w:val="ItemHead"/>
      </w:pPr>
      <w:r w:rsidRPr="00F419CF">
        <w:t>27  Subclause 3.1.3(4) of Division 3.1 of Schedule 3</w:t>
      </w:r>
    </w:p>
    <w:p w14:paraId="6DCC8FDC" w14:textId="77777777" w:rsidR="00567F61" w:rsidRPr="00F419CF" w:rsidRDefault="00567F61" w:rsidP="00567F61">
      <w:pPr>
        <w:pStyle w:val="Item"/>
      </w:pPr>
      <w:r w:rsidRPr="00F419CF">
        <w:t>After “general medical services table”, insert “or to which item 92141 or 92144”.</w:t>
      </w:r>
    </w:p>
    <w:p w14:paraId="5BB7D924" w14:textId="77777777" w:rsidR="00567F61" w:rsidRPr="00F419CF" w:rsidRDefault="00567F61" w:rsidP="00567F61">
      <w:pPr>
        <w:pStyle w:val="ItemHead"/>
      </w:pPr>
      <w:r w:rsidRPr="00F419CF">
        <w:t>28  Subclause 3.1.3(6) of Division 3.1 of Schedule 3</w:t>
      </w:r>
    </w:p>
    <w:p w14:paraId="23DB2881" w14:textId="22ADE8F1" w:rsidR="00BC5EEB" w:rsidRPr="00F419CF" w:rsidRDefault="00BC5EEB" w:rsidP="00316BAC">
      <w:pPr>
        <w:pStyle w:val="Item"/>
      </w:pPr>
      <w:r w:rsidRPr="00F419CF">
        <w:t xml:space="preserve">Repeal the subclause, substitute: </w:t>
      </w:r>
    </w:p>
    <w:p w14:paraId="4B53F3C1" w14:textId="3424D4F4" w:rsidR="00BC5EEB" w:rsidRPr="00F419CF" w:rsidRDefault="00BC5EEB" w:rsidP="00316BAC">
      <w:pPr>
        <w:pStyle w:val="subsection"/>
      </w:pPr>
      <w:r w:rsidRPr="00F419CF">
        <w:tab/>
        <w:t>(6)</w:t>
      </w:r>
      <w:r w:rsidRPr="00F419CF">
        <w:tab/>
        <w:t xml:space="preserve">If a child has previously been provided with a </w:t>
      </w:r>
      <w:r w:rsidR="007A18CB" w:rsidRPr="00F419CF">
        <w:t>service mentioned in item 135 or 289 of the general medical services table or item</w:t>
      </w:r>
      <w:r w:rsidRPr="00F419CF">
        <w:t xml:space="preserve"> 92140, 92143, 92434 or 92474, the medical practitioner cannot refer the child for a service to which item 137 or 139 of the general medical services table or item 92141, 92142, 92144 or 92145 applies.</w:t>
      </w:r>
    </w:p>
    <w:p w14:paraId="4CB2631C" w14:textId="77777777" w:rsidR="00567F61" w:rsidRPr="00F419CF" w:rsidRDefault="00567F61" w:rsidP="00567F61">
      <w:pPr>
        <w:pStyle w:val="ItemHead"/>
      </w:pPr>
      <w:r w:rsidRPr="00F419CF">
        <w:t>29  Paragraph 3.1.5(1)(a) of Division 3.1 of Schedule 3</w:t>
      </w:r>
    </w:p>
    <w:p w14:paraId="72910C73" w14:textId="77777777" w:rsidR="00567F61" w:rsidRPr="00F419CF" w:rsidRDefault="00567F61" w:rsidP="00567F61">
      <w:pPr>
        <w:pStyle w:val="Item"/>
      </w:pPr>
      <w:r w:rsidRPr="00F419CF">
        <w:t xml:space="preserve">Before “items”, insert “items 91827, 91828, 91829, 91830, 91831, 91837, 91838, 91839, 91840, 91841, 92436, 92437, 92458, 92459, 92460, 92476, 92477, 92498, 92499 or 92500, or”. </w:t>
      </w:r>
    </w:p>
    <w:p w14:paraId="41978B78" w14:textId="77777777" w:rsidR="00567F61" w:rsidRPr="00F419CF" w:rsidRDefault="00567F61" w:rsidP="00567F61">
      <w:pPr>
        <w:pStyle w:val="ItemHead"/>
      </w:pPr>
      <w:r w:rsidRPr="00F419CF">
        <w:t>30  Paragraph 3.1.5(1)(b) of Division 3.1 of Schedule 3</w:t>
      </w:r>
    </w:p>
    <w:p w14:paraId="6DCE3F73" w14:textId="77777777" w:rsidR="00567F61" w:rsidRDefault="00567F61" w:rsidP="00567F61">
      <w:pPr>
        <w:pStyle w:val="Item"/>
      </w:pPr>
      <w:r w:rsidRPr="00F419CF">
        <w:t>After “general medical services table”, insert “or to which any of items 91824, 91825, 91826, 91834, 91835, 91836, 92422, 92423, 92431 or 92432”.</w:t>
      </w:r>
      <w:bookmarkStart w:id="23" w:name="_GoBack"/>
      <w:bookmarkEnd w:id="23"/>
    </w:p>
    <w:p w14:paraId="3B6E5A52" w14:textId="4718B5DF" w:rsidR="006A2DFB" w:rsidRPr="00471FE4" w:rsidRDefault="006A2DFB">
      <w:pPr>
        <w:spacing w:line="240" w:lineRule="auto"/>
        <w:rPr>
          <w:rFonts w:eastAsia="Times New Roman" w:cs="Times New Roman"/>
          <w:sz w:val="24"/>
          <w:lang w:eastAsia="en-AU"/>
        </w:rPr>
      </w:pPr>
    </w:p>
    <w:sectPr w:rsidR="006A2DFB" w:rsidRPr="00471FE4"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EB3CB" w14:textId="77777777" w:rsidR="00A71CF0" w:rsidRDefault="00A71CF0" w:rsidP="0048364F">
      <w:pPr>
        <w:spacing w:line="240" w:lineRule="auto"/>
      </w:pPr>
      <w:r>
        <w:separator/>
      </w:r>
    </w:p>
  </w:endnote>
  <w:endnote w:type="continuationSeparator" w:id="0">
    <w:p w14:paraId="76665117" w14:textId="77777777" w:rsidR="00A71CF0" w:rsidRDefault="00A71CF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A71CF0" w14:paraId="11AF0820" w14:textId="77777777" w:rsidTr="00DB5ADC">
      <w:tc>
        <w:tcPr>
          <w:tcW w:w="5000" w:type="pct"/>
        </w:tcPr>
        <w:p w14:paraId="105B17DC" w14:textId="77777777" w:rsidR="00A71CF0" w:rsidRDefault="00A71CF0" w:rsidP="00DB5ADC">
          <w:pPr>
            <w:rPr>
              <w:sz w:val="18"/>
            </w:rPr>
          </w:pPr>
        </w:p>
      </w:tc>
    </w:tr>
  </w:tbl>
  <w:p w14:paraId="02D765C2" w14:textId="77777777" w:rsidR="00A71CF0" w:rsidRPr="005F1388" w:rsidRDefault="00A71CF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A71CF0" w14:paraId="23FF0277" w14:textId="77777777" w:rsidTr="00DB5ADC">
      <w:tc>
        <w:tcPr>
          <w:tcW w:w="5000" w:type="pct"/>
        </w:tcPr>
        <w:p w14:paraId="45854042" w14:textId="77777777" w:rsidR="00A71CF0" w:rsidRDefault="00A71CF0" w:rsidP="00DB5ADC">
          <w:pPr>
            <w:rPr>
              <w:sz w:val="18"/>
            </w:rPr>
          </w:pPr>
        </w:p>
      </w:tc>
    </w:tr>
  </w:tbl>
  <w:p w14:paraId="090E4495" w14:textId="77777777" w:rsidR="00A71CF0" w:rsidRPr="006D3667" w:rsidRDefault="00A71CF0" w:rsidP="00DB5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9FB2" w14:textId="77777777" w:rsidR="00A71CF0" w:rsidRDefault="00A71CF0" w:rsidP="00DB5ADC">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A71CF0" w14:paraId="0D7A5FC9" w14:textId="77777777" w:rsidTr="00DB5ADC">
      <w:tc>
        <w:tcPr>
          <w:tcW w:w="5000" w:type="pct"/>
        </w:tcPr>
        <w:p w14:paraId="168F2B3C" w14:textId="77777777" w:rsidR="00A71CF0" w:rsidRDefault="00A71CF0" w:rsidP="00DB5ADC">
          <w:pPr>
            <w:rPr>
              <w:sz w:val="18"/>
            </w:rPr>
          </w:pPr>
        </w:p>
      </w:tc>
    </w:tr>
  </w:tbl>
  <w:p w14:paraId="2AB96455" w14:textId="77777777" w:rsidR="00A71CF0" w:rsidRPr="00486382" w:rsidRDefault="00A71CF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E101A" w14:textId="77777777" w:rsidR="00A71CF0" w:rsidRPr="00E33C1C" w:rsidRDefault="00A71CF0" w:rsidP="00DB5ADC">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A71CF0" w14:paraId="7554030C" w14:textId="77777777" w:rsidTr="00DB5ADC">
      <w:tc>
        <w:tcPr>
          <w:tcW w:w="365" w:type="pct"/>
          <w:tcBorders>
            <w:top w:val="nil"/>
            <w:left w:val="nil"/>
            <w:bottom w:val="nil"/>
            <w:right w:val="nil"/>
          </w:tcBorders>
        </w:tcPr>
        <w:p w14:paraId="1F6C8A7E" w14:textId="77777777" w:rsidR="00A71CF0" w:rsidRDefault="00A71CF0" w:rsidP="00DB5AD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2209BD78" w14:textId="77777777" w:rsidR="00A71CF0" w:rsidRDefault="00A71CF0" w:rsidP="00DB5AD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Instrument Name Amendment (Subject Matter) Kind of Instrument Year Health Insurance (Section 3C General Medical Services – COVID-19 Telehealth and Telephone Attendances) Amendment (Bulk-billing) Determination 2020</w:t>
          </w:r>
          <w:r w:rsidRPr="00B20990">
            <w:rPr>
              <w:i/>
              <w:sz w:val="18"/>
            </w:rPr>
            <w:fldChar w:fldCharType="end"/>
          </w:r>
        </w:p>
      </w:tc>
      <w:tc>
        <w:tcPr>
          <w:tcW w:w="947" w:type="pct"/>
          <w:tcBorders>
            <w:top w:val="nil"/>
            <w:left w:val="nil"/>
            <w:bottom w:val="nil"/>
            <w:right w:val="nil"/>
          </w:tcBorders>
        </w:tcPr>
        <w:p w14:paraId="6AB6792F" w14:textId="77777777" w:rsidR="00A71CF0" w:rsidRDefault="00A71CF0" w:rsidP="00DB5ADC">
          <w:pPr>
            <w:spacing w:line="0" w:lineRule="atLeast"/>
            <w:jc w:val="right"/>
            <w:rPr>
              <w:sz w:val="18"/>
            </w:rPr>
          </w:pPr>
        </w:p>
      </w:tc>
    </w:tr>
    <w:tr w:rsidR="00A71CF0" w14:paraId="01237DA7" w14:textId="77777777" w:rsidTr="00DB5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305D0AE" w14:textId="77777777" w:rsidR="00A71CF0" w:rsidRDefault="00A71CF0" w:rsidP="00DB5ADC">
          <w:pPr>
            <w:jc w:val="right"/>
            <w:rPr>
              <w:sz w:val="18"/>
            </w:rPr>
          </w:pPr>
        </w:p>
      </w:tc>
    </w:tr>
  </w:tbl>
  <w:p w14:paraId="49982C5C" w14:textId="77777777" w:rsidR="00A71CF0" w:rsidRPr="00ED79B6" w:rsidRDefault="00A71CF0" w:rsidP="00DB5ADC">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A61F0" w14:textId="77777777" w:rsidR="00A71CF0" w:rsidRPr="00E33C1C" w:rsidRDefault="00A71CF0" w:rsidP="00DB5ADC">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A71CF0" w14:paraId="52DAE197" w14:textId="77777777" w:rsidTr="00DB5ADC">
      <w:tc>
        <w:tcPr>
          <w:tcW w:w="947" w:type="pct"/>
          <w:tcBorders>
            <w:top w:val="nil"/>
            <w:left w:val="nil"/>
            <w:bottom w:val="nil"/>
            <w:right w:val="nil"/>
          </w:tcBorders>
        </w:tcPr>
        <w:p w14:paraId="6C7C288C" w14:textId="77777777" w:rsidR="00A71CF0" w:rsidRDefault="00A71CF0" w:rsidP="00DB5ADC">
          <w:pPr>
            <w:spacing w:line="0" w:lineRule="atLeast"/>
            <w:rPr>
              <w:sz w:val="18"/>
            </w:rPr>
          </w:pPr>
        </w:p>
      </w:tc>
      <w:tc>
        <w:tcPr>
          <w:tcW w:w="3688" w:type="pct"/>
          <w:tcBorders>
            <w:top w:val="nil"/>
            <w:left w:val="nil"/>
            <w:bottom w:val="nil"/>
            <w:right w:val="nil"/>
          </w:tcBorders>
        </w:tcPr>
        <w:p w14:paraId="722C866E" w14:textId="220E3D25" w:rsidR="00A71CF0" w:rsidRPr="00B20990" w:rsidRDefault="00A71CF0" w:rsidP="00DB5AD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419CF">
            <w:rPr>
              <w:i/>
              <w:noProof/>
              <w:sz w:val="18"/>
            </w:rPr>
            <w:t>Health Insurance (Section 3C General Medical Services – COVID-19 Telehealth and Telephone Attendances) Amendment (Expansion of Specialist Services) Determination 2020</w:t>
          </w:r>
          <w:r w:rsidRPr="00B20990">
            <w:rPr>
              <w:i/>
              <w:sz w:val="18"/>
            </w:rPr>
            <w:fldChar w:fldCharType="end"/>
          </w:r>
        </w:p>
      </w:tc>
      <w:tc>
        <w:tcPr>
          <w:tcW w:w="365" w:type="pct"/>
          <w:tcBorders>
            <w:top w:val="nil"/>
            <w:left w:val="nil"/>
            <w:bottom w:val="nil"/>
            <w:right w:val="nil"/>
          </w:tcBorders>
        </w:tcPr>
        <w:p w14:paraId="312E28AA" w14:textId="6B943903" w:rsidR="00A71CF0" w:rsidRDefault="00A71CF0" w:rsidP="00DB5AD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419CF">
            <w:rPr>
              <w:i/>
              <w:noProof/>
              <w:sz w:val="18"/>
            </w:rPr>
            <w:t>i</w:t>
          </w:r>
          <w:r w:rsidRPr="00ED79B6">
            <w:rPr>
              <w:i/>
              <w:sz w:val="18"/>
            </w:rPr>
            <w:fldChar w:fldCharType="end"/>
          </w:r>
        </w:p>
      </w:tc>
    </w:tr>
    <w:tr w:rsidR="00A71CF0" w14:paraId="41F30442" w14:textId="77777777" w:rsidTr="00DB5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20D43E9" w14:textId="77777777" w:rsidR="00A71CF0" w:rsidRDefault="00A71CF0" w:rsidP="00DB5ADC">
          <w:pPr>
            <w:rPr>
              <w:sz w:val="18"/>
            </w:rPr>
          </w:pPr>
        </w:p>
      </w:tc>
    </w:tr>
  </w:tbl>
  <w:p w14:paraId="22F71DD0" w14:textId="77777777" w:rsidR="00A71CF0" w:rsidRPr="00ED79B6" w:rsidRDefault="00A71CF0" w:rsidP="00DB5ADC">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556DC" w14:textId="77777777" w:rsidR="00A71CF0" w:rsidRPr="00E33C1C" w:rsidRDefault="00A71CF0"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71CF0" w14:paraId="234F2326" w14:textId="77777777" w:rsidTr="007A6863">
      <w:tc>
        <w:tcPr>
          <w:tcW w:w="709" w:type="dxa"/>
          <w:tcBorders>
            <w:top w:val="nil"/>
            <w:left w:val="nil"/>
            <w:bottom w:val="nil"/>
            <w:right w:val="nil"/>
          </w:tcBorders>
        </w:tcPr>
        <w:p w14:paraId="50D1F862" w14:textId="01BB26BB" w:rsidR="00A71CF0" w:rsidRDefault="00A71CF0"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419CF">
            <w:rPr>
              <w:i/>
              <w:noProof/>
              <w:sz w:val="18"/>
            </w:rPr>
            <w:t>14</w:t>
          </w:r>
          <w:r w:rsidRPr="00ED79B6">
            <w:rPr>
              <w:i/>
              <w:sz w:val="18"/>
            </w:rPr>
            <w:fldChar w:fldCharType="end"/>
          </w:r>
        </w:p>
      </w:tc>
      <w:tc>
        <w:tcPr>
          <w:tcW w:w="6379" w:type="dxa"/>
          <w:tcBorders>
            <w:top w:val="nil"/>
            <w:left w:val="nil"/>
            <w:bottom w:val="nil"/>
            <w:right w:val="nil"/>
          </w:tcBorders>
        </w:tcPr>
        <w:p w14:paraId="2232A5DD" w14:textId="64B30072" w:rsidR="00A71CF0" w:rsidRDefault="00A71CF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419CF">
            <w:rPr>
              <w:i/>
              <w:noProof/>
              <w:sz w:val="18"/>
            </w:rPr>
            <w:t>Health Insurance (Section 3C General Medical Services – COVID-19 Telehealth and Telephone Attendances) Amendment (Expansion of Specialist Services) Determination 2020</w:t>
          </w:r>
          <w:r w:rsidRPr="00B20990">
            <w:rPr>
              <w:i/>
              <w:sz w:val="18"/>
            </w:rPr>
            <w:fldChar w:fldCharType="end"/>
          </w:r>
        </w:p>
      </w:tc>
      <w:tc>
        <w:tcPr>
          <w:tcW w:w="1383" w:type="dxa"/>
          <w:tcBorders>
            <w:top w:val="nil"/>
            <w:left w:val="nil"/>
            <w:bottom w:val="nil"/>
            <w:right w:val="nil"/>
          </w:tcBorders>
        </w:tcPr>
        <w:p w14:paraId="0C11D619" w14:textId="77777777" w:rsidR="00A71CF0" w:rsidRDefault="00A71CF0" w:rsidP="00EE57E8">
          <w:pPr>
            <w:spacing w:line="0" w:lineRule="atLeast"/>
            <w:jc w:val="right"/>
            <w:rPr>
              <w:sz w:val="18"/>
            </w:rPr>
          </w:pPr>
        </w:p>
      </w:tc>
    </w:tr>
    <w:tr w:rsidR="00A71CF0" w14:paraId="705035B8"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E0426C6" w14:textId="77777777" w:rsidR="00A71CF0" w:rsidRDefault="00A71CF0" w:rsidP="00EE57E8">
          <w:pPr>
            <w:jc w:val="right"/>
            <w:rPr>
              <w:sz w:val="18"/>
            </w:rPr>
          </w:pPr>
        </w:p>
      </w:tc>
    </w:tr>
  </w:tbl>
  <w:p w14:paraId="5029D219" w14:textId="77777777" w:rsidR="00A71CF0" w:rsidRPr="00ED79B6" w:rsidRDefault="00A71CF0"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90502" w14:textId="77777777" w:rsidR="00A71CF0" w:rsidRPr="00E33C1C" w:rsidRDefault="00A71CF0"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71CF0" w14:paraId="7EB9534F" w14:textId="77777777" w:rsidTr="00EE57E8">
      <w:tc>
        <w:tcPr>
          <w:tcW w:w="1384" w:type="dxa"/>
          <w:tcBorders>
            <w:top w:val="nil"/>
            <w:left w:val="nil"/>
            <w:bottom w:val="nil"/>
            <w:right w:val="nil"/>
          </w:tcBorders>
        </w:tcPr>
        <w:p w14:paraId="03120475" w14:textId="77777777" w:rsidR="00A71CF0" w:rsidRDefault="00A71CF0" w:rsidP="00EE57E8">
          <w:pPr>
            <w:spacing w:line="0" w:lineRule="atLeast"/>
            <w:rPr>
              <w:sz w:val="18"/>
            </w:rPr>
          </w:pPr>
        </w:p>
      </w:tc>
      <w:tc>
        <w:tcPr>
          <w:tcW w:w="6379" w:type="dxa"/>
          <w:tcBorders>
            <w:top w:val="nil"/>
            <w:left w:val="nil"/>
            <w:bottom w:val="nil"/>
            <w:right w:val="nil"/>
          </w:tcBorders>
        </w:tcPr>
        <w:p w14:paraId="6541B11A" w14:textId="25E11134" w:rsidR="00A71CF0" w:rsidRDefault="00A71CF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419CF">
            <w:rPr>
              <w:i/>
              <w:noProof/>
              <w:sz w:val="18"/>
            </w:rPr>
            <w:t>Health Insurance (Section 3C General Medical Services – COVID-19 Telehealth and Telephone Attendances) Amendment (Expansion of Specialist Services) Determination 2020</w:t>
          </w:r>
          <w:r w:rsidRPr="00B20990">
            <w:rPr>
              <w:i/>
              <w:sz w:val="18"/>
            </w:rPr>
            <w:fldChar w:fldCharType="end"/>
          </w:r>
        </w:p>
      </w:tc>
      <w:tc>
        <w:tcPr>
          <w:tcW w:w="709" w:type="dxa"/>
          <w:tcBorders>
            <w:top w:val="nil"/>
            <w:left w:val="nil"/>
            <w:bottom w:val="nil"/>
            <w:right w:val="nil"/>
          </w:tcBorders>
        </w:tcPr>
        <w:p w14:paraId="24341FEB" w14:textId="1427B3F1" w:rsidR="00A71CF0" w:rsidRDefault="00A71CF0"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419CF">
            <w:rPr>
              <w:i/>
              <w:noProof/>
              <w:sz w:val="18"/>
            </w:rPr>
            <w:t>13</w:t>
          </w:r>
          <w:r w:rsidRPr="00ED79B6">
            <w:rPr>
              <w:i/>
              <w:sz w:val="18"/>
            </w:rPr>
            <w:fldChar w:fldCharType="end"/>
          </w:r>
        </w:p>
      </w:tc>
    </w:tr>
    <w:tr w:rsidR="00A71CF0" w14:paraId="5F8092BC"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6BDEED8" w14:textId="77777777" w:rsidR="00A71CF0" w:rsidRDefault="00A71CF0" w:rsidP="00EE57E8">
          <w:pPr>
            <w:rPr>
              <w:sz w:val="18"/>
            </w:rPr>
          </w:pPr>
        </w:p>
      </w:tc>
    </w:tr>
  </w:tbl>
  <w:p w14:paraId="628A0DF6" w14:textId="77777777" w:rsidR="00A71CF0" w:rsidRPr="00ED79B6" w:rsidRDefault="00A71CF0"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81086" w14:textId="77777777" w:rsidR="00A71CF0" w:rsidRPr="00E33C1C" w:rsidRDefault="00A71CF0"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71CF0" w14:paraId="4D40472F" w14:textId="77777777" w:rsidTr="007A6863">
      <w:tc>
        <w:tcPr>
          <w:tcW w:w="1384" w:type="dxa"/>
          <w:tcBorders>
            <w:top w:val="nil"/>
            <w:left w:val="nil"/>
            <w:bottom w:val="nil"/>
            <w:right w:val="nil"/>
          </w:tcBorders>
        </w:tcPr>
        <w:p w14:paraId="30AECE68" w14:textId="77777777" w:rsidR="00A71CF0" w:rsidRDefault="00A71CF0" w:rsidP="00EE57E8">
          <w:pPr>
            <w:spacing w:line="0" w:lineRule="atLeast"/>
            <w:rPr>
              <w:sz w:val="18"/>
            </w:rPr>
          </w:pPr>
        </w:p>
      </w:tc>
      <w:tc>
        <w:tcPr>
          <w:tcW w:w="6379" w:type="dxa"/>
          <w:tcBorders>
            <w:top w:val="nil"/>
            <w:left w:val="nil"/>
            <w:bottom w:val="nil"/>
            <w:right w:val="nil"/>
          </w:tcBorders>
        </w:tcPr>
        <w:p w14:paraId="3D312A92" w14:textId="77777777" w:rsidR="00A71CF0" w:rsidRDefault="00A71CF0"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223B051F" w14:textId="77777777" w:rsidR="00A71CF0" w:rsidRDefault="00A71CF0"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A71CF0" w14:paraId="7B216A4C"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5F7B682" w14:textId="2E87675F" w:rsidR="00A71CF0" w:rsidRDefault="00A71CF0"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F419CF">
            <w:rPr>
              <w:i/>
              <w:noProof/>
              <w:sz w:val="18"/>
            </w:rPr>
            <w:t>4/4/2020 2:05 PM</w:t>
          </w:r>
          <w:r w:rsidRPr="00ED79B6">
            <w:rPr>
              <w:i/>
              <w:sz w:val="18"/>
            </w:rPr>
            <w:fldChar w:fldCharType="end"/>
          </w:r>
        </w:p>
      </w:tc>
    </w:tr>
  </w:tbl>
  <w:p w14:paraId="4BF7D3FA" w14:textId="77777777" w:rsidR="00A71CF0" w:rsidRPr="00ED79B6" w:rsidRDefault="00A71CF0"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BA6E0" w14:textId="77777777" w:rsidR="00A71CF0" w:rsidRDefault="00A71CF0" w:rsidP="0048364F">
      <w:pPr>
        <w:spacing w:line="240" w:lineRule="auto"/>
      </w:pPr>
      <w:r>
        <w:separator/>
      </w:r>
    </w:p>
  </w:footnote>
  <w:footnote w:type="continuationSeparator" w:id="0">
    <w:p w14:paraId="6E0AC202" w14:textId="77777777" w:rsidR="00A71CF0" w:rsidRDefault="00A71CF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381A4" w14:textId="77777777" w:rsidR="00A71CF0" w:rsidRPr="005F1388" w:rsidRDefault="00A71CF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D70D8" w14:textId="77777777" w:rsidR="00A71CF0" w:rsidRPr="005F1388" w:rsidRDefault="00A71CF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1E542" w14:textId="77777777" w:rsidR="00A71CF0" w:rsidRPr="005F1388" w:rsidRDefault="00A71CF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E56F1" w14:textId="77777777" w:rsidR="00A71CF0" w:rsidRPr="00ED79B6" w:rsidRDefault="00A71CF0" w:rsidP="00DB5ADC">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FC772" w14:textId="77777777" w:rsidR="00A71CF0" w:rsidRPr="00ED79B6" w:rsidRDefault="00A71CF0" w:rsidP="00DB5ADC">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0862B" w14:textId="77777777" w:rsidR="00A71CF0" w:rsidRPr="00ED79B6" w:rsidRDefault="00A71CF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318B" w14:textId="77777777" w:rsidR="00A71CF0" w:rsidRPr="00A961C4" w:rsidRDefault="00A71CF0" w:rsidP="0048364F">
    <w:pPr>
      <w:rPr>
        <w:b/>
        <w:sz w:val="20"/>
      </w:rPr>
    </w:pPr>
  </w:p>
  <w:p w14:paraId="0BBD9B42" w14:textId="77777777" w:rsidR="00A71CF0" w:rsidRPr="00A961C4" w:rsidRDefault="00A71CF0" w:rsidP="0048364F">
    <w:pPr>
      <w:rPr>
        <w:b/>
        <w:sz w:val="20"/>
      </w:rPr>
    </w:pPr>
  </w:p>
  <w:p w14:paraId="03F9ECE6" w14:textId="77777777" w:rsidR="00A71CF0" w:rsidRPr="00A961C4" w:rsidRDefault="00A71CF0"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1B48D" w14:textId="77777777" w:rsidR="00A71CF0" w:rsidRPr="00A961C4" w:rsidRDefault="00A71CF0" w:rsidP="0048364F">
    <w:pPr>
      <w:jc w:val="right"/>
      <w:rPr>
        <w:sz w:val="20"/>
      </w:rPr>
    </w:pPr>
  </w:p>
  <w:p w14:paraId="23584D4E" w14:textId="77777777" w:rsidR="00A71CF0" w:rsidRPr="00A961C4" w:rsidRDefault="00A71CF0" w:rsidP="0048364F">
    <w:pPr>
      <w:jc w:val="right"/>
      <w:rPr>
        <w:b/>
        <w:sz w:val="20"/>
      </w:rPr>
    </w:pPr>
  </w:p>
  <w:p w14:paraId="0D9A7923" w14:textId="77777777" w:rsidR="00A71CF0" w:rsidRPr="00A961C4" w:rsidRDefault="00A71CF0"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67D96"/>
    <w:multiLevelType w:val="hybridMultilevel"/>
    <w:tmpl w:val="618E0DA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7E6F2E"/>
    <w:multiLevelType w:val="hybridMultilevel"/>
    <w:tmpl w:val="A628CB24"/>
    <w:lvl w:ilvl="0" w:tplc="1B24965A">
      <w:start w:val="14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19A6499"/>
    <w:multiLevelType w:val="hybridMultilevel"/>
    <w:tmpl w:val="04AA51C0"/>
    <w:lvl w:ilvl="0" w:tplc="EF4CBB48">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6" w15:restartNumberingAfterBreak="0">
    <w:nsid w:val="44996E80"/>
    <w:multiLevelType w:val="hybridMultilevel"/>
    <w:tmpl w:val="E50A3E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ED22222"/>
    <w:multiLevelType w:val="hybridMultilevel"/>
    <w:tmpl w:val="DF52CC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A129FE"/>
    <w:multiLevelType w:val="hybridMultilevel"/>
    <w:tmpl w:val="856E6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2"/>
  </w:num>
  <w:num w:numId="14">
    <w:abstractNumId w:val="18"/>
  </w:num>
  <w:num w:numId="15">
    <w:abstractNumId w:val="16"/>
  </w:num>
  <w:num w:numId="16">
    <w:abstractNumId w:val="13"/>
  </w:num>
  <w:num w:numId="17">
    <w:abstractNumId w:val="10"/>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12"/>
    <w:rsid w:val="00000263"/>
    <w:rsid w:val="00002BCC"/>
    <w:rsid w:val="000032F1"/>
    <w:rsid w:val="00003FBC"/>
    <w:rsid w:val="000113BC"/>
    <w:rsid w:val="000136AF"/>
    <w:rsid w:val="00037AF9"/>
    <w:rsid w:val="0004044E"/>
    <w:rsid w:val="0005120E"/>
    <w:rsid w:val="00054577"/>
    <w:rsid w:val="000614BF"/>
    <w:rsid w:val="00067106"/>
    <w:rsid w:val="0007169C"/>
    <w:rsid w:val="00077593"/>
    <w:rsid w:val="00083F48"/>
    <w:rsid w:val="00084336"/>
    <w:rsid w:val="000A145F"/>
    <w:rsid w:val="000A479A"/>
    <w:rsid w:val="000A74E6"/>
    <w:rsid w:val="000A7DF9"/>
    <w:rsid w:val="000B2D7A"/>
    <w:rsid w:val="000C16E4"/>
    <w:rsid w:val="000C5058"/>
    <w:rsid w:val="000D05EF"/>
    <w:rsid w:val="000D3FB9"/>
    <w:rsid w:val="000D5485"/>
    <w:rsid w:val="000E4138"/>
    <w:rsid w:val="000E598E"/>
    <w:rsid w:val="000E5A3D"/>
    <w:rsid w:val="000F0ADA"/>
    <w:rsid w:val="000F21C1"/>
    <w:rsid w:val="00101ED6"/>
    <w:rsid w:val="0010745C"/>
    <w:rsid w:val="001122FF"/>
    <w:rsid w:val="0013273E"/>
    <w:rsid w:val="00143BE7"/>
    <w:rsid w:val="00145600"/>
    <w:rsid w:val="00145C4F"/>
    <w:rsid w:val="00145E0B"/>
    <w:rsid w:val="00160BD7"/>
    <w:rsid w:val="001643C9"/>
    <w:rsid w:val="001654F9"/>
    <w:rsid w:val="00165568"/>
    <w:rsid w:val="00166082"/>
    <w:rsid w:val="00166C2F"/>
    <w:rsid w:val="001716C9"/>
    <w:rsid w:val="00184261"/>
    <w:rsid w:val="00193461"/>
    <w:rsid w:val="001939E1"/>
    <w:rsid w:val="0019452E"/>
    <w:rsid w:val="00195382"/>
    <w:rsid w:val="001A3B9F"/>
    <w:rsid w:val="001A5520"/>
    <w:rsid w:val="001A65C0"/>
    <w:rsid w:val="001B7A5D"/>
    <w:rsid w:val="001B7B60"/>
    <w:rsid w:val="001B7F37"/>
    <w:rsid w:val="001C6709"/>
    <w:rsid w:val="001C69C4"/>
    <w:rsid w:val="001D20C2"/>
    <w:rsid w:val="001D71CB"/>
    <w:rsid w:val="001E0A8D"/>
    <w:rsid w:val="001E3590"/>
    <w:rsid w:val="001E7407"/>
    <w:rsid w:val="001F1A46"/>
    <w:rsid w:val="00201D27"/>
    <w:rsid w:val="0021153A"/>
    <w:rsid w:val="002118A4"/>
    <w:rsid w:val="002245A6"/>
    <w:rsid w:val="002302EA"/>
    <w:rsid w:val="00237614"/>
    <w:rsid w:val="00240749"/>
    <w:rsid w:val="00240B66"/>
    <w:rsid w:val="002468D7"/>
    <w:rsid w:val="00247E97"/>
    <w:rsid w:val="00253E55"/>
    <w:rsid w:val="00256C81"/>
    <w:rsid w:val="00262E41"/>
    <w:rsid w:val="00265B06"/>
    <w:rsid w:val="00276E95"/>
    <w:rsid w:val="00285CDD"/>
    <w:rsid w:val="00291167"/>
    <w:rsid w:val="0029489E"/>
    <w:rsid w:val="00297ECB"/>
    <w:rsid w:val="002A3779"/>
    <w:rsid w:val="002C152A"/>
    <w:rsid w:val="002C41CF"/>
    <w:rsid w:val="002D043A"/>
    <w:rsid w:val="002F2C65"/>
    <w:rsid w:val="00316BAC"/>
    <w:rsid w:val="0031713F"/>
    <w:rsid w:val="003222D1"/>
    <w:rsid w:val="00324B7C"/>
    <w:rsid w:val="0032750F"/>
    <w:rsid w:val="003415D3"/>
    <w:rsid w:val="003442F6"/>
    <w:rsid w:val="00346335"/>
    <w:rsid w:val="00352B0F"/>
    <w:rsid w:val="00354A93"/>
    <w:rsid w:val="00355E8A"/>
    <w:rsid w:val="003561B0"/>
    <w:rsid w:val="003874C8"/>
    <w:rsid w:val="00397893"/>
    <w:rsid w:val="003A15AC"/>
    <w:rsid w:val="003B0627"/>
    <w:rsid w:val="003C5F2B"/>
    <w:rsid w:val="003C7D35"/>
    <w:rsid w:val="003D0BFE"/>
    <w:rsid w:val="003D1F20"/>
    <w:rsid w:val="003D2658"/>
    <w:rsid w:val="003D5700"/>
    <w:rsid w:val="003F6F52"/>
    <w:rsid w:val="004022CA"/>
    <w:rsid w:val="004116CD"/>
    <w:rsid w:val="00414ADE"/>
    <w:rsid w:val="00417350"/>
    <w:rsid w:val="00424CA9"/>
    <w:rsid w:val="004257BB"/>
    <w:rsid w:val="0044291A"/>
    <w:rsid w:val="004600B0"/>
    <w:rsid w:val="00460499"/>
    <w:rsid w:val="004608A2"/>
    <w:rsid w:val="00460FBA"/>
    <w:rsid w:val="00471FE4"/>
    <w:rsid w:val="00474835"/>
    <w:rsid w:val="00480DD7"/>
    <w:rsid w:val="004819C7"/>
    <w:rsid w:val="00481F61"/>
    <w:rsid w:val="0048364F"/>
    <w:rsid w:val="004877FC"/>
    <w:rsid w:val="00490F2E"/>
    <w:rsid w:val="00496F97"/>
    <w:rsid w:val="004A53EA"/>
    <w:rsid w:val="004B33BF"/>
    <w:rsid w:val="004B35E7"/>
    <w:rsid w:val="004C23DF"/>
    <w:rsid w:val="004D4709"/>
    <w:rsid w:val="004F1FAC"/>
    <w:rsid w:val="004F2C9A"/>
    <w:rsid w:val="004F676E"/>
    <w:rsid w:val="004F70E0"/>
    <w:rsid w:val="004F71C0"/>
    <w:rsid w:val="00507A18"/>
    <w:rsid w:val="00516B8D"/>
    <w:rsid w:val="00525D52"/>
    <w:rsid w:val="00527100"/>
    <w:rsid w:val="0052756C"/>
    <w:rsid w:val="00530230"/>
    <w:rsid w:val="00530CC9"/>
    <w:rsid w:val="00531B46"/>
    <w:rsid w:val="00537FBC"/>
    <w:rsid w:val="00541D73"/>
    <w:rsid w:val="00543469"/>
    <w:rsid w:val="00546FA3"/>
    <w:rsid w:val="00551145"/>
    <w:rsid w:val="00557C7A"/>
    <w:rsid w:val="00562A58"/>
    <w:rsid w:val="0056541A"/>
    <w:rsid w:val="00567F61"/>
    <w:rsid w:val="00573F97"/>
    <w:rsid w:val="00574117"/>
    <w:rsid w:val="00575C69"/>
    <w:rsid w:val="00580B48"/>
    <w:rsid w:val="00581211"/>
    <w:rsid w:val="0058315A"/>
    <w:rsid w:val="00584811"/>
    <w:rsid w:val="00593AA6"/>
    <w:rsid w:val="00594161"/>
    <w:rsid w:val="00594749"/>
    <w:rsid w:val="00594956"/>
    <w:rsid w:val="005B1555"/>
    <w:rsid w:val="005B4067"/>
    <w:rsid w:val="005B71C8"/>
    <w:rsid w:val="005C3F41"/>
    <w:rsid w:val="005C4EF0"/>
    <w:rsid w:val="005D1F24"/>
    <w:rsid w:val="005D5EA1"/>
    <w:rsid w:val="005D65D2"/>
    <w:rsid w:val="005D7CE1"/>
    <w:rsid w:val="005E098C"/>
    <w:rsid w:val="005E1F8D"/>
    <w:rsid w:val="005E317F"/>
    <w:rsid w:val="005E61D3"/>
    <w:rsid w:val="005F0E92"/>
    <w:rsid w:val="00600219"/>
    <w:rsid w:val="006065DA"/>
    <w:rsid w:val="00606AA4"/>
    <w:rsid w:val="0061709B"/>
    <w:rsid w:val="00631FFE"/>
    <w:rsid w:val="00640402"/>
    <w:rsid w:val="00640F78"/>
    <w:rsid w:val="00655D6A"/>
    <w:rsid w:val="00656DE9"/>
    <w:rsid w:val="00660EBD"/>
    <w:rsid w:val="00667213"/>
    <w:rsid w:val="00672876"/>
    <w:rsid w:val="006761FC"/>
    <w:rsid w:val="00676EBC"/>
    <w:rsid w:val="00677CC2"/>
    <w:rsid w:val="00682266"/>
    <w:rsid w:val="00685F42"/>
    <w:rsid w:val="00687A36"/>
    <w:rsid w:val="0069207B"/>
    <w:rsid w:val="006A2DFB"/>
    <w:rsid w:val="006A304E"/>
    <w:rsid w:val="006A4DC2"/>
    <w:rsid w:val="006B4720"/>
    <w:rsid w:val="006B7006"/>
    <w:rsid w:val="006C0517"/>
    <w:rsid w:val="006C7F8C"/>
    <w:rsid w:val="006D7AB9"/>
    <w:rsid w:val="006E1D19"/>
    <w:rsid w:val="006E45FB"/>
    <w:rsid w:val="006F2CFE"/>
    <w:rsid w:val="00700B2C"/>
    <w:rsid w:val="007059A4"/>
    <w:rsid w:val="00713084"/>
    <w:rsid w:val="007137BE"/>
    <w:rsid w:val="00717463"/>
    <w:rsid w:val="00720FC2"/>
    <w:rsid w:val="00722E89"/>
    <w:rsid w:val="007234EC"/>
    <w:rsid w:val="00731E00"/>
    <w:rsid w:val="0073314C"/>
    <w:rsid w:val="007339C7"/>
    <w:rsid w:val="007347FE"/>
    <w:rsid w:val="007440B7"/>
    <w:rsid w:val="00744A12"/>
    <w:rsid w:val="00747993"/>
    <w:rsid w:val="00757AED"/>
    <w:rsid w:val="007634AD"/>
    <w:rsid w:val="00770C08"/>
    <w:rsid w:val="007715C9"/>
    <w:rsid w:val="00773028"/>
    <w:rsid w:val="00774EDD"/>
    <w:rsid w:val="007757EC"/>
    <w:rsid w:val="00784CEA"/>
    <w:rsid w:val="007953E8"/>
    <w:rsid w:val="007A18CB"/>
    <w:rsid w:val="007A6863"/>
    <w:rsid w:val="007C78B4"/>
    <w:rsid w:val="007D447A"/>
    <w:rsid w:val="007E0C25"/>
    <w:rsid w:val="007E15BF"/>
    <w:rsid w:val="007E32B6"/>
    <w:rsid w:val="007E486B"/>
    <w:rsid w:val="007E7D4A"/>
    <w:rsid w:val="007F2A15"/>
    <w:rsid w:val="007F48ED"/>
    <w:rsid w:val="007F587A"/>
    <w:rsid w:val="007F5E3F"/>
    <w:rsid w:val="00800BEB"/>
    <w:rsid w:val="00812F45"/>
    <w:rsid w:val="00836FE9"/>
    <w:rsid w:val="0084172C"/>
    <w:rsid w:val="008459F6"/>
    <w:rsid w:val="0085175E"/>
    <w:rsid w:val="00856A31"/>
    <w:rsid w:val="00856BDC"/>
    <w:rsid w:val="00874360"/>
    <w:rsid w:val="008754D0"/>
    <w:rsid w:val="00876F09"/>
    <w:rsid w:val="00876FDD"/>
    <w:rsid w:val="00877C69"/>
    <w:rsid w:val="00877D48"/>
    <w:rsid w:val="0088345B"/>
    <w:rsid w:val="00884477"/>
    <w:rsid w:val="008A09BC"/>
    <w:rsid w:val="008A16A5"/>
    <w:rsid w:val="008A209E"/>
    <w:rsid w:val="008A56D8"/>
    <w:rsid w:val="008A5C57"/>
    <w:rsid w:val="008C0629"/>
    <w:rsid w:val="008C6CAB"/>
    <w:rsid w:val="008D0EE0"/>
    <w:rsid w:val="008D7A27"/>
    <w:rsid w:val="008E4702"/>
    <w:rsid w:val="008E69AA"/>
    <w:rsid w:val="008F4F1C"/>
    <w:rsid w:val="009069AD"/>
    <w:rsid w:val="00910E64"/>
    <w:rsid w:val="00912E07"/>
    <w:rsid w:val="009215CD"/>
    <w:rsid w:val="00922764"/>
    <w:rsid w:val="00923851"/>
    <w:rsid w:val="009278C1"/>
    <w:rsid w:val="00932377"/>
    <w:rsid w:val="009346E3"/>
    <w:rsid w:val="0093791F"/>
    <w:rsid w:val="00943B2B"/>
    <w:rsid w:val="0094523D"/>
    <w:rsid w:val="0094682B"/>
    <w:rsid w:val="00962700"/>
    <w:rsid w:val="00962E81"/>
    <w:rsid w:val="00976A63"/>
    <w:rsid w:val="009925BA"/>
    <w:rsid w:val="00993B86"/>
    <w:rsid w:val="009B2490"/>
    <w:rsid w:val="009B50E5"/>
    <w:rsid w:val="009C3431"/>
    <w:rsid w:val="009C5989"/>
    <w:rsid w:val="009C6A32"/>
    <w:rsid w:val="009D08DA"/>
    <w:rsid w:val="00A001B2"/>
    <w:rsid w:val="00A01F80"/>
    <w:rsid w:val="00A06860"/>
    <w:rsid w:val="00A136F5"/>
    <w:rsid w:val="00A231E2"/>
    <w:rsid w:val="00A2550D"/>
    <w:rsid w:val="00A27EBD"/>
    <w:rsid w:val="00A379BB"/>
    <w:rsid w:val="00A4169B"/>
    <w:rsid w:val="00A50D55"/>
    <w:rsid w:val="00A52FDA"/>
    <w:rsid w:val="00A5540F"/>
    <w:rsid w:val="00A632D7"/>
    <w:rsid w:val="00A64912"/>
    <w:rsid w:val="00A70A74"/>
    <w:rsid w:val="00A71CF0"/>
    <w:rsid w:val="00A9231A"/>
    <w:rsid w:val="00A954E4"/>
    <w:rsid w:val="00A95BC7"/>
    <w:rsid w:val="00AA0343"/>
    <w:rsid w:val="00AA78CE"/>
    <w:rsid w:val="00AA7B26"/>
    <w:rsid w:val="00AB13B6"/>
    <w:rsid w:val="00AB1CFE"/>
    <w:rsid w:val="00AB3C15"/>
    <w:rsid w:val="00AB52BD"/>
    <w:rsid w:val="00AC767C"/>
    <w:rsid w:val="00AD3467"/>
    <w:rsid w:val="00AD3BE8"/>
    <w:rsid w:val="00AD5641"/>
    <w:rsid w:val="00AE190D"/>
    <w:rsid w:val="00AF33DB"/>
    <w:rsid w:val="00B032D8"/>
    <w:rsid w:val="00B05D72"/>
    <w:rsid w:val="00B20990"/>
    <w:rsid w:val="00B228EB"/>
    <w:rsid w:val="00B23FAF"/>
    <w:rsid w:val="00B33B3C"/>
    <w:rsid w:val="00B40D74"/>
    <w:rsid w:val="00B42649"/>
    <w:rsid w:val="00B42805"/>
    <w:rsid w:val="00B45436"/>
    <w:rsid w:val="00B46467"/>
    <w:rsid w:val="00B50FC3"/>
    <w:rsid w:val="00B52663"/>
    <w:rsid w:val="00B56DCB"/>
    <w:rsid w:val="00B60801"/>
    <w:rsid w:val="00B61728"/>
    <w:rsid w:val="00B62E06"/>
    <w:rsid w:val="00B71FB1"/>
    <w:rsid w:val="00B770D2"/>
    <w:rsid w:val="00B86AE6"/>
    <w:rsid w:val="00B93516"/>
    <w:rsid w:val="00B96776"/>
    <w:rsid w:val="00B973E5"/>
    <w:rsid w:val="00BA47A3"/>
    <w:rsid w:val="00BA5026"/>
    <w:rsid w:val="00BA761A"/>
    <w:rsid w:val="00BA7B5B"/>
    <w:rsid w:val="00BB6E79"/>
    <w:rsid w:val="00BC3BBF"/>
    <w:rsid w:val="00BC5EEB"/>
    <w:rsid w:val="00BC63EE"/>
    <w:rsid w:val="00BD5AFF"/>
    <w:rsid w:val="00BE42C5"/>
    <w:rsid w:val="00BE5FC3"/>
    <w:rsid w:val="00BE719A"/>
    <w:rsid w:val="00BE720A"/>
    <w:rsid w:val="00BF0723"/>
    <w:rsid w:val="00BF3A4B"/>
    <w:rsid w:val="00BF6650"/>
    <w:rsid w:val="00C067E5"/>
    <w:rsid w:val="00C12355"/>
    <w:rsid w:val="00C164CA"/>
    <w:rsid w:val="00C20122"/>
    <w:rsid w:val="00C239E4"/>
    <w:rsid w:val="00C26051"/>
    <w:rsid w:val="00C34006"/>
    <w:rsid w:val="00C35A53"/>
    <w:rsid w:val="00C35CBF"/>
    <w:rsid w:val="00C42BF8"/>
    <w:rsid w:val="00C460AE"/>
    <w:rsid w:val="00C47BCB"/>
    <w:rsid w:val="00C50043"/>
    <w:rsid w:val="00C5015F"/>
    <w:rsid w:val="00C50A0F"/>
    <w:rsid w:val="00C50F4A"/>
    <w:rsid w:val="00C536CA"/>
    <w:rsid w:val="00C72D10"/>
    <w:rsid w:val="00C7573B"/>
    <w:rsid w:val="00C76CF3"/>
    <w:rsid w:val="00C80C63"/>
    <w:rsid w:val="00C93205"/>
    <w:rsid w:val="00C945DC"/>
    <w:rsid w:val="00CA4005"/>
    <w:rsid w:val="00CA47CD"/>
    <w:rsid w:val="00CA7844"/>
    <w:rsid w:val="00CB0F95"/>
    <w:rsid w:val="00CB58EF"/>
    <w:rsid w:val="00CC17E4"/>
    <w:rsid w:val="00CD5F7A"/>
    <w:rsid w:val="00CD6CD4"/>
    <w:rsid w:val="00CE0A93"/>
    <w:rsid w:val="00CE3F63"/>
    <w:rsid w:val="00CF0BB2"/>
    <w:rsid w:val="00D07269"/>
    <w:rsid w:val="00D12B0D"/>
    <w:rsid w:val="00D12B21"/>
    <w:rsid w:val="00D13441"/>
    <w:rsid w:val="00D13845"/>
    <w:rsid w:val="00D243A3"/>
    <w:rsid w:val="00D2692A"/>
    <w:rsid w:val="00D3307B"/>
    <w:rsid w:val="00D33440"/>
    <w:rsid w:val="00D371F3"/>
    <w:rsid w:val="00D51AE2"/>
    <w:rsid w:val="00D52EFE"/>
    <w:rsid w:val="00D56A0D"/>
    <w:rsid w:val="00D63EF6"/>
    <w:rsid w:val="00D66518"/>
    <w:rsid w:val="00D70DFB"/>
    <w:rsid w:val="00D71EEA"/>
    <w:rsid w:val="00D735CD"/>
    <w:rsid w:val="00D766DF"/>
    <w:rsid w:val="00D83224"/>
    <w:rsid w:val="00D90841"/>
    <w:rsid w:val="00D94E05"/>
    <w:rsid w:val="00DA2439"/>
    <w:rsid w:val="00DA6F05"/>
    <w:rsid w:val="00DB5ADC"/>
    <w:rsid w:val="00DB64FC"/>
    <w:rsid w:val="00DD0FDE"/>
    <w:rsid w:val="00DD4A72"/>
    <w:rsid w:val="00DE149E"/>
    <w:rsid w:val="00DE1B6D"/>
    <w:rsid w:val="00DE1CF0"/>
    <w:rsid w:val="00DE3468"/>
    <w:rsid w:val="00DE59FC"/>
    <w:rsid w:val="00DF0C0A"/>
    <w:rsid w:val="00E034DB"/>
    <w:rsid w:val="00E05704"/>
    <w:rsid w:val="00E07B18"/>
    <w:rsid w:val="00E12F1A"/>
    <w:rsid w:val="00E15E57"/>
    <w:rsid w:val="00E22935"/>
    <w:rsid w:val="00E36251"/>
    <w:rsid w:val="00E54292"/>
    <w:rsid w:val="00E60191"/>
    <w:rsid w:val="00E6528E"/>
    <w:rsid w:val="00E74DC7"/>
    <w:rsid w:val="00E82D73"/>
    <w:rsid w:val="00E87699"/>
    <w:rsid w:val="00E92E27"/>
    <w:rsid w:val="00E9586B"/>
    <w:rsid w:val="00E97334"/>
    <w:rsid w:val="00EA23FF"/>
    <w:rsid w:val="00EB3573"/>
    <w:rsid w:val="00EB3A99"/>
    <w:rsid w:val="00EB65F8"/>
    <w:rsid w:val="00EC705D"/>
    <w:rsid w:val="00ED4928"/>
    <w:rsid w:val="00ED7A6C"/>
    <w:rsid w:val="00EE3FFE"/>
    <w:rsid w:val="00EE57E8"/>
    <w:rsid w:val="00EE6190"/>
    <w:rsid w:val="00EF1C0E"/>
    <w:rsid w:val="00EF2E3A"/>
    <w:rsid w:val="00EF6402"/>
    <w:rsid w:val="00F047E2"/>
    <w:rsid w:val="00F04D57"/>
    <w:rsid w:val="00F078DC"/>
    <w:rsid w:val="00F13E86"/>
    <w:rsid w:val="00F173D2"/>
    <w:rsid w:val="00F20B52"/>
    <w:rsid w:val="00F32FCB"/>
    <w:rsid w:val="00F33523"/>
    <w:rsid w:val="00F378DD"/>
    <w:rsid w:val="00F419CF"/>
    <w:rsid w:val="00F57A4D"/>
    <w:rsid w:val="00F677A9"/>
    <w:rsid w:val="00F8121C"/>
    <w:rsid w:val="00F84CF5"/>
    <w:rsid w:val="00F8612E"/>
    <w:rsid w:val="00F94583"/>
    <w:rsid w:val="00FA0994"/>
    <w:rsid w:val="00FA3528"/>
    <w:rsid w:val="00FA420B"/>
    <w:rsid w:val="00FB1B3C"/>
    <w:rsid w:val="00FB5AA6"/>
    <w:rsid w:val="00FB6AEE"/>
    <w:rsid w:val="00FC04AB"/>
    <w:rsid w:val="00FC3EAC"/>
    <w:rsid w:val="00FC791B"/>
    <w:rsid w:val="00FF0F26"/>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0831A3"/>
  <w15:docId w15:val="{00A3F611-31E0-4D44-9DB8-420D44F0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link w:val="OPCParaBaseChar"/>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customStyle="1" w:styleId="ActHead5Char">
    <w:name w:val="ActHead 5 Char"/>
    <w:aliases w:val="s Char"/>
    <w:link w:val="ActHead5"/>
    <w:rsid w:val="00DB5ADC"/>
    <w:rPr>
      <w:rFonts w:eastAsia="Times New Roman" w:cs="Times New Roman"/>
      <w:b/>
      <w:kern w:val="28"/>
      <w:sz w:val="24"/>
      <w:lang w:eastAsia="en-AU"/>
    </w:rPr>
  </w:style>
  <w:style w:type="character" w:customStyle="1" w:styleId="paragraphChar">
    <w:name w:val="paragraph Char"/>
    <w:aliases w:val="a Char"/>
    <w:link w:val="paragraph"/>
    <w:locked/>
    <w:rsid w:val="00DB5ADC"/>
    <w:rPr>
      <w:rFonts w:eastAsia="Times New Roman" w:cs="Times New Roman"/>
      <w:sz w:val="22"/>
      <w:lang w:eastAsia="en-AU"/>
    </w:rPr>
  </w:style>
  <w:style w:type="paragraph" w:customStyle="1" w:styleId="Notetodelete">
    <w:name w:val="Note to delete"/>
    <w:basedOn w:val="Tabletext"/>
    <w:link w:val="NotetodeleteChar"/>
    <w:qFormat/>
    <w:rsid w:val="00262E41"/>
    <w:rPr>
      <w:color w:val="FF0000"/>
    </w:rPr>
  </w:style>
  <w:style w:type="character" w:styleId="CommentReference">
    <w:name w:val="annotation reference"/>
    <w:basedOn w:val="DefaultParagraphFont"/>
    <w:uiPriority w:val="99"/>
    <w:semiHidden/>
    <w:unhideWhenUsed/>
    <w:rsid w:val="005D65D2"/>
    <w:rPr>
      <w:sz w:val="16"/>
      <w:szCs w:val="16"/>
    </w:rPr>
  </w:style>
  <w:style w:type="character" w:customStyle="1" w:styleId="OPCParaBaseChar">
    <w:name w:val="OPCParaBase Char"/>
    <w:basedOn w:val="DefaultParagraphFont"/>
    <w:link w:val="OPCParaBase"/>
    <w:rsid w:val="00262E41"/>
    <w:rPr>
      <w:rFonts w:eastAsia="Times New Roman" w:cs="Times New Roman"/>
      <w:sz w:val="22"/>
      <w:lang w:eastAsia="en-AU"/>
    </w:rPr>
  </w:style>
  <w:style w:type="character" w:customStyle="1" w:styleId="TabletextChar">
    <w:name w:val="Tabletext Char"/>
    <w:aliases w:val="tt Char"/>
    <w:basedOn w:val="OPCParaBaseChar"/>
    <w:link w:val="Tabletext"/>
    <w:rsid w:val="00262E41"/>
    <w:rPr>
      <w:rFonts w:eastAsia="Times New Roman" w:cs="Times New Roman"/>
      <w:sz w:val="22"/>
      <w:lang w:eastAsia="en-AU"/>
    </w:rPr>
  </w:style>
  <w:style w:type="character" w:customStyle="1" w:styleId="NotetodeleteChar">
    <w:name w:val="Note to delete Char"/>
    <w:basedOn w:val="TabletextChar"/>
    <w:link w:val="Notetodelete"/>
    <w:rsid w:val="00262E41"/>
    <w:rPr>
      <w:rFonts w:eastAsia="Times New Roman" w:cs="Times New Roman"/>
      <w:color w:val="FF0000"/>
      <w:sz w:val="22"/>
      <w:lang w:eastAsia="en-AU"/>
    </w:rPr>
  </w:style>
  <w:style w:type="paragraph" w:styleId="CommentText">
    <w:name w:val="annotation text"/>
    <w:basedOn w:val="Normal"/>
    <w:link w:val="CommentTextChar"/>
    <w:uiPriority w:val="99"/>
    <w:semiHidden/>
    <w:unhideWhenUsed/>
    <w:rsid w:val="005D65D2"/>
    <w:pPr>
      <w:spacing w:line="240" w:lineRule="auto"/>
    </w:pPr>
    <w:rPr>
      <w:sz w:val="20"/>
    </w:rPr>
  </w:style>
  <w:style w:type="character" w:customStyle="1" w:styleId="CommentTextChar">
    <w:name w:val="Comment Text Char"/>
    <w:basedOn w:val="DefaultParagraphFont"/>
    <w:link w:val="CommentText"/>
    <w:uiPriority w:val="99"/>
    <w:semiHidden/>
    <w:rsid w:val="005D65D2"/>
  </w:style>
  <w:style w:type="paragraph" w:styleId="CommentSubject">
    <w:name w:val="annotation subject"/>
    <w:basedOn w:val="CommentText"/>
    <w:next w:val="CommentText"/>
    <w:link w:val="CommentSubjectChar"/>
    <w:uiPriority w:val="99"/>
    <w:semiHidden/>
    <w:unhideWhenUsed/>
    <w:rsid w:val="005D65D2"/>
    <w:rPr>
      <w:b/>
      <w:bCs/>
    </w:rPr>
  </w:style>
  <w:style w:type="character" w:customStyle="1" w:styleId="CommentSubjectChar">
    <w:name w:val="Comment Subject Char"/>
    <w:basedOn w:val="CommentTextChar"/>
    <w:link w:val="CommentSubject"/>
    <w:uiPriority w:val="99"/>
    <w:semiHidden/>
    <w:rsid w:val="005D65D2"/>
    <w:rPr>
      <w:b/>
      <w:bCs/>
    </w:rPr>
  </w:style>
  <w:style w:type="paragraph" w:styleId="ListParagraph">
    <w:name w:val="List Paragraph"/>
    <w:basedOn w:val="Normal"/>
    <w:uiPriority w:val="34"/>
    <w:qFormat/>
    <w:rsid w:val="00BC3BBF"/>
    <w:pPr>
      <w:spacing w:line="240" w:lineRule="auto"/>
      <w:ind w:left="720"/>
    </w:pPr>
    <w:rPr>
      <w:rFonts w:ascii="Calibri" w:hAnsi="Calibri" w:cs="Calibri"/>
      <w:szCs w:val="22"/>
      <w:lang w:val="en-GB"/>
    </w:rPr>
  </w:style>
  <w:style w:type="paragraph" w:customStyle="1" w:styleId="Default">
    <w:name w:val="Default"/>
    <w:rsid w:val="009925BA"/>
    <w:pPr>
      <w:autoSpaceDE w:val="0"/>
      <w:autoSpaceDN w:val="0"/>
      <w:adjustRightInd w:val="0"/>
    </w:pPr>
    <w:rPr>
      <w:rFonts w:ascii="Arial" w:hAnsi="Arial" w:cs="Arial"/>
      <w:color w:val="000000"/>
      <w:sz w:val="24"/>
      <w:szCs w:val="24"/>
      <w:lang w:val="en-GB"/>
    </w:rPr>
  </w:style>
  <w:style w:type="paragraph" w:customStyle="1" w:styleId="TablePlainParagraph">
    <w:name w:val="Table: Plain Paragraph"/>
    <w:aliases w:val="Table PP"/>
    <w:basedOn w:val="Normal"/>
    <w:uiPriority w:val="11"/>
    <w:qFormat/>
    <w:rsid w:val="00757AED"/>
    <w:pPr>
      <w:spacing w:before="60" w:after="60" w:line="240" w:lineRule="atLeast"/>
    </w:pPr>
    <w:rPr>
      <w:rFonts w:ascii="Arial" w:eastAsia="Times New Roman" w:hAnsi="Arial" w:cs="Arial"/>
      <w:sz w:val="20"/>
      <w:szCs w:val="22"/>
      <w:lang w:eastAsia="en-AU"/>
    </w:rPr>
  </w:style>
  <w:style w:type="paragraph" w:styleId="Revision">
    <w:name w:val="Revision"/>
    <w:hidden/>
    <w:uiPriority w:val="99"/>
    <w:semiHidden/>
    <w:rsid w:val="005B71C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8951">
      <w:bodyDiv w:val="1"/>
      <w:marLeft w:val="0"/>
      <w:marRight w:val="0"/>
      <w:marTop w:val="0"/>
      <w:marBottom w:val="0"/>
      <w:divBdr>
        <w:top w:val="none" w:sz="0" w:space="0" w:color="auto"/>
        <w:left w:val="none" w:sz="0" w:space="0" w:color="auto"/>
        <w:bottom w:val="none" w:sz="0" w:space="0" w:color="auto"/>
        <w:right w:val="none" w:sz="0" w:space="0" w:color="auto"/>
      </w:divBdr>
    </w:div>
    <w:div w:id="397869268">
      <w:bodyDiv w:val="1"/>
      <w:marLeft w:val="0"/>
      <w:marRight w:val="0"/>
      <w:marTop w:val="0"/>
      <w:marBottom w:val="0"/>
      <w:divBdr>
        <w:top w:val="none" w:sz="0" w:space="0" w:color="auto"/>
        <w:left w:val="none" w:sz="0" w:space="0" w:color="auto"/>
        <w:bottom w:val="none" w:sz="0" w:space="0" w:color="auto"/>
        <w:right w:val="none" w:sz="0" w:space="0" w:color="auto"/>
      </w:divBdr>
    </w:div>
    <w:div w:id="432867901">
      <w:bodyDiv w:val="1"/>
      <w:marLeft w:val="0"/>
      <w:marRight w:val="0"/>
      <w:marTop w:val="0"/>
      <w:marBottom w:val="0"/>
      <w:divBdr>
        <w:top w:val="none" w:sz="0" w:space="0" w:color="auto"/>
        <w:left w:val="none" w:sz="0" w:space="0" w:color="auto"/>
        <w:bottom w:val="none" w:sz="0" w:space="0" w:color="auto"/>
        <w:right w:val="none" w:sz="0" w:space="0" w:color="auto"/>
      </w:divBdr>
      <w:divsChild>
        <w:div w:id="727192368">
          <w:marLeft w:val="0"/>
          <w:marRight w:val="91"/>
          <w:marTop w:val="0"/>
          <w:marBottom w:val="0"/>
          <w:divBdr>
            <w:top w:val="none" w:sz="0" w:space="0" w:color="auto"/>
            <w:left w:val="none" w:sz="0" w:space="0" w:color="auto"/>
            <w:bottom w:val="single" w:sz="8" w:space="12" w:color="auto"/>
            <w:right w:val="none" w:sz="0" w:space="0" w:color="auto"/>
          </w:divBdr>
        </w:div>
      </w:divsChild>
    </w:div>
    <w:div w:id="447361337">
      <w:bodyDiv w:val="1"/>
      <w:marLeft w:val="0"/>
      <w:marRight w:val="0"/>
      <w:marTop w:val="0"/>
      <w:marBottom w:val="0"/>
      <w:divBdr>
        <w:top w:val="none" w:sz="0" w:space="0" w:color="auto"/>
        <w:left w:val="none" w:sz="0" w:space="0" w:color="auto"/>
        <w:bottom w:val="none" w:sz="0" w:space="0" w:color="auto"/>
        <w:right w:val="none" w:sz="0" w:space="0" w:color="auto"/>
      </w:divBdr>
    </w:div>
    <w:div w:id="969432851">
      <w:bodyDiv w:val="1"/>
      <w:marLeft w:val="0"/>
      <w:marRight w:val="0"/>
      <w:marTop w:val="0"/>
      <w:marBottom w:val="0"/>
      <w:divBdr>
        <w:top w:val="none" w:sz="0" w:space="0" w:color="auto"/>
        <w:left w:val="none" w:sz="0" w:space="0" w:color="auto"/>
        <w:bottom w:val="none" w:sz="0" w:space="0" w:color="auto"/>
        <w:right w:val="none" w:sz="0" w:space="0" w:color="auto"/>
      </w:divBdr>
    </w:div>
    <w:div w:id="1146976050">
      <w:bodyDiv w:val="1"/>
      <w:marLeft w:val="0"/>
      <w:marRight w:val="0"/>
      <w:marTop w:val="0"/>
      <w:marBottom w:val="0"/>
      <w:divBdr>
        <w:top w:val="none" w:sz="0" w:space="0" w:color="auto"/>
        <w:left w:val="none" w:sz="0" w:space="0" w:color="auto"/>
        <w:bottom w:val="none" w:sz="0" w:space="0" w:color="auto"/>
        <w:right w:val="none" w:sz="0" w:space="0" w:color="auto"/>
      </w:divBdr>
    </w:div>
    <w:div w:id="1340156783">
      <w:bodyDiv w:val="1"/>
      <w:marLeft w:val="0"/>
      <w:marRight w:val="0"/>
      <w:marTop w:val="0"/>
      <w:marBottom w:val="0"/>
      <w:divBdr>
        <w:top w:val="none" w:sz="0" w:space="0" w:color="auto"/>
        <w:left w:val="none" w:sz="0" w:space="0" w:color="auto"/>
        <w:bottom w:val="none" w:sz="0" w:space="0" w:color="auto"/>
        <w:right w:val="none" w:sz="0" w:space="0" w:color="auto"/>
      </w:divBdr>
    </w:div>
    <w:div w:id="1389379469">
      <w:bodyDiv w:val="1"/>
      <w:marLeft w:val="0"/>
      <w:marRight w:val="0"/>
      <w:marTop w:val="0"/>
      <w:marBottom w:val="0"/>
      <w:divBdr>
        <w:top w:val="none" w:sz="0" w:space="0" w:color="auto"/>
        <w:left w:val="none" w:sz="0" w:space="0" w:color="auto"/>
        <w:bottom w:val="none" w:sz="0" w:space="0" w:color="auto"/>
        <w:right w:val="none" w:sz="0" w:space="0" w:color="auto"/>
      </w:divBdr>
    </w:div>
    <w:div w:id="1589466479">
      <w:bodyDiv w:val="1"/>
      <w:marLeft w:val="0"/>
      <w:marRight w:val="0"/>
      <w:marTop w:val="0"/>
      <w:marBottom w:val="0"/>
      <w:divBdr>
        <w:top w:val="none" w:sz="0" w:space="0" w:color="auto"/>
        <w:left w:val="none" w:sz="0" w:space="0" w:color="auto"/>
        <w:bottom w:val="none" w:sz="0" w:space="0" w:color="auto"/>
        <w:right w:val="none" w:sz="0" w:space="0" w:color="auto"/>
      </w:divBdr>
    </w:div>
    <w:div w:id="1770151212">
      <w:bodyDiv w:val="1"/>
      <w:marLeft w:val="0"/>
      <w:marRight w:val="0"/>
      <w:marTop w:val="0"/>
      <w:marBottom w:val="0"/>
      <w:divBdr>
        <w:top w:val="none" w:sz="0" w:space="0" w:color="auto"/>
        <w:left w:val="none" w:sz="0" w:space="0" w:color="auto"/>
        <w:bottom w:val="none" w:sz="0" w:space="0" w:color="auto"/>
        <w:right w:val="none" w:sz="0" w:space="0" w:color="auto"/>
      </w:divBdr>
    </w:div>
    <w:div w:id="179760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ACCCC-8E90-4864-83EC-75F40C67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4866</Words>
  <Characters>27739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Julia</dc:creator>
  <cp:lastModifiedBy>NG, Jason</cp:lastModifiedBy>
  <cp:revision>7</cp:revision>
  <dcterms:created xsi:type="dcterms:W3CDTF">2020-04-02T21:40:00Z</dcterms:created>
  <dcterms:modified xsi:type="dcterms:W3CDTF">2020-04-04T03:05:00Z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ies>
</file>