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BA2BCF" w:rsidRDefault="00FA6784" w:rsidP="00FA6784">
      <w:pPr>
        <w:pStyle w:val="H3"/>
        <w:jc w:val="center"/>
        <w:rPr>
          <w:sz w:val="24"/>
          <w:szCs w:val="24"/>
        </w:rPr>
      </w:pPr>
      <w:r w:rsidRPr="00BA2BCF">
        <w:rPr>
          <w:sz w:val="24"/>
          <w:szCs w:val="24"/>
        </w:rPr>
        <w:t>EXPLANATORY STATEMENT</w:t>
      </w:r>
    </w:p>
    <w:p w14:paraId="2412D120" w14:textId="77777777" w:rsidR="00FA6784" w:rsidRPr="00BA2BCF" w:rsidRDefault="00FA6784" w:rsidP="00FA6784">
      <w:pPr>
        <w:jc w:val="center"/>
        <w:rPr>
          <w:sz w:val="22"/>
          <w:szCs w:val="22"/>
        </w:rPr>
      </w:pPr>
    </w:p>
    <w:p w14:paraId="2412D121" w14:textId="320FE9BA" w:rsidR="00FA6784" w:rsidRPr="00BA2BCF" w:rsidRDefault="00FA6784" w:rsidP="00FA6784">
      <w:pPr>
        <w:jc w:val="center"/>
      </w:pPr>
      <w:r w:rsidRPr="00BA2BCF">
        <w:t xml:space="preserve">Issued by </w:t>
      </w:r>
      <w:r w:rsidR="00BD24CC" w:rsidRPr="00BA2BCF">
        <w:t xml:space="preserve">the </w:t>
      </w:r>
      <w:r w:rsidRPr="00BA2BCF">
        <w:t>Minister for Health</w:t>
      </w:r>
    </w:p>
    <w:p w14:paraId="2412D122" w14:textId="77777777" w:rsidR="00FA6784" w:rsidRPr="00BA2BCF" w:rsidRDefault="00FA6784" w:rsidP="00FA6784">
      <w:pPr>
        <w:jc w:val="center"/>
        <w:rPr>
          <w:i/>
          <w:iCs/>
          <w:sz w:val="20"/>
        </w:rPr>
      </w:pPr>
    </w:p>
    <w:p w14:paraId="2412D123" w14:textId="77777777" w:rsidR="00FA6784" w:rsidRPr="00BA2BCF" w:rsidRDefault="00FA6784" w:rsidP="00FA6784">
      <w:pPr>
        <w:jc w:val="center"/>
        <w:rPr>
          <w:i/>
          <w:iCs/>
        </w:rPr>
      </w:pPr>
      <w:r w:rsidRPr="00BA2BCF">
        <w:rPr>
          <w:i/>
          <w:iCs/>
        </w:rPr>
        <w:t>Health Insurance Act 1973</w:t>
      </w:r>
    </w:p>
    <w:p w14:paraId="2412D124" w14:textId="77777777" w:rsidR="00A1739A" w:rsidRPr="00BA2BCF" w:rsidRDefault="00A1739A" w:rsidP="00A1739A">
      <w:pPr>
        <w:rPr>
          <w:szCs w:val="24"/>
          <w:u w:val="single"/>
        </w:rPr>
      </w:pPr>
    </w:p>
    <w:p w14:paraId="2838A7B4" w14:textId="14833B37" w:rsidR="00FD602D" w:rsidRPr="00BA2BCF" w:rsidRDefault="00242C6E" w:rsidP="00961795">
      <w:pPr>
        <w:ind w:right="84"/>
        <w:jc w:val="center"/>
        <w:rPr>
          <w:szCs w:val="24"/>
        </w:rPr>
      </w:pPr>
      <w:r w:rsidRPr="00BA2BCF">
        <w:rPr>
          <w:i/>
        </w:rPr>
        <w:t>Health Insurance (Section 3C General Medical Services – COVID-19 Telehealth and Telephone Attendances) Amendment (Expansion of Specialist Services) Determination 2020</w:t>
      </w:r>
    </w:p>
    <w:p w14:paraId="052E97C1" w14:textId="77777777" w:rsidR="00164A69" w:rsidRPr="00BA2BCF"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0CCE728" w14:textId="1E0C563A" w:rsidR="00164A69" w:rsidRPr="00BA2BCF"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BA2BCF">
        <w:rPr>
          <w:shd w:val="clear" w:color="auto" w:fill="FFFFFF"/>
        </w:rPr>
        <w:t xml:space="preserve">Subsection 3C(1) of the </w:t>
      </w:r>
      <w:r w:rsidRPr="00BA2BCF">
        <w:rPr>
          <w:i/>
          <w:shd w:val="clear" w:color="auto" w:fill="FFFFFF"/>
        </w:rPr>
        <w:t>Health Insurance Act 1973</w:t>
      </w:r>
      <w:r w:rsidRPr="00BA2BCF">
        <w:rPr>
          <w:shd w:val="clear" w:color="auto" w:fill="FFFFFF"/>
        </w:rPr>
        <w:t xml:space="preserve"> (the Act) </w:t>
      </w:r>
      <w:r w:rsidR="00477C74" w:rsidRPr="00BA2BCF">
        <w:rPr>
          <w:shd w:val="clear" w:color="auto" w:fill="FFFFFF"/>
        </w:rPr>
        <w:t>provide</w:t>
      </w:r>
      <w:r w:rsidR="002E5708" w:rsidRPr="00BA2BCF">
        <w:rPr>
          <w:shd w:val="clear" w:color="auto" w:fill="FFFFFF"/>
        </w:rPr>
        <w:t>s</w:t>
      </w:r>
      <w:r w:rsidR="00477C74" w:rsidRPr="00BA2BCF">
        <w:rPr>
          <w:shd w:val="clear" w:color="auto" w:fill="FFFFFF"/>
        </w:rPr>
        <w:t xml:space="preserve"> that</w:t>
      </w:r>
      <w:r w:rsidRPr="00BA2BCF">
        <w:rPr>
          <w:shd w:val="clear" w:color="auto" w:fill="FFFFFF"/>
        </w:rPr>
        <w:t xml:space="preserve"> the Minister </w:t>
      </w:r>
      <w:r w:rsidR="00477C74" w:rsidRPr="00BA2BCF">
        <w:rPr>
          <w:shd w:val="clear" w:color="auto" w:fill="FFFFFF"/>
        </w:rPr>
        <w:t>may</w:t>
      </w:r>
      <w:r w:rsidRPr="00BA2BCF">
        <w:rPr>
          <w:shd w:val="clear" w:color="auto" w:fill="FFFFFF"/>
        </w:rPr>
        <w:t xml:space="preserve">, by legislative instrument, determine that a health service not specified in an item in the </w:t>
      </w:r>
      <w:r w:rsidR="00231CD0" w:rsidRPr="00BA2BCF">
        <w:rPr>
          <w:shd w:val="clear" w:color="auto" w:fill="FFFFFF"/>
        </w:rPr>
        <w:t>general medical services t</w:t>
      </w:r>
      <w:r w:rsidRPr="00BA2BCF">
        <w:rPr>
          <w:shd w:val="clear" w:color="auto" w:fill="FFFFFF"/>
        </w:rPr>
        <w:t xml:space="preserve">able </w:t>
      </w:r>
      <w:r w:rsidR="00D01D5A" w:rsidRPr="00BA2BCF">
        <w:rPr>
          <w:shd w:val="clear" w:color="auto" w:fill="FFFFFF"/>
        </w:rPr>
        <w:t xml:space="preserve">(the Table) </w:t>
      </w:r>
      <w:r w:rsidRPr="00BA2BCF">
        <w:rPr>
          <w:shd w:val="clear" w:color="auto" w:fill="FFFFFF"/>
        </w:rPr>
        <w:t xml:space="preserve">shall, in specified circumstances and for specified statutory provisions, be treated as if it were specified in the </w:t>
      </w:r>
      <w:r w:rsidR="00D01D5A" w:rsidRPr="00BA2BCF">
        <w:rPr>
          <w:shd w:val="clear" w:color="auto" w:fill="FFFFFF"/>
        </w:rPr>
        <w:t>Table.</w:t>
      </w:r>
    </w:p>
    <w:p w14:paraId="7DB18649" w14:textId="77777777" w:rsidR="00841EDA" w:rsidRPr="00BA2BCF"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178120CB" w:rsidR="00050623" w:rsidRPr="00BA2BC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A2BCF">
        <w:t xml:space="preserve">The </w:t>
      </w:r>
      <w:r w:rsidR="00D01D5A" w:rsidRPr="00BA2BCF">
        <w:t>Table</w:t>
      </w:r>
      <w:r w:rsidRPr="00BA2BCF">
        <w:t xml:space="preserve"> is set out in the regulations made under subsection 4(1) of the Act.  The most recent version of the regulations is the </w:t>
      </w:r>
      <w:r w:rsidR="00231CD0" w:rsidRPr="00BA2BCF">
        <w:rPr>
          <w:i/>
        </w:rPr>
        <w:t xml:space="preserve">Health Insurance (General Medical Services Table) Regulations 2019. </w:t>
      </w:r>
      <w:r w:rsidRPr="00BA2BCF">
        <w:rPr>
          <w:i/>
        </w:rPr>
        <w:t xml:space="preserve"> </w:t>
      </w:r>
    </w:p>
    <w:p w14:paraId="2E6FE463" w14:textId="77777777" w:rsidR="00050623" w:rsidRPr="00BA2BC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3F99EEE1" w:rsidR="00050623" w:rsidRPr="00BA2BC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A2BCF">
        <w:t xml:space="preserve">This instrument relies on subsection 33(3) of the </w:t>
      </w:r>
      <w:r w:rsidRPr="00BA2BCF">
        <w:rPr>
          <w:i/>
        </w:rPr>
        <w:t>Acts Interpretation Act 1901</w:t>
      </w:r>
      <w:r w:rsidRPr="00BA2BCF">
        <w:t xml:space="preserve"> (AIA).  Subsection 33(3) of the AIA</w:t>
      </w:r>
      <w:r w:rsidRPr="00BA2BCF">
        <w:rPr>
          <w:i/>
        </w:rPr>
        <w:t xml:space="preserve"> </w:t>
      </w:r>
      <w:r w:rsidRPr="00BA2BCF">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w:t>
      </w:r>
      <w:r w:rsidR="00BA3193" w:rsidRPr="00BA2BCF">
        <w:t xml:space="preserve"> repeal, rescind, revoke, amend</w:t>
      </w:r>
      <w:r w:rsidRPr="00BA2BCF">
        <w:t xml:space="preserve"> or vary any such instrument.</w:t>
      </w:r>
    </w:p>
    <w:p w14:paraId="2412D129" w14:textId="4D3C443A" w:rsidR="008C5F1C" w:rsidRPr="00BA2BCF" w:rsidRDefault="008C5F1C" w:rsidP="00D33180">
      <w:pPr>
        <w:autoSpaceDE w:val="0"/>
        <w:autoSpaceDN w:val="0"/>
        <w:adjustRightInd w:val="0"/>
        <w:ind w:right="-483"/>
        <w:rPr>
          <w:szCs w:val="24"/>
        </w:rPr>
      </w:pPr>
    </w:p>
    <w:p w14:paraId="1C1242A9" w14:textId="2C520E5B" w:rsidR="008973B9" w:rsidRPr="00BA2BCF" w:rsidRDefault="008973B9" w:rsidP="00D33180">
      <w:pPr>
        <w:autoSpaceDE w:val="0"/>
        <w:autoSpaceDN w:val="0"/>
        <w:adjustRightInd w:val="0"/>
        <w:ind w:right="-483"/>
        <w:rPr>
          <w:b/>
          <w:szCs w:val="24"/>
        </w:rPr>
      </w:pPr>
      <w:r w:rsidRPr="00BA2BCF">
        <w:rPr>
          <w:b/>
          <w:szCs w:val="24"/>
        </w:rPr>
        <w:t>Purpose</w:t>
      </w:r>
    </w:p>
    <w:p w14:paraId="0E3A37B5" w14:textId="64A501C2" w:rsidR="00D80FBA" w:rsidRPr="00BA2BCF" w:rsidRDefault="00A323EF" w:rsidP="003E4241">
      <w:pPr>
        <w:shd w:val="clear" w:color="auto" w:fill="FFFFFF"/>
        <w:ind w:right="84"/>
        <w:rPr>
          <w:iCs/>
        </w:rPr>
      </w:pPr>
      <w:r w:rsidRPr="00BA2BCF">
        <w:rPr>
          <w:iCs/>
        </w:rPr>
        <w:t xml:space="preserve">Since 13 March 2020, the Australian Government has been providing Medicare benefits to assist patients to receive </w:t>
      </w:r>
      <w:r w:rsidR="0093443E" w:rsidRPr="00BA2BCF">
        <w:rPr>
          <w:iCs/>
        </w:rPr>
        <w:t xml:space="preserve">remote </w:t>
      </w:r>
      <w:r w:rsidRPr="00BA2BCF">
        <w:rPr>
          <w:iCs/>
        </w:rPr>
        <w:t xml:space="preserve">health consultations by telehealth or phone in certain circumstances. The </w:t>
      </w:r>
      <w:r w:rsidRPr="00BA2BCF">
        <w:rPr>
          <w:i/>
          <w:iCs/>
        </w:rPr>
        <w:t>Health Insurance (Section 3C General Medical Services - COVID-19 Telehealth and Telephone Attendances) Determination 2020</w:t>
      </w:r>
      <w:r w:rsidRPr="00BA2BCF">
        <w:rPr>
          <w:iCs/>
        </w:rPr>
        <w:t xml:space="preserve"> </w:t>
      </w:r>
      <w:r w:rsidR="00364EB6" w:rsidRPr="00BA2BCF">
        <w:t>the (</w:t>
      </w:r>
      <w:r w:rsidR="006E4051" w:rsidRPr="00BA2BCF">
        <w:t>Principal Determination)</w:t>
      </w:r>
      <w:r w:rsidR="006E4051" w:rsidRPr="00BA2BCF">
        <w:rPr>
          <w:iCs/>
        </w:rPr>
        <w:t xml:space="preserve"> </w:t>
      </w:r>
      <w:r w:rsidRPr="00BA2BCF">
        <w:rPr>
          <w:iCs/>
        </w:rPr>
        <w:t xml:space="preserve">currently prescribes </w:t>
      </w:r>
      <w:r w:rsidR="00D80FBA" w:rsidRPr="00BA2BCF">
        <w:rPr>
          <w:iCs/>
        </w:rPr>
        <w:t>222</w:t>
      </w:r>
      <w:r w:rsidR="002935ED" w:rsidRPr="00BA2BCF">
        <w:rPr>
          <w:iCs/>
        </w:rPr>
        <w:t xml:space="preserve"> t</w:t>
      </w:r>
      <w:r w:rsidR="0093443E" w:rsidRPr="00BA2BCF">
        <w:rPr>
          <w:iCs/>
        </w:rPr>
        <w:t>emporary items</w:t>
      </w:r>
      <w:r w:rsidRPr="00BA2BCF">
        <w:rPr>
          <w:iCs/>
        </w:rPr>
        <w:t xml:space="preserve"> that covers ma</w:t>
      </w:r>
      <w:r w:rsidR="00BA3193" w:rsidRPr="00BA2BCF">
        <w:rPr>
          <w:iCs/>
        </w:rPr>
        <w:t>ny general practice, specialist and consultant physician</w:t>
      </w:r>
      <w:r w:rsidRPr="00BA2BCF">
        <w:rPr>
          <w:iCs/>
        </w:rPr>
        <w:t xml:space="preserve">, </w:t>
      </w:r>
      <w:r w:rsidR="0093443E" w:rsidRPr="00BA2BCF">
        <w:rPr>
          <w:iCs/>
        </w:rPr>
        <w:t>nurse practitioner, midwife, and allied health attendances.</w:t>
      </w:r>
      <w:r w:rsidR="0093443E" w:rsidRPr="00BA2BCF">
        <w:rPr>
          <w:iCs/>
        </w:rPr>
        <w:br/>
      </w:r>
    </w:p>
    <w:p w14:paraId="5959A5AB" w14:textId="258D748B" w:rsidR="00D80FBA" w:rsidRPr="00BA2BCF" w:rsidRDefault="00D80FBA" w:rsidP="00D80FBA">
      <w:pPr>
        <w:shd w:val="clear" w:color="auto" w:fill="FFFFFF"/>
        <w:ind w:right="84"/>
        <w:rPr>
          <w:iCs/>
        </w:rPr>
      </w:pPr>
      <w:r w:rsidRPr="00BA2BCF">
        <w:rPr>
          <w:iCs/>
        </w:rPr>
        <w:t xml:space="preserve">These items ensure that telehealth can be used as a key weapon in the fight against </w:t>
      </w:r>
      <w:r w:rsidR="00CF66E7" w:rsidRPr="00BA2BCF">
        <w:rPr>
          <w:iCs/>
        </w:rPr>
        <w:t xml:space="preserve">the </w:t>
      </w:r>
      <w:r w:rsidRPr="00BA2BCF">
        <w:rPr>
          <w:szCs w:val="24"/>
        </w:rPr>
        <w:t>coronavirus (</w:t>
      </w:r>
      <w:r w:rsidRPr="00BA2BCF">
        <w:rPr>
          <w:iCs/>
        </w:rPr>
        <w:t>COVID-19) pandemic. Expanding the consultation services available by telehealth is the next critical stage in the response to COVID-19.</w:t>
      </w:r>
    </w:p>
    <w:p w14:paraId="1D9E2488" w14:textId="77777777" w:rsidR="0093443E" w:rsidRPr="00BA2BCF" w:rsidRDefault="0093443E" w:rsidP="003E4241">
      <w:pPr>
        <w:shd w:val="clear" w:color="auto" w:fill="FFFFFF"/>
        <w:ind w:right="84"/>
        <w:rPr>
          <w:iCs/>
        </w:rPr>
      </w:pPr>
    </w:p>
    <w:p w14:paraId="3D85868C" w14:textId="6879290E" w:rsidR="00354075" w:rsidRPr="00BA2BCF" w:rsidRDefault="00354075" w:rsidP="003E4241">
      <w:pPr>
        <w:shd w:val="clear" w:color="auto" w:fill="FFFFFF"/>
        <w:ind w:right="84"/>
        <w:rPr>
          <w:color w:val="000000"/>
          <w:szCs w:val="24"/>
          <w:lang w:eastAsia="en-GB"/>
        </w:rPr>
      </w:pPr>
      <w:r w:rsidRPr="00BA2BCF">
        <w:rPr>
          <w:color w:val="000000"/>
          <w:szCs w:val="24"/>
          <w:lang w:eastAsia="en-GB"/>
        </w:rPr>
        <w:t>The purpose of the</w:t>
      </w:r>
      <w:r w:rsidRPr="00BA2BCF">
        <w:t xml:space="preserve"> </w:t>
      </w:r>
      <w:r w:rsidRPr="00BA2BCF">
        <w:rPr>
          <w:i/>
          <w:color w:val="000000"/>
          <w:szCs w:val="24"/>
          <w:lang w:eastAsia="en-GB"/>
        </w:rPr>
        <w:t>Health Insurance (Section 3C General Medical Services – COVID-19 Telehealth and Telephone Attendances) Amendment (Expansion of Specialist Services) Determination 2020</w:t>
      </w:r>
      <w:r w:rsidR="00BA3193" w:rsidRPr="00BA2BCF">
        <w:rPr>
          <w:color w:val="000000"/>
          <w:szCs w:val="24"/>
          <w:lang w:eastAsia="en-GB"/>
        </w:rPr>
        <w:t xml:space="preserve"> (the Amendment</w:t>
      </w:r>
      <w:r w:rsidRPr="00BA2BCF">
        <w:rPr>
          <w:color w:val="000000"/>
          <w:szCs w:val="24"/>
          <w:lang w:eastAsia="en-GB"/>
        </w:rPr>
        <w:t xml:space="preserve"> Determination) is to expand the range of non-GP specialist services available to support patient access to these attendances in a safe and timely manner. This will assist to reduce the risk of COVID-19 for health professionals and for patients. </w:t>
      </w:r>
    </w:p>
    <w:p w14:paraId="0C598F2D" w14:textId="77777777" w:rsidR="0093443E" w:rsidRPr="00BA2BCF" w:rsidRDefault="0093443E" w:rsidP="003E4241">
      <w:pPr>
        <w:shd w:val="clear" w:color="auto" w:fill="FFFFFF"/>
        <w:ind w:right="84"/>
        <w:rPr>
          <w:color w:val="000000"/>
          <w:szCs w:val="24"/>
          <w:lang w:eastAsia="en-GB"/>
        </w:rPr>
      </w:pPr>
    </w:p>
    <w:p w14:paraId="5FF33536" w14:textId="771D99CB" w:rsidR="008973B9" w:rsidRPr="00BA2BCF" w:rsidRDefault="0093443E" w:rsidP="00712171">
      <w:pPr>
        <w:shd w:val="clear" w:color="auto" w:fill="FFFFFF"/>
        <w:ind w:right="84"/>
        <w:rPr>
          <w:b/>
        </w:rPr>
      </w:pPr>
      <w:r w:rsidRPr="00BA2BCF">
        <w:rPr>
          <w:color w:val="000000"/>
          <w:szCs w:val="24"/>
          <w:lang w:eastAsia="en-GB"/>
        </w:rPr>
        <w:t>From 6 April 2020, 2</w:t>
      </w:r>
      <w:r w:rsidR="000A7C7B" w:rsidRPr="00BA2BCF">
        <w:rPr>
          <w:color w:val="000000"/>
          <w:szCs w:val="24"/>
          <w:lang w:eastAsia="en-GB"/>
        </w:rPr>
        <w:t>2 new items will be listed. These include</w:t>
      </w:r>
      <w:r w:rsidRPr="00BA2BCF">
        <w:rPr>
          <w:color w:val="000000"/>
          <w:szCs w:val="24"/>
          <w:lang w:eastAsia="en-GB"/>
        </w:rPr>
        <w:t xml:space="preserve"> four targeted attendance items which will enable patients 65 years of age</w:t>
      </w:r>
      <w:r w:rsidR="00BF46F2" w:rsidRPr="00BA2BCF">
        <w:rPr>
          <w:color w:val="000000"/>
          <w:szCs w:val="24"/>
          <w:lang w:eastAsia="en-GB"/>
        </w:rPr>
        <w:t xml:space="preserve"> or older to see a geriatrician by telehealth or phone, where appropriate to do so.</w:t>
      </w:r>
    </w:p>
    <w:p w14:paraId="769C715D" w14:textId="77777777" w:rsidR="00BF46F2" w:rsidRPr="00BA2BCF" w:rsidRDefault="00BF46F2" w:rsidP="008973B9">
      <w:pPr>
        <w:rPr>
          <w:b/>
        </w:rPr>
      </w:pPr>
    </w:p>
    <w:p w14:paraId="2412D131" w14:textId="12BCF8AB" w:rsidR="001865F8" w:rsidRPr="00BA2BCF" w:rsidRDefault="00A1739A" w:rsidP="008973B9">
      <w:pPr>
        <w:rPr>
          <w:b/>
        </w:rPr>
      </w:pPr>
      <w:r w:rsidRPr="00BA2BCF">
        <w:rPr>
          <w:b/>
        </w:rPr>
        <w:lastRenderedPageBreak/>
        <w:t>Consultation</w:t>
      </w:r>
    </w:p>
    <w:p w14:paraId="1BC8B631" w14:textId="2541380F" w:rsidR="006B14EC" w:rsidRPr="00BA2BCF" w:rsidRDefault="00D80FBA" w:rsidP="006B14EC">
      <w:pPr>
        <w:shd w:val="clear" w:color="auto" w:fill="FFFFFF"/>
        <w:rPr>
          <w:szCs w:val="24"/>
        </w:rPr>
      </w:pPr>
      <w:r w:rsidRPr="00BA2BCF">
        <w:rPr>
          <w:szCs w:val="24"/>
        </w:rPr>
        <w:t xml:space="preserve">The Government has been expanding </w:t>
      </w:r>
      <w:r w:rsidR="00CF66E7" w:rsidRPr="00BA2BCF">
        <w:rPr>
          <w:szCs w:val="24"/>
        </w:rPr>
        <w:t xml:space="preserve">access to telehealth </w:t>
      </w:r>
      <w:r w:rsidRPr="00BA2BCF">
        <w:rPr>
          <w:szCs w:val="24"/>
        </w:rPr>
        <w:t>services in partnership with key stakeholders in the sector</w:t>
      </w:r>
      <w:r w:rsidR="00CF66E7" w:rsidRPr="00BA2BCF">
        <w:rPr>
          <w:szCs w:val="24"/>
        </w:rPr>
        <w:t>,</w:t>
      </w:r>
      <w:r w:rsidRPr="00BA2BCF">
        <w:rPr>
          <w:szCs w:val="24"/>
        </w:rPr>
        <w:t xml:space="preserve"> including the Australian Medical Association, Royal Australian College of Physicians and the Royal Australian and New Zealand College of Psychiatrists. Consultation is continuing to identify relevant services to help protect and support Australians who are vulnerable to COVID-19</w:t>
      </w:r>
      <w:r w:rsidR="00CF66E7" w:rsidRPr="00BA2BCF">
        <w:rPr>
          <w:szCs w:val="24"/>
        </w:rPr>
        <w:t xml:space="preserve">. </w:t>
      </w:r>
      <w:r w:rsidRPr="00BA2BCF">
        <w:rPr>
          <w:szCs w:val="24"/>
        </w:rPr>
        <w:t xml:space="preserve">The </w:t>
      </w:r>
      <w:r w:rsidR="00CF66E7" w:rsidRPr="00BA2BCF">
        <w:rPr>
          <w:szCs w:val="24"/>
        </w:rPr>
        <w:t>inclusion of the se</w:t>
      </w:r>
      <w:r w:rsidR="00BA3193" w:rsidRPr="00BA2BCF">
        <w:rPr>
          <w:szCs w:val="24"/>
        </w:rPr>
        <w:t>rvices specified in the Amendment</w:t>
      </w:r>
      <w:r w:rsidR="00CF66E7" w:rsidRPr="00BA2BCF">
        <w:rPr>
          <w:szCs w:val="24"/>
        </w:rPr>
        <w:t xml:space="preserve"> Determination</w:t>
      </w:r>
      <w:r w:rsidRPr="00BA2BCF">
        <w:rPr>
          <w:szCs w:val="24"/>
        </w:rPr>
        <w:t xml:space="preserve"> </w:t>
      </w:r>
      <w:r w:rsidR="00CF66E7" w:rsidRPr="00BA2BCF">
        <w:rPr>
          <w:szCs w:val="24"/>
        </w:rPr>
        <w:t xml:space="preserve">will support patient access and is supported by consultant physician representative </w:t>
      </w:r>
      <w:r w:rsidR="00A03F8E" w:rsidRPr="00BA2BCF">
        <w:rPr>
          <w:szCs w:val="24"/>
        </w:rPr>
        <w:t>groups. These</w:t>
      </w:r>
      <w:r w:rsidR="00ED42A6" w:rsidRPr="00BA2BCF">
        <w:rPr>
          <w:szCs w:val="24"/>
        </w:rPr>
        <w:t xml:space="preserve"> services were identified </w:t>
      </w:r>
      <w:r w:rsidR="009444CF" w:rsidRPr="00BA2BCF">
        <w:rPr>
          <w:szCs w:val="24"/>
        </w:rPr>
        <w:t xml:space="preserve">throughout broad engagement with stakeholders </w:t>
      </w:r>
      <w:r w:rsidR="004D62B9" w:rsidRPr="00BA2BCF">
        <w:rPr>
          <w:szCs w:val="24"/>
        </w:rPr>
        <w:t>w</w:t>
      </w:r>
      <w:r w:rsidR="00ED42A6" w:rsidRPr="00BA2BCF">
        <w:rPr>
          <w:szCs w:val="24"/>
        </w:rPr>
        <w:t>hilst</w:t>
      </w:r>
      <w:r w:rsidR="00A03F8E" w:rsidRPr="00BA2BCF">
        <w:rPr>
          <w:szCs w:val="24"/>
        </w:rPr>
        <w:t xml:space="preserve"> services are</w:t>
      </w:r>
      <w:r w:rsidR="004D62B9" w:rsidRPr="00BA2BCF">
        <w:rPr>
          <w:szCs w:val="24"/>
        </w:rPr>
        <w:t xml:space="preserve"> being identified for possible future expansion. </w:t>
      </w:r>
    </w:p>
    <w:p w14:paraId="02264A85" w14:textId="77777777" w:rsidR="007708B3" w:rsidRPr="00BA2BCF" w:rsidRDefault="007708B3" w:rsidP="002806A1">
      <w:pPr>
        <w:shd w:val="clear" w:color="auto" w:fill="FFFFFF"/>
        <w:rPr>
          <w:szCs w:val="24"/>
        </w:rPr>
      </w:pPr>
    </w:p>
    <w:p w14:paraId="2412D134" w14:textId="2A67E693" w:rsidR="00967E51" w:rsidRPr="00BA2BCF" w:rsidRDefault="00A1739A" w:rsidP="000337CB">
      <w:pPr>
        <w:rPr>
          <w:szCs w:val="24"/>
        </w:rPr>
      </w:pPr>
      <w:r w:rsidRPr="00BA2BCF">
        <w:rPr>
          <w:szCs w:val="24"/>
        </w:rPr>
        <w:t xml:space="preserve">Details of the </w:t>
      </w:r>
      <w:r w:rsidR="00BA3193" w:rsidRPr="00BA2BCF">
        <w:rPr>
          <w:szCs w:val="24"/>
        </w:rPr>
        <w:t>Amendment</w:t>
      </w:r>
      <w:r w:rsidR="00271EEA" w:rsidRPr="00BA2BCF">
        <w:rPr>
          <w:szCs w:val="24"/>
        </w:rPr>
        <w:t xml:space="preserve"> </w:t>
      </w:r>
      <w:r w:rsidR="00574E71" w:rsidRPr="00BA2BCF">
        <w:rPr>
          <w:szCs w:val="24"/>
        </w:rPr>
        <w:t>Determination</w:t>
      </w:r>
      <w:r w:rsidRPr="00BA2BCF">
        <w:rPr>
          <w:szCs w:val="24"/>
        </w:rPr>
        <w:t xml:space="preserve"> are set out in the </w:t>
      </w:r>
      <w:r w:rsidRPr="00BA2BCF">
        <w:rPr>
          <w:szCs w:val="24"/>
          <w:u w:val="single"/>
        </w:rPr>
        <w:t>Attachment</w:t>
      </w:r>
      <w:r w:rsidRPr="00BA2BCF">
        <w:rPr>
          <w:szCs w:val="24"/>
        </w:rPr>
        <w:t>.</w:t>
      </w:r>
    </w:p>
    <w:p w14:paraId="07372F0D" w14:textId="77777777" w:rsidR="00234EDC" w:rsidRPr="00BA2BCF" w:rsidRDefault="00234EDC" w:rsidP="00234EDC">
      <w:pPr>
        <w:autoSpaceDE w:val="0"/>
        <w:autoSpaceDN w:val="0"/>
        <w:adjustRightInd w:val="0"/>
        <w:rPr>
          <w:szCs w:val="24"/>
        </w:rPr>
      </w:pPr>
    </w:p>
    <w:p w14:paraId="2412D136" w14:textId="583B64B8" w:rsidR="00236DF2" w:rsidRPr="00BA2BCF" w:rsidRDefault="008973B9" w:rsidP="00234EDC">
      <w:pPr>
        <w:autoSpaceDE w:val="0"/>
        <w:autoSpaceDN w:val="0"/>
        <w:adjustRightInd w:val="0"/>
        <w:rPr>
          <w:szCs w:val="24"/>
        </w:rPr>
      </w:pPr>
      <w:r w:rsidRPr="00BA2BCF">
        <w:rPr>
          <w:szCs w:val="24"/>
        </w:rPr>
        <w:t xml:space="preserve">The </w:t>
      </w:r>
      <w:r w:rsidR="00BA3193" w:rsidRPr="00BA2BCF">
        <w:rPr>
          <w:szCs w:val="24"/>
        </w:rPr>
        <w:t>Amendment</w:t>
      </w:r>
      <w:r w:rsidR="00271EEA" w:rsidRPr="00BA2BCF">
        <w:rPr>
          <w:szCs w:val="24"/>
        </w:rPr>
        <w:t xml:space="preserve"> </w:t>
      </w:r>
      <w:r w:rsidRPr="00BA2BCF">
        <w:rPr>
          <w:szCs w:val="24"/>
        </w:rPr>
        <w:t xml:space="preserve">Determination commences immediately after the commencement of </w:t>
      </w:r>
      <w:r w:rsidR="003215B6" w:rsidRPr="00BA2BCF">
        <w:rPr>
          <w:szCs w:val="24"/>
        </w:rPr>
        <w:t xml:space="preserve">the </w:t>
      </w:r>
      <w:r w:rsidR="00C97EEC" w:rsidRPr="00BA2BCF">
        <w:rPr>
          <w:i/>
          <w:color w:val="000000"/>
          <w:szCs w:val="24"/>
          <w:lang w:eastAsia="en-GB"/>
        </w:rPr>
        <w:t>Health Insurance (Section 3C General Medical Services – COVID-19 Telehealth and Telephone Attendances) Amendment (Bulk-billing) Determination 2020</w:t>
      </w:r>
      <w:r w:rsidR="00271EEA" w:rsidRPr="00BA2BCF">
        <w:rPr>
          <w:iCs/>
        </w:rPr>
        <w:t>.</w:t>
      </w:r>
      <w:r w:rsidR="00234EDC" w:rsidRPr="00BA2BCF">
        <w:rPr>
          <w:iCs/>
        </w:rPr>
        <w:br/>
      </w:r>
    </w:p>
    <w:p w14:paraId="2412D138" w14:textId="4B0971B8" w:rsidR="00574E71" w:rsidRPr="00BA2BCF" w:rsidRDefault="0002728B" w:rsidP="00DE07E4">
      <w:pPr>
        <w:spacing w:after="200" w:line="276" w:lineRule="auto"/>
        <w:rPr>
          <w:szCs w:val="24"/>
        </w:rPr>
      </w:pPr>
      <w:r w:rsidRPr="00BA2BCF">
        <w:rPr>
          <w:szCs w:val="24"/>
        </w:rPr>
        <w:t>T</w:t>
      </w:r>
      <w:r w:rsidR="00574E71" w:rsidRPr="00BA2BCF">
        <w:rPr>
          <w:szCs w:val="24"/>
        </w:rPr>
        <w:t xml:space="preserve">he </w:t>
      </w:r>
      <w:r w:rsidR="00BA3193" w:rsidRPr="00BA2BCF">
        <w:rPr>
          <w:szCs w:val="24"/>
        </w:rPr>
        <w:t>Amendment</w:t>
      </w:r>
      <w:r w:rsidR="00271EEA" w:rsidRPr="00BA2BCF">
        <w:rPr>
          <w:szCs w:val="24"/>
        </w:rPr>
        <w:t xml:space="preserve"> </w:t>
      </w:r>
      <w:r w:rsidR="00574E71" w:rsidRPr="00BA2BCF">
        <w:rPr>
          <w:szCs w:val="24"/>
        </w:rPr>
        <w:t xml:space="preserve">Determination is </w:t>
      </w:r>
      <w:r w:rsidR="004417A2" w:rsidRPr="00BA2BCF">
        <w:rPr>
          <w:szCs w:val="24"/>
        </w:rPr>
        <w:t xml:space="preserve">a </w:t>
      </w:r>
      <w:r w:rsidR="00574E71" w:rsidRPr="00BA2BCF">
        <w:rPr>
          <w:szCs w:val="24"/>
        </w:rPr>
        <w:t xml:space="preserve">legislative instrument for the purposes of the </w:t>
      </w:r>
      <w:r w:rsidR="00574E71" w:rsidRPr="00BA2BCF">
        <w:rPr>
          <w:i/>
        </w:rPr>
        <w:t>Legislation Act 2003</w:t>
      </w:r>
      <w:r w:rsidR="00574E71" w:rsidRPr="00BA2BCF">
        <w:rPr>
          <w:szCs w:val="24"/>
        </w:rPr>
        <w:t>.</w:t>
      </w:r>
    </w:p>
    <w:p w14:paraId="2412D139" w14:textId="77777777" w:rsidR="00A1739A" w:rsidRPr="00BA2BCF" w:rsidRDefault="00A1739A" w:rsidP="000337CB">
      <w:pPr>
        <w:ind w:left="6663" w:hanging="3119"/>
        <w:rPr>
          <w:szCs w:val="24"/>
        </w:rPr>
      </w:pPr>
      <w:r w:rsidRPr="00BA2BCF">
        <w:rPr>
          <w:szCs w:val="24"/>
        </w:rPr>
        <w:t xml:space="preserve">           </w:t>
      </w:r>
    </w:p>
    <w:p w14:paraId="2412D13A" w14:textId="77777777" w:rsidR="00A1739A" w:rsidRPr="00BA2BCF" w:rsidRDefault="00A1739A" w:rsidP="000337CB">
      <w:pPr>
        <w:ind w:left="6663" w:hanging="3119"/>
        <w:rPr>
          <w:szCs w:val="24"/>
        </w:rPr>
      </w:pPr>
      <w:r w:rsidRPr="00BA2BCF">
        <w:rPr>
          <w:szCs w:val="24"/>
          <w:u w:val="single"/>
        </w:rPr>
        <w:t>Authority</w:t>
      </w:r>
      <w:r w:rsidR="00967E51" w:rsidRPr="00BA2BCF">
        <w:rPr>
          <w:szCs w:val="24"/>
        </w:rPr>
        <w:t xml:space="preserve">:     Subsection </w:t>
      </w:r>
      <w:proofErr w:type="gramStart"/>
      <w:r w:rsidRPr="00BA2BCF">
        <w:rPr>
          <w:szCs w:val="24"/>
        </w:rPr>
        <w:t>3</w:t>
      </w:r>
      <w:r w:rsidR="00967E51" w:rsidRPr="00BA2BCF">
        <w:rPr>
          <w:szCs w:val="24"/>
        </w:rPr>
        <w:t>C</w:t>
      </w:r>
      <w:r w:rsidRPr="00BA2BCF">
        <w:rPr>
          <w:szCs w:val="24"/>
        </w:rPr>
        <w:t>(</w:t>
      </w:r>
      <w:proofErr w:type="gramEnd"/>
      <w:r w:rsidRPr="00BA2BCF">
        <w:rPr>
          <w:szCs w:val="24"/>
        </w:rPr>
        <w:t xml:space="preserve">1) of the </w:t>
      </w:r>
    </w:p>
    <w:p w14:paraId="2412D13B" w14:textId="0596CD30" w:rsidR="00A1739A" w:rsidRPr="00BA2BCF" w:rsidRDefault="00A1739A" w:rsidP="000337CB">
      <w:pPr>
        <w:tabs>
          <w:tab w:val="left" w:pos="4820"/>
        </w:tabs>
        <w:rPr>
          <w:szCs w:val="24"/>
        </w:rPr>
        <w:sectPr w:rsidR="00A1739A" w:rsidRPr="00BA2BCF" w:rsidSect="00517A71">
          <w:headerReference w:type="default" r:id="rId11"/>
          <w:pgSz w:w="11906" w:h="16838"/>
          <w:pgMar w:top="1440" w:right="1800" w:bottom="1135" w:left="1800" w:header="708" w:footer="708" w:gutter="0"/>
          <w:pgNumType w:start="1"/>
          <w:cols w:space="708"/>
          <w:titlePg/>
          <w:docGrid w:linePitch="360"/>
        </w:sectPr>
      </w:pPr>
      <w:r w:rsidRPr="00BA2BCF">
        <w:rPr>
          <w:i/>
          <w:szCs w:val="24"/>
        </w:rPr>
        <w:tab/>
        <w:t>Health Insurance Act 1973</w:t>
      </w:r>
    </w:p>
    <w:p w14:paraId="2412D13D" w14:textId="77777777" w:rsidR="006D5816" w:rsidRPr="00BA2BCF" w:rsidRDefault="006D5816" w:rsidP="000337CB">
      <w:pPr>
        <w:pStyle w:val="BodyText"/>
        <w:jc w:val="right"/>
        <w:rPr>
          <w:szCs w:val="24"/>
        </w:rPr>
      </w:pPr>
      <w:r w:rsidRPr="00BA2BCF">
        <w:rPr>
          <w:szCs w:val="24"/>
        </w:rPr>
        <w:lastRenderedPageBreak/>
        <w:t>ATTACHMENT</w:t>
      </w:r>
    </w:p>
    <w:p w14:paraId="2412D13E" w14:textId="77777777" w:rsidR="006D5816" w:rsidRPr="00BA2BCF" w:rsidRDefault="006D5816" w:rsidP="000337CB">
      <w:pPr>
        <w:pStyle w:val="BodyText"/>
        <w:rPr>
          <w:szCs w:val="24"/>
          <w:u w:val="single"/>
        </w:rPr>
      </w:pPr>
    </w:p>
    <w:p w14:paraId="5B0C808A" w14:textId="0BAC0F2B" w:rsidR="00215191" w:rsidRPr="00BA2BCF" w:rsidRDefault="00A41364" w:rsidP="00186752">
      <w:pPr>
        <w:pStyle w:val="BodyText"/>
        <w:rPr>
          <w:i/>
          <w:iCs/>
        </w:rPr>
      </w:pPr>
      <w:r w:rsidRPr="00BA2BCF">
        <w:rPr>
          <w:szCs w:val="24"/>
        </w:rPr>
        <w:t xml:space="preserve">Details of the </w:t>
      </w:r>
      <w:r w:rsidR="00242C6E" w:rsidRPr="00BA2BCF">
        <w:rPr>
          <w:i/>
          <w:szCs w:val="24"/>
        </w:rPr>
        <w:t>Health Insurance (Section 3C General Medical Services – COVID-19 Telehealth and Telephone Attendances) Amendment (Expansion of Specialist Services) Determination 2020</w:t>
      </w:r>
    </w:p>
    <w:p w14:paraId="7BBEB147" w14:textId="720F9678" w:rsidR="00E70355" w:rsidRPr="00BA2BCF" w:rsidRDefault="00E70355" w:rsidP="000337CB">
      <w:pPr>
        <w:pStyle w:val="BodyText"/>
        <w:rPr>
          <w:b w:val="0"/>
          <w:i/>
          <w:szCs w:val="24"/>
        </w:rPr>
      </w:pPr>
    </w:p>
    <w:p w14:paraId="2412D141" w14:textId="7C34D5F4" w:rsidR="00FE02C2" w:rsidRPr="00BA2BCF" w:rsidRDefault="001B0111" w:rsidP="000337CB">
      <w:pPr>
        <w:pStyle w:val="BodyText"/>
        <w:rPr>
          <w:b w:val="0"/>
          <w:szCs w:val="24"/>
          <w:u w:val="single"/>
        </w:rPr>
      </w:pPr>
      <w:r w:rsidRPr="00BA2BCF">
        <w:rPr>
          <w:b w:val="0"/>
          <w:szCs w:val="24"/>
          <w:u w:val="single"/>
        </w:rPr>
        <w:t>Section 1 – Name</w:t>
      </w:r>
    </w:p>
    <w:p w14:paraId="2412D142" w14:textId="77777777" w:rsidR="00FE02C2" w:rsidRPr="00BA2BCF" w:rsidRDefault="00FE02C2" w:rsidP="000337CB">
      <w:pPr>
        <w:pStyle w:val="BodyText"/>
        <w:rPr>
          <w:b w:val="0"/>
          <w:szCs w:val="24"/>
          <w:u w:val="single"/>
        </w:rPr>
      </w:pPr>
    </w:p>
    <w:p w14:paraId="2412D144" w14:textId="25A1BF3B" w:rsidR="00F83B6F" w:rsidRPr="00BA2BCF" w:rsidRDefault="00BC7397" w:rsidP="00C67BC7">
      <w:pPr>
        <w:pStyle w:val="BodyText"/>
        <w:rPr>
          <w:i/>
          <w:iCs/>
        </w:rPr>
      </w:pPr>
      <w:r w:rsidRPr="00BA2BCF">
        <w:rPr>
          <w:b w:val="0"/>
          <w:szCs w:val="24"/>
        </w:rPr>
        <w:t>S</w:t>
      </w:r>
      <w:r w:rsidR="00FE02C2" w:rsidRPr="00BA2BCF">
        <w:rPr>
          <w:b w:val="0"/>
          <w:szCs w:val="24"/>
        </w:rPr>
        <w:t xml:space="preserve">ection </w:t>
      </w:r>
      <w:r w:rsidRPr="00BA2BCF">
        <w:rPr>
          <w:b w:val="0"/>
          <w:szCs w:val="24"/>
        </w:rPr>
        <w:t xml:space="preserve">1 </w:t>
      </w:r>
      <w:r w:rsidR="00FE02C2" w:rsidRPr="00BA2BCF">
        <w:rPr>
          <w:b w:val="0"/>
          <w:szCs w:val="24"/>
        </w:rPr>
        <w:t>provides</w:t>
      </w:r>
      <w:r w:rsidR="008B683E" w:rsidRPr="00BA2BCF">
        <w:rPr>
          <w:b w:val="0"/>
          <w:szCs w:val="24"/>
        </w:rPr>
        <w:t xml:space="preserve"> for the </w:t>
      </w:r>
      <w:r w:rsidR="00BA3193" w:rsidRPr="00BA2BCF">
        <w:rPr>
          <w:b w:val="0"/>
          <w:szCs w:val="24"/>
        </w:rPr>
        <w:t>Amendment</w:t>
      </w:r>
      <w:r w:rsidR="00271EEA" w:rsidRPr="00BA2BCF">
        <w:rPr>
          <w:b w:val="0"/>
          <w:szCs w:val="24"/>
        </w:rPr>
        <w:t xml:space="preserve"> </w:t>
      </w:r>
      <w:r w:rsidR="008B2094" w:rsidRPr="00BA2BCF">
        <w:rPr>
          <w:b w:val="0"/>
          <w:szCs w:val="24"/>
        </w:rPr>
        <w:t>Determination</w:t>
      </w:r>
      <w:r w:rsidR="00FE02C2" w:rsidRPr="00BA2BCF">
        <w:rPr>
          <w:b w:val="0"/>
          <w:szCs w:val="24"/>
        </w:rPr>
        <w:t xml:space="preserve"> to be referred to as the </w:t>
      </w:r>
      <w:r w:rsidR="00025F76" w:rsidRPr="00BA2BCF">
        <w:rPr>
          <w:b w:val="0"/>
          <w:i/>
          <w:szCs w:val="24"/>
        </w:rPr>
        <w:t>Health Insurance (Section 3C General Medical Services – COVID-19 Telehealth and Telephone Attendances) Amendment (Expansion of Specialist Services) Determination 2020</w:t>
      </w:r>
      <w:r w:rsidR="00271EEA" w:rsidRPr="00BA2BCF">
        <w:rPr>
          <w:b w:val="0"/>
          <w:i/>
        </w:rPr>
        <w:t>.</w:t>
      </w:r>
    </w:p>
    <w:p w14:paraId="68DAA207" w14:textId="77777777" w:rsidR="00FD602D" w:rsidRPr="00BA2BCF" w:rsidRDefault="00FD602D" w:rsidP="00FD602D"/>
    <w:p w14:paraId="49D1E050" w14:textId="77777777" w:rsidR="007A4089" w:rsidRPr="00BA2BCF" w:rsidRDefault="00FE02C2" w:rsidP="000337CB">
      <w:pPr>
        <w:pStyle w:val="BodyText"/>
        <w:rPr>
          <w:b w:val="0"/>
          <w:szCs w:val="24"/>
          <w:u w:val="single"/>
        </w:rPr>
      </w:pPr>
      <w:r w:rsidRPr="00BA2BCF">
        <w:rPr>
          <w:b w:val="0"/>
          <w:szCs w:val="24"/>
          <w:u w:val="single"/>
        </w:rPr>
        <w:t xml:space="preserve">Section 2 – Commencement </w:t>
      </w:r>
    </w:p>
    <w:p w14:paraId="2DCE2ED0" w14:textId="77777777" w:rsidR="007A4089" w:rsidRPr="00BA2BCF" w:rsidRDefault="007A4089" w:rsidP="000337CB">
      <w:pPr>
        <w:pStyle w:val="BodyText"/>
        <w:rPr>
          <w:b w:val="0"/>
          <w:szCs w:val="24"/>
          <w:u w:val="single"/>
        </w:rPr>
      </w:pPr>
    </w:p>
    <w:p w14:paraId="16C03200" w14:textId="27A41568" w:rsidR="007E0017" w:rsidRPr="00BA2BCF" w:rsidRDefault="00A74412" w:rsidP="000337CB">
      <w:pPr>
        <w:pStyle w:val="BodyText"/>
        <w:rPr>
          <w:b w:val="0"/>
          <w:szCs w:val="24"/>
        </w:rPr>
      </w:pPr>
      <w:r w:rsidRPr="00BA2BCF">
        <w:rPr>
          <w:b w:val="0"/>
          <w:szCs w:val="24"/>
        </w:rPr>
        <w:t>Sections 2 provide</w:t>
      </w:r>
      <w:r w:rsidR="00BA3193" w:rsidRPr="00BA2BCF">
        <w:rPr>
          <w:b w:val="0"/>
          <w:szCs w:val="24"/>
        </w:rPr>
        <w:t>s that the Amendment</w:t>
      </w:r>
      <w:r w:rsidR="00271EEA" w:rsidRPr="00BA2BCF">
        <w:rPr>
          <w:b w:val="0"/>
          <w:szCs w:val="24"/>
        </w:rPr>
        <w:t xml:space="preserve"> </w:t>
      </w:r>
      <w:r w:rsidR="00F820C0" w:rsidRPr="00BA2BCF">
        <w:rPr>
          <w:b w:val="0"/>
          <w:szCs w:val="24"/>
        </w:rPr>
        <w:t xml:space="preserve">Determination commences immediately after the </w:t>
      </w:r>
      <w:r w:rsidR="00C97EEC" w:rsidRPr="00BA2BCF">
        <w:rPr>
          <w:b w:val="0"/>
          <w:i/>
          <w:color w:val="000000"/>
          <w:szCs w:val="24"/>
          <w:lang w:eastAsia="en-GB"/>
        </w:rPr>
        <w:t>Health Insurance (Section 3C General Medical Services – COVID-19 Telehealth and Telephone Attendances) Amendment (Bulk-billing) Determination 2020</w:t>
      </w:r>
      <w:r w:rsidR="00271EEA" w:rsidRPr="00BA2BCF">
        <w:rPr>
          <w:b w:val="0"/>
          <w:i/>
          <w:szCs w:val="24"/>
        </w:rPr>
        <w:t>.</w:t>
      </w:r>
    </w:p>
    <w:p w14:paraId="52409296" w14:textId="77777777" w:rsidR="00F820C0" w:rsidRPr="00BA2BCF" w:rsidRDefault="00F820C0" w:rsidP="000337CB">
      <w:pPr>
        <w:pStyle w:val="BodyText"/>
        <w:rPr>
          <w:b w:val="0"/>
          <w:szCs w:val="24"/>
        </w:rPr>
      </w:pPr>
    </w:p>
    <w:p w14:paraId="005D5660" w14:textId="77777777" w:rsidR="007A4089" w:rsidRPr="00BA2BCF" w:rsidRDefault="00FE02C2" w:rsidP="000337CB">
      <w:pPr>
        <w:pStyle w:val="BodyText"/>
        <w:rPr>
          <w:b w:val="0"/>
          <w:szCs w:val="24"/>
          <w:u w:val="single"/>
        </w:rPr>
      </w:pPr>
      <w:r w:rsidRPr="00BA2BCF">
        <w:rPr>
          <w:b w:val="0"/>
          <w:szCs w:val="24"/>
          <w:u w:val="single"/>
        </w:rPr>
        <w:t xml:space="preserve">Section 3 – </w:t>
      </w:r>
      <w:r w:rsidR="00E5798A" w:rsidRPr="00BA2BCF">
        <w:rPr>
          <w:b w:val="0"/>
          <w:szCs w:val="24"/>
          <w:u w:val="single"/>
        </w:rPr>
        <w:t>Authority</w:t>
      </w:r>
    </w:p>
    <w:p w14:paraId="53BFA098" w14:textId="77777777" w:rsidR="007A4089" w:rsidRPr="00BA2BCF" w:rsidRDefault="007A4089" w:rsidP="000337CB">
      <w:pPr>
        <w:pStyle w:val="BodyText"/>
        <w:rPr>
          <w:b w:val="0"/>
          <w:szCs w:val="24"/>
          <w:u w:val="single"/>
        </w:rPr>
      </w:pPr>
    </w:p>
    <w:p w14:paraId="2412D14B" w14:textId="00D0AF7B" w:rsidR="00FE02C2" w:rsidRPr="00BA2BCF" w:rsidRDefault="00F83B6F" w:rsidP="000337CB">
      <w:pPr>
        <w:pStyle w:val="BodyText"/>
        <w:rPr>
          <w:b w:val="0"/>
        </w:rPr>
      </w:pPr>
      <w:r w:rsidRPr="00BA2BCF">
        <w:rPr>
          <w:b w:val="0"/>
        </w:rPr>
        <w:t xml:space="preserve">Section 3 provides that the </w:t>
      </w:r>
      <w:r w:rsidR="00BA3193" w:rsidRPr="00BA2BCF">
        <w:rPr>
          <w:b w:val="0"/>
        </w:rPr>
        <w:t>Amendment</w:t>
      </w:r>
      <w:r w:rsidR="00271EEA" w:rsidRPr="00BA2BCF">
        <w:rPr>
          <w:b w:val="0"/>
        </w:rPr>
        <w:t xml:space="preserve"> </w:t>
      </w:r>
      <w:r w:rsidR="008B2094" w:rsidRPr="00BA2BCF">
        <w:rPr>
          <w:b w:val="0"/>
          <w:szCs w:val="24"/>
        </w:rPr>
        <w:t xml:space="preserve">Determination </w:t>
      </w:r>
      <w:r w:rsidR="00E5798A" w:rsidRPr="00BA2BCF">
        <w:rPr>
          <w:b w:val="0"/>
        </w:rPr>
        <w:t xml:space="preserve">is made under </w:t>
      </w:r>
      <w:r w:rsidR="00367440" w:rsidRPr="00BA2BCF">
        <w:rPr>
          <w:b w:val="0"/>
        </w:rPr>
        <w:t xml:space="preserve">subsection </w:t>
      </w:r>
      <w:proofErr w:type="gramStart"/>
      <w:r w:rsidR="00E5798A" w:rsidRPr="00BA2BCF">
        <w:rPr>
          <w:b w:val="0"/>
        </w:rPr>
        <w:t>3C(</w:t>
      </w:r>
      <w:proofErr w:type="gramEnd"/>
      <w:r w:rsidR="00E5798A" w:rsidRPr="00BA2BCF">
        <w:rPr>
          <w:b w:val="0"/>
        </w:rPr>
        <w:t xml:space="preserve">1) of the </w:t>
      </w:r>
      <w:r w:rsidR="00025F76" w:rsidRPr="00BA2BCF">
        <w:rPr>
          <w:b w:val="0"/>
        </w:rPr>
        <w:t>Act</w:t>
      </w:r>
      <w:r w:rsidR="00E5798A" w:rsidRPr="00BA2BCF">
        <w:rPr>
          <w:b w:val="0"/>
        </w:rPr>
        <w:t>.</w:t>
      </w:r>
    </w:p>
    <w:p w14:paraId="0DBF1241" w14:textId="77777777" w:rsidR="00E70355" w:rsidRPr="00BA2BCF" w:rsidRDefault="00E70355" w:rsidP="000337CB">
      <w:pPr>
        <w:pStyle w:val="BodyText"/>
        <w:rPr>
          <w:b w:val="0"/>
        </w:rPr>
      </w:pPr>
    </w:p>
    <w:p w14:paraId="20CBF84A" w14:textId="77777777" w:rsidR="00C63FDC" w:rsidRPr="00BA2BCF" w:rsidRDefault="00C63FDC" w:rsidP="00C63FDC">
      <w:pPr>
        <w:pStyle w:val="BodyText"/>
        <w:rPr>
          <w:b w:val="0"/>
          <w:szCs w:val="24"/>
          <w:u w:val="single"/>
        </w:rPr>
      </w:pPr>
      <w:r w:rsidRPr="00BA2BCF">
        <w:rPr>
          <w:b w:val="0"/>
          <w:szCs w:val="24"/>
          <w:u w:val="single"/>
        </w:rPr>
        <w:t>Section 4 – Schedules</w:t>
      </w:r>
    </w:p>
    <w:p w14:paraId="4C010161" w14:textId="77777777" w:rsidR="00C63FDC" w:rsidRPr="00BA2BCF" w:rsidRDefault="00C63FDC" w:rsidP="00C63FDC">
      <w:pPr>
        <w:pStyle w:val="BodyText"/>
        <w:rPr>
          <w:b w:val="0"/>
          <w:szCs w:val="24"/>
          <w:u w:val="single"/>
        </w:rPr>
      </w:pPr>
    </w:p>
    <w:p w14:paraId="5D9EBF8D" w14:textId="6494D9AD" w:rsidR="00C63FDC" w:rsidRPr="00BA2BCF" w:rsidRDefault="00C63FDC" w:rsidP="00C63FDC">
      <w:pPr>
        <w:pStyle w:val="BodyText"/>
        <w:rPr>
          <w:b w:val="0"/>
          <w:szCs w:val="24"/>
        </w:rPr>
      </w:pPr>
      <w:r w:rsidRPr="00BA2BCF">
        <w:rPr>
          <w:b w:val="0"/>
          <w:szCs w:val="24"/>
        </w:rPr>
        <w:t xml:space="preserve">Section 4 provides that each instrument that is specified in a Schedule to this </w:t>
      </w:r>
      <w:r w:rsidR="00BA3193" w:rsidRPr="00BA2BCF">
        <w:rPr>
          <w:b w:val="0"/>
          <w:szCs w:val="24"/>
        </w:rPr>
        <w:t>Amendment</w:t>
      </w:r>
      <w:r w:rsidR="00271EEA" w:rsidRPr="00BA2BCF">
        <w:rPr>
          <w:b w:val="0"/>
          <w:szCs w:val="24"/>
        </w:rPr>
        <w:t xml:space="preserve"> </w:t>
      </w:r>
      <w:r w:rsidRPr="00BA2BCF">
        <w:rPr>
          <w:b w:val="0"/>
          <w:szCs w:val="24"/>
        </w:rPr>
        <w:t xml:space="preserve">Determination is amended or repealed as set out in the applicable items in the Schedule concerned, and any other item in a Schedule to this </w:t>
      </w:r>
      <w:r w:rsidR="00BA3193" w:rsidRPr="00BA2BCF">
        <w:rPr>
          <w:b w:val="0"/>
          <w:szCs w:val="24"/>
        </w:rPr>
        <w:t>Amendment</w:t>
      </w:r>
      <w:r w:rsidR="00271EEA" w:rsidRPr="00BA2BCF">
        <w:rPr>
          <w:b w:val="0"/>
          <w:szCs w:val="24"/>
        </w:rPr>
        <w:t xml:space="preserve"> </w:t>
      </w:r>
      <w:r w:rsidRPr="00BA2BCF">
        <w:rPr>
          <w:b w:val="0"/>
          <w:szCs w:val="24"/>
        </w:rPr>
        <w:t>Determination has effect according to its terms.</w:t>
      </w:r>
    </w:p>
    <w:p w14:paraId="17D2CF69" w14:textId="77777777" w:rsidR="007E0017" w:rsidRPr="00BA2BCF" w:rsidRDefault="007E0017" w:rsidP="00404F11">
      <w:pPr>
        <w:pStyle w:val="BodyText"/>
        <w:rPr>
          <w:b w:val="0"/>
          <w:szCs w:val="24"/>
        </w:rPr>
      </w:pPr>
    </w:p>
    <w:p w14:paraId="768D340E" w14:textId="37816B61" w:rsidR="00C63FDC" w:rsidRPr="00BA2BCF" w:rsidRDefault="00271EEA" w:rsidP="00C63FDC">
      <w:pPr>
        <w:pStyle w:val="Header"/>
        <w:tabs>
          <w:tab w:val="num" w:pos="1080"/>
        </w:tabs>
        <w:rPr>
          <w:szCs w:val="24"/>
          <w:u w:val="single"/>
        </w:rPr>
      </w:pPr>
      <w:r w:rsidRPr="00BA2BCF">
        <w:rPr>
          <w:szCs w:val="24"/>
          <w:u w:val="single"/>
        </w:rPr>
        <w:t>Schedule</w:t>
      </w:r>
      <w:r w:rsidR="00BF46F2" w:rsidRPr="00BA2BCF">
        <w:rPr>
          <w:szCs w:val="24"/>
          <w:u w:val="single"/>
        </w:rPr>
        <w:t xml:space="preserve"> 1</w:t>
      </w:r>
      <w:r w:rsidR="006E4051" w:rsidRPr="00BA2BCF">
        <w:rPr>
          <w:szCs w:val="24"/>
          <w:u w:val="single"/>
        </w:rPr>
        <w:t xml:space="preserve"> - Amendments</w:t>
      </w:r>
    </w:p>
    <w:p w14:paraId="2212E577" w14:textId="77777777" w:rsidR="00C63FDC" w:rsidRPr="00BA2BCF" w:rsidRDefault="00C63FDC" w:rsidP="00C63FDC">
      <w:pPr>
        <w:pStyle w:val="Header"/>
        <w:tabs>
          <w:tab w:val="num" w:pos="1080"/>
        </w:tabs>
        <w:rPr>
          <w:szCs w:val="24"/>
          <w:u w:val="single"/>
        </w:rPr>
      </w:pPr>
    </w:p>
    <w:p w14:paraId="37940206" w14:textId="0397332A" w:rsidR="00E32FEE" w:rsidRPr="00BA2BCF" w:rsidRDefault="00C97EEC" w:rsidP="00C63FDC">
      <w:pPr>
        <w:pStyle w:val="Header"/>
        <w:tabs>
          <w:tab w:val="num" w:pos="1080"/>
        </w:tabs>
      </w:pPr>
      <w:r w:rsidRPr="00BA2BCF">
        <w:rPr>
          <w:i/>
        </w:rPr>
        <w:t>Health Insurance (Section 3C General Medical Services - COVID-19 Telehealth and Telephone Attendances) Determination 2020</w:t>
      </w:r>
      <w:r w:rsidR="00E32FEE" w:rsidRPr="00BA2BCF">
        <w:rPr>
          <w:i/>
        </w:rPr>
        <w:t xml:space="preserve"> </w:t>
      </w:r>
      <w:r w:rsidR="00364EB6" w:rsidRPr="00BA2BCF">
        <w:t xml:space="preserve">(the </w:t>
      </w:r>
      <w:r w:rsidR="00BF46F2" w:rsidRPr="00BA2BCF">
        <w:t xml:space="preserve">Principal </w:t>
      </w:r>
      <w:r w:rsidR="00E32FEE" w:rsidRPr="00BA2BCF">
        <w:t>Determination).</w:t>
      </w:r>
    </w:p>
    <w:p w14:paraId="5A5E2B9D" w14:textId="77777777" w:rsidR="00E32FEE" w:rsidRPr="00BA2BCF" w:rsidRDefault="00E32FEE" w:rsidP="00C63FDC">
      <w:pPr>
        <w:pStyle w:val="Header"/>
        <w:tabs>
          <w:tab w:val="num" w:pos="1080"/>
        </w:tabs>
      </w:pPr>
    </w:p>
    <w:p w14:paraId="6F6AD083" w14:textId="4202FC39" w:rsidR="00242C6E" w:rsidRPr="00BA2BCF" w:rsidRDefault="00242C6E" w:rsidP="00C63FDC">
      <w:pPr>
        <w:pStyle w:val="Header"/>
        <w:tabs>
          <w:tab w:val="num" w:pos="1080"/>
        </w:tabs>
        <w:rPr>
          <w:b/>
        </w:rPr>
      </w:pPr>
      <w:r w:rsidRPr="00BA2BCF">
        <w:rPr>
          <w:b/>
        </w:rPr>
        <w:t>Item 1</w:t>
      </w:r>
    </w:p>
    <w:p w14:paraId="69BC1B4C" w14:textId="0499C46F" w:rsidR="00E32FEE" w:rsidRPr="00BA2BCF" w:rsidRDefault="00E32FEE" w:rsidP="00C63FDC">
      <w:pPr>
        <w:pStyle w:val="Header"/>
        <w:tabs>
          <w:tab w:val="num" w:pos="1080"/>
        </w:tabs>
      </w:pPr>
      <w:r w:rsidRPr="00BA2BCF">
        <w:t xml:space="preserve">Item 1 amends the note in section 5 to </w:t>
      </w:r>
      <w:r w:rsidR="00025F76" w:rsidRPr="00BA2BCF">
        <w:t xml:space="preserve">include a </w:t>
      </w:r>
      <w:r w:rsidRPr="00BA2BCF">
        <w:t>refer</w:t>
      </w:r>
      <w:r w:rsidR="00025F76" w:rsidRPr="00BA2BCF">
        <w:t>ence</w:t>
      </w:r>
      <w:r w:rsidRPr="00BA2BCF">
        <w:t xml:space="preserve"> to the definition of ‘consultant physician’ in the </w:t>
      </w:r>
      <w:r w:rsidR="00025F76" w:rsidRPr="00BA2BCF">
        <w:t>Act</w:t>
      </w:r>
      <w:r w:rsidRPr="00BA2BCF">
        <w:t xml:space="preserve">. </w:t>
      </w:r>
    </w:p>
    <w:p w14:paraId="61C6C02A" w14:textId="77777777" w:rsidR="00025F76" w:rsidRPr="00BA2BCF" w:rsidRDefault="00025F76" w:rsidP="00C63FDC">
      <w:pPr>
        <w:pStyle w:val="Header"/>
        <w:tabs>
          <w:tab w:val="num" w:pos="1080"/>
        </w:tabs>
      </w:pPr>
    </w:p>
    <w:p w14:paraId="20C7040B" w14:textId="2EC3A0D5" w:rsidR="00025F76" w:rsidRPr="00BA2BCF" w:rsidRDefault="00025F76" w:rsidP="00C63FDC">
      <w:pPr>
        <w:pStyle w:val="Header"/>
        <w:tabs>
          <w:tab w:val="num" w:pos="1080"/>
        </w:tabs>
        <w:rPr>
          <w:b/>
        </w:rPr>
      </w:pPr>
      <w:r w:rsidRPr="00BA2BCF">
        <w:rPr>
          <w:b/>
        </w:rPr>
        <w:t xml:space="preserve">Item 2 </w:t>
      </w:r>
    </w:p>
    <w:p w14:paraId="21FDDA81" w14:textId="7AB84727" w:rsidR="00025F76" w:rsidRPr="00BA2BCF" w:rsidRDefault="00025F76" w:rsidP="00C63FDC">
      <w:pPr>
        <w:pStyle w:val="Header"/>
        <w:tabs>
          <w:tab w:val="num" w:pos="1080"/>
        </w:tabs>
      </w:pPr>
      <w:r w:rsidRPr="00BA2BCF">
        <w:t xml:space="preserve">Item 2 amends the definition of ‘psychiatrist assessment and management plan’ </w:t>
      </w:r>
      <w:r w:rsidR="006571DA" w:rsidRPr="00BA2BCF">
        <w:t xml:space="preserve">in subsection 5(1) </w:t>
      </w:r>
      <w:r w:rsidRPr="00BA2BCF">
        <w:t>to include a plan made under item 92435 or 92475. These items are the phone and telehealth equivalents of item 291.</w:t>
      </w:r>
    </w:p>
    <w:p w14:paraId="3C8C5574" w14:textId="77777777" w:rsidR="00E32FEE" w:rsidRPr="00BA2BCF" w:rsidRDefault="00E32FEE" w:rsidP="00C63FDC">
      <w:pPr>
        <w:pStyle w:val="Header"/>
        <w:tabs>
          <w:tab w:val="num" w:pos="1080"/>
        </w:tabs>
      </w:pPr>
    </w:p>
    <w:p w14:paraId="5633B0B4" w14:textId="330CCC7F" w:rsidR="00025F76" w:rsidRPr="00BA2BCF" w:rsidRDefault="00025F76" w:rsidP="00C63FDC">
      <w:pPr>
        <w:pStyle w:val="Header"/>
        <w:tabs>
          <w:tab w:val="num" w:pos="1080"/>
        </w:tabs>
        <w:rPr>
          <w:b/>
        </w:rPr>
      </w:pPr>
      <w:r w:rsidRPr="00BA2BCF">
        <w:rPr>
          <w:b/>
        </w:rPr>
        <w:t>Item 3</w:t>
      </w:r>
    </w:p>
    <w:p w14:paraId="6EB712B6" w14:textId="51067F8D" w:rsidR="00E32FEE" w:rsidRPr="00BA2BCF" w:rsidRDefault="00025F76" w:rsidP="00E32FE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A2BCF">
        <w:t>Item 3</w:t>
      </w:r>
      <w:r w:rsidR="00E32FEE" w:rsidRPr="00BA2BCF">
        <w:t xml:space="preserve"> amends subsection 5(1) to incorporate the definition of ‘single course of treatment’ in clause 1.1.5 of the </w:t>
      </w:r>
      <w:r w:rsidR="00E32FEE" w:rsidRPr="00BA2BCF">
        <w:rPr>
          <w:i/>
        </w:rPr>
        <w:t xml:space="preserve">Health Insurance (General Medical Services Table) Regulations 2019 </w:t>
      </w:r>
      <w:r w:rsidR="00E32FEE" w:rsidRPr="00BA2BCF">
        <w:t xml:space="preserve">(the general medical services </w:t>
      </w:r>
      <w:r w:rsidR="008E0C10" w:rsidRPr="00BA2BCF">
        <w:t xml:space="preserve">table </w:t>
      </w:r>
      <w:r w:rsidR="00E32FEE" w:rsidRPr="00BA2BCF">
        <w:t>regulations)</w:t>
      </w:r>
      <w:r w:rsidR="00E32FEE" w:rsidRPr="00BA2BCF">
        <w:rPr>
          <w:i/>
        </w:rPr>
        <w:t xml:space="preserve">. </w:t>
      </w:r>
      <w:r w:rsidR="00E32FEE" w:rsidRPr="00BA2BCF">
        <w:t xml:space="preserve">This definition is relevant to new items 92423 and 92432. </w:t>
      </w:r>
    </w:p>
    <w:p w14:paraId="1F3DB49D" w14:textId="77777777" w:rsidR="00850FC3" w:rsidRPr="00BA2BCF" w:rsidRDefault="00850FC3" w:rsidP="00712171">
      <w:pPr>
        <w:pStyle w:val="Header"/>
        <w:tabs>
          <w:tab w:val="num" w:pos="1080"/>
        </w:tabs>
        <w:rPr>
          <w:b/>
        </w:rPr>
      </w:pPr>
    </w:p>
    <w:p w14:paraId="1D5DCE0D" w14:textId="10AF6044" w:rsidR="00E32FEE" w:rsidRPr="00BA2BCF" w:rsidRDefault="00025F76" w:rsidP="00112CF9">
      <w:pPr>
        <w:pStyle w:val="Header"/>
        <w:keepNext/>
        <w:tabs>
          <w:tab w:val="num" w:pos="1080"/>
        </w:tabs>
        <w:rPr>
          <w:b/>
        </w:rPr>
      </w:pPr>
      <w:r w:rsidRPr="00BA2BCF">
        <w:rPr>
          <w:b/>
        </w:rPr>
        <w:lastRenderedPageBreak/>
        <w:t>Item 4</w:t>
      </w:r>
    </w:p>
    <w:p w14:paraId="0BC7D253" w14:textId="3B28F55F" w:rsidR="00025F76" w:rsidRPr="00BA2BCF" w:rsidRDefault="00025F76" w:rsidP="00112CF9">
      <w:pPr>
        <w:keepNext/>
        <w:tabs>
          <w:tab w:val="left" w:pos="0"/>
          <w:tab w:val="left" w:pos="1008"/>
          <w:tab w:val="left" w:pos="2160"/>
          <w:tab w:val="left" w:pos="3312"/>
          <w:tab w:val="left" w:pos="4464"/>
        </w:tabs>
        <w:spacing w:line="279" w:lineRule="exact"/>
      </w:pPr>
      <w:r w:rsidRPr="00BA2BCF">
        <w:t>Subclause 1.1.10(2) provides that a service for an item in Subgroup 17 or 18 of Group A40 must not be provided to a patient if a service under Subgroup 17 or 18 of Group A40 or items 135, 137, 139 or 289 has previously been provided to the patient. Item 4 amends the subclause to include references to the</w:t>
      </w:r>
      <w:r w:rsidR="006571DA" w:rsidRPr="00BA2BCF">
        <w:t xml:space="preserve"> new</w:t>
      </w:r>
      <w:r w:rsidRPr="00BA2BCF">
        <w:t xml:space="preserve"> phone and telehealth equivalents of </w:t>
      </w:r>
      <w:r w:rsidR="006571DA" w:rsidRPr="00BA2BCF">
        <w:t>item 289.</w:t>
      </w:r>
    </w:p>
    <w:p w14:paraId="44485340" w14:textId="3550D113" w:rsidR="00C97EEC" w:rsidRPr="00BA2BCF" w:rsidRDefault="00C97EEC" w:rsidP="00C63FDC">
      <w:pPr>
        <w:pStyle w:val="Header"/>
        <w:tabs>
          <w:tab w:val="num" w:pos="1080"/>
        </w:tabs>
      </w:pPr>
    </w:p>
    <w:p w14:paraId="627D6494" w14:textId="438CEEBB" w:rsidR="00025F76" w:rsidRPr="00BA2BCF" w:rsidRDefault="00025F76" w:rsidP="003F68B7">
      <w:pPr>
        <w:pStyle w:val="Header"/>
        <w:tabs>
          <w:tab w:val="num" w:pos="1080"/>
        </w:tabs>
        <w:rPr>
          <w:b/>
        </w:rPr>
      </w:pPr>
      <w:r w:rsidRPr="00BA2BCF">
        <w:rPr>
          <w:b/>
        </w:rPr>
        <w:t xml:space="preserve">Item </w:t>
      </w:r>
      <w:r w:rsidR="006571DA" w:rsidRPr="00BA2BCF">
        <w:rPr>
          <w:b/>
        </w:rPr>
        <w:t>5</w:t>
      </w:r>
    </w:p>
    <w:p w14:paraId="7397F0DD" w14:textId="0A8E9D9B" w:rsidR="006571DA" w:rsidRPr="00BA2BCF" w:rsidRDefault="006571DA" w:rsidP="003F68B7">
      <w:pPr>
        <w:pStyle w:val="Header"/>
        <w:tabs>
          <w:tab w:val="num" w:pos="1080"/>
        </w:tabs>
      </w:pPr>
      <w:r w:rsidRPr="00BA2BCF">
        <w:t>Item 5 amends paragraph (7</w:t>
      </w:r>
      <w:proofErr w:type="gramStart"/>
      <w:r w:rsidRPr="00BA2BCF">
        <w:t>)(</w:t>
      </w:r>
      <w:proofErr w:type="gramEnd"/>
      <w:r w:rsidRPr="00BA2BCF">
        <w:t xml:space="preserve">b) to remove the reference to a plan being made under item 291 of the general medical services table. This limitation is provided for in the definition of ‘psychiatrist assessment and management plan’ in subsection 5(1). </w:t>
      </w:r>
    </w:p>
    <w:p w14:paraId="270056E2" w14:textId="77777777" w:rsidR="006571DA" w:rsidRPr="00BA2BCF" w:rsidRDefault="006571DA" w:rsidP="003F68B7">
      <w:pPr>
        <w:pStyle w:val="Header"/>
        <w:tabs>
          <w:tab w:val="num" w:pos="1080"/>
        </w:tabs>
      </w:pPr>
    </w:p>
    <w:p w14:paraId="747E589F" w14:textId="0D0DFC08" w:rsidR="006571DA" w:rsidRPr="00BA2BCF" w:rsidRDefault="00025F76" w:rsidP="00025F76">
      <w:pPr>
        <w:pStyle w:val="Header"/>
        <w:tabs>
          <w:tab w:val="num" w:pos="1080"/>
        </w:tabs>
        <w:rPr>
          <w:b/>
        </w:rPr>
      </w:pPr>
      <w:r w:rsidRPr="00BA2BCF">
        <w:rPr>
          <w:b/>
        </w:rPr>
        <w:t xml:space="preserve">Item </w:t>
      </w:r>
      <w:r w:rsidR="006571DA" w:rsidRPr="00BA2BCF">
        <w:rPr>
          <w:b/>
        </w:rPr>
        <w:t>6</w:t>
      </w:r>
    </w:p>
    <w:p w14:paraId="444F891C" w14:textId="16D71A53" w:rsidR="006571DA" w:rsidRPr="00BA2BCF" w:rsidRDefault="006571DA" w:rsidP="00025F76">
      <w:pPr>
        <w:pStyle w:val="Header"/>
        <w:tabs>
          <w:tab w:val="num" w:pos="1080"/>
        </w:tabs>
      </w:pPr>
      <w:r w:rsidRPr="00BA2BCF">
        <w:t xml:space="preserve">Item 6 amends items 92114, 92120, 92126 and 92132 of the table under subclause 1.1.12(2) to replace references to a ‘Psychiatrist Assessment and Management Plan’ with references to a ‘psychiatrist assessment and management plan’. This is consistent with the use of lowercase letters in other references to the term in the instrument. </w:t>
      </w:r>
    </w:p>
    <w:p w14:paraId="5E8A2B50" w14:textId="77777777" w:rsidR="00E32FEE" w:rsidRPr="00BA2BCF" w:rsidRDefault="00E32FEE" w:rsidP="003F68B7">
      <w:pPr>
        <w:pStyle w:val="Header"/>
        <w:tabs>
          <w:tab w:val="num" w:pos="1080"/>
        </w:tabs>
      </w:pPr>
    </w:p>
    <w:p w14:paraId="5519A177" w14:textId="6C8A74DA" w:rsidR="006571DA" w:rsidRPr="00BA2BCF" w:rsidRDefault="00025F76" w:rsidP="00025F76">
      <w:pPr>
        <w:pStyle w:val="Header"/>
        <w:tabs>
          <w:tab w:val="num" w:pos="1080"/>
        </w:tabs>
        <w:rPr>
          <w:b/>
        </w:rPr>
      </w:pPr>
      <w:r w:rsidRPr="00BA2BCF">
        <w:rPr>
          <w:b/>
        </w:rPr>
        <w:t xml:space="preserve">Item </w:t>
      </w:r>
      <w:r w:rsidR="006571DA" w:rsidRPr="00BA2BCF">
        <w:rPr>
          <w:b/>
        </w:rPr>
        <w:t>7</w:t>
      </w:r>
    </w:p>
    <w:p w14:paraId="655F6FC8" w14:textId="242CC76D" w:rsidR="006571DA" w:rsidRPr="00BA2BCF" w:rsidRDefault="006571DA" w:rsidP="00025F76">
      <w:pPr>
        <w:pStyle w:val="Header"/>
        <w:tabs>
          <w:tab w:val="num" w:pos="1080"/>
        </w:tabs>
      </w:pPr>
      <w:r w:rsidRPr="00BA2BCF">
        <w:t xml:space="preserve">Item 7 repeals subclause (1) of Division 2.1. </w:t>
      </w:r>
      <w:r w:rsidR="00CC0DB5" w:rsidRPr="00BA2BCF">
        <w:t xml:space="preserve">Subclause (1) applied the definition of ‘single course of treatment’ in clause 1.1.5 of the general medical services </w:t>
      </w:r>
      <w:r w:rsidR="00130A25" w:rsidRPr="00BA2BCF">
        <w:t>table</w:t>
      </w:r>
      <w:r w:rsidR="00CC0DB5" w:rsidRPr="00BA2BCF">
        <w:t xml:space="preserve"> to items 91826 and 128932 to 91836. Item 3 inserts a definition of this term in subsection 5(1), making subclause (1) redundant.  </w:t>
      </w:r>
    </w:p>
    <w:p w14:paraId="61F74002" w14:textId="77777777" w:rsidR="006571DA" w:rsidRPr="00BA2BCF" w:rsidRDefault="006571DA" w:rsidP="00025F76">
      <w:pPr>
        <w:pStyle w:val="Header"/>
        <w:tabs>
          <w:tab w:val="num" w:pos="1080"/>
        </w:tabs>
        <w:rPr>
          <w:u w:val="single"/>
        </w:rPr>
      </w:pPr>
    </w:p>
    <w:p w14:paraId="5D00C332" w14:textId="16B1C702" w:rsidR="00CC0DB5" w:rsidRPr="00BA2BCF" w:rsidRDefault="00025F76" w:rsidP="00025F76">
      <w:pPr>
        <w:pStyle w:val="Header"/>
        <w:tabs>
          <w:tab w:val="num" w:pos="1080"/>
        </w:tabs>
        <w:rPr>
          <w:b/>
        </w:rPr>
      </w:pPr>
      <w:r w:rsidRPr="00BA2BCF">
        <w:rPr>
          <w:b/>
        </w:rPr>
        <w:t xml:space="preserve">Item </w:t>
      </w:r>
      <w:r w:rsidR="00CC0DB5" w:rsidRPr="00BA2BCF">
        <w:rPr>
          <w:b/>
        </w:rPr>
        <w:t>8</w:t>
      </w:r>
    </w:p>
    <w:p w14:paraId="0D8077F4" w14:textId="7AE44815" w:rsidR="00CC0DB5" w:rsidRPr="00BA2BCF" w:rsidRDefault="00CC0DB5" w:rsidP="00025F76">
      <w:pPr>
        <w:pStyle w:val="Header"/>
        <w:tabs>
          <w:tab w:val="num" w:pos="1080"/>
        </w:tabs>
      </w:pPr>
      <w:r w:rsidRPr="00BA2BCF">
        <w:t xml:space="preserve">Item 8 includes a reference to new Subgroup 32 of Group A40 in subclause 2.1.1(1). Subclause 2.1.1(1) provides that items in Subgroup 7, 8, 9, 18, 24, 26 or 32, </w:t>
      </w:r>
      <w:r w:rsidRPr="00BA2BCF">
        <w:rPr>
          <w:color w:val="000000"/>
          <w:shd w:val="clear" w:color="auto" w:fill="FFFFFF"/>
        </w:rPr>
        <w:t xml:space="preserve">which require an audio link only, do not apply if the rendering practitioner and the patient have the capacity to undertake an attendance by telehealth (which requires an audio and visual link). </w:t>
      </w:r>
    </w:p>
    <w:p w14:paraId="1486947A" w14:textId="77777777" w:rsidR="00CC0DB5" w:rsidRPr="00BA2BCF" w:rsidRDefault="00CC0DB5" w:rsidP="00025F76">
      <w:pPr>
        <w:pStyle w:val="Header"/>
        <w:tabs>
          <w:tab w:val="num" w:pos="1080"/>
        </w:tabs>
        <w:rPr>
          <w:u w:val="single"/>
        </w:rPr>
      </w:pPr>
    </w:p>
    <w:p w14:paraId="22AE4A29" w14:textId="3D2C5C49" w:rsidR="00CC0DB5" w:rsidRPr="00BA2BCF" w:rsidRDefault="00025F76" w:rsidP="00025F76">
      <w:pPr>
        <w:pStyle w:val="Header"/>
        <w:tabs>
          <w:tab w:val="num" w:pos="1080"/>
        </w:tabs>
        <w:rPr>
          <w:b/>
        </w:rPr>
      </w:pPr>
      <w:r w:rsidRPr="00BA2BCF">
        <w:rPr>
          <w:b/>
        </w:rPr>
        <w:t xml:space="preserve">Item </w:t>
      </w:r>
      <w:r w:rsidR="00CC0DB5" w:rsidRPr="00BA2BCF">
        <w:rPr>
          <w:b/>
        </w:rPr>
        <w:t>9</w:t>
      </w:r>
    </w:p>
    <w:p w14:paraId="5F9C6536" w14:textId="20B0ACF3" w:rsidR="00CC0DB5" w:rsidRPr="00BA2BCF" w:rsidRDefault="00CC0DB5" w:rsidP="00025F76">
      <w:pPr>
        <w:pStyle w:val="Header"/>
        <w:tabs>
          <w:tab w:val="num" w:pos="1080"/>
        </w:tabs>
      </w:pPr>
      <w:r w:rsidRPr="00BA2BCF">
        <w:t xml:space="preserve">Item 9 inserts new subclause (2) in clause 2.1.1. Subclause (2) applies the definitions of ‘eligible allied health provider’ and ‘risk assessment’ in clause 2.11.5 of the general medical services </w:t>
      </w:r>
      <w:r w:rsidR="00130A25" w:rsidRPr="00BA2BCF">
        <w:t>table</w:t>
      </w:r>
      <w:r w:rsidR="00FD6F9A" w:rsidRPr="00BA2BCF">
        <w:t xml:space="preserve"> to new items 92434 and 92474.</w:t>
      </w:r>
    </w:p>
    <w:p w14:paraId="0DE3A29C" w14:textId="77777777" w:rsidR="00CC0DB5" w:rsidRPr="00BA2BCF" w:rsidRDefault="00CC0DB5" w:rsidP="00025F76">
      <w:pPr>
        <w:pStyle w:val="Header"/>
        <w:tabs>
          <w:tab w:val="num" w:pos="1080"/>
        </w:tabs>
        <w:rPr>
          <w:u w:val="single"/>
        </w:rPr>
      </w:pPr>
    </w:p>
    <w:p w14:paraId="41018730" w14:textId="69DD3E13" w:rsidR="00FD6F9A" w:rsidRPr="00BA2BCF" w:rsidRDefault="00025F76" w:rsidP="00025F76">
      <w:pPr>
        <w:pStyle w:val="Header"/>
        <w:tabs>
          <w:tab w:val="num" w:pos="1080"/>
        </w:tabs>
        <w:rPr>
          <w:b/>
        </w:rPr>
      </w:pPr>
      <w:r w:rsidRPr="00BA2BCF">
        <w:rPr>
          <w:b/>
        </w:rPr>
        <w:t>Item</w:t>
      </w:r>
      <w:r w:rsidR="00FD6F9A" w:rsidRPr="00BA2BCF">
        <w:rPr>
          <w:b/>
        </w:rPr>
        <w:t>s</w:t>
      </w:r>
      <w:r w:rsidRPr="00BA2BCF">
        <w:rPr>
          <w:b/>
        </w:rPr>
        <w:t xml:space="preserve"> </w:t>
      </w:r>
      <w:r w:rsidR="00FD6F9A" w:rsidRPr="00BA2BCF">
        <w:rPr>
          <w:b/>
        </w:rPr>
        <w:t>10 to 14</w:t>
      </w:r>
    </w:p>
    <w:p w14:paraId="0E6DAA0A" w14:textId="3D977678" w:rsidR="00FD6F9A" w:rsidRPr="00BA2BCF" w:rsidRDefault="00FD6F9A" w:rsidP="00025F76">
      <w:pPr>
        <w:pStyle w:val="Header"/>
        <w:tabs>
          <w:tab w:val="num" w:pos="1080"/>
        </w:tabs>
      </w:pPr>
      <w:r w:rsidRPr="00BA2BCF">
        <w:t xml:space="preserve">Items 10 to 14 insert 22 new items in the table </w:t>
      </w:r>
      <w:r w:rsidR="00850FC3" w:rsidRPr="00BA2BCF">
        <w:t>in</w:t>
      </w:r>
      <w:r w:rsidRPr="00BA2BCF">
        <w:t xml:space="preserve"> Schedule 2.</w:t>
      </w:r>
      <w:r w:rsidR="003E4241" w:rsidRPr="00BA2BCF">
        <w:t xml:space="preserve"> </w:t>
      </w:r>
    </w:p>
    <w:p w14:paraId="13F576E0" w14:textId="77777777" w:rsidR="00FD6F9A" w:rsidRPr="00BA2BCF" w:rsidRDefault="00FD6F9A" w:rsidP="00025F76">
      <w:pPr>
        <w:pStyle w:val="Header"/>
        <w:tabs>
          <w:tab w:val="num" w:pos="1080"/>
        </w:tabs>
      </w:pPr>
    </w:p>
    <w:p w14:paraId="4ADE2D44" w14:textId="67AD5B81" w:rsidR="00FD6F9A" w:rsidRPr="00BA2BCF" w:rsidRDefault="00FD6F9A" w:rsidP="00025F76">
      <w:pPr>
        <w:pStyle w:val="Header"/>
        <w:tabs>
          <w:tab w:val="num" w:pos="1080"/>
        </w:tabs>
      </w:pPr>
      <w:r w:rsidRPr="00BA2BCF">
        <w:t>Item 10 inserts the telehealth equivalent items of item 132 and 133 in Subgroup 5</w:t>
      </w:r>
      <w:r w:rsidR="003E4241" w:rsidRPr="00BA2BCF">
        <w:t xml:space="preserve"> of Group A40</w:t>
      </w:r>
      <w:r w:rsidRPr="00BA2BCF">
        <w:t xml:space="preserve"> (items 92422 and 92423).</w:t>
      </w:r>
      <w:r w:rsidR="00850FC3" w:rsidRPr="00BA2BCF">
        <w:t xml:space="preserve"> Telehealth services require an audio and visual link.</w:t>
      </w:r>
      <w:r w:rsidRPr="00BA2BCF">
        <w:t xml:space="preserve"> Item 12 inserts the equivalent phone services in Subgroup </w:t>
      </w:r>
      <w:r w:rsidR="003E4241" w:rsidRPr="00BA2BCF">
        <w:t>8 of Group A40</w:t>
      </w:r>
      <w:r w:rsidRPr="00BA2BCF">
        <w:t xml:space="preserve"> (items 92431 and 92432). </w:t>
      </w:r>
      <w:r w:rsidR="00850FC3" w:rsidRPr="00BA2BCF">
        <w:t>Phone services require an audio link only.</w:t>
      </w:r>
    </w:p>
    <w:p w14:paraId="1C5AD815" w14:textId="77777777" w:rsidR="00FD6F9A" w:rsidRPr="00BA2BCF" w:rsidRDefault="00FD6F9A" w:rsidP="00025F76">
      <w:pPr>
        <w:pStyle w:val="Header"/>
        <w:tabs>
          <w:tab w:val="num" w:pos="1080"/>
        </w:tabs>
      </w:pPr>
    </w:p>
    <w:p w14:paraId="1BF06FA4" w14:textId="4E72AE8D" w:rsidR="00FD6F9A" w:rsidRPr="00BA2BCF" w:rsidRDefault="00FD6F9A" w:rsidP="00025F76">
      <w:pPr>
        <w:pStyle w:val="Header"/>
        <w:tabs>
          <w:tab w:val="num" w:pos="1080"/>
        </w:tabs>
      </w:pPr>
      <w:r w:rsidRPr="00BA2BCF">
        <w:t xml:space="preserve">Item 11 inserts the telehealth equivalent items of item 289, 291, 293, 296, 348, 350 and 352 in Subgroup </w:t>
      </w:r>
      <w:r w:rsidR="003E4241" w:rsidRPr="00BA2BCF">
        <w:t>6 of Group A40</w:t>
      </w:r>
      <w:r w:rsidRPr="00BA2BCF">
        <w:t xml:space="preserve"> (items 92434, 92435, 92436, 92437, 92458, 92458, 92459 and 92460). Item 13 inserts the equivalent phone services in Subgroup </w:t>
      </w:r>
      <w:r w:rsidR="003E4241" w:rsidRPr="00BA2BCF">
        <w:t>9 of Group A40</w:t>
      </w:r>
      <w:r w:rsidRPr="00BA2BCF">
        <w:t xml:space="preserve"> (items 92474, 92475, 92476, 92477, 92498, 92499 and 92500). </w:t>
      </w:r>
    </w:p>
    <w:p w14:paraId="472ACB3A" w14:textId="77777777" w:rsidR="00FD6F9A" w:rsidRPr="00BA2BCF" w:rsidRDefault="00FD6F9A" w:rsidP="00025F76">
      <w:pPr>
        <w:pStyle w:val="Header"/>
        <w:tabs>
          <w:tab w:val="num" w:pos="1080"/>
        </w:tabs>
      </w:pPr>
    </w:p>
    <w:p w14:paraId="0219DE94" w14:textId="0B342CBF" w:rsidR="00FD6F9A" w:rsidRPr="00BA2BCF" w:rsidRDefault="00FD6F9A" w:rsidP="00025F76">
      <w:pPr>
        <w:pStyle w:val="Header"/>
        <w:tabs>
          <w:tab w:val="num" w:pos="1080"/>
        </w:tabs>
      </w:pPr>
      <w:r w:rsidRPr="00BA2BCF">
        <w:t>New Subgroup 31 of Group A40 prescribes two</w:t>
      </w:r>
      <w:r w:rsidR="003E4241" w:rsidRPr="00BA2BCF">
        <w:t xml:space="preserve"> new</w:t>
      </w:r>
      <w:r w:rsidRPr="00BA2BCF">
        <w:t xml:space="preserve"> geriatric medicine services by telehealth (items 92623 and 92624). These services are the </w:t>
      </w:r>
      <w:r w:rsidR="003E4241" w:rsidRPr="00BA2BCF">
        <w:t xml:space="preserve">telehealth </w:t>
      </w:r>
      <w:r w:rsidRPr="00BA2BCF">
        <w:t xml:space="preserve">equivalents of items 141 and 143. </w:t>
      </w:r>
      <w:r w:rsidRPr="00BA2BCF">
        <w:lastRenderedPageBreak/>
        <w:t xml:space="preserve">New Subgroup 32 of Group A40 prescribes the equivalent phone services (items 92628 and 92629). </w:t>
      </w:r>
    </w:p>
    <w:p w14:paraId="1A155F9B" w14:textId="77777777" w:rsidR="00FD6F9A" w:rsidRPr="00BA2BCF" w:rsidRDefault="00FD6F9A" w:rsidP="00025F76">
      <w:pPr>
        <w:pStyle w:val="Header"/>
        <w:tabs>
          <w:tab w:val="num" w:pos="1080"/>
        </w:tabs>
        <w:rPr>
          <w:u w:val="single"/>
        </w:rPr>
      </w:pPr>
    </w:p>
    <w:p w14:paraId="424E94B4" w14:textId="66881AEB" w:rsidR="00025F76" w:rsidRPr="00BA2BCF" w:rsidRDefault="00025F76" w:rsidP="00025F76">
      <w:pPr>
        <w:pStyle w:val="Header"/>
        <w:tabs>
          <w:tab w:val="num" w:pos="1080"/>
        </w:tabs>
        <w:rPr>
          <w:b/>
        </w:rPr>
      </w:pPr>
      <w:r w:rsidRPr="00BA2BCF">
        <w:rPr>
          <w:b/>
        </w:rPr>
        <w:t>Item</w:t>
      </w:r>
      <w:r w:rsidR="003E4241" w:rsidRPr="00BA2BCF">
        <w:rPr>
          <w:b/>
        </w:rPr>
        <w:t>s</w:t>
      </w:r>
      <w:r w:rsidRPr="00BA2BCF">
        <w:rPr>
          <w:b/>
        </w:rPr>
        <w:t xml:space="preserve"> </w:t>
      </w:r>
      <w:r w:rsidR="00330E77" w:rsidRPr="00BA2BCF">
        <w:rPr>
          <w:b/>
        </w:rPr>
        <w:t xml:space="preserve">15 to </w:t>
      </w:r>
      <w:r w:rsidR="006E7A45" w:rsidRPr="00BA2BCF">
        <w:rPr>
          <w:b/>
        </w:rPr>
        <w:t>30</w:t>
      </w:r>
    </w:p>
    <w:p w14:paraId="524FB930" w14:textId="2DDFF8BA" w:rsidR="003E4241" w:rsidRPr="00BA2BCF" w:rsidRDefault="003E4241" w:rsidP="00025F76">
      <w:pPr>
        <w:pStyle w:val="Header"/>
        <w:tabs>
          <w:tab w:val="num" w:pos="1080"/>
        </w:tabs>
      </w:pPr>
      <w:r w:rsidRPr="00BA2BCF">
        <w:t xml:space="preserve">Items 15 to </w:t>
      </w:r>
      <w:r w:rsidR="006E7A45" w:rsidRPr="00BA2BCF">
        <w:t xml:space="preserve">30 </w:t>
      </w:r>
      <w:r w:rsidRPr="00BA2BCF">
        <w:t>amend provisions in Division 3.1 to include references to new phone and telehealth items inserted by the instrument</w:t>
      </w:r>
      <w:r w:rsidR="00330E77" w:rsidRPr="00BA2BCF">
        <w:t>, as well as references to existing phone and telehealth items previ</w:t>
      </w:r>
      <w:r w:rsidR="00364EB6" w:rsidRPr="00BA2BCF">
        <w:t xml:space="preserve">ously specified in the </w:t>
      </w:r>
      <w:r w:rsidR="00CD79AE" w:rsidRPr="00BA2BCF">
        <w:t xml:space="preserve">Principal </w:t>
      </w:r>
      <w:r w:rsidR="00330E77" w:rsidRPr="00BA2BCF">
        <w:t>Determination. These amendments ensure</w:t>
      </w:r>
      <w:r w:rsidR="00827C09" w:rsidRPr="00BA2BCF">
        <w:t xml:space="preserve"> that,</w:t>
      </w:r>
      <w:r w:rsidR="00330E77" w:rsidRPr="00BA2BCF">
        <w:t xml:space="preserve"> where the provision refers</w:t>
      </w:r>
      <w:r w:rsidRPr="00BA2BCF">
        <w:t xml:space="preserve"> to </w:t>
      </w:r>
      <w:r w:rsidR="00827C09" w:rsidRPr="00BA2BCF">
        <w:t xml:space="preserve">an existing item in the general medical services table, it </w:t>
      </w:r>
      <w:r w:rsidR="00330E77" w:rsidRPr="00BA2BCF">
        <w:t>will also refer</w:t>
      </w:r>
      <w:r w:rsidR="00827C09" w:rsidRPr="00BA2BCF">
        <w:t xml:space="preserve"> to the equivalent</w:t>
      </w:r>
      <w:r w:rsidRPr="00BA2BCF">
        <w:t xml:space="preserve"> </w:t>
      </w:r>
      <w:r w:rsidR="00827C09" w:rsidRPr="00BA2BCF">
        <w:t xml:space="preserve">phone and telehealth item. </w:t>
      </w:r>
    </w:p>
    <w:p w14:paraId="66D88C92" w14:textId="77777777" w:rsidR="00330E77" w:rsidRPr="00BA2BCF" w:rsidRDefault="00330E77" w:rsidP="00025F76">
      <w:pPr>
        <w:pStyle w:val="Header"/>
        <w:tabs>
          <w:tab w:val="num" w:pos="1080"/>
        </w:tabs>
      </w:pPr>
    </w:p>
    <w:p w14:paraId="57804CA3" w14:textId="77777777" w:rsidR="003E4241" w:rsidRPr="00BA2BCF" w:rsidRDefault="003E4241" w:rsidP="00025F76">
      <w:pPr>
        <w:pStyle w:val="Header"/>
        <w:tabs>
          <w:tab w:val="num" w:pos="1080"/>
        </w:tabs>
        <w:rPr>
          <w:u w:val="single"/>
        </w:rPr>
      </w:pPr>
    </w:p>
    <w:p w14:paraId="023806A9" w14:textId="6E78108C" w:rsidR="00F91A58" w:rsidRPr="00BA2BCF" w:rsidRDefault="003F68B7" w:rsidP="00C763FD">
      <w:pPr>
        <w:spacing w:after="200" w:line="276" w:lineRule="auto"/>
        <w:rPr>
          <w:b/>
          <w:sz w:val="28"/>
          <w:szCs w:val="28"/>
        </w:rPr>
      </w:pPr>
      <w:r w:rsidRPr="00BA2BCF">
        <w:rPr>
          <w:b/>
          <w:sz w:val="28"/>
          <w:szCs w:val="28"/>
        </w:rPr>
        <w:br w:type="page"/>
      </w:r>
    </w:p>
    <w:p w14:paraId="2412D14E" w14:textId="0E613FE8" w:rsidR="00A17F2C" w:rsidRPr="00BA2BCF" w:rsidRDefault="00A17F2C" w:rsidP="008D136F">
      <w:pPr>
        <w:pStyle w:val="Header"/>
        <w:tabs>
          <w:tab w:val="num" w:pos="1080"/>
        </w:tabs>
        <w:jc w:val="center"/>
        <w:rPr>
          <w:b/>
          <w:sz w:val="28"/>
          <w:szCs w:val="28"/>
        </w:rPr>
      </w:pPr>
      <w:r w:rsidRPr="00BA2BCF">
        <w:rPr>
          <w:b/>
          <w:sz w:val="28"/>
          <w:szCs w:val="28"/>
        </w:rPr>
        <w:lastRenderedPageBreak/>
        <w:t>Statement of Compatibility with Human Rights</w:t>
      </w:r>
    </w:p>
    <w:p w14:paraId="2412D14F" w14:textId="77777777" w:rsidR="00A17F2C" w:rsidRPr="00BA2BCF" w:rsidRDefault="00A17F2C" w:rsidP="000337CB">
      <w:pPr>
        <w:spacing w:before="120" w:after="120"/>
        <w:jc w:val="center"/>
        <w:rPr>
          <w:szCs w:val="24"/>
        </w:rPr>
      </w:pPr>
      <w:r w:rsidRPr="00BA2BCF">
        <w:rPr>
          <w:i/>
          <w:szCs w:val="24"/>
        </w:rPr>
        <w:t>Prepared in accordance with Part 3 of the Human Rights (Parliamentary Scrutiny) Act 2011</w:t>
      </w:r>
    </w:p>
    <w:p w14:paraId="751DE726" w14:textId="77777777" w:rsidR="002A6C77" w:rsidRPr="00BA2BCF" w:rsidRDefault="002A6C77" w:rsidP="000337CB">
      <w:pPr>
        <w:tabs>
          <w:tab w:val="left" w:pos="1418"/>
        </w:tabs>
        <w:ind w:left="851"/>
        <w:jc w:val="center"/>
        <w:rPr>
          <w:b/>
          <w:i/>
          <w:iCs/>
        </w:rPr>
      </w:pPr>
    </w:p>
    <w:p w14:paraId="1BF56C38" w14:textId="6D72EECB" w:rsidR="007708B3" w:rsidRPr="00BA2BCF" w:rsidRDefault="003E4241" w:rsidP="000337CB">
      <w:pPr>
        <w:tabs>
          <w:tab w:val="left" w:pos="1418"/>
        </w:tabs>
        <w:ind w:left="851"/>
        <w:jc w:val="center"/>
        <w:rPr>
          <w:b/>
          <w:i/>
        </w:rPr>
      </w:pPr>
      <w:r w:rsidRPr="00BA2BCF">
        <w:rPr>
          <w:b/>
          <w:i/>
        </w:rPr>
        <w:t>Health Insurance (Section 3C General Medical Services – COVID-19 Telehealth and Telephone Attendances) Amendment (Expansion of Specialist Services) Determination 2020</w:t>
      </w:r>
    </w:p>
    <w:p w14:paraId="333D57AA" w14:textId="77777777" w:rsidR="00067581" w:rsidRPr="00BA2BCF" w:rsidRDefault="00067581" w:rsidP="000337CB">
      <w:pPr>
        <w:tabs>
          <w:tab w:val="left" w:pos="1418"/>
        </w:tabs>
        <w:ind w:left="851"/>
        <w:jc w:val="center"/>
        <w:rPr>
          <w:b/>
          <w:i/>
          <w:szCs w:val="24"/>
        </w:rPr>
      </w:pPr>
    </w:p>
    <w:p w14:paraId="2412D153" w14:textId="7AFD921D" w:rsidR="00A17F2C" w:rsidRPr="00BA2BCF" w:rsidRDefault="00A17F2C" w:rsidP="00E866C4">
      <w:pPr>
        <w:ind w:right="-448"/>
        <w:jc w:val="center"/>
        <w:rPr>
          <w:szCs w:val="24"/>
        </w:rPr>
      </w:pPr>
      <w:r w:rsidRPr="00BA2BCF">
        <w:rPr>
          <w:szCs w:val="24"/>
        </w:rPr>
        <w:t xml:space="preserve">This </w:t>
      </w:r>
      <w:r w:rsidR="0046022A" w:rsidRPr="00BA2BCF">
        <w:rPr>
          <w:szCs w:val="24"/>
        </w:rPr>
        <w:t>instrument</w:t>
      </w:r>
      <w:r w:rsidRPr="00BA2BCF">
        <w:rPr>
          <w:szCs w:val="24"/>
        </w:rPr>
        <w:t xml:space="preserve"> is compatible with the human rights and freedoms recognised or declared in the international instruments listed in section 3 of the </w:t>
      </w:r>
      <w:r w:rsidRPr="00BA2BCF">
        <w:rPr>
          <w:i/>
          <w:szCs w:val="24"/>
        </w:rPr>
        <w:t>Human Rights (Parliamentary Scrutiny) Act 2011</w:t>
      </w:r>
      <w:r w:rsidRPr="00BA2BCF">
        <w:rPr>
          <w:szCs w:val="24"/>
        </w:rPr>
        <w:t>.</w:t>
      </w:r>
    </w:p>
    <w:p w14:paraId="7EDA9098" w14:textId="306A78E1" w:rsidR="006E6BBF" w:rsidRPr="00BA2BCF" w:rsidRDefault="006E6BBF" w:rsidP="008734F5">
      <w:pPr>
        <w:spacing w:before="120" w:after="120"/>
        <w:rPr>
          <w:b/>
          <w:szCs w:val="24"/>
        </w:rPr>
      </w:pPr>
      <w:r w:rsidRPr="00BA2BCF">
        <w:rPr>
          <w:b/>
          <w:szCs w:val="24"/>
        </w:rPr>
        <w:t xml:space="preserve">Overview of the </w:t>
      </w:r>
      <w:r w:rsidR="00B86A9F" w:rsidRPr="00BA2BCF">
        <w:rPr>
          <w:b/>
          <w:szCs w:val="24"/>
        </w:rPr>
        <w:t>Determination</w:t>
      </w:r>
    </w:p>
    <w:p w14:paraId="42250462" w14:textId="77777777" w:rsidR="009444CF" w:rsidRPr="00BA2BCF" w:rsidRDefault="009444CF" w:rsidP="009444CF">
      <w:pPr>
        <w:shd w:val="clear" w:color="auto" w:fill="FFFFFF"/>
        <w:ind w:right="84"/>
        <w:rPr>
          <w:iCs/>
        </w:rPr>
      </w:pPr>
      <w:r w:rsidRPr="00BA2BCF">
        <w:rPr>
          <w:iCs/>
        </w:rPr>
        <w:t xml:space="preserve">Since 13 March 2020, the Australian Government has been providing Medicare benefits to assist patients to receive remote health consultations by telehealth or phone in certain circumstances. The </w:t>
      </w:r>
      <w:r w:rsidRPr="00BA2BCF">
        <w:rPr>
          <w:i/>
          <w:iCs/>
        </w:rPr>
        <w:t>Health Insurance (Section 3C General Medical Services - COVID-19 Telehealth and Telephone Attendances) Determination 2020</w:t>
      </w:r>
      <w:r w:rsidRPr="00BA2BCF">
        <w:rPr>
          <w:iCs/>
        </w:rPr>
        <w:t xml:space="preserve"> </w:t>
      </w:r>
      <w:r w:rsidRPr="00BA2BCF">
        <w:t>the (Principal Determination)</w:t>
      </w:r>
      <w:r w:rsidRPr="00BA2BCF">
        <w:rPr>
          <w:iCs/>
        </w:rPr>
        <w:t xml:space="preserve"> currently prescribes 222 temporary items that covers many general practice, specialist and consultant physician, nurse practitioner, midwife, and allied health attendances.</w:t>
      </w:r>
      <w:r w:rsidRPr="00BA2BCF">
        <w:rPr>
          <w:iCs/>
        </w:rPr>
        <w:br/>
      </w:r>
    </w:p>
    <w:p w14:paraId="2125FE7E" w14:textId="77777777" w:rsidR="009444CF" w:rsidRPr="00BA2BCF" w:rsidRDefault="009444CF" w:rsidP="009444CF">
      <w:pPr>
        <w:shd w:val="clear" w:color="auto" w:fill="FFFFFF"/>
        <w:ind w:right="84"/>
        <w:rPr>
          <w:iCs/>
        </w:rPr>
      </w:pPr>
      <w:r w:rsidRPr="00BA2BCF">
        <w:rPr>
          <w:iCs/>
        </w:rPr>
        <w:t xml:space="preserve">These items ensure that telehealth can be used as a key weapon in the fight against the </w:t>
      </w:r>
      <w:r w:rsidRPr="00BA2BCF">
        <w:rPr>
          <w:szCs w:val="24"/>
        </w:rPr>
        <w:t>coronavirus (</w:t>
      </w:r>
      <w:r w:rsidRPr="00BA2BCF">
        <w:rPr>
          <w:iCs/>
        </w:rPr>
        <w:t>COVID-19) pandemic. Expanding the consultation services available by telehealth is the next critical stage in the response to COVID-19.</w:t>
      </w:r>
    </w:p>
    <w:p w14:paraId="49A0E7E9" w14:textId="77777777" w:rsidR="009444CF" w:rsidRPr="00BA2BCF" w:rsidRDefault="009444CF" w:rsidP="009444CF">
      <w:pPr>
        <w:shd w:val="clear" w:color="auto" w:fill="FFFFFF"/>
        <w:ind w:right="84"/>
        <w:rPr>
          <w:iCs/>
        </w:rPr>
      </w:pPr>
    </w:p>
    <w:p w14:paraId="3CEDC211" w14:textId="77777777" w:rsidR="009444CF" w:rsidRPr="00BA2BCF" w:rsidRDefault="009444CF" w:rsidP="009444CF">
      <w:pPr>
        <w:shd w:val="clear" w:color="auto" w:fill="FFFFFF"/>
        <w:ind w:right="84"/>
        <w:rPr>
          <w:color w:val="000000"/>
          <w:szCs w:val="24"/>
          <w:lang w:eastAsia="en-GB"/>
        </w:rPr>
      </w:pPr>
      <w:r w:rsidRPr="00BA2BCF">
        <w:rPr>
          <w:color w:val="000000"/>
          <w:szCs w:val="24"/>
          <w:lang w:eastAsia="en-GB"/>
        </w:rPr>
        <w:t>The purpose of the</w:t>
      </w:r>
      <w:r w:rsidRPr="00BA2BCF">
        <w:t xml:space="preserve"> </w:t>
      </w:r>
      <w:r w:rsidRPr="00BA2BCF">
        <w:rPr>
          <w:i/>
          <w:color w:val="000000"/>
          <w:szCs w:val="24"/>
          <w:lang w:eastAsia="en-GB"/>
        </w:rPr>
        <w:t>Health Insurance (Section 3C General Medical Services – COVID-19 Telehealth and Telephone Attendances) Amendment (Expansion of Specialist Services) Determination 2020</w:t>
      </w:r>
      <w:r w:rsidRPr="00BA2BCF">
        <w:rPr>
          <w:color w:val="000000"/>
          <w:szCs w:val="24"/>
          <w:lang w:eastAsia="en-GB"/>
        </w:rPr>
        <w:t xml:space="preserve"> (the Amendment Determination) is to expand the range of non-GP specialist services available to support patient access to these attendances in a safe and timely manner. This will assist to reduce the risk of COVID-19 for health professionals and for patients. </w:t>
      </w:r>
    </w:p>
    <w:p w14:paraId="083AD9A6" w14:textId="77777777" w:rsidR="009444CF" w:rsidRPr="00BA2BCF" w:rsidRDefault="009444CF" w:rsidP="009444CF">
      <w:pPr>
        <w:shd w:val="clear" w:color="auto" w:fill="FFFFFF"/>
        <w:ind w:right="84"/>
        <w:rPr>
          <w:color w:val="000000"/>
          <w:szCs w:val="24"/>
          <w:lang w:eastAsia="en-GB"/>
        </w:rPr>
      </w:pPr>
    </w:p>
    <w:p w14:paraId="54BC761E" w14:textId="77777777" w:rsidR="009444CF" w:rsidRPr="00BA2BCF" w:rsidRDefault="009444CF" w:rsidP="009444CF">
      <w:pPr>
        <w:shd w:val="clear" w:color="auto" w:fill="FFFFFF"/>
        <w:ind w:right="84"/>
        <w:rPr>
          <w:b/>
        </w:rPr>
      </w:pPr>
      <w:r w:rsidRPr="00BA2BCF">
        <w:rPr>
          <w:color w:val="000000"/>
          <w:szCs w:val="24"/>
          <w:lang w:eastAsia="en-GB"/>
        </w:rPr>
        <w:t>From 6 April 2020, 22 new items will be listed. These include four targeted attendance items which will enable patients 65 years of age or older to see a geriatrician by telehealth or phone, where appropriate to do so.</w:t>
      </w:r>
    </w:p>
    <w:p w14:paraId="27049F23" w14:textId="77777777" w:rsidR="00DE630F" w:rsidRPr="00BA2BCF" w:rsidRDefault="00DE630F" w:rsidP="00DE630F">
      <w:pPr>
        <w:shd w:val="clear" w:color="auto" w:fill="FFFFFF"/>
        <w:rPr>
          <w:color w:val="000000"/>
          <w:szCs w:val="24"/>
          <w:lang w:eastAsia="en-GB"/>
        </w:rPr>
      </w:pPr>
    </w:p>
    <w:p w14:paraId="2412D15C" w14:textId="50D38E8B" w:rsidR="00A17F2C" w:rsidRPr="00BA2BCF" w:rsidRDefault="00A17F2C" w:rsidP="00067581">
      <w:pPr>
        <w:keepNext/>
        <w:keepLines/>
        <w:ind w:right="-482"/>
        <w:rPr>
          <w:b/>
          <w:szCs w:val="24"/>
        </w:rPr>
      </w:pPr>
      <w:r w:rsidRPr="00BA2BCF">
        <w:rPr>
          <w:b/>
          <w:szCs w:val="24"/>
        </w:rPr>
        <w:t>Human rights implications</w:t>
      </w:r>
    </w:p>
    <w:p w14:paraId="449665F0" w14:textId="2ED3F54B" w:rsidR="00806020" w:rsidRPr="00BA2BCF" w:rsidRDefault="00806020" w:rsidP="00067581">
      <w:pPr>
        <w:keepNext/>
        <w:keepLines/>
        <w:spacing w:before="120" w:after="120"/>
        <w:rPr>
          <w:szCs w:val="24"/>
        </w:rPr>
      </w:pPr>
      <w:r w:rsidRPr="00BA2BCF">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BA2BCF" w:rsidRDefault="00A17F2C" w:rsidP="00806020">
      <w:pPr>
        <w:spacing w:before="120" w:after="120"/>
        <w:rPr>
          <w:i/>
          <w:szCs w:val="24"/>
        </w:rPr>
      </w:pPr>
      <w:r w:rsidRPr="00BA2BCF">
        <w:rPr>
          <w:i/>
          <w:szCs w:val="24"/>
        </w:rPr>
        <w:t>The Right to Health</w:t>
      </w:r>
    </w:p>
    <w:p w14:paraId="2412D15F" w14:textId="77777777" w:rsidR="00A17F2C" w:rsidRPr="00BA2BCF" w:rsidRDefault="00A17F2C" w:rsidP="000337CB">
      <w:pPr>
        <w:spacing w:before="120" w:after="120"/>
        <w:rPr>
          <w:szCs w:val="24"/>
        </w:rPr>
      </w:pPr>
      <w:r w:rsidRPr="00BA2BC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BA2BCF" w:rsidRDefault="00A17F2C" w:rsidP="000337CB">
      <w:pPr>
        <w:spacing w:before="120" w:after="120"/>
        <w:rPr>
          <w:szCs w:val="24"/>
        </w:rPr>
      </w:pPr>
      <w:r w:rsidRPr="00BA2BCF">
        <w:rPr>
          <w:szCs w:val="24"/>
        </w:rPr>
        <w:t xml:space="preserve">The Committee reports that the </w:t>
      </w:r>
      <w:r w:rsidRPr="00BA2BCF">
        <w:rPr>
          <w:i/>
          <w:szCs w:val="24"/>
        </w:rPr>
        <w:t>‘highest attainable standard of health’</w:t>
      </w:r>
      <w:r w:rsidRPr="00BA2BC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BA2BCF" w:rsidRDefault="00A17F2C" w:rsidP="000337CB">
      <w:pPr>
        <w:spacing w:before="120" w:after="120"/>
        <w:rPr>
          <w:i/>
          <w:szCs w:val="24"/>
        </w:rPr>
      </w:pPr>
      <w:r w:rsidRPr="00BA2BCF">
        <w:rPr>
          <w:i/>
          <w:szCs w:val="24"/>
        </w:rPr>
        <w:t xml:space="preserve">The Right to Social Security </w:t>
      </w:r>
    </w:p>
    <w:p w14:paraId="2412D162" w14:textId="77777777" w:rsidR="00A17F2C" w:rsidRPr="00BA2BCF" w:rsidRDefault="00A17F2C" w:rsidP="000337CB">
      <w:pPr>
        <w:spacing w:before="120" w:after="120"/>
        <w:rPr>
          <w:szCs w:val="24"/>
        </w:rPr>
      </w:pPr>
      <w:r w:rsidRPr="00BA2BCF">
        <w:rPr>
          <w:szCs w:val="24"/>
        </w:rPr>
        <w:lastRenderedPageBreak/>
        <w:t>The right to social security is contained in Article 9 of the ICESCR. It requires that a country must, within its maximum available resources, ensure access to a social security scheme that</w:t>
      </w:r>
      <w:r w:rsidR="00BA69CB" w:rsidRPr="00BA2BCF">
        <w:rPr>
          <w:szCs w:val="24"/>
        </w:rPr>
        <w:t xml:space="preserve"> </w:t>
      </w:r>
      <w:r w:rsidRPr="00BA2BCF">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BA2BCF" w:rsidRDefault="00A17F2C" w:rsidP="000337CB">
      <w:pPr>
        <w:spacing w:before="120" w:after="120"/>
        <w:rPr>
          <w:szCs w:val="24"/>
        </w:rPr>
      </w:pPr>
      <w:r w:rsidRPr="00BA2BCF">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BA2BCF" w:rsidRDefault="00A17F2C" w:rsidP="000337CB">
      <w:pPr>
        <w:spacing w:before="120" w:after="120"/>
        <w:rPr>
          <w:szCs w:val="24"/>
          <w:u w:val="single"/>
        </w:rPr>
      </w:pPr>
      <w:r w:rsidRPr="00BA2BCF">
        <w:rPr>
          <w:szCs w:val="24"/>
          <w:u w:val="single"/>
        </w:rPr>
        <w:t xml:space="preserve">Analysis </w:t>
      </w:r>
    </w:p>
    <w:p w14:paraId="4BF9070B" w14:textId="51D0CF87" w:rsidR="00067581" w:rsidRPr="00BA2BCF" w:rsidRDefault="00067581" w:rsidP="00067581">
      <w:pPr>
        <w:rPr>
          <w:szCs w:val="24"/>
        </w:rPr>
      </w:pPr>
      <w:r w:rsidRPr="00BA2BCF">
        <w:rPr>
          <w:szCs w:val="24"/>
        </w:rPr>
        <w:t>This instrument advances the right to health and the right to social security by ensuring people can access publicly subsidised health services without the risk of affecting other people or health professionals.</w:t>
      </w:r>
    </w:p>
    <w:p w14:paraId="2412D166" w14:textId="1973400E" w:rsidR="00A17F2C" w:rsidRPr="00BA2BCF" w:rsidRDefault="00A17F2C" w:rsidP="004B7CB9">
      <w:pPr>
        <w:spacing w:before="120" w:after="120" w:line="276" w:lineRule="auto"/>
        <w:rPr>
          <w:rFonts w:eastAsia="Calibri"/>
          <w:b/>
          <w:szCs w:val="24"/>
          <w:lang w:eastAsia="en-US"/>
        </w:rPr>
      </w:pPr>
      <w:r w:rsidRPr="00BA2BCF">
        <w:rPr>
          <w:rFonts w:eastAsia="Calibri"/>
          <w:b/>
          <w:szCs w:val="24"/>
          <w:lang w:eastAsia="en-US"/>
        </w:rPr>
        <w:t xml:space="preserve">Conclusion </w:t>
      </w:r>
    </w:p>
    <w:p w14:paraId="5F52FC1C" w14:textId="04697473" w:rsidR="00067581" w:rsidRPr="00BA2BCF" w:rsidRDefault="00067581" w:rsidP="00067581">
      <w:pPr>
        <w:rPr>
          <w:szCs w:val="24"/>
        </w:rPr>
      </w:pPr>
      <w:r w:rsidRPr="00BA2BCF">
        <w:rPr>
          <w:szCs w:val="24"/>
        </w:rPr>
        <w:t xml:space="preserve">This instrument is compatible with human rights as it advances the right to health and the right to social security. </w:t>
      </w:r>
    </w:p>
    <w:p w14:paraId="0D9EA547" w14:textId="77777777" w:rsidR="00067581" w:rsidRPr="00BA2BCF" w:rsidRDefault="00067581" w:rsidP="00067581">
      <w:pPr>
        <w:jc w:val="center"/>
        <w:rPr>
          <w:b/>
          <w:bCs/>
        </w:rPr>
      </w:pPr>
    </w:p>
    <w:p w14:paraId="3EB21B6B" w14:textId="77777777" w:rsidR="00846CCD" w:rsidRPr="00BA2BCF" w:rsidRDefault="00846CCD" w:rsidP="00712171">
      <w:pPr>
        <w:jc w:val="center"/>
        <w:rPr>
          <w:b/>
        </w:rPr>
      </w:pPr>
    </w:p>
    <w:p w14:paraId="718F82CA" w14:textId="55CB2D92" w:rsidR="00F11322" w:rsidRPr="00BA2BCF" w:rsidRDefault="00F11322" w:rsidP="00F11322">
      <w:pPr>
        <w:jc w:val="center"/>
        <w:rPr>
          <w:b/>
          <w:lang w:val="en-US"/>
        </w:rPr>
      </w:pPr>
      <w:r w:rsidRPr="00BA2BCF">
        <w:rPr>
          <w:b/>
          <w:bCs/>
        </w:rPr>
        <w:t>Greg Hunt</w:t>
      </w:r>
    </w:p>
    <w:p w14:paraId="299981B0" w14:textId="77777777" w:rsidR="00F11322" w:rsidRPr="00F11322" w:rsidRDefault="00F11322" w:rsidP="00F11322">
      <w:pPr>
        <w:jc w:val="center"/>
        <w:rPr>
          <w:b/>
          <w:lang w:val="en-US"/>
        </w:rPr>
      </w:pPr>
      <w:r w:rsidRPr="00BA2BCF">
        <w:rPr>
          <w:b/>
          <w:bCs/>
        </w:rPr>
        <w:t>Minister for Health</w:t>
      </w:r>
      <w:bookmarkStart w:id="0" w:name="_GoBack"/>
      <w:bookmarkEnd w:id="0"/>
    </w:p>
    <w:p w14:paraId="3F3B8755" w14:textId="7512D240" w:rsidR="00E65230" w:rsidRPr="00E65230" w:rsidRDefault="00E65230" w:rsidP="00E65230">
      <w:pPr>
        <w:jc w:val="center"/>
        <w:rPr>
          <w:rFonts w:eastAsia="Calibri"/>
          <w:b/>
          <w:szCs w:val="24"/>
          <w:lang w:eastAsia="en-US"/>
        </w:rPr>
      </w:pPr>
    </w:p>
    <w:sectPr w:rsidR="00E65230" w:rsidRPr="00E65230"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92790" w14:textId="77777777" w:rsidR="00414EE3" w:rsidRDefault="00414EE3">
      <w:r>
        <w:separator/>
      </w:r>
    </w:p>
  </w:endnote>
  <w:endnote w:type="continuationSeparator" w:id="0">
    <w:p w14:paraId="2C976416" w14:textId="77777777" w:rsidR="00414EE3" w:rsidRDefault="004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DC2D0" w14:textId="77777777" w:rsidR="00414EE3" w:rsidRDefault="00414EE3">
      <w:r>
        <w:separator/>
      </w:r>
    </w:p>
  </w:footnote>
  <w:footnote w:type="continuationSeparator" w:id="0">
    <w:p w14:paraId="6B2B514C" w14:textId="77777777" w:rsidR="00414EE3" w:rsidRDefault="0041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7E3D9394" w:rsidR="00A1739A" w:rsidRDefault="00A1739A" w:rsidP="00BD6F5F">
    <w:pPr>
      <w:pStyle w:val="Header"/>
      <w:jc w:val="center"/>
    </w:pPr>
    <w:r>
      <w:fldChar w:fldCharType="begin"/>
    </w:r>
    <w:r>
      <w:instrText xml:space="preserve"> PAGE  \* Arabic  \* MERGEFORMAT </w:instrText>
    </w:r>
    <w:r>
      <w:fldChar w:fldCharType="separate"/>
    </w:r>
    <w:r w:rsidR="00BA2BCF">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12B9E749" w:rsidR="00E23B6B" w:rsidRDefault="00E23B6B">
        <w:pPr>
          <w:pStyle w:val="Header"/>
          <w:jc w:val="center"/>
        </w:pPr>
        <w:r>
          <w:fldChar w:fldCharType="begin"/>
        </w:r>
        <w:r>
          <w:instrText xml:space="preserve"> PAGE   \* MERGEFORMAT </w:instrText>
        </w:r>
        <w:r>
          <w:fldChar w:fldCharType="separate"/>
        </w:r>
        <w:r w:rsidR="00BA2BCF">
          <w:rPr>
            <w:noProof/>
          </w:rPr>
          <w:t>7</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271929AE" w:rsidR="00E23B6B" w:rsidRDefault="00E23B6B">
        <w:pPr>
          <w:pStyle w:val="Header"/>
          <w:jc w:val="center"/>
        </w:pPr>
        <w:r>
          <w:fldChar w:fldCharType="begin"/>
        </w:r>
        <w:r>
          <w:instrText xml:space="preserve"> PAGE   \* MERGEFORMAT </w:instrText>
        </w:r>
        <w:r>
          <w:fldChar w:fldCharType="separate"/>
        </w:r>
        <w:r w:rsidR="00BA2BCF">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BF734D"/>
    <w:multiLevelType w:val="hybridMultilevel"/>
    <w:tmpl w:val="6892005A"/>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7125A"/>
    <w:multiLevelType w:val="hybridMultilevel"/>
    <w:tmpl w:val="6B8A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641A3A"/>
    <w:multiLevelType w:val="hybridMultilevel"/>
    <w:tmpl w:val="A1DAB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42B22"/>
    <w:multiLevelType w:val="hybridMultilevel"/>
    <w:tmpl w:val="CF94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
  </w:num>
  <w:num w:numId="4">
    <w:abstractNumId w:val="14"/>
  </w:num>
  <w:num w:numId="5">
    <w:abstractNumId w:val="21"/>
  </w:num>
  <w:num w:numId="6">
    <w:abstractNumId w:val="11"/>
  </w:num>
  <w:num w:numId="7">
    <w:abstractNumId w:val="32"/>
  </w:num>
  <w:num w:numId="8">
    <w:abstractNumId w:val="7"/>
  </w:num>
  <w:num w:numId="9">
    <w:abstractNumId w:val="6"/>
  </w:num>
  <w:num w:numId="10">
    <w:abstractNumId w:val="34"/>
  </w:num>
  <w:num w:numId="11">
    <w:abstractNumId w:val="31"/>
  </w:num>
  <w:num w:numId="12">
    <w:abstractNumId w:val="15"/>
  </w:num>
  <w:num w:numId="13">
    <w:abstractNumId w:val="17"/>
  </w:num>
  <w:num w:numId="14">
    <w:abstractNumId w:val="29"/>
  </w:num>
  <w:num w:numId="15">
    <w:abstractNumId w:val="8"/>
  </w:num>
  <w:num w:numId="16">
    <w:abstractNumId w:val="23"/>
  </w:num>
  <w:num w:numId="17">
    <w:abstractNumId w:val="26"/>
  </w:num>
  <w:num w:numId="18">
    <w:abstractNumId w:val="24"/>
  </w:num>
  <w:num w:numId="19">
    <w:abstractNumId w:val="4"/>
  </w:num>
  <w:num w:numId="20">
    <w:abstractNumId w:val="1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0"/>
  </w:num>
  <w:num w:numId="26">
    <w:abstractNumId w:val="5"/>
  </w:num>
  <w:num w:numId="27">
    <w:abstractNumId w:val="18"/>
  </w:num>
  <w:num w:numId="28">
    <w:abstractNumId w:val="33"/>
  </w:num>
  <w:num w:numId="29">
    <w:abstractNumId w:val="20"/>
  </w:num>
  <w:num w:numId="30">
    <w:abstractNumId w:val="30"/>
  </w:num>
  <w:num w:numId="31">
    <w:abstractNumId w:val="16"/>
  </w:num>
  <w:num w:numId="32">
    <w:abstractNumId w:val="28"/>
  </w:num>
  <w:num w:numId="33">
    <w:abstractNumId w:val="3"/>
  </w:num>
  <w:num w:numId="34">
    <w:abstractNumId w:val="9"/>
  </w:num>
  <w:num w:numId="35">
    <w:abstractNumId w:val="19"/>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5F76"/>
    <w:rsid w:val="0002704E"/>
    <w:rsid w:val="0002728B"/>
    <w:rsid w:val="00027830"/>
    <w:rsid w:val="000319EF"/>
    <w:rsid w:val="00033034"/>
    <w:rsid w:val="000337CB"/>
    <w:rsid w:val="00035684"/>
    <w:rsid w:val="0003591F"/>
    <w:rsid w:val="00036E2B"/>
    <w:rsid w:val="00041849"/>
    <w:rsid w:val="0004426E"/>
    <w:rsid w:val="00044A2A"/>
    <w:rsid w:val="00047285"/>
    <w:rsid w:val="00050623"/>
    <w:rsid w:val="000509BA"/>
    <w:rsid w:val="0005224B"/>
    <w:rsid w:val="00054F46"/>
    <w:rsid w:val="0005533C"/>
    <w:rsid w:val="00063242"/>
    <w:rsid w:val="000640CF"/>
    <w:rsid w:val="00064BA4"/>
    <w:rsid w:val="00067581"/>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A7C7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2CF9"/>
    <w:rsid w:val="00113B2E"/>
    <w:rsid w:val="00115225"/>
    <w:rsid w:val="00120766"/>
    <w:rsid w:val="00121189"/>
    <w:rsid w:val="00121A66"/>
    <w:rsid w:val="00130A25"/>
    <w:rsid w:val="00132087"/>
    <w:rsid w:val="00134B27"/>
    <w:rsid w:val="00134C9A"/>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02D2"/>
    <w:rsid w:val="001B3714"/>
    <w:rsid w:val="001B5ED9"/>
    <w:rsid w:val="001B6095"/>
    <w:rsid w:val="001B65A8"/>
    <w:rsid w:val="001B66AF"/>
    <w:rsid w:val="001B7092"/>
    <w:rsid w:val="001C1B86"/>
    <w:rsid w:val="001C35BC"/>
    <w:rsid w:val="001C443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1CD0"/>
    <w:rsid w:val="002322A8"/>
    <w:rsid w:val="0023311C"/>
    <w:rsid w:val="00233BEB"/>
    <w:rsid w:val="00234EDC"/>
    <w:rsid w:val="00235B6C"/>
    <w:rsid w:val="00236DF2"/>
    <w:rsid w:val="0024152E"/>
    <w:rsid w:val="002427DC"/>
    <w:rsid w:val="00242974"/>
    <w:rsid w:val="00242C6E"/>
    <w:rsid w:val="00244D84"/>
    <w:rsid w:val="00250061"/>
    <w:rsid w:val="00250642"/>
    <w:rsid w:val="00251C67"/>
    <w:rsid w:val="00251E4A"/>
    <w:rsid w:val="00251F50"/>
    <w:rsid w:val="002538F6"/>
    <w:rsid w:val="00253E30"/>
    <w:rsid w:val="0025493F"/>
    <w:rsid w:val="00257459"/>
    <w:rsid w:val="00257E4D"/>
    <w:rsid w:val="00262230"/>
    <w:rsid w:val="00262865"/>
    <w:rsid w:val="00263279"/>
    <w:rsid w:val="002643FC"/>
    <w:rsid w:val="00271EEA"/>
    <w:rsid w:val="00274073"/>
    <w:rsid w:val="0027545F"/>
    <w:rsid w:val="0027610D"/>
    <w:rsid w:val="002765BE"/>
    <w:rsid w:val="002806A1"/>
    <w:rsid w:val="00281918"/>
    <w:rsid w:val="00284483"/>
    <w:rsid w:val="00284749"/>
    <w:rsid w:val="00285256"/>
    <w:rsid w:val="00287AEF"/>
    <w:rsid w:val="00287B08"/>
    <w:rsid w:val="00290B98"/>
    <w:rsid w:val="002935ED"/>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1D30"/>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C01"/>
    <w:rsid w:val="00302F5C"/>
    <w:rsid w:val="00304080"/>
    <w:rsid w:val="0031124D"/>
    <w:rsid w:val="003113E4"/>
    <w:rsid w:val="00312ED1"/>
    <w:rsid w:val="00313554"/>
    <w:rsid w:val="003175A1"/>
    <w:rsid w:val="00317B55"/>
    <w:rsid w:val="0032155B"/>
    <w:rsid w:val="003215B6"/>
    <w:rsid w:val="003239D0"/>
    <w:rsid w:val="00324908"/>
    <w:rsid w:val="00324ADE"/>
    <w:rsid w:val="00330E77"/>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4075"/>
    <w:rsid w:val="00357CD8"/>
    <w:rsid w:val="0036001E"/>
    <w:rsid w:val="0036105C"/>
    <w:rsid w:val="00361ADE"/>
    <w:rsid w:val="00363306"/>
    <w:rsid w:val="0036495A"/>
    <w:rsid w:val="00364EB6"/>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AF3"/>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C7B75"/>
    <w:rsid w:val="003D0FBD"/>
    <w:rsid w:val="003D2A6D"/>
    <w:rsid w:val="003E005B"/>
    <w:rsid w:val="003E04DA"/>
    <w:rsid w:val="003E1249"/>
    <w:rsid w:val="003E3544"/>
    <w:rsid w:val="003E35A8"/>
    <w:rsid w:val="003E4241"/>
    <w:rsid w:val="003E4F2D"/>
    <w:rsid w:val="003E57BE"/>
    <w:rsid w:val="003E77CB"/>
    <w:rsid w:val="003F40EC"/>
    <w:rsid w:val="003F47FD"/>
    <w:rsid w:val="003F4B52"/>
    <w:rsid w:val="003F4CFF"/>
    <w:rsid w:val="003F68B7"/>
    <w:rsid w:val="003F73BA"/>
    <w:rsid w:val="003F73F0"/>
    <w:rsid w:val="00401423"/>
    <w:rsid w:val="00403105"/>
    <w:rsid w:val="00404F11"/>
    <w:rsid w:val="00405890"/>
    <w:rsid w:val="00405EF4"/>
    <w:rsid w:val="00406D7A"/>
    <w:rsid w:val="00411365"/>
    <w:rsid w:val="0041237F"/>
    <w:rsid w:val="00412B6C"/>
    <w:rsid w:val="00414613"/>
    <w:rsid w:val="00414EE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2D67"/>
    <w:rsid w:val="0047484E"/>
    <w:rsid w:val="0047494B"/>
    <w:rsid w:val="00475A85"/>
    <w:rsid w:val="00476F13"/>
    <w:rsid w:val="00477C74"/>
    <w:rsid w:val="00480561"/>
    <w:rsid w:val="004806B3"/>
    <w:rsid w:val="00481E5E"/>
    <w:rsid w:val="004828A9"/>
    <w:rsid w:val="00484953"/>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951"/>
    <w:rsid w:val="004C6AE7"/>
    <w:rsid w:val="004C72E8"/>
    <w:rsid w:val="004D04DF"/>
    <w:rsid w:val="004D1BF4"/>
    <w:rsid w:val="004D480B"/>
    <w:rsid w:val="004D62B9"/>
    <w:rsid w:val="004D7821"/>
    <w:rsid w:val="004E10C5"/>
    <w:rsid w:val="004E22A7"/>
    <w:rsid w:val="004E39E6"/>
    <w:rsid w:val="004E71DC"/>
    <w:rsid w:val="004E7F97"/>
    <w:rsid w:val="004F1563"/>
    <w:rsid w:val="004F20B0"/>
    <w:rsid w:val="004F4BAD"/>
    <w:rsid w:val="004F7682"/>
    <w:rsid w:val="005012BC"/>
    <w:rsid w:val="00502156"/>
    <w:rsid w:val="00502277"/>
    <w:rsid w:val="005023B9"/>
    <w:rsid w:val="005042B5"/>
    <w:rsid w:val="00505C67"/>
    <w:rsid w:val="00505F9A"/>
    <w:rsid w:val="00510A4F"/>
    <w:rsid w:val="005119E9"/>
    <w:rsid w:val="00512A65"/>
    <w:rsid w:val="005130BE"/>
    <w:rsid w:val="005140F2"/>
    <w:rsid w:val="0051709B"/>
    <w:rsid w:val="00517A71"/>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75F25"/>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25"/>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1DA"/>
    <w:rsid w:val="00657702"/>
    <w:rsid w:val="006619F5"/>
    <w:rsid w:val="006629F9"/>
    <w:rsid w:val="006639F0"/>
    <w:rsid w:val="0066562D"/>
    <w:rsid w:val="0066727B"/>
    <w:rsid w:val="00670998"/>
    <w:rsid w:val="00672050"/>
    <w:rsid w:val="00673872"/>
    <w:rsid w:val="00674A34"/>
    <w:rsid w:val="00681100"/>
    <w:rsid w:val="00685515"/>
    <w:rsid w:val="0068642A"/>
    <w:rsid w:val="00694C76"/>
    <w:rsid w:val="00694F4A"/>
    <w:rsid w:val="006A029B"/>
    <w:rsid w:val="006A17A1"/>
    <w:rsid w:val="006A61C5"/>
    <w:rsid w:val="006B0F31"/>
    <w:rsid w:val="006B13BC"/>
    <w:rsid w:val="006B14E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4051"/>
    <w:rsid w:val="006E527B"/>
    <w:rsid w:val="006E5C6B"/>
    <w:rsid w:val="006E6377"/>
    <w:rsid w:val="006E6640"/>
    <w:rsid w:val="006E6BBF"/>
    <w:rsid w:val="006E7529"/>
    <w:rsid w:val="006E7A45"/>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71"/>
    <w:rsid w:val="00712189"/>
    <w:rsid w:val="007134A2"/>
    <w:rsid w:val="00713FB2"/>
    <w:rsid w:val="00717B45"/>
    <w:rsid w:val="007202C4"/>
    <w:rsid w:val="0072331C"/>
    <w:rsid w:val="00726CFA"/>
    <w:rsid w:val="0072758A"/>
    <w:rsid w:val="007304D5"/>
    <w:rsid w:val="00730965"/>
    <w:rsid w:val="00733599"/>
    <w:rsid w:val="00733F09"/>
    <w:rsid w:val="00735753"/>
    <w:rsid w:val="00735891"/>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981"/>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27C09"/>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6CCD"/>
    <w:rsid w:val="008478EE"/>
    <w:rsid w:val="00850FC3"/>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973B9"/>
    <w:rsid w:val="008A153F"/>
    <w:rsid w:val="008A54A9"/>
    <w:rsid w:val="008A6188"/>
    <w:rsid w:val="008A763F"/>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0C10"/>
    <w:rsid w:val="008E3E1A"/>
    <w:rsid w:val="008E4039"/>
    <w:rsid w:val="008F1AA9"/>
    <w:rsid w:val="008F75FC"/>
    <w:rsid w:val="008F7C5B"/>
    <w:rsid w:val="00901C4E"/>
    <w:rsid w:val="00904502"/>
    <w:rsid w:val="009049C0"/>
    <w:rsid w:val="00906257"/>
    <w:rsid w:val="009069D6"/>
    <w:rsid w:val="00910EF6"/>
    <w:rsid w:val="00912380"/>
    <w:rsid w:val="009124F6"/>
    <w:rsid w:val="00912BC1"/>
    <w:rsid w:val="00913B67"/>
    <w:rsid w:val="0091520D"/>
    <w:rsid w:val="00915B08"/>
    <w:rsid w:val="00920F97"/>
    <w:rsid w:val="00921DD1"/>
    <w:rsid w:val="009225FE"/>
    <w:rsid w:val="00923D31"/>
    <w:rsid w:val="00923F94"/>
    <w:rsid w:val="00926DD3"/>
    <w:rsid w:val="009336C8"/>
    <w:rsid w:val="0093443E"/>
    <w:rsid w:val="00935308"/>
    <w:rsid w:val="009361FD"/>
    <w:rsid w:val="009406D2"/>
    <w:rsid w:val="00940F17"/>
    <w:rsid w:val="009414C5"/>
    <w:rsid w:val="0094153E"/>
    <w:rsid w:val="009427F2"/>
    <w:rsid w:val="009444CF"/>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591"/>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3F8E"/>
    <w:rsid w:val="00A045CA"/>
    <w:rsid w:val="00A04DC3"/>
    <w:rsid w:val="00A0597B"/>
    <w:rsid w:val="00A05DAD"/>
    <w:rsid w:val="00A06FB4"/>
    <w:rsid w:val="00A14878"/>
    <w:rsid w:val="00A1707B"/>
    <w:rsid w:val="00A1739A"/>
    <w:rsid w:val="00A17694"/>
    <w:rsid w:val="00A17F2C"/>
    <w:rsid w:val="00A232B9"/>
    <w:rsid w:val="00A24F4B"/>
    <w:rsid w:val="00A3185E"/>
    <w:rsid w:val="00A323EF"/>
    <w:rsid w:val="00A33893"/>
    <w:rsid w:val="00A34C9A"/>
    <w:rsid w:val="00A34D89"/>
    <w:rsid w:val="00A3611E"/>
    <w:rsid w:val="00A41364"/>
    <w:rsid w:val="00A41F72"/>
    <w:rsid w:val="00A4278E"/>
    <w:rsid w:val="00A4292D"/>
    <w:rsid w:val="00A44A25"/>
    <w:rsid w:val="00A54891"/>
    <w:rsid w:val="00A54CA1"/>
    <w:rsid w:val="00A56516"/>
    <w:rsid w:val="00A615E5"/>
    <w:rsid w:val="00A62031"/>
    <w:rsid w:val="00A65D80"/>
    <w:rsid w:val="00A66849"/>
    <w:rsid w:val="00A672A7"/>
    <w:rsid w:val="00A714DD"/>
    <w:rsid w:val="00A73044"/>
    <w:rsid w:val="00A7379C"/>
    <w:rsid w:val="00A73CF1"/>
    <w:rsid w:val="00A74412"/>
    <w:rsid w:val="00A75C9A"/>
    <w:rsid w:val="00A77E28"/>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420A"/>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3E35"/>
    <w:rsid w:val="00AF421C"/>
    <w:rsid w:val="00AF5C05"/>
    <w:rsid w:val="00AF7622"/>
    <w:rsid w:val="00B00238"/>
    <w:rsid w:val="00B019A9"/>
    <w:rsid w:val="00B03218"/>
    <w:rsid w:val="00B03273"/>
    <w:rsid w:val="00B039EC"/>
    <w:rsid w:val="00B07EFF"/>
    <w:rsid w:val="00B10922"/>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65ABC"/>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2BCF"/>
    <w:rsid w:val="00BA3193"/>
    <w:rsid w:val="00BA37D1"/>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24CC"/>
    <w:rsid w:val="00BD304A"/>
    <w:rsid w:val="00BD7FD9"/>
    <w:rsid w:val="00BE1022"/>
    <w:rsid w:val="00BE283F"/>
    <w:rsid w:val="00BE2ECA"/>
    <w:rsid w:val="00BE2EFA"/>
    <w:rsid w:val="00BE597C"/>
    <w:rsid w:val="00BE6870"/>
    <w:rsid w:val="00BE71FD"/>
    <w:rsid w:val="00BE7B19"/>
    <w:rsid w:val="00BF23A6"/>
    <w:rsid w:val="00BF3B3D"/>
    <w:rsid w:val="00BF46F2"/>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63FD"/>
    <w:rsid w:val="00C77A1F"/>
    <w:rsid w:val="00C80647"/>
    <w:rsid w:val="00C80836"/>
    <w:rsid w:val="00C84DDE"/>
    <w:rsid w:val="00C85162"/>
    <w:rsid w:val="00C87864"/>
    <w:rsid w:val="00C90EAC"/>
    <w:rsid w:val="00C917FD"/>
    <w:rsid w:val="00C93D01"/>
    <w:rsid w:val="00C94625"/>
    <w:rsid w:val="00C958FA"/>
    <w:rsid w:val="00C96958"/>
    <w:rsid w:val="00C96A6B"/>
    <w:rsid w:val="00C97EEC"/>
    <w:rsid w:val="00CA3967"/>
    <w:rsid w:val="00CA62C0"/>
    <w:rsid w:val="00CA73CB"/>
    <w:rsid w:val="00CA79BB"/>
    <w:rsid w:val="00CB4161"/>
    <w:rsid w:val="00CB43A2"/>
    <w:rsid w:val="00CB6DE1"/>
    <w:rsid w:val="00CB7730"/>
    <w:rsid w:val="00CC0DB5"/>
    <w:rsid w:val="00CC12A0"/>
    <w:rsid w:val="00CC26A8"/>
    <w:rsid w:val="00CC3336"/>
    <w:rsid w:val="00CC4CED"/>
    <w:rsid w:val="00CC5ABE"/>
    <w:rsid w:val="00CC6EBB"/>
    <w:rsid w:val="00CD0906"/>
    <w:rsid w:val="00CD4A21"/>
    <w:rsid w:val="00CD6442"/>
    <w:rsid w:val="00CD79AE"/>
    <w:rsid w:val="00CE3A6F"/>
    <w:rsid w:val="00CE63F9"/>
    <w:rsid w:val="00CF0A31"/>
    <w:rsid w:val="00CF1E87"/>
    <w:rsid w:val="00CF240F"/>
    <w:rsid w:val="00CF34FA"/>
    <w:rsid w:val="00CF4B5F"/>
    <w:rsid w:val="00CF4FAD"/>
    <w:rsid w:val="00CF5C15"/>
    <w:rsid w:val="00CF6201"/>
    <w:rsid w:val="00CF66E7"/>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06F8"/>
    <w:rsid w:val="00D712E9"/>
    <w:rsid w:val="00D7566A"/>
    <w:rsid w:val="00D80FBA"/>
    <w:rsid w:val="00D85008"/>
    <w:rsid w:val="00D87426"/>
    <w:rsid w:val="00D8754D"/>
    <w:rsid w:val="00D90291"/>
    <w:rsid w:val="00D92717"/>
    <w:rsid w:val="00D93E05"/>
    <w:rsid w:val="00D9515D"/>
    <w:rsid w:val="00DA3A08"/>
    <w:rsid w:val="00DA4715"/>
    <w:rsid w:val="00DA62DF"/>
    <w:rsid w:val="00DA7439"/>
    <w:rsid w:val="00DB0DA9"/>
    <w:rsid w:val="00DB108A"/>
    <w:rsid w:val="00DC0574"/>
    <w:rsid w:val="00DC1776"/>
    <w:rsid w:val="00DC33A5"/>
    <w:rsid w:val="00DC4340"/>
    <w:rsid w:val="00DC7898"/>
    <w:rsid w:val="00DD19F8"/>
    <w:rsid w:val="00DD1C70"/>
    <w:rsid w:val="00DD2898"/>
    <w:rsid w:val="00DD3239"/>
    <w:rsid w:val="00DE07E4"/>
    <w:rsid w:val="00DE0877"/>
    <w:rsid w:val="00DE0FF8"/>
    <w:rsid w:val="00DE3EBF"/>
    <w:rsid w:val="00DE630F"/>
    <w:rsid w:val="00DE6D39"/>
    <w:rsid w:val="00DE7345"/>
    <w:rsid w:val="00DE76EB"/>
    <w:rsid w:val="00DF51CA"/>
    <w:rsid w:val="00DF5581"/>
    <w:rsid w:val="00DF7501"/>
    <w:rsid w:val="00DF7936"/>
    <w:rsid w:val="00E004EF"/>
    <w:rsid w:val="00E04B6F"/>
    <w:rsid w:val="00E12D6F"/>
    <w:rsid w:val="00E13833"/>
    <w:rsid w:val="00E17001"/>
    <w:rsid w:val="00E17406"/>
    <w:rsid w:val="00E20AE5"/>
    <w:rsid w:val="00E20F00"/>
    <w:rsid w:val="00E21297"/>
    <w:rsid w:val="00E23A38"/>
    <w:rsid w:val="00E23B6B"/>
    <w:rsid w:val="00E24721"/>
    <w:rsid w:val="00E25139"/>
    <w:rsid w:val="00E265A0"/>
    <w:rsid w:val="00E266DE"/>
    <w:rsid w:val="00E311F5"/>
    <w:rsid w:val="00E319E9"/>
    <w:rsid w:val="00E32FEE"/>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5230"/>
    <w:rsid w:val="00E664F4"/>
    <w:rsid w:val="00E70355"/>
    <w:rsid w:val="00E72855"/>
    <w:rsid w:val="00E72E5D"/>
    <w:rsid w:val="00E7377F"/>
    <w:rsid w:val="00E74710"/>
    <w:rsid w:val="00E74C1D"/>
    <w:rsid w:val="00E75ACC"/>
    <w:rsid w:val="00E81B2F"/>
    <w:rsid w:val="00E844ED"/>
    <w:rsid w:val="00E85810"/>
    <w:rsid w:val="00E85B0A"/>
    <w:rsid w:val="00E866C4"/>
    <w:rsid w:val="00E90558"/>
    <w:rsid w:val="00E909CD"/>
    <w:rsid w:val="00E92248"/>
    <w:rsid w:val="00E92BD1"/>
    <w:rsid w:val="00E935A1"/>
    <w:rsid w:val="00E93FB6"/>
    <w:rsid w:val="00E94BB6"/>
    <w:rsid w:val="00EA1715"/>
    <w:rsid w:val="00EA2DC4"/>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42A6"/>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322"/>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44A9"/>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66C49"/>
    <w:rsid w:val="00F70D35"/>
    <w:rsid w:val="00F7546C"/>
    <w:rsid w:val="00F77B00"/>
    <w:rsid w:val="00F820C0"/>
    <w:rsid w:val="00F83B6F"/>
    <w:rsid w:val="00F84470"/>
    <w:rsid w:val="00F857BC"/>
    <w:rsid w:val="00F90273"/>
    <w:rsid w:val="00F90BD0"/>
    <w:rsid w:val="00F91A58"/>
    <w:rsid w:val="00F91A5F"/>
    <w:rsid w:val="00F93ACB"/>
    <w:rsid w:val="00F93C4F"/>
    <w:rsid w:val="00F95581"/>
    <w:rsid w:val="00F95994"/>
    <w:rsid w:val="00F95E1B"/>
    <w:rsid w:val="00FA2611"/>
    <w:rsid w:val="00FA29C9"/>
    <w:rsid w:val="00FA2D81"/>
    <w:rsid w:val="00FA3F17"/>
    <w:rsid w:val="00FA49C5"/>
    <w:rsid w:val="00FA5BD2"/>
    <w:rsid w:val="00FA6175"/>
    <w:rsid w:val="00FA6784"/>
    <w:rsid w:val="00FA7E00"/>
    <w:rsid w:val="00FB16BA"/>
    <w:rsid w:val="00FB1780"/>
    <w:rsid w:val="00FB35C6"/>
    <w:rsid w:val="00FB4C5A"/>
    <w:rsid w:val="00FB5BFA"/>
    <w:rsid w:val="00FB6850"/>
    <w:rsid w:val="00FB6F79"/>
    <w:rsid w:val="00FC10F6"/>
    <w:rsid w:val="00FC33A2"/>
    <w:rsid w:val="00FC7C25"/>
    <w:rsid w:val="00FD1C2E"/>
    <w:rsid w:val="00FD3574"/>
    <w:rsid w:val="00FD602D"/>
    <w:rsid w:val="00FD60D2"/>
    <w:rsid w:val="00FD6A7D"/>
    <w:rsid w:val="00FD6F9A"/>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F2"/>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7">
    <w:name w:val="ActHead 7"/>
    <w:aliases w:val="ap"/>
    <w:basedOn w:val="Normal"/>
    <w:next w:val="Normal"/>
    <w:qFormat/>
    <w:rsid w:val="00CD6442"/>
    <w:pPr>
      <w:keepNext/>
      <w:keepLines/>
      <w:spacing w:before="280"/>
      <w:ind w:left="1134" w:hanging="1134"/>
      <w:outlineLvl w:val="6"/>
    </w:pPr>
    <w:rPr>
      <w:rFonts w:ascii="Arial" w:hAnsi="Arial"/>
      <w:b/>
      <w:kern w:val="28"/>
      <w:sz w:val="28"/>
    </w:rPr>
  </w:style>
  <w:style w:type="paragraph" w:customStyle="1" w:styleId="subsection">
    <w:name w:val="subsection"/>
    <w:aliases w:val="ss,Subsection"/>
    <w:basedOn w:val="Normal"/>
    <w:link w:val="subsectionChar"/>
    <w:rsid w:val="0006758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067581"/>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543446676">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99149367">
      <w:bodyDiv w:val="1"/>
      <w:marLeft w:val="0"/>
      <w:marRight w:val="0"/>
      <w:marTop w:val="0"/>
      <w:marBottom w:val="0"/>
      <w:divBdr>
        <w:top w:val="none" w:sz="0" w:space="0" w:color="auto"/>
        <w:left w:val="none" w:sz="0" w:space="0" w:color="auto"/>
        <w:bottom w:val="none" w:sz="0" w:space="0" w:color="auto"/>
        <w:right w:val="none" w:sz="0" w:space="0" w:color="auto"/>
      </w:divBdr>
      <w:divsChild>
        <w:div w:id="1894580322">
          <w:marLeft w:val="0"/>
          <w:marRight w:val="0"/>
          <w:marTop w:val="0"/>
          <w:marBottom w:val="0"/>
          <w:divBdr>
            <w:top w:val="none" w:sz="0" w:space="0" w:color="auto"/>
            <w:left w:val="none" w:sz="0" w:space="0" w:color="auto"/>
            <w:bottom w:val="none" w:sz="0" w:space="0" w:color="auto"/>
            <w:right w:val="none" w:sz="0" w:space="0" w:color="auto"/>
          </w:divBdr>
          <w:divsChild>
            <w:div w:id="157503817">
              <w:marLeft w:val="0"/>
              <w:marRight w:val="0"/>
              <w:marTop w:val="0"/>
              <w:marBottom w:val="0"/>
              <w:divBdr>
                <w:top w:val="none" w:sz="0" w:space="0" w:color="auto"/>
                <w:left w:val="none" w:sz="0" w:space="0" w:color="auto"/>
                <w:bottom w:val="none" w:sz="0" w:space="0" w:color="auto"/>
                <w:right w:val="none" w:sz="0" w:space="0" w:color="auto"/>
              </w:divBdr>
              <w:divsChild>
                <w:div w:id="2142530701">
                  <w:marLeft w:val="0"/>
                  <w:marRight w:val="0"/>
                  <w:marTop w:val="0"/>
                  <w:marBottom w:val="0"/>
                  <w:divBdr>
                    <w:top w:val="none" w:sz="0" w:space="0" w:color="auto"/>
                    <w:left w:val="none" w:sz="0" w:space="0" w:color="auto"/>
                    <w:bottom w:val="none" w:sz="0" w:space="0" w:color="auto"/>
                    <w:right w:val="none" w:sz="0" w:space="0" w:color="auto"/>
                  </w:divBdr>
                  <w:divsChild>
                    <w:div w:id="581989384">
                      <w:marLeft w:val="0"/>
                      <w:marRight w:val="0"/>
                      <w:marTop w:val="0"/>
                      <w:marBottom w:val="0"/>
                      <w:divBdr>
                        <w:top w:val="none" w:sz="0" w:space="0" w:color="auto"/>
                        <w:left w:val="none" w:sz="0" w:space="0" w:color="auto"/>
                        <w:bottom w:val="none" w:sz="0" w:space="0" w:color="auto"/>
                        <w:right w:val="none" w:sz="0" w:space="0" w:color="auto"/>
                      </w:divBdr>
                      <w:divsChild>
                        <w:div w:id="1860507016">
                          <w:marLeft w:val="0"/>
                          <w:marRight w:val="0"/>
                          <w:marTop w:val="0"/>
                          <w:marBottom w:val="0"/>
                          <w:divBdr>
                            <w:top w:val="none" w:sz="0" w:space="0" w:color="auto"/>
                            <w:left w:val="none" w:sz="0" w:space="0" w:color="auto"/>
                            <w:bottom w:val="none" w:sz="0" w:space="0" w:color="auto"/>
                            <w:right w:val="none" w:sz="0" w:space="0" w:color="auto"/>
                          </w:divBdr>
                          <w:divsChild>
                            <w:div w:id="1615214328">
                              <w:marLeft w:val="0"/>
                              <w:marRight w:val="0"/>
                              <w:marTop w:val="0"/>
                              <w:marBottom w:val="0"/>
                              <w:divBdr>
                                <w:top w:val="none" w:sz="0" w:space="0" w:color="auto"/>
                                <w:left w:val="none" w:sz="0" w:space="0" w:color="auto"/>
                                <w:bottom w:val="none" w:sz="0" w:space="0" w:color="auto"/>
                                <w:right w:val="none" w:sz="0" w:space="0" w:color="auto"/>
                              </w:divBdr>
                              <w:divsChild>
                                <w:div w:id="183135162">
                                  <w:marLeft w:val="0"/>
                                  <w:marRight w:val="0"/>
                                  <w:marTop w:val="0"/>
                                  <w:marBottom w:val="0"/>
                                  <w:divBdr>
                                    <w:top w:val="none" w:sz="0" w:space="0" w:color="auto"/>
                                    <w:left w:val="none" w:sz="0" w:space="0" w:color="auto"/>
                                    <w:bottom w:val="none" w:sz="0" w:space="0" w:color="auto"/>
                                    <w:right w:val="none" w:sz="0" w:space="0" w:color="auto"/>
                                  </w:divBdr>
                                  <w:divsChild>
                                    <w:div w:id="1455715123">
                                      <w:marLeft w:val="0"/>
                                      <w:marRight w:val="0"/>
                                      <w:marTop w:val="0"/>
                                      <w:marBottom w:val="0"/>
                                      <w:divBdr>
                                        <w:top w:val="none" w:sz="0" w:space="0" w:color="auto"/>
                                        <w:left w:val="none" w:sz="0" w:space="0" w:color="auto"/>
                                        <w:bottom w:val="none" w:sz="0" w:space="0" w:color="auto"/>
                                        <w:right w:val="none" w:sz="0" w:space="0" w:color="auto"/>
                                      </w:divBdr>
                                      <w:divsChild>
                                        <w:div w:id="682977119">
                                          <w:marLeft w:val="0"/>
                                          <w:marRight w:val="0"/>
                                          <w:marTop w:val="0"/>
                                          <w:marBottom w:val="0"/>
                                          <w:divBdr>
                                            <w:top w:val="none" w:sz="0" w:space="0" w:color="auto"/>
                                            <w:left w:val="none" w:sz="0" w:space="0" w:color="auto"/>
                                            <w:bottom w:val="none" w:sz="0" w:space="0" w:color="auto"/>
                                            <w:right w:val="none" w:sz="0" w:space="0" w:color="auto"/>
                                          </w:divBdr>
                                          <w:divsChild>
                                            <w:div w:id="211232458">
                                              <w:marLeft w:val="0"/>
                                              <w:marRight w:val="0"/>
                                              <w:marTop w:val="0"/>
                                              <w:marBottom w:val="0"/>
                                              <w:divBdr>
                                                <w:top w:val="none" w:sz="0" w:space="0" w:color="auto"/>
                                                <w:left w:val="none" w:sz="0" w:space="0" w:color="auto"/>
                                                <w:bottom w:val="none" w:sz="0" w:space="0" w:color="auto"/>
                                                <w:right w:val="none" w:sz="0" w:space="0" w:color="auto"/>
                                              </w:divBdr>
                                              <w:divsChild>
                                                <w:div w:id="1094787204">
                                                  <w:marLeft w:val="0"/>
                                                  <w:marRight w:val="0"/>
                                                  <w:marTop w:val="0"/>
                                                  <w:marBottom w:val="0"/>
                                                  <w:divBdr>
                                                    <w:top w:val="none" w:sz="0" w:space="0" w:color="auto"/>
                                                    <w:left w:val="none" w:sz="0" w:space="0" w:color="auto"/>
                                                    <w:bottom w:val="none" w:sz="0" w:space="0" w:color="auto"/>
                                                    <w:right w:val="none" w:sz="0" w:space="0" w:color="auto"/>
                                                  </w:divBdr>
                                                  <w:divsChild>
                                                    <w:div w:id="1991641190">
                                                      <w:marLeft w:val="0"/>
                                                      <w:marRight w:val="0"/>
                                                      <w:marTop w:val="0"/>
                                                      <w:marBottom w:val="0"/>
                                                      <w:divBdr>
                                                        <w:top w:val="none" w:sz="0" w:space="0" w:color="auto"/>
                                                        <w:left w:val="none" w:sz="0" w:space="0" w:color="auto"/>
                                                        <w:bottom w:val="none" w:sz="0" w:space="0" w:color="auto"/>
                                                        <w:right w:val="none" w:sz="0" w:space="0" w:color="auto"/>
                                                      </w:divBdr>
                                                      <w:divsChild>
                                                        <w:div w:id="1649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65562">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322077">
      <w:bodyDiv w:val="1"/>
      <w:marLeft w:val="0"/>
      <w:marRight w:val="0"/>
      <w:marTop w:val="0"/>
      <w:marBottom w:val="0"/>
      <w:divBdr>
        <w:top w:val="none" w:sz="0" w:space="0" w:color="auto"/>
        <w:left w:val="none" w:sz="0" w:space="0" w:color="auto"/>
        <w:bottom w:val="none" w:sz="0" w:space="0" w:color="auto"/>
        <w:right w:val="none" w:sz="0" w:space="0" w:color="auto"/>
      </w:divBdr>
      <w:divsChild>
        <w:div w:id="1383016053">
          <w:marLeft w:val="0"/>
          <w:marRight w:val="0"/>
          <w:marTop w:val="0"/>
          <w:marBottom w:val="0"/>
          <w:divBdr>
            <w:top w:val="none" w:sz="0" w:space="0" w:color="auto"/>
            <w:left w:val="none" w:sz="0" w:space="0" w:color="auto"/>
            <w:bottom w:val="none" w:sz="0" w:space="0" w:color="auto"/>
            <w:right w:val="none" w:sz="0" w:space="0" w:color="auto"/>
          </w:divBdr>
          <w:divsChild>
            <w:div w:id="669793009">
              <w:marLeft w:val="0"/>
              <w:marRight w:val="0"/>
              <w:marTop w:val="0"/>
              <w:marBottom w:val="0"/>
              <w:divBdr>
                <w:top w:val="none" w:sz="0" w:space="0" w:color="auto"/>
                <w:left w:val="none" w:sz="0" w:space="0" w:color="auto"/>
                <w:bottom w:val="none" w:sz="0" w:space="0" w:color="auto"/>
                <w:right w:val="none" w:sz="0" w:space="0" w:color="auto"/>
              </w:divBdr>
              <w:divsChild>
                <w:div w:id="360085797">
                  <w:marLeft w:val="0"/>
                  <w:marRight w:val="0"/>
                  <w:marTop w:val="0"/>
                  <w:marBottom w:val="0"/>
                  <w:divBdr>
                    <w:top w:val="none" w:sz="0" w:space="0" w:color="auto"/>
                    <w:left w:val="none" w:sz="0" w:space="0" w:color="auto"/>
                    <w:bottom w:val="none" w:sz="0" w:space="0" w:color="auto"/>
                    <w:right w:val="none" w:sz="0" w:space="0" w:color="auto"/>
                  </w:divBdr>
                  <w:divsChild>
                    <w:div w:id="808474557">
                      <w:marLeft w:val="0"/>
                      <w:marRight w:val="0"/>
                      <w:marTop w:val="0"/>
                      <w:marBottom w:val="0"/>
                      <w:divBdr>
                        <w:top w:val="none" w:sz="0" w:space="0" w:color="auto"/>
                        <w:left w:val="none" w:sz="0" w:space="0" w:color="auto"/>
                        <w:bottom w:val="none" w:sz="0" w:space="0" w:color="auto"/>
                        <w:right w:val="none" w:sz="0" w:space="0" w:color="auto"/>
                      </w:divBdr>
                      <w:divsChild>
                        <w:div w:id="355081389">
                          <w:marLeft w:val="0"/>
                          <w:marRight w:val="0"/>
                          <w:marTop w:val="0"/>
                          <w:marBottom w:val="0"/>
                          <w:divBdr>
                            <w:top w:val="none" w:sz="0" w:space="0" w:color="auto"/>
                            <w:left w:val="none" w:sz="0" w:space="0" w:color="auto"/>
                            <w:bottom w:val="none" w:sz="0" w:space="0" w:color="auto"/>
                            <w:right w:val="none" w:sz="0" w:space="0" w:color="auto"/>
                          </w:divBdr>
                          <w:divsChild>
                            <w:div w:id="1007362938">
                              <w:marLeft w:val="0"/>
                              <w:marRight w:val="0"/>
                              <w:marTop w:val="0"/>
                              <w:marBottom w:val="0"/>
                              <w:divBdr>
                                <w:top w:val="none" w:sz="0" w:space="0" w:color="auto"/>
                                <w:left w:val="none" w:sz="0" w:space="0" w:color="auto"/>
                                <w:bottom w:val="none" w:sz="0" w:space="0" w:color="auto"/>
                                <w:right w:val="none" w:sz="0" w:space="0" w:color="auto"/>
                              </w:divBdr>
                              <w:divsChild>
                                <w:div w:id="1378506269">
                                  <w:marLeft w:val="0"/>
                                  <w:marRight w:val="0"/>
                                  <w:marTop w:val="0"/>
                                  <w:marBottom w:val="0"/>
                                  <w:divBdr>
                                    <w:top w:val="none" w:sz="0" w:space="0" w:color="auto"/>
                                    <w:left w:val="none" w:sz="0" w:space="0" w:color="auto"/>
                                    <w:bottom w:val="none" w:sz="0" w:space="0" w:color="auto"/>
                                    <w:right w:val="none" w:sz="0" w:space="0" w:color="auto"/>
                                  </w:divBdr>
                                  <w:divsChild>
                                    <w:div w:id="1986272620">
                                      <w:marLeft w:val="0"/>
                                      <w:marRight w:val="0"/>
                                      <w:marTop w:val="0"/>
                                      <w:marBottom w:val="0"/>
                                      <w:divBdr>
                                        <w:top w:val="none" w:sz="0" w:space="0" w:color="auto"/>
                                        <w:left w:val="none" w:sz="0" w:space="0" w:color="auto"/>
                                        <w:bottom w:val="none" w:sz="0" w:space="0" w:color="auto"/>
                                        <w:right w:val="none" w:sz="0" w:space="0" w:color="auto"/>
                                      </w:divBdr>
                                      <w:divsChild>
                                        <w:div w:id="1997302504">
                                          <w:marLeft w:val="0"/>
                                          <w:marRight w:val="0"/>
                                          <w:marTop w:val="0"/>
                                          <w:marBottom w:val="0"/>
                                          <w:divBdr>
                                            <w:top w:val="none" w:sz="0" w:space="0" w:color="auto"/>
                                            <w:left w:val="none" w:sz="0" w:space="0" w:color="auto"/>
                                            <w:bottom w:val="none" w:sz="0" w:space="0" w:color="auto"/>
                                            <w:right w:val="none" w:sz="0" w:space="0" w:color="auto"/>
                                          </w:divBdr>
                                          <w:divsChild>
                                            <w:div w:id="2110077666">
                                              <w:marLeft w:val="0"/>
                                              <w:marRight w:val="0"/>
                                              <w:marTop w:val="0"/>
                                              <w:marBottom w:val="0"/>
                                              <w:divBdr>
                                                <w:top w:val="none" w:sz="0" w:space="0" w:color="auto"/>
                                                <w:left w:val="none" w:sz="0" w:space="0" w:color="auto"/>
                                                <w:bottom w:val="none" w:sz="0" w:space="0" w:color="auto"/>
                                                <w:right w:val="none" w:sz="0" w:space="0" w:color="auto"/>
                                              </w:divBdr>
                                              <w:divsChild>
                                                <w:div w:id="1748377078">
                                                  <w:marLeft w:val="0"/>
                                                  <w:marRight w:val="0"/>
                                                  <w:marTop w:val="0"/>
                                                  <w:marBottom w:val="0"/>
                                                  <w:divBdr>
                                                    <w:top w:val="none" w:sz="0" w:space="0" w:color="auto"/>
                                                    <w:left w:val="none" w:sz="0" w:space="0" w:color="auto"/>
                                                    <w:bottom w:val="none" w:sz="0" w:space="0" w:color="auto"/>
                                                    <w:right w:val="none" w:sz="0" w:space="0" w:color="auto"/>
                                                  </w:divBdr>
                                                  <w:divsChild>
                                                    <w:div w:id="1382367116">
                                                      <w:marLeft w:val="0"/>
                                                      <w:marRight w:val="0"/>
                                                      <w:marTop w:val="0"/>
                                                      <w:marBottom w:val="0"/>
                                                      <w:divBdr>
                                                        <w:top w:val="none" w:sz="0" w:space="0" w:color="auto"/>
                                                        <w:left w:val="none" w:sz="0" w:space="0" w:color="auto"/>
                                                        <w:bottom w:val="none" w:sz="0" w:space="0" w:color="auto"/>
                                                        <w:right w:val="none" w:sz="0" w:space="0" w:color="auto"/>
                                                      </w:divBdr>
                                                      <w:divsChild>
                                                        <w:div w:id="170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826036">
      <w:bodyDiv w:val="1"/>
      <w:marLeft w:val="0"/>
      <w:marRight w:val="0"/>
      <w:marTop w:val="0"/>
      <w:marBottom w:val="0"/>
      <w:divBdr>
        <w:top w:val="none" w:sz="0" w:space="0" w:color="auto"/>
        <w:left w:val="none" w:sz="0" w:space="0" w:color="auto"/>
        <w:bottom w:val="none" w:sz="0" w:space="0" w:color="auto"/>
        <w:right w:val="none" w:sz="0" w:space="0" w:color="auto"/>
      </w:divBdr>
      <w:divsChild>
        <w:div w:id="1063135928">
          <w:marLeft w:val="0"/>
          <w:marRight w:val="0"/>
          <w:marTop w:val="0"/>
          <w:marBottom w:val="0"/>
          <w:divBdr>
            <w:top w:val="none" w:sz="0" w:space="0" w:color="auto"/>
            <w:left w:val="none" w:sz="0" w:space="0" w:color="auto"/>
            <w:bottom w:val="none" w:sz="0" w:space="0" w:color="auto"/>
            <w:right w:val="none" w:sz="0" w:space="0" w:color="auto"/>
          </w:divBdr>
          <w:divsChild>
            <w:div w:id="878781708">
              <w:marLeft w:val="0"/>
              <w:marRight w:val="0"/>
              <w:marTop w:val="0"/>
              <w:marBottom w:val="0"/>
              <w:divBdr>
                <w:top w:val="none" w:sz="0" w:space="0" w:color="auto"/>
                <w:left w:val="none" w:sz="0" w:space="0" w:color="auto"/>
                <w:bottom w:val="none" w:sz="0" w:space="0" w:color="auto"/>
                <w:right w:val="none" w:sz="0" w:space="0" w:color="auto"/>
              </w:divBdr>
              <w:divsChild>
                <w:div w:id="634870491">
                  <w:marLeft w:val="0"/>
                  <w:marRight w:val="0"/>
                  <w:marTop w:val="0"/>
                  <w:marBottom w:val="0"/>
                  <w:divBdr>
                    <w:top w:val="none" w:sz="0" w:space="0" w:color="auto"/>
                    <w:left w:val="none" w:sz="0" w:space="0" w:color="auto"/>
                    <w:bottom w:val="none" w:sz="0" w:space="0" w:color="auto"/>
                    <w:right w:val="none" w:sz="0" w:space="0" w:color="auto"/>
                  </w:divBdr>
                  <w:divsChild>
                    <w:div w:id="99641025">
                      <w:marLeft w:val="0"/>
                      <w:marRight w:val="0"/>
                      <w:marTop w:val="0"/>
                      <w:marBottom w:val="0"/>
                      <w:divBdr>
                        <w:top w:val="none" w:sz="0" w:space="0" w:color="auto"/>
                        <w:left w:val="none" w:sz="0" w:space="0" w:color="auto"/>
                        <w:bottom w:val="none" w:sz="0" w:space="0" w:color="auto"/>
                        <w:right w:val="none" w:sz="0" w:space="0" w:color="auto"/>
                      </w:divBdr>
                      <w:divsChild>
                        <w:div w:id="1805192320">
                          <w:marLeft w:val="0"/>
                          <w:marRight w:val="0"/>
                          <w:marTop w:val="0"/>
                          <w:marBottom w:val="0"/>
                          <w:divBdr>
                            <w:top w:val="none" w:sz="0" w:space="0" w:color="auto"/>
                            <w:left w:val="none" w:sz="0" w:space="0" w:color="auto"/>
                            <w:bottom w:val="none" w:sz="0" w:space="0" w:color="auto"/>
                            <w:right w:val="none" w:sz="0" w:space="0" w:color="auto"/>
                          </w:divBdr>
                          <w:divsChild>
                            <w:div w:id="1623073961">
                              <w:marLeft w:val="0"/>
                              <w:marRight w:val="0"/>
                              <w:marTop w:val="0"/>
                              <w:marBottom w:val="0"/>
                              <w:divBdr>
                                <w:top w:val="none" w:sz="0" w:space="0" w:color="auto"/>
                                <w:left w:val="none" w:sz="0" w:space="0" w:color="auto"/>
                                <w:bottom w:val="none" w:sz="0" w:space="0" w:color="auto"/>
                                <w:right w:val="none" w:sz="0" w:space="0" w:color="auto"/>
                              </w:divBdr>
                              <w:divsChild>
                                <w:div w:id="364840859">
                                  <w:marLeft w:val="0"/>
                                  <w:marRight w:val="0"/>
                                  <w:marTop w:val="0"/>
                                  <w:marBottom w:val="0"/>
                                  <w:divBdr>
                                    <w:top w:val="none" w:sz="0" w:space="0" w:color="auto"/>
                                    <w:left w:val="none" w:sz="0" w:space="0" w:color="auto"/>
                                    <w:bottom w:val="none" w:sz="0" w:space="0" w:color="auto"/>
                                    <w:right w:val="none" w:sz="0" w:space="0" w:color="auto"/>
                                  </w:divBdr>
                                  <w:divsChild>
                                    <w:div w:id="1642802607">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323006491">
                                              <w:marLeft w:val="0"/>
                                              <w:marRight w:val="0"/>
                                              <w:marTop w:val="0"/>
                                              <w:marBottom w:val="0"/>
                                              <w:divBdr>
                                                <w:top w:val="none" w:sz="0" w:space="0" w:color="auto"/>
                                                <w:left w:val="none" w:sz="0" w:space="0" w:color="auto"/>
                                                <w:bottom w:val="none" w:sz="0" w:space="0" w:color="auto"/>
                                                <w:right w:val="none" w:sz="0" w:space="0" w:color="auto"/>
                                              </w:divBdr>
                                              <w:divsChild>
                                                <w:div w:id="953830878">
                                                  <w:marLeft w:val="0"/>
                                                  <w:marRight w:val="0"/>
                                                  <w:marTop w:val="0"/>
                                                  <w:marBottom w:val="0"/>
                                                  <w:divBdr>
                                                    <w:top w:val="none" w:sz="0" w:space="0" w:color="auto"/>
                                                    <w:left w:val="none" w:sz="0" w:space="0" w:color="auto"/>
                                                    <w:bottom w:val="none" w:sz="0" w:space="0" w:color="auto"/>
                                                    <w:right w:val="none" w:sz="0" w:space="0" w:color="auto"/>
                                                  </w:divBdr>
                                                  <w:divsChild>
                                                    <w:div w:id="1896508575">
                                                      <w:marLeft w:val="0"/>
                                                      <w:marRight w:val="0"/>
                                                      <w:marTop w:val="0"/>
                                                      <w:marBottom w:val="0"/>
                                                      <w:divBdr>
                                                        <w:top w:val="none" w:sz="0" w:space="0" w:color="auto"/>
                                                        <w:left w:val="none" w:sz="0" w:space="0" w:color="auto"/>
                                                        <w:bottom w:val="none" w:sz="0" w:space="0" w:color="auto"/>
                                                        <w:right w:val="none" w:sz="0" w:space="0" w:color="auto"/>
                                                      </w:divBdr>
                                                      <w:divsChild>
                                                        <w:div w:id="18221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91726184">
      <w:bodyDiv w:val="1"/>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sChild>
            <w:div w:id="665209086">
              <w:marLeft w:val="0"/>
              <w:marRight w:val="0"/>
              <w:marTop w:val="0"/>
              <w:marBottom w:val="0"/>
              <w:divBdr>
                <w:top w:val="none" w:sz="0" w:space="0" w:color="auto"/>
                <w:left w:val="none" w:sz="0" w:space="0" w:color="auto"/>
                <w:bottom w:val="none" w:sz="0" w:space="0" w:color="auto"/>
                <w:right w:val="none" w:sz="0" w:space="0" w:color="auto"/>
              </w:divBdr>
              <w:divsChild>
                <w:div w:id="688331982">
                  <w:marLeft w:val="0"/>
                  <w:marRight w:val="0"/>
                  <w:marTop w:val="0"/>
                  <w:marBottom w:val="0"/>
                  <w:divBdr>
                    <w:top w:val="none" w:sz="0" w:space="0" w:color="auto"/>
                    <w:left w:val="none" w:sz="0" w:space="0" w:color="auto"/>
                    <w:bottom w:val="none" w:sz="0" w:space="0" w:color="auto"/>
                    <w:right w:val="none" w:sz="0" w:space="0" w:color="auto"/>
                  </w:divBdr>
                  <w:divsChild>
                    <w:div w:id="915019045">
                      <w:marLeft w:val="0"/>
                      <w:marRight w:val="0"/>
                      <w:marTop w:val="0"/>
                      <w:marBottom w:val="0"/>
                      <w:divBdr>
                        <w:top w:val="none" w:sz="0" w:space="0" w:color="auto"/>
                        <w:left w:val="none" w:sz="0" w:space="0" w:color="auto"/>
                        <w:bottom w:val="none" w:sz="0" w:space="0" w:color="auto"/>
                        <w:right w:val="none" w:sz="0" w:space="0" w:color="auto"/>
                      </w:divBdr>
                      <w:divsChild>
                        <w:div w:id="241109584">
                          <w:marLeft w:val="0"/>
                          <w:marRight w:val="0"/>
                          <w:marTop w:val="0"/>
                          <w:marBottom w:val="0"/>
                          <w:divBdr>
                            <w:top w:val="none" w:sz="0" w:space="0" w:color="auto"/>
                            <w:left w:val="none" w:sz="0" w:space="0" w:color="auto"/>
                            <w:bottom w:val="none" w:sz="0" w:space="0" w:color="auto"/>
                            <w:right w:val="none" w:sz="0" w:space="0" w:color="auto"/>
                          </w:divBdr>
                          <w:divsChild>
                            <w:div w:id="87773113">
                              <w:marLeft w:val="0"/>
                              <w:marRight w:val="0"/>
                              <w:marTop w:val="0"/>
                              <w:marBottom w:val="0"/>
                              <w:divBdr>
                                <w:top w:val="none" w:sz="0" w:space="0" w:color="auto"/>
                                <w:left w:val="none" w:sz="0" w:space="0" w:color="auto"/>
                                <w:bottom w:val="none" w:sz="0" w:space="0" w:color="auto"/>
                                <w:right w:val="none" w:sz="0" w:space="0" w:color="auto"/>
                              </w:divBdr>
                              <w:divsChild>
                                <w:div w:id="982151773">
                                  <w:marLeft w:val="0"/>
                                  <w:marRight w:val="0"/>
                                  <w:marTop w:val="0"/>
                                  <w:marBottom w:val="0"/>
                                  <w:divBdr>
                                    <w:top w:val="none" w:sz="0" w:space="0" w:color="auto"/>
                                    <w:left w:val="none" w:sz="0" w:space="0" w:color="auto"/>
                                    <w:bottom w:val="none" w:sz="0" w:space="0" w:color="auto"/>
                                    <w:right w:val="none" w:sz="0" w:space="0" w:color="auto"/>
                                  </w:divBdr>
                                  <w:divsChild>
                                    <w:div w:id="1054234862">
                                      <w:marLeft w:val="0"/>
                                      <w:marRight w:val="0"/>
                                      <w:marTop w:val="0"/>
                                      <w:marBottom w:val="0"/>
                                      <w:divBdr>
                                        <w:top w:val="none" w:sz="0" w:space="0" w:color="auto"/>
                                        <w:left w:val="none" w:sz="0" w:space="0" w:color="auto"/>
                                        <w:bottom w:val="none" w:sz="0" w:space="0" w:color="auto"/>
                                        <w:right w:val="none" w:sz="0" w:space="0" w:color="auto"/>
                                      </w:divBdr>
                                      <w:divsChild>
                                        <w:div w:id="1140805089">
                                          <w:marLeft w:val="0"/>
                                          <w:marRight w:val="0"/>
                                          <w:marTop w:val="0"/>
                                          <w:marBottom w:val="0"/>
                                          <w:divBdr>
                                            <w:top w:val="none" w:sz="0" w:space="0" w:color="auto"/>
                                            <w:left w:val="none" w:sz="0" w:space="0" w:color="auto"/>
                                            <w:bottom w:val="none" w:sz="0" w:space="0" w:color="auto"/>
                                            <w:right w:val="none" w:sz="0" w:space="0" w:color="auto"/>
                                          </w:divBdr>
                                          <w:divsChild>
                                            <w:div w:id="1011908579">
                                              <w:marLeft w:val="0"/>
                                              <w:marRight w:val="0"/>
                                              <w:marTop w:val="0"/>
                                              <w:marBottom w:val="0"/>
                                              <w:divBdr>
                                                <w:top w:val="none" w:sz="0" w:space="0" w:color="auto"/>
                                                <w:left w:val="none" w:sz="0" w:space="0" w:color="auto"/>
                                                <w:bottom w:val="none" w:sz="0" w:space="0" w:color="auto"/>
                                                <w:right w:val="none" w:sz="0" w:space="0" w:color="auto"/>
                                              </w:divBdr>
                                              <w:divsChild>
                                                <w:div w:id="932786298">
                                                  <w:marLeft w:val="0"/>
                                                  <w:marRight w:val="0"/>
                                                  <w:marTop w:val="0"/>
                                                  <w:marBottom w:val="0"/>
                                                  <w:divBdr>
                                                    <w:top w:val="none" w:sz="0" w:space="0" w:color="auto"/>
                                                    <w:left w:val="none" w:sz="0" w:space="0" w:color="auto"/>
                                                    <w:bottom w:val="none" w:sz="0" w:space="0" w:color="auto"/>
                                                    <w:right w:val="none" w:sz="0" w:space="0" w:color="auto"/>
                                                  </w:divBdr>
                                                  <w:divsChild>
                                                    <w:div w:id="1282759704">
                                                      <w:marLeft w:val="0"/>
                                                      <w:marRight w:val="0"/>
                                                      <w:marTop w:val="0"/>
                                                      <w:marBottom w:val="0"/>
                                                      <w:divBdr>
                                                        <w:top w:val="none" w:sz="0" w:space="0" w:color="auto"/>
                                                        <w:left w:val="none" w:sz="0" w:space="0" w:color="auto"/>
                                                        <w:bottom w:val="none" w:sz="0" w:space="0" w:color="auto"/>
                                                        <w:right w:val="none" w:sz="0" w:space="0" w:color="auto"/>
                                                      </w:divBdr>
                                                      <w:divsChild>
                                                        <w:div w:id="1479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390947">
      <w:bodyDiv w:val="1"/>
      <w:marLeft w:val="0"/>
      <w:marRight w:val="0"/>
      <w:marTop w:val="0"/>
      <w:marBottom w:val="0"/>
      <w:divBdr>
        <w:top w:val="none" w:sz="0" w:space="0" w:color="auto"/>
        <w:left w:val="none" w:sz="0" w:space="0" w:color="auto"/>
        <w:bottom w:val="none" w:sz="0" w:space="0" w:color="auto"/>
        <w:right w:val="none" w:sz="0" w:space="0" w:color="auto"/>
      </w:divBdr>
      <w:divsChild>
        <w:div w:id="419833621">
          <w:marLeft w:val="0"/>
          <w:marRight w:val="0"/>
          <w:marTop w:val="0"/>
          <w:marBottom w:val="0"/>
          <w:divBdr>
            <w:top w:val="none" w:sz="0" w:space="0" w:color="auto"/>
            <w:left w:val="none" w:sz="0" w:space="0" w:color="auto"/>
            <w:bottom w:val="none" w:sz="0" w:space="0" w:color="auto"/>
            <w:right w:val="none" w:sz="0" w:space="0" w:color="auto"/>
          </w:divBdr>
          <w:divsChild>
            <w:div w:id="455022844">
              <w:marLeft w:val="0"/>
              <w:marRight w:val="0"/>
              <w:marTop w:val="0"/>
              <w:marBottom w:val="0"/>
              <w:divBdr>
                <w:top w:val="none" w:sz="0" w:space="0" w:color="auto"/>
                <w:left w:val="none" w:sz="0" w:space="0" w:color="auto"/>
                <w:bottom w:val="none" w:sz="0" w:space="0" w:color="auto"/>
                <w:right w:val="none" w:sz="0" w:space="0" w:color="auto"/>
              </w:divBdr>
              <w:divsChild>
                <w:div w:id="509223779">
                  <w:marLeft w:val="0"/>
                  <w:marRight w:val="0"/>
                  <w:marTop w:val="0"/>
                  <w:marBottom w:val="0"/>
                  <w:divBdr>
                    <w:top w:val="none" w:sz="0" w:space="0" w:color="auto"/>
                    <w:left w:val="none" w:sz="0" w:space="0" w:color="auto"/>
                    <w:bottom w:val="none" w:sz="0" w:space="0" w:color="auto"/>
                    <w:right w:val="none" w:sz="0" w:space="0" w:color="auto"/>
                  </w:divBdr>
                  <w:divsChild>
                    <w:div w:id="1621570074">
                      <w:marLeft w:val="0"/>
                      <w:marRight w:val="0"/>
                      <w:marTop w:val="0"/>
                      <w:marBottom w:val="0"/>
                      <w:divBdr>
                        <w:top w:val="none" w:sz="0" w:space="0" w:color="auto"/>
                        <w:left w:val="none" w:sz="0" w:space="0" w:color="auto"/>
                        <w:bottom w:val="none" w:sz="0" w:space="0" w:color="auto"/>
                        <w:right w:val="none" w:sz="0" w:space="0" w:color="auto"/>
                      </w:divBdr>
                      <w:divsChild>
                        <w:div w:id="1482649020">
                          <w:marLeft w:val="0"/>
                          <w:marRight w:val="0"/>
                          <w:marTop w:val="0"/>
                          <w:marBottom w:val="0"/>
                          <w:divBdr>
                            <w:top w:val="none" w:sz="0" w:space="0" w:color="auto"/>
                            <w:left w:val="none" w:sz="0" w:space="0" w:color="auto"/>
                            <w:bottom w:val="none" w:sz="0" w:space="0" w:color="auto"/>
                            <w:right w:val="none" w:sz="0" w:space="0" w:color="auto"/>
                          </w:divBdr>
                          <w:divsChild>
                            <w:div w:id="233323396">
                              <w:marLeft w:val="0"/>
                              <w:marRight w:val="0"/>
                              <w:marTop w:val="0"/>
                              <w:marBottom w:val="0"/>
                              <w:divBdr>
                                <w:top w:val="none" w:sz="0" w:space="0" w:color="auto"/>
                                <w:left w:val="none" w:sz="0" w:space="0" w:color="auto"/>
                                <w:bottom w:val="none" w:sz="0" w:space="0" w:color="auto"/>
                                <w:right w:val="none" w:sz="0" w:space="0" w:color="auto"/>
                              </w:divBdr>
                              <w:divsChild>
                                <w:div w:id="1282807550">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782914566">
                                          <w:marLeft w:val="0"/>
                                          <w:marRight w:val="0"/>
                                          <w:marTop w:val="0"/>
                                          <w:marBottom w:val="0"/>
                                          <w:divBdr>
                                            <w:top w:val="none" w:sz="0" w:space="0" w:color="auto"/>
                                            <w:left w:val="none" w:sz="0" w:space="0" w:color="auto"/>
                                            <w:bottom w:val="none" w:sz="0" w:space="0" w:color="auto"/>
                                            <w:right w:val="none" w:sz="0" w:space="0" w:color="auto"/>
                                          </w:divBdr>
                                          <w:divsChild>
                                            <w:div w:id="769738987">
                                              <w:marLeft w:val="0"/>
                                              <w:marRight w:val="0"/>
                                              <w:marTop w:val="0"/>
                                              <w:marBottom w:val="0"/>
                                              <w:divBdr>
                                                <w:top w:val="none" w:sz="0" w:space="0" w:color="auto"/>
                                                <w:left w:val="none" w:sz="0" w:space="0" w:color="auto"/>
                                                <w:bottom w:val="none" w:sz="0" w:space="0" w:color="auto"/>
                                                <w:right w:val="none" w:sz="0" w:space="0" w:color="auto"/>
                                              </w:divBdr>
                                              <w:divsChild>
                                                <w:div w:id="737437544">
                                                  <w:marLeft w:val="0"/>
                                                  <w:marRight w:val="0"/>
                                                  <w:marTop w:val="0"/>
                                                  <w:marBottom w:val="0"/>
                                                  <w:divBdr>
                                                    <w:top w:val="none" w:sz="0" w:space="0" w:color="auto"/>
                                                    <w:left w:val="none" w:sz="0" w:space="0" w:color="auto"/>
                                                    <w:bottom w:val="none" w:sz="0" w:space="0" w:color="auto"/>
                                                    <w:right w:val="none" w:sz="0" w:space="0" w:color="auto"/>
                                                  </w:divBdr>
                                                  <w:divsChild>
                                                    <w:div w:id="1403454979">
                                                      <w:marLeft w:val="0"/>
                                                      <w:marRight w:val="0"/>
                                                      <w:marTop w:val="0"/>
                                                      <w:marBottom w:val="0"/>
                                                      <w:divBdr>
                                                        <w:top w:val="none" w:sz="0" w:space="0" w:color="auto"/>
                                                        <w:left w:val="none" w:sz="0" w:space="0" w:color="auto"/>
                                                        <w:bottom w:val="none" w:sz="0" w:space="0" w:color="auto"/>
                                                        <w:right w:val="none" w:sz="0" w:space="0" w:color="auto"/>
                                                      </w:divBdr>
                                                      <w:divsChild>
                                                        <w:div w:id="3491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0B837B52-2358-4CAE-9D35-7624E6D8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cp:revision>
  <cp:lastPrinted>2020-04-03T01:01:00Z</cp:lastPrinted>
  <dcterms:created xsi:type="dcterms:W3CDTF">2020-04-03T07:43:00Z</dcterms:created>
  <dcterms:modified xsi:type="dcterms:W3CDTF">2020-04-04T02:52:00Z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y fmtid="{D5CDD505-2E9C-101B-9397-08002B2CF9AE}" pid="9" name="checkforsharepointfields">
    <vt:lpwstr>True</vt:lpwstr>
  </property>
  <property fmtid="{D5CDD505-2E9C-101B-9397-08002B2CF9AE}" pid="10" name="Template Filename">
    <vt:lpwstr/>
  </property>
  <property fmtid="{D5CDD505-2E9C-101B-9397-08002B2CF9AE}" pid="11" name="ObjectiveRef">
    <vt:lpwstr>Removed</vt:lpwstr>
  </property>
  <property fmtid="{D5CDD505-2E9C-101B-9397-08002B2CF9AE}" pid="12" name="LeadingLawyers">
    <vt:lpwstr>Removed</vt:lpwstr>
  </property>
</Properties>
</file>