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6F329" w14:textId="7D9025EE" w:rsidR="009A6866" w:rsidRPr="009A6866" w:rsidRDefault="00E0137A" w:rsidP="009A6866">
      <w:pPr>
        <w:pStyle w:val="Heading6"/>
      </w:pPr>
      <w:bookmarkStart w:id="0" w:name="_GoBack"/>
      <w:bookmarkEnd w:id="0"/>
      <w:r>
        <w:t>Military Superannuation and Benefits</w:t>
      </w:r>
      <w:r w:rsidR="009A6866" w:rsidRPr="009A6866">
        <w:t xml:space="preserve"> (</w:t>
      </w:r>
      <w:r>
        <w:t>Eligible Members</w:t>
      </w:r>
      <w:r w:rsidR="009A6866" w:rsidRPr="009A6866">
        <w:t xml:space="preserve">) </w:t>
      </w:r>
      <w:r>
        <w:t>Declaration 20</w:t>
      </w:r>
      <w:r w:rsidR="00272573">
        <w:t>20</w:t>
      </w:r>
    </w:p>
    <w:p w14:paraId="5B29FBC0" w14:textId="77777777" w:rsidR="00E0137A" w:rsidRPr="00E0137A" w:rsidRDefault="00E0137A" w:rsidP="008B0333">
      <w:pPr>
        <w:spacing w:after="200"/>
        <w:rPr>
          <w:rFonts w:ascii="Arial" w:hAnsi="Arial" w:cs="Arial"/>
          <w:sz w:val="20"/>
        </w:rPr>
      </w:pPr>
      <w:r w:rsidRPr="00E0137A">
        <w:rPr>
          <w:rFonts w:ascii="Arial" w:hAnsi="Arial" w:cs="Arial"/>
          <w:sz w:val="20"/>
        </w:rPr>
        <w:t xml:space="preserve">The </w:t>
      </w:r>
      <w:r w:rsidRPr="00E0137A">
        <w:rPr>
          <w:rFonts w:ascii="Arial" w:hAnsi="Arial" w:cs="Arial"/>
          <w:i/>
          <w:sz w:val="20"/>
        </w:rPr>
        <w:t>Military Superannuation and Benefits Act 1991</w:t>
      </w:r>
      <w:r w:rsidRPr="00E0137A">
        <w:rPr>
          <w:rFonts w:ascii="Arial" w:hAnsi="Arial" w:cs="Arial"/>
          <w:sz w:val="20"/>
        </w:rPr>
        <w:t xml:space="preserve"> (“the Act”) makes provision in Part 8 for the payment of a retention benefit to certain members of the Military Superannuation and Benefits Scheme (“the Scheme”) who have completed 15 years of continuous eligible service. The purpose of the benefit is to induce members to serve for another five years and so get to 20 years of service. </w:t>
      </w:r>
    </w:p>
    <w:p w14:paraId="125462A8" w14:textId="7BE6AA26" w:rsidR="00E0137A" w:rsidRDefault="00E0137A" w:rsidP="00E0137A">
      <w:pPr>
        <w:pStyle w:val="Sectiontext"/>
        <w:rPr>
          <w:rFonts w:cs="Arial"/>
        </w:rPr>
      </w:pPr>
      <w:r w:rsidRPr="00E0137A">
        <w:rPr>
          <w:rFonts w:cs="Arial"/>
        </w:rPr>
        <w:t xml:space="preserve">Part 8 of the Act was repealed under Schedule 4 of the </w:t>
      </w:r>
      <w:r w:rsidRPr="00E0137A">
        <w:rPr>
          <w:rFonts w:cs="Arial"/>
          <w:i/>
        </w:rPr>
        <w:t>Defence Legislation Amendment Act (No. 1) 2005</w:t>
      </w:r>
      <w:r w:rsidRPr="00E0137A">
        <w:rPr>
          <w:rFonts w:cs="Arial"/>
        </w:rPr>
        <w:t>. However, due to a saving provision</w:t>
      </w:r>
      <w:r w:rsidR="00C816AD">
        <w:rPr>
          <w:rFonts w:cs="Arial"/>
        </w:rPr>
        <w:t xml:space="preserve"> in item 4 of Schedule 4 of the amendment</w:t>
      </w:r>
      <w:r w:rsidRPr="00E0137A">
        <w:rPr>
          <w:rFonts w:cs="Arial"/>
        </w:rPr>
        <w:t xml:space="preserve"> Act</w:t>
      </w:r>
      <w:r w:rsidR="00C816AD">
        <w:rPr>
          <w:rFonts w:cs="Arial"/>
        </w:rPr>
        <w:t>,</w:t>
      </w:r>
      <w:r w:rsidRPr="00E0137A">
        <w:rPr>
          <w:rFonts w:cs="Arial"/>
        </w:rPr>
        <w:t xml:space="preserve"> eligibility for the retention benefit is still applicable for eligible members of the Australian Defence Force who were members of the Scheme before 6 October 2005. </w:t>
      </w:r>
    </w:p>
    <w:p w14:paraId="120446E7" w14:textId="488D9C2B" w:rsidR="00E0137A" w:rsidRDefault="00E0137A" w:rsidP="00E0137A">
      <w:pPr>
        <w:pStyle w:val="Sectiontext"/>
        <w:rPr>
          <w:rFonts w:cs="Arial"/>
          <w:i/>
        </w:rPr>
      </w:pPr>
      <w:r>
        <w:rPr>
          <w:rFonts w:cs="Arial"/>
        </w:rPr>
        <w:t xml:space="preserve">This Declaration is a legislative instrument for the purpose of the </w:t>
      </w:r>
      <w:r>
        <w:rPr>
          <w:rFonts w:cs="Arial"/>
          <w:i/>
        </w:rPr>
        <w:t>Legislation Act 2003</w:t>
      </w:r>
      <w:r>
        <w:rPr>
          <w:rFonts w:cs="Arial"/>
        </w:rPr>
        <w:t xml:space="preserve"> and is not subject to disallowance in accordance with item 3 of the table in section 9 of the </w:t>
      </w:r>
      <w:r>
        <w:rPr>
          <w:rFonts w:cs="Arial"/>
          <w:i/>
        </w:rPr>
        <w:t>Legislation (Exemptions and Other Matters) Regulation 2015.</w:t>
      </w:r>
    </w:p>
    <w:p w14:paraId="7BACEC84" w14:textId="626856E3" w:rsidR="00081399" w:rsidRPr="000747FB" w:rsidRDefault="00081399" w:rsidP="00E0137A">
      <w:pPr>
        <w:pStyle w:val="Sectiontext"/>
        <w:rPr>
          <w:rFonts w:cs="Arial"/>
        </w:rPr>
      </w:pPr>
      <w:r>
        <w:rPr>
          <w:rFonts w:cs="Arial"/>
        </w:rPr>
        <w:t xml:space="preserve">To be eligible for the retention benefit under the Act, a person must be an 'eligible member'. An eligible member is defined in subsection 30(1) of the Act and </w:t>
      </w:r>
      <w:r w:rsidR="008B0333">
        <w:rPr>
          <w:rFonts w:cs="Arial"/>
        </w:rPr>
        <w:t xml:space="preserve">paragraph (f) of the definition </w:t>
      </w:r>
      <w:r>
        <w:rPr>
          <w:rFonts w:cs="Arial"/>
        </w:rPr>
        <w:t xml:space="preserve">includes a member declared by the Minister to be </w:t>
      </w:r>
      <w:r w:rsidR="008B0333">
        <w:rPr>
          <w:rFonts w:cs="Arial"/>
        </w:rPr>
        <w:t>an eligible member</w:t>
      </w:r>
      <w:r w:rsidRPr="000747FB">
        <w:rPr>
          <w:rFonts w:cs="Arial"/>
        </w:rPr>
        <w:t>.</w:t>
      </w:r>
    </w:p>
    <w:p w14:paraId="4BA3BBB3" w14:textId="77777777" w:rsidR="00D153CC" w:rsidRDefault="00E0137A" w:rsidP="00E0137A">
      <w:pPr>
        <w:pStyle w:val="Sectiontext"/>
        <w:rPr>
          <w:rFonts w:cs="Arial"/>
        </w:rPr>
      </w:pPr>
      <w:r w:rsidRPr="000747FB">
        <w:rPr>
          <w:rFonts w:cs="Arial"/>
        </w:rPr>
        <w:t>The purpose</w:t>
      </w:r>
      <w:r w:rsidR="00D153CC">
        <w:rPr>
          <w:rFonts w:cs="Arial"/>
        </w:rPr>
        <w:t>s</w:t>
      </w:r>
      <w:r w:rsidR="00081399" w:rsidRPr="000747FB">
        <w:rPr>
          <w:rFonts w:cs="Arial"/>
        </w:rPr>
        <w:t xml:space="preserve"> of this instrument </w:t>
      </w:r>
      <w:r w:rsidR="00D153CC">
        <w:rPr>
          <w:rFonts w:cs="Arial"/>
        </w:rPr>
        <w:t>are as follows.</w:t>
      </w:r>
    </w:p>
    <w:p w14:paraId="7BF7CFC2" w14:textId="6F53E9B6" w:rsidR="00D153CC" w:rsidRPr="00D153CC" w:rsidRDefault="00D153CC" w:rsidP="00D153CC">
      <w:pPr>
        <w:pStyle w:val="Sectiontext"/>
        <w:numPr>
          <w:ilvl w:val="0"/>
          <w:numId w:val="16"/>
        </w:numPr>
        <w:rPr>
          <w:rFonts w:cs="Arial"/>
        </w:rPr>
      </w:pPr>
      <w:r>
        <w:rPr>
          <w:rFonts w:cs="Arial"/>
        </w:rPr>
        <w:t xml:space="preserve">It repeals </w:t>
      </w:r>
      <w:r w:rsidRPr="000747FB">
        <w:rPr>
          <w:i/>
        </w:rPr>
        <w:t>Military Superannuation and Benefits (Eligible Members) Declaration 201</w:t>
      </w:r>
      <w:r w:rsidR="00272573">
        <w:rPr>
          <w:i/>
        </w:rPr>
        <w:t>9</w:t>
      </w:r>
      <w:r>
        <w:rPr>
          <w:i/>
        </w:rPr>
        <w:t>.</w:t>
      </w:r>
    </w:p>
    <w:p w14:paraId="5CB833AA" w14:textId="0214637E" w:rsidR="000747FB" w:rsidRPr="00854DB7" w:rsidRDefault="00AA2CAB" w:rsidP="00D153CC">
      <w:pPr>
        <w:pStyle w:val="Sectiontext"/>
        <w:numPr>
          <w:ilvl w:val="0"/>
          <w:numId w:val="16"/>
        </w:numPr>
        <w:rPr>
          <w:rFonts w:cs="Arial"/>
        </w:rPr>
      </w:pPr>
      <w:r>
        <w:t>It declares</w:t>
      </w:r>
      <w:r w:rsidR="00A9192D">
        <w:t xml:space="preserve"> the</w:t>
      </w:r>
      <w:r w:rsidR="00D153CC">
        <w:t xml:space="preserve"> eligible members for the purpose of the Act who were provided </w:t>
      </w:r>
      <w:r w:rsidR="00854DB7">
        <w:t>under the repealed D</w:t>
      </w:r>
      <w:r w:rsidR="00D153CC">
        <w:t>eclaration.</w:t>
      </w:r>
    </w:p>
    <w:p w14:paraId="740F6440" w14:textId="5EC9C480" w:rsidR="00854DB7" w:rsidRPr="000747FB" w:rsidRDefault="00854DB7" w:rsidP="00D153CC">
      <w:pPr>
        <w:pStyle w:val="Sectiontext"/>
        <w:numPr>
          <w:ilvl w:val="0"/>
          <w:numId w:val="16"/>
        </w:numPr>
        <w:rPr>
          <w:rFonts w:cs="Arial"/>
        </w:rPr>
      </w:pPr>
      <w:r>
        <w:t>It makes the following changes to the eligible members.</w:t>
      </w:r>
    </w:p>
    <w:p w14:paraId="49C1E0F0" w14:textId="57504640" w:rsidR="000747FB" w:rsidRDefault="00854DB7" w:rsidP="00854DB7">
      <w:pPr>
        <w:pStyle w:val="Sectiontext"/>
        <w:numPr>
          <w:ilvl w:val="1"/>
          <w:numId w:val="16"/>
        </w:numPr>
        <w:ind w:left="1134"/>
        <w:rPr>
          <w:rFonts w:cs="Arial"/>
        </w:rPr>
      </w:pPr>
      <w:r>
        <w:rPr>
          <w:rFonts w:cs="Arial"/>
        </w:rPr>
        <w:t>It</w:t>
      </w:r>
      <w:r w:rsidR="00447CE0" w:rsidRPr="000747FB">
        <w:rPr>
          <w:rFonts w:cs="Arial"/>
        </w:rPr>
        <w:t xml:space="preserve"> </w:t>
      </w:r>
      <w:r w:rsidR="00272573">
        <w:rPr>
          <w:rFonts w:cs="Arial"/>
        </w:rPr>
        <w:t>amends the</w:t>
      </w:r>
      <w:r w:rsidR="00AD447E">
        <w:rPr>
          <w:rFonts w:cs="Arial"/>
        </w:rPr>
        <w:t xml:space="preserve"> </w:t>
      </w:r>
      <w:r w:rsidR="00272573">
        <w:rPr>
          <w:rFonts w:cs="Arial"/>
        </w:rPr>
        <w:t>eligibility</w:t>
      </w:r>
      <w:r w:rsidR="00AD447E">
        <w:rPr>
          <w:rFonts w:cs="Arial"/>
        </w:rPr>
        <w:t xml:space="preserve"> date</w:t>
      </w:r>
      <w:r w:rsidR="00272573">
        <w:rPr>
          <w:rFonts w:cs="Arial"/>
        </w:rPr>
        <w:t>s</w:t>
      </w:r>
      <w:r w:rsidR="00AD447E">
        <w:rPr>
          <w:rFonts w:cs="Arial"/>
        </w:rPr>
        <w:t xml:space="preserve"> for </w:t>
      </w:r>
      <w:r w:rsidR="00272573">
        <w:rPr>
          <w:rFonts w:cs="Arial"/>
        </w:rPr>
        <w:t>eight</w:t>
      </w:r>
      <w:r w:rsidR="00AD447E">
        <w:rPr>
          <w:rFonts w:cs="Arial"/>
        </w:rPr>
        <w:t xml:space="preserve"> specified category</w:t>
      </w:r>
      <w:r w:rsidR="000747FB" w:rsidRPr="000747FB">
        <w:rPr>
          <w:rFonts w:cs="Arial"/>
        </w:rPr>
        <w:t>.</w:t>
      </w:r>
      <w:r w:rsidR="006300BE" w:rsidRPr="000747FB">
        <w:rPr>
          <w:rFonts w:cs="Arial"/>
        </w:rPr>
        <w:t xml:space="preserve"> </w:t>
      </w:r>
    </w:p>
    <w:p w14:paraId="1B80746B" w14:textId="551E3760" w:rsidR="00081399" w:rsidRPr="000747FB" w:rsidRDefault="00854DB7" w:rsidP="00854DB7">
      <w:pPr>
        <w:pStyle w:val="Sectiontext"/>
        <w:numPr>
          <w:ilvl w:val="1"/>
          <w:numId w:val="16"/>
        </w:numPr>
        <w:ind w:left="1134"/>
        <w:rPr>
          <w:rFonts w:cs="Arial"/>
        </w:rPr>
      </w:pPr>
      <w:r>
        <w:rPr>
          <w:rFonts w:cs="Arial"/>
        </w:rPr>
        <w:t>It</w:t>
      </w:r>
      <w:r w:rsidR="006300BE" w:rsidRPr="000747FB">
        <w:rPr>
          <w:rFonts w:cs="Arial"/>
        </w:rPr>
        <w:t xml:space="preserve"> declare</w:t>
      </w:r>
      <w:r>
        <w:rPr>
          <w:rFonts w:cs="Arial"/>
        </w:rPr>
        <w:t>s</w:t>
      </w:r>
      <w:r w:rsidR="006300BE" w:rsidRPr="000747FB">
        <w:rPr>
          <w:rFonts w:cs="Arial"/>
        </w:rPr>
        <w:t xml:space="preserve"> an additional </w:t>
      </w:r>
      <w:r w:rsidR="00272573">
        <w:rPr>
          <w:rFonts w:cs="Arial"/>
        </w:rPr>
        <w:t>two</w:t>
      </w:r>
      <w:r w:rsidR="006300BE" w:rsidRPr="000747FB">
        <w:rPr>
          <w:rFonts w:cs="Arial"/>
        </w:rPr>
        <w:t xml:space="preserve"> individual members as eligible members.</w:t>
      </w:r>
    </w:p>
    <w:p w14:paraId="0DE5FF6B" w14:textId="315A0988" w:rsidR="00E0137A" w:rsidRDefault="00E0137A" w:rsidP="001E51FE">
      <w:pPr>
        <w:pStyle w:val="Sectiontext"/>
        <w:rPr>
          <w:snapToGrid w:val="0"/>
        </w:rPr>
      </w:pPr>
      <w:r>
        <w:rPr>
          <w:snapToGrid w:val="0"/>
        </w:rPr>
        <w:t xml:space="preserve">Section 1 of this </w:t>
      </w:r>
      <w:r w:rsidR="006300BE">
        <w:rPr>
          <w:snapToGrid w:val="0"/>
        </w:rPr>
        <w:t>instrument sets out the manner in which this instrument may be cited.</w:t>
      </w:r>
      <w:r>
        <w:rPr>
          <w:snapToGrid w:val="0"/>
        </w:rPr>
        <w:t xml:space="preserve"> </w:t>
      </w:r>
    </w:p>
    <w:p w14:paraId="662C71DB" w14:textId="240DD63A" w:rsidR="006300BE" w:rsidRDefault="006300BE" w:rsidP="001E51FE">
      <w:pPr>
        <w:pStyle w:val="Sectiontext"/>
        <w:rPr>
          <w:snapToGrid w:val="0"/>
        </w:rPr>
      </w:pPr>
      <w:r>
        <w:rPr>
          <w:snapToGrid w:val="0"/>
        </w:rPr>
        <w:t xml:space="preserve">Section 2 provides that this instrument commences on the day after it is registered. </w:t>
      </w:r>
    </w:p>
    <w:p w14:paraId="66C3A9CC" w14:textId="01BBF4CC" w:rsidR="001E51FE" w:rsidRPr="00CA274E" w:rsidRDefault="001E51FE" w:rsidP="001E51FE">
      <w:pPr>
        <w:pStyle w:val="Sectiontext"/>
        <w:rPr>
          <w:snapToGrid w:val="0"/>
        </w:rPr>
      </w:pPr>
      <w:r>
        <w:rPr>
          <w:snapToGrid w:val="0"/>
        </w:rPr>
        <w:t xml:space="preserve">Section 3 provides that this instrument </w:t>
      </w:r>
      <w:r w:rsidR="00CA274E">
        <w:rPr>
          <w:snapToGrid w:val="0"/>
        </w:rPr>
        <w:t>is made</w:t>
      </w:r>
      <w:r>
        <w:rPr>
          <w:snapToGrid w:val="0"/>
        </w:rPr>
        <w:t xml:space="preserve"> under </w:t>
      </w:r>
      <w:r w:rsidR="00CA274E">
        <w:rPr>
          <w:snapToGrid w:val="0"/>
        </w:rPr>
        <w:t xml:space="preserve">paragraph 30(1)(f) of the definition of </w:t>
      </w:r>
      <w:r w:rsidR="00CA274E">
        <w:rPr>
          <w:b/>
          <w:i/>
          <w:snapToGrid w:val="0"/>
        </w:rPr>
        <w:t>eligible member</w:t>
      </w:r>
      <w:r w:rsidR="00CA274E">
        <w:rPr>
          <w:snapToGrid w:val="0"/>
        </w:rPr>
        <w:t xml:space="preserve"> of the </w:t>
      </w:r>
      <w:r w:rsidR="00CA274E">
        <w:rPr>
          <w:i/>
          <w:snapToGrid w:val="0"/>
        </w:rPr>
        <w:t>Military Superannuation and Benefits Act 1991</w:t>
      </w:r>
      <w:r w:rsidR="00CA274E">
        <w:rPr>
          <w:snapToGrid w:val="0"/>
        </w:rPr>
        <w:t xml:space="preserve">, as it continues to apply under item 4 to the </w:t>
      </w:r>
      <w:r w:rsidR="00CA274E">
        <w:rPr>
          <w:i/>
          <w:snapToGrid w:val="0"/>
        </w:rPr>
        <w:t>Defence Legislation Amendment Act (No. 1) 2005</w:t>
      </w:r>
      <w:r w:rsidR="00CA274E">
        <w:rPr>
          <w:snapToGrid w:val="0"/>
        </w:rPr>
        <w:t>.</w:t>
      </w:r>
    </w:p>
    <w:p w14:paraId="7B55DD4F" w14:textId="0010381C" w:rsidR="001E51FE" w:rsidRDefault="001E51FE" w:rsidP="001E51FE">
      <w:pPr>
        <w:pStyle w:val="Sectiontext"/>
        <w:rPr>
          <w:snapToGrid w:val="0"/>
        </w:rPr>
      </w:pPr>
      <w:r w:rsidRPr="00194BD6">
        <w:rPr>
          <w:snapToGrid w:val="0"/>
        </w:rPr>
        <w:t xml:space="preserve">Section 4 provides that </w:t>
      </w:r>
      <w:r w:rsidR="00CA274E">
        <w:rPr>
          <w:snapToGrid w:val="0"/>
        </w:rPr>
        <w:t xml:space="preserve">the </w:t>
      </w:r>
      <w:r w:rsidRPr="00194BD6">
        <w:rPr>
          <w:snapToGrid w:val="0"/>
        </w:rPr>
        <w:t>i</w:t>
      </w:r>
      <w:r w:rsidR="00CA274E">
        <w:rPr>
          <w:snapToGrid w:val="0"/>
        </w:rPr>
        <w:t>nstrument that is specified in</w:t>
      </w:r>
      <w:r w:rsidRPr="00194BD6">
        <w:rPr>
          <w:snapToGrid w:val="0"/>
        </w:rPr>
        <w:t xml:space="preserve"> Schedule </w:t>
      </w:r>
      <w:r w:rsidR="00CA274E">
        <w:rPr>
          <w:snapToGrid w:val="0"/>
        </w:rPr>
        <w:t xml:space="preserve">3 </w:t>
      </w:r>
      <w:r w:rsidRPr="00194BD6">
        <w:rPr>
          <w:snapToGrid w:val="0"/>
        </w:rPr>
        <w:t>to this instrument is amended or repealed as set out in the applicable items in the Schedule concerned, and any other item in a Schedule to this instrument has effect according to its terms.</w:t>
      </w:r>
    </w:p>
    <w:p w14:paraId="522AD3C0" w14:textId="4B8DD650"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CA274E">
        <w:rPr>
          <w:i/>
          <w:snapToGrid w:val="0"/>
          <w:u w:val="single"/>
        </w:rPr>
        <w:t>Eligible members by employme</w:t>
      </w:r>
      <w:r w:rsidR="00082B22">
        <w:rPr>
          <w:i/>
          <w:snapToGrid w:val="0"/>
          <w:u w:val="single"/>
        </w:rPr>
        <w:t>nt categories etc.</w:t>
      </w:r>
    </w:p>
    <w:p w14:paraId="3F2842B4" w14:textId="6B835CF2" w:rsidR="001E51FE" w:rsidRDefault="003E6728" w:rsidP="00FA083A">
      <w:pPr>
        <w:pStyle w:val="Sectiontext"/>
        <w:rPr>
          <w:snapToGrid w:val="0"/>
        </w:rPr>
      </w:pPr>
      <w:r>
        <w:rPr>
          <w:snapToGrid w:val="0"/>
        </w:rPr>
        <w:t xml:space="preserve">Schedule 1 to this instrument lists the employment categories and ranks that a member may hold in order </w:t>
      </w:r>
      <w:proofErr w:type="gramStart"/>
      <w:r>
        <w:rPr>
          <w:snapToGrid w:val="0"/>
        </w:rPr>
        <w:t>to</w:t>
      </w:r>
      <w:proofErr w:type="gramEnd"/>
      <w:r>
        <w:rPr>
          <w:snapToGrid w:val="0"/>
        </w:rPr>
        <w:t xml:space="preserve"> be part of the class of member to whom this Declaration applies. </w:t>
      </w:r>
    </w:p>
    <w:p w14:paraId="63AE8903" w14:textId="3C85A7FC" w:rsidR="00446976" w:rsidRDefault="003E6728" w:rsidP="00FA083A">
      <w:pPr>
        <w:pStyle w:val="Sectiontext"/>
        <w:rPr>
          <w:snapToGrid w:val="0"/>
        </w:rPr>
      </w:pPr>
      <w:r>
        <w:rPr>
          <w:snapToGrid w:val="0"/>
        </w:rPr>
        <w:t xml:space="preserve">Schedule 1 </w:t>
      </w:r>
      <w:r w:rsidR="00854DB7">
        <w:rPr>
          <w:snapToGrid w:val="0"/>
        </w:rPr>
        <w:t>Part 1</w:t>
      </w:r>
      <w:r w:rsidR="00B95B49">
        <w:rPr>
          <w:snapToGrid w:val="0"/>
        </w:rPr>
        <w:t>, Navy,</w:t>
      </w:r>
      <w:r w:rsidR="00854DB7">
        <w:rPr>
          <w:snapToGrid w:val="0"/>
        </w:rPr>
        <w:t xml:space="preserve"> </w:t>
      </w:r>
      <w:r w:rsidR="00FD5FAF">
        <w:rPr>
          <w:snapToGrid w:val="0"/>
        </w:rPr>
        <w:t xml:space="preserve">includes an amendment to the conditions for six employment categories, to </w:t>
      </w:r>
      <w:r w:rsidR="00AA2CAB">
        <w:rPr>
          <w:snapToGrid w:val="0"/>
        </w:rPr>
        <w:t xml:space="preserve">specify </w:t>
      </w:r>
      <w:r w:rsidR="00FD5FAF">
        <w:rPr>
          <w:snapToGrid w:val="0"/>
        </w:rPr>
        <w:t xml:space="preserve">the date that the </w:t>
      </w:r>
      <w:r w:rsidR="00FD5FAF" w:rsidRPr="000747FB">
        <w:rPr>
          <w:i/>
        </w:rPr>
        <w:t>Military Superannuation and Benefits (Eligible Members) Declaration 201</w:t>
      </w:r>
      <w:r w:rsidR="00FD5FAF">
        <w:rPr>
          <w:i/>
        </w:rPr>
        <w:t>9</w:t>
      </w:r>
      <w:r w:rsidR="00FD5FAF">
        <w:t xml:space="preserve"> </w:t>
      </w:r>
      <w:r w:rsidR="00AA2CAB">
        <w:t>commenced</w:t>
      </w:r>
      <w:r w:rsidR="00446976">
        <w:rPr>
          <w:snapToGrid w:val="0"/>
        </w:rPr>
        <w:t>.</w:t>
      </w:r>
    </w:p>
    <w:p w14:paraId="3B2E9557" w14:textId="4B888067" w:rsidR="00525589" w:rsidRDefault="00525589" w:rsidP="00FA083A">
      <w:pPr>
        <w:pStyle w:val="Sectiontext"/>
        <w:rPr>
          <w:snapToGrid w:val="0"/>
        </w:rPr>
      </w:pPr>
      <w:r>
        <w:rPr>
          <w:snapToGrid w:val="0"/>
        </w:rPr>
        <w:lastRenderedPageBreak/>
        <w:t>Schedule 1 Part 2, Army,</w:t>
      </w:r>
      <w:r w:rsidR="00AA2CAB" w:rsidRPr="00AA2CAB">
        <w:rPr>
          <w:snapToGrid w:val="0"/>
        </w:rPr>
        <w:t xml:space="preserve"> </w:t>
      </w:r>
      <w:r w:rsidR="00AA2CAB">
        <w:rPr>
          <w:snapToGrid w:val="0"/>
        </w:rPr>
        <w:t xml:space="preserve">includes an amendment to the conditions for two employment categories, to specify the date that the </w:t>
      </w:r>
      <w:r w:rsidR="00AA2CAB" w:rsidRPr="000747FB">
        <w:rPr>
          <w:i/>
        </w:rPr>
        <w:t>Military Superannuation and Benefits (Eligible Members) Declaration 201</w:t>
      </w:r>
      <w:r w:rsidR="00AA2CAB">
        <w:rPr>
          <w:i/>
        </w:rPr>
        <w:t>9</w:t>
      </w:r>
      <w:r w:rsidR="00AA2CAB">
        <w:t xml:space="preserve"> commenced</w:t>
      </w:r>
      <w:r w:rsidR="00AA2CAB">
        <w:rPr>
          <w:snapToGrid w:val="0"/>
        </w:rPr>
        <w:t>.</w:t>
      </w:r>
    </w:p>
    <w:p w14:paraId="5DB13399" w14:textId="1763CFC0" w:rsidR="009A6866" w:rsidRDefault="009A6866" w:rsidP="00AA2CAB">
      <w:pPr>
        <w:pStyle w:val="Sectiontext"/>
        <w:keepNext/>
        <w:keepLines/>
        <w:rPr>
          <w:i/>
          <w:snapToGrid w:val="0"/>
          <w:u w:val="single"/>
        </w:rPr>
      </w:pPr>
      <w:r>
        <w:rPr>
          <w:i/>
          <w:snapToGrid w:val="0"/>
          <w:u w:val="single"/>
        </w:rPr>
        <w:t>Schedule 2</w:t>
      </w:r>
      <w:r>
        <w:rPr>
          <w:rFonts w:cs="Arial"/>
          <w:i/>
          <w:snapToGrid w:val="0"/>
          <w:u w:val="single"/>
        </w:rPr>
        <w:t>—</w:t>
      </w:r>
      <w:r w:rsidR="003E6728">
        <w:rPr>
          <w:i/>
          <w:snapToGrid w:val="0"/>
          <w:u w:val="single"/>
        </w:rPr>
        <w:t>Individual eligible members</w:t>
      </w:r>
    </w:p>
    <w:p w14:paraId="66E00BBC" w14:textId="0F005D54" w:rsidR="00FA083A" w:rsidRDefault="003E6728" w:rsidP="00AA2CAB">
      <w:pPr>
        <w:pStyle w:val="Sectiontext"/>
        <w:keepNext/>
        <w:keepLines/>
        <w:rPr>
          <w:snapToGrid w:val="0"/>
        </w:rPr>
      </w:pPr>
      <w:r>
        <w:rPr>
          <w:snapToGrid w:val="0"/>
        </w:rPr>
        <w:t xml:space="preserve">Schedule 2 to this instrument lists individuals who have been declared to be eligible members for the purpose of payment of a retention benefit. The </w:t>
      </w:r>
      <w:r w:rsidR="00AD447E">
        <w:rPr>
          <w:snapToGrid w:val="0"/>
        </w:rPr>
        <w:t>list</w:t>
      </w:r>
      <w:r w:rsidR="00447CE0">
        <w:rPr>
          <w:snapToGrid w:val="0"/>
        </w:rPr>
        <w:t xml:space="preserve"> includes an additional</w:t>
      </w:r>
      <w:r w:rsidR="00FD5FAF">
        <w:rPr>
          <w:snapToGrid w:val="0"/>
        </w:rPr>
        <w:t xml:space="preserve"> two </w:t>
      </w:r>
      <w:r>
        <w:rPr>
          <w:snapToGrid w:val="0"/>
        </w:rPr>
        <w:t>members</w:t>
      </w:r>
      <w:r w:rsidR="00AD447E">
        <w:rPr>
          <w:snapToGrid w:val="0"/>
        </w:rPr>
        <w:t xml:space="preserve"> who were not included in </w:t>
      </w:r>
      <w:r w:rsidR="00AD447E" w:rsidRPr="000747FB">
        <w:rPr>
          <w:i/>
        </w:rPr>
        <w:t>Military Superannuation and Benefits (Eligible Members) Declaration 201</w:t>
      </w:r>
      <w:r w:rsidR="00FD5FAF">
        <w:rPr>
          <w:i/>
        </w:rPr>
        <w:t>9</w:t>
      </w:r>
      <w:r>
        <w:rPr>
          <w:snapToGrid w:val="0"/>
        </w:rPr>
        <w:t>.</w:t>
      </w:r>
    </w:p>
    <w:p w14:paraId="6179B4B9" w14:textId="21BDFD80" w:rsidR="009A6866" w:rsidRDefault="009A6866" w:rsidP="009A6866">
      <w:pPr>
        <w:pStyle w:val="Sectiontext"/>
        <w:rPr>
          <w:i/>
          <w:snapToGrid w:val="0"/>
          <w:u w:val="single"/>
        </w:rPr>
      </w:pPr>
      <w:r>
        <w:rPr>
          <w:i/>
          <w:snapToGrid w:val="0"/>
          <w:u w:val="single"/>
        </w:rPr>
        <w:t>Schedule 3</w:t>
      </w:r>
      <w:r>
        <w:rPr>
          <w:rFonts w:cs="Arial"/>
          <w:i/>
          <w:snapToGrid w:val="0"/>
          <w:u w:val="single"/>
        </w:rPr>
        <w:t>—</w:t>
      </w:r>
      <w:r w:rsidR="003E6728">
        <w:rPr>
          <w:i/>
          <w:snapToGrid w:val="0"/>
          <w:u w:val="single"/>
        </w:rPr>
        <w:t>Repeal</w:t>
      </w:r>
    </w:p>
    <w:p w14:paraId="1394BCCD" w14:textId="60326C0E" w:rsidR="00FA083A" w:rsidRPr="00FD5FAF" w:rsidRDefault="003E6728" w:rsidP="00FA083A">
      <w:pPr>
        <w:pStyle w:val="Sectiontext"/>
        <w:rPr>
          <w:i/>
        </w:rPr>
      </w:pPr>
      <w:r>
        <w:rPr>
          <w:snapToGrid w:val="0"/>
        </w:rPr>
        <w:t xml:space="preserve">Schedule 3 repeals </w:t>
      </w:r>
      <w:bookmarkStart w:id="1" w:name="_Toc15914490"/>
      <w:r w:rsidR="009E3CB8" w:rsidRPr="009E3CB8">
        <w:rPr>
          <w:i/>
        </w:rPr>
        <w:t>Military Superannuation and Benefits (Eligible Members) Declaration 201</w:t>
      </w:r>
      <w:bookmarkEnd w:id="1"/>
      <w:r w:rsidR="00FD5FAF">
        <w:rPr>
          <w:i/>
        </w:rPr>
        <w:t>9</w:t>
      </w:r>
      <w:r w:rsidR="009E3CB8">
        <w:t>.</w:t>
      </w:r>
    </w:p>
    <w:p w14:paraId="68C1A4D4" w14:textId="2D9D1F7A" w:rsidR="000747FB" w:rsidRDefault="000747FB">
      <w:pPr>
        <w:spacing w:line="240" w:lineRule="auto"/>
        <w:rPr>
          <w:rFonts w:ascii="Arial" w:eastAsia="Times New Roman" w:hAnsi="Arial" w:cs="Arial"/>
          <w:b/>
          <w:color w:val="000000"/>
          <w:sz w:val="20"/>
          <w:lang w:eastAsia="en-AU"/>
        </w:rPr>
      </w:pPr>
    </w:p>
    <w:p w14:paraId="7E3990D4" w14:textId="1E5CCA17" w:rsidR="001E51FE" w:rsidRPr="0021243D" w:rsidRDefault="001E51FE" w:rsidP="001E51FE">
      <w:pPr>
        <w:pStyle w:val="Sectiontext"/>
        <w:jc w:val="center"/>
        <w:rPr>
          <w:rFonts w:cs="Arial"/>
          <w:snapToGrid w:val="0"/>
          <w:color w:val="000000"/>
        </w:rPr>
      </w:pPr>
      <w:r w:rsidRPr="0021243D">
        <w:rPr>
          <w:rFonts w:cs="Arial"/>
          <w:b/>
          <w:color w:val="000000"/>
        </w:rPr>
        <w:t>Consultation</w:t>
      </w:r>
    </w:p>
    <w:p w14:paraId="7CCA6474" w14:textId="36410E68" w:rsidR="001E51FE" w:rsidRPr="009E3CB8" w:rsidRDefault="009E3CB8" w:rsidP="00A575F1">
      <w:pPr>
        <w:pStyle w:val="Sectiontext"/>
        <w:rPr>
          <w:snapToGrid w:val="0"/>
        </w:rPr>
      </w:pPr>
      <w:r>
        <w:rPr>
          <w:snapToGrid w:val="0"/>
        </w:rPr>
        <w:t xml:space="preserve">Consultation was undertaken during the development of this Declaration with the three Australian Defence Force Personnel Management Agencies (who nominate individual members to be listed in the Schedule), Defence Legal and the Defence Finance Group. </w:t>
      </w:r>
    </w:p>
    <w:p w14:paraId="7B7CB0E8" w14:textId="77777777" w:rsidR="001E51FE" w:rsidRPr="00CA5BE0" w:rsidRDefault="001E51FE" w:rsidP="001E51FE">
      <w:pPr>
        <w:autoSpaceDE w:val="0"/>
        <w:autoSpaceDN w:val="0"/>
        <w:adjustRightInd w:val="0"/>
        <w:rPr>
          <w:snapToGrid w:val="0"/>
          <w:sz w:val="20"/>
        </w:rPr>
      </w:pPr>
    </w:p>
    <w:p w14:paraId="62F774AB" w14:textId="77777777" w:rsidR="009E3CB8" w:rsidRPr="00447CE0" w:rsidRDefault="009E3CB8" w:rsidP="009E3CB8">
      <w:pPr>
        <w:tabs>
          <w:tab w:val="left" w:pos="714"/>
          <w:tab w:val="left" w:pos="1224"/>
          <w:tab w:val="left" w:pos="1734"/>
          <w:tab w:val="left" w:pos="2131"/>
          <w:tab w:val="left" w:pos="3604"/>
          <w:tab w:val="left" w:pos="4512"/>
          <w:tab w:val="left" w:pos="5192"/>
          <w:tab w:val="left" w:pos="5670"/>
          <w:tab w:val="left" w:pos="6496"/>
          <w:tab w:val="left" w:pos="6804"/>
        </w:tabs>
        <w:spacing w:line="280" w:lineRule="exact"/>
        <w:ind w:left="5670" w:hanging="5670"/>
        <w:rPr>
          <w:rFonts w:ascii="Arial" w:hAnsi="Arial" w:cs="Arial"/>
          <w:i/>
          <w:sz w:val="20"/>
        </w:rPr>
      </w:pPr>
      <w:r>
        <w:rPr>
          <w:sz w:val="24"/>
        </w:rPr>
        <w:tab/>
      </w:r>
      <w:r>
        <w:rPr>
          <w:sz w:val="24"/>
        </w:rPr>
        <w:tab/>
      </w:r>
      <w:r>
        <w:rPr>
          <w:sz w:val="24"/>
        </w:rPr>
        <w:tab/>
      </w:r>
      <w:r>
        <w:rPr>
          <w:sz w:val="24"/>
        </w:rPr>
        <w:tab/>
      </w:r>
      <w:r>
        <w:rPr>
          <w:sz w:val="24"/>
        </w:rPr>
        <w:tab/>
      </w:r>
      <w:r>
        <w:rPr>
          <w:sz w:val="24"/>
        </w:rPr>
        <w:tab/>
      </w:r>
      <w:r w:rsidRPr="00447CE0">
        <w:rPr>
          <w:rFonts w:ascii="Arial" w:hAnsi="Arial" w:cs="Arial"/>
          <w:b/>
          <w:sz w:val="20"/>
        </w:rPr>
        <w:t>Authority:</w:t>
      </w:r>
      <w:r w:rsidRPr="00447CE0">
        <w:rPr>
          <w:rFonts w:ascii="Arial" w:hAnsi="Arial" w:cs="Arial"/>
          <w:sz w:val="20"/>
        </w:rPr>
        <w:tab/>
        <w:t>Paragraph (f) of subsection 30(1) of the</w:t>
      </w:r>
      <w:r w:rsidRPr="00447CE0">
        <w:rPr>
          <w:rFonts w:ascii="Arial" w:hAnsi="Arial" w:cs="Arial"/>
          <w:i/>
          <w:sz w:val="20"/>
        </w:rPr>
        <w:t xml:space="preserve"> Military Superannuation and Benefits Act 1991</w:t>
      </w:r>
      <w:r w:rsidRPr="00447CE0">
        <w:rPr>
          <w:rFonts w:ascii="Arial" w:hAnsi="Arial" w:cs="Arial"/>
          <w:sz w:val="20"/>
        </w:rPr>
        <w:t xml:space="preserve">, as continued in force by item 4 of Schedule 4 to the </w:t>
      </w:r>
      <w:r w:rsidRPr="00447CE0">
        <w:rPr>
          <w:rFonts w:ascii="Arial" w:hAnsi="Arial" w:cs="Arial"/>
          <w:i/>
          <w:sz w:val="20"/>
        </w:rPr>
        <w:t>Defence Legislation Amendment Act (No.1) 2005</w:t>
      </w:r>
      <w:r w:rsidRPr="00447CE0">
        <w:rPr>
          <w:rFonts w:ascii="Arial" w:hAnsi="Arial" w:cs="Arial"/>
          <w:sz w:val="20"/>
        </w:rPr>
        <w:t>.</w:t>
      </w:r>
    </w:p>
    <w:p w14:paraId="4A43B124" w14:textId="77777777" w:rsidR="009E3CB8" w:rsidRDefault="009E3CB8" w:rsidP="009E3CB8">
      <w:pPr>
        <w:rPr>
          <w:b/>
          <w:sz w:val="24"/>
          <w:szCs w:val="24"/>
        </w:rPr>
      </w:pPr>
    </w:p>
    <w:p w14:paraId="0EE95367" w14:textId="77777777" w:rsidR="001E51FE" w:rsidRPr="00370A0E" w:rsidRDefault="001E51FE" w:rsidP="001E51FE">
      <w:pPr>
        <w:pStyle w:val="Sectiontext"/>
        <w:jc w:val="center"/>
        <w:rPr>
          <w:b/>
          <w:color w:val="FF0000"/>
        </w:rPr>
      </w:pPr>
    </w:p>
    <w:p w14:paraId="2831585B" w14:textId="77777777" w:rsidR="001E51FE" w:rsidRDefault="001E51FE" w:rsidP="001E51FE">
      <w:pPr>
        <w:pStyle w:val="Sectiontext"/>
        <w:jc w:val="center"/>
        <w:rPr>
          <w:b/>
        </w:rPr>
        <w:sectPr w:rsidR="001E51FE" w:rsidSect="008417DF">
          <w:footerReference w:type="default" r:id="rId8"/>
          <w:headerReference w:type="first" r:id="rId9"/>
          <w:footerReference w:type="first" r:id="rId10"/>
          <w:pgSz w:w="11907" w:h="16839"/>
          <w:pgMar w:top="1134" w:right="1134" w:bottom="992" w:left="1418" w:header="720" w:footer="709" w:gutter="0"/>
          <w:pgNumType w:start="1"/>
          <w:cols w:space="708"/>
          <w:titlePg/>
          <w:docGrid w:linePitch="360"/>
        </w:sectPr>
      </w:pPr>
    </w:p>
    <w:p w14:paraId="08176EE8" w14:textId="77777777" w:rsidR="001E51FE" w:rsidRPr="00A575F1" w:rsidRDefault="001E51FE" w:rsidP="00A575F1">
      <w:pPr>
        <w:pStyle w:val="Sectiontext"/>
        <w:rPr>
          <w:snapToGrid w:val="0"/>
        </w:rPr>
      </w:pPr>
      <w:r w:rsidRPr="00A575F1">
        <w:rPr>
          <w:snapToGrid w:val="0"/>
        </w:rPr>
        <w:lastRenderedPageBreak/>
        <w:t>This Determination is compatible with the human rights and freedoms recognised or declared in the international instruments listed in section 3 of the Human Rights (Parliamentary Scrutiny) Act 2011.</w:t>
      </w:r>
    </w:p>
    <w:p w14:paraId="06067794" w14:textId="77777777" w:rsidR="001E51FE" w:rsidRPr="0021243D" w:rsidRDefault="001E51FE" w:rsidP="001E51FE">
      <w:pPr>
        <w:spacing w:after="200"/>
        <w:rPr>
          <w:rFonts w:ascii="Arial" w:hAnsi="Arial" w:cs="Arial"/>
          <w:b/>
          <w:sz w:val="20"/>
        </w:rPr>
      </w:pPr>
      <w:r w:rsidRPr="0021243D">
        <w:rPr>
          <w:rFonts w:ascii="Arial" w:hAnsi="Arial" w:cs="Arial"/>
          <w:b/>
          <w:sz w:val="20"/>
        </w:rPr>
        <w:t>Overview of the Determination</w:t>
      </w:r>
    </w:p>
    <w:p w14:paraId="5E2B0A5B" w14:textId="77777777" w:rsidR="00A9192D" w:rsidRPr="00D153CC" w:rsidRDefault="00A9192D" w:rsidP="00A9192D">
      <w:pPr>
        <w:pStyle w:val="Sectiontext"/>
        <w:numPr>
          <w:ilvl w:val="0"/>
          <w:numId w:val="16"/>
        </w:numPr>
        <w:rPr>
          <w:rFonts w:cs="Arial"/>
        </w:rPr>
      </w:pPr>
      <w:r>
        <w:rPr>
          <w:rFonts w:cs="Arial"/>
        </w:rPr>
        <w:t xml:space="preserve">It repeals </w:t>
      </w:r>
      <w:r w:rsidRPr="000747FB">
        <w:rPr>
          <w:i/>
        </w:rPr>
        <w:t>Military Superannuation and Benefits (Eligible Members) Declaration 201</w:t>
      </w:r>
      <w:r>
        <w:rPr>
          <w:i/>
        </w:rPr>
        <w:t>9.</w:t>
      </w:r>
    </w:p>
    <w:p w14:paraId="34391ED3" w14:textId="77777777" w:rsidR="00A9192D" w:rsidRPr="00854DB7" w:rsidRDefault="00A9192D" w:rsidP="00A9192D">
      <w:pPr>
        <w:pStyle w:val="Sectiontext"/>
        <w:numPr>
          <w:ilvl w:val="0"/>
          <w:numId w:val="16"/>
        </w:numPr>
        <w:rPr>
          <w:rFonts w:cs="Arial"/>
        </w:rPr>
      </w:pPr>
      <w:r>
        <w:t>It declares the eligible members for the purpose of the Act who were provided under the repealed Declaration.</w:t>
      </w:r>
    </w:p>
    <w:p w14:paraId="0E604F5C" w14:textId="77777777" w:rsidR="00A9192D" w:rsidRPr="000747FB" w:rsidRDefault="00A9192D" w:rsidP="00A9192D">
      <w:pPr>
        <w:pStyle w:val="Sectiontext"/>
        <w:numPr>
          <w:ilvl w:val="0"/>
          <w:numId w:val="16"/>
        </w:numPr>
        <w:rPr>
          <w:rFonts w:cs="Arial"/>
        </w:rPr>
      </w:pPr>
      <w:r>
        <w:t>It makes the following changes to the eligible members.</w:t>
      </w:r>
    </w:p>
    <w:p w14:paraId="1FD13392" w14:textId="77777777" w:rsidR="00A9192D" w:rsidRDefault="00A9192D" w:rsidP="00A9192D">
      <w:pPr>
        <w:pStyle w:val="Sectiontext"/>
        <w:numPr>
          <w:ilvl w:val="1"/>
          <w:numId w:val="16"/>
        </w:numPr>
        <w:ind w:left="1134"/>
        <w:rPr>
          <w:rFonts w:cs="Arial"/>
        </w:rPr>
      </w:pPr>
      <w:r>
        <w:rPr>
          <w:rFonts w:cs="Arial"/>
        </w:rPr>
        <w:t>It</w:t>
      </w:r>
      <w:r w:rsidRPr="000747FB">
        <w:rPr>
          <w:rFonts w:cs="Arial"/>
        </w:rPr>
        <w:t xml:space="preserve"> </w:t>
      </w:r>
      <w:r>
        <w:rPr>
          <w:rFonts w:cs="Arial"/>
        </w:rPr>
        <w:t>amends the eligibility dates for eight specified category</w:t>
      </w:r>
      <w:r w:rsidRPr="000747FB">
        <w:rPr>
          <w:rFonts w:cs="Arial"/>
        </w:rPr>
        <w:t xml:space="preserve">. </w:t>
      </w:r>
    </w:p>
    <w:p w14:paraId="37B435E4" w14:textId="77777777" w:rsidR="00A9192D" w:rsidRPr="000747FB" w:rsidRDefault="00A9192D" w:rsidP="00A9192D">
      <w:pPr>
        <w:pStyle w:val="Sectiontext"/>
        <w:numPr>
          <w:ilvl w:val="1"/>
          <w:numId w:val="16"/>
        </w:numPr>
        <w:ind w:left="1134"/>
        <w:rPr>
          <w:rFonts w:cs="Arial"/>
        </w:rPr>
      </w:pPr>
      <w:r>
        <w:rPr>
          <w:rFonts w:cs="Arial"/>
        </w:rPr>
        <w:t>It</w:t>
      </w:r>
      <w:r w:rsidRPr="000747FB">
        <w:rPr>
          <w:rFonts w:cs="Arial"/>
        </w:rPr>
        <w:t xml:space="preserve"> declare</w:t>
      </w:r>
      <w:r>
        <w:rPr>
          <w:rFonts w:cs="Arial"/>
        </w:rPr>
        <w:t>s</w:t>
      </w:r>
      <w:r w:rsidRPr="000747FB">
        <w:rPr>
          <w:rFonts w:cs="Arial"/>
        </w:rPr>
        <w:t xml:space="preserve"> an additional </w:t>
      </w:r>
      <w:r>
        <w:rPr>
          <w:rFonts w:cs="Arial"/>
        </w:rPr>
        <w:t>two</w:t>
      </w:r>
      <w:r w:rsidRPr="000747FB">
        <w:rPr>
          <w:rFonts w:cs="Arial"/>
        </w:rPr>
        <w:t xml:space="preserve"> individual members as eligible members.</w:t>
      </w:r>
    </w:p>
    <w:p w14:paraId="38FFFAF4" w14:textId="2FF8AB9A" w:rsidR="001E51FE" w:rsidRDefault="001E51FE" w:rsidP="001E51FE">
      <w:pPr>
        <w:spacing w:after="200"/>
        <w:rPr>
          <w:rFonts w:ascii="Arial" w:hAnsi="Arial" w:cs="Arial"/>
          <w:b/>
          <w:sz w:val="20"/>
        </w:rPr>
      </w:pPr>
      <w:r w:rsidRPr="0021243D">
        <w:rPr>
          <w:rFonts w:ascii="Arial" w:hAnsi="Arial" w:cs="Arial"/>
          <w:b/>
          <w:sz w:val="20"/>
        </w:rPr>
        <w:t>Human rights implications</w:t>
      </w:r>
    </w:p>
    <w:p w14:paraId="4F4B2D7E" w14:textId="77777777" w:rsidR="001E51FE" w:rsidRPr="0021243D" w:rsidRDefault="001E51FE" w:rsidP="001E51FE">
      <w:pPr>
        <w:spacing w:after="200"/>
        <w:rPr>
          <w:rFonts w:ascii="Arial" w:hAnsi="Arial" w:cs="Arial"/>
          <w:sz w:val="24"/>
          <w:szCs w:val="24"/>
        </w:rPr>
      </w:pPr>
      <w:r w:rsidRPr="0021243D">
        <w:rPr>
          <w:rFonts w:ascii="Arial" w:hAnsi="Arial" w:cs="Arial"/>
          <w:i/>
          <w:sz w:val="20"/>
        </w:rPr>
        <w:t>Right to the enjoyment of just and favourable conditions of work</w:t>
      </w:r>
    </w:p>
    <w:p w14:paraId="121D2639" w14:textId="1D2050AC" w:rsidR="001E51FE" w:rsidRDefault="001E51FE" w:rsidP="00A575F1">
      <w:pPr>
        <w:pStyle w:val="Sectiontext"/>
        <w:rPr>
          <w:snapToGrid w:val="0"/>
        </w:rPr>
      </w:pPr>
      <w:r w:rsidRPr="00A575F1">
        <w:rPr>
          <w:snapToGrid w:val="0"/>
        </w:rPr>
        <w:t>The protection of a person's right to remuneration engages Article 7 of the International Covenant on Economic, Social and Cultural Rights. Article 7 guarantees just and favourable conditions of work, including remuneration, safe and healthy conditions, equal opportunity and reasonable limitations.</w:t>
      </w:r>
    </w:p>
    <w:p w14:paraId="7BC3A0BC" w14:textId="4EE9796E" w:rsidR="00045323" w:rsidRPr="00A575F1" w:rsidRDefault="00045323" w:rsidP="00A575F1">
      <w:pPr>
        <w:pStyle w:val="Sectiontext"/>
        <w:rPr>
          <w:snapToGrid w:val="0"/>
        </w:rPr>
      </w:pPr>
      <w:r>
        <w:rPr>
          <w:snapToGrid w:val="0"/>
        </w:rPr>
        <w:t>This Declaration provides an additional financial benefit to eligible members that assists them to exercise their right to the enjoyment of just and favourable conditions of work.</w:t>
      </w:r>
    </w:p>
    <w:p w14:paraId="494DEA52" w14:textId="77777777" w:rsidR="001E51FE" w:rsidRPr="0021243D" w:rsidRDefault="001E51FE" w:rsidP="001E51FE">
      <w:pPr>
        <w:spacing w:after="200"/>
        <w:rPr>
          <w:rFonts w:ascii="Arial" w:hAnsi="Arial" w:cs="Arial"/>
          <w:b/>
          <w:sz w:val="20"/>
        </w:rPr>
      </w:pPr>
      <w:r w:rsidRPr="0021243D">
        <w:rPr>
          <w:rFonts w:ascii="Arial" w:hAnsi="Arial" w:cs="Arial"/>
          <w:b/>
          <w:sz w:val="20"/>
        </w:rPr>
        <w:t>Conclusion</w:t>
      </w:r>
    </w:p>
    <w:p w14:paraId="735EEA17" w14:textId="7B28DD59" w:rsidR="001E51FE" w:rsidRPr="00A575F1" w:rsidRDefault="001E51FE" w:rsidP="00A575F1">
      <w:pPr>
        <w:pStyle w:val="Sectiontext"/>
        <w:rPr>
          <w:snapToGrid w:val="0"/>
        </w:rPr>
      </w:pPr>
      <w:r w:rsidRPr="00A575F1">
        <w:rPr>
          <w:snapToGrid w:val="0"/>
        </w:rPr>
        <w:t xml:space="preserve">This </w:t>
      </w:r>
      <w:r w:rsidR="00045323">
        <w:rPr>
          <w:snapToGrid w:val="0"/>
        </w:rPr>
        <w:t>Declaration</w:t>
      </w:r>
      <w:r w:rsidRPr="00A575F1">
        <w:rPr>
          <w:snapToGrid w:val="0"/>
        </w:rPr>
        <w:t xml:space="preserve"> is compatible with human rights as it does not raise any human rights issues.</w:t>
      </w:r>
    </w:p>
    <w:p w14:paraId="1B4769FF" w14:textId="77777777" w:rsidR="001E51FE" w:rsidRPr="00A575F1" w:rsidRDefault="001E51FE" w:rsidP="00A575F1">
      <w:pPr>
        <w:pStyle w:val="Sectiontext"/>
        <w:rPr>
          <w:snapToGrid w:val="0"/>
        </w:rPr>
      </w:pPr>
    </w:p>
    <w:p w14:paraId="1DBA1602" w14:textId="029C76FA" w:rsidR="001E51FE" w:rsidRPr="00045323" w:rsidRDefault="00045323" w:rsidP="001E51FE">
      <w:pPr>
        <w:spacing w:after="200"/>
        <w:jc w:val="center"/>
        <w:rPr>
          <w:rFonts w:ascii="Arial" w:hAnsi="Arial" w:cs="Arial"/>
          <w:sz w:val="20"/>
        </w:rPr>
      </w:pPr>
      <w:r w:rsidRPr="00045323">
        <w:rPr>
          <w:rFonts w:ascii="Arial" w:hAnsi="Arial" w:cs="Arial"/>
          <w:sz w:val="20"/>
        </w:rPr>
        <w:t>Darren Chester, Minister for Defence Personnel</w:t>
      </w:r>
    </w:p>
    <w:p w14:paraId="06EB1150" w14:textId="77777777" w:rsidR="001E51FE" w:rsidRDefault="001E51FE" w:rsidP="001E51FE">
      <w:pPr>
        <w:pStyle w:val="Sectiontext"/>
      </w:pPr>
    </w:p>
    <w:p w14:paraId="0303E197" w14:textId="77777777" w:rsidR="001E51FE" w:rsidRDefault="001E51FE" w:rsidP="001E51FE">
      <w:pPr>
        <w:pStyle w:val="Sectiontext"/>
      </w:pPr>
    </w:p>
    <w:p w14:paraId="46F201D2" w14:textId="77777777" w:rsidR="001E51FE" w:rsidRDefault="001E51FE" w:rsidP="001E51FE"/>
    <w:p w14:paraId="4D3CB653" w14:textId="77777777" w:rsidR="001E51FE" w:rsidRPr="00D15A4D" w:rsidRDefault="001E51FE" w:rsidP="006065DA">
      <w:pPr>
        <w:pStyle w:val="subsection"/>
      </w:pPr>
    </w:p>
    <w:sectPr w:rsidR="001E51FE" w:rsidRPr="00D15A4D" w:rsidSect="008417DF">
      <w:headerReference w:type="first" r:id="rId11"/>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88987" w14:textId="77777777" w:rsidR="00242ED3" w:rsidRDefault="00242ED3" w:rsidP="0048364F">
      <w:pPr>
        <w:spacing w:line="240" w:lineRule="auto"/>
      </w:pPr>
      <w:r>
        <w:separator/>
      </w:r>
    </w:p>
  </w:endnote>
  <w:endnote w:type="continuationSeparator" w:id="0">
    <w:p w14:paraId="4179F0CE" w14:textId="77777777" w:rsidR="00242ED3" w:rsidRDefault="00242ED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28969B0B" w:rsidR="00FA083A" w:rsidRDefault="00FA083A">
        <w:pPr>
          <w:pStyle w:val="Footer"/>
          <w:jc w:val="right"/>
        </w:pPr>
        <w:r>
          <w:fldChar w:fldCharType="begin"/>
        </w:r>
        <w:r>
          <w:instrText xml:space="preserve"> PAGE   \* MERGEFORMAT </w:instrText>
        </w:r>
        <w:r>
          <w:fldChar w:fldCharType="separate"/>
        </w:r>
        <w:r w:rsidR="008729A0">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rPr>
    </w:sdtEndPr>
    <w:sdtContent>
      <w:p w14:paraId="15A37926" w14:textId="644C9964" w:rsidR="00FA083A" w:rsidRDefault="00FA083A">
        <w:pPr>
          <w:pStyle w:val="Footer"/>
          <w:jc w:val="right"/>
        </w:pPr>
        <w:r>
          <w:fldChar w:fldCharType="begin"/>
        </w:r>
        <w:r>
          <w:instrText xml:space="preserve"> PAGE   \* MERGEFORMAT </w:instrText>
        </w:r>
        <w:r>
          <w:fldChar w:fldCharType="separate"/>
        </w:r>
        <w:r w:rsidR="008729A0">
          <w:rPr>
            <w:noProof/>
          </w:rPr>
          <w:t>1</w:t>
        </w:r>
        <w:r>
          <w:rPr>
            <w:noProof/>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225D3" w14:textId="77777777" w:rsidR="00242ED3" w:rsidRDefault="00242ED3" w:rsidP="0048364F">
      <w:pPr>
        <w:spacing w:line="240" w:lineRule="auto"/>
      </w:pPr>
      <w:r>
        <w:separator/>
      </w:r>
    </w:p>
  </w:footnote>
  <w:footnote w:type="continuationSeparator" w:id="0">
    <w:p w14:paraId="5260B6A6" w14:textId="77777777" w:rsidR="00242ED3" w:rsidRDefault="00242ED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56A41" w14:textId="07A1C136" w:rsidR="009A6866" w:rsidRPr="009A6866" w:rsidRDefault="009A6866" w:rsidP="009A6866">
    <w:pPr>
      <w:pStyle w:val="ActHead6"/>
    </w:pP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855B" w14:textId="77777777" w:rsidR="001E51FE" w:rsidRPr="00B4022B" w:rsidRDefault="001E51FE" w:rsidP="001E51FE">
    <w:pPr>
      <w:pStyle w:val="Sectiontext"/>
      <w:jc w:val="center"/>
      <w:rPr>
        <w:b/>
        <w:snapToGrid w:val="0"/>
        <w:sz w:val="30"/>
        <w:szCs w:val="30"/>
      </w:rPr>
    </w:pPr>
    <w:r w:rsidRPr="00B4022B">
      <w:rPr>
        <w:b/>
        <w:snapToGrid w:val="0"/>
        <w:sz w:val="30"/>
        <w:szCs w:val="30"/>
      </w:rPr>
      <w:t>Statement of Compatibility with Human Rights</w:t>
    </w:r>
  </w:p>
  <w:p w14:paraId="2091DD2F" w14:textId="77777777" w:rsidR="001E51FE" w:rsidRDefault="001E51FE" w:rsidP="001E51FE">
    <w:pPr>
      <w:pStyle w:val="Sectiontext"/>
      <w:jc w:val="center"/>
      <w:rPr>
        <w:i/>
        <w:snapToGrid w:val="0"/>
      </w:rPr>
    </w:pPr>
    <w:r>
      <w:rPr>
        <w:i/>
        <w:snapToGrid w:val="0"/>
      </w:rPr>
      <w:t>Prepared in accordance with Part 3 of the Human Rights (Parliamentary Scrutiny) Act 2011</w:t>
    </w:r>
  </w:p>
  <w:p w14:paraId="16DF27EC" w14:textId="7D2255C3" w:rsidR="001E51FE" w:rsidRPr="009A6866" w:rsidRDefault="009A6866" w:rsidP="00BC00AA">
    <w:pPr>
      <w:pStyle w:val="BlockText-Plain"/>
      <w:jc w:val="center"/>
      <w:rPr>
        <w:b/>
        <w:i/>
        <w:snapToGrid w:val="0"/>
      </w:rPr>
    </w:pPr>
    <w:r w:rsidRPr="009A6866">
      <w:rPr>
        <w:b/>
        <w:i/>
        <w:snapToGrid w:val="0"/>
      </w:rPr>
      <w:fldChar w:fldCharType="begin"/>
    </w:r>
    <w:r w:rsidRPr="009A6866">
      <w:rPr>
        <w:b/>
        <w:i/>
        <w:snapToGrid w:val="0"/>
      </w:rPr>
      <w:instrText xml:space="preserve"> STYLEREF  "Heading 6,ES-HRS Title"  \* MERGEFORMAT </w:instrText>
    </w:r>
    <w:r w:rsidRPr="009A6866">
      <w:rPr>
        <w:b/>
        <w:i/>
        <w:snapToGrid w:val="0"/>
      </w:rPr>
      <w:fldChar w:fldCharType="separate"/>
    </w:r>
    <w:r w:rsidR="008729A0" w:rsidRPr="008729A0">
      <w:rPr>
        <w:b/>
        <w:bCs/>
        <w:i/>
        <w:noProof/>
        <w:snapToGrid w:val="0"/>
        <w:lang w:val="en-US"/>
      </w:rPr>
      <w:t>Military Superannuation and Benefits (Eligible Members) Declaration 2020</w:t>
    </w:r>
    <w:r w:rsidRPr="009A6866">
      <w:rPr>
        <w:b/>
        <w:i/>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AC3ADA"/>
    <w:multiLevelType w:val="hybridMultilevel"/>
    <w:tmpl w:val="189222C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3909B0"/>
    <w:multiLevelType w:val="hybridMultilevel"/>
    <w:tmpl w:val="88F0D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5F06E9"/>
    <w:multiLevelType w:val="hybridMultilevel"/>
    <w:tmpl w:val="7A687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5"/>
  </w:num>
  <w:num w:numId="15">
    <w:abstractNumId w:val="1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45323"/>
    <w:rsid w:val="0005120E"/>
    <w:rsid w:val="00054577"/>
    <w:rsid w:val="000614BF"/>
    <w:rsid w:val="0007169C"/>
    <w:rsid w:val="000747FB"/>
    <w:rsid w:val="00077593"/>
    <w:rsid w:val="00081399"/>
    <w:rsid w:val="00082B22"/>
    <w:rsid w:val="00083F48"/>
    <w:rsid w:val="000A479A"/>
    <w:rsid w:val="000A7DF9"/>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2ED3"/>
    <w:rsid w:val="002468D7"/>
    <w:rsid w:val="00247E97"/>
    <w:rsid w:val="00256C81"/>
    <w:rsid w:val="00272573"/>
    <w:rsid w:val="00285CDD"/>
    <w:rsid w:val="00291167"/>
    <w:rsid w:val="0029489E"/>
    <w:rsid w:val="00297ECB"/>
    <w:rsid w:val="002A3EC7"/>
    <w:rsid w:val="002B1B7A"/>
    <w:rsid w:val="002C152A"/>
    <w:rsid w:val="002C71AE"/>
    <w:rsid w:val="002D043A"/>
    <w:rsid w:val="0031713F"/>
    <w:rsid w:val="003222D1"/>
    <w:rsid w:val="0032750F"/>
    <w:rsid w:val="003415D3"/>
    <w:rsid w:val="003442F6"/>
    <w:rsid w:val="00346335"/>
    <w:rsid w:val="00352B0F"/>
    <w:rsid w:val="003561B0"/>
    <w:rsid w:val="00397893"/>
    <w:rsid w:val="003A15AC"/>
    <w:rsid w:val="003B0627"/>
    <w:rsid w:val="003B56AC"/>
    <w:rsid w:val="003C5F2B"/>
    <w:rsid w:val="003C7D35"/>
    <w:rsid w:val="003D0BFE"/>
    <w:rsid w:val="003D3D9F"/>
    <w:rsid w:val="003D5700"/>
    <w:rsid w:val="003E6728"/>
    <w:rsid w:val="003F506B"/>
    <w:rsid w:val="003F6F52"/>
    <w:rsid w:val="004022CA"/>
    <w:rsid w:val="004116CD"/>
    <w:rsid w:val="00414ADE"/>
    <w:rsid w:val="00424CA9"/>
    <w:rsid w:val="004257BB"/>
    <w:rsid w:val="0044291A"/>
    <w:rsid w:val="00446976"/>
    <w:rsid w:val="00447CE0"/>
    <w:rsid w:val="004600B0"/>
    <w:rsid w:val="00460499"/>
    <w:rsid w:val="00460FBA"/>
    <w:rsid w:val="00466E31"/>
    <w:rsid w:val="00474835"/>
    <w:rsid w:val="004819C7"/>
    <w:rsid w:val="0048364F"/>
    <w:rsid w:val="004877FC"/>
    <w:rsid w:val="00490F2E"/>
    <w:rsid w:val="00496F97"/>
    <w:rsid w:val="004A53EA"/>
    <w:rsid w:val="004B35E7"/>
    <w:rsid w:val="004C5A5D"/>
    <w:rsid w:val="004F1FAC"/>
    <w:rsid w:val="004F676E"/>
    <w:rsid w:val="004F71C0"/>
    <w:rsid w:val="00506A01"/>
    <w:rsid w:val="00516B8D"/>
    <w:rsid w:val="00516D3D"/>
    <w:rsid w:val="00525589"/>
    <w:rsid w:val="0052756C"/>
    <w:rsid w:val="00530230"/>
    <w:rsid w:val="00530CC9"/>
    <w:rsid w:val="00531B46"/>
    <w:rsid w:val="00537FBC"/>
    <w:rsid w:val="00541D73"/>
    <w:rsid w:val="00543469"/>
    <w:rsid w:val="00546FA3"/>
    <w:rsid w:val="00557C7A"/>
    <w:rsid w:val="00562A58"/>
    <w:rsid w:val="0056541A"/>
    <w:rsid w:val="0056707B"/>
    <w:rsid w:val="005803CD"/>
    <w:rsid w:val="00581211"/>
    <w:rsid w:val="00584811"/>
    <w:rsid w:val="00593AA6"/>
    <w:rsid w:val="00594161"/>
    <w:rsid w:val="00594749"/>
    <w:rsid w:val="00594956"/>
    <w:rsid w:val="005B1555"/>
    <w:rsid w:val="005B4067"/>
    <w:rsid w:val="005C3F41"/>
    <w:rsid w:val="005C4EF0"/>
    <w:rsid w:val="005D1A20"/>
    <w:rsid w:val="005D5BF9"/>
    <w:rsid w:val="005D5EA1"/>
    <w:rsid w:val="005E098C"/>
    <w:rsid w:val="005E1F8D"/>
    <w:rsid w:val="005E317F"/>
    <w:rsid w:val="005E61D3"/>
    <w:rsid w:val="00600219"/>
    <w:rsid w:val="006065DA"/>
    <w:rsid w:val="00606AA4"/>
    <w:rsid w:val="0061058B"/>
    <w:rsid w:val="006300BE"/>
    <w:rsid w:val="00640402"/>
    <w:rsid w:val="00640F78"/>
    <w:rsid w:val="00655D6A"/>
    <w:rsid w:val="00656DE9"/>
    <w:rsid w:val="00672876"/>
    <w:rsid w:val="00677CC2"/>
    <w:rsid w:val="00685F42"/>
    <w:rsid w:val="0069207B"/>
    <w:rsid w:val="00697CB2"/>
    <w:rsid w:val="006A297B"/>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715C9"/>
    <w:rsid w:val="00774EDD"/>
    <w:rsid w:val="007757EC"/>
    <w:rsid w:val="007952E9"/>
    <w:rsid w:val="007A6863"/>
    <w:rsid w:val="007B7E65"/>
    <w:rsid w:val="007C78B4"/>
    <w:rsid w:val="007E0853"/>
    <w:rsid w:val="007E32B6"/>
    <w:rsid w:val="007E3976"/>
    <w:rsid w:val="007E486B"/>
    <w:rsid w:val="007E7D4A"/>
    <w:rsid w:val="007F48ED"/>
    <w:rsid w:val="007F5E3F"/>
    <w:rsid w:val="00812F45"/>
    <w:rsid w:val="00836FE9"/>
    <w:rsid w:val="0084172C"/>
    <w:rsid w:val="008417DF"/>
    <w:rsid w:val="0085175E"/>
    <w:rsid w:val="00854DB7"/>
    <w:rsid w:val="00856A31"/>
    <w:rsid w:val="0085714C"/>
    <w:rsid w:val="00864420"/>
    <w:rsid w:val="00864A66"/>
    <w:rsid w:val="008729A0"/>
    <w:rsid w:val="008754D0"/>
    <w:rsid w:val="00877C69"/>
    <w:rsid w:val="00877D48"/>
    <w:rsid w:val="0088345B"/>
    <w:rsid w:val="008A16A5"/>
    <w:rsid w:val="008A5C57"/>
    <w:rsid w:val="008B0333"/>
    <w:rsid w:val="008C0629"/>
    <w:rsid w:val="008D0EE0"/>
    <w:rsid w:val="008D7A27"/>
    <w:rsid w:val="008E4702"/>
    <w:rsid w:val="008E69AA"/>
    <w:rsid w:val="008F4F1C"/>
    <w:rsid w:val="009069AD"/>
    <w:rsid w:val="00910E64"/>
    <w:rsid w:val="00922764"/>
    <w:rsid w:val="009278C1"/>
    <w:rsid w:val="00932377"/>
    <w:rsid w:val="0093380C"/>
    <w:rsid w:val="009346E3"/>
    <w:rsid w:val="0094523D"/>
    <w:rsid w:val="00976A63"/>
    <w:rsid w:val="00991733"/>
    <w:rsid w:val="009A6866"/>
    <w:rsid w:val="009B2490"/>
    <w:rsid w:val="009B50E5"/>
    <w:rsid w:val="009C3431"/>
    <w:rsid w:val="009C5989"/>
    <w:rsid w:val="009C6A32"/>
    <w:rsid w:val="009D08DA"/>
    <w:rsid w:val="009E3CB8"/>
    <w:rsid w:val="009F1229"/>
    <w:rsid w:val="00A003BB"/>
    <w:rsid w:val="00A06860"/>
    <w:rsid w:val="00A07DDE"/>
    <w:rsid w:val="00A136F5"/>
    <w:rsid w:val="00A231E2"/>
    <w:rsid w:val="00A2550D"/>
    <w:rsid w:val="00A379BB"/>
    <w:rsid w:val="00A4169B"/>
    <w:rsid w:val="00A50D55"/>
    <w:rsid w:val="00A52FDA"/>
    <w:rsid w:val="00A575F1"/>
    <w:rsid w:val="00A6282F"/>
    <w:rsid w:val="00A64912"/>
    <w:rsid w:val="00A70A74"/>
    <w:rsid w:val="00A9192D"/>
    <w:rsid w:val="00A9231A"/>
    <w:rsid w:val="00A93CFA"/>
    <w:rsid w:val="00A95BC7"/>
    <w:rsid w:val="00AA0343"/>
    <w:rsid w:val="00AA2CAB"/>
    <w:rsid w:val="00AA78CE"/>
    <w:rsid w:val="00AA7B26"/>
    <w:rsid w:val="00AC767C"/>
    <w:rsid w:val="00AD3467"/>
    <w:rsid w:val="00AD447E"/>
    <w:rsid w:val="00AD5641"/>
    <w:rsid w:val="00AD7BF5"/>
    <w:rsid w:val="00AF33DB"/>
    <w:rsid w:val="00AF6E41"/>
    <w:rsid w:val="00B032D8"/>
    <w:rsid w:val="00B039C8"/>
    <w:rsid w:val="00B05D72"/>
    <w:rsid w:val="00B20990"/>
    <w:rsid w:val="00B23FAF"/>
    <w:rsid w:val="00B33B3C"/>
    <w:rsid w:val="00B40D74"/>
    <w:rsid w:val="00B42649"/>
    <w:rsid w:val="00B46467"/>
    <w:rsid w:val="00B52663"/>
    <w:rsid w:val="00B56DCB"/>
    <w:rsid w:val="00B61728"/>
    <w:rsid w:val="00B770D2"/>
    <w:rsid w:val="00B93516"/>
    <w:rsid w:val="00B95B49"/>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816AD"/>
    <w:rsid w:val="00C93205"/>
    <w:rsid w:val="00C945DC"/>
    <w:rsid w:val="00CA274E"/>
    <w:rsid w:val="00CA7844"/>
    <w:rsid w:val="00CB5822"/>
    <w:rsid w:val="00CB58EF"/>
    <w:rsid w:val="00CC3872"/>
    <w:rsid w:val="00CE0A93"/>
    <w:rsid w:val="00CF0BB2"/>
    <w:rsid w:val="00D12B0D"/>
    <w:rsid w:val="00D13441"/>
    <w:rsid w:val="00D153CC"/>
    <w:rsid w:val="00D15A4D"/>
    <w:rsid w:val="00D243A3"/>
    <w:rsid w:val="00D33440"/>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137A"/>
    <w:rsid w:val="00E034DB"/>
    <w:rsid w:val="00E05704"/>
    <w:rsid w:val="00E12F1A"/>
    <w:rsid w:val="00E22935"/>
    <w:rsid w:val="00E232C6"/>
    <w:rsid w:val="00E54292"/>
    <w:rsid w:val="00E54D2B"/>
    <w:rsid w:val="00E60191"/>
    <w:rsid w:val="00E679D7"/>
    <w:rsid w:val="00E74DC7"/>
    <w:rsid w:val="00E86DED"/>
    <w:rsid w:val="00E87699"/>
    <w:rsid w:val="00E90698"/>
    <w:rsid w:val="00E92E27"/>
    <w:rsid w:val="00E9586B"/>
    <w:rsid w:val="00E97334"/>
    <w:rsid w:val="00EB3A99"/>
    <w:rsid w:val="00EB65F8"/>
    <w:rsid w:val="00EC45EE"/>
    <w:rsid w:val="00EC6B87"/>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083A"/>
    <w:rsid w:val="00FA420B"/>
    <w:rsid w:val="00FB6AEE"/>
    <w:rsid w:val="00FC3EAC"/>
    <w:rsid w:val="00FD5FA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28B8-B383-469D-A8CD-7C9591BB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0</TotalTime>
  <Pages>3</Pages>
  <Words>797</Words>
  <Characters>4547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2</cp:revision>
  <cp:lastPrinted>2019-05-12T23:26:00Z</cp:lastPrinted>
  <dcterms:created xsi:type="dcterms:W3CDTF">2020-04-02T04:22:00Z</dcterms:created>
  <dcterms:modified xsi:type="dcterms:W3CDTF">2020-04-02T04:22:00Z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BN11182810</vt:lpwstr>
  </property>
  <property fmtid="{D5CDD505-2E9C-101B-9397-08002B2CF9AE}" pid="4" name="Objective-Title">
    <vt:lpwstr>MSBS 2020 ES</vt:lpwstr>
  </property>
  <property fmtid="{D5CDD505-2E9C-101B-9397-08002B2CF9AE}" pid="5" name="Objective-Comment">
    <vt:lpwstr/>
  </property>
  <property fmtid="{D5CDD505-2E9C-101B-9397-08002B2CF9AE}" pid="6" name="Objective-CreationStamp">
    <vt:filetime>2019-11-20T00:45:32Z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2020-02-13T03:37:31Z</vt:filetime>
  </property>
  <property fmtid="{D5CDD505-2E9C-101B-9397-08002B2CF9AE}" pid="11" name="Objective-Owner">
    <vt:lpwstr>Urbani, Karen Ms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02. Determination (drafts/final)</vt:lpwstr>
  </property>
  <property fmtid="{D5CDD505-2E9C-101B-9397-08002B2CF9AE}" pid="14" name="Objective-State">
    <vt:lpwstr>Being Drafted</vt:lpwstr>
  </property>
  <property fmtid="{D5CDD505-2E9C-101B-9397-08002B2CF9AE}" pid="15" name="Objective-Version">
    <vt:lpwstr>2.2</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