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369AD" w14:textId="77777777" w:rsidR="00FD16BC" w:rsidRPr="009F1E40" w:rsidRDefault="00DD53AF" w:rsidP="001F092D">
      <w:pPr>
        <w:jc w:val="center"/>
        <w:rPr>
          <w:rFonts w:ascii="Times New Roman" w:hAnsi="Times New Roman"/>
          <w:b/>
          <w:color w:val="000000"/>
          <w:sz w:val="24"/>
          <w:szCs w:val="24"/>
          <w:u w:val="single"/>
        </w:rPr>
      </w:pPr>
      <w:r w:rsidRPr="009F1E40">
        <w:rPr>
          <w:rFonts w:ascii="Times New Roman" w:hAnsi="Times New Roman"/>
          <w:b/>
          <w:color w:val="000000"/>
          <w:sz w:val="24"/>
          <w:szCs w:val="24"/>
          <w:u w:val="single"/>
        </w:rPr>
        <w:t>EXPLANATORY STATEMENT</w:t>
      </w:r>
    </w:p>
    <w:p w14:paraId="182A0551" w14:textId="77777777" w:rsidR="00DD53AF" w:rsidRPr="009F1E40" w:rsidRDefault="00DD53AF" w:rsidP="00E65DE5">
      <w:pPr>
        <w:rPr>
          <w:rFonts w:ascii="Times New Roman" w:hAnsi="Times New Roman"/>
          <w:color w:val="000000"/>
          <w:sz w:val="24"/>
          <w:szCs w:val="24"/>
        </w:rPr>
      </w:pPr>
    </w:p>
    <w:p w14:paraId="1F1AA462" w14:textId="77777777" w:rsidR="00E006BB" w:rsidRPr="009F1E40" w:rsidRDefault="00CF3FB6" w:rsidP="00E006BB">
      <w:pPr>
        <w:jc w:val="center"/>
        <w:rPr>
          <w:rFonts w:ascii="Times New Roman" w:hAnsi="Times New Roman"/>
          <w:i/>
          <w:color w:val="000000"/>
          <w:sz w:val="24"/>
          <w:szCs w:val="24"/>
        </w:rPr>
      </w:pPr>
      <w:r w:rsidRPr="009F1E40">
        <w:rPr>
          <w:rFonts w:ascii="Times New Roman" w:hAnsi="Times New Roman"/>
          <w:i/>
          <w:color w:val="000000"/>
          <w:sz w:val="24"/>
          <w:szCs w:val="24"/>
        </w:rPr>
        <w:t xml:space="preserve">Guidelines issued under </w:t>
      </w:r>
      <w:r w:rsidR="00E006BB" w:rsidRPr="009F1E40">
        <w:rPr>
          <w:rFonts w:ascii="Times New Roman" w:hAnsi="Times New Roman"/>
          <w:i/>
          <w:color w:val="000000"/>
          <w:sz w:val="24"/>
          <w:szCs w:val="24"/>
        </w:rPr>
        <w:t>section 238-10 of the Higher Education Support Act 2003</w:t>
      </w:r>
    </w:p>
    <w:p w14:paraId="5C2100AB" w14:textId="77777777" w:rsidR="00DD53AF" w:rsidRPr="009F1E40" w:rsidRDefault="00DD53AF" w:rsidP="00DD53AF">
      <w:pPr>
        <w:jc w:val="center"/>
        <w:rPr>
          <w:rFonts w:ascii="Times New Roman" w:hAnsi="Times New Roman"/>
          <w:color w:val="000000"/>
          <w:sz w:val="24"/>
          <w:szCs w:val="24"/>
          <w:u w:val="single"/>
        </w:rPr>
      </w:pPr>
    </w:p>
    <w:p w14:paraId="79237B61" w14:textId="77777777" w:rsidR="00E006BB" w:rsidRPr="009F1E40" w:rsidRDefault="00474288" w:rsidP="00DD53AF">
      <w:pPr>
        <w:jc w:val="center"/>
        <w:rPr>
          <w:rFonts w:ascii="Times New Roman" w:hAnsi="Times New Roman"/>
          <w:color w:val="000000"/>
          <w:sz w:val="24"/>
          <w:szCs w:val="24"/>
        </w:rPr>
      </w:pPr>
      <w:r w:rsidRPr="009F1E40">
        <w:rPr>
          <w:rFonts w:ascii="Times New Roman" w:hAnsi="Times New Roman"/>
          <w:i/>
          <w:color w:val="000000"/>
          <w:sz w:val="24"/>
          <w:szCs w:val="24"/>
        </w:rPr>
        <w:t xml:space="preserve">Other Grants </w:t>
      </w:r>
      <w:r w:rsidR="003A08BD" w:rsidRPr="009F1E40">
        <w:rPr>
          <w:rFonts w:ascii="Times New Roman" w:hAnsi="Times New Roman"/>
          <w:i/>
          <w:color w:val="000000"/>
          <w:sz w:val="24"/>
          <w:szCs w:val="24"/>
        </w:rPr>
        <w:t>Guidelines</w:t>
      </w:r>
      <w:r w:rsidRPr="009F1E40">
        <w:rPr>
          <w:rFonts w:ascii="Times New Roman" w:hAnsi="Times New Roman"/>
          <w:i/>
          <w:color w:val="000000"/>
          <w:sz w:val="24"/>
          <w:szCs w:val="24"/>
        </w:rPr>
        <w:t xml:space="preserve"> (Education) </w:t>
      </w:r>
      <w:r w:rsidR="00A0482E">
        <w:rPr>
          <w:rFonts w:ascii="Times New Roman" w:hAnsi="Times New Roman"/>
          <w:i/>
          <w:color w:val="000000"/>
          <w:sz w:val="24"/>
          <w:szCs w:val="24"/>
        </w:rPr>
        <w:t xml:space="preserve">Amendment (No. 1) </w:t>
      </w:r>
      <w:r w:rsidR="007E7046">
        <w:rPr>
          <w:rFonts w:ascii="Times New Roman" w:hAnsi="Times New Roman"/>
          <w:i/>
          <w:color w:val="000000"/>
          <w:sz w:val="24"/>
          <w:szCs w:val="24"/>
        </w:rPr>
        <w:t>2020</w:t>
      </w:r>
    </w:p>
    <w:p w14:paraId="61414195" w14:textId="77777777" w:rsidR="00CD06B0" w:rsidRPr="009F1E40" w:rsidRDefault="00CD06B0" w:rsidP="00E65DE5">
      <w:pPr>
        <w:rPr>
          <w:rFonts w:ascii="Times New Roman" w:hAnsi="Times New Roman"/>
          <w:color w:val="000000"/>
          <w:sz w:val="24"/>
          <w:szCs w:val="24"/>
          <w:u w:val="single"/>
        </w:rPr>
      </w:pPr>
    </w:p>
    <w:p w14:paraId="1F7DC906" w14:textId="77777777" w:rsidR="00CF3FB6" w:rsidRPr="009F1E40" w:rsidRDefault="00CF3FB6" w:rsidP="00E65DE5">
      <w:pPr>
        <w:rPr>
          <w:rFonts w:ascii="Times New Roman" w:hAnsi="Times New Roman"/>
          <w:color w:val="000000"/>
          <w:sz w:val="24"/>
          <w:szCs w:val="24"/>
        </w:rPr>
      </w:pPr>
    </w:p>
    <w:p w14:paraId="3795A121" w14:textId="77777777" w:rsidR="00CF3FB6" w:rsidRPr="00CB1519" w:rsidRDefault="00CF3FB6" w:rsidP="00CF3FB6">
      <w:pPr>
        <w:rPr>
          <w:rFonts w:ascii="Times New Roman" w:hAnsi="Times New Roman"/>
          <w:b/>
          <w:color w:val="000000"/>
          <w:sz w:val="24"/>
          <w:szCs w:val="24"/>
        </w:rPr>
      </w:pPr>
      <w:r w:rsidRPr="00CB1519">
        <w:rPr>
          <w:rFonts w:ascii="Times New Roman" w:hAnsi="Times New Roman"/>
          <w:b/>
          <w:color w:val="000000"/>
          <w:sz w:val="24"/>
          <w:szCs w:val="24"/>
        </w:rPr>
        <w:t>Authority</w:t>
      </w:r>
    </w:p>
    <w:p w14:paraId="02534070" w14:textId="77777777" w:rsidR="00CF3FB6" w:rsidRPr="009F1E40" w:rsidRDefault="00CF3FB6" w:rsidP="00CF3FB6">
      <w:pPr>
        <w:rPr>
          <w:rFonts w:ascii="Times New Roman" w:hAnsi="Times New Roman"/>
          <w:color w:val="000000"/>
          <w:sz w:val="24"/>
          <w:szCs w:val="24"/>
          <w:u w:val="single"/>
        </w:rPr>
      </w:pPr>
    </w:p>
    <w:p w14:paraId="4EDBCD2C" w14:textId="77777777" w:rsidR="00E320C2" w:rsidRPr="009F1E40" w:rsidRDefault="00A45D09" w:rsidP="00CF3FB6">
      <w:pPr>
        <w:rPr>
          <w:rFonts w:ascii="Times New Roman" w:hAnsi="Times New Roman"/>
          <w:iCs/>
          <w:color w:val="000000"/>
          <w:sz w:val="24"/>
          <w:szCs w:val="24"/>
        </w:rPr>
      </w:pPr>
      <w:r w:rsidRPr="009F1E40">
        <w:rPr>
          <w:rFonts w:ascii="Times New Roman" w:hAnsi="Times New Roman"/>
          <w:color w:val="000000"/>
          <w:sz w:val="24"/>
          <w:szCs w:val="24"/>
        </w:rPr>
        <w:t xml:space="preserve">Section 238-10 of the </w:t>
      </w:r>
      <w:r w:rsidRPr="009F1E40">
        <w:rPr>
          <w:rFonts w:ascii="Times New Roman" w:hAnsi="Times New Roman"/>
          <w:i/>
          <w:color w:val="000000"/>
          <w:sz w:val="24"/>
          <w:szCs w:val="24"/>
        </w:rPr>
        <w:t>Higher Education Support Act 2003</w:t>
      </w:r>
      <w:r w:rsidRPr="009F1E40">
        <w:rPr>
          <w:rFonts w:ascii="Times New Roman" w:hAnsi="Times New Roman"/>
          <w:color w:val="000000"/>
          <w:sz w:val="24"/>
          <w:szCs w:val="24"/>
        </w:rPr>
        <w:t xml:space="preserve"> (the Act) provides that the Minister may make guidelines providing for matters required or permitted by the Act</w:t>
      </w:r>
      <w:r w:rsidR="001F092D">
        <w:rPr>
          <w:rFonts w:ascii="Times New Roman" w:hAnsi="Times New Roman"/>
          <w:color w:val="000000"/>
          <w:sz w:val="24"/>
          <w:szCs w:val="24"/>
        </w:rPr>
        <w:t>,</w:t>
      </w:r>
      <w:r w:rsidRPr="009F1E40">
        <w:rPr>
          <w:rFonts w:ascii="Times New Roman" w:hAnsi="Times New Roman"/>
          <w:color w:val="000000"/>
          <w:sz w:val="24"/>
          <w:szCs w:val="24"/>
        </w:rPr>
        <w:t xml:space="preserve"> </w:t>
      </w:r>
      <w:r w:rsidR="007A6B0E" w:rsidRPr="009F1E40">
        <w:rPr>
          <w:rFonts w:ascii="Times New Roman" w:hAnsi="Times New Roman"/>
          <w:color w:val="000000"/>
          <w:sz w:val="24"/>
          <w:szCs w:val="24"/>
        </w:rPr>
        <w:t>or</w:t>
      </w:r>
      <w:r w:rsidR="001F092D">
        <w:rPr>
          <w:rFonts w:ascii="Times New Roman" w:hAnsi="Times New Roman"/>
          <w:color w:val="000000"/>
          <w:sz w:val="24"/>
          <w:szCs w:val="24"/>
        </w:rPr>
        <w:t xml:space="preserve"> </w:t>
      </w:r>
      <w:r w:rsidR="007A6B0E" w:rsidRPr="009F1E40">
        <w:rPr>
          <w:rFonts w:ascii="Times New Roman" w:hAnsi="Times New Roman"/>
          <w:color w:val="000000"/>
          <w:sz w:val="24"/>
          <w:szCs w:val="24"/>
        </w:rPr>
        <w:t xml:space="preserve">is </w:t>
      </w:r>
      <w:r w:rsidRPr="009F1E40">
        <w:rPr>
          <w:rFonts w:ascii="Times New Roman" w:hAnsi="Times New Roman"/>
          <w:color w:val="000000"/>
          <w:sz w:val="24"/>
          <w:szCs w:val="24"/>
        </w:rPr>
        <w:t>necessary or convenient to be provided in order to carry</w:t>
      </w:r>
      <w:r w:rsidR="00E923C6" w:rsidRPr="009F1E40">
        <w:rPr>
          <w:rFonts w:ascii="Times New Roman" w:hAnsi="Times New Roman"/>
          <w:color w:val="000000"/>
          <w:sz w:val="24"/>
          <w:szCs w:val="24"/>
        </w:rPr>
        <w:t xml:space="preserve"> </w:t>
      </w:r>
      <w:r w:rsidR="0076583B" w:rsidRPr="009F1E40">
        <w:rPr>
          <w:rFonts w:ascii="Times New Roman" w:hAnsi="Times New Roman"/>
          <w:color w:val="000000"/>
          <w:sz w:val="24"/>
          <w:szCs w:val="24"/>
        </w:rPr>
        <w:t>out or give effect to the Act.</w:t>
      </w:r>
      <w:r w:rsidR="00516EE2">
        <w:rPr>
          <w:rFonts w:ascii="Times New Roman" w:hAnsi="Times New Roman"/>
          <w:iCs/>
          <w:color w:val="000000"/>
          <w:sz w:val="24"/>
          <w:szCs w:val="24"/>
        </w:rPr>
        <w:t xml:space="preserve"> </w:t>
      </w:r>
      <w:r w:rsidR="00AD79C2" w:rsidRPr="009F1E40">
        <w:rPr>
          <w:rFonts w:ascii="Times New Roman" w:hAnsi="Times New Roman"/>
          <w:color w:val="000000"/>
          <w:sz w:val="24"/>
          <w:szCs w:val="24"/>
        </w:rPr>
        <w:t>In particular item 8 of the table in subsection 238-10(1) specifies the Minister may make Other Grants Guidelines to give effect to matters under Part 2-3 of the Act. Section 41-15 of the Act provides that the Other Grants Guidelines may specify one or more programs under which grants for particular purposes specified in the table in subsection 41</w:t>
      </w:r>
      <w:r w:rsidR="00AD79C2" w:rsidRPr="009F1E40">
        <w:rPr>
          <w:rFonts w:ascii="Times New Roman" w:hAnsi="Times New Roman"/>
          <w:color w:val="000000"/>
          <w:sz w:val="24"/>
          <w:szCs w:val="24"/>
        </w:rPr>
        <w:noBreakHyphen/>
        <w:t xml:space="preserve">10(1) are to be paid. </w:t>
      </w:r>
    </w:p>
    <w:p w14:paraId="615AEB93" w14:textId="77777777" w:rsidR="00AD79C2" w:rsidRPr="009F1E40" w:rsidRDefault="00AD79C2" w:rsidP="00CF3FB6">
      <w:pPr>
        <w:rPr>
          <w:rFonts w:ascii="Times New Roman" w:hAnsi="Times New Roman"/>
          <w:color w:val="000000"/>
          <w:sz w:val="24"/>
          <w:szCs w:val="24"/>
        </w:rPr>
      </w:pPr>
    </w:p>
    <w:p w14:paraId="780C4808" w14:textId="77777777" w:rsidR="00E320C2" w:rsidRPr="00CB1519" w:rsidRDefault="00E320C2" w:rsidP="00E320C2">
      <w:pPr>
        <w:rPr>
          <w:rFonts w:ascii="Times New Roman" w:hAnsi="Times New Roman"/>
          <w:b/>
          <w:color w:val="000000"/>
          <w:sz w:val="24"/>
          <w:szCs w:val="24"/>
        </w:rPr>
      </w:pPr>
      <w:r w:rsidRPr="00CB1519">
        <w:rPr>
          <w:rFonts w:ascii="Times New Roman" w:hAnsi="Times New Roman"/>
          <w:b/>
          <w:color w:val="000000"/>
          <w:sz w:val="24"/>
          <w:szCs w:val="24"/>
        </w:rPr>
        <w:t>Purpose</w:t>
      </w:r>
      <w:bookmarkStart w:id="0" w:name="_GoBack"/>
      <w:bookmarkEnd w:id="0"/>
    </w:p>
    <w:p w14:paraId="0A344EC0" w14:textId="77777777" w:rsidR="004F5347" w:rsidRPr="009F1E40" w:rsidRDefault="004F5347" w:rsidP="004F5347">
      <w:pPr>
        <w:rPr>
          <w:rFonts w:ascii="Times New Roman" w:hAnsi="Times New Roman"/>
          <w:color w:val="000000"/>
          <w:sz w:val="24"/>
          <w:szCs w:val="24"/>
        </w:rPr>
      </w:pPr>
    </w:p>
    <w:p w14:paraId="13BDC856" w14:textId="77777777" w:rsidR="00FA7C95" w:rsidRDefault="005D6BE0" w:rsidP="003F74C1">
      <w:pPr>
        <w:tabs>
          <w:tab w:val="left" w:pos="851"/>
        </w:tabs>
        <w:rPr>
          <w:rFonts w:ascii="Times New Roman" w:hAnsi="Times New Roman"/>
          <w:bCs/>
          <w:sz w:val="24"/>
          <w:szCs w:val="24"/>
        </w:rPr>
      </w:pPr>
      <w:r>
        <w:rPr>
          <w:rFonts w:ascii="Times New Roman" w:hAnsi="Times New Roman"/>
          <w:iCs/>
          <w:color w:val="000000"/>
          <w:sz w:val="24"/>
          <w:szCs w:val="24"/>
        </w:rPr>
        <w:t xml:space="preserve">The </w:t>
      </w:r>
      <w:r>
        <w:rPr>
          <w:rFonts w:ascii="Times New Roman" w:hAnsi="Times New Roman"/>
          <w:i/>
          <w:iCs/>
          <w:color w:val="000000"/>
          <w:sz w:val="24"/>
          <w:szCs w:val="24"/>
        </w:rPr>
        <w:t xml:space="preserve">Other Grants Guidelines (Education) Amendment (No.1) 2020 </w:t>
      </w:r>
      <w:r>
        <w:rPr>
          <w:rFonts w:ascii="Times New Roman" w:hAnsi="Times New Roman"/>
          <w:iCs/>
          <w:color w:val="000000"/>
          <w:sz w:val="24"/>
          <w:szCs w:val="24"/>
        </w:rPr>
        <w:t>(Amendment Instrument) amends the</w:t>
      </w:r>
      <w:r w:rsidR="004C61F3" w:rsidRPr="009F1E40">
        <w:rPr>
          <w:rFonts w:ascii="Times New Roman" w:hAnsi="Times New Roman"/>
          <w:i/>
          <w:iCs/>
          <w:color w:val="000000"/>
          <w:sz w:val="24"/>
          <w:szCs w:val="24"/>
        </w:rPr>
        <w:t xml:space="preserve"> Other Grants Guidelines (Education)</w:t>
      </w:r>
      <w:r w:rsidR="004C61F3" w:rsidRPr="009F1E40">
        <w:rPr>
          <w:rFonts w:ascii="Times New Roman" w:hAnsi="Times New Roman"/>
          <w:iCs/>
          <w:color w:val="000000"/>
          <w:sz w:val="24"/>
          <w:szCs w:val="24"/>
        </w:rPr>
        <w:t xml:space="preserve"> </w:t>
      </w:r>
      <w:r w:rsidR="004C61F3" w:rsidRPr="009F1E40">
        <w:rPr>
          <w:rFonts w:ascii="Times New Roman" w:hAnsi="Times New Roman"/>
          <w:i/>
          <w:iCs/>
          <w:color w:val="000000"/>
          <w:sz w:val="24"/>
          <w:szCs w:val="24"/>
        </w:rPr>
        <w:t>2012</w:t>
      </w:r>
      <w:r w:rsidR="004C61F3" w:rsidRPr="009F1E40">
        <w:rPr>
          <w:rFonts w:ascii="Times New Roman" w:hAnsi="Times New Roman"/>
          <w:iCs/>
          <w:color w:val="000000"/>
          <w:sz w:val="24"/>
          <w:szCs w:val="24"/>
        </w:rPr>
        <w:t xml:space="preserve"> </w:t>
      </w:r>
      <w:r w:rsidR="004C61F3" w:rsidRPr="009F1E40">
        <w:rPr>
          <w:rFonts w:ascii="Times New Roman" w:hAnsi="Times New Roman"/>
          <w:bCs/>
          <w:sz w:val="24"/>
          <w:szCs w:val="24"/>
        </w:rPr>
        <w:t>(</w:t>
      </w:r>
      <w:r>
        <w:rPr>
          <w:rFonts w:ascii="Times New Roman" w:hAnsi="Times New Roman"/>
          <w:bCs/>
          <w:sz w:val="24"/>
          <w:szCs w:val="24"/>
        </w:rPr>
        <w:t>Principal Instrument</w:t>
      </w:r>
      <w:r w:rsidR="004C61F3" w:rsidRPr="009F1E40">
        <w:rPr>
          <w:rFonts w:ascii="Times New Roman" w:hAnsi="Times New Roman"/>
          <w:bCs/>
          <w:sz w:val="24"/>
          <w:szCs w:val="24"/>
        </w:rPr>
        <w:t xml:space="preserve">) </w:t>
      </w:r>
      <w:r w:rsidR="00FA7C95">
        <w:rPr>
          <w:rFonts w:ascii="Times New Roman" w:hAnsi="Times New Roman"/>
          <w:bCs/>
          <w:sz w:val="24"/>
          <w:szCs w:val="24"/>
        </w:rPr>
        <w:t>to:</w:t>
      </w:r>
    </w:p>
    <w:p w14:paraId="72BB41A3" w14:textId="77777777" w:rsidR="00FA7C95" w:rsidRDefault="00FA7C95" w:rsidP="003F74C1">
      <w:pPr>
        <w:tabs>
          <w:tab w:val="left" w:pos="851"/>
        </w:tabs>
        <w:rPr>
          <w:rFonts w:ascii="Times New Roman" w:hAnsi="Times New Roman"/>
          <w:bCs/>
          <w:sz w:val="24"/>
          <w:szCs w:val="24"/>
        </w:rPr>
      </w:pPr>
    </w:p>
    <w:p w14:paraId="14D2057A" w14:textId="77777777" w:rsidR="009C0C15" w:rsidRPr="00FA7C95" w:rsidRDefault="00D14747" w:rsidP="00FA7C95">
      <w:pPr>
        <w:pStyle w:val="ListParagraph"/>
        <w:numPr>
          <w:ilvl w:val="0"/>
          <w:numId w:val="43"/>
        </w:numPr>
        <w:tabs>
          <w:tab w:val="left" w:pos="851"/>
        </w:tabs>
        <w:rPr>
          <w:rFonts w:ascii="Times New Roman" w:hAnsi="Times New Roman"/>
          <w:iCs/>
          <w:color w:val="000000"/>
          <w:sz w:val="24"/>
          <w:szCs w:val="24"/>
        </w:rPr>
      </w:pPr>
      <w:r>
        <w:rPr>
          <w:rFonts w:ascii="Times New Roman" w:hAnsi="Times New Roman"/>
          <w:bCs/>
          <w:sz w:val="24"/>
          <w:szCs w:val="24"/>
        </w:rPr>
        <w:t>establish</w:t>
      </w:r>
      <w:r w:rsidR="003F74C1" w:rsidRPr="00FA7C95">
        <w:rPr>
          <w:rFonts w:ascii="Times New Roman" w:hAnsi="Times New Roman"/>
          <w:bCs/>
          <w:sz w:val="24"/>
          <w:szCs w:val="24"/>
        </w:rPr>
        <w:t xml:space="preserve"> the University and Industry Collaboration Program</w:t>
      </w:r>
    </w:p>
    <w:p w14:paraId="5828C527" w14:textId="77777777" w:rsidR="00FA7C95" w:rsidRPr="00FA7C95" w:rsidRDefault="00FA7C95" w:rsidP="00FA7C95">
      <w:pPr>
        <w:pStyle w:val="ListParagraph"/>
        <w:numPr>
          <w:ilvl w:val="0"/>
          <w:numId w:val="43"/>
        </w:numPr>
        <w:tabs>
          <w:tab w:val="left" w:pos="851"/>
        </w:tabs>
        <w:rPr>
          <w:rFonts w:ascii="Times New Roman" w:hAnsi="Times New Roman"/>
          <w:iCs/>
          <w:color w:val="000000"/>
          <w:sz w:val="24"/>
          <w:szCs w:val="24"/>
        </w:rPr>
      </w:pPr>
      <w:r>
        <w:rPr>
          <w:rFonts w:ascii="Times New Roman" w:hAnsi="Times New Roman"/>
          <w:bCs/>
          <w:color w:val="000000"/>
          <w:sz w:val="24"/>
          <w:szCs w:val="24"/>
        </w:rPr>
        <w:t>replace references to the Regional Study Hubs program with references to the Regional University Centres</w:t>
      </w:r>
    </w:p>
    <w:p w14:paraId="2F204CF9" w14:textId="77777777" w:rsidR="00FA7C95" w:rsidRPr="00D14747" w:rsidRDefault="00FA7C95" w:rsidP="00474288">
      <w:pPr>
        <w:pStyle w:val="ListParagraph"/>
        <w:numPr>
          <w:ilvl w:val="0"/>
          <w:numId w:val="43"/>
        </w:numPr>
        <w:tabs>
          <w:tab w:val="left" w:pos="851"/>
        </w:tabs>
        <w:rPr>
          <w:rFonts w:ascii="Times New Roman" w:hAnsi="Times New Roman"/>
          <w:iCs/>
          <w:color w:val="000000"/>
          <w:sz w:val="24"/>
          <w:szCs w:val="24"/>
        </w:rPr>
      </w:pPr>
      <w:r>
        <w:rPr>
          <w:rFonts w:ascii="Times New Roman" w:hAnsi="Times New Roman"/>
          <w:bCs/>
          <w:color w:val="000000"/>
          <w:sz w:val="24"/>
          <w:szCs w:val="24"/>
        </w:rPr>
        <w:t xml:space="preserve">make </w:t>
      </w:r>
      <w:r w:rsidR="00D14747">
        <w:rPr>
          <w:rFonts w:ascii="Times New Roman" w:hAnsi="Times New Roman"/>
          <w:bCs/>
          <w:color w:val="000000"/>
          <w:sz w:val="24"/>
          <w:szCs w:val="24"/>
        </w:rPr>
        <w:t>editorial</w:t>
      </w:r>
      <w:r>
        <w:rPr>
          <w:rFonts w:ascii="Times New Roman" w:hAnsi="Times New Roman"/>
          <w:bCs/>
          <w:color w:val="000000"/>
          <w:sz w:val="24"/>
          <w:szCs w:val="24"/>
        </w:rPr>
        <w:t xml:space="preserve"> and other minor amendments.</w:t>
      </w:r>
    </w:p>
    <w:p w14:paraId="0535C434" w14:textId="77777777" w:rsidR="00FA7C95" w:rsidRDefault="00FA7C95" w:rsidP="00474288">
      <w:pPr>
        <w:rPr>
          <w:rFonts w:ascii="Times New Roman" w:hAnsi="Times New Roman"/>
          <w:iCs/>
          <w:color w:val="000000"/>
          <w:sz w:val="24"/>
          <w:szCs w:val="24"/>
        </w:rPr>
      </w:pPr>
    </w:p>
    <w:p w14:paraId="7AB4A6E6" w14:textId="23E9EA2E" w:rsidR="00D14747" w:rsidRDefault="00D14747" w:rsidP="00474288">
      <w:pPr>
        <w:rPr>
          <w:rFonts w:ascii="Times New Roman" w:hAnsi="Times New Roman"/>
          <w:iCs/>
          <w:color w:val="000000"/>
          <w:sz w:val="24"/>
          <w:szCs w:val="24"/>
        </w:rPr>
      </w:pPr>
      <w:r>
        <w:rPr>
          <w:rFonts w:ascii="Times New Roman" w:hAnsi="Times New Roman"/>
          <w:iCs/>
          <w:color w:val="000000"/>
          <w:sz w:val="24"/>
          <w:szCs w:val="24"/>
        </w:rPr>
        <w:t xml:space="preserve">The </w:t>
      </w:r>
      <w:r w:rsidRPr="00FA7C95">
        <w:rPr>
          <w:rFonts w:ascii="Times New Roman" w:hAnsi="Times New Roman"/>
          <w:bCs/>
          <w:sz w:val="24"/>
          <w:szCs w:val="24"/>
        </w:rPr>
        <w:t>University and Industry Collaboration Program</w:t>
      </w:r>
      <w:r>
        <w:rPr>
          <w:rFonts w:ascii="Times New Roman" w:hAnsi="Times New Roman"/>
          <w:bCs/>
          <w:sz w:val="24"/>
          <w:szCs w:val="24"/>
        </w:rPr>
        <w:t xml:space="preserve"> will provide grants to Table A providers to foster collaboration and reform in higher education,</w:t>
      </w:r>
      <w:r w:rsidR="001F43AA">
        <w:rPr>
          <w:rFonts w:ascii="Times New Roman" w:hAnsi="Times New Roman"/>
          <w:bCs/>
          <w:sz w:val="24"/>
          <w:szCs w:val="24"/>
        </w:rPr>
        <w:t xml:space="preserve"> and,</w:t>
      </w:r>
      <w:r>
        <w:rPr>
          <w:rFonts w:ascii="Times New Roman" w:hAnsi="Times New Roman"/>
          <w:bCs/>
          <w:sz w:val="24"/>
          <w:szCs w:val="24"/>
        </w:rPr>
        <w:t xml:space="preserve"> in particular to enhance collaboration between universities and industry.</w:t>
      </w:r>
    </w:p>
    <w:p w14:paraId="7F73C59B" w14:textId="77777777" w:rsidR="00D14747" w:rsidRPr="009F1E40" w:rsidRDefault="00D14747" w:rsidP="00474288">
      <w:pPr>
        <w:rPr>
          <w:rFonts w:ascii="Times New Roman" w:hAnsi="Times New Roman"/>
          <w:iCs/>
          <w:color w:val="000000"/>
          <w:sz w:val="24"/>
          <w:szCs w:val="24"/>
        </w:rPr>
      </w:pPr>
    </w:p>
    <w:p w14:paraId="1770B57C" w14:textId="77777777" w:rsidR="00A0482E" w:rsidRDefault="00A0482E" w:rsidP="00A0482E">
      <w:pPr>
        <w:rPr>
          <w:rFonts w:ascii="Times New Roman" w:hAnsi="Times New Roman"/>
          <w:b/>
          <w:iCs/>
          <w:color w:val="000000"/>
          <w:sz w:val="24"/>
          <w:szCs w:val="24"/>
        </w:rPr>
      </w:pPr>
      <w:r w:rsidRPr="00BE19BA">
        <w:rPr>
          <w:rFonts w:ascii="Times New Roman" w:hAnsi="Times New Roman"/>
          <w:b/>
          <w:iCs/>
          <w:color w:val="000000"/>
          <w:sz w:val="24"/>
          <w:szCs w:val="24"/>
        </w:rPr>
        <w:t>Commencement</w:t>
      </w:r>
    </w:p>
    <w:p w14:paraId="59EF185B" w14:textId="77777777" w:rsidR="00142EC6" w:rsidRPr="00142EC6" w:rsidRDefault="00142EC6" w:rsidP="00A0482E">
      <w:pPr>
        <w:rPr>
          <w:rFonts w:ascii="Times New Roman" w:hAnsi="Times New Roman"/>
          <w:color w:val="000000"/>
          <w:sz w:val="24"/>
          <w:szCs w:val="24"/>
        </w:rPr>
      </w:pPr>
    </w:p>
    <w:p w14:paraId="448651BF" w14:textId="77777777" w:rsidR="00A0482E" w:rsidRDefault="005D6BE0" w:rsidP="00A0482E">
      <w:pPr>
        <w:tabs>
          <w:tab w:val="left" w:pos="851"/>
        </w:tabs>
        <w:rPr>
          <w:rFonts w:ascii="Times New Roman" w:hAnsi="Times New Roman"/>
          <w:bCs/>
          <w:sz w:val="24"/>
          <w:szCs w:val="24"/>
        </w:rPr>
      </w:pPr>
      <w:r>
        <w:rPr>
          <w:rFonts w:ascii="Times New Roman" w:hAnsi="Times New Roman"/>
          <w:bCs/>
          <w:color w:val="000000"/>
          <w:sz w:val="24"/>
          <w:szCs w:val="24"/>
        </w:rPr>
        <w:t xml:space="preserve">The Amendment Instrument takes effect on the day after it is registered on the Federal Register of Legislation. </w:t>
      </w:r>
    </w:p>
    <w:p w14:paraId="6FFADB6F" w14:textId="77777777" w:rsidR="00B9501D" w:rsidRDefault="00B9501D" w:rsidP="00861338">
      <w:pPr>
        <w:rPr>
          <w:rFonts w:ascii="Times New Roman" w:hAnsi="Times New Roman"/>
          <w:color w:val="000000"/>
          <w:sz w:val="24"/>
          <w:szCs w:val="24"/>
        </w:rPr>
      </w:pPr>
      <w:bookmarkStart w:id="1" w:name="OLE_LINK4"/>
    </w:p>
    <w:p w14:paraId="05C1235E" w14:textId="77777777" w:rsidR="00142EC6" w:rsidRPr="00085B15" w:rsidRDefault="00142EC6" w:rsidP="00142EC6">
      <w:pPr>
        <w:rPr>
          <w:rFonts w:ascii="Times New Roman" w:hAnsi="Times New Roman"/>
          <w:b/>
          <w:iCs/>
          <w:color w:val="000000"/>
          <w:sz w:val="24"/>
          <w:szCs w:val="24"/>
        </w:rPr>
      </w:pPr>
      <w:r w:rsidRPr="00085B15">
        <w:rPr>
          <w:rFonts w:ascii="Times New Roman" w:hAnsi="Times New Roman"/>
          <w:b/>
          <w:iCs/>
          <w:color w:val="000000"/>
          <w:sz w:val="24"/>
          <w:szCs w:val="24"/>
        </w:rPr>
        <w:t>Availability of merits review</w:t>
      </w:r>
    </w:p>
    <w:p w14:paraId="5D76924E" w14:textId="77777777" w:rsidR="00142EC6" w:rsidRPr="00142EC6" w:rsidRDefault="00142EC6" w:rsidP="00142EC6">
      <w:pPr>
        <w:rPr>
          <w:rFonts w:ascii="Times New Roman" w:hAnsi="Times New Roman"/>
          <w:color w:val="000000"/>
          <w:sz w:val="24"/>
          <w:szCs w:val="24"/>
          <w:highlight w:val="yellow"/>
        </w:rPr>
      </w:pPr>
    </w:p>
    <w:p w14:paraId="28D7AD47" w14:textId="77777777" w:rsidR="00142EC6" w:rsidRPr="001062DF" w:rsidRDefault="00142EC6" w:rsidP="00142EC6">
      <w:pPr>
        <w:rPr>
          <w:rFonts w:ascii="Times New Roman" w:hAnsi="Times New Roman"/>
          <w:color w:val="000000"/>
          <w:sz w:val="24"/>
          <w:szCs w:val="24"/>
        </w:rPr>
      </w:pPr>
      <w:r w:rsidRPr="001062DF">
        <w:rPr>
          <w:rFonts w:ascii="Times New Roman" w:hAnsi="Times New Roman"/>
          <w:color w:val="000000"/>
          <w:sz w:val="24"/>
          <w:szCs w:val="24"/>
        </w:rPr>
        <w:t xml:space="preserve">Decisions by the Minister in relation to the provision of grants under the </w:t>
      </w:r>
      <w:r w:rsidR="00DC5F46" w:rsidRPr="001062DF">
        <w:rPr>
          <w:rFonts w:ascii="Times New Roman" w:hAnsi="Times New Roman"/>
          <w:bCs/>
          <w:sz w:val="24"/>
          <w:szCs w:val="24"/>
        </w:rPr>
        <w:t>University and Industry Collaboration Program</w:t>
      </w:r>
      <w:r w:rsidRPr="001062DF">
        <w:rPr>
          <w:rFonts w:ascii="Times New Roman" w:hAnsi="Times New Roman"/>
          <w:color w:val="000000"/>
          <w:sz w:val="24"/>
          <w:szCs w:val="24"/>
        </w:rPr>
        <w:t xml:space="preserve"> </w:t>
      </w:r>
      <w:r w:rsidR="00DC5F46" w:rsidRPr="001062DF">
        <w:rPr>
          <w:rFonts w:ascii="Times New Roman" w:hAnsi="Times New Roman"/>
          <w:color w:val="000000"/>
          <w:sz w:val="24"/>
          <w:szCs w:val="24"/>
        </w:rPr>
        <w:t>will</w:t>
      </w:r>
      <w:r w:rsidRPr="001062DF">
        <w:rPr>
          <w:rFonts w:ascii="Times New Roman" w:hAnsi="Times New Roman"/>
          <w:color w:val="000000"/>
          <w:sz w:val="24"/>
          <w:szCs w:val="24"/>
        </w:rPr>
        <w:t xml:space="preserve"> not </w:t>
      </w:r>
      <w:r w:rsidR="00DC5F46" w:rsidRPr="001062DF">
        <w:rPr>
          <w:rFonts w:ascii="Times New Roman" w:hAnsi="Times New Roman"/>
          <w:color w:val="000000"/>
          <w:sz w:val="24"/>
          <w:szCs w:val="24"/>
        </w:rPr>
        <w:t xml:space="preserve">be </w:t>
      </w:r>
      <w:r w:rsidRPr="001062DF">
        <w:rPr>
          <w:rFonts w:ascii="Times New Roman" w:hAnsi="Times New Roman"/>
          <w:color w:val="000000"/>
          <w:sz w:val="24"/>
          <w:szCs w:val="24"/>
        </w:rPr>
        <w:t>subject to merit</w:t>
      </w:r>
      <w:r w:rsidR="00C1232A" w:rsidRPr="001062DF">
        <w:rPr>
          <w:rFonts w:ascii="Times New Roman" w:hAnsi="Times New Roman"/>
          <w:color w:val="000000"/>
          <w:sz w:val="24"/>
          <w:szCs w:val="24"/>
        </w:rPr>
        <w:t>s</w:t>
      </w:r>
      <w:r w:rsidRPr="001062DF">
        <w:rPr>
          <w:rFonts w:ascii="Times New Roman" w:hAnsi="Times New Roman"/>
          <w:color w:val="000000"/>
          <w:sz w:val="24"/>
          <w:szCs w:val="24"/>
        </w:rPr>
        <w:t xml:space="preserve"> review for the following reasons.</w:t>
      </w:r>
    </w:p>
    <w:p w14:paraId="751F48B1" w14:textId="77777777" w:rsidR="00142EC6" w:rsidRPr="001062DF" w:rsidRDefault="00142EC6" w:rsidP="00142EC6">
      <w:pPr>
        <w:rPr>
          <w:rFonts w:ascii="Times New Roman" w:hAnsi="Times New Roman"/>
          <w:color w:val="000000"/>
          <w:sz w:val="24"/>
          <w:szCs w:val="24"/>
        </w:rPr>
      </w:pPr>
    </w:p>
    <w:p w14:paraId="4C34AE94" w14:textId="77777777" w:rsidR="00142EC6" w:rsidRPr="001062DF" w:rsidRDefault="00142EC6" w:rsidP="00142EC6">
      <w:pPr>
        <w:rPr>
          <w:rFonts w:ascii="Times New Roman" w:hAnsi="Times New Roman"/>
          <w:color w:val="000000"/>
          <w:sz w:val="24"/>
          <w:szCs w:val="24"/>
        </w:rPr>
      </w:pPr>
      <w:r w:rsidRPr="001062DF">
        <w:rPr>
          <w:rFonts w:ascii="Times New Roman" w:hAnsi="Times New Roman"/>
          <w:color w:val="000000"/>
          <w:sz w:val="24"/>
          <w:szCs w:val="24"/>
        </w:rPr>
        <w:t xml:space="preserve">Funding for the </w:t>
      </w:r>
      <w:r w:rsidR="0009191B" w:rsidRPr="001062DF">
        <w:rPr>
          <w:rFonts w:ascii="Times New Roman" w:hAnsi="Times New Roman"/>
          <w:bCs/>
          <w:sz w:val="24"/>
          <w:szCs w:val="24"/>
        </w:rPr>
        <w:t>University and Industry Collaboration Program</w:t>
      </w:r>
      <w:r w:rsidR="0009191B" w:rsidRPr="001062DF">
        <w:rPr>
          <w:rFonts w:ascii="Times New Roman" w:hAnsi="Times New Roman"/>
          <w:color w:val="000000"/>
          <w:sz w:val="24"/>
          <w:szCs w:val="24"/>
        </w:rPr>
        <w:t xml:space="preserve"> </w:t>
      </w:r>
      <w:r w:rsidRPr="001062DF">
        <w:rPr>
          <w:rFonts w:ascii="Times New Roman" w:hAnsi="Times New Roman"/>
          <w:color w:val="000000"/>
          <w:sz w:val="24"/>
          <w:szCs w:val="24"/>
        </w:rPr>
        <w:t>will be provided under Part 2-3 of the Act. Under Part 2-3 of the Act, the Minister has the discretion to:</w:t>
      </w:r>
    </w:p>
    <w:p w14:paraId="1C1A3C69" w14:textId="77777777" w:rsidR="00142EC6" w:rsidRPr="001062DF" w:rsidRDefault="00142EC6" w:rsidP="00142EC6">
      <w:pPr>
        <w:rPr>
          <w:rFonts w:ascii="Times New Roman" w:hAnsi="Times New Roman"/>
          <w:color w:val="000000"/>
          <w:sz w:val="24"/>
          <w:szCs w:val="24"/>
        </w:rPr>
      </w:pPr>
    </w:p>
    <w:p w14:paraId="358C370D" w14:textId="77777777" w:rsidR="00142EC6" w:rsidRPr="001062DF" w:rsidRDefault="00142EC6" w:rsidP="00142EC6">
      <w:pPr>
        <w:pStyle w:val="ListParagraph"/>
        <w:numPr>
          <w:ilvl w:val="0"/>
          <w:numId w:val="44"/>
        </w:numPr>
        <w:rPr>
          <w:rFonts w:ascii="Times New Roman" w:hAnsi="Times New Roman"/>
          <w:color w:val="000000"/>
          <w:sz w:val="24"/>
          <w:szCs w:val="24"/>
        </w:rPr>
      </w:pPr>
      <w:r w:rsidRPr="001062DF">
        <w:rPr>
          <w:rFonts w:ascii="Times New Roman" w:hAnsi="Times New Roman"/>
          <w:color w:val="000000"/>
          <w:sz w:val="24"/>
          <w:szCs w:val="24"/>
        </w:rPr>
        <w:t>approve grants made under Part 2-3 (section 41-20)</w:t>
      </w:r>
    </w:p>
    <w:p w14:paraId="5F28BC52" w14:textId="77777777" w:rsidR="00142EC6" w:rsidRPr="001062DF" w:rsidRDefault="00142EC6" w:rsidP="00142EC6">
      <w:pPr>
        <w:pStyle w:val="ListParagraph"/>
        <w:numPr>
          <w:ilvl w:val="0"/>
          <w:numId w:val="44"/>
        </w:numPr>
        <w:rPr>
          <w:rFonts w:ascii="Times New Roman" w:hAnsi="Times New Roman"/>
          <w:color w:val="000000"/>
          <w:sz w:val="24"/>
          <w:szCs w:val="24"/>
        </w:rPr>
      </w:pPr>
      <w:r w:rsidRPr="001062DF">
        <w:rPr>
          <w:rFonts w:ascii="Times New Roman" w:hAnsi="Times New Roman"/>
          <w:color w:val="000000"/>
          <w:sz w:val="24"/>
          <w:szCs w:val="24"/>
        </w:rPr>
        <w:t>determine the amount of those grants (where the Other Grants Guidelines do not specify an amount) (section 41-30), and</w:t>
      </w:r>
    </w:p>
    <w:p w14:paraId="38CD8462" w14:textId="77777777" w:rsidR="00142EC6" w:rsidRPr="001062DF" w:rsidRDefault="00142EC6" w:rsidP="00142EC6">
      <w:pPr>
        <w:pStyle w:val="ListParagraph"/>
        <w:numPr>
          <w:ilvl w:val="0"/>
          <w:numId w:val="44"/>
        </w:numPr>
        <w:rPr>
          <w:rFonts w:ascii="Times New Roman" w:hAnsi="Times New Roman"/>
          <w:color w:val="000000"/>
          <w:sz w:val="24"/>
          <w:szCs w:val="24"/>
        </w:rPr>
      </w:pPr>
      <w:r w:rsidRPr="001062DF">
        <w:rPr>
          <w:rFonts w:ascii="Times New Roman" w:hAnsi="Times New Roman"/>
          <w:color w:val="000000"/>
          <w:sz w:val="24"/>
          <w:szCs w:val="24"/>
        </w:rPr>
        <w:t>determine the conditions that attach to the grant (where the Other Grants Guidelines do not determine the conditions) (section 41-25).</w:t>
      </w:r>
    </w:p>
    <w:p w14:paraId="3F5C8156" w14:textId="77777777" w:rsidR="00142EC6" w:rsidRPr="001062DF" w:rsidRDefault="00142EC6" w:rsidP="00142EC6">
      <w:pPr>
        <w:rPr>
          <w:rFonts w:ascii="Times New Roman" w:hAnsi="Times New Roman"/>
          <w:color w:val="000000"/>
          <w:sz w:val="24"/>
          <w:szCs w:val="24"/>
        </w:rPr>
      </w:pPr>
      <w:r w:rsidRPr="001062DF">
        <w:rPr>
          <w:rFonts w:ascii="Times New Roman" w:hAnsi="Times New Roman"/>
          <w:color w:val="000000"/>
          <w:sz w:val="24"/>
          <w:szCs w:val="24"/>
        </w:rPr>
        <w:lastRenderedPageBreak/>
        <w:t xml:space="preserve">Section 206-1 of the Act specifies the types of decisions made under the Act that are reviewable decisions. Funding decisions made under Part 2-3 of the Act (including decisions pertaining to competitive discretionary grants) are not specified at section 206-1 as decisions that are reviewable. </w:t>
      </w:r>
    </w:p>
    <w:p w14:paraId="5ADAA2FF" w14:textId="77777777" w:rsidR="00142EC6" w:rsidRPr="001062DF" w:rsidRDefault="00142EC6" w:rsidP="00142EC6">
      <w:pPr>
        <w:rPr>
          <w:rFonts w:ascii="Times New Roman" w:hAnsi="Times New Roman"/>
          <w:color w:val="000000"/>
          <w:sz w:val="24"/>
          <w:szCs w:val="24"/>
        </w:rPr>
      </w:pPr>
    </w:p>
    <w:p w14:paraId="309F415A" w14:textId="5954EB75" w:rsidR="009E38A1" w:rsidRDefault="00142EC6" w:rsidP="00EB6BBF">
      <w:pPr>
        <w:rPr>
          <w:rFonts w:ascii="Times New Roman" w:hAnsi="Times New Roman"/>
          <w:color w:val="000000"/>
          <w:sz w:val="24"/>
          <w:szCs w:val="24"/>
        </w:rPr>
      </w:pPr>
      <w:r w:rsidRPr="001062DF">
        <w:rPr>
          <w:rFonts w:ascii="Times New Roman" w:hAnsi="Times New Roman"/>
          <w:color w:val="000000"/>
          <w:sz w:val="24"/>
          <w:szCs w:val="24"/>
        </w:rPr>
        <w:t xml:space="preserve">Furthermore, a finite amount of funding is available for the </w:t>
      </w:r>
      <w:r w:rsidR="0009191B" w:rsidRPr="001062DF">
        <w:rPr>
          <w:rFonts w:ascii="Times New Roman" w:hAnsi="Times New Roman"/>
          <w:bCs/>
          <w:sz w:val="24"/>
          <w:szCs w:val="24"/>
        </w:rPr>
        <w:t>University and Industry Collaboration Program</w:t>
      </w:r>
      <w:r w:rsidRPr="001062DF">
        <w:rPr>
          <w:rFonts w:ascii="Times New Roman" w:hAnsi="Times New Roman"/>
          <w:color w:val="000000"/>
          <w:sz w:val="24"/>
          <w:szCs w:val="24"/>
        </w:rPr>
        <w:t>. Providing for merits review where a finite amount of funding is available over a specified period would mean any decision for one applicant will necessarily adversely impact other applicants. Merits review would</w:t>
      </w:r>
      <w:r w:rsidR="001F43AA">
        <w:rPr>
          <w:rFonts w:ascii="Times New Roman" w:hAnsi="Times New Roman"/>
          <w:color w:val="000000"/>
          <w:sz w:val="24"/>
          <w:szCs w:val="24"/>
        </w:rPr>
        <w:t xml:space="preserve"> also</w:t>
      </w:r>
      <w:r w:rsidRPr="001062DF">
        <w:rPr>
          <w:rFonts w:ascii="Times New Roman" w:hAnsi="Times New Roman"/>
          <w:color w:val="000000"/>
          <w:sz w:val="24"/>
          <w:szCs w:val="24"/>
        </w:rPr>
        <w:t xml:space="preserve"> delay delivery of funding to successful applicants and potentially alter the amount of that funding.</w:t>
      </w:r>
      <w:r w:rsidR="000D5C7D">
        <w:rPr>
          <w:rFonts w:ascii="Times New Roman" w:hAnsi="Times New Roman"/>
          <w:color w:val="000000"/>
          <w:sz w:val="24"/>
          <w:szCs w:val="24"/>
        </w:rPr>
        <w:t xml:space="preserve"> </w:t>
      </w:r>
    </w:p>
    <w:p w14:paraId="29D9DB1F" w14:textId="77777777" w:rsidR="00A7184D" w:rsidRPr="001062DF" w:rsidRDefault="00A7184D" w:rsidP="00EB6BBF">
      <w:pPr>
        <w:rPr>
          <w:rFonts w:ascii="Times New Roman" w:hAnsi="Times New Roman"/>
          <w:color w:val="000000"/>
          <w:sz w:val="24"/>
          <w:szCs w:val="24"/>
        </w:rPr>
      </w:pPr>
    </w:p>
    <w:p w14:paraId="689AEE23" w14:textId="77777777" w:rsidR="001F43AA" w:rsidRDefault="001F43AA" w:rsidP="00085B15">
      <w:pPr>
        <w:rPr>
          <w:rFonts w:ascii="Times New Roman" w:eastAsiaTheme="minorHAnsi" w:hAnsi="Times New Roman"/>
          <w:color w:val="000000"/>
          <w:sz w:val="24"/>
          <w:szCs w:val="24"/>
        </w:rPr>
      </w:pPr>
      <w:r w:rsidRPr="00085B15">
        <w:rPr>
          <w:rFonts w:ascii="Times New Roman" w:eastAsiaTheme="minorHAnsi" w:hAnsi="Times New Roman"/>
          <w:color w:val="000000"/>
          <w:sz w:val="24"/>
          <w:szCs w:val="24"/>
        </w:rPr>
        <w:t xml:space="preserve">The allocation of finite resources between competing applicants reflects an established ground for excluding merits review (Attorney-General's Department, </w:t>
      </w:r>
      <w:r w:rsidRPr="00085B15">
        <w:rPr>
          <w:rFonts w:ascii="Times New Roman" w:eastAsiaTheme="minorHAnsi" w:hAnsi="Times New Roman"/>
          <w:i/>
          <w:color w:val="000000"/>
          <w:sz w:val="24"/>
          <w:szCs w:val="24"/>
        </w:rPr>
        <w:t>Administrative Review Council, What decisions should be subject to merit review?</w:t>
      </w:r>
      <w:r w:rsidRPr="00085B15">
        <w:rPr>
          <w:rFonts w:ascii="Times New Roman" w:eastAsiaTheme="minorHAnsi" w:hAnsi="Times New Roman"/>
          <w:color w:val="000000"/>
          <w:sz w:val="24"/>
          <w:szCs w:val="24"/>
        </w:rPr>
        <w:t xml:space="preserve"> (1999), [4.11]-[4.19]).</w:t>
      </w:r>
    </w:p>
    <w:p w14:paraId="1AAEA9C1" w14:textId="77777777" w:rsidR="009E38A1" w:rsidRDefault="009E38A1" w:rsidP="00085B15">
      <w:pPr>
        <w:rPr>
          <w:rFonts w:ascii="Times New Roman" w:eastAsiaTheme="minorHAnsi" w:hAnsi="Times New Roman"/>
          <w:color w:val="000000"/>
          <w:sz w:val="24"/>
          <w:szCs w:val="24"/>
        </w:rPr>
      </w:pPr>
    </w:p>
    <w:p w14:paraId="39B32050" w14:textId="77777777" w:rsidR="009E38A1" w:rsidRPr="00085B15" w:rsidRDefault="009E38A1" w:rsidP="009E38A1">
      <w:pPr>
        <w:autoSpaceDE w:val="0"/>
        <w:autoSpaceDN w:val="0"/>
        <w:adjustRightInd w:val="0"/>
        <w:rPr>
          <w:rFonts w:ascii="Times New Roman" w:hAnsi="Times New Roman"/>
          <w:bCs/>
          <w:sz w:val="24"/>
          <w:szCs w:val="24"/>
        </w:rPr>
      </w:pPr>
      <w:r w:rsidRPr="009E38A1">
        <w:rPr>
          <w:rFonts w:ascii="Times New Roman" w:hAnsi="Times New Roman"/>
          <w:bCs/>
          <w:sz w:val="24"/>
          <w:szCs w:val="24"/>
        </w:rPr>
        <w:t>W</w:t>
      </w:r>
      <w:r w:rsidRPr="00085B15">
        <w:rPr>
          <w:rFonts w:ascii="Times New Roman" w:hAnsi="Times New Roman"/>
          <w:bCs/>
          <w:sz w:val="24"/>
          <w:szCs w:val="24"/>
        </w:rPr>
        <w:t>hile independent merits review by the AAT will not be available, the Commonwealth</w:t>
      </w:r>
    </w:p>
    <w:p w14:paraId="27EB76AE" w14:textId="77777777" w:rsidR="009E38A1" w:rsidRPr="00085B15" w:rsidRDefault="009E38A1" w:rsidP="00085B15">
      <w:pPr>
        <w:rPr>
          <w:rFonts w:ascii="Times New Roman" w:hAnsi="Times New Roman"/>
          <w:bCs/>
          <w:sz w:val="24"/>
          <w:szCs w:val="24"/>
        </w:rPr>
      </w:pPr>
      <w:r w:rsidRPr="00085B15">
        <w:rPr>
          <w:rFonts w:ascii="Times New Roman" w:hAnsi="Times New Roman"/>
          <w:bCs/>
          <w:sz w:val="24"/>
          <w:szCs w:val="24"/>
        </w:rPr>
        <w:t>Ombudsman is able to investigate any complaints made in relation to the administration of the funding program, and make recommendations to the Department</w:t>
      </w:r>
      <w:r>
        <w:rPr>
          <w:rFonts w:ascii="Times New Roman" w:hAnsi="Times New Roman"/>
          <w:bCs/>
          <w:sz w:val="24"/>
          <w:szCs w:val="24"/>
        </w:rPr>
        <w:t>.</w:t>
      </w:r>
    </w:p>
    <w:p w14:paraId="0F34ADFB" w14:textId="77777777" w:rsidR="00142EC6" w:rsidRPr="00142EC6" w:rsidRDefault="00142EC6" w:rsidP="00142EC6">
      <w:pPr>
        <w:rPr>
          <w:rFonts w:ascii="Times New Roman" w:hAnsi="Times New Roman"/>
          <w:color w:val="000000"/>
          <w:sz w:val="24"/>
          <w:szCs w:val="24"/>
          <w:highlight w:val="yellow"/>
        </w:rPr>
      </w:pPr>
    </w:p>
    <w:p w14:paraId="73033592" w14:textId="77777777" w:rsidR="00142EC6" w:rsidRPr="00142EC6" w:rsidRDefault="00142EC6" w:rsidP="00861338">
      <w:pPr>
        <w:rPr>
          <w:rFonts w:ascii="Times New Roman" w:hAnsi="Times New Roman"/>
          <w:color w:val="000000"/>
          <w:sz w:val="24"/>
          <w:szCs w:val="24"/>
        </w:rPr>
      </w:pPr>
    </w:p>
    <w:p w14:paraId="5D2B1581" w14:textId="77777777" w:rsidR="00226FC5" w:rsidRDefault="00226FC5" w:rsidP="00861338">
      <w:pPr>
        <w:rPr>
          <w:rFonts w:ascii="Times New Roman" w:hAnsi="Times New Roman"/>
          <w:b/>
          <w:color w:val="000000"/>
          <w:sz w:val="24"/>
          <w:szCs w:val="24"/>
        </w:rPr>
      </w:pPr>
      <w:r>
        <w:rPr>
          <w:rFonts w:ascii="Times New Roman" w:hAnsi="Times New Roman"/>
          <w:b/>
          <w:color w:val="000000"/>
          <w:sz w:val="24"/>
          <w:szCs w:val="24"/>
        </w:rPr>
        <w:t>Consultation</w:t>
      </w:r>
    </w:p>
    <w:p w14:paraId="58E4CC41" w14:textId="77777777" w:rsidR="00226FC5" w:rsidRDefault="00226FC5" w:rsidP="00861338">
      <w:pPr>
        <w:rPr>
          <w:rFonts w:ascii="Times New Roman" w:hAnsi="Times New Roman"/>
          <w:color w:val="000000"/>
          <w:sz w:val="24"/>
          <w:szCs w:val="24"/>
        </w:rPr>
      </w:pPr>
    </w:p>
    <w:p w14:paraId="5C7CC403" w14:textId="77777777" w:rsidR="00757C77" w:rsidRPr="00CB37D3" w:rsidRDefault="00757C77" w:rsidP="00757C77">
      <w:pPr>
        <w:rPr>
          <w:rFonts w:ascii="Times New Roman" w:hAnsi="Times New Roman"/>
          <w:color w:val="000000"/>
          <w:sz w:val="24"/>
          <w:szCs w:val="24"/>
          <w:u w:val="single"/>
        </w:rPr>
      </w:pPr>
      <w:r w:rsidRPr="00CB37D3">
        <w:rPr>
          <w:rFonts w:ascii="Times New Roman" w:hAnsi="Times New Roman"/>
          <w:color w:val="000000"/>
          <w:sz w:val="24"/>
          <w:szCs w:val="24"/>
          <w:u w:val="single"/>
        </w:rPr>
        <w:t>University and Industry Collaboration Program</w:t>
      </w:r>
    </w:p>
    <w:p w14:paraId="39787E3B" w14:textId="3543BA56" w:rsidR="00757C77" w:rsidRDefault="00757C77" w:rsidP="00757C77">
      <w:pPr>
        <w:rPr>
          <w:rFonts w:ascii="Times New Roman" w:hAnsi="Times New Roman"/>
          <w:color w:val="000000"/>
          <w:sz w:val="24"/>
          <w:szCs w:val="24"/>
        </w:rPr>
      </w:pPr>
      <w:r>
        <w:rPr>
          <w:rFonts w:ascii="Times New Roman" w:hAnsi="Times New Roman"/>
          <w:color w:val="000000"/>
          <w:sz w:val="24"/>
          <w:szCs w:val="24"/>
        </w:rPr>
        <w:t xml:space="preserve">Consultation on this amendment was not considered necessary as the purpose of the amendment is to implement a decision from the </w:t>
      </w:r>
      <w:r w:rsidR="00D623A9">
        <w:rPr>
          <w:rFonts w:ascii="Times New Roman" w:hAnsi="Times New Roman"/>
          <w:color w:val="000000"/>
          <w:sz w:val="24"/>
          <w:szCs w:val="24"/>
        </w:rPr>
        <w:t xml:space="preserve">2019-20 </w:t>
      </w:r>
      <w:r>
        <w:rPr>
          <w:rFonts w:ascii="Times New Roman" w:hAnsi="Times New Roman"/>
          <w:color w:val="000000"/>
          <w:sz w:val="24"/>
          <w:szCs w:val="24"/>
        </w:rPr>
        <w:t>Mid-Year Economic and Fiscal Outlook (MYEFO).</w:t>
      </w:r>
    </w:p>
    <w:p w14:paraId="5E8F80C9" w14:textId="77777777" w:rsidR="00757C77" w:rsidRDefault="00757C77" w:rsidP="00757C77">
      <w:pPr>
        <w:rPr>
          <w:rFonts w:ascii="Times New Roman" w:hAnsi="Times New Roman"/>
          <w:color w:val="000000"/>
          <w:sz w:val="24"/>
          <w:szCs w:val="24"/>
        </w:rPr>
      </w:pPr>
    </w:p>
    <w:p w14:paraId="424C99AD" w14:textId="77777777" w:rsidR="00757C77" w:rsidRPr="000B1E15" w:rsidRDefault="00757C77" w:rsidP="00757C77">
      <w:pPr>
        <w:rPr>
          <w:rFonts w:ascii="Times New Roman" w:hAnsi="Times New Roman"/>
          <w:color w:val="000000"/>
          <w:sz w:val="24"/>
          <w:szCs w:val="24"/>
          <w:u w:val="single"/>
        </w:rPr>
      </w:pPr>
      <w:r w:rsidRPr="000B1E15">
        <w:rPr>
          <w:rFonts w:ascii="Times New Roman" w:hAnsi="Times New Roman"/>
          <w:color w:val="000000"/>
          <w:sz w:val="24"/>
          <w:szCs w:val="24"/>
          <w:u w:val="single"/>
        </w:rPr>
        <w:t>Replace references to the Regional Study Hubs program with references to the Regional University Centres</w:t>
      </w:r>
    </w:p>
    <w:p w14:paraId="0FB068F4" w14:textId="77777777" w:rsidR="00757C77" w:rsidRPr="000B1E15" w:rsidRDefault="00757C77" w:rsidP="00757C77">
      <w:pPr>
        <w:rPr>
          <w:rFonts w:ascii="Times New Roman" w:hAnsi="Times New Roman"/>
          <w:color w:val="000000"/>
          <w:sz w:val="24"/>
          <w:szCs w:val="24"/>
        </w:rPr>
      </w:pPr>
      <w:r w:rsidRPr="000B1E15">
        <w:rPr>
          <w:rFonts w:ascii="Times New Roman" w:hAnsi="Times New Roman"/>
          <w:color w:val="000000"/>
          <w:sz w:val="24"/>
          <w:szCs w:val="24"/>
        </w:rPr>
        <w:t>Following the Minister’s announcement of the change in program name</w:t>
      </w:r>
      <w:r>
        <w:rPr>
          <w:rFonts w:ascii="Times New Roman" w:hAnsi="Times New Roman"/>
          <w:color w:val="000000"/>
          <w:sz w:val="24"/>
          <w:szCs w:val="24"/>
        </w:rPr>
        <w:t xml:space="preserve"> on 28 August 2019</w:t>
      </w:r>
      <w:r w:rsidRPr="000B1E15">
        <w:rPr>
          <w:rFonts w:ascii="Times New Roman" w:hAnsi="Times New Roman"/>
          <w:color w:val="000000"/>
          <w:sz w:val="24"/>
          <w:szCs w:val="24"/>
        </w:rPr>
        <w:t>, the department consulted with all current Regional University Centres.</w:t>
      </w:r>
    </w:p>
    <w:p w14:paraId="7DB709B7" w14:textId="77777777" w:rsidR="00757C77" w:rsidRDefault="00757C77" w:rsidP="00757C77">
      <w:pPr>
        <w:rPr>
          <w:rFonts w:ascii="Times New Roman" w:hAnsi="Times New Roman"/>
          <w:color w:val="000000"/>
          <w:sz w:val="24"/>
          <w:szCs w:val="24"/>
        </w:rPr>
      </w:pPr>
    </w:p>
    <w:p w14:paraId="71FCB0B5" w14:textId="77777777" w:rsidR="00757C77" w:rsidRPr="00CB37D3" w:rsidRDefault="00757C77" w:rsidP="00757C77">
      <w:pPr>
        <w:rPr>
          <w:rFonts w:ascii="Times New Roman" w:hAnsi="Times New Roman"/>
          <w:color w:val="000000"/>
          <w:sz w:val="24"/>
          <w:szCs w:val="24"/>
          <w:u w:val="single"/>
        </w:rPr>
      </w:pPr>
      <w:r w:rsidRPr="00CB37D3">
        <w:rPr>
          <w:rFonts w:ascii="Times New Roman" w:hAnsi="Times New Roman"/>
          <w:color w:val="000000"/>
          <w:sz w:val="24"/>
          <w:szCs w:val="24"/>
          <w:u w:val="single"/>
        </w:rPr>
        <w:t>Other amendments</w:t>
      </w:r>
    </w:p>
    <w:p w14:paraId="0613FA15" w14:textId="77777777" w:rsidR="00757C77" w:rsidRDefault="00757C77" w:rsidP="00757C77">
      <w:pPr>
        <w:rPr>
          <w:rFonts w:ascii="Times New Roman" w:hAnsi="Times New Roman"/>
          <w:color w:val="000000"/>
          <w:sz w:val="24"/>
          <w:szCs w:val="24"/>
        </w:rPr>
      </w:pPr>
      <w:r>
        <w:rPr>
          <w:rFonts w:ascii="Times New Roman" w:hAnsi="Times New Roman"/>
          <w:color w:val="000000"/>
          <w:sz w:val="24"/>
          <w:szCs w:val="24"/>
        </w:rPr>
        <w:t>A few other minor amendments have been made, these are technical in nature and do no substantially alter existing arrangements for the higher education sector and as such, were not distributed for consultation.</w:t>
      </w:r>
    </w:p>
    <w:p w14:paraId="476DA184" w14:textId="77777777" w:rsidR="00226FC5" w:rsidRPr="00226FC5" w:rsidRDefault="00226FC5" w:rsidP="00861338">
      <w:pPr>
        <w:rPr>
          <w:rFonts w:ascii="Times New Roman" w:hAnsi="Times New Roman"/>
          <w:color w:val="000000"/>
          <w:sz w:val="24"/>
          <w:szCs w:val="24"/>
        </w:rPr>
      </w:pPr>
    </w:p>
    <w:p w14:paraId="53DA0D09" w14:textId="77777777" w:rsidR="007C5778" w:rsidRDefault="00A0482E" w:rsidP="00861338">
      <w:pPr>
        <w:rPr>
          <w:rFonts w:ascii="Times New Roman" w:hAnsi="Times New Roman"/>
          <w:b/>
          <w:color w:val="000000"/>
          <w:sz w:val="24"/>
          <w:szCs w:val="24"/>
        </w:rPr>
      </w:pPr>
      <w:r>
        <w:rPr>
          <w:rFonts w:ascii="Times New Roman" w:hAnsi="Times New Roman"/>
          <w:b/>
          <w:color w:val="000000"/>
          <w:sz w:val="24"/>
          <w:szCs w:val="24"/>
        </w:rPr>
        <w:t>Regulatory impact statement</w:t>
      </w:r>
    </w:p>
    <w:p w14:paraId="6F32E211" w14:textId="77777777" w:rsidR="00A0482E" w:rsidRDefault="00A0482E" w:rsidP="00861338">
      <w:pPr>
        <w:rPr>
          <w:rFonts w:ascii="Times New Roman" w:hAnsi="Times New Roman"/>
          <w:b/>
          <w:color w:val="000000"/>
          <w:sz w:val="24"/>
          <w:szCs w:val="24"/>
        </w:rPr>
      </w:pPr>
    </w:p>
    <w:p w14:paraId="0E17912D" w14:textId="4C00E91B" w:rsidR="00A0482E" w:rsidRPr="00CB1519" w:rsidRDefault="00A0482E" w:rsidP="00861338">
      <w:pPr>
        <w:rPr>
          <w:rFonts w:ascii="Times New Roman" w:hAnsi="Times New Roman"/>
          <w:color w:val="000000"/>
          <w:sz w:val="24"/>
          <w:szCs w:val="24"/>
        </w:rPr>
      </w:pPr>
      <w:r w:rsidRPr="00BC61A7">
        <w:rPr>
          <w:rFonts w:ascii="Times New Roman" w:hAnsi="Times New Roman"/>
          <w:color w:val="000000"/>
          <w:sz w:val="24"/>
          <w:szCs w:val="24"/>
        </w:rPr>
        <w:t>The Office of Best Practice Regulation</w:t>
      </w:r>
      <w:r w:rsidR="00445ECF">
        <w:rPr>
          <w:rFonts w:ascii="Times New Roman" w:hAnsi="Times New Roman"/>
          <w:color w:val="000000"/>
          <w:sz w:val="24"/>
          <w:szCs w:val="24"/>
        </w:rPr>
        <w:t xml:space="preserve"> (OBPR)</w:t>
      </w:r>
      <w:r w:rsidRPr="00BC61A7">
        <w:rPr>
          <w:rFonts w:ascii="Times New Roman" w:hAnsi="Times New Roman"/>
          <w:color w:val="000000"/>
          <w:sz w:val="24"/>
          <w:szCs w:val="24"/>
        </w:rPr>
        <w:t xml:space="preserve"> </w:t>
      </w:r>
      <w:r w:rsidRPr="00BC61A7">
        <w:rPr>
          <w:rFonts w:ascii="Times New Roman" w:hAnsi="Times New Roman"/>
          <w:sz w:val="24"/>
          <w:szCs w:val="24"/>
        </w:rPr>
        <w:t xml:space="preserve">was consulted in the preparation of the Amendment Instrument. </w:t>
      </w:r>
      <w:r w:rsidR="00445ECF">
        <w:rPr>
          <w:rFonts w:ascii="Times New Roman" w:hAnsi="Times New Roman"/>
          <w:sz w:val="24"/>
          <w:szCs w:val="24"/>
        </w:rPr>
        <w:t>OBPR</w:t>
      </w:r>
      <w:r w:rsidRPr="00BC61A7">
        <w:rPr>
          <w:rFonts w:ascii="Times New Roman" w:hAnsi="Times New Roman"/>
          <w:sz w:val="24"/>
          <w:szCs w:val="24"/>
        </w:rPr>
        <w:t xml:space="preserve"> concluded that a Regulation Impact statement was not required (OBPR ID: </w:t>
      </w:r>
      <w:r w:rsidR="00757C77" w:rsidRPr="00BC61A7">
        <w:rPr>
          <w:rFonts w:ascii="Times New Roman" w:hAnsi="Times New Roman"/>
          <w:sz w:val="24"/>
          <w:szCs w:val="24"/>
        </w:rPr>
        <w:t>25850</w:t>
      </w:r>
      <w:r w:rsidRPr="00BC61A7">
        <w:rPr>
          <w:rFonts w:ascii="Times New Roman" w:hAnsi="Times New Roman"/>
          <w:sz w:val="24"/>
          <w:szCs w:val="24"/>
        </w:rPr>
        <w:t>).</w:t>
      </w:r>
    </w:p>
    <w:p w14:paraId="39292D83" w14:textId="77777777" w:rsidR="005D6BE0" w:rsidRDefault="005D6BE0" w:rsidP="00861338">
      <w:pPr>
        <w:rPr>
          <w:rFonts w:ascii="Times New Roman" w:hAnsi="Times New Roman"/>
          <w:b/>
          <w:color w:val="000000"/>
          <w:sz w:val="24"/>
          <w:szCs w:val="24"/>
        </w:rPr>
      </w:pPr>
    </w:p>
    <w:p w14:paraId="7BC3BCF9" w14:textId="77777777" w:rsidR="001767B1" w:rsidRPr="00F3611B" w:rsidRDefault="00A0482E" w:rsidP="00226FC5">
      <w:pPr>
        <w:pageBreakBefore/>
        <w:rPr>
          <w:rFonts w:ascii="Times New Roman" w:hAnsi="Times New Roman"/>
          <w:b/>
          <w:color w:val="000000"/>
          <w:sz w:val="24"/>
          <w:szCs w:val="24"/>
        </w:rPr>
      </w:pPr>
      <w:r>
        <w:rPr>
          <w:rFonts w:ascii="Times New Roman" w:hAnsi="Times New Roman"/>
          <w:b/>
          <w:color w:val="000000"/>
          <w:sz w:val="24"/>
          <w:szCs w:val="24"/>
        </w:rPr>
        <w:lastRenderedPageBreak/>
        <w:t>Explanation of provisions</w:t>
      </w:r>
      <w:r w:rsidR="00B343F2">
        <w:rPr>
          <w:rFonts w:ascii="Times New Roman" w:hAnsi="Times New Roman"/>
          <w:b/>
          <w:color w:val="000000"/>
          <w:sz w:val="24"/>
          <w:szCs w:val="24"/>
        </w:rPr>
        <w:br/>
      </w:r>
    </w:p>
    <w:p w14:paraId="1F359A1D" w14:textId="77777777" w:rsidR="00226FC5" w:rsidRDefault="00226FC5" w:rsidP="004E2722">
      <w:pPr>
        <w:spacing w:before="120" w:after="120"/>
        <w:rPr>
          <w:rFonts w:ascii="Times New Roman" w:hAnsi="Times New Roman"/>
          <w:bCs/>
          <w:color w:val="000000"/>
          <w:sz w:val="24"/>
          <w:szCs w:val="24"/>
        </w:rPr>
      </w:pPr>
      <w:r>
        <w:rPr>
          <w:rFonts w:ascii="Times New Roman" w:hAnsi="Times New Roman"/>
          <w:b/>
          <w:bCs/>
          <w:color w:val="000000"/>
          <w:sz w:val="24"/>
          <w:szCs w:val="24"/>
        </w:rPr>
        <w:t>Section 1</w:t>
      </w:r>
      <w:r>
        <w:rPr>
          <w:rFonts w:ascii="Times New Roman" w:hAnsi="Times New Roman"/>
          <w:bCs/>
          <w:color w:val="000000"/>
          <w:sz w:val="24"/>
          <w:szCs w:val="24"/>
        </w:rPr>
        <w:t xml:space="preserve"> provides that the name of the Amendment Instrument is the </w:t>
      </w:r>
      <w:r>
        <w:rPr>
          <w:rFonts w:ascii="Times New Roman" w:hAnsi="Times New Roman"/>
          <w:bCs/>
          <w:i/>
          <w:color w:val="000000"/>
          <w:sz w:val="24"/>
          <w:szCs w:val="24"/>
        </w:rPr>
        <w:t>Other Grants Guidelines</w:t>
      </w:r>
      <w:r w:rsidR="004E2722">
        <w:rPr>
          <w:rFonts w:ascii="Times New Roman" w:hAnsi="Times New Roman"/>
          <w:bCs/>
          <w:i/>
          <w:color w:val="000000"/>
          <w:sz w:val="24"/>
          <w:szCs w:val="24"/>
        </w:rPr>
        <w:t xml:space="preserve"> (Education) Amendment (No. 1) 2020</w:t>
      </w:r>
      <w:r w:rsidR="004E2722">
        <w:rPr>
          <w:rFonts w:ascii="Times New Roman" w:hAnsi="Times New Roman"/>
          <w:bCs/>
          <w:color w:val="000000"/>
          <w:sz w:val="24"/>
          <w:szCs w:val="24"/>
        </w:rPr>
        <w:t>.</w:t>
      </w:r>
    </w:p>
    <w:p w14:paraId="66661589" w14:textId="77777777" w:rsidR="004E2722" w:rsidRDefault="004E2722" w:rsidP="004E2722">
      <w:pPr>
        <w:spacing w:before="120" w:after="120"/>
        <w:rPr>
          <w:rFonts w:ascii="Times New Roman" w:hAnsi="Times New Roman"/>
          <w:bCs/>
          <w:color w:val="000000"/>
          <w:sz w:val="24"/>
          <w:szCs w:val="24"/>
        </w:rPr>
      </w:pPr>
      <w:r>
        <w:rPr>
          <w:rFonts w:ascii="Times New Roman" w:hAnsi="Times New Roman"/>
          <w:b/>
          <w:bCs/>
          <w:color w:val="000000"/>
          <w:sz w:val="24"/>
          <w:szCs w:val="24"/>
        </w:rPr>
        <w:t>Section 2</w:t>
      </w:r>
      <w:r>
        <w:rPr>
          <w:rFonts w:ascii="Times New Roman" w:hAnsi="Times New Roman"/>
          <w:bCs/>
          <w:color w:val="000000"/>
          <w:sz w:val="24"/>
          <w:szCs w:val="24"/>
        </w:rPr>
        <w:t xml:space="preserve"> provides for the commencement of the Amendment Instrument. The Amendment Instrument commences on the day after it is registered on the Federal Register of Legislation.</w:t>
      </w:r>
    </w:p>
    <w:p w14:paraId="75552227" w14:textId="77777777" w:rsidR="004E2722" w:rsidRDefault="004E2722" w:rsidP="004E2722">
      <w:pPr>
        <w:spacing w:before="120" w:after="120"/>
        <w:rPr>
          <w:rFonts w:ascii="Times New Roman" w:hAnsi="Times New Roman"/>
          <w:bCs/>
          <w:color w:val="000000"/>
          <w:sz w:val="24"/>
          <w:szCs w:val="24"/>
        </w:rPr>
      </w:pPr>
      <w:r>
        <w:rPr>
          <w:rFonts w:ascii="Times New Roman" w:hAnsi="Times New Roman"/>
          <w:b/>
          <w:bCs/>
          <w:color w:val="000000"/>
          <w:sz w:val="24"/>
          <w:szCs w:val="24"/>
        </w:rPr>
        <w:t>Section 3</w:t>
      </w:r>
      <w:r>
        <w:rPr>
          <w:rFonts w:ascii="Times New Roman" w:hAnsi="Times New Roman"/>
          <w:bCs/>
          <w:color w:val="000000"/>
          <w:sz w:val="24"/>
          <w:szCs w:val="24"/>
        </w:rPr>
        <w:t xml:space="preserve"> states that the Amendment Instrument is made under section 238-10 of the Act.</w:t>
      </w:r>
    </w:p>
    <w:p w14:paraId="5E0C15E5" w14:textId="77777777" w:rsidR="004E2722" w:rsidRPr="004E2722" w:rsidRDefault="004E2722" w:rsidP="004E2722">
      <w:pPr>
        <w:spacing w:before="120" w:after="120"/>
        <w:rPr>
          <w:rFonts w:ascii="Times New Roman" w:hAnsi="Times New Roman"/>
          <w:bCs/>
          <w:color w:val="000000"/>
          <w:sz w:val="24"/>
          <w:szCs w:val="24"/>
        </w:rPr>
      </w:pPr>
      <w:r>
        <w:rPr>
          <w:rFonts w:ascii="Times New Roman" w:hAnsi="Times New Roman"/>
          <w:b/>
          <w:bCs/>
          <w:color w:val="000000"/>
          <w:sz w:val="24"/>
          <w:szCs w:val="24"/>
        </w:rPr>
        <w:t>Section 4</w:t>
      </w:r>
      <w:r>
        <w:rPr>
          <w:rFonts w:ascii="Times New Roman" w:hAnsi="Times New Roman"/>
          <w:bCs/>
          <w:color w:val="000000"/>
          <w:sz w:val="24"/>
          <w:szCs w:val="24"/>
        </w:rPr>
        <w:t xml:space="preserve"> provides that each instrument that is specified in a Schedule to the Amendment Instrument is amended or repealed as set out in the Schedule.</w:t>
      </w:r>
    </w:p>
    <w:p w14:paraId="10B0E968" w14:textId="77777777" w:rsidR="004E2722" w:rsidRPr="004E2722" w:rsidRDefault="004E2722" w:rsidP="004E2722">
      <w:pPr>
        <w:spacing w:before="120" w:after="120"/>
        <w:rPr>
          <w:rFonts w:ascii="Times New Roman" w:hAnsi="Times New Roman"/>
          <w:bCs/>
          <w:color w:val="000000"/>
          <w:sz w:val="24"/>
          <w:szCs w:val="24"/>
        </w:rPr>
      </w:pPr>
    </w:p>
    <w:p w14:paraId="6DF6EDE1" w14:textId="77777777" w:rsidR="00226FC5" w:rsidRPr="00B55D1B" w:rsidRDefault="004E2722" w:rsidP="00B55D1B">
      <w:pPr>
        <w:ind w:left="1418" w:hanging="1418"/>
        <w:rPr>
          <w:rFonts w:ascii="Times New Roman" w:hAnsi="Times New Roman"/>
          <w:b/>
          <w:bCs/>
          <w:color w:val="000000"/>
          <w:sz w:val="24"/>
          <w:szCs w:val="24"/>
        </w:rPr>
      </w:pPr>
      <w:r w:rsidRPr="00B55D1B">
        <w:rPr>
          <w:rFonts w:ascii="Times New Roman" w:hAnsi="Times New Roman"/>
          <w:b/>
          <w:bCs/>
          <w:color w:val="000000"/>
          <w:sz w:val="24"/>
          <w:szCs w:val="24"/>
        </w:rPr>
        <w:t>Schedule 1 –</w:t>
      </w:r>
      <w:r w:rsidR="000B6FAB">
        <w:rPr>
          <w:rFonts w:ascii="Times New Roman" w:hAnsi="Times New Roman"/>
          <w:b/>
          <w:bCs/>
          <w:color w:val="000000"/>
          <w:sz w:val="24"/>
          <w:szCs w:val="24"/>
        </w:rPr>
        <w:t xml:space="preserve"> </w:t>
      </w:r>
      <w:r w:rsidRPr="00B55D1B">
        <w:rPr>
          <w:rFonts w:ascii="Times New Roman" w:hAnsi="Times New Roman"/>
          <w:b/>
          <w:bCs/>
          <w:color w:val="000000"/>
          <w:sz w:val="24"/>
          <w:szCs w:val="24"/>
        </w:rPr>
        <w:t>Amendments</w:t>
      </w:r>
    </w:p>
    <w:p w14:paraId="3510CC4C" w14:textId="77777777" w:rsidR="00B55D1B" w:rsidRDefault="00B55D1B" w:rsidP="00B55D1B">
      <w:pPr>
        <w:rPr>
          <w:rFonts w:ascii="Times New Roman" w:hAnsi="Times New Roman"/>
          <w:b/>
          <w:color w:val="000000"/>
          <w:sz w:val="24"/>
          <w:szCs w:val="24"/>
        </w:rPr>
      </w:pPr>
    </w:p>
    <w:p w14:paraId="607A4750" w14:textId="77777777" w:rsidR="00005855" w:rsidRDefault="00005855" w:rsidP="00005855">
      <w:pPr>
        <w:spacing w:before="120" w:after="120"/>
        <w:rPr>
          <w:rFonts w:ascii="Times New Roman" w:hAnsi="Times New Roman"/>
          <w:bCs/>
          <w:color w:val="000000"/>
          <w:sz w:val="24"/>
          <w:szCs w:val="24"/>
        </w:rPr>
      </w:pPr>
      <w:r w:rsidRPr="00005855">
        <w:rPr>
          <w:rFonts w:ascii="Times New Roman" w:hAnsi="Times New Roman"/>
          <w:bCs/>
          <w:color w:val="000000"/>
          <w:sz w:val="24"/>
          <w:szCs w:val="24"/>
        </w:rPr>
        <w:t>Parts 1, 2 and 3 of Schedule 1 to the Amendment Instrument amend the Principal Instrument.</w:t>
      </w:r>
    </w:p>
    <w:p w14:paraId="4E0EC1BF" w14:textId="77777777" w:rsidR="00005855" w:rsidRPr="00005855" w:rsidRDefault="00005855" w:rsidP="00005855">
      <w:pPr>
        <w:spacing w:before="120" w:after="120"/>
        <w:rPr>
          <w:rFonts w:ascii="Times New Roman" w:hAnsi="Times New Roman"/>
          <w:bCs/>
          <w:color w:val="000000"/>
          <w:sz w:val="24"/>
          <w:szCs w:val="24"/>
        </w:rPr>
      </w:pPr>
    </w:p>
    <w:p w14:paraId="272B95A1" w14:textId="77777777" w:rsidR="001767B1" w:rsidRDefault="00B55D1B" w:rsidP="00B55D1B">
      <w:pPr>
        <w:ind w:left="1418" w:hanging="1418"/>
        <w:rPr>
          <w:rFonts w:ascii="Times New Roman" w:hAnsi="Times New Roman"/>
          <w:b/>
          <w:bCs/>
          <w:color w:val="000000"/>
          <w:sz w:val="24"/>
          <w:szCs w:val="24"/>
        </w:rPr>
      </w:pPr>
      <w:r>
        <w:rPr>
          <w:rFonts w:ascii="Times New Roman" w:hAnsi="Times New Roman"/>
          <w:b/>
          <w:bCs/>
          <w:color w:val="000000"/>
          <w:sz w:val="24"/>
          <w:szCs w:val="24"/>
        </w:rPr>
        <w:t>Part 1 – University and Industry Collaboration Program</w:t>
      </w:r>
    </w:p>
    <w:p w14:paraId="4E1801C7" w14:textId="77777777" w:rsidR="00B55D1B" w:rsidRDefault="00B55D1B" w:rsidP="00B55D1B">
      <w:pPr>
        <w:ind w:left="1418" w:hanging="1418"/>
        <w:rPr>
          <w:rFonts w:ascii="Times New Roman" w:hAnsi="Times New Roman"/>
          <w:b/>
          <w:bCs/>
          <w:color w:val="000000"/>
          <w:sz w:val="24"/>
          <w:szCs w:val="24"/>
        </w:rPr>
      </w:pPr>
    </w:p>
    <w:p w14:paraId="0A09034B" w14:textId="77777777" w:rsidR="002C1DD3" w:rsidRDefault="00B55D1B" w:rsidP="00B55D1B">
      <w:pPr>
        <w:spacing w:before="120" w:after="120"/>
        <w:rPr>
          <w:rFonts w:ascii="Times New Roman" w:hAnsi="Times New Roman"/>
          <w:bCs/>
          <w:color w:val="000000"/>
          <w:sz w:val="24"/>
          <w:szCs w:val="24"/>
        </w:rPr>
      </w:pPr>
      <w:r>
        <w:rPr>
          <w:rFonts w:ascii="Times New Roman" w:hAnsi="Times New Roman"/>
          <w:b/>
          <w:bCs/>
          <w:color w:val="000000"/>
          <w:sz w:val="24"/>
          <w:szCs w:val="24"/>
        </w:rPr>
        <w:t>Item 1</w:t>
      </w:r>
      <w:r>
        <w:rPr>
          <w:rFonts w:ascii="Times New Roman" w:hAnsi="Times New Roman"/>
          <w:bCs/>
          <w:color w:val="000000"/>
          <w:sz w:val="24"/>
          <w:szCs w:val="24"/>
        </w:rPr>
        <w:t xml:space="preserve"> of Part 1 </w:t>
      </w:r>
      <w:r w:rsidR="00F80A18">
        <w:rPr>
          <w:rFonts w:ascii="Times New Roman" w:hAnsi="Times New Roman"/>
          <w:bCs/>
          <w:color w:val="000000"/>
          <w:sz w:val="24"/>
          <w:szCs w:val="24"/>
        </w:rPr>
        <w:t xml:space="preserve">of Schedule 1 to the Amendment Instrument </w:t>
      </w:r>
      <w:r>
        <w:rPr>
          <w:rFonts w:ascii="Times New Roman" w:hAnsi="Times New Roman"/>
          <w:bCs/>
          <w:color w:val="000000"/>
          <w:sz w:val="24"/>
          <w:szCs w:val="24"/>
        </w:rPr>
        <w:t>inserts new Chapter 4A</w:t>
      </w:r>
      <w:r w:rsidR="00005855">
        <w:rPr>
          <w:rFonts w:ascii="Times New Roman" w:hAnsi="Times New Roman"/>
          <w:bCs/>
          <w:color w:val="000000"/>
          <w:sz w:val="24"/>
          <w:szCs w:val="24"/>
        </w:rPr>
        <w:t xml:space="preserve"> (titled ‘Grants to Foster Collaboration and Reform in Higher Education’) into the Principal Instrument. </w:t>
      </w:r>
    </w:p>
    <w:p w14:paraId="16CFF91D" w14:textId="77777777" w:rsidR="002C1DD3" w:rsidRDefault="002C1DD3" w:rsidP="00B55D1B">
      <w:pPr>
        <w:spacing w:before="120" w:after="120"/>
        <w:rPr>
          <w:rFonts w:ascii="Times New Roman" w:hAnsi="Times New Roman"/>
          <w:bCs/>
          <w:color w:val="000000"/>
          <w:sz w:val="24"/>
          <w:szCs w:val="24"/>
        </w:rPr>
      </w:pPr>
      <w:r>
        <w:rPr>
          <w:rFonts w:ascii="Times New Roman" w:hAnsi="Times New Roman"/>
          <w:bCs/>
          <w:color w:val="000000"/>
          <w:sz w:val="24"/>
          <w:szCs w:val="24"/>
        </w:rPr>
        <w:t>Sect</w:t>
      </w:r>
      <w:r w:rsidR="009344C5">
        <w:rPr>
          <w:rFonts w:ascii="Times New Roman" w:hAnsi="Times New Roman"/>
          <w:bCs/>
          <w:color w:val="000000"/>
          <w:sz w:val="24"/>
          <w:szCs w:val="24"/>
        </w:rPr>
        <w:t>ion 4A.1 in</w:t>
      </w:r>
      <w:r>
        <w:rPr>
          <w:rFonts w:ascii="Times New Roman" w:hAnsi="Times New Roman"/>
          <w:bCs/>
          <w:color w:val="000000"/>
          <w:sz w:val="24"/>
          <w:szCs w:val="24"/>
        </w:rPr>
        <w:t xml:space="preserve"> </w:t>
      </w:r>
      <w:r w:rsidR="00005855">
        <w:rPr>
          <w:rFonts w:ascii="Times New Roman" w:hAnsi="Times New Roman"/>
          <w:bCs/>
          <w:color w:val="000000"/>
          <w:sz w:val="24"/>
          <w:szCs w:val="24"/>
        </w:rPr>
        <w:t xml:space="preserve">Part 1 of Chapter 4A </w:t>
      </w:r>
      <w:r>
        <w:rPr>
          <w:rFonts w:ascii="Times New Roman" w:hAnsi="Times New Roman"/>
          <w:bCs/>
          <w:color w:val="000000"/>
          <w:sz w:val="24"/>
          <w:szCs w:val="24"/>
        </w:rPr>
        <w:t>states that the purpose of the Chapter is to specify programs to foster collaboration and reform in higher education under subsection </w:t>
      </w:r>
      <w:r w:rsidRPr="000B6FAB">
        <w:rPr>
          <w:rFonts w:ascii="Times New Roman" w:hAnsi="Times New Roman"/>
          <w:bCs/>
          <w:color w:val="000000"/>
          <w:sz w:val="24"/>
          <w:szCs w:val="24"/>
        </w:rPr>
        <w:t>41‑10(1)</w:t>
      </w:r>
      <w:r>
        <w:rPr>
          <w:rFonts w:ascii="Times New Roman" w:hAnsi="Times New Roman"/>
          <w:bCs/>
          <w:color w:val="000000"/>
          <w:sz w:val="24"/>
          <w:szCs w:val="24"/>
        </w:rPr>
        <w:t xml:space="preserve"> of the Act, and to specify other matters for the purposes of Part 2-3 of the Act.</w:t>
      </w:r>
    </w:p>
    <w:p w14:paraId="43948F19" w14:textId="5BC9A6C7" w:rsidR="008E3C70" w:rsidRDefault="009344C5" w:rsidP="001062DF">
      <w:pPr>
        <w:spacing w:before="120" w:after="120"/>
        <w:rPr>
          <w:rFonts w:ascii="Times New Roman" w:hAnsi="Times New Roman"/>
          <w:bCs/>
          <w:color w:val="000000"/>
          <w:sz w:val="24"/>
          <w:szCs w:val="24"/>
        </w:rPr>
      </w:pPr>
      <w:r>
        <w:rPr>
          <w:rFonts w:ascii="Times New Roman" w:hAnsi="Times New Roman"/>
          <w:bCs/>
          <w:color w:val="000000"/>
          <w:sz w:val="24"/>
          <w:szCs w:val="24"/>
        </w:rPr>
        <w:t xml:space="preserve">Section 4A.5 in </w:t>
      </w:r>
      <w:r w:rsidR="002C1DD3">
        <w:rPr>
          <w:rFonts w:ascii="Times New Roman" w:hAnsi="Times New Roman"/>
          <w:bCs/>
          <w:color w:val="000000"/>
          <w:sz w:val="24"/>
          <w:szCs w:val="24"/>
        </w:rPr>
        <w:t>Part 2 of Chapter 4A</w:t>
      </w:r>
      <w:r w:rsidR="002C1DD3" w:rsidRPr="002C1DD3">
        <w:rPr>
          <w:rFonts w:ascii="Times New Roman" w:hAnsi="Times New Roman"/>
          <w:bCs/>
          <w:color w:val="000000"/>
          <w:sz w:val="24"/>
          <w:szCs w:val="24"/>
        </w:rPr>
        <w:t xml:space="preserve"> </w:t>
      </w:r>
      <w:r w:rsidR="00005855">
        <w:rPr>
          <w:rFonts w:ascii="Times New Roman" w:hAnsi="Times New Roman"/>
          <w:bCs/>
          <w:color w:val="000000"/>
          <w:sz w:val="24"/>
          <w:szCs w:val="24"/>
        </w:rPr>
        <w:t>specifies the University and Industry Collaboration Program</w:t>
      </w:r>
      <w:r w:rsidR="006B1253">
        <w:rPr>
          <w:rFonts w:ascii="Times New Roman" w:hAnsi="Times New Roman"/>
          <w:bCs/>
          <w:color w:val="000000"/>
          <w:sz w:val="24"/>
          <w:szCs w:val="24"/>
        </w:rPr>
        <w:t xml:space="preserve"> (UIC Program)</w:t>
      </w:r>
      <w:bookmarkEnd w:id="1"/>
      <w:r>
        <w:rPr>
          <w:rFonts w:ascii="Times New Roman" w:hAnsi="Times New Roman"/>
          <w:bCs/>
          <w:color w:val="000000"/>
          <w:sz w:val="24"/>
          <w:szCs w:val="24"/>
        </w:rPr>
        <w:t xml:space="preserve"> and states </w:t>
      </w:r>
      <w:r w:rsidR="00C94916">
        <w:rPr>
          <w:rFonts w:ascii="Times New Roman" w:hAnsi="Times New Roman"/>
          <w:bCs/>
          <w:color w:val="000000"/>
          <w:sz w:val="24"/>
          <w:szCs w:val="24"/>
        </w:rPr>
        <w:t>that the objective of the UIC Program is to foster collaboration and reform in higher education, in particular to enhance collaboration between universities and industry.</w:t>
      </w:r>
      <w:r>
        <w:rPr>
          <w:rFonts w:ascii="Times New Roman" w:hAnsi="Times New Roman"/>
          <w:bCs/>
          <w:color w:val="000000"/>
          <w:sz w:val="24"/>
          <w:szCs w:val="24"/>
        </w:rPr>
        <w:t xml:space="preserve"> </w:t>
      </w:r>
    </w:p>
    <w:p w14:paraId="35428973" w14:textId="77777777" w:rsidR="000B6FAB" w:rsidRDefault="009344C5" w:rsidP="001062DF">
      <w:pPr>
        <w:spacing w:before="120" w:after="120"/>
        <w:rPr>
          <w:rFonts w:ascii="Times New Roman" w:hAnsi="Times New Roman"/>
          <w:bCs/>
          <w:color w:val="000000"/>
          <w:sz w:val="24"/>
          <w:szCs w:val="24"/>
        </w:rPr>
      </w:pPr>
      <w:r>
        <w:rPr>
          <w:rFonts w:ascii="Times New Roman" w:hAnsi="Times New Roman"/>
          <w:bCs/>
          <w:color w:val="000000"/>
          <w:sz w:val="24"/>
          <w:szCs w:val="24"/>
        </w:rPr>
        <w:t>Note 1 to section 4A.5 states that, in accordance with item 9 of the table in subsection 41-10(1) of the Act, Table A providers will be eligible to receive grants under the UIC Program. Note 2 to section 4A.5 states that, in accordance with paragraph 41-25(b) of the Act, grants made under the UIC Program will be subject to such conditions (if any) as the Minister determines in writing.</w:t>
      </w:r>
    </w:p>
    <w:p w14:paraId="549FD2AC" w14:textId="77777777" w:rsidR="00293212" w:rsidRDefault="00293212" w:rsidP="00F3611B">
      <w:pPr>
        <w:spacing w:before="120" w:after="120"/>
        <w:ind w:left="1418" w:hanging="1418"/>
        <w:rPr>
          <w:rFonts w:ascii="Times New Roman" w:hAnsi="Times New Roman"/>
          <w:bCs/>
          <w:color w:val="000000"/>
          <w:sz w:val="24"/>
          <w:szCs w:val="24"/>
        </w:rPr>
      </w:pPr>
    </w:p>
    <w:p w14:paraId="1261FEC8" w14:textId="77777777" w:rsidR="00293212" w:rsidRDefault="00293212" w:rsidP="00293212">
      <w:pPr>
        <w:ind w:left="1418" w:hanging="1418"/>
        <w:rPr>
          <w:rFonts w:ascii="Times New Roman" w:hAnsi="Times New Roman"/>
          <w:b/>
          <w:bCs/>
          <w:color w:val="000000"/>
          <w:sz w:val="24"/>
          <w:szCs w:val="24"/>
        </w:rPr>
      </w:pPr>
      <w:r>
        <w:rPr>
          <w:rFonts w:ascii="Times New Roman" w:hAnsi="Times New Roman"/>
          <w:b/>
          <w:bCs/>
          <w:color w:val="000000"/>
          <w:sz w:val="24"/>
          <w:szCs w:val="24"/>
        </w:rPr>
        <w:t xml:space="preserve">Part 2 – </w:t>
      </w:r>
      <w:r w:rsidR="009344C5">
        <w:rPr>
          <w:rFonts w:ascii="Times New Roman" w:hAnsi="Times New Roman"/>
          <w:b/>
          <w:bCs/>
          <w:color w:val="000000"/>
          <w:sz w:val="24"/>
          <w:szCs w:val="24"/>
        </w:rPr>
        <w:t>Regional University Centres Program</w:t>
      </w:r>
    </w:p>
    <w:p w14:paraId="54780084" w14:textId="77777777" w:rsidR="00293212" w:rsidRDefault="00293212" w:rsidP="00293212">
      <w:pPr>
        <w:ind w:left="1418" w:hanging="1418"/>
        <w:rPr>
          <w:rFonts w:ascii="Times New Roman" w:hAnsi="Times New Roman"/>
          <w:b/>
          <w:bCs/>
          <w:color w:val="000000"/>
          <w:sz w:val="24"/>
          <w:szCs w:val="24"/>
        </w:rPr>
      </w:pPr>
    </w:p>
    <w:p w14:paraId="1AB8BB32" w14:textId="77777777" w:rsidR="00293212" w:rsidRPr="003D39C8" w:rsidRDefault="00293212" w:rsidP="00293212">
      <w:pPr>
        <w:spacing w:before="120" w:after="120"/>
        <w:rPr>
          <w:rFonts w:ascii="Times New Roman" w:hAnsi="Times New Roman"/>
          <w:bCs/>
          <w:color w:val="000000"/>
          <w:sz w:val="24"/>
          <w:szCs w:val="24"/>
        </w:rPr>
      </w:pPr>
      <w:r w:rsidRPr="001062DF">
        <w:rPr>
          <w:rFonts w:ascii="Times New Roman" w:hAnsi="Times New Roman"/>
          <w:bCs/>
          <w:color w:val="000000"/>
          <w:sz w:val="24"/>
          <w:szCs w:val="24"/>
        </w:rPr>
        <w:t xml:space="preserve">The purpose of Part 2 of Schedule 1 to the Amendment Instrument is to give effect to the renaming of the Regional Study Hubs program by replacing references to the program in the Principal Instrument with references to the Regional </w:t>
      </w:r>
      <w:r w:rsidR="00A80B69" w:rsidRPr="001062DF">
        <w:rPr>
          <w:rFonts w:ascii="Times New Roman" w:hAnsi="Times New Roman"/>
          <w:bCs/>
          <w:color w:val="000000"/>
          <w:sz w:val="24"/>
          <w:szCs w:val="24"/>
        </w:rPr>
        <w:t>University</w:t>
      </w:r>
      <w:r w:rsidRPr="001062DF">
        <w:rPr>
          <w:rFonts w:ascii="Times New Roman" w:hAnsi="Times New Roman"/>
          <w:bCs/>
          <w:color w:val="000000"/>
          <w:sz w:val="24"/>
          <w:szCs w:val="24"/>
        </w:rPr>
        <w:t xml:space="preserve"> Centres Program. No changes are being made to the purpose and scope of the program.</w:t>
      </w:r>
    </w:p>
    <w:p w14:paraId="3BF22E94" w14:textId="77777777" w:rsidR="00293212" w:rsidRDefault="00293212" w:rsidP="00293212">
      <w:pPr>
        <w:spacing w:before="120" w:after="120"/>
        <w:rPr>
          <w:rFonts w:ascii="Times New Roman" w:hAnsi="Times New Roman"/>
          <w:bCs/>
          <w:color w:val="000000"/>
          <w:sz w:val="24"/>
          <w:szCs w:val="24"/>
        </w:rPr>
      </w:pPr>
      <w:r w:rsidRPr="003D39C8">
        <w:rPr>
          <w:rFonts w:ascii="Times New Roman" w:hAnsi="Times New Roman"/>
          <w:b/>
          <w:bCs/>
          <w:color w:val="000000"/>
          <w:sz w:val="24"/>
          <w:szCs w:val="24"/>
        </w:rPr>
        <w:t>Item 2</w:t>
      </w:r>
      <w:r w:rsidRPr="003D39C8">
        <w:rPr>
          <w:rFonts w:ascii="Times New Roman" w:hAnsi="Times New Roman"/>
          <w:bCs/>
          <w:color w:val="000000"/>
          <w:sz w:val="24"/>
          <w:szCs w:val="24"/>
        </w:rPr>
        <w:t xml:space="preserve"> repeals the definition of ‘RSHP’ in </w:t>
      </w:r>
      <w:r w:rsidR="009344C5" w:rsidRPr="003D39C8">
        <w:rPr>
          <w:rFonts w:ascii="Times New Roman" w:hAnsi="Times New Roman"/>
          <w:bCs/>
          <w:color w:val="000000"/>
          <w:sz w:val="24"/>
          <w:szCs w:val="24"/>
        </w:rPr>
        <w:t>section </w:t>
      </w:r>
      <w:r w:rsidRPr="003D39C8">
        <w:rPr>
          <w:rFonts w:ascii="Times New Roman" w:hAnsi="Times New Roman"/>
          <w:bCs/>
          <w:color w:val="000000"/>
          <w:sz w:val="24"/>
          <w:szCs w:val="24"/>
        </w:rPr>
        <w:t>i.ii of</w:t>
      </w:r>
      <w:r>
        <w:rPr>
          <w:rFonts w:ascii="Times New Roman" w:hAnsi="Times New Roman"/>
          <w:bCs/>
          <w:color w:val="000000"/>
          <w:sz w:val="24"/>
          <w:szCs w:val="24"/>
        </w:rPr>
        <w:t xml:space="preserve"> Chapter </w:t>
      </w:r>
      <w:r w:rsidR="00A41CE0">
        <w:rPr>
          <w:rFonts w:ascii="Times New Roman" w:hAnsi="Times New Roman"/>
          <w:bCs/>
          <w:color w:val="000000"/>
          <w:sz w:val="24"/>
          <w:szCs w:val="24"/>
        </w:rPr>
        <w:t>i</w:t>
      </w:r>
      <w:r>
        <w:rPr>
          <w:rFonts w:ascii="Times New Roman" w:hAnsi="Times New Roman"/>
          <w:bCs/>
          <w:color w:val="000000"/>
          <w:sz w:val="24"/>
          <w:szCs w:val="24"/>
        </w:rPr>
        <w:t xml:space="preserve"> of the Principal Instrument.</w:t>
      </w:r>
    </w:p>
    <w:p w14:paraId="54F1AD32" w14:textId="77777777" w:rsidR="00293212" w:rsidRDefault="00293212" w:rsidP="00293212">
      <w:pPr>
        <w:spacing w:before="120" w:after="120"/>
        <w:rPr>
          <w:rFonts w:ascii="Times New Roman" w:hAnsi="Times New Roman"/>
          <w:bCs/>
          <w:color w:val="000000"/>
          <w:sz w:val="24"/>
          <w:szCs w:val="24"/>
        </w:rPr>
      </w:pPr>
      <w:r>
        <w:rPr>
          <w:rFonts w:ascii="Times New Roman" w:hAnsi="Times New Roman"/>
          <w:b/>
          <w:bCs/>
          <w:color w:val="000000"/>
          <w:sz w:val="24"/>
          <w:szCs w:val="24"/>
        </w:rPr>
        <w:t>Item 3</w:t>
      </w:r>
      <w:r>
        <w:rPr>
          <w:rFonts w:ascii="Times New Roman" w:hAnsi="Times New Roman"/>
          <w:bCs/>
          <w:color w:val="000000"/>
          <w:sz w:val="24"/>
          <w:szCs w:val="24"/>
        </w:rPr>
        <w:t xml:space="preserve"> repeals the heading of Part 1 of Chapter 7C (which currently refers to the Regional Study Hubs Program) and replaces it with a heading referring to the Regional </w:t>
      </w:r>
      <w:r w:rsidR="00A80B69">
        <w:rPr>
          <w:rFonts w:ascii="Times New Roman" w:hAnsi="Times New Roman"/>
          <w:bCs/>
          <w:color w:val="000000"/>
          <w:sz w:val="24"/>
          <w:szCs w:val="24"/>
        </w:rPr>
        <w:t>University</w:t>
      </w:r>
      <w:r>
        <w:rPr>
          <w:rFonts w:ascii="Times New Roman" w:hAnsi="Times New Roman"/>
          <w:bCs/>
          <w:color w:val="000000"/>
          <w:sz w:val="24"/>
          <w:szCs w:val="24"/>
        </w:rPr>
        <w:t xml:space="preserve"> Centres Program.</w:t>
      </w:r>
    </w:p>
    <w:p w14:paraId="568E314D" w14:textId="77777777" w:rsidR="00293212" w:rsidRDefault="00293212" w:rsidP="00293212">
      <w:pPr>
        <w:spacing w:before="120" w:after="120"/>
        <w:rPr>
          <w:rFonts w:ascii="Times New Roman" w:hAnsi="Times New Roman"/>
          <w:bCs/>
          <w:color w:val="000000"/>
          <w:sz w:val="24"/>
          <w:szCs w:val="24"/>
        </w:rPr>
      </w:pPr>
      <w:r>
        <w:rPr>
          <w:rFonts w:ascii="Times New Roman" w:hAnsi="Times New Roman"/>
          <w:b/>
          <w:bCs/>
          <w:color w:val="000000"/>
          <w:sz w:val="24"/>
          <w:szCs w:val="24"/>
        </w:rPr>
        <w:lastRenderedPageBreak/>
        <w:t>Item 4</w:t>
      </w:r>
      <w:r>
        <w:rPr>
          <w:rFonts w:ascii="Times New Roman" w:hAnsi="Times New Roman"/>
          <w:bCs/>
          <w:color w:val="000000"/>
          <w:sz w:val="24"/>
          <w:szCs w:val="24"/>
        </w:rPr>
        <w:t xml:space="preserve"> replaces references to </w:t>
      </w:r>
      <w:r w:rsidR="00A41CE0">
        <w:rPr>
          <w:rFonts w:ascii="Times New Roman" w:hAnsi="Times New Roman"/>
          <w:bCs/>
          <w:color w:val="000000"/>
          <w:sz w:val="24"/>
          <w:szCs w:val="24"/>
        </w:rPr>
        <w:t xml:space="preserve">‘Regional Study Hubs program’, ‘RSHP’, and ‘regional study hubs’ </w:t>
      </w:r>
      <w:r>
        <w:rPr>
          <w:rFonts w:ascii="Times New Roman" w:hAnsi="Times New Roman"/>
          <w:bCs/>
          <w:color w:val="000000"/>
          <w:sz w:val="24"/>
          <w:szCs w:val="24"/>
        </w:rPr>
        <w:t xml:space="preserve">in various provisions of the Principal Instrument </w:t>
      </w:r>
      <w:r w:rsidR="00A41CE0">
        <w:rPr>
          <w:rFonts w:ascii="Times New Roman" w:hAnsi="Times New Roman"/>
          <w:bCs/>
          <w:color w:val="000000"/>
          <w:sz w:val="24"/>
          <w:szCs w:val="24"/>
        </w:rPr>
        <w:t xml:space="preserve">with references to the ‘Regional </w:t>
      </w:r>
      <w:r w:rsidR="00BB5BB9">
        <w:rPr>
          <w:rFonts w:ascii="Times New Roman" w:hAnsi="Times New Roman"/>
          <w:bCs/>
          <w:color w:val="000000"/>
          <w:sz w:val="24"/>
          <w:szCs w:val="24"/>
        </w:rPr>
        <w:t xml:space="preserve">University </w:t>
      </w:r>
      <w:r w:rsidR="00A41CE0">
        <w:rPr>
          <w:rFonts w:ascii="Times New Roman" w:hAnsi="Times New Roman"/>
          <w:bCs/>
          <w:color w:val="000000"/>
          <w:sz w:val="24"/>
          <w:szCs w:val="24"/>
        </w:rPr>
        <w:t>Centres Program’, the ‘Program’, and ‘Regional University Centres’.</w:t>
      </w:r>
    </w:p>
    <w:p w14:paraId="28064485" w14:textId="77777777" w:rsidR="00A41CE0" w:rsidRDefault="00A41CE0" w:rsidP="00293212">
      <w:pPr>
        <w:spacing w:before="120" w:after="120"/>
        <w:rPr>
          <w:rFonts w:ascii="Times New Roman" w:hAnsi="Times New Roman"/>
          <w:bCs/>
          <w:color w:val="000000"/>
          <w:sz w:val="24"/>
          <w:szCs w:val="24"/>
        </w:rPr>
      </w:pPr>
    </w:p>
    <w:p w14:paraId="137F6B3A" w14:textId="77777777" w:rsidR="00A41CE0" w:rsidRDefault="00A41CE0" w:rsidP="00A41CE0">
      <w:pPr>
        <w:ind w:left="1418" w:hanging="1418"/>
        <w:rPr>
          <w:rFonts w:ascii="Times New Roman" w:hAnsi="Times New Roman"/>
          <w:b/>
          <w:bCs/>
          <w:color w:val="000000"/>
          <w:sz w:val="24"/>
          <w:szCs w:val="24"/>
        </w:rPr>
      </w:pPr>
      <w:r>
        <w:rPr>
          <w:rFonts w:ascii="Times New Roman" w:hAnsi="Times New Roman"/>
          <w:b/>
          <w:bCs/>
          <w:color w:val="000000"/>
          <w:sz w:val="24"/>
          <w:szCs w:val="24"/>
        </w:rPr>
        <w:t>Part 3 – Other Amendments</w:t>
      </w:r>
    </w:p>
    <w:p w14:paraId="1A41396F" w14:textId="77777777" w:rsidR="00A41CE0" w:rsidRDefault="00A41CE0" w:rsidP="00A41CE0">
      <w:pPr>
        <w:ind w:left="1418" w:hanging="1418"/>
        <w:rPr>
          <w:rFonts w:ascii="Times New Roman" w:hAnsi="Times New Roman"/>
          <w:b/>
          <w:bCs/>
          <w:color w:val="000000"/>
          <w:sz w:val="24"/>
          <w:szCs w:val="24"/>
        </w:rPr>
      </w:pPr>
    </w:p>
    <w:p w14:paraId="534514FD" w14:textId="77777777" w:rsidR="00A41CE0" w:rsidRDefault="00A41CE0" w:rsidP="00A41CE0">
      <w:pPr>
        <w:spacing w:before="120" w:after="120"/>
        <w:rPr>
          <w:rFonts w:ascii="Times New Roman" w:hAnsi="Times New Roman"/>
          <w:bCs/>
          <w:color w:val="000000"/>
          <w:sz w:val="24"/>
          <w:szCs w:val="24"/>
        </w:rPr>
      </w:pPr>
      <w:r>
        <w:rPr>
          <w:rFonts w:ascii="Times New Roman" w:hAnsi="Times New Roman"/>
          <w:bCs/>
          <w:color w:val="000000"/>
          <w:sz w:val="24"/>
          <w:szCs w:val="24"/>
        </w:rPr>
        <w:t xml:space="preserve">The purpose of Part 3 of Schedule 1 to the Amendment Instrument is to make </w:t>
      </w:r>
      <w:r w:rsidR="00F80A18">
        <w:rPr>
          <w:rFonts w:ascii="Times New Roman" w:hAnsi="Times New Roman"/>
          <w:bCs/>
          <w:color w:val="000000"/>
          <w:sz w:val="24"/>
          <w:szCs w:val="24"/>
        </w:rPr>
        <w:t>editorial and other minor</w:t>
      </w:r>
      <w:r>
        <w:rPr>
          <w:rFonts w:ascii="Times New Roman" w:hAnsi="Times New Roman"/>
          <w:bCs/>
          <w:color w:val="000000"/>
          <w:sz w:val="24"/>
          <w:szCs w:val="24"/>
        </w:rPr>
        <w:t xml:space="preserve"> amendments to the Principal Instrument.</w:t>
      </w:r>
    </w:p>
    <w:p w14:paraId="1C431A8F" w14:textId="77777777" w:rsidR="00A41CE0" w:rsidRPr="003D39C8" w:rsidRDefault="00A41CE0" w:rsidP="00A41CE0">
      <w:pPr>
        <w:spacing w:before="120" w:after="120"/>
        <w:rPr>
          <w:rFonts w:ascii="Times New Roman" w:hAnsi="Times New Roman"/>
          <w:bCs/>
          <w:color w:val="000000"/>
          <w:sz w:val="24"/>
          <w:szCs w:val="24"/>
        </w:rPr>
      </w:pPr>
      <w:r>
        <w:rPr>
          <w:rFonts w:ascii="Times New Roman" w:hAnsi="Times New Roman"/>
          <w:b/>
          <w:bCs/>
          <w:color w:val="000000"/>
          <w:sz w:val="24"/>
          <w:szCs w:val="24"/>
        </w:rPr>
        <w:t>Item 5</w:t>
      </w:r>
      <w:r>
        <w:rPr>
          <w:rFonts w:ascii="Times New Roman" w:hAnsi="Times New Roman"/>
          <w:bCs/>
          <w:color w:val="000000"/>
          <w:sz w:val="24"/>
          <w:szCs w:val="24"/>
        </w:rPr>
        <w:t xml:space="preserve"> repeals </w:t>
      </w:r>
      <w:r w:rsidR="00BB5BB9">
        <w:rPr>
          <w:rFonts w:ascii="Times New Roman" w:hAnsi="Times New Roman"/>
          <w:bCs/>
          <w:color w:val="000000"/>
          <w:sz w:val="24"/>
          <w:szCs w:val="24"/>
        </w:rPr>
        <w:t>sections </w:t>
      </w:r>
      <w:r>
        <w:rPr>
          <w:rFonts w:ascii="Times New Roman" w:hAnsi="Times New Roman"/>
          <w:bCs/>
          <w:color w:val="000000"/>
          <w:sz w:val="24"/>
          <w:szCs w:val="24"/>
        </w:rPr>
        <w:t xml:space="preserve">i.iii and i.iv of Chapter i of the Principal </w:t>
      </w:r>
      <w:r w:rsidRPr="003D39C8">
        <w:rPr>
          <w:rFonts w:ascii="Times New Roman" w:hAnsi="Times New Roman"/>
          <w:bCs/>
          <w:color w:val="000000"/>
          <w:sz w:val="24"/>
          <w:szCs w:val="24"/>
        </w:rPr>
        <w:t xml:space="preserve">Instrument. </w:t>
      </w:r>
      <w:r w:rsidRPr="001062DF">
        <w:rPr>
          <w:rFonts w:ascii="Times New Roman" w:hAnsi="Times New Roman"/>
          <w:bCs/>
          <w:color w:val="000000"/>
          <w:sz w:val="24"/>
          <w:szCs w:val="24"/>
        </w:rPr>
        <w:t xml:space="preserve">These provisions provide information about the application of the </w:t>
      </w:r>
      <w:r w:rsidRPr="001062DF">
        <w:rPr>
          <w:rFonts w:ascii="Times New Roman" w:hAnsi="Times New Roman"/>
          <w:bCs/>
          <w:i/>
          <w:color w:val="000000"/>
          <w:sz w:val="24"/>
          <w:szCs w:val="24"/>
        </w:rPr>
        <w:t xml:space="preserve">Freedom of Information Act 1982 </w:t>
      </w:r>
      <w:r w:rsidRPr="001062DF">
        <w:rPr>
          <w:rFonts w:ascii="Times New Roman" w:hAnsi="Times New Roman"/>
          <w:bCs/>
          <w:color w:val="000000"/>
          <w:sz w:val="24"/>
          <w:szCs w:val="24"/>
        </w:rPr>
        <w:t xml:space="preserve">and the </w:t>
      </w:r>
      <w:r w:rsidRPr="001062DF">
        <w:rPr>
          <w:rFonts w:ascii="Times New Roman" w:hAnsi="Times New Roman"/>
          <w:bCs/>
          <w:i/>
          <w:color w:val="000000"/>
          <w:sz w:val="24"/>
          <w:szCs w:val="24"/>
        </w:rPr>
        <w:t>Privacy Act 1988</w:t>
      </w:r>
      <w:r w:rsidRPr="001062DF">
        <w:rPr>
          <w:rFonts w:ascii="Times New Roman" w:hAnsi="Times New Roman"/>
          <w:bCs/>
          <w:color w:val="000000"/>
          <w:sz w:val="24"/>
          <w:szCs w:val="24"/>
        </w:rPr>
        <w:t xml:space="preserve"> in relation to grants made under the Principal Instrument. This information </w:t>
      </w:r>
      <w:r w:rsidR="00A80B69" w:rsidRPr="001062DF">
        <w:rPr>
          <w:rFonts w:ascii="Times New Roman" w:hAnsi="Times New Roman"/>
          <w:bCs/>
          <w:color w:val="000000"/>
          <w:sz w:val="24"/>
          <w:szCs w:val="24"/>
        </w:rPr>
        <w:t>is not required to be contained in the Principal Instrument and will be relocated to policy documentation.</w:t>
      </w:r>
    </w:p>
    <w:p w14:paraId="555EA1F6" w14:textId="77777777" w:rsidR="00A80B69" w:rsidRPr="003D39C8" w:rsidRDefault="00A80B69" w:rsidP="00A41CE0">
      <w:pPr>
        <w:spacing w:before="120" w:after="120"/>
        <w:rPr>
          <w:rFonts w:ascii="Times New Roman" w:hAnsi="Times New Roman"/>
          <w:bCs/>
          <w:color w:val="000000"/>
          <w:sz w:val="24"/>
          <w:szCs w:val="24"/>
        </w:rPr>
      </w:pPr>
      <w:r w:rsidRPr="003D39C8">
        <w:rPr>
          <w:rFonts w:ascii="Times New Roman" w:hAnsi="Times New Roman"/>
          <w:b/>
          <w:bCs/>
          <w:color w:val="000000"/>
          <w:sz w:val="24"/>
          <w:szCs w:val="24"/>
        </w:rPr>
        <w:t>Items 6-11</w:t>
      </w:r>
      <w:r w:rsidRPr="003D39C8">
        <w:rPr>
          <w:rFonts w:ascii="Times New Roman" w:hAnsi="Times New Roman"/>
          <w:bCs/>
          <w:color w:val="000000"/>
          <w:sz w:val="24"/>
          <w:szCs w:val="24"/>
        </w:rPr>
        <w:t xml:space="preserve"> insert Part and Division numbers into the headings preceding each of </w:t>
      </w:r>
      <w:r w:rsidR="00BB5BB9" w:rsidRPr="003D39C8">
        <w:rPr>
          <w:rFonts w:ascii="Times New Roman" w:hAnsi="Times New Roman"/>
          <w:bCs/>
          <w:color w:val="000000"/>
          <w:sz w:val="24"/>
          <w:szCs w:val="24"/>
        </w:rPr>
        <w:t>sections </w:t>
      </w:r>
      <w:r w:rsidRPr="003D39C8">
        <w:rPr>
          <w:rFonts w:ascii="Times New Roman" w:hAnsi="Times New Roman"/>
          <w:bCs/>
          <w:color w:val="000000"/>
          <w:sz w:val="24"/>
          <w:szCs w:val="24"/>
        </w:rPr>
        <w:t>1.1, 1.15, 1.40, 1.90, 1.100, and 1.155 (first occurring)</w:t>
      </w:r>
      <w:r w:rsidR="00344BAE" w:rsidRPr="003D39C8">
        <w:rPr>
          <w:rFonts w:ascii="Times New Roman" w:hAnsi="Times New Roman"/>
          <w:bCs/>
          <w:color w:val="000000"/>
          <w:sz w:val="24"/>
          <w:szCs w:val="24"/>
        </w:rPr>
        <w:t xml:space="preserve"> of the Principal Instrument</w:t>
      </w:r>
      <w:r w:rsidRPr="003D39C8">
        <w:rPr>
          <w:rFonts w:ascii="Times New Roman" w:hAnsi="Times New Roman"/>
          <w:bCs/>
          <w:color w:val="000000"/>
          <w:sz w:val="24"/>
          <w:szCs w:val="24"/>
        </w:rPr>
        <w:t xml:space="preserve"> </w:t>
      </w:r>
      <w:r w:rsidRPr="001062DF">
        <w:rPr>
          <w:rFonts w:ascii="Times New Roman" w:hAnsi="Times New Roman"/>
          <w:bCs/>
          <w:color w:val="000000"/>
          <w:sz w:val="24"/>
          <w:szCs w:val="24"/>
        </w:rPr>
        <w:t>to improve the readability of the Principal Instrument</w:t>
      </w:r>
      <w:r w:rsidRPr="003D39C8">
        <w:rPr>
          <w:rFonts w:ascii="Times New Roman" w:hAnsi="Times New Roman"/>
          <w:bCs/>
          <w:color w:val="000000"/>
          <w:sz w:val="24"/>
          <w:szCs w:val="24"/>
        </w:rPr>
        <w:t>.</w:t>
      </w:r>
    </w:p>
    <w:p w14:paraId="2A78352F" w14:textId="77777777" w:rsidR="00A80B69" w:rsidRPr="003D39C8" w:rsidRDefault="00A80B69" w:rsidP="00A41CE0">
      <w:pPr>
        <w:spacing w:before="120" w:after="120"/>
        <w:rPr>
          <w:rFonts w:ascii="Times New Roman" w:hAnsi="Times New Roman"/>
          <w:bCs/>
          <w:color w:val="000000"/>
          <w:sz w:val="24"/>
          <w:szCs w:val="24"/>
        </w:rPr>
      </w:pPr>
      <w:r w:rsidRPr="003D39C8">
        <w:rPr>
          <w:rFonts w:ascii="Times New Roman" w:hAnsi="Times New Roman"/>
          <w:b/>
          <w:bCs/>
          <w:color w:val="000000"/>
          <w:sz w:val="24"/>
          <w:szCs w:val="24"/>
        </w:rPr>
        <w:t>Item</w:t>
      </w:r>
      <w:r w:rsidR="00094008" w:rsidRPr="003D39C8">
        <w:rPr>
          <w:rFonts w:ascii="Times New Roman" w:hAnsi="Times New Roman"/>
          <w:b/>
          <w:bCs/>
          <w:color w:val="000000"/>
          <w:sz w:val="24"/>
          <w:szCs w:val="24"/>
        </w:rPr>
        <w:t>s</w:t>
      </w:r>
      <w:r w:rsidRPr="003D39C8">
        <w:rPr>
          <w:rFonts w:ascii="Times New Roman" w:hAnsi="Times New Roman"/>
          <w:b/>
          <w:bCs/>
          <w:color w:val="000000"/>
          <w:sz w:val="24"/>
          <w:szCs w:val="24"/>
        </w:rPr>
        <w:t> </w:t>
      </w:r>
      <w:r w:rsidR="00344BAE" w:rsidRPr="003D39C8">
        <w:rPr>
          <w:rFonts w:ascii="Times New Roman" w:hAnsi="Times New Roman"/>
          <w:b/>
          <w:bCs/>
          <w:color w:val="000000"/>
          <w:sz w:val="24"/>
          <w:szCs w:val="24"/>
        </w:rPr>
        <w:t>12</w:t>
      </w:r>
      <w:r w:rsidR="00BB5BB9" w:rsidRPr="003D39C8">
        <w:rPr>
          <w:rFonts w:ascii="Times New Roman" w:hAnsi="Times New Roman"/>
          <w:b/>
          <w:bCs/>
          <w:color w:val="000000"/>
          <w:sz w:val="24"/>
          <w:szCs w:val="24"/>
        </w:rPr>
        <w:t xml:space="preserve"> and</w:t>
      </w:r>
      <w:r w:rsidR="00094008" w:rsidRPr="003D39C8">
        <w:rPr>
          <w:rFonts w:ascii="Times New Roman" w:hAnsi="Times New Roman"/>
          <w:b/>
          <w:bCs/>
          <w:color w:val="000000"/>
          <w:sz w:val="24"/>
          <w:szCs w:val="24"/>
        </w:rPr>
        <w:t xml:space="preserve"> 13</w:t>
      </w:r>
      <w:r w:rsidR="00094008" w:rsidRPr="003D39C8">
        <w:rPr>
          <w:rFonts w:ascii="Times New Roman" w:hAnsi="Times New Roman"/>
          <w:bCs/>
          <w:color w:val="000000"/>
          <w:sz w:val="24"/>
          <w:szCs w:val="24"/>
        </w:rPr>
        <w:t xml:space="preserve"> remove duplicate provisions in the Principal Instrument. Specifically, these items repeal</w:t>
      </w:r>
      <w:r w:rsidR="00344BAE" w:rsidRPr="003D39C8">
        <w:rPr>
          <w:rFonts w:ascii="Times New Roman" w:hAnsi="Times New Roman"/>
          <w:bCs/>
          <w:color w:val="000000"/>
          <w:sz w:val="24"/>
          <w:szCs w:val="24"/>
        </w:rPr>
        <w:t xml:space="preserve"> the second recurrences of </w:t>
      </w:r>
      <w:r w:rsidR="00BB5BB9" w:rsidRPr="003D39C8">
        <w:rPr>
          <w:rFonts w:ascii="Times New Roman" w:hAnsi="Times New Roman"/>
          <w:bCs/>
          <w:color w:val="000000"/>
          <w:sz w:val="24"/>
          <w:szCs w:val="24"/>
        </w:rPr>
        <w:t>sections </w:t>
      </w:r>
      <w:r w:rsidR="00344BAE" w:rsidRPr="003D39C8">
        <w:rPr>
          <w:rFonts w:ascii="Times New Roman" w:hAnsi="Times New Roman"/>
          <w:bCs/>
          <w:color w:val="000000"/>
          <w:sz w:val="24"/>
          <w:szCs w:val="24"/>
        </w:rPr>
        <w:t>1.115, 1.120, 1.125, 1.130, 1.135, 1.140, 1.145,</w:t>
      </w:r>
      <w:r w:rsidR="00094008" w:rsidRPr="003D39C8">
        <w:rPr>
          <w:rFonts w:ascii="Times New Roman" w:hAnsi="Times New Roman"/>
          <w:bCs/>
          <w:color w:val="000000"/>
          <w:sz w:val="24"/>
          <w:szCs w:val="24"/>
        </w:rPr>
        <w:t xml:space="preserve"> </w:t>
      </w:r>
      <w:r w:rsidR="00344BAE" w:rsidRPr="003D39C8">
        <w:rPr>
          <w:rFonts w:ascii="Times New Roman" w:hAnsi="Times New Roman"/>
          <w:bCs/>
          <w:color w:val="000000"/>
          <w:sz w:val="24"/>
          <w:szCs w:val="24"/>
        </w:rPr>
        <w:t>1.150</w:t>
      </w:r>
      <w:r w:rsidR="00BB5BB9" w:rsidRPr="003D39C8">
        <w:rPr>
          <w:rFonts w:ascii="Times New Roman" w:hAnsi="Times New Roman"/>
          <w:bCs/>
          <w:color w:val="000000"/>
          <w:sz w:val="24"/>
          <w:szCs w:val="24"/>
        </w:rPr>
        <w:t xml:space="preserve"> and</w:t>
      </w:r>
      <w:r w:rsidR="00094008" w:rsidRPr="003D39C8">
        <w:rPr>
          <w:rFonts w:ascii="Times New Roman" w:hAnsi="Times New Roman"/>
          <w:bCs/>
          <w:color w:val="000000"/>
          <w:sz w:val="24"/>
          <w:szCs w:val="24"/>
        </w:rPr>
        <w:t xml:space="preserve"> 1.155, and the second recurrences of </w:t>
      </w:r>
      <w:r w:rsidR="00BB5BB9" w:rsidRPr="003D39C8">
        <w:rPr>
          <w:rFonts w:ascii="Times New Roman" w:hAnsi="Times New Roman"/>
          <w:bCs/>
          <w:color w:val="000000"/>
          <w:sz w:val="24"/>
          <w:szCs w:val="24"/>
        </w:rPr>
        <w:t>subsections </w:t>
      </w:r>
      <w:r w:rsidR="00094008" w:rsidRPr="003D39C8">
        <w:rPr>
          <w:rFonts w:ascii="Times New Roman" w:hAnsi="Times New Roman"/>
          <w:bCs/>
          <w:color w:val="000000"/>
          <w:sz w:val="24"/>
          <w:szCs w:val="24"/>
        </w:rPr>
        <w:t>1.160.5, 1.160.10, and 1.160.15,</w:t>
      </w:r>
      <w:r w:rsidR="00344BAE" w:rsidRPr="003D39C8">
        <w:rPr>
          <w:rFonts w:ascii="Times New Roman" w:hAnsi="Times New Roman"/>
          <w:bCs/>
          <w:color w:val="000000"/>
          <w:sz w:val="24"/>
          <w:szCs w:val="24"/>
        </w:rPr>
        <w:t xml:space="preserve"> in the Principal Instrument</w:t>
      </w:r>
      <w:r w:rsidR="00094008" w:rsidRPr="003D39C8">
        <w:rPr>
          <w:rFonts w:ascii="Times New Roman" w:hAnsi="Times New Roman"/>
          <w:bCs/>
          <w:color w:val="000000"/>
          <w:sz w:val="24"/>
          <w:szCs w:val="24"/>
        </w:rPr>
        <w:t>.</w:t>
      </w:r>
    </w:p>
    <w:p w14:paraId="609D053E" w14:textId="77777777" w:rsidR="00344BAE" w:rsidRPr="003D39C8" w:rsidRDefault="00344BAE" w:rsidP="000F01B9">
      <w:pPr>
        <w:spacing w:before="120" w:after="120"/>
        <w:rPr>
          <w:rFonts w:ascii="Times New Roman" w:hAnsi="Times New Roman"/>
          <w:bCs/>
          <w:color w:val="000000"/>
          <w:sz w:val="24"/>
          <w:szCs w:val="24"/>
        </w:rPr>
      </w:pPr>
      <w:r w:rsidRPr="003D39C8">
        <w:rPr>
          <w:rFonts w:ascii="Times New Roman" w:hAnsi="Times New Roman"/>
          <w:b/>
          <w:bCs/>
          <w:color w:val="000000"/>
          <w:sz w:val="24"/>
          <w:szCs w:val="24"/>
        </w:rPr>
        <w:t>Item</w:t>
      </w:r>
      <w:r w:rsidR="00094008" w:rsidRPr="003D39C8">
        <w:rPr>
          <w:rFonts w:ascii="Times New Roman" w:hAnsi="Times New Roman"/>
          <w:b/>
          <w:bCs/>
          <w:color w:val="000000"/>
          <w:sz w:val="24"/>
          <w:szCs w:val="24"/>
        </w:rPr>
        <w:t>s </w:t>
      </w:r>
      <w:r w:rsidR="00BB5BB9" w:rsidRPr="003D39C8">
        <w:rPr>
          <w:rFonts w:ascii="Times New Roman" w:hAnsi="Times New Roman"/>
          <w:b/>
          <w:bCs/>
          <w:color w:val="000000"/>
          <w:sz w:val="24"/>
          <w:szCs w:val="24"/>
        </w:rPr>
        <w:t>14, 15, and 16</w:t>
      </w:r>
      <w:r w:rsidR="00094008" w:rsidRPr="003D39C8">
        <w:rPr>
          <w:rFonts w:ascii="Times New Roman" w:hAnsi="Times New Roman"/>
          <w:bCs/>
          <w:color w:val="000000"/>
          <w:sz w:val="24"/>
          <w:szCs w:val="24"/>
        </w:rPr>
        <w:t xml:space="preserve"> insert Part numbers into the headings preceding each of </w:t>
      </w:r>
      <w:r w:rsidR="00BB5BB9" w:rsidRPr="003D39C8">
        <w:rPr>
          <w:rFonts w:ascii="Times New Roman" w:hAnsi="Times New Roman"/>
          <w:bCs/>
          <w:color w:val="000000"/>
          <w:sz w:val="24"/>
          <w:szCs w:val="24"/>
        </w:rPr>
        <w:t xml:space="preserve">sections 2.1, </w:t>
      </w:r>
      <w:r w:rsidR="00094008" w:rsidRPr="003D39C8">
        <w:rPr>
          <w:rFonts w:ascii="Times New Roman" w:hAnsi="Times New Roman"/>
          <w:bCs/>
          <w:color w:val="000000"/>
          <w:sz w:val="24"/>
          <w:szCs w:val="24"/>
        </w:rPr>
        <w:t xml:space="preserve">3.1 and </w:t>
      </w:r>
      <w:r w:rsidR="00BB5BB9" w:rsidRPr="003D39C8">
        <w:rPr>
          <w:rFonts w:ascii="Times New Roman" w:hAnsi="Times New Roman"/>
          <w:bCs/>
          <w:color w:val="000000"/>
          <w:sz w:val="24"/>
          <w:szCs w:val="24"/>
        </w:rPr>
        <w:t>4.1</w:t>
      </w:r>
      <w:r w:rsidR="00094008" w:rsidRPr="003D39C8">
        <w:rPr>
          <w:rFonts w:ascii="Times New Roman" w:hAnsi="Times New Roman"/>
          <w:bCs/>
          <w:color w:val="000000"/>
          <w:sz w:val="24"/>
          <w:szCs w:val="24"/>
        </w:rPr>
        <w:t xml:space="preserve"> of the Principal Instrument </w:t>
      </w:r>
      <w:r w:rsidR="00094008" w:rsidRPr="001062DF">
        <w:rPr>
          <w:rFonts w:ascii="Times New Roman" w:hAnsi="Times New Roman"/>
          <w:bCs/>
          <w:color w:val="000000"/>
          <w:sz w:val="24"/>
          <w:szCs w:val="24"/>
        </w:rPr>
        <w:t>to improve the readability of the Principal Instrument</w:t>
      </w:r>
      <w:r w:rsidR="00094008" w:rsidRPr="003D39C8">
        <w:rPr>
          <w:rFonts w:ascii="Times New Roman" w:hAnsi="Times New Roman"/>
          <w:bCs/>
          <w:color w:val="000000"/>
          <w:sz w:val="24"/>
          <w:szCs w:val="24"/>
        </w:rPr>
        <w:t>.</w:t>
      </w:r>
    </w:p>
    <w:p w14:paraId="02DF0C12" w14:textId="77777777" w:rsidR="00167179" w:rsidRPr="003D39C8" w:rsidRDefault="00572943">
      <w:pPr>
        <w:rPr>
          <w:rFonts w:ascii="Times New Roman" w:hAnsi="Times New Roman"/>
          <w:color w:val="000000"/>
          <w:sz w:val="24"/>
          <w:szCs w:val="24"/>
        </w:rPr>
      </w:pPr>
      <w:r w:rsidRPr="003D39C8">
        <w:rPr>
          <w:rFonts w:ascii="Times New Roman" w:hAnsi="Times New Roman"/>
          <w:b/>
          <w:color w:val="000000"/>
          <w:sz w:val="24"/>
          <w:szCs w:val="24"/>
        </w:rPr>
        <w:t>Item </w:t>
      </w:r>
      <w:r w:rsidR="008E5C9C" w:rsidRPr="003D39C8">
        <w:rPr>
          <w:rFonts w:ascii="Times New Roman" w:hAnsi="Times New Roman"/>
          <w:b/>
          <w:color w:val="000000"/>
          <w:sz w:val="24"/>
          <w:szCs w:val="24"/>
        </w:rPr>
        <w:t>17</w:t>
      </w:r>
      <w:r w:rsidR="008E5C9C" w:rsidRPr="003D39C8">
        <w:rPr>
          <w:rFonts w:ascii="Times New Roman" w:hAnsi="Times New Roman"/>
          <w:color w:val="000000"/>
          <w:sz w:val="24"/>
          <w:szCs w:val="24"/>
        </w:rPr>
        <w:t xml:space="preserve"> </w:t>
      </w:r>
      <w:r w:rsidR="009D1DB5" w:rsidRPr="003D39C8">
        <w:rPr>
          <w:rFonts w:ascii="Times New Roman" w:hAnsi="Times New Roman"/>
          <w:color w:val="000000"/>
          <w:sz w:val="24"/>
          <w:szCs w:val="24"/>
        </w:rPr>
        <w:t xml:space="preserve">inserts a Part heading before </w:t>
      </w:r>
      <w:r w:rsidR="00673205" w:rsidRPr="003D39C8">
        <w:rPr>
          <w:rFonts w:ascii="Times New Roman" w:hAnsi="Times New Roman"/>
          <w:color w:val="000000"/>
          <w:sz w:val="24"/>
          <w:szCs w:val="24"/>
        </w:rPr>
        <w:t>section </w:t>
      </w:r>
      <w:r w:rsidR="009D1DB5" w:rsidRPr="003D39C8">
        <w:rPr>
          <w:rFonts w:ascii="Times New Roman" w:hAnsi="Times New Roman"/>
          <w:color w:val="000000"/>
          <w:sz w:val="24"/>
          <w:szCs w:val="24"/>
        </w:rPr>
        <w:t xml:space="preserve">5.1 of the Principal Instrument </w:t>
      </w:r>
      <w:r w:rsidR="009D1DB5" w:rsidRPr="001062DF">
        <w:rPr>
          <w:rFonts w:ascii="Times New Roman" w:hAnsi="Times New Roman"/>
          <w:color w:val="000000"/>
          <w:sz w:val="24"/>
          <w:szCs w:val="24"/>
        </w:rPr>
        <w:t>to improve the readability of the Principal Instrument</w:t>
      </w:r>
      <w:r w:rsidR="009D1DB5" w:rsidRPr="003D39C8">
        <w:rPr>
          <w:rFonts w:ascii="Times New Roman" w:hAnsi="Times New Roman"/>
          <w:color w:val="000000"/>
          <w:sz w:val="24"/>
          <w:szCs w:val="24"/>
        </w:rPr>
        <w:t>.</w:t>
      </w:r>
    </w:p>
    <w:p w14:paraId="41DEBB45" w14:textId="77777777" w:rsidR="009D1DB5" w:rsidRPr="003D39C8" w:rsidRDefault="009D1DB5" w:rsidP="009D1DB5">
      <w:pPr>
        <w:spacing w:before="120" w:after="120"/>
        <w:rPr>
          <w:rFonts w:ascii="Times New Roman" w:hAnsi="Times New Roman"/>
          <w:color w:val="000000"/>
          <w:sz w:val="24"/>
          <w:szCs w:val="24"/>
        </w:rPr>
      </w:pPr>
      <w:r w:rsidRPr="003D39C8">
        <w:rPr>
          <w:rFonts w:ascii="Times New Roman" w:hAnsi="Times New Roman"/>
          <w:b/>
          <w:color w:val="000000"/>
          <w:sz w:val="24"/>
          <w:szCs w:val="24"/>
        </w:rPr>
        <w:t>Items </w:t>
      </w:r>
      <w:r w:rsidR="008E5C9C" w:rsidRPr="003D39C8">
        <w:rPr>
          <w:rFonts w:ascii="Times New Roman" w:hAnsi="Times New Roman"/>
          <w:b/>
          <w:color w:val="000000"/>
          <w:sz w:val="24"/>
          <w:szCs w:val="24"/>
        </w:rPr>
        <w:t>18</w:t>
      </w:r>
      <w:r w:rsidRPr="003D39C8">
        <w:rPr>
          <w:rFonts w:ascii="Times New Roman" w:hAnsi="Times New Roman"/>
          <w:b/>
          <w:color w:val="000000"/>
          <w:sz w:val="24"/>
          <w:szCs w:val="24"/>
        </w:rPr>
        <w:t>-</w:t>
      </w:r>
      <w:r w:rsidR="008E5C9C" w:rsidRPr="003D39C8">
        <w:rPr>
          <w:rFonts w:ascii="Times New Roman" w:hAnsi="Times New Roman"/>
          <w:b/>
          <w:color w:val="000000"/>
          <w:sz w:val="24"/>
          <w:szCs w:val="24"/>
        </w:rPr>
        <w:t>20</w:t>
      </w:r>
      <w:r w:rsidR="008E5C9C" w:rsidRPr="003D39C8">
        <w:rPr>
          <w:rFonts w:ascii="Times New Roman" w:hAnsi="Times New Roman"/>
          <w:color w:val="000000"/>
          <w:sz w:val="24"/>
          <w:szCs w:val="24"/>
        </w:rPr>
        <w:t xml:space="preserve"> </w:t>
      </w:r>
      <w:r w:rsidRPr="003D39C8">
        <w:rPr>
          <w:rFonts w:ascii="Times New Roman" w:hAnsi="Times New Roman"/>
          <w:color w:val="000000"/>
          <w:sz w:val="24"/>
          <w:szCs w:val="24"/>
        </w:rPr>
        <w:t xml:space="preserve">insert Part numbers into the headings preceding </w:t>
      </w:r>
      <w:r w:rsidR="008E5C9C" w:rsidRPr="003D39C8">
        <w:rPr>
          <w:rFonts w:ascii="Times New Roman" w:hAnsi="Times New Roman"/>
          <w:color w:val="000000"/>
          <w:sz w:val="24"/>
          <w:szCs w:val="24"/>
        </w:rPr>
        <w:t>sections </w:t>
      </w:r>
      <w:r w:rsidRPr="003D39C8">
        <w:rPr>
          <w:rFonts w:ascii="Times New Roman" w:hAnsi="Times New Roman"/>
          <w:color w:val="000000"/>
          <w:sz w:val="24"/>
          <w:szCs w:val="24"/>
        </w:rPr>
        <w:t>5.5, 5.30 and 6.1 of the Principal Instrument to improve the readability of the Principal Instrument.</w:t>
      </w:r>
    </w:p>
    <w:p w14:paraId="18C330C5" w14:textId="77777777" w:rsidR="009D1DB5" w:rsidRPr="003D39C8" w:rsidRDefault="009D1DB5" w:rsidP="009D1DB5">
      <w:pPr>
        <w:spacing w:before="120" w:after="120"/>
        <w:rPr>
          <w:rFonts w:ascii="Times New Roman" w:hAnsi="Times New Roman"/>
          <w:color w:val="000000"/>
          <w:sz w:val="24"/>
          <w:szCs w:val="24"/>
        </w:rPr>
      </w:pPr>
      <w:r w:rsidRPr="003D39C8">
        <w:rPr>
          <w:rFonts w:ascii="Times New Roman" w:hAnsi="Times New Roman"/>
          <w:b/>
          <w:color w:val="000000"/>
          <w:sz w:val="24"/>
          <w:szCs w:val="24"/>
        </w:rPr>
        <w:t>Item </w:t>
      </w:r>
      <w:r w:rsidR="008E5C9C" w:rsidRPr="003D39C8">
        <w:rPr>
          <w:rFonts w:ascii="Times New Roman" w:hAnsi="Times New Roman"/>
          <w:b/>
          <w:color w:val="000000"/>
          <w:sz w:val="24"/>
          <w:szCs w:val="24"/>
        </w:rPr>
        <w:t>21</w:t>
      </w:r>
      <w:r w:rsidR="008E5C9C" w:rsidRPr="003D39C8">
        <w:rPr>
          <w:rFonts w:ascii="Times New Roman" w:hAnsi="Times New Roman"/>
          <w:color w:val="000000"/>
          <w:sz w:val="24"/>
          <w:szCs w:val="24"/>
        </w:rPr>
        <w:t xml:space="preserve"> </w:t>
      </w:r>
      <w:r w:rsidRPr="003D39C8">
        <w:rPr>
          <w:rFonts w:ascii="Times New Roman" w:hAnsi="Times New Roman"/>
          <w:color w:val="000000"/>
          <w:sz w:val="24"/>
          <w:szCs w:val="24"/>
        </w:rPr>
        <w:t xml:space="preserve">inserts a Part number into the heading preceding </w:t>
      </w:r>
      <w:r w:rsidR="008E5C9C" w:rsidRPr="003D39C8">
        <w:rPr>
          <w:rFonts w:ascii="Times New Roman" w:hAnsi="Times New Roman"/>
          <w:color w:val="000000"/>
          <w:sz w:val="24"/>
          <w:szCs w:val="24"/>
        </w:rPr>
        <w:t>section </w:t>
      </w:r>
      <w:r w:rsidRPr="003D39C8">
        <w:rPr>
          <w:rFonts w:ascii="Times New Roman" w:hAnsi="Times New Roman"/>
          <w:color w:val="000000"/>
          <w:sz w:val="24"/>
          <w:szCs w:val="24"/>
        </w:rPr>
        <w:t>7.1 of the Principal Instrument, and inserts a new Division heading</w:t>
      </w:r>
      <w:r w:rsidR="00EB482A" w:rsidRPr="003D39C8">
        <w:rPr>
          <w:rFonts w:ascii="Times New Roman" w:hAnsi="Times New Roman"/>
          <w:color w:val="000000"/>
          <w:sz w:val="24"/>
          <w:szCs w:val="24"/>
        </w:rPr>
        <w:t xml:space="preserve"> immediately following the Part heading, </w:t>
      </w:r>
      <w:r w:rsidR="00EB482A" w:rsidRPr="001062DF">
        <w:rPr>
          <w:rFonts w:ascii="Times New Roman" w:hAnsi="Times New Roman"/>
          <w:color w:val="000000"/>
          <w:sz w:val="24"/>
          <w:szCs w:val="24"/>
        </w:rPr>
        <w:t>to improve the readability of the Principal Instrument</w:t>
      </w:r>
      <w:r w:rsidR="00EB482A" w:rsidRPr="003D39C8">
        <w:rPr>
          <w:rFonts w:ascii="Times New Roman" w:hAnsi="Times New Roman"/>
          <w:color w:val="000000"/>
          <w:sz w:val="24"/>
          <w:szCs w:val="24"/>
        </w:rPr>
        <w:t>.</w:t>
      </w:r>
    </w:p>
    <w:p w14:paraId="1332B2DC" w14:textId="77777777" w:rsidR="00EB482A" w:rsidRPr="003D39C8" w:rsidRDefault="00506F02" w:rsidP="009D1DB5">
      <w:pPr>
        <w:spacing w:before="120" w:after="120"/>
        <w:rPr>
          <w:rFonts w:ascii="Times New Roman" w:hAnsi="Times New Roman"/>
          <w:color w:val="000000"/>
          <w:sz w:val="24"/>
          <w:szCs w:val="24"/>
        </w:rPr>
      </w:pPr>
      <w:r w:rsidRPr="003D39C8">
        <w:rPr>
          <w:rFonts w:ascii="Times New Roman" w:hAnsi="Times New Roman"/>
          <w:b/>
          <w:color w:val="000000"/>
          <w:sz w:val="24"/>
          <w:szCs w:val="24"/>
        </w:rPr>
        <w:t>Items </w:t>
      </w:r>
      <w:r w:rsidR="008E5C9C" w:rsidRPr="003D39C8">
        <w:rPr>
          <w:rFonts w:ascii="Times New Roman" w:hAnsi="Times New Roman"/>
          <w:b/>
          <w:color w:val="000000"/>
          <w:sz w:val="24"/>
          <w:szCs w:val="24"/>
        </w:rPr>
        <w:t>22</w:t>
      </w:r>
      <w:r w:rsidRPr="003D39C8">
        <w:rPr>
          <w:rFonts w:ascii="Times New Roman" w:hAnsi="Times New Roman"/>
          <w:b/>
          <w:color w:val="000000"/>
          <w:sz w:val="24"/>
          <w:szCs w:val="24"/>
        </w:rPr>
        <w:t>-</w:t>
      </w:r>
      <w:r w:rsidR="008E5C9C" w:rsidRPr="003D39C8">
        <w:rPr>
          <w:rFonts w:ascii="Times New Roman" w:hAnsi="Times New Roman"/>
          <w:b/>
          <w:color w:val="000000"/>
          <w:sz w:val="24"/>
          <w:szCs w:val="24"/>
        </w:rPr>
        <w:t>24</w:t>
      </w:r>
      <w:r w:rsidR="008E5C9C" w:rsidRPr="003D39C8">
        <w:rPr>
          <w:rFonts w:ascii="Times New Roman" w:hAnsi="Times New Roman"/>
          <w:color w:val="000000"/>
          <w:sz w:val="24"/>
          <w:szCs w:val="24"/>
        </w:rPr>
        <w:t xml:space="preserve"> </w:t>
      </w:r>
      <w:r w:rsidRPr="003D39C8">
        <w:rPr>
          <w:rFonts w:ascii="Times New Roman" w:hAnsi="Times New Roman"/>
          <w:color w:val="000000"/>
          <w:sz w:val="24"/>
          <w:szCs w:val="24"/>
        </w:rPr>
        <w:t>repeal</w:t>
      </w:r>
      <w:r w:rsidR="008E5C9C" w:rsidRPr="003D39C8">
        <w:rPr>
          <w:rFonts w:ascii="Times New Roman" w:hAnsi="Times New Roman"/>
          <w:color w:val="000000"/>
          <w:sz w:val="24"/>
          <w:szCs w:val="24"/>
        </w:rPr>
        <w:t xml:space="preserve"> the headings of</w:t>
      </w:r>
      <w:r w:rsidRPr="003D39C8">
        <w:rPr>
          <w:rFonts w:ascii="Times New Roman" w:hAnsi="Times New Roman"/>
          <w:color w:val="000000"/>
          <w:sz w:val="24"/>
          <w:szCs w:val="24"/>
        </w:rPr>
        <w:t xml:space="preserve"> </w:t>
      </w:r>
      <w:r w:rsidR="008E5C9C" w:rsidRPr="003D39C8">
        <w:rPr>
          <w:rFonts w:ascii="Times New Roman" w:hAnsi="Times New Roman"/>
          <w:color w:val="000000"/>
          <w:sz w:val="24"/>
          <w:szCs w:val="24"/>
        </w:rPr>
        <w:t>sections </w:t>
      </w:r>
      <w:r w:rsidRPr="003D39C8">
        <w:rPr>
          <w:rFonts w:ascii="Times New Roman" w:hAnsi="Times New Roman"/>
          <w:color w:val="000000"/>
          <w:sz w:val="24"/>
          <w:szCs w:val="24"/>
        </w:rPr>
        <w:t xml:space="preserve">7.20 (first and second occurring), 7.45 (first and second occurring) and 7.60 (first and second occurring) of the Principal Instrument and substitute appropriate headings </w:t>
      </w:r>
      <w:r w:rsidR="008E5C9C" w:rsidRPr="003D39C8">
        <w:rPr>
          <w:rFonts w:ascii="Times New Roman" w:hAnsi="Times New Roman"/>
          <w:color w:val="000000"/>
          <w:sz w:val="24"/>
          <w:szCs w:val="24"/>
        </w:rPr>
        <w:t>(</w:t>
      </w:r>
      <w:r w:rsidRPr="003D39C8">
        <w:rPr>
          <w:rFonts w:ascii="Times New Roman" w:hAnsi="Times New Roman"/>
          <w:color w:val="000000"/>
          <w:sz w:val="24"/>
          <w:szCs w:val="24"/>
        </w:rPr>
        <w:t>including Division numbers</w:t>
      </w:r>
      <w:r w:rsidR="008E5C9C" w:rsidRPr="003D39C8">
        <w:rPr>
          <w:rFonts w:ascii="Times New Roman" w:hAnsi="Times New Roman"/>
          <w:color w:val="000000"/>
          <w:sz w:val="24"/>
          <w:szCs w:val="24"/>
        </w:rPr>
        <w:t>)</w:t>
      </w:r>
      <w:r w:rsidRPr="003D39C8">
        <w:rPr>
          <w:rFonts w:ascii="Times New Roman" w:hAnsi="Times New Roman"/>
          <w:color w:val="000000"/>
          <w:sz w:val="24"/>
          <w:szCs w:val="24"/>
        </w:rPr>
        <w:t xml:space="preserve"> </w:t>
      </w:r>
      <w:r w:rsidRPr="001062DF">
        <w:rPr>
          <w:rFonts w:ascii="Times New Roman" w:hAnsi="Times New Roman"/>
          <w:color w:val="000000"/>
          <w:sz w:val="24"/>
          <w:szCs w:val="24"/>
        </w:rPr>
        <w:t>to improve the readability of the Principal Instrument</w:t>
      </w:r>
      <w:r w:rsidRPr="003D39C8">
        <w:rPr>
          <w:rFonts w:ascii="Times New Roman" w:hAnsi="Times New Roman"/>
          <w:color w:val="000000"/>
          <w:sz w:val="24"/>
          <w:szCs w:val="24"/>
        </w:rPr>
        <w:t>.</w:t>
      </w:r>
    </w:p>
    <w:p w14:paraId="1B046BBB" w14:textId="77777777" w:rsidR="00506F02" w:rsidRPr="003D39C8" w:rsidRDefault="00F80A18" w:rsidP="009D1DB5">
      <w:pPr>
        <w:spacing w:before="120" w:after="120"/>
        <w:rPr>
          <w:rFonts w:ascii="Times New Roman" w:hAnsi="Times New Roman"/>
          <w:color w:val="000000"/>
          <w:sz w:val="24"/>
          <w:szCs w:val="24"/>
        </w:rPr>
      </w:pPr>
      <w:r w:rsidRPr="003D39C8">
        <w:rPr>
          <w:rFonts w:ascii="Times New Roman" w:hAnsi="Times New Roman"/>
          <w:b/>
          <w:color w:val="000000"/>
          <w:sz w:val="24"/>
          <w:szCs w:val="24"/>
        </w:rPr>
        <w:t>Items </w:t>
      </w:r>
      <w:r w:rsidR="008E5C9C" w:rsidRPr="003D39C8">
        <w:rPr>
          <w:rFonts w:ascii="Times New Roman" w:hAnsi="Times New Roman"/>
          <w:b/>
          <w:color w:val="000000"/>
          <w:sz w:val="24"/>
          <w:szCs w:val="24"/>
        </w:rPr>
        <w:t>25</w:t>
      </w:r>
      <w:r w:rsidRPr="003D39C8">
        <w:rPr>
          <w:rFonts w:ascii="Times New Roman" w:hAnsi="Times New Roman"/>
          <w:b/>
          <w:color w:val="000000"/>
          <w:sz w:val="24"/>
          <w:szCs w:val="24"/>
        </w:rPr>
        <w:t>-</w:t>
      </w:r>
      <w:r w:rsidR="008E5C9C" w:rsidRPr="003D39C8">
        <w:rPr>
          <w:rFonts w:ascii="Times New Roman" w:hAnsi="Times New Roman"/>
          <w:b/>
          <w:color w:val="000000"/>
          <w:sz w:val="24"/>
          <w:szCs w:val="24"/>
        </w:rPr>
        <w:t>28</w:t>
      </w:r>
      <w:r w:rsidR="008E5C9C" w:rsidRPr="003D39C8">
        <w:rPr>
          <w:rFonts w:ascii="Times New Roman" w:hAnsi="Times New Roman"/>
          <w:color w:val="000000"/>
          <w:sz w:val="24"/>
          <w:szCs w:val="24"/>
        </w:rPr>
        <w:t xml:space="preserve"> </w:t>
      </w:r>
      <w:r w:rsidRPr="003D39C8">
        <w:rPr>
          <w:rFonts w:ascii="Times New Roman" w:hAnsi="Times New Roman"/>
          <w:color w:val="000000"/>
          <w:sz w:val="24"/>
          <w:szCs w:val="24"/>
        </w:rPr>
        <w:t xml:space="preserve">insert Part numbers into the headings preceding </w:t>
      </w:r>
      <w:r w:rsidR="008E5C9C" w:rsidRPr="003D39C8">
        <w:rPr>
          <w:rFonts w:ascii="Times New Roman" w:hAnsi="Times New Roman"/>
          <w:color w:val="000000"/>
          <w:sz w:val="24"/>
          <w:szCs w:val="24"/>
        </w:rPr>
        <w:t>sections </w:t>
      </w:r>
      <w:r w:rsidRPr="003D39C8">
        <w:rPr>
          <w:rFonts w:ascii="Times New Roman" w:hAnsi="Times New Roman"/>
          <w:color w:val="000000"/>
          <w:sz w:val="24"/>
          <w:szCs w:val="24"/>
        </w:rPr>
        <w:t xml:space="preserve">7.75, 7.101, 7.110 and 7B.1 of the Principal Instrument </w:t>
      </w:r>
      <w:r w:rsidRPr="001062DF">
        <w:rPr>
          <w:rFonts w:ascii="Times New Roman" w:hAnsi="Times New Roman"/>
          <w:color w:val="000000"/>
          <w:sz w:val="24"/>
          <w:szCs w:val="24"/>
        </w:rPr>
        <w:t>to improve the readability of the Principal Instrument</w:t>
      </w:r>
      <w:r w:rsidRPr="003D39C8">
        <w:rPr>
          <w:rFonts w:ascii="Times New Roman" w:hAnsi="Times New Roman"/>
          <w:color w:val="000000"/>
          <w:sz w:val="24"/>
          <w:szCs w:val="24"/>
        </w:rPr>
        <w:t>.</w:t>
      </w:r>
    </w:p>
    <w:p w14:paraId="13A59531" w14:textId="77777777" w:rsidR="008E5C9C" w:rsidRPr="008E5C9C" w:rsidRDefault="008E5C9C" w:rsidP="009D1DB5">
      <w:pPr>
        <w:spacing w:before="120" w:after="120"/>
        <w:rPr>
          <w:rFonts w:ascii="Times New Roman" w:hAnsi="Times New Roman"/>
          <w:color w:val="000000"/>
          <w:sz w:val="24"/>
          <w:szCs w:val="24"/>
        </w:rPr>
      </w:pPr>
      <w:r w:rsidRPr="003D39C8">
        <w:rPr>
          <w:rFonts w:ascii="Times New Roman" w:hAnsi="Times New Roman"/>
          <w:b/>
          <w:color w:val="000000"/>
          <w:sz w:val="24"/>
          <w:szCs w:val="24"/>
        </w:rPr>
        <w:t xml:space="preserve">Item 29 </w:t>
      </w:r>
      <w:r w:rsidRPr="003D39C8">
        <w:rPr>
          <w:rFonts w:ascii="Times New Roman" w:hAnsi="Times New Roman"/>
          <w:color w:val="000000"/>
          <w:sz w:val="24"/>
          <w:szCs w:val="24"/>
        </w:rPr>
        <w:t xml:space="preserve">inserts a new Part heading before section 8.1 of the Principal Instrument </w:t>
      </w:r>
      <w:r w:rsidR="00C1232A" w:rsidRPr="003D39C8">
        <w:rPr>
          <w:rFonts w:ascii="Times New Roman" w:hAnsi="Times New Roman"/>
          <w:color w:val="000000"/>
          <w:sz w:val="24"/>
          <w:szCs w:val="24"/>
        </w:rPr>
        <w:t>to improve the readability of the Principal Instrument.</w:t>
      </w:r>
    </w:p>
    <w:p w14:paraId="52592B60" w14:textId="77777777" w:rsidR="00F3611B" w:rsidRPr="009F1E40" w:rsidRDefault="001F092D">
      <w:pPr>
        <w:rPr>
          <w:rFonts w:ascii="Times New Roman" w:hAnsi="Times New Roman"/>
          <w:color w:val="000000"/>
          <w:sz w:val="24"/>
          <w:szCs w:val="24"/>
        </w:rPr>
      </w:pPr>
      <w:r>
        <w:rPr>
          <w:rFonts w:ascii="Times New Roman" w:hAnsi="Times New Roman"/>
          <w:color w:val="000000"/>
          <w:sz w:val="24"/>
          <w:szCs w:val="24"/>
        </w:rPr>
        <w:br w:type="column"/>
      </w:r>
    </w:p>
    <w:p w14:paraId="41E1F304" w14:textId="77777777" w:rsidR="00167179" w:rsidRPr="009F1E40" w:rsidRDefault="00167179" w:rsidP="00167179">
      <w:pPr>
        <w:jc w:val="center"/>
        <w:rPr>
          <w:rFonts w:ascii="Times New Roman" w:hAnsi="Times New Roman"/>
          <w:b/>
          <w:sz w:val="24"/>
          <w:szCs w:val="24"/>
        </w:rPr>
      </w:pPr>
      <w:r w:rsidRPr="009F1E40">
        <w:rPr>
          <w:rFonts w:ascii="Times New Roman" w:hAnsi="Times New Roman"/>
          <w:b/>
          <w:sz w:val="24"/>
          <w:szCs w:val="24"/>
        </w:rPr>
        <w:t>Statement of Compatibility with Human Rights</w:t>
      </w:r>
    </w:p>
    <w:p w14:paraId="1434C4EF" w14:textId="77777777" w:rsidR="00167179" w:rsidRPr="009F1E40" w:rsidRDefault="00167179" w:rsidP="00167179">
      <w:pPr>
        <w:jc w:val="center"/>
        <w:rPr>
          <w:rFonts w:ascii="Times New Roman" w:hAnsi="Times New Roman"/>
          <w:i/>
          <w:sz w:val="24"/>
          <w:szCs w:val="24"/>
        </w:rPr>
      </w:pPr>
    </w:p>
    <w:p w14:paraId="4773CE8E" w14:textId="77777777" w:rsidR="00167179" w:rsidRPr="009F1E40" w:rsidRDefault="00167179" w:rsidP="00167179">
      <w:pPr>
        <w:jc w:val="center"/>
        <w:rPr>
          <w:rFonts w:ascii="Times New Roman" w:hAnsi="Times New Roman"/>
          <w:sz w:val="24"/>
          <w:szCs w:val="24"/>
        </w:rPr>
      </w:pPr>
      <w:r w:rsidRPr="009F1E40">
        <w:rPr>
          <w:rFonts w:ascii="Times New Roman" w:hAnsi="Times New Roman"/>
          <w:i/>
          <w:sz w:val="24"/>
          <w:szCs w:val="24"/>
        </w:rPr>
        <w:t>Prepared in accordance with Part 3 of the Human Rights (Parliamentary Scrutiny) Act 2011</w:t>
      </w:r>
    </w:p>
    <w:p w14:paraId="40C7ED3C" w14:textId="77777777" w:rsidR="00167179" w:rsidRPr="009F1E40" w:rsidRDefault="00167179" w:rsidP="00167179">
      <w:pPr>
        <w:jc w:val="center"/>
        <w:rPr>
          <w:rFonts w:ascii="Times New Roman" w:hAnsi="Times New Roman"/>
          <w:sz w:val="24"/>
          <w:szCs w:val="24"/>
        </w:rPr>
      </w:pPr>
    </w:p>
    <w:p w14:paraId="50E4F3DB" w14:textId="77777777" w:rsidR="00167179" w:rsidRPr="009F1E40" w:rsidRDefault="00A0482E" w:rsidP="00167179">
      <w:pPr>
        <w:jc w:val="center"/>
        <w:rPr>
          <w:rFonts w:ascii="Times New Roman" w:hAnsi="Times New Roman"/>
          <w:sz w:val="24"/>
          <w:szCs w:val="24"/>
        </w:rPr>
      </w:pPr>
      <w:r>
        <w:rPr>
          <w:rFonts w:ascii="Times New Roman" w:hAnsi="Times New Roman"/>
          <w:b/>
          <w:sz w:val="24"/>
          <w:szCs w:val="24"/>
        </w:rPr>
        <w:t xml:space="preserve">Other Grants Guidelines (Education) Amendment (No. 1) </w:t>
      </w:r>
      <w:r w:rsidR="00021638">
        <w:rPr>
          <w:rFonts w:ascii="Times New Roman" w:hAnsi="Times New Roman"/>
          <w:b/>
          <w:sz w:val="24"/>
          <w:szCs w:val="24"/>
        </w:rPr>
        <w:t>2020</w:t>
      </w:r>
      <w:r w:rsidR="00572AE4">
        <w:rPr>
          <w:rFonts w:ascii="Times New Roman" w:hAnsi="Times New Roman"/>
          <w:b/>
          <w:sz w:val="24"/>
          <w:szCs w:val="24"/>
        </w:rPr>
        <w:br/>
      </w:r>
    </w:p>
    <w:p w14:paraId="7A6C0953" w14:textId="77777777" w:rsidR="00167179" w:rsidRPr="009F1E40" w:rsidRDefault="00A0482E" w:rsidP="002933E8">
      <w:pPr>
        <w:rPr>
          <w:rFonts w:ascii="Times New Roman" w:hAnsi="Times New Roman"/>
          <w:sz w:val="24"/>
          <w:szCs w:val="24"/>
        </w:rPr>
      </w:pPr>
      <w:r w:rsidRPr="009F1E40">
        <w:rPr>
          <w:rFonts w:ascii="Times New Roman" w:hAnsi="Times New Roman"/>
          <w:sz w:val="24"/>
          <w:szCs w:val="24"/>
        </w:rPr>
        <w:t>Th</w:t>
      </w:r>
      <w:r>
        <w:rPr>
          <w:rFonts w:ascii="Times New Roman" w:hAnsi="Times New Roman"/>
          <w:sz w:val="24"/>
          <w:szCs w:val="24"/>
        </w:rPr>
        <w:t xml:space="preserve">e </w:t>
      </w:r>
      <w:r w:rsidRPr="002933E8">
        <w:rPr>
          <w:rFonts w:ascii="Times New Roman" w:hAnsi="Times New Roman"/>
          <w:i/>
          <w:sz w:val="24"/>
          <w:szCs w:val="24"/>
        </w:rPr>
        <w:t xml:space="preserve">Other Grants Guidelines (Education) Amendment (No. 1) </w:t>
      </w:r>
      <w:r w:rsidR="007A38BD" w:rsidRPr="002933E8">
        <w:rPr>
          <w:rFonts w:ascii="Times New Roman" w:hAnsi="Times New Roman"/>
          <w:i/>
          <w:sz w:val="24"/>
          <w:szCs w:val="24"/>
        </w:rPr>
        <w:t>2020</w:t>
      </w:r>
      <w:r w:rsidR="002933E8">
        <w:rPr>
          <w:rFonts w:ascii="Times New Roman" w:hAnsi="Times New Roman"/>
          <w:sz w:val="24"/>
          <w:szCs w:val="24"/>
        </w:rPr>
        <w:t xml:space="preserve"> (Amendment Instrument)</w:t>
      </w:r>
      <w:r w:rsidRPr="009F1E40">
        <w:rPr>
          <w:rFonts w:ascii="Times New Roman" w:hAnsi="Times New Roman"/>
          <w:sz w:val="24"/>
          <w:szCs w:val="24"/>
        </w:rPr>
        <w:t xml:space="preserve"> </w:t>
      </w:r>
      <w:r w:rsidR="00167179" w:rsidRPr="009F1E40">
        <w:rPr>
          <w:rFonts w:ascii="Times New Roman" w:hAnsi="Times New Roman"/>
          <w:sz w:val="24"/>
          <w:szCs w:val="24"/>
        </w:rPr>
        <w:t xml:space="preserve">is compatible with the human rights and freedoms recognised or declared in the international instruments listed in section 3 of the </w:t>
      </w:r>
      <w:r w:rsidR="00167179" w:rsidRPr="009F1E40">
        <w:rPr>
          <w:rFonts w:ascii="Times New Roman" w:hAnsi="Times New Roman"/>
          <w:i/>
          <w:sz w:val="24"/>
          <w:szCs w:val="24"/>
        </w:rPr>
        <w:t>Human Rights (Parliamentary Scrutiny) Act 2011</w:t>
      </w:r>
      <w:r w:rsidR="00167179" w:rsidRPr="009F1E40">
        <w:rPr>
          <w:rFonts w:ascii="Times New Roman" w:hAnsi="Times New Roman"/>
          <w:sz w:val="24"/>
          <w:szCs w:val="24"/>
        </w:rPr>
        <w:t>.</w:t>
      </w:r>
    </w:p>
    <w:p w14:paraId="1DAE9D28" w14:textId="77777777" w:rsidR="00167179" w:rsidRPr="009F1E40" w:rsidRDefault="00167179" w:rsidP="00167179">
      <w:pPr>
        <w:rPr>
          <w:rFonts w:ascii="Times New Roman" w:hAnsi="Times New Roman"/>
          <w:sz w:val="24"/>
          <w:szCs w:val="24"/>
        </w:rPr>
      </w:pPr>
    </w:p>
    <w:p w14:paraId="4ECFBF81" w14:textId="77777777" w:rsidR="00167179" w:rsidRPr="009F1E40" w:rsidRDefault="00167179" w:rsidP="00CC3873">
      <w:pPr>
        <w:keepNext/>
        <w:rPr>
          <w:rFonts w:ascii="Times New Roman" w:hAnsi="Times New Roman"/>
          <w:sz w:val="24"/>
          <w:szCs w:val="24"/>
        </w:rPr>
      </w:pPr>
      <w:r w:rsidRPr="009F1E40">
        <w:rPr>
          <w:rFonts w:ascii="Times New Roman" w:hAnsi="Times New Roman"/>
          <w:b/>
          <w:sz w:val="24"/>
          <w:szCs w:val="24"/>
        </w:rPr>
        <w:t>Overview of the Legislative Instrument</w:t>
      </w:r>
    </w:p>
    <w:p w14:paraId="12F285A4" w14:textId="77777777" w:rsidR="00167179" w:rsidRPr="009F1E40" w:rsidRDefault="00167179" w:rsidP="00167179">
      <w:pPr>
        <w:rPr>
          <w:rFonts w:ascii="Times New Roman" w:hAnsi="Times New Roman"/>
          <w:sz w:val="24"/>
          <w:szCs w:val="24"/>
        </w:rPr>
      </w:pPr>
    </w:p>
    <w:p w14:paraId="7CFDACE1" w14:textId="77777777" w:rsidR="00E461C5" w:rsidRDefault="00167179" w:rsidP="00E461C5">
      <w:pPr>
        <w:rPr>
          <w:rFonts w:ascii="Times New Roman" w:hAnsi="Times New Roman"/>
          <w:sz w:val="24"/>
          <w:szCs w:val="24"/>
        </w:rPr>
      </w:pPr>
      <w:r w:rsidRPr="009F1E40">
        <w:rPr>
          <w:rFonts w:ascii="Times New Roman" w:hAnsi="Times New Roman"/>
          <w:sz w:val="24"/>
          <w:szCs w:val="24"/>
        </w:rPr>
        <w:t xml:space="preserve">The </w:t>
      </w:r>
      <w:r w:rsidRPr="00CB1519">
        <w:rPr>
          <w:rFonts w:ascii="Times New Roman" w:hAnsi="Times New Roman"/>
          <w:i/>
          <w:sz w:val="24"/>
          <w:szCs w:val="24"/>
        </w:rPr>
        <w:t xml:space="preserve">Other Grants Guidelines (Education) </w:t>
      </w:r>
      <w:r w:rsidR="00474288" w:rsidRPr="00CB1519">
        <w:rPr>
          <w:rFonts w:ascii="Times New Roman" w:hAnsi="Times New Roman"/>
          <w:i/>
          <w:sz w:val="24"/>
          <w:szCs w:val="24"/>
        </w:rPr>
        <w:t>20</w:t>
      </w:r>
      <w:r w:rsidR="000B75F3" w:rsidRPr="00CB1519">
        <w:rPr>
          <w:rFonts w:ascii="Times New Roman" w:hAnsi="Times New Roman"/>
          <w:i/>
          <w:sz w:val="24"/>
          <w:szCs w:val="24"/>
        </w:rPr>
        <w:t>12</w:t>
      </w:r>
      <w:r w:rsidR="000B75F3">
        <w:rPr>
          <w:rFonts w:ascii="Times New Roman" w:hAnsi="Times New Roman"/>
          <w:sz w:val="24"/>
          <w:szCs w:val="24"/>
        </w:rPr>
        <w:t xml:space="preserve"> </w:t>
      </w:r>
      <w:r w:rsidRPr="009F1E40">
        <w:rPr>
          <w:rFonts w:ascii="Times New Roman" w:hAnsi="Times New Roman"/>
          <w:sz w:val="24"/>
          <w:szCs w:val="24"/>
        </w:rPr>
        <w:t>(</w:t>
      </w:r>
      <w:r w:rsidR="00E461C5">
        <w:rPr>
          <w:rFonts w:ascii="Times New Roman" w:hAnsi="Times New Roman"/>
          <w:sz w:val="24"/>
          <w:szCs w:val="24"/>
        </w:rPr>
        <w:t>Principal Instrument</w:t>
      </w:r>
      <w:r w:rsidRPr="009F1E40">
        <w:rPr>
          <w:rFonts w:ascii="Times New Roman" w:hAnsi="Times New Roman"/>
          <w:sz w:val="24"/>
          <w:szCs w:val="24"/>
        </w:rPr>
        <w:t xml:space="preserve">) </w:t>
      </w:r>
      <w:r w:rsidR="00E461C5">
        <w:rPr>
          <w:rFonts w:ascii="Times New Roman" w:hAnsi="Times New Roman"/>
          <w:sz w:val="24"/>
          <w:szCs w:val="24"/>
        </w:rPr>
        <w:t xml:space="preserve">sets out a number of programs under which grants may be provided in accordance with Part 2-3 of the </w:t>
      </w:r>
      <w:r w:rsidR="005C5760" w:rsidRPr="00CB1519">
        <w:rPr>
          <w:rFonts w:ascii="Times New Roman" w:hAnsi="Times New Roman"/>
          <w:i/>
          <w:sz w:val="24"/>
          <w:szCs w:val="24"/>
        </w:rPr>
        <w:t xml:space="preserve">Higher Education Support </w:t>
      </w:r>
      <w:r w:rsidR="00E461C5" w:rsidRPr="00CB1519">
        <w:rPr>
          <w:rFonts w:ascii="Times New Roman" w:hAnsi="Times New Roman"/>
          <w:i/>
          <w:sz w:val="24"/>
          <w:szCs w:val="24"/>
        </w:rPr>
        <w:t>Act</w:t>
      </w:r>
      <w:r w:rsidR="005C5760" w:rsidRPr="00CB1519">
        <w:rPr>
          <w:rFonts w:ascii="Times New Roman" w:hAnsi="Times New Roman"/>
          <w:i/>
          <w:sz w:val="24"/>
          <w:szCs w:val="24"/>
        </w:rPr>
        <w:t xml:space="preserve"> 2003</w:t>
      </w:r>
      <w:r w:rsidR="005C5760">
        <w:rPr>
          <w:rFonts w:ascii="Times New Roman" w:hAnsi="Times New Roman"/>
          <w:sz w:val="24"/>
          <w:szCs w:val="24"/>
        </w:rPr>
        <w:t xml:space="preserve"> (Act)</w:t>
      </w:r>
      <w:r w:rsidR="00E461C5">
        <w:rPr>
          <w:rFonts w:ascii="Times New Roman" w:hAnsi="Times New Roman"/>
          <w:sz w:val="24"/>
          <w:szCs w:val="24"/>
        </w:rPr>
        <w:t>. The Principal Instrument also sets out some conditions on grants made under the programs specified in the instrument.</w:t>
      </w:r>
    </w:p>
    <w:p w14:paraId="2ADE3ECF" w14:textId="77777777" w:rsidR="00E461C5" w:rsidRDefault="00E461C5" w:rsidP="00E461C5">
      <w:pPr>
        <w:rPr>
          <w:rFonts w:ascii="Times New Roman" w:hAnsi="Times New Roman"/>
          <w:sz w:val="24"/>
          <w:szCs w:val="24"/>
        </w:rPr>
      </w:pPr>
    </w:p>
    <w:p w14:paraId="2B1C4379" w14:textId="77777777" w:rsidR="001F092D" w:rsidRDefault="00E461C5" w:rsidP="00167179">
      <w:pPr>
        <w:rPr>
          <w:rFonts w:ascii="Times New Roman" w:hAnsi="Times New Roman"/>
          <w:sz w:val="24"/>
          <w:szCs w:val="24"/>
        </w:rPr>
      </w:pPr>
      <w:r>
        <w:rPr>
          <w:rFonts w:ascii="Times New Roman" w:hAnsi="Times New Roman"/>
          <w:sz w:val="24"/>
          <w:szCs w:val="24"/>
        </w:rPr>
        <w:t>The Amendment Instrument amends the Principal Instrument</w:t>
      </w:r>
      <w:r w:rsidR="006914A6">
        <w:rPr>
          <w:rFonts w:ascii="Times New Roman" w:hAnsi="Times New Roman"/>
          <w:sz w:val="24"/>
          <w:szCs w:val="24"/>
        </w:rPr>
        <w:t xml:space="preserve"> by inserting a new chapter that permits the allocation of grants that foster collaboration and reform in higher education. </w:t>
      </w:r>
      <w:r w:rsidR="001F092D">
        <w:rPr>
          <w:rFonts w:ascii="Times New Roman" w:hAnsi="Times New Roman"/>
          <w:sz w:val="24"/>
          <w:szCs w:val="24"/>
        </w:rPr>
        <w:t>The Amendment Instrument establishes one program under this chapter, the</w:t>
      </w:r>
      <w:r w:rsidR="006914A6">
        <w:rPr>
          <w:rFonts w:ascii="Times New Roman" w:hAnsi="Times New Roman"/>
          <w:sz w:val="24"/>
          <w:szCs w:val="24"/>
        </w:rPr>
        <w:t xml:space="preserve"> University </w:t>
      </w:r>
      <w:r w:rsidR="001F092D">
        <w:rPr>
          <w:rFonts w:ascii="Times New Roman" w:hAnsi="Times New Roman"/>
          <w:sz w:val="24"/>
          <w:szCs w:val="24"/>
        </w:rPr>
        <w:t xml:space="preserve">and Industry </w:t>
      </w:r>
      <w:r w:rsidR="00C1232A">
        <w:rPr>
          <w:rFonts w:ascii="Times New Roman" w:hAnsi="Times New Roman"/>
          <w:sz w:val="24"/>
          <w:szCs w:val="24"/>
        </w:rPr>
        <w:t xml:space="preserve">Collaboration </w:t>
      </w:r>
      <w:r w:rsidR="001F092D">
        <w:rPr>
          <w:rFonts w:ascii="Times New Roman" w:hAnsi="Times New Roman"/>
          <w:sz w:val="24"/>
          <w:szCs w:val="24"/>
        </w:rPr>
        <w:t>Program.</w:t>
      </w:r>
    </w:p>
    <w:p w14:paraId="76553C3D" w14:textId="77777777" w:rsidR="00167179" w:rsidRPr="009F1E40" w:rsidRDefault="00167179" w:rsidP="00167179">
      <w:pPr>
        <w:rPr>
          <w:rFonts w:ascii="Times New Roman" w:hAnsi="Times New Roman"/>
          <w:sz w:val="24"/>
          <w:szCs w:val="24"/>
        </w:rPr>
      </w:pPr>
    </w:p>
    <w:p w14:paraId="3EF4F4B5" w14:textId="77777777" w:rsidR="00167179" w:rsidRPr="009F1E40" w:rsidRDefault="00167179" w:rsidP="00CC3873">
      <w:pPr>
        <w:keepNext/>
        <w:rPr>
          <w:rFonts w:ascii="Times New Roman" w:hAnsi="Times New Roman"/>
          <w:sz w:val="24"/>
          <w:szCs w:val="24"/>
        </w:rPr>
      </w:pPr>
      <w:r w:rsidRPr="009F1E40">
        <w:rPr>
          <w:rFonts w:ascii="Times New Roman" w:hAnsi="Times New Roman"/>
          <w:b/>
          <w:sz w:val="24"/>
          <w:szCs w:val="24"/>
        </w:rPr>
        <w:t>Human rights implications</w:t>
      </w:r>
    </w:p>
    <w:p w14:paraId="565CAA08" w14:textId="77777777" w:rsidR="00167179" w:rsidRPr="009F1E40" w:rsidRDefault="00167179" w:rsidP="00167179">
      <w:pPr>
        <w:rPr>
          <w:rFonts w:ascii="Times New Roman" w:hAnsi="Times New Roman"/>
          <w:i/>
          <w:sz w:val="24"/>
          <w:szCs w:val="24"/>
        </w:rPr>
      </w:pPr>
    </w:p>
    <w:p w14:paraId="3BF3CC6C" w14:textId="77777777" w:rsidR="00167179" w:rsidRPr="009F1E40" w:rsidRDefault="00167179" w:rsidP="00167179">
      <w:pPr>
        <w:rPr>
          <w:rFonts w:ascii="Times New Roman" w:hAnsi="Times New Roman"/>
          <w:sz w:val="24"/>
          <w:szCs w:val="24"/>
        </w:rPr>
      </w:pPr>
      <w:r w:rsidRPr="009F1E40">
        <w:rPr>
          <w:rFonts w:ascii="Times New Roman" w:hAnsi="Times New Roman"/>
          <w:i/>
          <w:sz w:val="24"/>
          <w:szCs w:val="24"/>
        </w:rPr>
        <w:t>Right to education</w:t>
      </w:r>
    </w:p>
    <w:p w14:paraId="12F62B12" w14:textId="2FDB608D" w:rsidR="00AF6922" w:rsidRDefault="00E13FD0" w:rsidP="00AE3050">
      <w:pPr>
        <w:shd w:val="clear" w:color="auto" w:fill="FFFFFF"/>
        <w:spacing w:before="100" w:beforeAutospacing="1" w:after="100" w:afterAutospacing="1"/>
        <w:textAlignment w:val="top"/>
        <w:rPr>
          <w:rFonts w:ascii="Times New Roman" w:hAnsi="Times New Roman"/>
          <w:sz w:val="24"/>
          <w:szCs w:val="24"/>
        </w:rPr>
      </w:pPr>
      <w:r>
        <w:rPr>
          <w:rFonts w:ascii="Times New Roman" w:hAnsi="Times New Roman"/>
          <w:sz w:val="24"/>
          <w:szCs w:val="24"/>
        </w:rPr>
        <w:t xml:space="preserve">The Amendment Instrument </w:t>
      </w:r>
      <w:r w:rsidR="00D54985">
        <w:rPr>
          <w:rFonts w:ascii="Times New Roman" w:hAnsi="Times New Roman"/>
          <w:sz w:val="24"/>
          <w:szCs w:val="24"/>
        </w:rPr>
        <w:t xml:space="preserve">positively </w:t>
      </w:r>
      <w:r>
        <w:rPr>
          <w:rFonts w:ascii="Times New Roman" w:hAnsi="Times New Roman"/>
          <w:sz w:val="24"/>
          <w:szCs w:val="24"/>
        </w:rPr>
        <w:t>engages the right to</w:t>
      </w:r>
      <w:r w:rsidR="00822B22">
        <w:rPr>
          <w:rFonts w:ascii="Times New Roman" w:hAnsi="Times New Roman"/>
          <w:sz w:val="24"/>
          <w:szCs w:val="24"/>
        </w:rPr>
        <w:t xml:space="preserve"> education contained in Article 13 of the </w:t>
      </w:r>
      <w:r w:rsidR="00822B22" w:rsidRPr="009D0736">
        <w:rPr>
          <w:rFonts w:ascii="Times New Roman" w:hAnsi="Times New Roman"/>
          <w:sz w:val="24"/>
          <w:szCs w:val="24"/>
        </w:rPr>
        <w:t xml:space="preserve">International Covenant on Economic, Social and Cultural Rights </w:t>
      </w:r>
      <w:r w:rsidR="00822B22">
        <w:rPr>
          <w:rFonts w:ascii="Times New Roman" w:hAnsi="Times New Roman"/>
          <w:sz w:val="24"/>
          <w:szCs w:val="24"/>
        </w:rPr>
        <w:t xml:space="preserve">(1966) (ICESCR). </w:t>
      </w:r>
      <w:r w:rsidR="00246A8A">
        <w:rPr>
          <w:rFonts w:ascii="Times New Roman" w:hAnsi="Times New Roman"/>
          <w:sz w:val="24"/>
          <w:szCs w:val="24"/>
        </w:rPr>
        <w:t>In its General Comment on Article 13,</w:t>
      </w:r>
      <w:r w:rsidR="00445ECF">
        <w:rPr>
          <w:rFonts w:ascii="Times New Roman" w:hAnsi="Times New Roman"/>
          <w:sz w:val="24"/>
          <w:szCs w:val="24"/>
        </w:rPr>
        <w:t xml:space="preserve"> t</w:t>
      </w:r>
      <w:r w:rsidR="00822B22" w:rsidRPr="009D0736">
        <w:rPr>
          <w:rFonts w:ascii="Times New Roman" w:hAnsi="Times New Roman"/>
          <w:sz w:val="24"/>
          <w:szCs w:val="24"/>
        </w:rPr>
        <w:t>he UN Committee on Economic Social and Cultural Rights stated</w:t>
      </w:r>
      <w:r w:rsidR="000D5C7D">
        <w:rPr>
          <w:rFonts w:ascii="Times New Roman" w:hAnsi="Times New Roman"/>
          <w:sz w:val="24"/>
          <w:szCs w:val="24"/>
        </w:rPr>
        <w:t xml:space="preserve"> </w:t>
      </w:r>
      <w:r w:rsidR="00822B22" w:rsidRPr="009D0736">
        <w:rPr>
          <w:rFonts w:ascii="Times New Roman" w:hAnsi="Times New Roman"/>
          <w:sz w:val="24"/>
          <w:szCs w:val="24"/>
        </w:rPr>
        <w:t xml:space="preserve">that the right to education requires that functioning educational institutions and programs have to be available in sufficient quantity within a country. </w:t>
      </w:r>
      <w:r w:rsidR="00822B22">
        <w:rPr>
          <w:rFonts w:ascii="Times New Roman" w:hAnsi="Times New Roman"/>
          <w:sz w:val="24"/>
          <w:szCs w:val="24"/>
        </w:rPr>
        <w:t xml:space="preserve">The Amendment Instrument will </w:t>
      </w:r>
      <w:r w:rsidR="00246A8A">
        <w:rPr>
          <w:rFonts w:ascii="Times New Roman" w:hAnsi="Times New Roman"/>
          <w:sz w:val="24"/>
          <w:szCs w:val="24"/>
        </w:rPr>
        <w:t xml:space="preserve">directly </w:t>
      </w:r>
      <w:r w:rsidR="00822B22">
        <w:rPr>
          <w:rFonts w:ascii="Times New Roman" w:hAnsi="Times New Roman"/>
          <w:sz w:val="24"/>
          <w:szCs w:val="24"/>
        </w:rPr>
        <w:t>contribute to this requirement</w:t>
      </w:r>
      <w:r w:rsidR="00D54985">
        <w:rPr>
          <w:rFonts w:ascii="Times New Roman" w:hAnsi="Times New Roman"/>
          <w:sz w:val="24"/>
          <w:szCs w:val="24"/>
        </w:rPr>
        <w:t xml:space="preserve"> </w:t>
      </w:r>
      <w:r w:rsidR="00246A8A">
        <w:rPr>
          <w:rFonts w:ascii="Times New Roman" w:hAnsi="Times New Roman"/>
          <w:sz w:val="24"/>
          <w:szCs w:val="24"/>
        </w:rPr>
        <w:t xml:space="preserve">by </w:t>
      </w:r>
      <w:r w:rsidR="001E38FD">
        <w:rPr>
          <w:rFonts w:ascii="Times New Roman" w:hAnsi="Times New Roman"/>
          <w:sz w:val="24"/>
          <w:szCs w:val="24"/>
        </w:rPr>
        <w:t>assist</w:t>
      </w:r>
      <w:r w:rsidR="00246A8A">
        <w:rPr>
          <w:rFonts w:ascii="Times New Roman" w:hAnsi="Times New Roman"/>
          <w:sz w:val="24"/>
          <w:szCs w:val="24"/>
        </w:rPr>
        <w:t>ing</w:t>
      </w:r>
      <w:r w:rsidR="00D54985">
        <w:rPr>
          <w:rFonts w:ascii="Times New Roman" w:hAnsi="Times New Roman"/>
          <w:sz w:val="24"/>
          <w:szCs w:val="24"/>
        </w:rPr>
        <w:t xml:space="preserve"> more people to undertake higher ed</w:t>
      </w:r>
      <w:r w:rsidR="00CF79AA">
        <w:rPr>
          <w:rFonts w:ascii="Times New Roman" w:hAnsi="Times New Roman"/>
          <w:sz w:val="24"/>
          <w:szCs w:val="24"/>
        </w:rPr>
        <w:t>ucation</w:t>
      </w:r>
      <w:r w:rsidR="00822B22">
        <w:rPr>
          <w:rFonts w:ascii="Times New Roman" w:hAnsi="Times New Roman"/>
          <w:sz w:val="24"/>
          <w:szCs w:val="24"/>
        </w:rPr>
        <w:t>.</w:t>
      </w:r>
    </w:p>
    <w:p w14:paraId="2A5685BB" w14:textId="6636EC42" w:rsidR="00445ECF" w:rsidRDefault="00445ECF" w:rsidP="00085B15">
      <w:pPr>
        <w:rPr>
          <w:rFonts w:ascii="Times New Roman" w:hAnsi="Times New Roman"/>
          <w:i/>
          <w:sz w:val="24"/>
          <w:szCs w:val="24"/>
        </w:rPr>
      </w:pPr>
      <w:r w:rsidRPr="0078739E">
        <w:rPr>
          <w:rFonts w:ascii="Times New Roman" w:hAnsi="Times New Roman"/>
          <w:sz w:val="24"/>
          <w:szCs w:val="24"/>
        </w:rPr>
        <w:t>Further, in relation to article 13 (2) (c)-(d), State</w:t>
      </w:r>
      <w:r w:rsidR="00246A8A">
        <w:rPr>
          <w:rFonts w:ascii="Times New Roman" w:hAnsi="Times New Roman"/>
          <w:sz w:val="24"/>
          <w:szCs w:val="24"/>
        </w:rPr>
        <w:t>s</w:t>
      </w:r>
      <w:r w:rsidRPr="0078739E">
        <w:rPr>
          <w:rFonts w:ascii="Times New Roman" w:hAnsi="Times New Roman"/>
          <w:sz w:val="24"/>
          <w:szCs w:val="24"/>
        </w:rPr>
        <w:t xml:space="preserve"> </w:t>
      </w:r>
      <w:r w:rsidR="00246A8A">
        <w:rPr>
          <w:rFonts w:ascii="Times New Roman" w:hAnsi="Times New Roman"/>
          <w:sz w:val="24"/>
          <w:szCs w:val="24"/>
        </w:rPr>
        <w:t>P</w:t>
      </w:r>
      <w:r w:rsidRPr="0078739E">
        <w:rPr>
          <w:rFonts w:ascii="Times New Roman" w:hAnsi="Times New Roman"/>
          <w:sz w:val="24"/>
          <w:szCs w:val="24"/>
        </w:rPr>
        <w:t>art</w:t>
      </w:r>
      <w:r w:rsidR="00246A8A">
        <w:rPr>
          <w:rFonts w:ascii="Times New Roman" w:hAnsi="Times New Roman"/>
          <w:sz w:val="24"/>
          <w:szCs w:val="24"/>
        </w:rPr>
        <w:t>ies</w:t>
      </w:r>
      <w:r w:rsidRPr="0078739E">
        <w:rPr>
          <w:rFonts w:ascii="Times New Roman" w:hAnsi="Times New Roman"/>
          <w:sz w:val="24"/>
          <w:szCs w:val="24"/>
        </w:rPr>
        <w:t xml:space="preserve"> ha</w:t>
      </w:r>
      <w:r w:rsidR="00246A8A">
        <w:rPr>
          <w:rFonts w:ascii="Times New Roman" w:hAnsi="Times New Roman"/>
          <w:sz w:val="24"/>
          <w:szCs w:val="24"/>
        </w:rPr>
        <w:t>ve</w:t>
      </w:r>
      <w:r w:rsidRPr="0078739E">
        <w:rPr>
          <w:rFonts w:ascii="Times New Roman" w:hAnsi="Times New Roman"/>
          <w:sz w:val="24"/>
          <w:szCs w:val="24"/>
        </w:rPr>
        <w:t xml:space="preserve"> an immediate obligation "to take steps" (art</w:t>
      </w:r>
      <w:r w:rsidR="00EB6BBF">
        <w:rPr>
          <w:rFonts w:ascii="Times New Roman" w:hAnsi="Times New Roman"/>
          <w:sz w:val="24"/>
          <w:szCs w:val="24"/>
        </w:rPr>
        <w:t>icle</w:t>
      </w:r>
      <w:r w:rsidRPr="0078739E">
        <w:rPr>
          <w:rFonts w:ascii="Times New Roman" w:hAnsi="Times New Roman"/>
          <w:sz w:val="24"/>
          <w:szCs w:val="24"/>
        </w:rPr>
        <w:t xml:space="preserve"> 2 (1)) towards the full reali</w:t>
      </w:r>
      <w:r w:rsidR="00246A8A">
        <w:rPr>
          <w:rFonts w:ascii="Times New Roman" w:hAnsi="Times New Roman"/>
          <w:sz w:val="24"/>
          <w:szCs w:val="24"/>
        </w:rPr>
        <w:t>s</w:t>
      </w:r>
      <w:r w:rsidRPr="0078739E">
        <w:rPr>
          <w:rFonts w:ascii="Times New Roman" w:hAnsi="Times New Roman"/>
          <w:sz w:val="24"/>
          <w:szCs w:val="24"/>
        </w:rPr>
        <w:t xml:space="preserve">ation of higher and fundamental education for all those within its jurisdiction. At a minimum, </w:t>
      </w:r>
      <w:r>
        <w:rPr>
          <w:rFonts w:ascii="Times New Roman" w:hAnsi="Times New Roman"/>
          <w:sz w:val="24"/>
          <w:szCs w:val="24"/>
        </w:rPr>
        <w:t>States Parties are</w:t>
      </w:r>
      <w:r w:rsidRPr="0078739E">
        <w:rPr>
          <w:rFonts w:ascii="Times New Roman" w:hAnsi="Times New Roman"/>
          <w:sz w:val="24"/>
          <w:szCs w:val="24"/>
        </w:rPr>
        <w:t xml:space="preserve"> required to adopt and implement strategies which include the provision of higher education in accordance with</w:t>
      </w:r>
      <w:r w:rsidR="00EB6BBF">
        <w:rPr>
          <w:rFonts w:ascii="Times New Roman" w:hAnsi="Times New Roman"/>
          <w:sz w:val="24"/>
          <w:szCs w:val="24"/>
        </w:rPr>
        <w:t xml:space="preserve"> the</w:t>
      </w:r>
      <w:r w:rsidRPr="0078739E">
        <w:rPr>
          <w:rFonts w:ascii="Times New Roman" w:hAnsi="Times New Roman"/>
          <w:sz w:val="24"/>
          <w:szCs w:val="24"/>
        </w:rPr>
        <w:t xml:space="preserve"> </w:t>
      </w:r>
      <w:r>
        <w:rPr>
          <w:rFonts w:ascii="Times New Roman" w:hAnsi="Times New Roman"/>
          <w:sz w:val="24"/>
          <w:szCs w:val="24"/>
        </w:rPr>
        <w:t>ICESCR.</w:t>
      </w:r>
      <w:r w:rsidRPr="0078739E">
        <w:rPr>
          <w:rFonts w:ascii="Times New Roman" w:hAnsi="Times New Roman"/>
          <w:sz w:val="24"/>
          <w:szCs w:val="24"/>
        </w:rPr>
        <w:t xml:space="preserve"> The allocation of grants in furtherance of improvements and reforms to the higher education sector </w:t>
      </w:r>
      <w:r w:rsidR="00246A8A">
        <w:rPr>
          <w:rFonts w:ascii="Times New Roman" w:hAnsi="Times New Roman"/>
          <w:sz w:val="24"/>
          <w:szCs w:val="24"/>
        </w:rPr>
        <w:t>constitutes a</w:t>
      </w:r>
      <w:r w:rsidRPr="0078739E">
        <w:rPr>
          <w:rFonts w:ascii="Times New Roman" w:hAnsi="Times New Roman"/>
          <w:sz w:val="24"/>
          <w:szCs w:val="24"/>
        </w:rPr>
        <w:t xml:space="preserve"> concrete and targeted step towards the progressive realisation of the right to education in accordance with article 13 (2) (c)-(d) of </w:t>
      </w:r>
      <w:r w:rsidR="00EB6BBF">
        <w:rPr>
          <w:rFonts w:ascii="Times New Roman" w:hAnsi="Times New Roman"/>
          <w:sz w:val="24"/>
          <w:szCs w:val="24"/>
        </w:rPr>
        <w:t xml:space="preserve">the </w:t>
      </w:r>
      <w:r>
        <w:rPr>
          <w:rFonts w:ascii="Times New Roman" w:hAnsi="Times New Roman"/>
          <w:sz w:val="24"/>
          <w:szCs w:val="24"/>
        </w:rPr>
        <w:t>ICESCR</w:t>
      </w:r>
      <w:r w:rsidRPr="0078739E">
        <w:rPr>
          <w:rFonts w:ascii="Times New Roman" w:hAnsi="Times New Roman"/>
          <w:sz w:val="24"/>
          <w:szCs w:val="24"/>
        </w:rPr>
        <w:t xml:space="preserve"> which</w:t>
      </w:r>
      <w:r w:rsidR="00246A8A">
        <w:rPr>
          <w:rFonts w:ascii="Times New Roman" w:hAnsi="Times New Roman"/>
          <w:sz w:val="24"/>
          <w:szCs w:val="24"/>
        </w:rPr>
        <w:t xml:space="preserve"> relevantly</w:t>
      </w:r>
      <w:r w:rsidRPr="0078739E">
        <w:rPr>
          <w:rFonts w:ascii="Times New Roman" w:hAnsi="Times New Roman"/>
          <w:sz w:val="24"/>
          <w:szCs w:val="24"/>
        </w:rPr>
        <w:t xml:space="preserve"> includes the availability and accessibility of education in all its forms</w:t>
      </w:r>
      <w:r w:rsidR="00EB6BBF">
        <w:rPr>
          <w:rFonts w:ascii="Times New Roman" w:hAnsi="Times New Roman"/>
          <w:sz w:val="24"/>
          <w:szCs w:val="24"/>
        </w:rPr>
        <w:t>.</w:t>
      </w:r>
      <w:r w:rsidR="000D5C7D">
        <w:rPr>
          <w:rFonts w:ascii="Times New Roman" w:hAnsi="Times New Roman"/>
          <w:i/>
          <w:sz w:val="24"/>
          <w:szCs w:val="24"/>
        </w:rPr>
        <w:br/>
      </w:r>
    </w:p>
    <w:p w14:paraId="5455242F" w14:textId="77777777" w:rsidR="009D0736" w:rsidRPr="009D0736" w:rsidRDefault="009D0736" w:rsidP="00AE3050">
      <w:pPr>
        <w:shd w:val="clear" w:color="auto" w:fill="FFFFFF"/>
        <w:spacing w:before="100" w:beforeAutospacing="1" w:after="100" w:afterAutospacing="1"/>
        <w:textAlignment w:val="top"/>
        <w:rPr>
          <w:rFonts w:ascii="Times New Roman" w:hAnsi="Times New Roman"/>
          <w:i/>
          <w:sz w:val="24"/>
          <w:szCs w:val="24"/>
        </w:rPr>
      </w:pPr>
      <w:r>
        <w:rPr>
          <w:rFonts w:ascii="Times New Roman" w:hAnsi="Times New Roman"/>
          <w:i/>
          <w:sz w:val="24"/>
          <w:szCs w:val="24"/>
        </w:rPr>
        <w:t>Right to work</w:t>
      </w:r>
    </w:p>
    <w:p w14:paraId="615A0354" w14:textId="64128281" w:rsidR="00445ECF" w:rsidRDefault="009D0736" w:rsidP="001062DF">
      <w:pPr>
        <w:spacing w:before="120" w:after="120"/>
        <w:rPr>
          <w:rFonts w:ascii="Times New Roman" w:hAnsi="Times New Roman"/>
          <w:sz w:val="24"/>
          <w:szCs w:val="24"/>
        </w:rPr>
      </w:pPr>
      <w:r>
        <w:rPr>
          <w:rFonts w:ascii="Times New Roman" w:hAnsi="Times New Roman"/>
          <w:sz w:val="24"/>
          <w:szCs w:val="24"/>
        </w:rPr>
        <w:t xml:space="preserve">The Amendment Instrument positively engages the right to work contained in Article 6 of the ICESCR. </w:t>
      </w:r>
      <w:r w:rsidR="00445ECF" w:rsidRPr="0078739E">
        <w:rPr>
          <w:rFonts w:ascii="Times New Roman" w:hAnsi="Times New Roman"/>
          <w:sz w:val="24"/>
          <w:szCs w:val="24"/>
        </w:rPr>
        <w:t xml:space="preserve">The right to work, as guaranteed </w:t>
      </w:r>
      <w:r w:rsidR="00445ECF">
        <w:rPr>
          <w:rFonts w:ascii="Times New Roman" w:hAnsi="Times New Roman"/>
          <w:sz w:val="24"/>
          <w:szCs w:val="24"/>
        </w:rPr>
        <w:t>under</w:t>
      </w:r>
      <w:r w:rsidR="00445ECF" w:rsidRPr="0078739E">
        <w:rPr>
          <w:rFonts w:ascii="Times New Roman" w:hAnsi="Times New Roman"/>
          <w:sz w:val="24"/>
          <w:szCs w:val="24"/>
        </w:rPr>
        <w:t xml:space="preserve"> ICESCR, af</w:t>
      </w:r>
      <w:r w:rsidR="00445ECF" w:rsidRPr="00445ECF">
        <w:rPr>
          <w:rFonts w:ascii="Times New Roman" w:hAnsi="Times New Roman"/>
          <w:sz w:val="24"/>
          <w:szCs w:val="24"/>
        </w:rPr>
        <w:t>firms the obligation of States P</w:t>
      </w:r>
      <w:r w:rsidR="00445ECF" w:rsidRPr="0078739E">
        <w:rPr>
          <w:rFonts w:ascii="Times New Roman" w:hAnsi="Times New Roman"/>
          <w:sz w:val="24"/>
          <w:szCs w:val="24"/>
        </w:rPr>
        <w:t xml:space="preserve">arties to assure individuals their right to freely chosen or accepted work, </w:t>
      </w:r>
      <w:r w:rsidR="00246A8A">
        <w:rPr>
          <w:rFonts w:ascii="Times New Roman" w:hAnsi="Times New Roman"/>
          <w:sz w:val="24"/>
          <w:szCs w:val="24"/>
        </w:rPr>
        <w:t>including in recognition of</w:t>
      </w:r>
      <w:r w:rsidR="00445ECF" w:rsidRPr="0078739E">
        <w:rPr>
          <w:rFonts w:ascii="Times New Roman" w:hAnsi="Times New Roman"/>
          <w:sz w:val="24"/>
          <w:szCs w:val="24"/>
        </w:rPr>
        <w:t xml:space="preserve"> the importance of work for personal development and social and economic </w:t>
      </w:r>
      <w:r w:rsidR="00445ECF" w:rsidRPr="0078739E">
        <w:rPr>
          <w:rFonts w:ascii="Times New Roman" w:hAnsi="Times New Roman"/>
          <w:sz w:val="24"/>
          <w:szCs w:val="24"/>
        </w:rPr>
        <w:lastRenderedPageBreak/>
        <w:t xml:space="preserve">inclusion. International Labour Organization Convention No. 122 concerning Employment Policy (1964) speaks of “full, productive and freely chosen employment”, linking the obligation of States </w:t>
      </w:r>
      <w:r w:rsidR="00246A8A">
        <w:rPr>
          <w:rFonts w:ascii="Times New Roman" w:hAnsi="Times New Roman"/>
          <w:sz w:val="24"/>
          <w:szCs w:val="24"/>
        </w:rPr>
        <w:t>P</w:t>
      </w:r>
      <w:r w:rsidR="00445ECF" w:rsidRPr="0078739E">
        <w:rPr>
          <w:rFonts w:ascii="Times New Roman" w:hAnsi="Times New Roman"/>
          <w:sz w:val="24"/>
          <w:szCs w:val="24"/>
        </w:rPr>
        <w:t>arties to create the conditions for full employment, which include supporting and fostering higher education, technical and vocational education plans to facilitate access to employment.</w:t>
      </w:r>
    </w:p>
    <w:p w14:paraId="553E88B4" w14:textId="77777777" w:rsidR="000C3EFD" w:rsidRDefault="009D0736" w:rsidP="001062DF">
      <w:pPr>
        <w:spacing w:before="120" w:after="120"/>
        <w:rPr>
          <w:rFonts w:ascii="Times New Roman" w:hAnsi="Times New Roman"/>
          <w:sz w:val="24"/>
          <w:szCs w:val="24"/>
        </w:rPr>
      </w:pPr>
      <w:r>
        <w:rPr>
          <w:rFonts w:ascii="Times New Roman" w:hAnsi="Times New Roman"/>
          <w:sz w:val="24"/>
          <w:szCs w:val="24"/>
        </w:rPr>
        <w:t>The ICESCR provides that steps to be taken by a State</w:t>
      </w:r>
      <w:r w:rsidR="00EB6BBF">
        <w:rPr>
          <w:rFonts w:ascii="Times New Roman" w:hAnsi="Times New Roman"/>
          <w:sz w:val="24"/>
          <w:szCs w:val="24"/>
        </w:rPr>
        <w:t>s</w:t>
      </w:r>
      <w:r>
        <w:rPr>
          <w:rFonts w:ascii="Times New Roman" w:hAnsi="Times New Roman"/>
          <w:sz w:val="24"/>
          <w:szCs w:val="24"/>
        </w:rPr>
        <w:t xml:space="preserve"> Party to achieve the full realisation of the right to work includes technical guidance and vocational guidance and training programs, policies and techniques to achieve steady economic, social and cultural development and full and productive employment under conditions safeguarding fundamental and economic freedoms to the </w:t>
      </w:r>
      <w:r w:rsidRPr="003D39C8">
        <w:rPr>
          <w:rFonts w:ascii="Times New Roman" w:hAnsi="Times New Roman"/>
          <w:sz w:val="24"/>
          <w:szCs w:val="24"/>
        </w:rPr>
        <w:t xml:space="preserve">individual. </w:t>
      </w:r>
      <w:r w:rsidR="000C3EFD" w:rsidRPr="003D39C8">
        <w:rPr>
          <w:rFonts w:ascii="Times New Roman" w:hAnsi="Times New Roman"/>
          <w:sz w:val="24"/>
          <w:szCs w:val="24"/>
        </w:rPr>
        <w:t xml:space="preserve">The Amendment Instrument </w:t>
      </w:r>
      <w:r w:rsidR="003D39C8" w:rsidRPr="001062DF">
        <w:rPr>
          <w:rFonts w:ascii="Times New Roman" w:hAnsi="Times New Roman"/>
          <w:sz w:val="24"/>
          <w:szCs w:val="24"/>
        </w:rPr>
        <w:t>specifies the</w:t>
      </w:r>
      <w:r w:rsidR="000649E7" w:rsidRPr="003D39C8">
        <w:rPr>
          <w:rFonts w:ascii="Times New Roman" w:hAnsi="Times New Roman"/>
          <w:sz w:val="24"/>
          <w:szCs w:val="24"/>
        </w:rPr>
        <w:t xml:space="preserve"> </w:t>
      </w:r>
      <w:r w:rsidR="000C3EFD" w:rsidRPr="003D39C8">
        <w:rPr>
          <w:rFonts w:ascii="Times New Roman" w:hAnsi="Times New Roman"/>
          <w:sz w:val="24"/>
          <w:szCs w:val="24"/>
        </w:rPr>
        <w:t xml:space="preserve">University </w:t>
      </w:r>
      <w:r w:rsidR="000649E7" w:rsidRPr="003D39C8">
        <w:rPr>
          <w:rFonts w:ascii="Times New Roman" w:hAnsi="Times New Roman"/>
          <w:sz w:val="24"/>
          <w:szCs w:val="24"/>
        </w:rPr>
        <w:t xml:space="preserve">and Industry </w:t>
      </w:r>
      <w:r w:rsidR="00C1232A" w:rsidRPr="003D39C8">
        <w:rPr>
          <w:rFonts w:ascii="Times New Roman" w:hAnsi="Times New Roman"/>
          <w:sz w:val="24"/>
          <w:szCs w:val="24"/>
        </w:rPr>
        <w:t xml:space="preserve">Collaboration </w:t>
      </w:r>
      <w:r w:rsidR="000649E7" w:rsidRPr="003D39C8">
        <w:rPr>
          <w:rFonts w:ascii="Times New Roman" w:hAnsi="Times New Roman"/>
          <w:sz w:val="24"/>
          <w:szCs w:val="24"/>
        </w:rPr>
        <w:t>Program</w:t>
      </w:r>
      <w:r w:rsidR="003D39C8" w:rsidRPr="001062DF">
        <w:rPr>
          <w:rFonts w:ascii="Times New Roman" w:hAnsi="Times New Roman"/>
          <w:sz w:val="24"/>
          <w:szCs w:val="24"/>
        </w:rPr>
        <w:t xml:space="preserve"> for the purposes </w:t>
      </w:r>
      <w:r w:rsidR="003D39C8" w:rsidRPr="003D39C8">
        <w:rPr>
          <w:rFonts w:ascii="Times New Roman" w:hAnsi="Times New Roman"/>
          <w:bCs/>
          <w:color w:val="000000"/>
          <w:sz w:val="24"/>
          <w:szCs w:val="24"/>
        </w:rPr>
        <w:t xml:space="preserve">of </w:t>
      </w:r>
      <w:r w:rsidR="003D39C8">
        <w:rPr>
          <w:rFonts w:ascii="Times New Roman" w:hAnsi="Times New Roman"/>
          <w:bCs/>
          <w:color w:val="000000"/>
          <w:sz w:val="24"/>
          <w:szCs w:val="24"/>
        </w:rPr>
        <w:t>subsection </w:t>
      </w:r>
      <w:r w:rsidR="003D39C8" w:rsidRPr="000B6FAB">
        <w:rPr>
          <w:rFonts w:ascii="Times New Roman" w:hAnsi="Times New Roman"/>
          <w:bCs/>
          <w:color w:val="000000"/>
          <w:sz w:val="24"/>
          <w:szCs w:val="24"/>
        </w:rPr>
        <w:t>41‑10(1)</w:t>
      </w:r>
      <w:r w:rsidR="003D39C8">
        <w:rPr>
          <w:rFonts w:ascii="Times New Roman" w:hAnsi="Times New Roman"/>
          <w:bCs/>
          <w:color w:val="000000"/>
          <w:sz w:val="24"/>
          <w:szCs w:val="24"/>
        </w:rPr>
        <w:t xml:space="preserve"> of the Act, and specifies other matters for the purposes of Part 2-3 of the Act</w:t>
      </w:r>
      <w:r w:rsidR="003D39C8" w:rsidRPr="003D39C8">
        <w:rPr>
          <w:rFonts w:ascii="Times New Roman" w:hAnsi="Times New Roman"/>
          <w:bCs/>
          <w:color w:val="000000"/>
          <w:sz w:val="24"/>
          <w:szCs w:val="24"/>
        </w:rPr>
        <w:t>.</w:t>
      </w:r>
      <w:r w:rsidR="0094547E">
        <w:rPr>
          <w:rFonts w:ascii="Times New Roman" w:hAnsi="Times New Roman"/>
          <w:sz w:val="24"/>
          <w:szCs w:val="24"/>
        </w:rPr>
        <w:t xml:space="preserve"> </w:t>
      </w:r>
      <w:r w:rsidR="00AF6922">
        <w:rPr>
          <w:rFonts w:ascii="Times New Roman" w:hAnsi="Times New Roman"/>
          <w:sz w:val="24"/>
          <w:szCs w:val="24"/>
        </w:rPr>
        <w:t>The</w:t>
      </w:r>
      <w:r w:rsidR="0094547E">
        <w:rPr>
          <w:rFonts w:ascii="Times New Roman" w:hAnsi="Times New Roman"/>
          <w:sz w:val="24"/>
          <w:szCs w:val="24"/>
        </w:rPr>
        <w:t xml:space="preserve"> objective of this program is to permit the allocation </w:t>
      </w:r>
      <w:r w:rsidR="00904CE9">
        <w:rPr>
          <w:rFonts w:ascii="Times New Roman" w:hAnsi="Times New Roman"/>
          <w:sz w:val="24"/>
          <w:szCs w:val="24"/>
        </w:rPr>
        <w:t>of grants to</w:t>
      </w:r>
      <w:r w:rsidR="00AF6922">
        <w:rPr>
          <w:rFonts w:ascii="Times New Roman" w:hAnsi="Times New Roman"/>
          <w:sz w:val="24"/>
          <w:szCs w:val="24"/>
        </w:rPr>
        <w:t xml:space="preserve"> support</w:t>
      </w:r>
      <w:r w:rsidR="0094547E">
        <w:rPr>
          <w:rFonts w:ascii="Times New Roman" w:hAnsi="Times New Roman"/>
          <w:sz w:val="24"/>
          <w:szCs w:val="24"/>
        </w:rPr>
        <w:t xml:space="preserve"> recipient university providers to develop and deliver courses </w:t>
      </w:r>
      <w:r w:rsidR="00904CE9">
        <w:rPr>
          <w:rFonts w:ascii="Times New Roman" w:hAnsi="Times New Roman"/>
          <w:sz w:val="24"/>
          <w:szCs w:val="24"/>
        </w:rPr>
        <w:t>relating to future skills,</w:t>
      </w:r>
      <w:r w:rsidR="0094547E">
        <w:rPr>
          <w:rFonts w:ascii="Times New Roman" w:hAnsi="Times New Roman"/>
          <w:sz w:val="24"/>
          <w:szCs w:val="24"/>
        </w:rPr>
        <w:t xml:space="preserve"> with an emphasis on work integrated learni</w:t>
      </w:r>
      <w:r w:rsidR="00021638">
        <w:rPr>
          <w:rFonts w:ascii="Times New Roman" w:hAnsi="Times New Roman"/>
          <w:sz w:val="24"/>
          <w:szCs w:val="24"/>
        </w:rPr>
        <w:t>ng experiences and assessments</w:t>
      </w:r>
      <w:r w:rsidR="00445ECF">
        <w:rPr>
          <w:rFonts w:ascii="Times New Roman" w:hAnsi="Times New Roman"/>
          <w:sz w:val="24"/>
          <w:szCs w:val="24"/>
        </w:rPr>
        <w:t xml:space="preserve"> to promote and support access to employment opportunities</w:t>
      </w:r>
      <w:r w:rsidR="00021638">
        <w:rPr>
          <w:rFonts w:ascii="Times New Roman" w:hAnsi="Times New Roman"/>
          <w:sz w:val="24"/>
          <w:szCs w:val="24"/>
        </w:rPr>
        <w:t xml:space="preserve">. This program will contribute to steps expected to be taken by Australia, as </w:t>
      </w:r>
      <w:r w:rsidR="00804273">
        <w:rPr>
          <w:rFonts w:ascii="Times New Roman" w:hAnsi="Times New Roman"/>
          <w:sz w:val="24"/>
          <w:szCs w:val="24"/>
        </w:rPr>
        <w:t>a State Party to ICESCR, to</w:t>
      </w:r>
      <w:r w:rsidR="0094547E">
        <w:rPr>
          <w:rFonts w:ascii="Times New Roman" w:hAnsi="Times New Roman"/>
          <w:sz w:val="24"/>
          <w:szCs w:val="24"/>
        </w:rPr>
        <w:t xml:space="preserve"> </w:t>
      </w:r>
      <w:r w:rsidR="00021638">
        <w:rPr>
          <w:rFonts w:ascii="Times New Roman" w:hAnsi="Times New Roman"/>
          <w:sz w:val="24"/>
          <w:szCs w:val="24"/>
        </w:rPr>
        <w:t>achieve the full realisation</w:t>
      </w:r>
      <w:r w:rsidR="00804273">
        <w:rPr>
          <w:rFonts w:ascii="Times New Roman" w:hAnsi="Times New Roman"/>
          <w:sz w:val="24"/>
          <w:szCs w:val="24"/>
        </w:rPr>
        <w:t xml:space="preserve"> of the right to work as contained in Article 6 </w:t>
      </w:r>
      <w:r>
        <w:rPr>
          <w:rFonts w:ascii="Times New Roman" w:hAnsi="Times New Roman"/>
          <w:sz w:val="24"/>
          <w:szCs w:val="24"/>
        </w:rPr>
        <w:t xml:space="preserve">of the ICESCR. </w:t>
      </w:r>
      <w:r w:rsidR="00804273">
        <w:rPr>
          <w:rFonts w:ascii="Times New Roman" w:hAnsi="Times New Roman"/>
          <w:sz w:val="24"/>
          <w:szCs w:val="24"/>
        </w:rPr>
        <w:t xml:space="preserve"> </w:t>
      </w:r>
    </w:p>
    <w:p w14:paraId="72B3745A" w14:textId="77777777" w:rsidR="00167179" w:rsidRPr="009F1E40" w:rsidRDefault="00167179" w:rsidP="00167179">
      <w:pPr>
        <w:rPr>
          <w:rFonts w:ascii="Times New Roman" w:hAnsi="Times New Roman"/>
          <w:sz w:val="24"/>
          <w:szCs w:val="24"/>
        </w:rPr>
      </w:pPr>
    </w:p>
    <w:p w14:paraId="69839C06" w14:textId="77777777" w:rsidR="00167179" w:rsidRPr="009F1E40" w:rsidRDefault="00167179" w:rsidP="00CC3873">
      <w:pPr>
        <w:keepNext/>
        <w:rPr>
          <w:rFonts w:ascii="Times New Roman" w:hAnsi="Times New Roman"/>
          <w:b/>
          <w:sz w:val="24"/>
          <w:szCs w:val="24"/>
        </w:rPr>
      </w:pPr>
      <w:r w:rsidRPr="009F1E40">
        <w:rPr>
          <w:rFonts w:ascii="Times New Roman" w:hAnsi="Times New Roman"/>
          <w:b/>
          <w:sz w:val="24"/>
          <w:szCs w:val="24"/>
        </w:rPr>
        <w:t>Conclusion</w:t>
      </w:r>
    </w:p>
    <w:p w14:paraId="790591C8" w14:textId="77777777" w:rsidR="00167179" w:rsidRPr="009F1E40" w:rsidRDefault="00167179" w:rsidP="00167179">
      <w:pPr>
        <w:rPr>
          <w:rFonts w:ascii="Times New Roman" w:hAnsi="Times New Roman"/>
          <w:sz w:val="24"/>
          <w:szCs w:val="24"/>
        </w:rPr>
      </w:pPr>
    </w:p>
    <w:p w14:paraId="65B68C4E" w14:textId="35258999" w:rsidR="00167179" w:rsidRPr="009F1E40" w:rsidRDefault="00167179" w:rsidP="00167179">
      <w:pPr>
        <w:rPr>
          <w:rFonts w:ascii="Times New Roman" w:hAnsi="Times New Roman"/>
          <w:sz w:val="24"/>
          <w:szCs w:val="24"/>
        </w:rPr>
      </w:pPr>
      <w:r w:rsidRPr="009F1E40">
        <w:rPr>
          <w:rFonts w:ascii="Times New Roman" w:hAnsi="Times New Roman"/>
          <w:sz w:val="24"/>
          <w:szCs w:val="24"/>
        </w:rPr>
        <w:t xml:space="preserve">This </w:t>
      </w:r>
      <w:r w:rsidR="009D0736">
        <w:rPr>
          <w:rFonts w:ascii="Times New Roman" w:hAnsi="Times New Roman"/>
          <w:sz w:val="24"/>
          <w:szCs w:val="24"/>
        </w:rPr>
        <w:t>Amendment</w:t>
      </w:r>
      <w:r w:rsidRPr="009F1E40">
        <w:rPr>
          <w:rFonts w:ascii="Times New Roman" w:hAnsi="Times New Roman"/>
          <w:sz w:val="24"/>
          <w:szCs w:val="24"/>
        </w:rPr>
        <w:t xml:space="preserve"> Instrument is compatible with human rights because it advances</w:t>
      </w:r>
      <w:r w:rsidR="009D0736">
        <w:rPr>
          <w:rFonts w:ascii="Times New Roman" w:hAnsi="Times New Roman"/>
          <w:sz w:val="24"/>
          <w:szCs w:val="24"/>
        </w:rPr>
        <w:t xml:space="preserve"> the protection of human rights, including the right to education and the right to work. </w:t>
      </w:r>
    </w:p>
    <w:p w14:paraId="273186D8" w14:textId="77777777" w:rsidR="00167179" w:rsidRPr="009F1E40" w:rsidRDefault="00167179" w:rsidP="00167179">
      <w:pPr>
        <w:rPr>
          <w:rFonts w:ascii="Times New Roman" w:hAnsi="Times New Roman"/>
          <w:sz w:val="24"/>
          <w:szCs w:val="24"/>
        </w:rPr>
      </w:pPr>
    </w:p>
    <w:p w14:paraId="320EE5A2" w14:textId="77777777" w:rsidR="003735A9" w:rsidRPr="009F1E40" w:rsidRDefault="004E6233" w:rsidP="004F5E7B">
      <w:pPr>
        <w:jc w:val="center"/>
        <w:rPr>
          <w:rFonts w:ascii="Times New Roman" w:hAnsi="Times New Roman"/>
          <w:color w:val="000000"/>
          <w:sz w:val="24"/>
          <w:szCs w:val="24"/>
        </w:rPr>
      </w:pPr>
      <w:r>
        <w:rPr>
          <w:rFonts w:ascii="Times New Roman" w:hAnsi="Times New Roman"/>
          <w:b/>
          <w:sz w:val="24"/>
          <w:szCs w:val="24"/>
        </w:rPr>
        <w:t xml:space="preserve">Hon </w:t>
      </w:r>
      <w:r w:rsidR="009325F4">
        <w:rPr>
          <w:rFonts w:ascii="Times New Roman" w:hAnsi="Times New Roman"/>
          <w:b/>
          <w:sz w:val="24"/>
          <w:szCs w:val="24"/>
        </w:rPr>
        <w:t>Dan Tehan</w:t>
      </w:r>
      <w:r>
        <w:rPr>
          <w:rFonts w:ascii="Times New Roman" w:hAnsi="Times New Roman"/>
          <w:b/>
          <w:sz w:val="24"/>
          <w:szCs w:val="24"/>
        </w:rPr>
        <w:t xml:space="preserve"> MP</w:t>
      </w:r>
      <w:r w:rsidR="00167179" w:rsidRPr="009F1E40">
        <w:rPr>
          <w:rFonts w:ascii="Times New Roman" w:hAnsi="Times New Roman"/>
          <w:b/>
          <w:sz w:val="24"/>
          <w:szCs w:val="24"/>
        </w:rPr>
        <w:t xml:space="preserve">, Minister for </w:t>
      </w:r>
      <w:r w:rsidR="00474288" w:rsidRPr="009F1E40">
        <w:rPr>
          <w:rFonts w:ascii="Times New Roman" w:hAnsi="Times New Roman"/>
          <w:b/>
          <w:sz w:val="24"/>
          <w:szCs w:val="24"/>
        </w:rPr>
        <w:t xml:space="preserve">Education </w:t>
      </w:r>
    </w:p>
    <w:sectPr w:rsidR="003735A9" w:rsidRPr="009F1E40" w:rsidSect="00B4410E">
      <w:footerReference w:type="even" r:id="rId11"/>
      <w:footerReference w:type="default" r:id="rId12"/>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CAFAB" w14:textId="77777777" w:rsidR="00122411" w:rsidRDefault="00122411">
      <w:r>
        <w:separator/>
      </w:r>
    </w:p>
  </w:endnote>
  <w:endnote w:type="continuationSeparator" w:id="0">
    <w:p w14:paraId="79A5F658" w14:textId="77777777" w:rsidR="00122411" w:rsidRDefault="0012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CCEC" w14:textId="77777777" w:rsidR="006E0594" w:rsidRDefault="006E0594" w:rsidP="00E12A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2B5885" w14:textId="77777777" w:rsidR="006E0594" w:rsidRDefault="006E0594" w:rsidP="00E12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0FF14" w14:textId="24B6E75F" w:rsidR="006E0594" w:rsidRPr="00E12AEC" w:rsidRDefault="006E0594" w:rsidP="00E12AEC">
    <w:pPr>
      <w:pStyle w:val="Footer"/>
      <w:framePr w:wrap="around" w:vAnchor="text" w:hAnchor="margin" w:xAlign="right" w:y="1"/>
      <w:rPr>
        <w:rStyle w:val="PageNumber"/>
        <w:rFonts w:ascii="Times New Roman" w:hAnsi="Times New Roman"/>
      </w:rPr>
    </w:pPr>
    <w:r w:rsidRPr="00E12AEC">
      <w:rPr>
        <w:rStyle w:val="PageNumber"/>
        <w:rFonts w:ascii="Times New Roman" w:hAnsi="Times New Roman"/>
      </w:rPr>
      <w:fldChar w:fldCharType="begin"/>
    </w:r>
    <w:r w:rsidRPr="00E12AEC">
      <w:rPr>
        <w:rStyle w:val="PageNumber"/>
        <w:rFonts w:ascii="Times New Roman" w:hAnsi="Times New Roman"/>
      </w:rPr>
      <w:instrText xml:space="preserve">PAGE  </w:instrText>
    </w:r>
    <w:r w:rsidRPr="00E12AEC">
      <w:rPr>
        <w:rStyle w:val="PageNumber"/>
        <w:rFonts w:ascii="Times New Roman" w:hAnsi="Times New Roman"/>
      </w:rPr>
      <w:fldChar w:fldCharType="separate"/>
    </w:r>
    <w:r w:rsidR="003F08B6">
      <w:rPr>
        <w:rStyle w:val="PageNumber"/>
        <w:rFonts w:ascii="Times New Roman" w:hAnsi="Times New Roman"/>
        <w:noProof/>
      </w:rPr>
      <w:t>1</w:t>
    </w:r>
    <w:r w:rsidRPr="00E12AEC">
      <w:rPr>
        <w:rStyle w:val="PageNumber"/>
        <w:rFonts w:ascii="Times New Roman" w:hAnsi="Times New Roman"/>
      </w:rPr>
      <w:fldChar w:fldCharType="end"/>
    </w:r>
  </w:p>
  <w:p w14:paraId="522662DA" w14:textId="77777777" w:rsidR="006E0594" w:rsidRDefault="006E0594" w:rsidP="00E12A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FC3AD" w14:textId="77777777" w:rsidR="00122411" w:rsidRDefault="00122411">
      <w:r>
        <w:separator/>
      </w:r>
    </w:p>
  </w:footnote>
  <w:footnote w:type="continuationSeparator" w:id="0">
    <w:p w14:paraId="3948A66F" w14:textId="77777777" w:rsidR="00122411" w:rsidRDefault="00122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01E7"/>
    <w:multiLevelType w:val="hybridMultilevel"/>
    <w:tmpl w:val="4EAA67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51935CC"/>
    <w:multiLevelType w:val="multilevel"/>
    <w:tmpl w:val="298AF228"/>
    <w:lvl w:ilvl="0">
      <w:start w:val="1"/>
      <w:numFmt w:val="decimal"/>
      <w:lvlText w:val="%1"/>
      <w:lvlJc w:val="left"/>
      <w:pPr>
        <w:tabs>
          <w:tab w:val="num" w:pos="1140"/>
        </w:tabs>
        <w:ind w:left="1140" w:hanging="1140"/>
      </w:pPr>
      <w:rPr>
        <w:rFonts w:hint="default"/>
      </w:rPr>
    </w:lvl>
    <w:lvl w:ilvl="1">
      <w:start w:val="85"/>
      <w:numFmt w:val="decimal"/>
      <w:lvlText w:val="%1.%2"/>
      <w:lvlJc w:val="left"/>
      <w:pPr>
        <w:tabs>
          <w:tab w:val="num" w:pos="1140"/>
        </w:tabs>
        <w:ind w:left="1140" w:hanging="1140"/>
      </w:pPr>
      <w:rPr>
        <w:rFonts w:hint="default"/>
      </w:rPr>
    </w:lvl>
    <w:lvl w:ilvl="2">
      <w:start w:val="2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DC6E5A"/>
    <w:multiLevelType w:val="multilevel"/>
    <w:tmpl w:val="6F825BDA"/>
    <w:lvl w:ilvl="0">
      <w:start w:val="1"/>
      <w:numFmt w:val="decimal"/>
      <w:lvlText w:val="%1"/>
      <w:lvlJc w:val="left"/>
      <w:pPr>
        <w:tabs>
          <w:tab w:val="num" w:pos="600"/>
        </w:tabs>
        <w:ind w:left="600" w:hanging="600"/>
      </w:pPr>
      <w:rPr>
        <w:rFonts w:hint="default"/>
      </w:rPr>
    </w:lvl>
    <w:lvl w:ilvl="1">
      <w:start w:val="7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A57D3"/>
    <w:multiLevelType w:val="multilevel"/>
    <w:tmpl w:val="24564948"/>
    <w:lvl w:ilvl="0">
      <w:start w:val="1"/>
      <w:numFmt w:val="decimal"/>
      <w:lvlText w:val="%1"/>
      <w:lvlJc w:val="left"/>
      <w:pPr>
        <w:tabs>
          <w:tab w:val="num" w:pos="900"/>
        </w:tabs>
        <w:ind w:left="900" w:hanging="900"/>
      </w:pPr>
      <w:rPr>
        <w:rFonts w:hint="default"/>
      </w:rPr>
    </w:lvl>
    <w:lvl w:ilvl="1">
      <w:start w:val="6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1A0DEE"/>
    <w:multiLevelType w:val="multilevel"/>
    <w:tmpl w:val="2C7AC788"/>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8C266D"/>
    <w:multiLevelType w:val="multilevel"/>
    <w:tmpl w:val="C3B48742"/>
    <w:lvl w:ilvl="0">
      <w:start w:val="6"/>
      <w:numFmt w:val="decimal"/>
      <w:lvlText w:val="%1"/>
      <w:lvlJc w:val="left"/>
      <w:pPr>
        <w:tabs>
          <w:tab w:val="num" w:pos="1140"/>
        </w:tabs>
        <w:ind w:left="1140" w:hanging="1140"/>
      </w:pPr>
      <w:rPr>
        <w:rFonts w:hint="default"/>
      </w:rPr>
    </w:lvl>
    <w:lvl w:ilvl="1">
      <w:start w:val="2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77615F"/>
    <w:multiLevelType w:val="multilevel"/>
    <w:tmpl w:val="AE00C42A"/>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BD3845"/>
    <w:multiLevelType w:val="multilevel"/>
    <w:tmpl w:val="C71C131E"/>
    <w:lvl w:ilvl="0">
      <w:start w:val="1"/>
      <w:numFmt w:val="decimal"/>
      <w:lvlText w:val="%1"/>
      <w:lvlJc w:val="left"/>
      <w:pPr>
        <w:tabs>
          <w:tab w:val="num" w:pos="1140"/>
        </w:tabs>
        <w:ind w:left="1140" w:hanging="1140"/>
      </w:pPr>
      <w:rPr>
        <w:rFonts w:hint="default"/>
      </w:rPr>
    </w:lvl>
    <w:lvl w:ilvl="1">
      <w:start w:val="7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E828C8"/>
    <w:multiLevelType w:val="hybridMultilevel"/>
    <w:tmpl w:val="775804B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2835253F"/>
    <w:multiLevelType w:val="multilevel"/>
    <w:tmpl w:val="23F4AF92"/>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E71EC1"/>
    <w:multiLevelType w:val="hybridMultilevel"/>
    <w:tmpl w:val="0BB46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81BDC"/>
    <w:multiLevelType w:val="multilevel"/>
    <w:tmpl w:val="E4FADDC8"/>
    <w:lvl w:ilvl="0">
      <w:start w:val="6"/>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07371AA"/>
    <w:multiLevelType w:val="hybridMultilevel"/>
    <w:tmpl w:val="36F48BB6"/>
    <w:lvl w:ilvl="0" w:tplc="58460BCC">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011098"/>
    <w:multiLevelType w:val="hybridMultilevel"/>
    <w:tmpl w:val="9724B58C"/>
    <w:lvl w:ilvl="0" w:tplc="0C090001">
      <w:start w:val="1"/>
      <w:numFmt w:val="bullet"/>
      <w:lvlText w:val=""/>
      <w:lvlJc w:val="left"/>
      <w:pPr>
        <w:tabs>
          <w:tab w:val="num" w:pos="1260"/>
        </w:tabs>
        <w:ind w:left="1260" w:hanging="360"/>
      </w:pPr>
      <w:rPr>
        <w:rFonts w:ascii="Symbol" w:hAnsi="Symbol" w:hint="default"/>
      </w:rPr>
    </w:lvl>
    <w:lvl w:ilvl="1" w:tplc="0C090003">
      <w:start w:val="1"/>
      <w:numFmt w:val="decimal"/>
      <w:lvlText w:val="%2."/>
      <w:lvlJc w:val="left"/>
      <w:pPr>
        <w:tabs>
          <w:tab w:val="num" w:pos="1980"/>
        </w:tabs>
        <w:ind w:left="1980" w:hanging="360"/>
      </w:pPr>
    </w:lvl>
    <w:lvl w:ilvl="2" w:tplc="0C090005">
      <w:start w:val="1"/>
      <w:numFmt w:val="decimal"/>
      <w:lvlText w:val="%3."/>
      <w:lvlJc w:val="left"/>
      <w:pPr>
        <w:tabs>
          <w:tab w:val="num" w:pos="2700"/>
        </w:tabs>
        <w:ind w:left="2700" w:hanging="360"/>
      </w:pPr>
    </w:lvl>
    <w:lvl w:ilvl="3" w:tplc="0C090001">
      <w:start w:val="1"/>
      <w:numFmt w:val="decimal"/>
      <w:lvlText w:val="%4."/>
      <w:lvlJc w:val="left"/>
      <w:pPr>
        <w:tabs>
          <w:tab w:val="num" w:pos="3420"/>
        </w:tabs>
        <w:ind w:left="3420" w:hanging="360"/>
      </w:pPr>
    </w:lvl>
    <w:lvl w:ilvl="4" w:tplc="0C090003">
      <w:start w:val="1"/>
      <w:numFmt w:val="decimal"/>
      <w:lvlText w:val="%5."/>
      <w:lvlJc w:val="left"/>
      <w:pPr>
        <w:tabs>
          <w:tab w:val="num" w:pos="4140"/>
        </w:tabs>
        <w:ind w:left="4140" w:hanging="360"/>
      </w:pPr>
    </w:lvl>
    <w:lvl w:ilvl="5" w:tplc="0C090005">
      <w:start w:val="1"/>
      <w:numFmt w:val="decimal"/>
      <w:lvlText w:val="%6."/>
      <w:lvlJc w:val="left"/>
      <w:pPr>
        <w:tabs>
          <w:tab w:val="num" w:pos="4860"/>
        </w:tabs>
        <w:ind w:left="4860" w:hanging="360"/>
      </w:pPr>
    </w:lvl>
    <w:lvl w:ilvl="6" w:tplc="0C090001">
      <w:start w:val="1"/>
      <w:numFmt w:val="decimal"/>
      <w:lvlText w:val="%7."/>
      <w:lvlJc w:val="left"/>
      <w:pPr>
        <w:tabs>
          <w:tab w:val="num" w:pos="5580"/>
        </w:tabs>
        <w:ind w:left="5580" w:hanging="360"/>
      </w:pPr>
    </w:lvl>
    <w:lvl w:ilvl="7" w:tplc="0C090003">
      <w:start w:val="1"/>
      <w:numFmt w:val="decimal"/>
      <w:lvlText w:val="%8."/>
      <w:lvlJc w:val="left"/>
      <w:pPr>
        <w:tabs>
          <w:tab w:val="num" w:pos="6300"/>
        </w:tabs>
        <w:ind w:left="6300" w:hanging="360"/>
      </w:pPr>
    </w:lvl>
    <w:lvl w:ilvl="8" w:tplc="0C090005">
      <w:start w:val="1"/>
      <w:numFmt w:val="decimal"/>
      <w:lvlText w:val="%9."/>
      <w:lvlJc w:val="left"/>
      <w:pPr>
        <w:tabs>
          <w:tab w:val="num" w:pos="7020"/>
        </w:tabs>
        <w:ind w:left="7020" w:hanging="360"/>
      </w:pPr>
    </w:lvl>
  </w:abstractNum>
  <w:abstractNum w:abstractNumId="14" w15:restartNumberingAfterBreak="0">
    <w:nsid w:val="34BC431A"/>
    <w:multiLevelType w:val="hybridMultilevel"/>
    <w:tmpl w:val="08D66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8D4E75"/>
    <w:multiLevelType w:val="multilevel"/>
    <w:tmpl w:val="38B60EE6"/>
    <w:lvl w:ilvl="0">
      <w:start w:val="1"/>
      <w:numFmt w:val="decimal"/>
      <w:lvlText w:val="%1"/>
      <w:lvlJc w:val="left"/>
      <w:pPr>
        <w:tabs>
          <w:tab w:val="num" w:pos="1140"/>
        </w:tabs>
        <w:ind w:left="1140" w:hanging="1140"/>
      </w:pPr>
      <w:rPr>
        <w:rFonts w:hint="default"/>
      </w:rPr>
    </w:lvl>
    <w:lvl w:ilvl="1">
      <w:start w:val="95"/>
      <w:numFmt w:val="decimal"/>
      <w:lvlText w:val="%1.%2"/>
      <w:lvlJc w:val="left"/>
      <w:pPr>
        <w:tabs>
          <w:tab w:val="num" w:pos="1140"/>
        </w:tabs>
        <w:ind w:left="1140" w:hanging="1140"/>
      </w:pPr>
      <w:rPr>
        <w:rFonts w:hint="default"/>
      </w:rPr>
    </w:lvl>
    <w:lvl w:ilvl="2">
      <w:start w:val="1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A453FB"/>
    <w:multiLevelType w:val="hybridMultilevel"/>
    <w:tmpl w:val="283ABB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11C0D7B"/>
    <w:multiLevelType w:val="multilevel"/>
    <w:tmpl w:val="ACEA244A"/>
    <w:lvl w:ilvl="0">
      <w:start w:val="7"/>
      <w:numFmt w:val="decimal"/>
      <w:lvlText w:val="%1"/>
      <w:lvlJc w:val="left"/>
      <w:pPr>
        <w:tabs>
          <w:tab w:val="num" w:pos="1260"/>
        </w:tabs>
        <w:ind w:left="1260" w:hanging="1260"/>
      </w:pPr>
      <w:rPr>
        <w:rFonts w:hint="default"/>
      </w:rPr>
    </w:lvl>
    <w:lvl w:ilvl="1">
      <w:start w:val="30"/>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B45C3C"/>
    <w:multiLevelType w:val="hybridMultilevel"/>
    <w:tmpl w:val="6938F40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45C66E8D"/>
    <w:multiLevelType w:val="hybridMultilevel"/>
    <w:tmpl w:val="EBCA58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686160"/>
    <w:multiLevelType w:val="hybridMultilevel"/>
    <w:tmpl w:val="FC88732A"/>
    <w:lvl w:ilvl="0" w:tplc="3782FC10">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50A761EF"/>
    <w:multiLevelType w:val="multilevel"/>
    <w:tmpl w:val="8D103076"/>
    <w:lvl w:ilvl="0">
      <w:start w:val="1"/>
      <w:numFmt w:val="decimal"/>
      <w:lvlText w:val="%1"/>
      <w:lvlJc w:val="left"/>
      <w:pPr>
        <w:tabs>
          <w:tab w:val="num" w:pos="435"/>
        </w:tabs>
        <w:ind w:left="435" w:hanging="435"/>
      </w:pPr>
      <w:rPr>
        <w:rFonts w:hint="default"/>
      </w:rPr>
    </w:lvl>
    <w:lvl w:ilvl="1">
      <w:start w:val="8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211FCE"/>
    <w:multiLevelType w:val="multilevel"/>
    <w:tmpl w:val="B5FACA38"/>
    <w:lvl w:ilvl="0">
      <w:start w:val="1"/>
      <w:numFmt w:val="decimal"/>
      <w:lvlText w:val="%1"/>
      <w:lvlJc w:val="left"/>
      <w:pPr>
        <w:tabs>
          <w:tab w:val="num" w:pos="1140"/>
        </w:tabs>
        <w:ind w:left="1140" w:hanging="1140"/>
      </w:pPr>
      <w:rPr>
        <w:rFonts w:hint="default"/>
      </w:rPr>
    </w:lvl>
    <w:lvl w:ilvl="1">
      <w:start w:val="9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BA7BFA"/>
    <w:multiLevelType w:val="multilevel"/>
    <w:tmpl w:val="F0C8C412"/>
    <w:lvl w:ilvl="0">
      <w:start w:val="1"/>
      <w:numFmt w:val="decimal"/>
      <w:lvlText w:val="%1"/>
      <w:lvlJc w:val="left"/>
      <w:pPr>
        <w:tabs>
          <w:tab w:val="num" w:pos="900"/>
        </w:tabs>
        <w:ind w:left="900" w:hanging="900"/>
      </w:pPr>
      <w:rPr>
        <w:rFonts w:hint="default"/>
      </w:rPr>
    </w:lvl>
    <w:lvl w:ilvl="1">
      <w:start w:val="50"/>
      <w:numFmt w:val="decimal"/>
      <w:lvlText w:val="%1.%2"/>
      <w:lvlJc w:val="left"/>
      <w:pPr>
        <w:tabs>
          <w:tab w:val="num" w:pos="900"/>
        </w:tabs>
        <w:ind w:left="900" w:hanging="900"/>
      </w:pPr>
      <w:rPr>
        <w:rFonts w:hint="default"/>
      </w:rPr>
    </w:lvl>
    <w:lvl w:ilvl="2">
      <w:start w:val="1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5D050E9"/>
    <w:multiLevelType w:val="multilevel"/>
    <w:tmpl w:val="9DB4A740"/>
    <w:lvl w:ilvl="0">
      <w:start w:val="1"/>
      <w:numFmt w:val="decimal"/>
      <w:lvlText w:val="%1"/>
      <w:lvlJc w:val="left"/>
      <w:pPr>
        <w:tabs>
          <w:tab w:val="num" w:pos="1140"/>
        </w:tabs>
        <w:ind w:left="1140" w:hanging="1140"/>
      </w:pPr>
      <w:rPr>
        <w:rFonts w:hint="default"/>
      </w:rPr>
    </w:lvl>
    <w:lvl w:ilvl="1">
      <w:start w:val="7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8DD5EED"/>
    <w:multiLevelType w:val="multilevel"/>
    <w:tmpl w:val="FE80202A"/>
    <w:lvl w:ilvl="0">
      <w:start w:val="1"/>
      <w:numFmt w:val="decimal"/>
      <w:lvlText w:val="%1"/>
      <w:lvlJc w:val="left"/>
      <w:pPr>
        <w:ind w:left="672" w:hanging="672"/>
      </w:pPr>
      <w:rPr>
        <w:rFonts w:hint="default"/>
      </w:rPr>
    </w:lvl>
    <w:lvl w:ilvl="1">
      <w:start w:val="25"/>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2B5603"/>
    <w:multiLevelType w:val="hybridMultilevel"/>
    <w:tmpl w:val="022C93AE"/>
    <w:lvl w:ilvl="0" w:tplc="0C090001">
      <w:start w:val="1"/>
      <w:numFmt w:val="bullet"/>
      <w:lvlText w:val=""/>
      <w:lvlJc w:val="left"/>
      <w:pPr>
        <w:ind w:left="2081" w:hanging="360"/>
      </w:pPr>
      <w:rPr>
        <w:rFonts w:ascii="Symbol" w:hAnsi="Symbol" w:hint="default"/>
      </w:rPr>
    </w:lvl>
    <w:lvl w:ilvl="1" w:tplc="0C090003" w:tentative="1">
      <w:start w:val="1"/>
      <w:numFmt w:val="bullet"/>
      <w:lvlText w:val="o"/>
      <w:lvlJc w:val="left"/>
      <w:pPr>
        <w:ind w:left="2801" w:hanging="360"/>
      </w:pPr>
      <w:rPr>
        <w:rFonts w:ascii="Courier New" w:hAnsi="Courier New" w:cs="Courier New" w:hint="default"/>
      </w:rPr>
    </w:lvl>
    <w:lvl w:ilvl="2" w:tplc="0C090005" w:tentative="1">
      <w:start w:val="1"/>
      <w:numFmt w:val="bullet"/>
      <w:lvlText w:val=""/>
      <w:lvlJc w:val="left"/>
      <w:pPr>
        <w:ind w:left="3521" w:hanging="360"/>
      </w:pPr>
      <w:rPr>
        <w:rFonts w:ascii="Wingdings" w:hAnsi="Wingdings" w:hint="default"/>
      </w:rPr>
    </w:lvl>
    <w:lvl w:ilvl="3" w:tplc="0C090001" w:tentative="1">
      <w:start w:val="1"/>
      <w:numFmt w:val="bullet"/>
      <w:lvlText w:val=""/>
      <w:lvlJc w:val="left"/>
      <w:pPr>
        <w:ind w:left="4241" w:hanging="360"/>
      </w:pPr>
      <w:rPr>
        <w:rFonts w:ascii="Symbol" w:hAnsi="Symbol" w:hint="default"/>
      </w:rPr>
    </w:lvl>
    <w:lvl w:ilvl="4" w:tplc="0C090003" w:tentative="1">
      <w:start w:val="1"/>
      <w:numFmt w:val="bullet"/>
      <w:lvlText w:val="o"/>
      <w:lvlJc w:val="left"/>
      <w:pPr>
        <w:ind w:left="4961" w:hanging="360"/>
      </w:pPr>
      <w:rPr>
        <w:rFonts w:ascii="Courier New" w:hAnsi="Courier New" w:cs="Courier New" w:hint="default"/>
      </w:rPr>
    </w:lvl>
    <w:lvl w:ilvl="5" w:tplc="0C090005" w:tentative="1">
      <w:start w:val="1"/>
      <w:numFmt w:val="bullet"/>
      <w:lvlText w:val=""/>
      <w:lvlJc w:val="left"/>
      <w:pPr>
        <w:ind w:left="5681" w:hanging="360"/>
      </w:pPr>
      <w:rPr>
        <w:rFonts w:ascii="Wingdings" w:hAnsi="Wingdings" w:hint="default"/>
      </w:rPr>
    </w:lvl>
    <w:lvl w:ilvl="6" w:tplc="0C090001" w:tentative="1">
      <w:start w:val="1"/>
      <w:numFmt w:val="bullet"/>
      <w:lvlText w:val=""/>
      <w:lvlJc w:val="left"/>
      <w:pPr>
        <w:ind w:left="6401" w:hanging="360"/>
      </w:pPr>
      <w:rPr>
        <w:rFonts w:ascii="Symbol" w:hAnsi="Symbol" w:hint="default"/>
      </w:rPr>
    </w:lvl>
    <w:lvl w:ilvl="7" w:tplc="0C090003" w:tentative="1">
      <w:start w:val="1"/>
      <w:numFmt w:val="bullet"/>
      <w:lvlText w:val="o"/>
      <w:lvlJc w:val="left"/>
      <w:pPr>
        <w:ind w:left="7121" w:hanging="360"/>
      </w:pPr>
      <w:rPr>
        <w:rFonts w:ascii="Courier New" w:hAnsi="Courier New" w:cs="Courier New" w:hint="default"/>
      </w:rPr>
    </w:lvl>
    <w:lvl w:ilvl="8" w:tplc="0C090005" w:tentative="1">
      <w:start w:val="1"/>
      <w:numFmt w:val="bullet"/>
      <w:lvlText w:val=""/>
      <w:lvlJc w:val="left"/>
      <w:pPr>
        <w:ind w:left="7841" w:hanging="360"/>
      </w:pPr>
      <w:rPr>
        <w:rFonts w:ascii="Wingdings" w:hAnsi="Wingdings" w:hint="default"/>
      </w:rPr>
    </w:lvl>
  </w:abstractNum>
  <w:abstractNum w:abstractNumId="27" w15:restartNumberingAfterBreak="0">
    <w:nsid w:val="5E4D7F6A"/>
    <w:multiLevelType w:val="multilevel"/>
    <w:tmpl w:val="D0CE0B12"/>
    <w:lvl w:ilvl="0">
      <w:start w:val="1"/>
      <w:numFmt w:val="decimal"/>
      <w:lvlText w:val="%1"/>
      <w:lvlJc w:val="left"/>
      <w:pPr>
        <w:tabs>
          <w:tab w:val="num" w:pos="1140"/>
        </w:tabs>
        <w:ind w:left="1140" w:hanging="1140"/>
      </w:pPr>
      <w:rPr>
        <w:rFonts w:hint="default"/>
      </w:rPr>
    </w:lvl>
    <w:lvl w:ilvl="1">
      <w:start w:val="85"/>
      <w:numFmt w:val="decimal"/>
      <w:lvlText w:val="%1.%2"/>
      <w:lvlJc w:val="left"/>
      <w:pPr>
        <w:tabs>
          <w:tab w:val="num" w:pos="1140"/>
        </w:tabs>
        <w:ind w:left="1140" w:hanging="1140"/>
      </w:pPr>
      <w:rPr>
        <w:rFonts w:hint="default"/>
      </w:rPr>
    </w:lvl>
    <w:lvl w:ilvl="2">
      <w:start w:val="1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EF814BF"/>
    <w:multiLevelType w:val="hybridMultilevel"/>
    <w:tmpl w:val="174E4E56"/>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29" w15:restartNumberingAfterBreak="0">
    <w:nsid w:val="5F841B3B"/>
    <w:multiLevelType w:val="multilevel"/>
    <w:tmpl w:val="9BAC903C"/>
    <w:lvl w:ilvl="0">
      <w:start w:val="1"/>
      <w:numFmt w:val="decimal"/>
      <w:lvlText w:val="%1"/>
      <w:lvlJc w:val="left"/>
      <w:pPr>
        <w:tabs>
          <w:tab w:val="num" w:pos="570"/>
        </w:tabs>
        <w:ind w:left="570" w:hanging="570"/>
      </w:pPr>
      <w:rPr>
        <w:rFonts w:hint="default"/>
      </w:rPr>
    </w:lvl>
    <w:lvl w:ilvl="1">
      <w:start w:val="80"/>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1D874C9"/>
    <w:multiLevelType w:val="multilevel"/>
    <w:tmpl w:val="3A52EACC"/>
    <w:lvl w:ilvl="0">
      <w:start w:val="1"/>
      <w:numFmt w:val="decimal"/>
      <w:lvlText w:val="%1"/>
      <w:lvlJc w:val="left"/>
      <w:pPr>
        <w:tabs>
          <w:tab w:val="num" w:pos="1140"/>
        </w:tabs>
        <w:ind w:left="1140" w:hanging="1140"/>
      </w:pPr>
      <w:rPr>
        <w:rFonts w:hint="default"/>
      </w:rPr>
    </w:lvl>
    <w:lvl w:ilvl="1">
      <w:start w:val="75"/>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7A1684C"/>
    <w:multiLevelType w:val="multilevel"/>
    <w:tmpl w:val="EDC077B0"/>
    <w:lvl w:ilvl="0">
      <w:start w:val="6"/>
      <w:numFmt w:val="decimal"/>
      <w:lvlText w:val="%1"/>
      <w:lvlJc w:val="left"/>
      <w:pPr>
        <w:tabs>
          <w:tab w:val="num" w:pos="1140"/>
        </w:tabs>
        <w:ind w:left="1140" w:hanging="1140"/>
      </w:pPr>
      <w:rPr>
        <w:rFonts w:hint="default"/>
      </w:rPr>
    </w:lvl>
    <w:lvl w:ilvl="1">
      <w:start w:val="1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83F1344"/>
    <w:multiLevelType w:val="hybridMultilevel"/>
    <w:tmpl w:val="AD62FAE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6A4E7283"/>
    <w:multiLevelType w:val="hybridMultilevel"/>
    <w:tmpl w:val="B282AFCE"/>
    <w:lvl w:ilvl="0" w:tplc="0C090007">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6BCC4C49"/>
    <w:multiLevelType w:val="hybridMultilevel"/>
    <w:tmpl w:val="B9405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C458D1"/>
    <w:multiLevelType w:val="hybridMultilevel"/>
    <w:tmpl w:val="4A3E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5C23BB"/>
    <w:multiLevelType w:val="multilevel"/>
    <w:tmpl w:val="D9504CD2"/>
    <w:lvl w:ilvl="0">
      <w:start w:val="7"/>
      <w:numFmt w:val="decimal"/>
      <w:lvlText w:val="%1"/>
      <w:lvlJc w:val="left"/>
      <w:pPr>
        <w:tabs>
          <w:tab w:val="num" w:pos="1140"/>
        </w:tabs>
        <w:ind w:left="1140" w:hanging="1140"/>
      </w:pPr>
      <w:rPr>
        <w:rFonts w:hint="default"/>
      </w:rPr>
    </w:lvl>
    <w:lvl w:ilvl="1">
      <w:start w:val="3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8692E6F"/>
    <w:multiLevelType w:val="hybridMultilevel"/>
    <w:tmpl w:val="176C03D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8" w15:restartNumberingAfterBreak="0">
    <w:nsid w:val="7B9B2A8E"/>
    <w:multiLevelType w:val="hybridMultilevel"/>
    <w:tmpl w:val="D1D6B94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6B5B82"/>
    <w:multiLevelType w:val="hybridMultilevel"/>
    <w:tmpl w:val="852ECCC4"/>
    <w:lvl w:ilvl="0" w:tplc="0C090001">
      <w:start w:val="1"/>
      <w:numFmt w:val="bullet"/>
      <w:lvlText w:val=""/>
      <w:lvlJc w:val="left"/>
      <w:pPr>
        <w:ind w:left="180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15:restartNumberingAfterBreak="0">
    <w:nsid w:val="7C9E19E4"/>
    <w:multiLevelType w:val="multilevel"/>
    <w:tmpl w:val="03649418"/>
    <w:lvl w:ilvl="0">
      <w:start w:val="1"/>
      <w:numFmt w:val="decimal"/>
      <w:lvlText w:val="%1"/>
      <w:lvlJc w:val="left"/>
      <w:pPr>
        <w:tabs>
          <w:tab w:val="num" w:pos="360"/>
        </w:tabs>
        <w:ind w:left="360" w:hanging="360"/>
      </w:pPr>
      <w:rPr>
        <w:rFonts w:hint="default"/>
      </w:rPr>
    </w:lvl>
    <w:lvl w:ilvl="1">
      <w:start w:val="50"/>
      <w:numFmt w:val="decimal"/>
      <w:lvlText w:val="%1.%2"/>
      <w:lvlJc w:val="left"/>
      <w:pPr>
        <w:tabs>
          <w:tab w:val="num" w:pos="360"/>
        </w:tabs>
        <w:ind w:left="360" w:hanging="360"/>
      </w:pPr>
      <w:rPr>
        <w:rFonts w:hint="default"/>
      </w:rPr>
    </w:lvl>
    <w:lvl w:ilvl="2">
      <w:start w:val="2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CF3574E"/>
    <w:multiLevelType w:val="multilevel"/>
    <w:tmpl w:val="481A856C"/>
    <w:lvl w:ilvl="0">
      <w:start w:val="1"/>
      <w:numFmt w:val="decimal"/>
      <w:lvlText w:val="%1"/>
      <w:lvlJc w:val="left"/>
      <w:pPr>
        <w:tabs>
          <w:tab w:val="num" w:pos="900"/>
        </w:tabs>
        <w:ind w:left="900" w:hanging="900"/>
      </w:pPr>
      <w:rPr>
        <w:rFonts w:hint="default"/>
      </w:rPr>
    </w:lvl>
    <w:lvl w:ilvl="1">
      <w:start w:val="50"/>
      <w:numFmt w:val="decimal"/>
      <w:lvlText w:val="%1.%2"/>
      <w:lvlJc w:val="left"/>
      <w:pPr>
        <w:tabs>
          <w:tab w:val="num" w:pos="900"/>
        </w:tabs>
        <w:ind w:left="900" w:hanging="900"/>
      </w:pPr>
      <w:rPr>
        <w:rFonts w:hint="default"/>
      </w:rPr>
    </w:lvl>
    <w:lvl w:ilvl="2">
      <w:start w:val="2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41300C"/>
    <w:multiLevelType w:val="hybridMultilevel"/>
    <w:tmpl w:val="B6B01DFC"/>
    <w:lvl w:ilvl="0" w:tplc="A2062ACC">
      <w:start w:val="1"/>
      <w:numFmt w:val="lowerRoman"/>
      <w:lvlText w:val="(%1)"/>
      <w:lvlJc w:val="left"/>
      <w:pPr>
        <w:ind w:left="1800" w:hanging="360"/>
      </w:pPr>
      <w:rPr>
        <w:rFonts w:ascii="Arial" w:eastAsia="Times New Roman" w:hAnsi="Arial" w:cs="Times New Roman"/>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41"/>
  </w:num>
  <w:num w:numId="4">
    <w:abstractNumId w:val="38"/>
  </w:num>
  <w:num w:numId="5">
    <w:abstractNumId w:val="17"/>
  </w:num>
  <w:num w:numId="6">
    <w:abstractNumId w:val="36"/>
  </w:num>
  <w:num w:numId="7">
    <w:abstractNumId w:val="11"/>
  </w:num>
  <w:num w:numId="8">
    <w:abstractNumId w:val="31"/>
  </w:num>
  <w:num w:numId="9">
    <w:abstractNumId w:val="5"/>
  </w:num>
  <w:num w:numId="10">
    <w:abstractNumId w:val="23"/>
  </w:num>
  <w:num w:numId="11">
    <w:abstractNumId w:val="3"/>
  </w:num>
  <w:num w:numId="12">
    <w:abstractNumId w:val="24"/>
  </w:num>
  <w:num w:numId="13">
    <w:abstractNumId w:val="7"/>
  </w:num>
  <w:num w:numId="14">
    <w:abstractNumId w:val="30"/>
  </w:num>
  <w:num w:numId="15">
    <w:abstractNumId w:val="29"/>
  </w:num>
  <w:num w:numId="16">
    <w:abstractNumId w:val="21"/>
  </w:num>
  <w:num w:numId="17">
    <w:abstractNumId w:val="22"/>
  </w:num>
  <w:num w:numId="18">
    <w:abstractNumId w:val="15"/>
  </w:num>
  <w:num w:numId="19">
    <w:abstractNumId w:val="6"/>
  </w:num>
  <w:num w:numId="20">
    <w:abstractNumId w:val="4"/>
  </w:num>
  <w:num w:numId="21">
    <w:abstractNumId w:val="9"/>
  </w:num>
  <w:num w:numId="22">
    <w:abstractNumId w:val="40"/>
  </w:num>
  <w:num w:numId="23">
    <w:abstractNumId w:val="2"/>
  </w:num>
  <w:num w:numId="24">
    <w:abstractNumId w:val="27"/>
  </w:num>
  <w:num w:numId="25">
    <w:abstractNumId w:val="1"/>
  </w:num>
  <w:num w:numId="26">
    <w:abstractNumId w:val="14"/>
  </w:num>
  <w:num w:numId="27">
    <w:abstractNumId w:val="19"/>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3"/>
  </w:num>
  <w:num w:numId="31">
    <w:abstractNumId w:val="32"/>
  </w:num>
  <w:num w:numId="32">
    <w:abstractNumId w:val="8"/>
  </w:num>
  <w:num w:numId="33">
    <w:abstractNumId w:val="18"/>
  </w:num>
  <w:num w:numId="34">
    <w:abstractNumId w:val="20"/>
  </w:num>
  <w:num w:numId="35">
    <w:abstractNumId w:val="0"/>
  </w:num>
  <w:num w:numId="36">
    <w:abstractNumId w:val="37"/>
  </w:num>
  <w:num w:numId="37">
    <w:abstractNumId w:val="16"/>
  </w:num>
  <w:num w:numId="38">
    <w:abstractNumId w:val="12"/>
  </w:num>
  <w:num w:numId="39">
    <w:abstractNumId w:val="25"/>
  </w:num>
  <w:num w:numId="40">
    <w:abstractNumId w:val="42"/>
  </w:num>
  <w:num w:numId="41">
    <w:abstractNumId w:val="28"/>
  </w:num>
  <w:num w:numId="42">
    <w:abstractNumId w:val="26"/>
  </w:num>
  <w:num w:numId="43">
    <w:abstractNumId w:val="1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8988d6cc-8420-4ee9-b317-b5a513521ae1"/>
  </w:docVars>
  <w:rsids>
    <w:rsidRoot w:val="00B4410E"/>
    <w:rsid w:val="0000113E"/>
    <w:rsid w:val="000024CB"/>
    <w:rsid w:val="00002601"/>
    <w:rsid w:val="00002891"/>
    <w:rsid w:val="00004BE5"/>
    <w:rsid w:val="00005855"/>
    <w:rsid w:val="00005905"/>
    <w:rsid w:val="000143C0"/>
    <w:rsid w:val="000145E4"/>
    <w:rsid w:val="000157B4"/>
    <w:rsid w:val="00021638"/>
    <w:rsid w:val="00022CD8"/>
    <w:rsid w:val="00026C2A"/>
    <w:rsid w:val="0003008A"/>
    <w:rsid w:val="000317D3"/>
    <w:rsid w:val="00034F72"/>
    <w:rsid w:val="00036058"/>
    <w:rsid w:val="000362AF"/>
    <w:rsid w:val="0003696B"/>
    <w:rsid w:val="000369AE"/>
    <w:rsid w:val="00037D93"/>
    <w:rsid w:val="000406CF"/>
    <w:rsid w:val="00051650"/>
    <w:rsid w:val="00053C56"/>
    <w:rsid w:val="00054DEA"/>
    <w:rsid w:val="000552D1"/>
    <w:rsid w:val="00056D4E"/>
    <w:rsid w:val="000602E1"/>
    <w:rsid w:val="0006072E"/>
    <w:rsid w:val="00061351"/>
    <w:rsid w:val="0006138B"/>
    <w:rsid w:val="000614EA"/>
    <w:rsid w:val="000649E7"/>
    <w:rsid w:val="000652B2"/>
    <w:rsid w:val="0006678B"/>
    <w:rsid w:val="00070A19"/>
    <w:rsid w:val="00072E1C"/>
    <w:rsid w:val="00077359"/>
    <w:rsid w:val="000815AA"/>
    <w:rsid w:val="00081F64"/>
    <w:rsid w:val="000834F5"/>
    <w:rsid w:val="00083867"/>
    <w:rsid w:val="00085B15"/>
    <w:rsid w:val="00086288"/>
    <w:rsid w:val="0008637E"/>
    <w:rsid w:val="000876D9"/>
    <w:rsid w:val="0009037A"/>
    <w:rsid w:val="000917DA"/>
    <w:rsid w:val="0009191B"/>
    <w:rsid w:val="0009310E"/>
    <w:rsid w:val="00094008"/>
    <w:rsid w:val="00096193"/>
    <w:rsid w:val="0009740F"/>
    <w:rsid w:val="00097F4F"/>
    <w:rsid w:val="000A08A6"/>
    <w:rsid w:val="000A19B0"/>
    <w:rsid w:val="000A459B"/>
    <w:rsid w:val="000A46A1"/>
    <w:rsid w:val="000A4948"/>
    <w:rsid w:val="000A6471"/>
    <w:rsid w:val="000A76A9"/>
    <w:rsid w:val="000B0AC3"/>
    <w:rsid w:val="000B3218"/>
    <w:rsid w:val="000B47DD"/>
    <w:rsid w:val="000B62CD"/>
    <w:rsid w:val="000B6FAB"/>
    <w:rsid w:val="000B7179"/>
    <w:rsid w:val="000B75F3"/>
    <w:rsid w:val="000B7F18"/>
    <w:rsid w:val="000C14F5"/>
    <w:rsid w:val="000C1BD1"/>
    <w:rsid w:val="000C3EFD"/>
    <w:rsid w:val="000D0DD9"/>
    <w:rsid w:val="000D5C7D"/>
    <w:rsid w:val="000D7F2B"/>
    <w:rsid w:val="000E3D7F"/>
    <w:rsid w:val="000E6B52"/>
    <w:rsid w:val="000E6D9E"/>
    <w:rsid w:val="000E75D2"/>
    <w:rsid w:val="000F01B9"/>
    <w:rsid w:val="000F32A2"/>
    <w:rsid w:val="000F5BAA"/>
    <w:rsid w:val="000F5D19"/>
    <w:rsid w:val="0010191B"/>
    <w:rsid w:val="001030DF"/>
    <w:rsid w:val="001062DF"/>
    <w:rsid w:val="001065B2"/>
    <w:rsid w:val="001110A2"/>
    <w:rsid w:val="00112E79"/>
    <w:rsid w:val="00113F5E"/>
    <w:rsid w:val="00114603"/>
    <w:rsid w:val="00115679"/>
    <w:rsid w:val="00116102"/>
    <w:rsid w:val="0011717A"/>
    <w:rsid w:val="001200A1"/>
    <w:rsid w:val="00122411"/>
    <w:rsid w:val="001276A6"/>
    <w:rsid w:val="001350FF"/>
    <w:rsid w:val="00140B07"/>
    <w:rsid w:val="00141573"/>
    <w:rsid w:val="00142086"/>
    <w:rsid w:val="00142EC6"/>
    <w:rsid w:val="001436B2"/>
    <w:rsid w:val="00144E11"/>
    <w:rsid w:val="001458D6"/>
    <w:rsid w:val="00145C5C"/>
    <w:rsid w:val="0014758D"/>
    <w:rsid w:val="001526AB"/>
    <w:rsid w:val="00153524"/>
    <w:rsid w:val="001536D6"/>
    <w:rsid w:val="0015446F"/>
    <w:rsid w:val="00157BEF"/>
    <w:rsid w:val="0016655D"/>
    <w:rsid w:val="00167179"/>
    <w:rsid w:val="00170772"/>
    <w:rsid w:val="001710E5"/>
    <w:rsid w:val="001767B1"/>
    <w:rsid w:val="001814CD"/>
    <w:rsid w:val="0018284A"/>
    <w:rsid w:val="001843A0"/>
    <w:rsid w:val="001860BE"/>
    <w:rsid w:val="001863ED"/>
    <w:rsid w:val="00192590"/>
    <w:rsid w:val="001939D0"/>
    <w:rsid w:val="001944BB"/>
    <w:rsid w:val="0019508B"/>
    <w:rsid w:val="0019659C"/>
    <w:rsid w:val="001A2A36"/>
    <w:rsid w:val="001A32F2"/>
    <w:rsid w:val="001A355E"/>
    <w:rsid w:val="001A7E57"/>
    <w:rsid w:val="001B4A92"/>
    <w:rsid w:val="001B52DC"/>
    <w:rsid w:val="001C0E3C"/>
    <w:rsid w:val="001D1EDB"/>
    <w:rsid w:val="001D35E7"/>
    <w:rsid w:val="001D3DE0"/>
    <w:rsid w:val="001D5F2C"/>
    <w:rsid w:val="001D65CC"/>
    <w:rsid w:val="001E0F2A"/>
    <w:rsid w:val="001E37AA"/>
    <w:rsid w:val="001E38FD"/>
    <w:rsid w:val="001E565A"/>
    <w:rsid w:val="001F092D"/>
    <w:rsid w:val="001F0D9E"/>
    <w:rsid w:val="001F43AA"/>
    <w:rsid w:val="001F467A"/>
    <w:rsid w:val="0020076A"/>
    <w:rsid w:val="00201D53"/>
    <w:rsid w:val="002028EB"/>
    <w:rsid w:val="00206373"/>
    <w:rsid w:val="00207343"/>
    <w:rsid w:val="002100DD"/>
    <w:rsid w:val="00210C57"/>
    <w:rsid w:val="002112F7"/>
    <w:rsid w:val="00212375"/>
    <w:rsid w:val="002135D1"/>
    <w:rsid w:val="00214CC2"/>
    <w:rsid w:val="002150F7"/>
    <w:rsid w:val="00215C98"/>
    <w:rsid w:val="002179C7"/>
    <w:rsid w:val="00226B85"/>
    <w:rsid w:val="00226FC5"/>
    <w:rsid w:val="00231C76"/>
    <w:rsid w:val="00235974"/>
    <w:rsid w:val="00246A8A"/>
    <w:rsid w:val="00246CAE"/>
    <w:rsid w:val="002471E8"/>
    <w:rsid w:val="00251236"/>
    <w:rsid w:val="002512DC"/>
    <w:rsid w:val="0025347A"/>
    <w:rsid w:val="002553C8"/>
    <w:rsid w:val="002573B0"/>
    <w:rsid w:val="002574D0"/>
    <w:rsid w:val="002604AA"/>
    <w:rsid w:val="00260DF4"/>
    <w:rsid w:val="00263743"/>
    <w:rsid w:val="00263CF9"/>
    <w:rsid w:val="00265FFC"/>
    <w:rsid w:val="00266959"/>
    <w:rsid w:val="00266DA4"/>
    <w:rsid w:val="00266F3F"/>
    <w:rsid w:val="00274117"/>
    <w:rsid w:val="00281008"/>
    <w:rsid w:val="002859B5"/>
    <w:rsid w:val="002871AA"/>
    <w:rsid w:val="0029221F"/>
    <w:rsid w:val="00292C74"/>
    <w:rsid w:val="00293212"/>
    <w:rsid w:val="002933E8"/>
    <w:rsid w:val="0029487E"/>
    <w:rsid w:val="00294C5B"/>
    <w:rsid w:val="00295248"/>
    <w:rsid w:val="00297BBD"/>
    <w:rsid w:val="002A063D"/>
    <w:rsid w:val="002A5748"/>
    <w:rsid w:val="002A74DA"/>
    <w:rsid w:val="002B10C8"/>
    <w:rsid w:val="002B198D"/>
    <w:rsid w:val="002B525B"/>
    <w:rsid w:val="002B7129"/>
    <w:rsid w:val="002C1DD3"/>
    <w:rsid w:val="002C3895"/>
    <w:rsid w:val="002C3935"/>
    <w:rsid w:val="002C4BB9"/>
    <w:rsid w:val="002C5D44"/>
    <w:rsid w:val="002C6C2F"/>
    <w:rsid w:val="002D02E4"/>
    <w:rsid w:val="002D08C6"/>
    <w:rsid w:val="002D2C1B"/>
    <w:rsid w:val="002D3AF1"/>
    <w:rsid w:val="002D3EE2"/>
    <w:rsid w:val="002D67E4"/>
    <w:rsid w:val="002E19E7"/>
    <w:rsid w:val="002E259C"/>
    <w:rsid w:val="002E265A"/>
    <w:rsid w:val="002E3AE5"/>
    <w:rsid w:val="002E5923"/>
    <w:rsid w:val="002F03B3"/>
    <w:rsid w:val="002F3B9B"/>
    <w:rsid w:val="002F602A"/>
    <w:rsid w:val="002F6989"/>
    <w:rsid w:val="002F754C"/>
    <w:rsid w:val="00300618"/>
    <w:rsid w:val="003022DE"/>
    <w:rsid w:val="0030327A"/>
    <w:rsid w:val="00305B83"/>
    <w:rsid w:val="00305D2A"/>
    <w:rsid w:val="00310EF8"/>
    <w:rsid w:val="003113BC"/>
    <w:rsid w:val="0031220E"/>
    <w:rsid w:val="00316007"/>
    <w:rsid w:val="003173AE"/>
    <w:rsid w:val="00317A43"/>
    <w:rsid w:val="00320B6B"/>
    <w:rsid w:val="00320BB4"/>
    <w:rsid w:val="00321191"/>
    <w:rsid w:val="00325A5C"/>
    <w:rsid w:val="00325D8C"/>
    <w:rsid w:val="00330852"/>
    <w:rsid w:val="0033152A"/>
    <w:rsid w:val="00337B27"/>
    <w:rsid w:val="00340662"/>
    <w:rsid w:val="00341585"/>
    <w:rsid w:val="00344BAE"/>
    <w:rsid w:val="00345DF4"/>
    <w:rsid w:val="00351577"/>
    <w:rsid w:val="00355ABE"/>
    <w:rsid w:val="00355D13"/>
    <w:rsid w:val="00360598"/>
    <w:rsid w:val="00362B73"/>
    <w:rsid w:val="00362F84"/>
    <w:rsid w:val="0036532E"/>
    <w:rsid w:val="003658A8"/>
    <w:rsid w:val="00371D48"/>
    <w:rsid w:val="003720BE"/>
    <w:rsid w:val="003735A9"/>
    <w:rsid w:val="003735C7"/>
    <w:rsid w:val="00373F2E"/>
    <w:rsid w:val="003740DF"/>
    <w:rsid w:val="00374978"/>
    <w:rsid w:val="0037603D"/>
    <w:rsid w:val="00376FD9"/>
    <w:rsid w:val="0037730B"/>
    <w:rsid w:val="00381F6C"/>
    <w:rsid w:val="003831F6"/>
    <w:rsid w:val="003879DF"/>
    <w:rsid w:val="003917C8"/>
    <w:rsid w:val="003922E6"/>
    <w:rsid w:val="00393355"/>
    <w:rsid w:val="00394178"/>
    <w:rsid w:val="003A08BD"/>
    <w:rsid w:val="003A3F97"/>
    <w:rsid w:val="003A5E8A"/>
    <w:rsid w:val="003A68E9"/>
    <w:rsid w:val="003B350A"/>
    <w:rsid w:val="003B5950"/>
    <w:rsid w:val="003B5D73"/>
    <w:rsid w:val="003C0B31"/>
    <w:rsid w:val="003C17C1"/>
    <w:rsid w:val="003C38AE"/>
    <w:rsid w:val="003C39BC"/>
    <w:rsid w:val="003C4412"/>
    <w:rsid w:val="003C492D"/>
    <w:rsid w:val="003C565C"/>
    <w:rsid w:val="003D243A"/>
    <w:rsid w:val="003D39C8"/>
    <w:rsid w:val="003D3E20"/>
    <w:rsid w:val="003D49F0"/>
    <w:rsid w:val="003D5F97"/>
    <w:rsid w:val="003D6033"/>
    <w:rsid w:val="003D7FD5"/>
    <w:rsid w:val="003E2A43"/>
    <w:rsid w:val="003E4BDA"/>
    <w:rsid w:val="003E4EAC"/>
    <w:rsid w:val="003E517B"/>
    <w:rsid w:val="003E5522"/>
    <w:rsid w:val="003E75F0"/>
    <w:rsid w:val="003F01F9"/>
    <w:rsid w:val="003F0247"/>
    <w:rsid w:val="003F06E4"/>
    <w:rsid w:val="003F08B6"/>
    <w:rsid w:val="003F11FD"/>
    <w:rsid w:val="003F162A"/>
    <w:rsid w:val="003F16BE"/>
    <w:rsid w:val="003F1FDF"/>
    <w:rsid w:val="003F21AD"/>
    <w:rsid w:val="003F269A"/>
    <w:rsid w:val="003F2C73"/>
    <w:rsid w:val="003F2E0A"/>
    <w:rsid w:val="003F371E"/>
    <w:rsid w:val="003F618D"/>
    <w:rsid w:val="003F670B"/>
    <w:rsid w:val="003F74C1"/>
    <w:rsid w:val="004036F8"/>
    <w:rsid w:val="004104D3"/>
    <w:rsid w:val="004112F2"/>
    <w:rsid w:val="00413E47"/>
    <w:rsid w:val="004141DE"/>
    <w:rsid w:val="0041453E"/>
    <w:rsid w:val="00414E18"/>
    <w:rsid w:val="00415F06"/>
    <w:rsid w:val="004161BF"/>
    <w:rsid w:val="0042399B"/>
    <w:rsid w:val="00423B9D"/>
    <w:rsid w:val="0042576E"/>
    <w:rsid w:val="00426186"/>
    <w:rsid w:val="004300BE"/>
    <w:rsid w:val="00430EEF"/>
    <w:rsid w:val="00432BC2"/>
    <w:rsid w:val="00433005"/>
    <w:rsid w:val="0043353B"/>
    <w:rsid w:val="00436819"/>
    <w:rsid w:val="00436F36"/>
    <w:rsid w:val="00440E0F"/>
    <w:rsid w:val="00441187"/>
    <w:rsid w:val="00442C64"/>
    <w:rsid w:val="00445E9C"/>
    <w:rsid w:val="00445ECF"/>
    <w:rsid w:val="004476CE"/>
    <w:rsid w:val="004508DE"/>
    <w:rsid w:val="004522D4"/>
    <w:rsid w:val="0045367A"/>
    <w:rsid w:val="00456A26"/>
    <w:rsid w:val="00460647"/>
    <w:rsid w:val="00460C06"/>
    <w:rsid w:val="00461CD0"/>
    <w:rsid w:val="00462A2B"/>
    <w:rsid w:val="004634AB"/>
    <w:rsid w:val="00466835"/>
    <w:rsid w:val="00471DEA"/>
    <w:rsid w:val="00474288"/>
    <w:rsid w:val="0047662E"/>
    <w:rsid w:val="00477311"/>
    <w:rsid w:val="004776CC"/>
    <w:rsid w:val="004901C4"/>
    <w:rsid w:val="00490D3B"/>
    <w:rsid w:val="004922FC"/>
    <w:rsid w:val="00496CD6"/>
    <w:rsid w:val="004A378D"/>
    <w:rsid w:val="004A4B75"/>
    <w:rsid w:val="004B2633"/>
    <w:rsid w:val="004B4771"/>
    <w:rsid w:val="004B72D7"/>
    <w:rsid w:val="004B78C6"/>
    <w:rsid w:val="004B7C7E"/>
    <w:rsid w:val="004C3D1F"/>
    <w:rsid w:val="004C61F3"/>
    <w:rsid w:val="004D14EC"/>
    <w:rsid w:val="004D52CF"/>
    <w:rsid w:val="004E2722"/>
    <w:rsid w:val="004E5AB8"/>
    <w:rsid w:val="004E5CC6"/>
    <w:rsid w:val="004E5E84"/>
    <w:rsid w:val="004E6233"/>
    <w:rsid w:val="004F1099"/>
    <w:rsid w:val="004F14BB"/>
    <w:rsid w:val="004F2C6E"/>
    <w:rsid w:val="004F3365"/>
    <w:rsid w:val="004F5347"/>
    <w:rsid w:val="004F5C59"/>
    <w:rsid w:val="004F5E7B"/>
    <w:rsid w:val="0050017A"/>
    <w:rsid w:val="00501700"/>
    <w:rsid w:val="00502FF9"/>
    <w:rsid w:val="005036C5"/>
    <w:rsid w:val="005042C3"/>
    <w:rsid w:val="00505BEC"/>
    <w:rsid w:val="00505ED8"/>
    <w:rsid w:val="00506F02"/>
    <w:rsid w:val="00506FFD"/>
    <w:rsid w:val="00510A8A"/>
    <w:rsid w:val="00516EE2"/>
    <w:rsid w:val="005171F6"/>
    <w:rsid w:val="00520797"/>
    <w:rsid w:val="00521ED7"/>
    <w:rsid w:val="00523ABD"/>
    <w:rsid w:val="005272B8"/>
    <w:rsid w:val="005311B4"/>
    <w:rsid w:val="00533C72"/>
    <w:rsid w:val="00533F25"/>
    <w:rsid w:val="005340A7"/>
    <w:rsid w:val="00534A78"/>
    <w:rsid w:val="00536848"/>
    <w:rsid w:val="00543285"/>
    <w:rsid w:val="00543491"/>
    <w:rsid w:val="005445BF"/>
    <w:rsid w:val="005467AA"/>
    <w:rsid w:val="00552343"/>
    <w:rsid w:val="0055532B"/>
    <w:rsid w:val="00555359"/>
    <w:rsid w:val="005570FD"/>
    <w:rsid w:val="005624FE"/>
    <w:rsid w:val="00562581"/>
    <w:rsid w:val="005646A6"/>
    <w:rsid w:val="0056591E"/>
    <w:rsid w:val="00565E8C"/>
    <w:rsid w:val="00572943"/>
    <w:rsid w:val="00572AE4"/>
    <w:rsid w:val="005734E2"/>
    <w:rsid w:val="00573661"/>
    <w:rsid w:val="00577528"/>
    <w:rsid w:val="00577C85"/>
    <w:rsid w:val="00582D7D"/>
    <w:rsid w:val="00595A93"/>
    <w:rsid w:val="00596728"/>
    <w:rsid w:val="0059720E"/>
    <w:rsid w:val="00597E64"/>
    <w:rsid w:val="005A139F"/>
    <w:rsid w:val="005A247C"/>
    <w:rsid w:val="005A2E62"/>
    <w:rsid w:val="005A34B0"/>
    <w:rsid w:val="005A783C"/>
    <w:rsid w:val="005B449A"/>
    <w:rsid w:val="005B59BB"/>
    <w:rsid w:val="005B5A79"/>
    <w:rsid w:val="005B5B5E"/>
    <w:rsid w:val="005B5D03"/>
    <w:rsid w:val="005B5E17"/>
    <w:rsid w:val="005C0E9A"/>
    <w:rsid w:val="005C1BE1"/>
    <w:rsid w:val="005C1BE7"/>
    <w:rsid w:val="005C3E11"/>
    <w:rsid w:val="005C5760"/>
    <w:rsid w:val="005C7778"/>
    <w:rsid w:val="005D0537"/>
    <w:rsid w:val="005D236C"/>
    <w:rsid w:val="005D3613"/>
    <w:rsid w:val="005D4B77"/>
    <w:rsid w:val="005D575D"/>
    <w:rsid w:val="005D6BE0"/>
    <w:rsid w:val="005D78BB"/>
    <w:rsid w:val="005E02F8"/>
    <w:rsid w:val="005E63C3"/>
    <w:rsid w:val="005E6F49"/>
    <w:rsid w:val="005F6128"/>
    <w:rsid w:val="005F61E2"/>
    <w:rsid w:val="006141F0"/>
    <w:rsid w:val="006155B7"/>
    <w:rsid w:val="00617886"/>
    <w:rsid w:val="0062148A"/>
    <w:rsid w:val="006218CC"/>
    <w:rsid w:val="00624019"/>
    <w:rsid w:val="00630C54"/>
    <w:rsid w:val="006315D6"/>
    <w:rsid w:val="00635149"/>
    <w:rsid w:val="006354FC"/>
    <w:rsid w:val="006363FA"/>
    <w:rsid w:val="00637657"/>
    <w:rsid w:val="006529D4"/>
    <w:rsid w:val="0065442C"/>
    <w:rsid w:val="00654E10"/>
    <w:rsid w:val="006555BD"/>
    <w:rsid w:val="00655E71"/>
    <w:rsid w:val="00656E0D"/>
    <w:rsid w:val="00660A90"/>
    <w:rsid w:val="006649A6"/>
    <w:rsid w:val="00665A48"/>
    <w:rsid w:val="00666841"/>
    <w:rsid w:val="00667C32"/>
    <w:rsid w:val="00673205"/>
    <w:rsid w:val="006757C7"/>
    <w:rsid w:val="00680E7F"/>
    <w:rsid w:val="006828EB"/>
    <w:rsid w:val="00683A4F"/>
    <w:rsid w:val="00685EFD"/>
    <w:rsid w:val="006871C8"/>
    <w:rsid w:val="006914A6"/>
    <w:rsid w:val="00693E6E"/>
    <w:rsid w:val="00694455"/>
    <w:rsid w:val="006946A6"/>
    <w:rsid w:val="00697CA3"/>
    <w:rsid w:val="006A0A52"/>
    <w:rsid w:val="006A197C"/>
    <w:rsid w:val="006A2896"/>
    <w:rsid w:val="006A465D"/>
    <w:rsid w:val="006A52CE"/>
    <w:rsid w:val="006A56CA"/>
    <w:rsid w:val="006A6D71"/>
    <w:rsid w:val="006B1253"/>
    <w:rsid w:val="006B1C89"/>
    <w:rsid w:val="006C0CD3"/>
    <w:rsid w:val="006C2378"/>
    <w:rsid w:val="006C2A0F"/>
    <w:rsid w:val="006C620A"/>
    <w:rsid w:val="006D0EE0"/>
    <w:rsid w:val="006D76CB"/>
    <w:rsid w:val="006E0594"/>
    <w:rsid w:val="006E2754"/>
    <w:rsid w:val="006E4C3D"/>
    <w:rsid w:val="006E5389"/>
    <w:rsid w:val="006E5CFF"/>
    <w:rsid w:val="006F086B"/>
    <w:rsid w:val="006F2306"/>
    <w:rsid w:val="006F3277"/>
    <w:rsid w:val="006F6F07"/>
    <w:rsid w:val="00702ACB"/>
    <w:rsid w:val="00710702"/>
    <w:rsid w:val="00710EC1"/>
    <w:rsid w:val="00711EBB"/>
    <w:rsid w:val="00712455"/>
    <w:rsid w:val="00712497"/>
    <w:rsid w:val="0071686E"/>
    <w:rsid w:val="00716921"/>
    <w:rsid w:val="0071750F"/>
    <w:rsid w:val="00721CC2"/>
    <w:rsid w:val="00723CD9"/>
    <w:rsid w:val="00724DCC"/>
    <w:rsid w:val="007260A0"/>
    <w:rsid w:val="0072785B"/>
    <w:rsid w:val="007303BD"/>
    <w:rsid w:val="0073103A"/>
    <w:rsid w:val="007320F1"/>
    <w:rsid w:val="00734459"/>
    <w:rsid w:val="00737AB0"/>
    <w:rsid w:val="00737B46"/>
    <w:rsid w:val="00740B80"/>
    <w:rsid w:val="00742E74"/>
    <w:rsid w:val="00745F8A"/>
    <w:rsid w:val="007513BF"/>
    <w:rsid w:val="00757C77"/>
    <w:rsid w:val="0076054D"/>
    <w:rsid w:val="00760561"/>
    <w:rsid w:val="0076416B"/>
    <w:rsid w:val="00764A65"/>
    <w:rsid w:val="0076583B"/>
    <w:rsid w:val="00766386"/>
    <w:rsid w:val="007663FF"/>
    <w:rsid w:val="00767834"/>
    <w:rsid w:val="00771ADC"/>
    <w:rsid w:val="007725C1"/>
    <w:rsid w:val="0077554A"/>
    <w:rsid w:val="00775F4E"/>
    <w:rsid w:val="0077610B"/>
    <w:rsid w:val="0077696E"/>
    <w:rsid w:val="00776A40"/>
    <w:rsid w:val="00780FB6"/>
    <w:rsid w:val="00782788"/>
    <w:rsid w:val="00782F3A"/>
    <w:rsid w:val="00783975"/>
    <w:rsid w:val="00784904"/>
    <w:rsid w:val="007850AA"/>
    <w:rsid w:val="00786222"/>
    <w:rsid w:val="00786297"/>
    <w:rsid w:val="0079140A"/>
    <w:rsid w:val="00792211"/>
    <w:rsid w:val="00793D7D"/>
    <w:rsid w:val="00794952"/>
    <w:rsid w:val="007970C2"/>
    <w:rsid w:val="007A314F"/>
    <w:rsid w:val="007A38BD"/>
    <w:rsid w:val="007A3971"/>
    <w:rsid w:val="007A5662"/>
    <w:rsid w:val="007A663C"/>
    <w:rsid w:val="007A6B0E"/>
    <w:rsid w:val="007B4203"/>
    <w:rsid w:val="007C1AD8"/>
    <w:rsid w:val="007C5778"/>
    <w:rsid w:val="007C616B"/>
    <w:rsid w:val="007C7C20"/>
    <w:rsid w:val="007D136F"/>
    <w:rsid w:val="007D1EB4"/>
    <w:rsid w:val="007D2C37"/>
    <w:rsid w:val="007D4C77"/>
    <w:rsid w:val="007D59A4"/>
    <w:rsid w:val="007D6509"/>
    <w:rsid w:val="007D7746"/>
    <w:rsid w:val="007D7DA4"/>
    <w:rsid w:val="007E3F11"/>
    <w:rsid w:val="007E4D89"/>
    <w:rsid w:val="007E7046"/>
    <w:rsid w:val="007F1630"/>
    <w:rsid w:val="007F1F1D"/>
    <w:rsid w:val="007F2C12"/>
    <w:rsid w:val="007F2EEF"/>
    <w:rsid w:val="007F76BD"/>
    <w:rsid w:val="00804273"/>
    <w:rsid w:val="00804F14"/>
    <w:rsid w:val="008068FA"/>
    <w:rsid w:val="00811BFF"/>
    <w:rsid w:val="00814880"/>
    <w:rsid w:val="008215B9"/>
    <w:rsid w:val="00822B22"/>
    <w:rsid w:val="00824D96"/>
    <w:rsid w:val="008250CF"/>
    <w:rsid w:val="00832F5B"/>
    <w:rsid w:val="00835004"/>
    <w:rsid w:val="00836714"/>
    <w:rsid w:val="008412A4"/>
    <w:rsid w:val="008440BC"/>
    <w:rsid w:val="008515D3"/>
    <w:rsid w:val="00851FAF"/>
    <w:rsid w:val="00857460"/>
    <w:rsid w:val="00857DE0"/>
    <w:rsid w:val="00861338"/>
    <w:rsid w:val="008613DD"/>
    <w:rsid w:val="00861776"/>
    <w:rsid w:val="0086329F"/>
    <w:rsid w:val="00863D4A"/>
    <w:rsid w:val="008656F8"/>
    <w:rsid w:val="0087057D"/>
    <w:rsid w:val="0087388C"/>
    <w:rsid w:val="008739B1"/>
    <w:rsid w:val="0088176E"/>
    <w:rsid w:val="008834C0"/>
    <w:rsid w:val="008914F2"/>
    <w:rsid w:val="008941C6"/>
    <w:rsid w:val="008A19A3"/>
    <w:rsid w:val="008A732E"/>
    <w:rsid w:val="008B08F1"/>
    <w:rsid w:val="008B0D9B"/>
    <w:rsid w:val="008B114C"/>
    <w:rsid w:val="008B5019"/>
    <w:rsid w:val="008C285F"/>
    <w:rsid w:val="008C73BA"/>
    <w:rsid w:val="008C7B69"/>
    <w:rsid w:val="008D177B"/>
    <w:rsid w:val="008D49E3"/>
    <w:rsid w:val="008D6CEC"/>
    <w:rsid w:val="008E12AB"/>
    <w:rsid w:val="008E3C70"/>
    <w:rsid w:val="008E49EA"/>
    <w:rsid w:val="008E5C9C"/>
    <w:rsid w:val="008E7CEA"/>
    <w:rsid w:val="008F02E8"/>
    <w:rsid w:val="008F0A8F"/>
    <w:rsid w:val="008F194F"/>
    <w:rsid w:val="008F346A"/>
    <w:rsid w:val="008F71A9"/>
    <w:rsid w:val="008F747E"/>
    <w:rsid w:val="009011E5"/>
    <w:rsid w:val="00904CE9"/>
    <w:rsid w:val="00907E82"/>
    <w:rsid w:val="00910E42"/>
    <w:rsid w:val="00913564"/>
    <w:rsid w:val="00915A2A"/>
    <w:rsid w:val="00916496"/>
    <w:rsid w:val="00917873"/>
    <w:rsid w:val="00917D89"/>
    <w:rsid w:val="0092140B"/>
    <w:rsid w:val="00923591"/>
    <w:rsid w:val="0092682E"/>
    <w:rsid w:val="009311EF"/>
    <w:rsid w:val="00931EBF"/>
    <w:rsid w:val="0093231C"/>
    <w:rsid w:val="009325F4"/>
    <w:rsid w:val="00932720"/>
    <w:rsid w:val="009344C5"/>
    <w:rsid w:val="00934AC9"/>
    <w:rsid w:val="00936268"/>
    <w:rsid w:val="0093713D"/>
    <w:rsid w:val="00941981"/>
    <w:rsid w:val="00943656"/>
    <w:rsid w:val="0094547E"/>
    <w:rsid w:val="00945AB2"/>
    <w:rsid w:val="00945E98"/>
    <w:rsid w:val="009504C5"/>
    <w:rsid w:val="009516C5"/>
    <w:rsid w:val="00955EC1"/>
    <w:rsid w:val="009605A7"/>
    <w:rsid w:val="00960753"/>
    <w:rsid w:val="00961331"/>
    <w:rsid w:val="00961426"/>
    <w:rsid w:val="009631E0"/>
    <w:rsid w:val="00963ACA"/>
    <w:rsid w:val="00967532"/>
    <w:rsid w:val="009705A2"/>
    <w:rsid w:val="00971621"/>
    <w:rsid w:val="00971C65"/>
    <w:rsid w:val="00972752"/>
    <w:rsid w:val="009763E4"/>
    <w:rsid w:val="00976B19"/>
    <w:rsid w:val="00984E4F"/>
    <w:rsid w:val="009858D2"/>
    <w:rsid w:val="00990E79"/>
    <w:rsid w:val="0099235D"/>
    <w:rsid w:val="009928C3"/>
    <w:rsid w:val="009A3E64"/>
    <w:rsid w:val="009A5B9F"/>
    <w:rsid w:val="009A627D"/>
    <w:rsid w:val="009B0EB1"/>
    <w:rsid w:val="009B1E69"/>
    <w:rsid w:val="009B38BA"/>
    <w:rsid w:val="009B640D"/>
    <w:rsid w:val="009B65CF"/>
    <w:rsid w:val="009B7199"/>
    <w:rsid w:val="009B78CD"/>
    <w:rsid w:val="009B7A77"/>
    <w:rsid w:val="009C0C15"/>
    <w:rsid w:val="009C3C22"/>
    <w:rsid w:val="009C510D"/>
    <w:rsid w:val="009C6AA8"/>
    <w:rsid w:val="009C7157"/>
    <w:rsid w:val="009D0441"/>
    <w:rsid w:val="009D0736"/>
    <w:rsid w:val="009D14C7"/>
    <w:rsid w:val="009D1DB5"/>
    <w:rsid w:val="009D2B32"/>
    <w:rsid w:val="009D4013"/>
    <w:rsid w:val="009D52AD"/>
    <w:rsid w:val="009E072C"/>
    <w:rsid w:val="009E38A1"/>
    <w:rsid w:val="009F0DA8"/>
    <w:rsid w:val="009F1E40"/>
    <w:rsid w:val="009F3368"/>
    <w:rsid w:val="009F3AAF"/>
    <w:rsid w:val="009F4938"/>
    <w:rsid w:val="009F6F5C"/>
    <w:rsid w:val="00A01215"/>
    <w:rsid w:val="00A0310F"/>
    <w:rsid w:val="00A0482E"/>
    <w:rsid w:val="00A04B55"/>
    <w:rsid w:val="00A072F7"/>
    <w:rsid w:val="00A101B6"/>
    <w:rsid w:val="00A168C9"/>
    <w:rsid w:val="00A169A8"/>
    <w:rsid w:val="00A17AAB"/>
    <w:rsid w:val="00A21440"/>
    <w:rsid w:val="00A27D0F"/>
    <w:rsid w:val="00A30D80"/>
    <w:rsid w:val="00A347DF"/>
    <w:rsid w:val="00A35BAC"/>
    <w:rsid w:val="00A37669"/>
    <w:rsid w:val="00A40740"/>
    <w:rsid w:val="00A41BDB"/>
    <w:rsid w:val="00A41CE0"/>
    <w:rsid w:val="00A42FA7"/>
    <w:rsid w:val="00A448DC"/>
    <w:rsid w:val="00A45D09"/>
    <w:rsid w:val="00A50F3A"/>
    <w:rsid w:val="00A52C4E"/>
    <w:rsid w:val="00A53213"/>
    <w:rsid w:val="00A54EC8"/>
    <w:rsid w:val="00A54ED9"/>
    <w:rsid w:val="00A55966"/>
    <w:rsid w:val="00A608C5"/>
    <w:rsid w:val="00A612D2"/>
    <w:rsid w:val="00A64094"/>
    <w:rsid w:val="00A662EC"/>
    <w:rsid w:val="00A67188"/>
    <w:rsid w:val="00A70C71"/>
    <w:rsid w:val="00A7184D"/>
    <w:rsid w:val="00A72C86"/>
    <w:rsid w:val="00A72CC0"/>
    <w:rsid w:val="00A7392B"/>
    <w:rsid w:val="00A74764"/>
    <w:rsid w:val="00A80B69"/>
    <w:rsid w:val="00A81378"/>
    <w:rsid w:val="00A842FA"/>
    <w:rsid w:val="00A84946"/>
    <w:rsid w:val="00A85319"/>
    <w:rsid w:val="00A85C5B"/>
    <w:rsid w:val="00A86D75"/>
    <w:rsid w:val="00A90622"/>
    <w:rsid w:val="00A92104"/>
    <w:rsid w:val="00A932ED"/>
    <w:rsid w:val="00A934FB"/>
    <w:rsid w:val="00A94E71"/>
    <w:rsid w:val="00A95448"/>
    <w:rsid w:val="00AA1DDD"/>
    <w:rsid w:val="00AA35D3"/>
    <w:rsid w:val="00AA5901"/>
    <w:rsid w:val="00AA5A87"/>
    <w:rsid w:val="00AA5FE7"/>
    <w:rsid w:val="00AA70C3"/>
    <w:rsid w:val="00AA75D7"/>
    <w:rsid w:val="00AA7683"/>
    <w:rsid w:val="00AB0605"/>
    <w:rsid w:val="00AB15E0"/>
    <w:rsid w:val="00AB1E59"/>
    <w:rsid w:val="00AB312B"/>
    <w:rsid w:val="00AB4F32"/>
    <w:rsid w:val="00AB5DF9"/>
    <w:rsid w:val="00AC103E"/>
    <w:rsid w:val="00AC121B"/>
    <w:rsid w:val="00AC22D2"/>
    <w:rsid w:val="00AC47F3"/>
    <w:rsid w:val="00AC6FB6"/>
    <w:rsid w:val="00AC7AFB"/>
    <w:rsid w:val="00AC7E30"/>
    <w:rsid w:val="00AD217E"/>
    <w:rsid w:val="00AD346D"/>
    <w:rsid w:val="00AD79C2"/>
    <w:rsid w:val="00AE0BD8"/>
    <w:rsid w:val="00AE2019"/>
    <w:rsid w:val="00AE2546"/>
    <w:rsid w:val="00AE2C00"/>
    <w:rsid w:val="00AE3050"/>
    <w:rsid w:val="00AE499D"/>
    <w:rsid w:val="00AE4A2B"/>
    <w:rsid w:val="00AE5567"/>
    <w:rsid w:val="00AF336C"/>
    <w:rsid w:val="00AF6922"/>
    <w:rsid w:val="00AF6AA1"/>
    <w:rsid w:val="00B0063B"/>
    <w:rsid w:val="00B05DCA"/>
    <w:rsid w:val="00B06E52"/>
    <w:rsid w:val="00B104A1"/>
    <w:rsid w:val="00B106E9"/>
    <w:rsid w:val="00B10994"/>
    <w:rsid w:val="00B1103D"/>
    <w:rsid w:val="00B121B9"/>
    <w:rsid w:val="00B16C7A"/>
    <w:rsid w:val="00B16E07"/>
    <w:rsid w:val="00B17DEB"/>
    <w:rsid w:val="00B22905"/>
    <w:rsid w:val="00B22E1D"/>
    <w:rsid w:val="00B343F2"/>
    <w:rsid w:val="00B350B3"/>
    <w:rsid w:val="00B415BD"/>
    <w:rsid w:val="00B43919"/>
    <w:rsid w:val="00B4410E"/>
    <w:rsid w:val="00B504B1"/>
    <w:rsid w:val="00B53275"/>
    <w:rsid w:val="00B55D1B"/>
    <w:rsid w:val="00B61B3B"/>
    <w:rsid w:val="00B671FA"/>
    <w:rsid w:val="00B73E36"/>
    <w:rsid w:val="00B811D2"/>
    <w:rsid w:val="00B839F4"/>
    <w:rsid w:val="00B84E7C"/>
    <w:rsid w:val="00B866D8"/>
    <w:rsid w:val="00B9114A"/>
    <w:rsid w:val="00B9501D"/>
    <w:rsid w:val="00B951C3"/>
    <w:rsid w:val="00BA22CF"/>
    <w:rsid w:val="00BA3DDF"/>
    <w:rsid w:val="00BA3F34"/>
    <w:rsid w:val="00BB5BB9"/>
    <w:rsid w:val="00BC1F10"/>
    <w:rsid w:val="00BC3C9A"/>
    <w:rsid w:val="00BC4BB1"/>
    <w:rsid w:val="00BC61A7"/>
    <w:rsid w:val="00BD3D85"/>
    <w:rsid w:val="00BD4C26"/>
    <w:rsid w:val="00BE1D96"/>
    <w:rsid w:val="00BE27DF"/>
    <w:rsid w:val="00BE3AAC"/>
    <w:rsid w:val="00BE53DC"/>
    <w:rsid w:val="00BE6873"/>
    <w:rsid w:val="00BF1723"/>
    <w:rsid w:val="00BF36F1"/>
    <w:rsid w:val="00BF41AF"/>
    <w:rsid w:val="00BF5996"/>
    <w:rsid w:val="00BF6C5E"/>
    <w:rsid w:val="00C00745"/>
    <w:rsid w:val="00C01732"/>
    <w:rsid w:val="00C04E04"/>
    <w:rsid w:val="00C1139E"/>
    <w:rsid w:val="00C1232A"/>
    <w:rsid w:val="00C16978"/>
    <w:rsid w:val="00C212E7"/>
    <w:rsid w:val="00C225B0"/>
    <w:rsid w:val="00C25160"/>
    <w:rsid w:val="00C2724F"/>
    <w:rsid w:val="00C32314"/>
    <w:rsid w:val="00C3733D"/>
    <w:rsid w:val="00C40F76"/>
    <w:rsid w:val="00C431C5"/>
    <w:rsid w:val="00C44F1D"/>
    <w:rsid w:val="00C465B8"/>
    <w:rsid w:val="00C53CB0"/>
    <w:rsid w:val="00C56073"/>
    <w:rsid w:val="00C56F74"/>
    <w:rsid w:val="00C61385"/>
    <w:rsid w:val="00C649B8"/>
    <w:rsid w:val="00C65972"/>
    <w:rsid w:val="00C65E7F"/>
    <w:rsid w:val="00C6625D"/>
    <w:rsid w:val="00C66C5F"/>
    <w:rsid w:val="00C7073A"/>
    <w:rsid w:val="00C7157A"/>
    <w:rsid w:val="00C729FC"/>
    <w:rsid w:val="00C74A96"/>
    <w:rsid w:val="00C75BD6"/>
    <w:rsid w:val="00C76B8A"/>
    <w:rsid w:val="00C7781E"/>
    <w:rsid w:val="00C83FE0"/>
    <w:rsid w:val="00C86CF4"/>
    <w:rsid w:val="00C90F9F"/>
    <w:rsid w:val="00C923EB"/>
    <w:rsid w:val="00C924DF"/>
    <w:rsid w:val="00C94916"/>
    <w:rsid w:val="00C96DEF"/>
    <w:rsid w:val="00CA1E6E"/>
    <w:rsid w:val="00CA3144"/>
    <w:rsid w:val="00CA3403"/>
    <w:rsid w:val="00CA3D73"/>
    <w:rsid w:val="00CA541F"/>
    <w:rsid w:val="00CA71C1"/>
    <w:rsid w:val="00CB1519"/>
    <w:rsid w:val="00CB1C48"/>
    <w:rsid w:val="00CB5AFD"/>
    <w:rsid w:val="00CB627B"/>
    <w:rsid w:val="00CB6CEB"/>
    <w:rsid w:val="00CC18B4"/>
    <w:rsid w:val="00CC1CA0"/>
    <w:rsid w:val="00CC1DE4"/>
    <w:rsid w:val="00CC24BB"/>
    <w:rsid w:val="00CC3873"/>
    <w:rsid w:val="00CD06B0"/>
    <w:rsid w:val="00CD2B58"/>
    <w:rsid w:val="00CD329F"/>
    <w:rsid w:val="00CE083B"/>
    <w:rsid w:val="00CE0926"/>
    <w:rsid w:val="00CE3F78"/>
    <w:rsid w:val="00CE700F"/>
    <w:rsid w:val="00CF3FB6"/>
    <w:rsid w:val="00CF55E5"/>
    <w:rsid w:val="00CF6AF8"/>
    <w:rsid w:val="00CF79AA"/>
    <w:rsid w:val="00D0661B"/>
    <w:rsid w:val="00D0757C"/>
    <w:rsid w:val="00D07ED3"/>
    <w:rsid w:val="00D1071F"/>
    <w:rsid w:val="00D11A65"/>
    <w:rsid w:val="00D1257F"/>
    <w:rsid w:val="00D13955"/>
    <w:rsid w:val="00D14747"/>
    <w:rsid w:val="00D1612E"/>
    <w:rsid w:val="00D20A06"/>
    <w:rsid w:val="00D245B0"/>
    <w:rsid w:val="00D27052"/>
    <w:rsid w:val="00D27D8D"/>
    <w:rsid w:val="00D3223A"/>
    <w:rsid w:val="00D3627C"/>
    <w:rsid w:val="00D42805"/>
    <w:rsid w:val="00D42ADF"/>
    <w:rsid w:val="00D42F85"/>
    <w:rsid w:val="00D43DC4"/>
    <w:rsid w:val="00D448C4"/>
    <w:rsid w:val="00D44DAC"/>
    <w:rsid w:val="00D45674"/>
    <w:rsid w:val="00D515BD"/>
    <w:rsid w:val="00D51B09"/>
    <w:rsid w:val="00D53FEF"/>
    <w:rsid w:val="00D54985"/>
    <w:rsid w:val="00D55351"/>
    <w:rsid w:val="00D560B9"/>
    <w:rsid w:val="00D623A9"/>
    <w:rsid w:val="00D63823"/>
    <w:rsid w:val="00D63DA8"/>
    <w:rsid w:val="00D6422A"/>
    <w:rsid w:val="00D64239"/>
    <w:rsid w:val="00D6594B"/>
    <w:rsid w:val="00D73775"/>
    <w:rsid w:val="00D7449C"/>
    <w:rsid w:val="00D82EC6"/>
    <w:rsid w:val="00D835B5"/>
    <w:rsid w:val="00D85DB5"/>
    <w:rsid w:val="00D8715E"/>
    <w:rsid w:val="00D87537"/>
    <w:rsid w:val="00D91344"/>
    <w:rsid w:val="00D91F9A"/>
    <w:rsid w:val="00D92B46"/>
    <w:rsid w:val="00DA288E"/>
    <w:rsid w:val="00DA7F99"/>
    <w:rsid w:val="00DB1ABB"/>
    <w:rsid w:val="00DB3B47"/>
    <w:rsid w:val="00DB557A"/>
    <w:rsid w:val="00DC4009"/>
    <w:rsid w:val="00DC4F80"/>
    <w:rsid w:val="00DC5F46"/>
    <w:rsid w:val="00DC6226"/>
    <w:rsid w:val="00DD4522"/>
    <w:rsid w:val="00DD53AF"/>
    <w:rsid w:val="00DD5DA4"/>
    <w:rsid w:val="00DE5370"/>
    <w:rsid w:val="00DE6ECA"/>
    <w:rsid w:val="00DF1EB7"/>
    <w:rsid w:val="00DF436E"/>
    <w:rsid w:val="00DF5C43"/>
    <w:rsid w:val="00E006BB"/>
    <w:rsid w:val="00E0159D"/>
    <w:rsid w:val="00E10FA9"/>
    <w:rsid w:val="00E1103E"/>
    <w:rsid w:val="00E11D2E"/>
    <w:rsid w:val="00E1232F"/>
    <w:rsid w:val="00E12AEC"/>
    <w:rsid w:val="00E13FD0"/>
    <w:rsid w:val="00E143C4"/>
    <w:rsid w:val="00E16D62"/>
    <w:rsid w:val="00E22A32"/>
    <w:rsid w:val="00E2457E"/>
    <w:rsid w:val="00E256FB"/>
    <w:rsid w:val="00E2641C"/>
    <w:rsid w:val="00E30CDE"/>
    <w:rsid w:val="00E320C2"/>
    <w:rsid w:val="00E33D79"/>
    <w:rsid w:val="00E34280"/>
    <w:rsid w:val="00E345B3"/>
    <w:rsid w:val="00E35571"/>
    <w:rsid w:val="00E37989"/>
    <w:rsid w:val="00E41260"/>
    <w:rsid w:val="00E418A6"/>
    <w:rsid w:val="00E451A3"/>
    <w:rsid w:val="00E459E1"/>
    <w:rsid w:val="00E461C5"/>
    <w:rsid w:val="00E506D1"/>
    <w:rsid w:val="00E54371"/>
    <w:rsid w:val="00E56165"/>
    <w:rsid w:val="00E60282"/>
    <w:rsid w:val="00E60737"/>
    <w:rsid w:val="00E62E4C"/>
    <w:rsid w:val="00E6576A"/>
    <w:rsid w:val="00E65DE5"/>
    <w:rsid w:val="00E67322"/>
    <w:rsid w:val="00E67735"/>
    <w:rsid w:val="00E71422"/>
    <w:rsid w:val="00E762ED"/>
    <w:rsid w:val="00E81C53"/>
    <w:rsid w:val="00E90745"/>
    <w:rsid w:val="00E90DDD"/>
    <w:rsid w:val="00E923C6"/>
    <w:rsid w:val="00E96412"/>
    <w:rsid w:val="00E964C5"/>
    <w:rsid w:val="00E9650A"/>
    <w:rsid w:val="00E96EFD"/>
    <w:rsid w:val="00EA153E"/>
    <w:rsid w:val="00EA6499"/>
    <w:rsid w:val="00EA6B50"/>
    <w:rsid w:val="00EB482A"/>
    <w:rsid w:val="00EB6A0D"/>
    <w:rsid w:val="00EB6BBF"/>
    <w:rsid w:val="00EC0027"/>
    <w:rsid w:val="00EC1026"/>
    <w:rsid w:val="00EC2FEC"/>
    <w:rsid w:val="00EC407B"/>
    <w:rsid w:val="00EC74E7"/>
    <w:rsid w:val="00ED1257"/>
    <w:rsid w:val="00ED52A4"/>
    <w:rsid w:val="00ED6A9C"/>
    <w:rsid w:val="00ED7207"/>
    <w:rsid w:val="00EE0C41"/>
    <w:rsid w:val="00EE3E51"/>
    <w:rsid w:val="00EF3C42"/>
    <w:rsid w:val="00F012D4"/>
    <w:rsid w:val="00F02A94"/>
    <w:rsid w:val="00F04F7C"/>
    <w:rsid w:val="00F05E86"/>
    <w:rsid w:val="00F135ED"/>
    <w:rsid w:val="00F221DF"/>
    <w:rsid w:val="00F23E4A"/>
    <w:rsid w:val="00F24C16"/>
    <w:rsid w:val="00F27066"/>
    <w:rsid w:val="00F324BC"/>
    <w:rsid w:val="00F337F2"/>
    <w:rsid w:val="00F345C9"/>
    <w:rsid w:val="00F3611B"/>
    <w:rsid w:val="00F3752A"/>
    <w:rsid w:val="00F4494E"/>
    <w:rsid w:val="00F45073"/>
    <w:rsid w:val="00F45395"/>
    <w:rsid w:val="00F54E0B"/>
    <w:rsid w:val="00F65184"/>
    <w:rsid w:val="00F67137"/>
    <w:rsid w:val="00F70B17"/>
    <w:rsid w:val="00F71D7E"/>
    <w:rsid w:val="00F71E10"/>
    <w:rsid w:val="00F73B92"/>
    <w:rsid w:val="00F73C5C"/>
    <w:rsid w:val="00F74B21"/>
    <w:rsid w:val="00F76A45"/>
    <w:rsid w:val="00F778E1"/>
    <w:rsid w:val="00F805EF"/>
    <w:rsid w:val="00F80A18"/>
    <w:rsid w:val="00F817E3"/>
    <w:rsid w:val="00F81EAC"/>
    <w:rsid w:val="00F84A71"/>
    <w:rsid w:val="00F90337"/>
    <w:rsid w:val="00F9148E"/>
    <w:rsid w:val="00F97B0F"/>
    <w:rsid w:val="00FA0615"/>
    <w:rsid w:val="00FA21D3"/>
    <w:rsid w:val="00FA46D0"/>
    <w:rsid w:val="00FA6277"/>
    <w:rsid w:val="00FA7C95"/>
    <w:rsid w:val="00FB1A8C"/>
    <w:rsid w:val="00FB2956"/>
    <w:rsid w:val="00FB2F67"/>
    <w:rsid w:val="00FB377F"/>
    <w:rsid w:val="00FB4354"/>
    <w:rsid w:val="00FB75AC"/>
    <w:rsid w:val="00FB75E5"/>
    <w:rsid w:val="00FC282D"/>
    <w:rsid w:val="00FC3053"/>
    <w:rsid w:val="00FC59CD"/>
    <w:rsid w:val="00FC5D7E"/>
    <w:rsid w:val="00FD16BC"/>
    <w:rsid w:val="00FD1D95"/>
    <w:rsid w:val="00FD2350"/>
    <w:rsid w:val="00FD25B3"/>
    <w:rsid w:val="00FD37DA"/>
    <w:rsid w:val="00FD5000"/>
    <w:rsid w:val="00FE061F"/>
    <w:rsid w:val="00FE3334"/>
    <w:rsid w:val="00FE42A3"/>
    <w:rsid w:val="00FE545B"/>
    <w:rsid w:val="00FE6778"/>
    <w:rsid w:val="00FF0033"/>
    <w:rsid w:val="00FF2BD5"/>
    <w:rsid w:val="00FF3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C3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6B2"/>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5D09"/>
    <w:rPr>
      <w:color w:val="0000FF"/>
      <w:u w:val="single"/>
    </w:rPr>
  </w:style>
  <w:style w:type="paragraph" w:customStyle="1" w:styleId="CharChar1CharCharCharCharCharCharCharCharChar">
    <w:name w:val="Char Char1 Char Char Char Char Char Char Char Char Char"/>
    <w:basedOn w:val="Normal"/>
    <w:rsid w:val="00FB75E5"/>
  </w:style>
  <w:style w:type="character" w:customStyle="1" w:styleId="BodyTextChar">
    <w:name w:val="Body Text Char"/>
    <w:link w:val="BodyText"/>
    <w:rsid w:val="007D1EB4"/>
    <w:rPr>
      <w:rFonts w:ascii="Arial" w:hAnsi="Arial"/>
      <w:color w:val="0000FF"/>
      <w:sz w:val="22"/>
      <w:lang w:val="en-AU" w:eastAsia="en-US" w:bidi="ar-SA"/>
    </w:rPr>
  </w:style>
  <w:style w:type="paragraph" w:styleId="BodyText">
    <w:name w:val="Body Text"/>
    <w:basedOn w:val="Normal"/>
    <w:link w:val="BodyTextChar"/>
    <w:rsid w:val="007D1EB4"/>
    <w:pPr>
      <w:keepLines/>
      <w:widowControl w:val="0"/>
      <w:ind w:right="-567"/>
    </w:pPr>
    <w:rPr>
      <w:color w:val="0000FF"/>
    </w:rPr>
  </w:style>
  <w:style w:type="paragraph" w:styleId="Footer">
    <w:name w:val="footer"/>
    <w:basedOn w:val="Normal"/>
    <w:rsid w:val="00E12AEC"/>
    <w:pPr>
      <w:tabs>
        <w:tab w:val="center" w:pos="4153"/>
        <w:tab w:val="right" w:pos="8306"/>
      </w:tabs>
    </w:pPr>
  </w:style>
  <w:style w:type="character" w:styleId="PageNumber">
    <w:name w:val="page number"/>
    <w:basedOn w:val="DefaultParagraphFont"/>
    <w:rsid w:val="00E12AEC"/>
  </w:style>
  <w:style w:type="paragraph" w:styleId="Header">
    <w:name w:val="header"/>
    <w:basedOn w:val="Normal"/>
    <w:rsid w:val="00E12AEC"/>
    <w:pPr>
      <w:tabs>
        <w:tab w:val="center" w:pos="4153"/>
        <w:tab w:val="right" w:pos="8306"/>
      </w:tabs>
    </w:pPr>
  </w:style>
  <w:style w:type="paragraph" w:styleId="BalloonText">
    <w:name w:val="Balloon Text"/>
    <w:basedOn w:val="Normal"/>
    <w:semiHidden/>
    <w:rsid w:val="00ED52A4"/>
    <w:rPr>
      <w:rFonts w:ascii="Tahoma" w:hAnsi="Tahoma" w:cs="Tahoma"/>
      <w:sz w:val="16"/>
      <w:szCs w:val="16"/>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rsid w:val="00A84946"/>
    <w:rPr>
      <w:rFonts w:ascii="Arial" w:hAnsi="Arial" w:cs="Arial"/>
      <w:b/>
      <w:bCs/>
      <w:iCs/>
      <w:sz w:val="26"/>
      <w:szCs w:val="28"/>
      <w:lang w:val="en-AU" w:eastAsia="en-US" w:bidi="ar-SA"/>
    </w:rPr>
  </w:style>
  <w:style w:type="paragraph" w:styleId="NormalWeb">
    <w:name w:val="Normal (Web)"/>
    <w:basedOn w:val="Normal"/>
    <w:rsid w:val="00E67735"/>
    <w:pPr>
      <w:spacing w:before="100" w:beforeAutospacing="1" w:after="100" w:afterAutospacing="1"/>
    </w:pPr>
    <w:rPr>
      <w:rFonts w:ascii="Times New Roman" w:hAnsi="Times New Roman"/>
      <w:sz w:val="24"/>
      <w:szCs w:val="24"/>
      <w:lang w:eastAsia="en-AU"/>
    </w:rPr>
  </w:style>
  <w:style w:type="character" w:styleId="Emphasis">
    <w:name w:val="Emphasis"/>
    <w:qFormat/>
    <w:rsid w:val="006E5CFF"/>
    <w:rPr>
      <w:i/>
      <w:iCs/>
    </w:rPr>
  </w:style>
  <w:style w:type="character" w:styleId="CommentReference">
    <w:name w:val="annotation reference"/>
    <w:uiPriority w:val="99"/>
    <w:semiHidden/>
    <w:rsid w:val="00F04F7C"/>
    <w:rPr>
      <w:sz w:val="16"/>
      <w:szCs w:val="16"/>
    </w:rPr>
  </w:style>
  <w:style w:type="paragraph" w:styleId="CommentText">
    <w:name w:val="annotation text"/>
    <w:basedOn w:val="Normal"/>
    <w:link w:val="CommentTextChar"/>
    <w:uiPriority w:val="99"/>
    <w:rsid w:val="00F04F7C"/>
    <w:rPr>
      <w:sz w:val="20"/>
    </w:rPr>
  </w:style>
  <w:style w:type="paragraph" w:styleId="CommentSubject">
    <w:name w:val="annotation subject"/>
    <w:basedOn w:val="CommentText"/>
    <w:next w:val="CommentText"/>
    <w:semiHidden/>
    <w:rsid w:val="00F04F7C"/>
    <w:rPr>
      <w:b/>
      <w:bCs/>
    </w:rPr>
  </w:style>
  <w:style w:type="paragraph" w:styleId="ListParagraph">
    <w:name w:val="List Paragraph"/>
    <w:basedOn w:val="Normal"/>
    <w:link w:val="ListParagraphChar"/>
    <w:uiPriority w:val="34"/>
    <w:qFormat/>
    <w:rsid w:val="00B9114A"/>
    <w:pPr>
      <w:ind w:left="567"/>
    </w:pPr>
  </w:style>
  <w:style w:type="character" w:customStyle="1" w:styleId="ListParagraphChar">
    <w:name w:val="List Paragraph Char"/>
    <w:link w:val="ListParagraph"/>
    <w:uiPriority w:val="34"/>
    <w:locked/>
    <w:rsid w:val="00D515BD"/>
    <w:rPr>
      <w:rFonts w:ascii="Arial" w:hAnsi="Arial"/>
      <w:sz w:val="22"/>
      <w:lang w:eastAsia="en-US"/>
    </w:rPr>
  </w:style>
  <w:style w:type="paragraph" w:styleId="Revision">
    <w:name w:val="Revision"/>
    <w:hidden/>
    <w:uiPriority w:val="99"/>
    <w:semiHidden/>
    <w:rsid w:val="00B106E9"/>
    <w:rPr>
      <w:rFonts w:ascii="Arial" w:hAnsi="Arial"/>
      <w:sz w:val="22"/>
      <w:lang w:eastAsia="en-US"/>
    </w:rPr>
  </w:style>
  <w:style w:type="character" w:customStyle="1" w:styleId="CommentTextChar">
    <w:name w:val="Comment Text Char"/>
    <w:basedOn w:val="DefaultParagraphFont"/>
    <w:link w:val="CommentText"/>
    <w:uiPriority w:val="99"/>
    <w:rsid w:val="00B9501D"/>
    <w:rPr>
      <w:rFonts w:ascii="Arial" w:hAnsi="Arial"/>
      <w:lang w:eastAsia="en-US"/>
    </w:rPr>
  </w:style>
  <w:style w:type="paragraph" w:customStyle="1" w:styleId="Default">
    <w:name w:val="Default"/>
    <w:rsid w:val="004B4771"/>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6938">
      <w:bodyDiv w:val="1"/>
      <w:marLeft w:val="0"/>
      <w:marRight w:val="0"/>
      <w:marTop w:val="0"/>
      <w:marBottom w:val="0"/>
      <w:divBdr>
        <w:top w:val="none" w:sz="0" w:space="0" w:color="auto"/>
        <w:left w:val="none" w:sz="0" w:space="0" w:color="auto"/>
        <w:bottom w:val="none" w:sz="0" w:space="0" w:color="auto"/>
        <w:right w:val="none" w:sz="0" w:space="0" w:color="auto"/>
      </w:divBdr>
      <w:divsChild>
        <w:div w:id="667901305">
          <w:marLeft w:val="0"/>
          <w:marRight w:val="0"/>
          <w:marTop w:val="0"/>
          <w:marBottom w:val="0"/>
          <w:divBdr>
            <w:top w:val="none" w:sz="0" w:space="0" w:color="auto"/>
            <w:left w:val="none" w:sz="0" w:space="0" w:color="auto"/>
            <w:bottom w:val="none" w:sz="0" w:space="0" w:color="auto"/>
            <w:right w:val="none" w:sz="0" w:space="0" w:color="auto"/>
          </w:divBdr>
          <w:divsChild>
            <w:div w:id="479810230">
              <w:marLeft w:val="0"/>
              <w:marRight w:val="0"/>
              <w:marTop w:val="0"/>
              <w:marBottom w:val="0"/>
              <w:divBdr>
                <w:top w:val="none" w:sz="0" w:space="0" w:color="auto"/>
                <w:left w:val="none" w:sz="0" w:space="0" w:color="auto"/>
                <w:bottom w:val="none" w:sz="0" w:space="0" w:color="auto"/>
                <w:right w:val="none" w:sz="0" w:space="0" w:color="auto"/>
              </w:divBdr>
              <w:divsChild>
                <w:div w:id="1056901762">
                  <w:marLeft w:val="0"/>
                  <w:marRight w:val="0"/>
                  <w:marTop w:val="0"/>
                  <w:marBottom w:val="0"/>
                  <w:divBdr>
                    <w:top w:val="none" w:sz="0" w:space="0" w:color="auto"/>
                    <w:left w:val="none" w:sz="0" w:space="0" w:color="auto"/>
                    <w:bottom w:val="none" w:sz="0" w:space="0" w:color="auto"/>
                    <w:right w:val="none" w:sz="0" w:space="0" w:color="auto"/>
                  </w:divBdr>
                  <w:divsChild>
                    <w:div w:id="1815101082">
                      <w:marLeft w:val="0"/>
                      <w:marRight w:val="0"/>
                      <w:marTop w:val="0"/>
                      <w:marBottom w:val="0"/>
                      <w:divBdr>
                        <w:top w:val="none" w:sz="0" w:space="0" w:color="auto"/>
                        <w:left w:val="none" w:sz="0" w:space="0" w:color="auto"/>
                        <w:bottom w:val="none" w:sz="0" w:space="0" w:color="auto"/>
                        <w:right w:val="none" w:sz="0" w:space="0" w:color="auto"/>
                      </w:divBdr>
                      <w:divsChild>
                        <w:div w:id="124979457">
                          <w:marLeft w:val="0"/>
                          <w:marRight w:val="0"/>
                          <w:marTop w:val="0"/>
                          <w:marBottom w:val="0"/>
                          <w:divBdr>
                            <w:top w:val="single" w:sz="6" w:space="0" w:color="828282"/>
                            <w:left w:val="single" w:sz="6" w:space="0" w:color="828282"/>
                            <w:bottom w:val="single" w:sz="6" w:space="0" w:color="828282"/>
                            <w:right w:val="single" w:sz="6" w:space="0" w:color="828282"/>
                          </w:divBdr>
                          <w:divsChild>
                            <w:div w:id="247278215">
                              <w:marLeft w:val="0"/>
                              <w:marRight w:val="0"/>
                              <w:marTop w:val="0"/>
                              <w:marBottom w:val="0"/>
                              <w:divBdr>
                                <w:top w:val="none" w:sz="0" w:space="0" w:color="auto"/>
                                <w:left w:val="none" w:sz="0" w:space="0" w:color="auto"/>
                                <w:bottom w:val="none" w:sz="0" w:space="0" w:color="auto"/>
                                <w:right w:val="none" w:sz="0" w:space="0" w:color="auto"/>
                              </w:divBdr>
                              <w:divsChild>
                                <w:div w:id="1506550550">
                                  <w:marLeft w:val="0"/>
                                  <w:marRight w:val="0"/>
                                  <w:marTop w:val="0"/>
                                  <w:marBottom w:val="0"/>
                                  <w:divBdr>
                                    <w:top w:val="none" w:sz="0" w:space="0" w:color="auto"/>
                                    <w:left w:val="none" w:sz="0" w:space="0" w:color="auto"/>
                                    <w:bottom w:val="none" w:sz="0" w:space="0" w:color="auto"/>
                                    <w:right w:val="none" w:sz="0" w:space="0" w:color="auto"/>
                                  </w:divBdr>
                                  <w:divsChild>
                                    <w:div w:id="600187185">
                                      <w:marLeft w:val="0"/>
                                      <w:marRight w:val="0"/>
                                      <w:marTop w:val="0"/>
                                      <w:marBottom w:val="0"/>
                                      <w:divBdr>
                                        <w:top w:val="none" w:sz="0" w:space="0" w:color="auto"/>
                                        <w:left w:val="none" w:sz="0" w:space="0" w:color="auto"/>
                                        <w:bottom w:val="none" w:sz="0" w:space="0" w:color="auto"/>
                                        <w:right w:val="none" w:sz="0" w:space="0" w:color="auto"/>
                                      </w:divBdr>
                                      <w:divsChild>
                                        <w:div w:id="2069763331">
                                          <w:marLeft w:val="0"/>
                                          <w:marRight w:val="0"/>
                                          <w:marTop w:val="0"/>
                                          <w:marBottom w:val="0"/>
                                          <w:divBdr>
                                            <w:top w:val="none" w:sz="0" w:space="0" w:color="auto"/>
                                            <w:left w:val="none" w:sz="0" w:space="0" w:color="auto"/>
                                            <w:bottom w:val="none" w:sz="0" w:space="0" w:color="auto"/>
                                            <w:right w:val="none" w:sz="0" w:space="0" w:color="auto"/>
                                          </w:divBdr>
                                          <w:divsChild>
                                            <w:div w:id="194315344">
                                              <w:marLeft w:val="0"/>
                                              <w:marRight w:val="0"/>
                                              <w:marTop w:val="0"/>
                                              <w:marBottom w:val="0"/>
                                              <w:divBdr>
                                                <w:top w:val="none" w:sz="0" w:space="0" w:color="auto"/>
                                                <w:left w:val="none" w:sz="0" w:space="0" w:color="auto"/>
                                                <w:bottom w:val="none" w:sz="0" w:space="0" w:color="auto"/>
                                                <w:right w:val="none" w:sz="0" w:space="0" w:color="auto"/>
                                              </w:divBdr>
                                              <w:divsChild>
                                                <w:div w:id="1738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938034">
      <w:bodyDiv w:val="1"/>
      <w:marLeft w:val="0"/>
      <w:marRight w:val="0"/>
      <w:marTop w:val="0"/>
      <w:marBottom w:val="0"/>
      <w:divBdr>
        <w:top w:val="none" w:sz="0" w:space="0" w:color="auto"/>
        <w:left w:val="none" w:sz="0" w:space="0" w:color="auto"/>
        <w:bottom w:val="none" w:sz="0" w:space="0" w:color="auto"/>
        <w:right w:val="none" w:sz="0" w:space="0" w:color="auto"/>
      </w:divBdr>
    </w:div>
    <w:div w:id="366029573">
      <w:bodyDiv w:val="1"/>
      <w:marLeft w:val="0"/>
      <w:marRight w:val="0"/>
      <w:marTop w:val="0"/>
      <w:marBottom w:val="0"/>
      <w:divBdr>
        <w:top w:val="none" w:sz="0" w:space="0" w:color="auto"/>
        <w:left w:val="none" w:sz="0" w:space="0" w:color="auto"/>
        <w:bottom w:val="none" w:sz="0" w:space="0" w:color="auto"/>
        <w:right w:val="none" w:sz="0" w:space="0" w:color="auto"/>
      </w:divBdr>
    </w:div>
    <w:div w:id="506948686">
      <w:bodyDiv w:val="1"/>
      <w:marLeft w:val="0"/>
      <w:marRight w:val="0"/>
      <w:marTop w:val="0"/>
      <w:marBottom w:val="0"/>
      <w:divBdr>
        <w:top w:val="none" w:sz="0" w:space="0" w:color="auto"/>
        <w:left w:val="none" w:sz="0" w:space="0" w:color="auto"/>
        <w:bottom w:val="none" w:sz="0" w:space="0" w:color="auto"/>
        <w:right w:val="none" w:sz="0" w:space="0" w:color="auto"/>
      </w:divBdr>
    </w:div>
    <w:div w:id="747962702">
      <w:bodyDiv w:val="1"/>
      <w:marLeft w:val="0"/>
      <w:marRight w:val="0"/>
      <w:marTop w:val="0"/>
      <w:marBottom w:val="0"/>
      <w:divBdr>
        <w:top w:val="none" w:sz="0" w:space="0" w:color="auto"/>
        <w:left w:val="none" w:sz="0" w:space="0" w:color="auto"/>
        <w:bottom w:val="none" w:sz="0" w:space="0" w:color="auto"/>
        <w:right w:val="none" w:sz="0" w:space="0" w:color="auto"/>
      </w:divBdr>
    </w:div>
    <w:div w:id="822045538">
      <w:bodyDiv w:val="1"/>
      <w:marLeft w:val="0"/>
      <w:marRight w:val="0"/>
      <w:marTop w:val="0"/>
      <w:marBottom w:val="0"/>
      <w:divBdr>
        <w:top w:val="none" w:sz="0" w:space="0" w:color="auto"/>
        <w:left w:val="none" w:sz="0" w:space="0" w:color="auto"/>
        <w:bottom w:val="none" w:sz="0" w:space="0" w:color="auto"/>
        <w:right w:val="none" w:sz="0" w:space="0" w:color="auto"/>
      </w:divBdr>
    </w:div>
    <w:div w:id="927739670">
      <w:bodyDiv w:val="1"/>
      <w:marLeft w:val="0"/>
      <w:marRight w:val="0"/>
      <w:marTop w:val="0"/>
      <w:marBottom w:val="0"/>
      <w:divBdr>
        <w:top w:val="none" w:sz="0" w:space="0" w:color="auto"/>
        <w:left w:val="none" w:sz="0" w:space="0" w:color="auto"/>
        <w:bottom w:val="none" w:sz="0" w:space="0" w:color="auto"/>
        <w:right w:val="none" w:sz="0" w:space="0" w:color="auto"/>
      </w:divBdr>
    </w:div>
    <w:div w:id="1026522089">
      <w:bodyDiv w:val="1"/>
      <w:marLeft w:val="0"/>
      <w:marRight w:val="0"/>
      <w:marTop w:val="0"/>
      <w:marBottom w:val="0"/>
      <w:divBdr>
        <w:top w:val="none" w:sz="0" w:space="0" w:color="auto"/>
        <w:left w:val="none" w:sz="0" w:space="0" w:color="auto"/>
        <w:bottom w:val="none" w:sz="0" w:space="0" w:color="auto"/>
        <w:right w:val="none" w:sz="0" w:space="0" w:color="auto"/>
      </w:divBdr>
    </w:div>
    <w:div w:id="1412241193">
      <w:bodyDiv w:val="1"/>
      <w:marLeft w:val="0"/>
      <w:marRight w:val="0"/>
      <w:marTop w:val="0"/>
      <w:marBottom w:val="0"/>
      <w:divBdr>
        <w:top w:val="none" w:sz="0" w:space="0" w:color="auto"/>
        <w:left w:val="none" w:sz="0" w:space="0" w:color="auto"/>
        <w:bottom w:val="none" w:sz="0" w:space="0" w:color="auto"/>
        <w:right w:val="none" w:sz="0" w:space="0" w:color="auto"/>
      </w:divBdr>
    </w:div>
    <w:div w:id="2097164727">
      <w:bodyDiv w:val="1"/>
      <w:marLeft w:val="0"/>
      <w:marRight w:val="0"/>
      <w:marTop w:val="0"/>
      <w:marBottom w:val="0"/>
      <w:divBdr>
        <w:top w:val="none" w:sz="0" w:space="0" w:color="auto"/>
        <w:left w:val="none" w:sz="0" w:space="0" w:color="auto"/>
        <w:bottom w:val="none" w:sz="0" w:space="0" w:color="auto"/>
        <w:right w:val="none" w:sz="0" w:space="0" w:color="auto"/>
      </w:divBdr>
      <w:divsChild>
        <w:div w:id="1769230712">
          <w:marLeft w:val="0"/>
          <w:marRight w:val="0"/>
          <w:marTop w:val="0"/>
          <w:marBottom w:val="0"/>
          <w:divBdr>
            <w:top w:val="none" w:sz="0" w:space="0" w:color="auto"/>
            <w:left w:val="none" w:sz="0" w:space="0" w:color="auto"/>
            <w:bottom w:val="none" w:sz="0" w:space="0" w:color="auto"/>
            <w:right w:val="none" w:sz="0" w:space="0" w:color="auto"/>
          </w:divBdr>
          <w:divsChild>
            <w:div w:id="106855285">
              <w:marLeft w:val="0"/>
              <w:marRight w:val="0"/>
              <w:marTop w:val="0"/>
              <w:marBottom w:val="0"/>
              <w:divBdr>
                <w:top w:val="none" w:sz="0" w:space="0" w:color="auto"/>
                <w:left w:val="none" w:sz="0" w:space="0" w:color="auto"/>
                <w:bottom w:val="none" w:sz="0" w:space="0" w:color="auto"/>
                <w:right w:val="none" w:sz="0" w:space="0" w:color="auto"/>
              </w:divBdr>
              <w:divsChild>
                <w:div w:id="1697274229">
                  <w:marLeft w:val="0"/>
                  <w:marRight w:val="0"/>
                  <w:marTop w:val="0"/>
                  <w:marBottom w:val="0"/>
                  <w:divBdr>
                    <w:top w:val="none" w:sz="0" w:space="0" w:color="auto"/>
                    <w:left w:val="none" w:sz="0" w:space="0" w:color="auto"/>
                    <w:bottom w:val="none" w:sz="0" w:space="0" w:color="auto"/>
                    <w:right w:val="none" w:sz="0" w:space="0" w:color="auto"/>
                  </w:divBdr>
                  <w:divsChild>
                    <w:div w:id="135731261">
                      <w:marLeft w:val="0"/>
                      <w:marRight w:val="0"/>
                      <w:marTop w:val="0"/>
                      <w:marBottom w:val="0"/>
                      <w:divBdr>
                        <w:top w:val="none" w:sz="0" w:space="0" w:color="auto"/>
                        <w:left w:val="none" w:sz="0" w:space="0" w:color="auto"/>
                        <w:bottom w:val="none" w:sz="0" w:space="0" w:color="auto"/>
                        <w:right w:val="none" w:sz="0" w:space="0" w:color="auto"/>
                      </w:divBdr>
                      <w:divsChild>
                        <w:div w:id="433356609">
                          <w:marLeft w:val="0"/>
                          <w:marRight w:val="0"/>
                          <w:marTop w:val="0"/>
                          <w:marBottom w:val="0"/>
                          <w:divBdr>
                            <w:top w:val="single" w:sz="6" w:space="0" w:color="828282"/>
                            <w:left w:val="single" w:sz="6" w:space="0" w:color="828282"/>
                            <w:bottom w:val="single" w:sz="6" w:space="0" w:color="828282"/>
                            <w:right w:val="single" w:sz="6" w:space="0" w:color="828282"/>
                          </w:divBdr>
                          <w:divsChild>
                            <w:div w:id="606696306">
                              <w:marLeft w:val="0"/>
                              <w:marRight w:val="0"/>
                              <w:marTop w:val="0"/>
                              <w:marBottom w:val="0"/>
                              <w:divBdr>
                                <w:top w:val="none" w:sz="0" w:space="0" w:color="auto"/>
                                <w:left w:val="none" w:sz="0" w:space="0" w:color="auto"/>
                                <w:bottom w:val="none" w:sz="0" w:space="0" w:color="auto"/>
                                <w:right w:val="none" w:sz="0" w:space="0" w:color="auto"/>
                              </w:divBdr>
                              <w:divsChild>
                                <w:div w:id="1154494695">
                                  <w:marLeft w:val="0"/>
                                  <w:marRight w:val="0"/>
                                  <w:marTop w:val="0"/>
                                  <w:marBottom w:val="0"/>
                                  <w:divBdr>
                                    <w:top w:val="none" w:sz="0" w:space="0" w:color="auto"/>
                                    <w:left w:val="none" w:sz="0" w:space="0" w:color="auto"/>
                                    <w:bottom w:val="none" w:sz="0" w:space="0" w:color="auto"/>
                                    <w:right w:val="none" w:sz="0" w:space="0" w:color="auto"/>
                                  </w:divBdr>
                                  <w:divsChild>
                                    <w:div w:id="1941064397">
                                      <w:marLeft w:val="0"/>
                                      <w:marRight w:val="0"/>
                                      <w:marTop w:val="0"/>
                                      <w:marBottom w:val="0"/>
                                      <w:divBdr>
                                        <w:top w:val="none" w:sz="0" w:space="0" w:color="auto"/>
                                        <w:left w:val="none" w:sz="0" w:space="0" w:color="auto"/>
                                        <w:bottom w:val="none" w:sz="0" w:space="0" w:color="auto"/>
                                        <w:right w:val="none" w:sz="0" w:space="0" w:color="auto"/>
                                      </w:divBdr>
                                      <w:divsChild>
                                        <w:div w:id="453058855">
                                          <w:marLeft w:val="0"/>
                                          <w:marRight w:val="0"/>
                                          <w:marTop w:val="0"/>
                                          <w:marBottom w:val="0"/>
                                          <w:divBdr>
                                            <w:top w:val="none" w:sz="0" w:space="0" w:color="auto"/>
                                            <w:left w:val="none" w:sz="0" w:space="0" w:color="auto"/>
                                            <w:bottom w:val="none" w:sz="0" w:space="0" w:color="auto"/>
                                            <w:right w:val="none" w:sz="0" w:space="0" w:color="auto"/>
                                          </w:divBdr>
                                          <w:divsChild>
                                            <w:div w:id="526022855">
                                              <w:marLeft w:val="0"/>
                                              <w:marRight w:val="0"/>
                                              <w:marTop w:val="0"/>
                                              <w:marBottom w:val="0"/>
                                              <w:divBdr>
                                                <w:top w:val="none" w:sz="0" w:space="0" w:color="auto"/>
                                                <w:left w:val="none" w:sz="0" w:space="0" w:color="auto"/>
                                                <w:bottom w:val="none" w:sz="0" w:space="0" w:color="auto"/>
                                                <w:right w:val="none" w:sz="0" w:space="0" w:color="auto"/>
                                              </w:divBdr>
                                              <w:divsChild>
                                                <w:div w:id="66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29FD71C-C6AB-4D25-AE5B-AEB3BA3724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BDF567341C4BA49B614B7D6100D5E39" ma:contentTypeVersion="" ma:contentTypeDescription="PDMS Document Site Content Type" ma:contentTypeScope="" ma:versionID="ee297ec0ae868c1750bbefd4a6982681">
  <xsd:schema xmlns:xsd="http://www.w3.org/2001/XMLSchema" xmlns:xs="http://www.w3.org/2001/XMLSchema" xmlns:p="http://schemas.microsoft.com/office/2006/metadata/properties" xmlns:ns2="429FD71C-C6AB-4D25-AE5B-AEB3BA37248A" targetNamespace="http://schemas.microsoft.com/office/2006/metadata/properties" ma:root="true" ma:fieldsID="1b6d815e36d0ec266966dbc142652597" ns2:_="">
    <xsd:import namespace="429FD71C-C6AB-4D25-AE5B-AEB3BA37248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FD71C-C6AB-4D25-AE5B-AEB3BA37248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BB067-D96A-41E0-9059-463197650F58}">
  <ds:schemaRefs>
    <ds:schemaRef ds:uri="http://schemas.microsoft.com/sharepoint/v3/contenttype/forms"/>
  </ds:schemaRefs>
</ds:datastoreItem>
</file>

<file path=customXml/itemProps2.xml><?xml version="1.0" encoding="utf-8"?>
<ds:datastoreItem xmlns:ds="http://schemas.openxmlformats.org/officeDocument/2006/customXml" ds:itemID="{57BCB878-D225-44CB-8E0A-8A501649E5F5}">
  <ds:schemaRefs>
    <ds:schemaRef ds:uri="http://schemas.microsoft.com/office/2006/documentManagement/types"/>
    <ds:schemaRef ds:uri="http://schemas.microsoft.com/office/infopath/2007/PartnerControls"/>
    <ds:schemaRef ds:uri="429FD71C-C6AB-4D25-AE5B-AEB3BA37248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4EAE0FD-8600-4651-9E47-0A8BB6C4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FD71C-C6AB-4D25-AE5B-AEB3BA372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1B662B-C304-4F21-B0BD-F36EB80D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F49692C0</Template>
  <TotalTime>0</TotalTime>
  <Pages>6</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Attachment VIII - Explanatory Statement</vt:lpstr>
    </vt:vector>
  </TitlesOfParts>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VIII - Explanatory Statement</dc:title>
  <dc:creator/>
  <cp:lastModifiedBy/>
  <cp:revision>1</cp:revision>
  <cp:lastPrinted>2008-10-23T05:53:00Z</cp:lastPrinted>
  <dcterms:created xsi:type="dcterms:W3CDTF">2020-03-31T23:13:00Z</dcterms:created>
  <dcterms:modified xsi:type="dcterms:W3CDTF">2020-03-31T23:13:00Z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ms_AttachedBy">
    <vt:lpwstr>JENNINGS, Bruce</vt:lpwstr>
  </property>
  <property fmtid="{D5CDD505-2E9C-101B-9397-08002B2CF9AE}" pid="3" name="pdms_DocumentType">
    <vt:lpwstr>Briefing Attachment</vt:lpwstr>
  </property>
  <property fmtid="{D5CDD505-2E9C-101B-9397-08002B2CF9AE}" pid="4" name="pdms_Reason">
    <vt:lpwstr/>
  </property>
  <property fmtid="{D5CDD505-2E9C-101B-9397-08002B2CF9AE}" pid="5" name="pdms_DiRECtURI">
    <vt:lpwstr/>
  </property>
  <property fmtid="{D5CDD505-2E9C-101B-9397-08002B2CF9AE}" pid="6" name="pdms_MarkedAsDeleted">
    <vt:lpwstr>0</vt:lpwstr>
  </property>
  <property fmtid="{D5CDD505-2E9C-101B-9397-08002B2CF9AE}" pid="7" name="ContentType">
    <vt:lpwstr>PDR Documentation</vt:lpwstr>
  </property>
  <property fmtid="{D5CDD505-2E9C-101B-9397-08002B2CF9AE}" pid="8" name="ContentTypeId">
    <vt:lpwstr>0x010100266966F133664895A6EE3632470D45F500BBDF567341C4BA49B614B7D6100D5E39</vt:lpwstr>
  </property>
</Properties>
</file>