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17F" w:rsidRDefault="005E317F" w:rsidP="005E317F">
      <w:pPr>
        <w:rPr>
          <w:sz w:val="28"/>
        </w:rPr>
      </w:pPr>
      <w:r>
        <w:rPr>
          <w:noProof/>
          <w:lang w:eastAsia="en-AU"/>
        </w:rPr>
        <w:drawing>
          <wp:inline distT="0" distB="0" distL="0" distR="0" wp14:anchorId="71648FAC" wp14:editId="39E8C0C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5E317F" w:rsidRDefault="005E317F" w:rsidP="005E317F">
      <w:pPr>
        <w:rPr>
          <w:sz w:val="19"/>
        </w:rPr>
      </w:pPr>
    </w:p>
    <w:p w:rsidR="005E317F" w:rsidRPr="00E500D4" w:rsidRDefault="00156C16" w:rsidP="005E317F">
      <w:pPr>
        <w:pStyle w:val="ShortT"/>
      </w:pPr>
      <w:r w:rsidRPr="00156C16">
        <w:t>Telecommunications Code of Practice (</w:t>
      </w:r>
      <w:r w:rsidR="00D55894">
        <w:t xml:space="preserve">Temporary Facilities) Amendment Determination </w:t>
      </w:r>
      <w:r w:rsidRPr="00156C16">
        <w:t>20</w:t>
      </w:r>
      <w:r w:rsidR="00F56247">
        <w:t>20</w:t>
      </w:r>
      <w:r w:rsidRPr="00156C16">
        <w:t xml:space="preserve"> </w:t>
      </w:r>
    </w:p>
    <w:p w:rsidR="005E317F" w:rsidRPr="00A86971" w:rsidRDefault="005E317F" w:rsidP="005E317F">
      <w:pPr>
        <w:pStyle w:val="SignCoverPageStart"/>
        <w:spacing w:before="240"/>
        <w:ind w:right="91"/>
        <w:rPr>
          <w:sz w:val="24"/>
          <w:szCs w:val="24"/>
        </w:rPr>
      </w:pPr>
      <w:r w:rsidRPr="00A86971">
        <w:rPr>
          <w:sz w:val="24"/>
          <w:szCs w:val="24"/>
        </w:rPr>
        <w:t xml:space="preserve">I, </w:t>
      </w:r>
      <w:r w:rsidR="00581AF0" w:rsidRPr="00A86971">
        <w:rPr>
          <w:sz w:val="24"/>
          <w:szCs w:val="24"/>
        </w:rPr>
        <w:t>P</w:t>
      </w:r>
      <w:r w:rsidR="00F56247" w:rsidRPr="00A86971">
        <w:rPr>
          <w:sz w:val="24"/>
          <w:szCs w:val="24"/>
        </w:rPr>
        <w:t>AUL FLETCHER</w:t>
      </w:r>
      <w:r w:rsidRPr="00A86971">
        <w:rPr>
          <w:sz w:val="24"/>
          <w:szCs w:val="24"/>
        </w:rPr>
        <w:t xml:space="preserve">, </w:t>
      </w:r>
      <w:r w:rsidR="00581AF0" w:rsidRPr="00A86971">
        <w:rPr>
          <w:sz w:val="24"/>
          <w:szCs w:val="24"/>
        </w:rPr>
        <w:t>Minister for Communications</w:t>
      </w:r>
      <w:r w:rsidR="002B7658" w:rsidRPr="00A86971">
        <w:rPr>
          <w:sz w:val="24"/>
          <w:szCs w:val="24"/>
        </w:rPr>
        <w:t xml:space="preserve">, Cyber Safety </w:t>
      </w:r>
      <w:r w:rsidR="00581AF0" w:rsidRPr="00A86971">
        <w:rPr>
          <w:sz w:val="24"/>
          <w:szCs w:val="24"/>
        </w:rPr>
        <w:t>and the Arts</w:t>
      </w:r>
      <w:r w:rsidRPr="00A86971">
        <w:rPr>
          <w:sz w:val="24"/>
          <w:szCs w:val="24"/>
        </w:rPr>
        <w:t xml:space="preserve">, make the following </w:t>
      </w:r>
      <w:r w:rsidR="007B7740" w:rsidRPr="00A86971">
        <w:rPr>
          <w:sz w:val="24"/>
          <w:szCs w:val="24"/>
        </w:rPr>
        <w:t>instrument</w:t>
      </w:r>
      <w:r w:rsidR="00C81A68" w:rsidRPr="00A86971">
        <w:rPr>
          <w:sz w:val="24"/>
          <w:szCs w:val="24"/>
        </w:rPr>
        <w:t>.</w:t>
      </w:r>
    </w:p>
    <w:p w:rsidR="00F56247" w:rsidRPr="00A86971" w:rsidRDefault="00ED6AA0" w:rsidP="005E317F">
      <w:pPr>
        <w:keepNext/>
        <w:spacing w:before="300" w:line="240" w:lineRule="atLeast"/>
        <w:ind w:right="397"/>
        <w:jc w:val="both"/>
        <w:rPr>
          <w:sz w:val="24"/>
          <w:szCs w:val="24"/>
        </w:rPr>
      </w:pPr>
      <w:r>
        <w:rPr>
          <w:sz w:val="24"/>
          <w:szCs w:val="24"/>
        </w:rPr>
        <w:t>Dated</w:t>
      </w:r>
      <w:r>
        <w:rPr>
          <w:sz w:val="24"/>
          <w:szCs w:val="24"/>
        </w:rPr>
        <w:tab/>
      </w:r>
      <w:r>
        <w:rPr>
          <w:sz w:val="24"/>
          <w:szCs w:val="24"/>
        </w:rPr>
        <w:tab/>
        <w:t xml:space="preserve">24 March </w:t>
      </w:r>
      <w:bookmarkStart w:id="0" w:name="_GoBack"/>
      <w:bookmarkEnd w:id="0"/>
      <w:r w:rsidR="00F56247" w:rsidRPr="00A86971">
        <w:rPr>
          <w:sz w:val="24"/>
          <w:szCs w:val="24"/>
        </w:rPr>
        <w:t>2020</w:t>
      </w:r>
    </w:p>
    <w:p w:rsidR="00F56247" w:rsidRPr="00A86971" w:rsidRDefault="00F56247" w:rsidP="005E317F">
      <w:pPr>
        <w:keepNext/>
        <w:spacing w:before="300" w:line="240" w:lineRule="atLeast"/>
        <w:ind w:right="397"/>
        <w:jc w:val="both"/>
        <w:rPr>
          <w:sz w:val="24"/>
          <w:szCs w:val="24"/>
        </w:rPr>
      </w:pPr>
    </w:p>
    <w:p w:rsidR="005E317F" w:rsidRPr="00A86971" w:rsidRDefault="005E317F" w:rsidP="005E317F">
      <w:pPr>
        <w:keepNext/>
        <w:spacing w:before="300" w:line="240" w:lineRule="atLeast"/>
        <w:ind w:right="397"/>
        <w:jc w:val="both"/>
        <w:rPr>
          <w:sz w:val="24"/>
          <w:szCs w:val="24"/>
        </w:rPr>
      </w:pPr>
    </w:p>
    <w:p w:rsidR="005E317F" w:rsidRPr="00A86971" w:rsidRDefault="00F56247" w:rsidP="005E317F">
      <w:pPr>
        <w:keepNext/>
        <w:tabs>
          <w:tab w:val="left" w:pos="3402"/>
        </w:tabs>
        <w:spacing w:before="1440" w:line="300" w:lineRule="atLeast"/>
        <w:ind w:right="397"/>
        <w:rPr>
          <w:b/>
          <w:sz w:val="24"/>
          <w:szCs w:val="24"/>
        </w:rPr>
      </w:pPr>
      <w:r w:rsidRPr="00A86971">
        <w:rPr>
          <w:sz w:val="24"/>
          <w:szCs w:val="24"/>
        </w:rPr>
        <w:t xml:space="preserve">PAUL FLETCHER </w:t>
      </w:r>
    </w:p>
    <w:p w:rsidR="005E317F" w:rsidRPr="00A86971" w:rsidRDefault="00C81A68" w:rsidP="005E317F">
      <w:pPr>
        <w:pStyle w:val="SignCoverPageEnd"/>
        <w:ind w:right="91"/>
        <w:rPr>
          <w:szCs w:val="24"/>
        </w:rPr>
      </w:pPr>
      <w:r w:rsidRPr="00A86971">
        <w:rPr>
          <w:szCs w:val="24"/>
        </w:rPr>
        <w:t>Minister for Communications</w:t>
      </w:r>
      <w:r w:rsidR="002B7658" w:rsidRPr="00A86971">
        <w:rPr>
          <w:szCs w:val="24"/>
        </w:rPr>
        <w:t xml:space="preserve">, Cyber Safety </w:t>
      </w:r>
      <w:r w:rsidRPr="00A86971">
        <w:rPr>
          <w:szCs w:val="24"/>
        </w:rPr>
        <w:t>and the Arts</w:t>
      </w:r>
    </w:p>
    <w:p w:rsidR="00B20990" w:rsidRDefault="00B20990" w:rsidP="00B20990"/>
    <w:p w:rsidR="00B20990" w:rsidRDefault="00B20990" w:rsidP="00B20990">
      <w:pPr>
        <w:sectPr w:rsidR="00B20990" w:rsidSect="00B20990">
          <w:headerReference w:type="even" r:id="rId11"/>
          <w:headerReference w:type="default" r:id="rId12"/>
          <w:footerReference w:type="even" r:id="rId13"/>
          <w:footerReference w:type="default" r:id="rId14"/>
          <w:headerReference w:type="first" r:id="rId15"/>
          <w:footerReference w:type="first" r:id="rId16"/>
          <w:type w:val="continuous"/>
          <w:pgSz w:w="11907" w:h="16839"/>
          <w:pgMar w:top="1440" w:right="1797" w:bottom="1440" w:left="1797" w:header="720" w:footer="709" w:gutter="0"/>
          <w:cols w:space="708"/>
          <w:titlePg/>
          <w:docGrid w:linePitch="360"/>
        </w:sectPr>
      </w:pPr>
    </w:p>
    <w:p w:rsidR="00156C16" w:rsidRPr="00A86971" w:rsidRDefault="00156C16" w:rsidP="00156C16">
      <w:pPr>
        <w:pStyle w:val="ActHead5"/>
        <w:rPr>
          <w:szCs w:val="24"/>
        </w:rPr>
      </w:pPr>
      <w:bookmarkStart w:id="1" w:name="_Toc478567687"/>
      <w:bookmarkStart w:id="2" w:name="_Toc12893934"/>
      <w:proofErr w:type="gramStart"/>
      <w:r w:rsidRPr="00A86971">
        <w:rPr>
          <w:rStyle w:val="CharSectno"/>
          <w:szCs w:val="24"/>
        </w:rPr>
        <w:lastRenderedPageBreak/>
        <w:t>1</w:t>
      </w:r>
      <w:r w:rsidRPr="00A86971">
        <w:rPr>
          <w:szCs w:val="24"/>
        </w:rPr>
        <w:t xml:space="preserve">  Name</w:t>
      </w:r>
      <w:bookmarkEnd w:id="1"/>
      <w:bookmarkEnd w:id="2"/>
      <w:proofErr w:type="gramEnd"/>
    </w:p>
    <w:p w:rsidR="00156C16" w:rsidRPr="00A86971" w:rsidRDefault="00156C16" w:rsidP="00156C16">
      <w:pPr>
        <w:pStyle w:val="subsection"/>
        <w:rPr>
          <w:sz w:val="24"/>
          <w:szCs w:val="24"/>
        </w:rPr>
      </w:pPr>
      <w:r w:rsidRPr="00A86971">
        <w:rPr>
          <w:sz w:val="24"/>
          <w:szCs w:val="24"/>
        </w:rPr>
        <w:tab/>
      </w:r>
      <w:r w:rsidRPr="00A86971">
        <w:rPr>
          <w:sz w:val="24"/>
          <w:szCs w:val="24"/>
        </w:rPr>
        <w:tab/>
        <w:t xml:space="preserve">This instrument is the </w:t>
      </w:r>
      <w:r w:rsidR="00F57325" w:rsidRPr="00A86971">
        <w:rPr>
          <w:i/>
          <w:sz w:val="24"/>
          <w:szCs w:val="24"/>
        </w:rPr>
        <w:t>Telecommunications Code of Practice (Temporary Facilities) Amendment Determination 2020</w:t>
      </w:r>
      <w:r w:rsidRPr="00A86971">
        <w:rPr>
          <w:sz w:val="24"/>
          <w:szCs w:val="24"/>
        </w:rPr>
        <w:t>.</w:t>
      </w:r>
    </w:p>
    <w:p w:rsidR="00156C16" w:rsidRPr="00A86971" w:rsidRDefault="00156C16" w:rsidP="00156C16">
      <w:pPr>
        <w:pStyle w:val="ActHead5"/>
        <w:rPr>
          <w:szCs w:val="24"/>
        </w:rPr>
      </w:pPr>
      <w:bookmarkStart w:id="3" w:name="_Toc478567688"/>
      <w:bookmarkStart w:id="4" w:name="_Toc12893935"/>
      <w:proofErr w:type="gramStart"/>
      <w:r w:rsidRPr="00A86971">
        <w:rPr>
          <w:rStyle w:val="CharSectno"/>
          <w:szCs w:val="24"/>
        </w:rPr>
        <w:t>2</w:t>
      </w:r>
      <w:r w:rsidRPr="00A86971">
        <w:rPr>
          <w:szCs w:val="24"/>
        </w:rPr>
        <w:t xml:space="preserve">  Commencement</w:t>
      </w:r>
      <w:bookmarkEnd w:id="3"/>
      <w:bookmarkEnd w:id="4"/>
      <w:proofErr w:type="gramEnd"/>
    </w:p>
    <w:p w:rsidR="00156C16" w:rsidRPr="00A86971" w:rsidRDefault="00156C16" w:rsidP="00156C16">
      <w:pPr>
        <w:pStyle w:val="subsection"/>
        <w:rPr>
          <w:sz w:val="24"/>
          <w:szCs w:val="24"/>
        </w:rPr>
      </w:pPr>
      <w:r w:rsidRPr="00A86971">
        <w:rPr>
          <w:sz w:val="24"/>
          <w:szCs w:val="24"/>
        </w:rPr>
        <w:tab/>
      </w:r>
      <w:r w:rsidRPr="00A86971">
        <w:rPr>
          <w:sz w:val="24"/>
          <w:szCs w:val="24"/>
        </w:rPr>
        <w:tab/>
        <w:t>This instrument commences on the day after it is registered.</w:t>
      </w:r>
    </w:p>
    <w:p w:rsidR="00156C16" w:rsidRPr="00A86971" w:rsidRDefault="00156C16" w:rsidP="00156C16">
      <w:pPr>
        <w:pStyle w:val="ActHead5"/>
        <w:rPr>
          <w:szCs w:val="24"/>
        </w:rPr>
      </w:pPr>
      <w:bookmarkStart w:id="5" w:name="_Toc478567689"/>
      <w:bookmarkStart w:id="6" w:name="_Toc12893936"/>
      <w:proofErr w:type="gramStart"/>
      <w:r w:rsidRPr="00A86971">
        <w:rPr>
          <w:rStyle w:val="CharSectno"/>
          <w:szCs w:val="24"/>
        </w:rPr>
        <w:t>3</w:t>
      </w:r>
      <w:r w:rsidRPr="00A86971">
        <w:rPr>
          <w:szCs w:val="24"/>
        </w:rPr>
        <w:t xml:space="preserve">  Authority</w:t>
      </w:r>
      <w:bookmarkEnd w:id="5"/>
      <w:bookmarkEnd w:id="6"/>
      <w:proofErr w:type="gramEnd"/>
    </w:p>
    <w:p w:rsidR="00156C16" w:rsidRPr="00A86971" w:rsidRDefault="00156C16" w:rsidP="00156C16">
      <w:pPr>
        <w:pStyle w:val="subsection"/>
        <w:rPr>
          <w:sz w:val="24"/>
          <w:szCs w:val="24"/>
        </w:rPr>
      </w:pPr>
      <w:r w:rsidRPr="00A86971">
        <w:rPr>
          <w:sz w:val="24"/>
          <w:szCs w:val="24"/>
        </w:rPr>
        <w:tab/>
      </w:r>
      <w:r w:rsidRPr="00A86971">
        <w:rPr>
          <w:sz w:val="24"/>
          <w:szCs w:val="24"/>
        </w:rPr>
        <w:tab/>
        <w:t xml:space="preserve">This instrument is made under subclause 15(1) of Schedule 3 to the </w:t>
      </w:r>
      <w:r w:rsidRPr="00A86971">
        <w:rPr>
          <w:i/>
          <w:sz w:val="24"/>
          <w:szCs w:val="24"/>
        </w:rPr>
        <w:t>Telecommunications Act 1997</w:t>
      </w:r>
      <w:r w:rsidRPr="00A86971">
        <w:rPr>
          <w:sz w:val="24"/>
          <w:szCs w:val="24"/>
        </w:rPr>
        <w:t xml:space="preserve"> and subsection 33(3) of the </w:t>
      </w:r>
      <w:r w:rsidRPr="00A86971">
        <w:rPr>
          <w:i/>
          <w:sz w:val="24"/>
          <w:szCs w:val="24"/>
        </w:rPr>
        <w:t>Acts Interpretation Act 1901</w:t>
      </w:r>
      <w:r w:rsidRPr="00A86971">
        <w:rPr>
          <w:sz w:val="24"/>
          <w:szCs w:val="24"/>
        </w:rPr>
        <w:t>.</w:t>
      </w:r>
    </w:p>
    <w:p w:rsidR="00156C16" w:rsidRPr="00A86971" w:rsidRDefault="00156C16" w:rsidP="00156C16">
      <w:pPr>
        <w:pStyle w:val="ActHead5"/>
        <w:rPr>
          <w:szCs w:val="24"/>
        </w:rPr>
      </w:pPr>
      <w:bookmarkStart w:id="7" w:name="_Toc478567690"/>
      <w:bookmarkStart w:id="8" w:name="_Toc12893937"/>
      <w:proofErr w:type="gramStart"/>
      <w:r w:rsidRPr="00A86971">
        <w:rPr>
          <w:szCs w:val="24"/>
        </w:rPr>
        <w:t>4  Schedules</w:t>
      </w:r>
      <w:bookmarkEnd w:id="7"/>
      <w:bookmarkEnd w:id="8"/>
      <w:proofErr w:type="gramEnd"/>
    </w:p>
    <w:p w:rsidR="00156C16" w:rsidRPr="00A86971" w:rsidRDefault="00156C16" w:rsidP="00156C16">
      <w:pPr>
        <w:pStyle w:val="subsection"/>
        <w:rPr>
          <w:sz w:val="24"/>
          <w:szCs w:val="24"/>
        </w:rPr>
      </w:pPr>
      <w:r w:rsidRPr="00A86971">
        <w:rPr>
          <w:sz w:val="24"/>
          <w:szCs w:val="24"/>
        </w:rPr>
        <w:tab/>
      </w:r>
      <w:r w:rsidRPr="00A86971">
        <w:rPr>
          <w:sz w:val="24"/>
          <w:szCs w:val="24"/>
        </w:rPr>
        <w:tab/>
        <w:t>Each instrument that is specified in a Schedule to this instrument is amended or repealed as set out in the applicable items in the Schedule concerned, and any other item in a Schedule to this instrument has effect according to its terms.</w:t>
      </w:r>
    </w:p>
    <w:p w:rsidR="00156C16" w:rsidRPr="00A86971" w:rsidRDefault="00156C16" w:rsidP="00156C16">
      <w:pPr>
        <w:pStyle w:val="subsection"/>
        <w:rPr>
          <w:sz w:val="24"/>
          <w:szCs w:val="24"/>
        </w:rPr>
      </w:pPr>
    </w:p>
    <w:p w:rsidR="005E317F" w:rsidRDefault="005E317F" w:rsidP="005E317F">
      <w:pPr>
        <w:pStyle w:val="ActHead6"/>
        <w:pageBreakBefore/>
      </w:pPr>
      <w:bookmarkStart w:id="9" w:name="BKCheck15B_3"/>
      <w:bookmarkStart w:id="10" w:name="_Toc12893938"/>
      <w:bookmarkEnd w:id="9"/>
      <w:r w:rsidRPr="00DB64FC">
        <w:rPr>
          <w:rStyle w:val="CharAmSchNo"/>
        </w:rPr>
        <w:lastRenderedPageBreak/>
        <w:t>Schedule 1</w:t>
      </w:r>
      <w:r>
        <w:t>—</w:t>
      </w:r>
      <w:r w:rsidRPr="00DB64FC">
        <w:rPr>
          <w:rStyle w:val="CharAmSchText"/>
        </w:rPr>
        <w:t>Amendments</w:t>
      </w:r>
      <w:bookmarkEnd w:id="10"/>
    </w:p>
    <w:p w:rsidR="00156C16" w:rsidRDefault="00156C16" w:rsidP="00156C16">
      <w:pPr>
        <w:pStyle w:val="ActHead9"/>
      </w:pPr>
      <w:bookmarkStart w:id="11" w:name="_Toc12893939"/>
      <w:r w:rsidRPr="006C2037">
        <w:t>Telecommunications Code of Practice 2018</w:t>
      </w:r>
      <w:bookmarkEnd w:id="11"/>
    </w:p>
    <w:p w:rsidR="00156C16" w:rsidRDefault="00156C16" w:rsidP="00156C16">
      <w:pPr>
        <w:pStyle w:val="ItemHead"/>
      </w:pPr>
      <w:proofErr w:type="gramStart"/>
      <w:r>
        <w:t xml:space="preserve">1  </w:t>
      </w:r>
      <w:r w:rsidR="00AD3D34">
        <w:t>S</w:t>
      </w:r>
      <w:r>
        <w:t>ection</w:t>
      </w:r>
      <w:proofErr w:type="gramEnd"/>
      <w:r>
        <w:t xml:space="preserve"> 2.7 (at the end of Note 2)</w:t>
      </w:r>
    </w:p>
    <w:p w:rsidR="00156C16" w:rsidRPr="00974DEF" w:rsidRDefault="00DC6A0D" w:rsidP="00156C16">
      <w:pPr>
        <w:pStyle w:val="Item"/>
        <w:rPr>
          <w:sz w:val="24"/>
          <w:szCs w:val="24"/>
        </w:rPr>
      </w:pPr>
      <w:r w:rsidRPr="00974DEF">
        <w:rPr>
          <w:sz w:val="24"/>
          <w:szCs w:val="24"/>
        </w:rPr>
        <w:t>Add</w:t>
      </w:r>
      <w:r w:rsidR="00156C16" w:rsidRPr="00974DEF">
        <w:rPr>
          <w:sz w:val="24"/>
          <w:szCs w:val="24"/>
        </w:rPr>
        <w:t>:</w:t>
      </w:r>
    </w:p>
    <w:p w:rsidR="00156C16" w:rsidRPr="000B409B" w:rsidRDefault="00156C16" w:rsidP="00156C16">
      <w:pPr>
        <w:pStyle w:val="notetext"/>
        <w:spacing w:line="240" w:lineRule="auto"/>
        <w:ind w:left="1815"/>
        <w:rPr>
          <w:iCs/>
        </w:rPr>
      </w:pPr>
      <w:r w:rsidRPr="000B409B">
        <w:rPr>
          <w:iCs/>
        </w:rPr>
        <w:t xml:space="preserve"> Note 3</w:t>
      </w:r>
      <w:r w:rsidRPr="000B409B">
        <w:rPr>
          <w:iCs/>
        </w:rPr>
        <w:tab/>
      </w:r>
      <w:r w:rsidR="00D53A81" w:rsidRPr="00D53A81">
        <w:rPr>
          <w:iCs/>
        </w:rPr>
        <w:t>Copies of ACMA-recognised standards are available at: https://www.acma.gov.au/register-telco-industry-codes-and-standards</w:t>
      </w:r>
      <w:r w:rsidRPr="000B409B">
        <w:rPr>
          <w:iCs/>
        </w:rPr>
        <w:t xml:space="preserve"> </w:t>
      </w:r>
    </w:p>
    <w:p w:rsidR="00AD3D34" w:rsidRDefault="00156C16" w:rsidP="00AD3D34">
      <w:pPr>
        <w:pStyle w:val="ItemHead"/>
      </w:pPr>
      <w:proofErr w:type="gramStart"/>
      <w:r>
        <w:t xml:space="preserve">2  </w:t>
      </w:r>
      <w:r w:rsidR="00AD3D34">
        <w:t>S</w:t>
      </w:r>
      <w:r w:rsidRPr="00156C16">
        <w:t>ection</w:t>
      </w:r>
      <w:proofErr w:type="gramEnd"/>
      <w:r w:rsidRPr="00156C16">
        <w:t xml:space="preserve"> 2.10 </w:t>
      </w:r>
      <w:r w:rsidR="006614C9">
        <w:t>(Note</w:t>
      </w:r>
      <w:r w:rsidR="00AD3D34">
        <w:t>)</w:t>
      </w:r>
    </w:p>
    <w:p w:rsidR="00156C16" w:rsidRPr="00974DEF" w:rsidRDefault="00AD3D34" w:rsidP="00156C16">
      <w:pPr>
        <w:pStyle w:val="Item"/>
        <w:rPr>
          <w:sz w:val="24"/>
          <w:szCs w:val="24"/>
        </w:rPr>
      </w:pPr>
      <w:r w:rsidRPr="00974DEF">
        <w:rPr>
          <w:sz w:val="24"/>
          <w:szCs w:val="24"/>
        </w:rPr>
        <w:t>Omit</w:t>
      </w:r>
      <w:r w:rsidR="00156C16" w:rsidRPr="00974DEF">
        <w:rPr>
          <w:sz w:val="24"/>
          <w:szCs w:val="24"/>
        </w:rPr>
        <w:t>:</w:t>
      </w:r>
    </w:p>
    <w:p w:rsidR="00AD3D34" w:rsidRDefault="00AD3D34" w:rsidP="00AD3D34">
      <w:pPr>
        <w:pStyle w:val="notetext"/>
        <w:ind w:left="1815"/>
        <w:rPr>
          <w:iCs/>
        </w:rPr>
      </w:pPr>
      <w:r w:rsidRPr="00906409">
        <w:rPr>
          <w:iCs/>
        </w:rPr>
        <w:t>Note</w:t>
      </w:r>
      <w:r w:rsidRPr="00D23B27">
        <w:rPr>
          <w:iCs/>
        </w:rPr>
        <w:t> </w:t>
      </w:r>
      <w:r>
        <w:rPr>
          <w:iCs/>
        </w:rPr>
        <w:tab/>
      </w:r>
      <w:r w:rsidRPr="00D23B27">
        <w:rPr>
          <w:iCs/>
        </w:rPr>
        <w:t xml:space="preserve">See Act, Schedule 1, clause 41, which defines the </w:t>
      </w:r>
      <w:r w:rsidRPr="00906409">
        <w:rPr>
          <w:iCs/>
        </w:rPr>
        <w:t xml:space="preserve">terms </w:t>
      </w:r>
      <w:r w:rsidRPr="00D23B27">
        <w:rPr>
          <w:b/>
          <w:i/>
          <w:iCs/>
        </w:rPr>
        <w:t>designated overhead line</w:t>
      </w:r>
      <w:r w:rsidRPr="00D23B27">
        <w:rPr>
          <w:iCs/>
        </w:rPr>
        <w:t xml:space="preserve">, </w:t>
      </w:r>
      <w:r w:rsidRPr="00D23B27">
        <w:rPr>
          <w:b/>
          <w:i/>
          <w:iCs/>
        </w:rPr>
        <w:t>telecommunications transmission tower</w:t>
      </w:r>
      <w:r w:rsidRPr="00D23B27">
        <w:rPr>
          <w:iCs/>
        </w:rPr>
        <w:t xml:space="preserve"> and </w:t>
      </w:r>
      <w:r w:rsidRPr="00D23B27">
        <w:rPr>
          <w:b/>
          <w:i/>
          <w:iCs/>
        </w:rPr>
        <w:t>eligible underground facility</w:t>
      </w:r>
      <w:r w:rsidRPr="00D23B27">
        <w:rPr>
          <w:iCs/>
        </w:rPr>
        <w:t>.</w:t>
      </w:r>
    </w:p>
    <w:p w:rsidR="00156C16" w:rsidRPr="00974DEF" w:rsidRDefault="00AD3D34" w:rsidP="00156C16">
      <w:pPr>
        <w:pStyle w:val="R2"/>
        <w:jc w:val="left"/>
      </w:pPr>
      <w:r w:rsidRPr="00974DEF">
        <w:tab/>
        <w:t xml:space="preserve">            Substitute:</w:t>
      </w:r>
      <w:r w:rsidR="00156C16" w:rsidRPr="00974DEF">
        <w:t xml:space="preserve"> </w:t>
      </w:r>
    </w:p>
    <w:p w:rsidR="00D53A81" w:rsidRPr="00D53A81" w:rsidRDefault="00D53A81" w:rsidP="003E097C">
      <w:pPr>
        <w:pStyle w:val="notetext"/>
        <w:spacing w:line="240" w:lineRule="auto"/>
        <w:ind w:left="1815"/>
        <w:rPr>
          <w:iCs/>
        </w:rPr>
      </w:pPr>
      <w:r w:rsidRPr="00D53A81">
        <w:rPr>
          <w:iCs/>
        </w:rPr>
        <w:t>Note 1</w:t>
      </w:r>
      <w:r w:rsidRPr="00D53A81">
        <w:rPr>
          <w:iCs/>
        </w:rPr>
        <w:tab/>
        <w:t xml:space="preserve">See Act, Schedule 1, clause 41, which defines the terms </w:t>
      </w:r>
      <w:r w:rsidRPr="00FF739C">
        <w:rPr>
          <w:b/>
          <w:i/>
          <w:iCs/>
        </w:rPr>
        <w:t>designated overhead line</w:t>
      </w:r>
      <w:r w:rsidRPr="00D53A81">
        <w:rPr>
          <w:iCs/>
        </w:rPr>
        <w:t xml:space="preserve">, </w:t>
      </w:r>
      <w:r w:rsidRPr="00FF739C">
        <w:rPr>
          <w:b/>
          <w:i/>
          <w:iCs/>
        </w:rPr>
        <w:t>telecommunications transmission tower</w:t>
      </w:r>
      <w:r w:rsidRPr="00D53A81">
        <w:rPr>
          <w:iCs/>
        </w:rPr>
        <w:t xml:space="preserve"> and </w:t>
      </w:r>
      <w:r w:rsidRPr="00FF739C">
        <w:rPr>
          <w:b/>
          <w:i/>
          <w:iCs/>
        </w:rPr>
        <w:t>eligible underground facility</w:t>
      </w:r>
      <w:r w:rsidRPr="00D53A81">
        <w:rPr>
          <w:iCs/>
        </w:rPr>
        <w:t>.</w:t>
      </w:r>
    </w:p>
    <w:p w:rsidR="00D53A81" w:rsidRPr="00D53A81" w:rsidRDefault="00D53A81" w:rsidP="00D53A81">
      <w:pPr>
        <w:pStyle w:val="notetext"/>
        <w:ind w:left="1815"/>
        <w:rPr>
          <w:iCs/>
        </w:rPr>
      </w:pPr>
      <w:r w:rsidRPr="00D53A81">
        <w:rPr>
          <w:iCs/>
        </w:rPr>
        <w:t xml:space="preserve">Note 2  </w:t>
      </w:r>
      <w:r w:rsidRPr="00D53A81">
        <w:rPr>
          <w:iCs/>
        </w:rPr>
        <w:tab/>
        <w:t>Section 4.10 of this Code specifies record keeping requirements in relation to the installation of certain temporary facilities.</w:t>
      </w:r>
    </w:p>
    <w:p w:rsidR="00AD3D34" w:rsidRDefault="00D53A81" w:rsidP="00D53A81">
      <w:pPr>
        <w:pStyle w:val="notetext"/>
        <w:ind w:left="1815"/>
        <w:rPr>
          <w:iCs/>
        </w:rPr>
      </w:pPr>
      <w:r w:rsidRPr="00D53A81">
        <w:rPr>
          <w:iCs/>
        </w:rPr>
        <w:t xml:space="preserve">Note 3  </w:t>
      </w:r>
      <w:r w:rsidRPr="00D53A81">
        <w:rPr>
          <w:iCs/>
        </w:rPr>
        <w:tab/>
        <w:t>Section 6.10 of this Code specifies record keeping requirements in relation to maintenance activities involving the installation of certain temporary facilities.</w:t>
      </w:r>
    </w:p>
    <w:p w:rsidR="00156C16" w:rsidRDefault="00156C16" w:rsidP="00156C16">
      <w:pPr>
        <w:pStyle w:val="ItemHead"/>
      </w:pPr>
      <w:proofErr w:type="gramStart"/>
      <w:r>
        <w:t>3  Heading</w:t>
      </w:r>
      <w:proofErr w:type="gramEnd"/>
      <w:r>
        <w:t xml:space="preserve"> to Division 1, Part 4 of Chapter 2 </w:t>
      </w:r>
    </w:p>
    <w:p w:rsidR="00156C16" w:rsidRPr="00974DEF" w:rsidRDefault="00156C16" w:rsidP="00156C16">
      <w:pPr>
        <w:pStyle w:val="Item"/>
        <w:rPr>
          <w:sz w:val="24"/>
          <w:szCs w:val="24"/>
        </w:rPr>
      </w:pPr>
      <w:r w:rsidRPr="00974DEF">
        <w:rPr>
          <w:sz w:val="24"/>
          <w:szCs w:val="24"/>
        </w:rPr>
        <w:t>Repeal the heading.</w:t>
      </w:r>
    </w:p>
    <w:p w:rsidR="00156C16" w:rsidRDefault="00156C16" w:rsidP="00156C16">
      <w:pPr>
        <w:pStyle w:val="ItemHead"/>
      </w:pPr>
      <w:proofErr w:type="gramStart"/>
      <w:r>
        <w:t xml:space="preserve">4  </w:t>
      </w:r>
      <w:r w:rsidR="00AD3D34">
        <w:t>S</w:t>
      </w:r>
      <w:r>
        <w:t>ection</w:t>
      </w:r>
      <w:proofErr w:type="gramEnd"/>
      <w:r>
        <w:t xml:space="preserve"> </w:t>
      </w:r>
      <w:r w:rsidR="006D4A01">
        <w:t>2</w:t>
      </w:r>
      <w:r>
        <w:t xml:space="preserve">.14 </w:t>
      </w:r>
    </w:p>
    <w:p w:rsidR="00156C16" w:rsidRPr="00974DEF" w:rsidRDefault="00156C16" w:rsidP="00156C16">
      <w:pPr>
        <w:pStyle w:val="Item"/>
        <w:rPr>
          <w:sz w:val="24"/>
          <w:szCs w:val="24"/>
        </w:rPr>
      </w:pPr>
      <w:r w:rsidRPr="00974DEF">
        <w:rPr>
          <w:sz w:val="24"/>
          <w:szCs w:val="24"/>
        </w:rPr>
        <w:t>Repeal the section.</w:t>
      </w:r>
    </w:p>
    <w:p w:rsidR="00156C16" w:rsidRDefault="00156C16" w:rsidP="00156C16">
      <w:pPr>
        <w:pStyle w:val="ItemHead"/>
      </w:pPr>
      <w:proofErr w:type="gramStart"/>
      <w:r>
        <w:t xml:space="preserve">5  </w:t>
      </w:r>
      <w:r w:rsidR="00AD3D34">
        <w:t>S</w:t>
      </w:r>
      <w:r>
        <w:t>ection</w:t>
      </w:r>
      <w:proofErr w:type="gramEnd"/>
      <w:r>
        <w:t xml:space="preserve"> 3.7 (at the end of Note 2)</w:t>
      </w:r>
    </w:p>
    <w:p w:rsidR="00156C16" w:rsidRPr="00974DEF" w:rsidRDefault="00DC6A0D" w:rsidP="00156C16">
      <w:pPr>
        <w:pStyle w:val="Item"/>
        <w:rPr>
          <w:sz w:val="24"/>
          <w:szCs w:val="24"/>
        </w:rPr>
      </w:pPr>
      <w:r w:rsidRPr="00974DEF">
        <w:rPr>
          <w:sz w:val="24"/>
          <w:szCs w:val="24"/>
        </w:rPr>
        <w:t>Add</w:t>
      </w:r>
      <w:r w:rsidR="00156C16" w:rsidRPr="00974DEF">
        <w:rPr>
          <w:sz w:val="24"/>
          <w:szCs w:val="24"/>
        </w:rPr>
        <w:t>:</w:t>
      </w:r>
    </w:p>
    <w:p w:rsidR="00156C16" w:rsidRPr="000B409B" w:rsidRDefault="00156C16" w:rsidP="00156C16">
      <w:pPr>
        <w:pStyle w:val="notetext"/>
        <w:spacing w:line="240" w:lineRule="auto"/>
        <w:ind w:left="1815"/>
        <w:rPr>
          <w:iCs/>
        </w:rPr>
      </w:pPr>
      <w:r w:rsidRPr="000B409B">
        <w:rPr>
          <w:iCs/>
        </w:rPr>
        <w:t>Note 3</w:t>
      </w:r>
      <w:r w:rsidRPr="000B409B">
        <w:rPr>
          <w:iCs/>
        </w:rPr>
        <w:tab/>
      </w:r>
      <w:r w:rsidR="004F3711" w:rsidRPr="004F3711">
        <w:rPr>
          <w:iCs/>
        </w:rPr>
        <w:t>Copies of ACMA-recognised standards are available at https://www.acma.gov.au/register-telco-industry-codes-and-standards</w:t>
      </w:r>
      <w:r w:rsidRPr="000B409B">
        <w:rPr>
          <w:iCs/>
        </w:rPr>
        <w:t xml:space="preserve"> </w:t>
      </w:r>
    </w:p>
    <w:p w:rsidR="00156C16" w:rsidRDefault="00156C16" w:rsidP="00156C16">
      <w:pPr>
        <w:pStyle w:val="ItemHead"/>
      </w:pPr>
      <w:proofErr w:type="gramStart"/>
      <w:r>
        <w:t>6  At</w:t>
      </w:r>
      <w:proofErr w:type="gramEnd"/>
      <w:r>
        <w:t xml:space="preserve"> paragraph 3.32(8)(b) </w:t>
      </w:r>
    </w:p>
    <w:p w:rsidR="00156C16" w:rsidRPr="00974DEF" w:rsidRDefault="00156C16" w:rsidP="00156C16">
      <w:pPr>
        <w:pStyle w:val="Item"/>
        <w:rPr>
          <w:sz w:val="24"/>
          <w:szCs w:val="24"/>
        </w:rPr>
      </w:pPr>
      <w:r w:rsidRPr="00974DEF">
        <w:rPr>
          <w:sz w:val="24"/>
          <w:szCs w:val="24"/>
        </w:rPr>
        <w:t>Omit “Nature Conservation Director or Heritage Chairperson”, substitute “Director of National Parks”</w:t>
      </w:r>
      <w:r w:rsidR="004A6859">
        <w:rPr>
          <w:sz w:val="24"/>
          <w:szCs w:val="24"/>
        </w:rPr>
        <w:t>.</w:t>
      </w:r>
    </w:p>
    <w:p w:rsidR="00156C16" w:rsidRDefault="00156C16" w:rsidP="00156C16">
      <w:pPr>
        <w:pStyle w:val="ItemHead"/>
      </w:pPr>
      <w:proofErr w:type="gramStart"/>
      <w:r>
        <w:t>7  After</w:t>
      </w:r>
      <w:proofErr w:type="gramEnd"/>
      <w:r>
        <w:t xml:space="preserve"> </w:t>
      </w:r>
      <w:r w:rsidR="00AD3D34">
        <w:t>s</w:t>
      </w:r>
      <w:r>
        <w:t xml:space="preserve">ection 4.3 </w:t>
      </w:r>
    </w:p>
    <w:p w:rsidR="00156C16" w:rsidRPr="00974DEF" w:rsidRDefault="00156C16" w:rsidP="00156C16">
      <w:pPr>
        <w:pStyle w:val="Item"/>
        <w:rPr>
          <w:sz w:val="24"/>
          <w:szCs w:val="24"/>
        </w:rPr>
      </w:pPr>
      <w:r w:rsidRPr="00974DEF">
        <w:rPr>
          <w:sz w:val="24"/>
          <w:szCs w:val="24"/>
        </w:rPr>
        <w:t>Insert:</w:t>
      </w:r>
    </w:p>
    <w:p w:rsidR="008C0FCA" w:rsidRPr="006F2AEF" w:rsidRDefault="007B7740" w:rsidP="007B7740">
      <w:pPr>
        <w:pStyle w:val="HR"/>
      </w:pPr>
      <w:r>
        <w:rPr>
          <w:rStyle w:val="CharSectno"/>
        </w:rPr>
        <w:t xml:space="preserve">    </w:t>
      </w:r>
      <w:r w:rsidR="008C0FCA" w:rsidRPr="006F2AEF">
        <w:rPr>
          <w:rStyle w:val="CharSectno"/>
        </w:rPr>
        <w:t>4.3A</w:t>
      </w:r>
      <w:r w:rsidR="008C0FCA" w:rsidRPr="006F2AEF">
        <w:tab/>
        <w:t>Carrier to remove temporary facilities</w:t>
      </w:r>
    </w:p>
    <w:p w:rsidR="008C0FCA" w:rsidRPr="006F2AEF" w:rsidRDefault="008C0FCA" w:rsidP="008C0FCA">
      <w:pPr>
        <w:pStyle w:val="R1"/>
        <w:jc w:val="left"/>
      </w:pPr>
      <w:r w:rsidRPr="006F2AEF">
        <w:tab/>
        <w:t>(1)</w:t>
      </w:r>
      <w:r w:rsidRPr="006F2AEF">
        <w:tab/>
        <w:t>If:</w:t>
      </w:r>
    </w:p>
    <w:p w:rsidR="008C0FCA" w:rsidRPr="006F2AEF" w:rsidRDefault="008C0FCA" w:rsidP="0066505F">
      <w:pPr>
        <w:pStyle w:val="paragraph2"/>
        <w:numPr>
          <w:ilvl w:val="0"/>
          <w:numId w:val="3"/>
        </w:numPr>
      </w:pPr>
      <w:r w:rsidRPr="006F2AEF">
        <w:t>a carrier installs a low-impact facility; and</w:t>
      </w:r>
    </w:p>
    <w:p w:rsidR="008C0FCA" w:rsidRPr="006F2AEF" w:rsidRDefault="008C0FCA" w:rsidP="0066505F">
      <w:pPr>
        <w:pStyle w:val="paragraph2"/>
        <w:numPr>
          <w:ilvl w:val="0"/>
          <w:numId w:val="3"/>
        </w:numPr>
      </w:pPr>
      <w:r w:rsidRPr="006F2AEF">
        <w:t xml:space="preserve">the installation is </w:t>
      </w:r>
      <w:r>
        <w:t xml:space="preserve">to minimise </w:t>
      </w:r>
      <w:r w:rsidRPr="00895E23">
        <w:t>disruption to the supply of a carriage service that might result from the maintenance of another facility</w:t>
      </w:r>
      <w:r w:rsidRPr="006F2AEF">
        <w:t>;</w:t>
      </w:r>
      <w:r w:rsidRPr="00F73FB4">
        <w:t xml:space="preserve"> </w:t>
      </w:r>
    </w:p>
    <w:p w:rsidR="008C0FCA" w:rsidRPr="006F2AEF" w:rsidRDefault="008C0FCA" w:rsidP="008C0FCA">
      <w:pPr>
        <w:pStyle w:val="R1"/>
        <w:tabs>
          <w:tab w:val="clear" w:pos="794"/>
          <w:tab w:val="left" w:pos="851"/>
        </w:tabs>
        <w:ind w:left="851" w:firstLine="0"/>
        <w:jc w:val="left"/>
      </w:pPr>
      <w:r w:rsidRPr="006F2AEF">
        <w:lastRenderedPageBreak/>
        <w:t>the carrier must remove the facility within 28 days after the completion of the maintenance.</w:t>
      </w:r>
    </w:p>
    <w:p w:rsidR="008C0FCA" w:rsidRPr="006F2AEF" w:rsidRDefault="008C0FCA" w:rsidP="003E097C">
      <w:pPr>
        <w:pStyle w:val="notetext"/>
        <w:ind w:left="1815"/>
        <w:rPr>
          <w:szCs w:val="18"/>
        </w:rPr>
      </w:pPr>
      <w:r>
        <w:rPr>
          <w:szCs w:val="18"/>
        </w:rPr>
        <w:t>Note</w:t>
      </w:r>
      <w:r>
        <w:rPr>
          <w:szCs w:val="18"/>
        </w:rPr>
        <w:tab/>
        <w:t>See Items 1, 2 and 8 of Part 6A of the Schedule to the LIFD.</w:t>
      </w:r>
    </w:p>
    <w:p w:rsidR="008C0FCA" w:rsidRPr="006F2AEF" w:rsidRDefault="008C0FCA" w:rsidP="008C0FCA">
      <w:pPr>
        <w:pStyle w:val="R1"/>
        <w:jc w:val="left"/>
      </w:pPr>
      <w:r w:rsidRPr="006F2AEF">
        <w:tab/>
        <w:t>(2)</w:t>
      </w:r>
      <w:r w:rsidRPr="006F2AEF">
        <w:tab/>
        <w:t>If:</w:t>
      </w:r>
    </w:p>
    <w:p w:rsidR="008C0FCA" w:rsidRPr="006F2AEF" w:rsidRDefault="008C0FCA" w:rsidP="00FF739C">
      <w:pPr>
        <w:pStyle w:val="paragraph2"/>
        <w:numPr>
          <w:ilvl w:val="0"/>
          <w:numId w:val="37"/>
        </w:numPr>
      </w:pPr>
      <w:r w:rsidRPr="006F2AEF">
        <w:t>a carrier installs a low-impact facility; and</w:t>
      </w:r>
    </w:p>
    <w:p w:rsidR="008C0FCA" w:rsidRPr="006F2AEF" w:rsidRDefault="008C0FCA" w:rsidP="00FF739C">
      <w:pPr>
        <w:pStyle w:val="paragraph2"/>
        <w:numPr>
          <w:ilvl w:val="0"/>
          <w:numId w:val="37"/>
        </w:numPr>
      </w:pPr>
      <w:r>
        <w:t xml:space="preserve">the installation </w:t>
      </w:r>
      <w:r w:rsidRPr="006F2AEF">
        <w:t xml:space="preserve">is </w:t>
      </w:r>
      <w:r>
        <w:t xml:space="preserve">to minimise </w:t>
      </w:r>
      <w:r w:rsidRPr="00895E23">
        <w:t>disruption to the supply of a carriage service that might result from carrying out the replacement of another facility</w:t>
      </w:r>
      <w:r w:rsidRPr="006F2AEF">
        <w:t>;</w:t>
      </w:r>
    </w:p>
    <w:p w:rsidR="008C0FCA" w:rsidRPr="00E369F0" w:rsidRDefault="008C0FCA" w:rsidP="008C0FCA">
      <w:pPr>
        <w:pStyle w:val="Note"/>
        <w:ind w:left="993"/>
        <w:jc w:val="left"/>
        <w:rPr>
          <w:sz w:val="24"/>
          <w:szCs w:val="24"/>
        </w:rPr>
      </w:pPr>
      <w:r w:rsidRPr="00E369F0">
        <w:rPr>
          <w:sz w:val="24"/>
          <w:szCs w:val="24"/>
        </w:rPr>
        <w:t>the carrier must remove the facility within 28 days after the completion of the replacement.</w:t>
      </w:r>
    </w:p>
    <w:p w:rsidR="008C0FCA" w:rsidRPr="00AF13E0" w:rsidRDefault="008C0FCA" w:rsidP="003E097C">
      <w:pPr>
        <w:pStyle w:val="notetext"/>
        <w:ind w:left="1815"/>
        <w:rPr>
          <w:szCs w:val="18"/>
        </w:rPr>
      </w:pPr>
      <w:r w:rsidRPr="00AF13E0">
        <w:rPr>
          <w:szCs w:val="18"/>
        </w:rPr>
        <w:t xml:space="preserve">Note </w:t>
      </w:r>
      <w:r>
        <w:rPr>
          <w:szCs w:val="18"/>
        </w:rPr>
        <w:tab/>
      </w:r>
      <w:r w:rsidRPr="00AF13E0">
        <w:rPr>
          <w:szCs w:val="18"/>
        </w:rPr>
        <w:t>See</w:t>
      </w:r>
      <w:r>
        <w:rPr>
          <w:szCs w:val="18"/>
        </w:rPr>
        <w:t xml:space="preserve"> Items 3, 4 and 8 of Part 6A of the Schedule to the LIFD.</w:t>
      </w:r>
    </w:p>
    <w:p w:rsidR="008C0FCA" w:rsidRPr="006F2AEF" w:rsidRDefault="008C0FCA" w:rsidP="008C0FCA">
      <w:pPr>
        <w:pStyle w:val="R1"/>
        <w:jc w:val="left"/>
      </w:pPr>
      <w:r w:rsidRPr="006F2AEF">
        <w:tab/>
        <w:t>(3)</w:t>
      </w:r>
      <w:r w:rsidRPr="006F2AEF">
        <w:tab/>
        <w:t>If:</w:t>
      </w:r>
    </w:p>
    <w:p w:rsidR="0066505F" w:rsidRDefault="008C0FCA" w:rsidP="0066505F">
      <w:pPr>
        <w:pStyle w:val="paragraph2"/>
        <w:numPr>
          <w:ilvl w:val="0"/>
          <w:numId w:val="33"/>
        </w:numPr>
      </w:pPr>
      <w:r w:rsidRPr="006F2AEF">
        <w:t>a carrier installs a low-impact facility; and</w:t>
      </w:r>
    </w:p>
    <w:p w:rsidR="008C0FCA" w:rsidRPr="006F2AEF" w:rsidRDefault="008C0FCA" w:rsidP="0066505F">
      <w:pPr>
        <w:pStyle w:val="paragraph2"/>
        <w:numPr>
          <w:ilvl w:val="0"/>
          <w:numId w:val="33"/>
        </w:numPr>
      </w:pPr>
      <w:r w:rsidRPr="006F2AEF">
        <w:t xml:space="preserve">the installation is </w:t>
      </w:r>
      <w:r w:rsidR="0074557C">
        <w:t>for the purpose of</w:t>
      </w:r>
      <w:r>
        <w:t xml:space="preserve"> providing</w:t>
      </w:r>
      <w:r w:rsidRPr="00895E23">
        <w:t xml:space="preserve"> additional capacity to supply carriage service</w:t>
      </w:r>
      <w:r>
        <w:t>s</w:t>
      </w:r>
      <w:r w:rsidRPr="00895E23">
        <w:t xml:space="preserve"> to persons who are attending </w:t>
      </w:r>
      <w:r>
        <w:t>an event at a venue</w:t>
      </w:r>
      <w:r w:rsidRPr="006F2AEF">
        <w:t>;</w:t>
      </w:r>
    </w:p>
    <w:p w:rsidR="008C0FCA" w:rsidRPr="006F2AEF" w:rsidRDefault="008C0FCA" w:rsidP="008C0FCA">
      <w:pPr>
        <w:pStyle w:val="R1"/>
        <w:jc w:val="left"/>
      </w:pPr>
      <w:r>
        <w:tab/>
      </w:r>
      <w:r>
        <w:tab/>
      </w:r>
      <w:r w:rsidRPr="006F2AEF">
        <w:t>the carrier must remove the facility within 28 days after the end of the event.</w:t>
      </w:r>
    </w:p>
    <w:p w:rsidR="008C0FCA" w:rsidRPr="003E097C" w:rsidRDefault="008C0FCA" w:rsidP="003E097C">
      <w:pPr>
        <w:pStyle w:val="notetext"/>
        <w:ind w:left="1815"/>
        <w:rPr>
          <w:szCs w:val="18"/>
        </w:rPr>
      </w:pPr>
      <w:r>
        <w:rPr>
          <w:szCs w:val="18"/>
        </w:rPr>
        <w:t>Note</w:t>
      </w:r>
      <w:r>
        <w:rPr>
          <w:szCs w:val="18"/>
        </w:rPr>
        <w:tab/>
        <w:t>See Items 5 and 8 of Part 6A of the Schedule to the LIFD.</w:t>
      </w:r>
      <w:r w:rsidRPr="003E097C">
        <w:rPr>
          <w:szCs w:val="18"/>
        </w:rPr>
        <w:t xml:space="preserve"> </w:t>
      </w:r>
    </w:p>
    <w:p w:rsidR="008C0FCA" w:rsidRPr="006F2AEF" w:rsidRDefault="008C0FCA" w:rsidP="008C0FCA">
      <w:pPr>
        <w:pStyle w:val="R1"/>
        <w:ind w:hanging="397"/>
        <w:jc w:val="left"/>
      </w:pPr>
      <w:r w:rsidRPr="0066472A">
        <w:t>(4)</w:t>
      </w:r>
      <w:r>
        <w:tab/>
      </w:r>
      <w:r w:rsidRPr="0066472A">
        <w:t xml:space="preserve"> If:</w:t>
      </w:r>
    </w:p>
    <w:p w:rsidR="008C0FCA" w:rsidRPr="006F2AEF" w:rsidRDefault="008C0FCA" w:rsidP="0066505F">
      <w:pPr>
        <w:pStyle w:val="paragraph2"/>
        <w:numPr>
          <w:ilvl w:val="0"/>
          <w:numId w:val="34"/>
        </w:numPr>
      </w:pPr>
      <w:r w:rsidRPr="006F2AEF">
        <w:t>a carrier installs a low-impact facility; and</w:t>
      </w:r>
    </w:p>
    <w:p w:rsidR="008C0FCA" w:rsidRPr="006F2AEF" w:rsidRDefault="008C0FCA" w:rsidP="0066505F">
      <w:pPr>
        <w:pStyle w:val="paragraph2"/>
        <w:numPr>
          <w:ilvl w:val="0"/>
          <w:numId w:val="34"/>
        </w:numPr>
      </w:pPr>
      <w:r w:rsidRPr="006F2AEF">
        <w:t xml:space="preserve">the installation is </w:t>
      </w:r>
      <w:r>
        <w:t>for the purpose of providing</w:t>
      </w:r>
      <w:r w:rsidRPr="00895E23">
        <w:t xml:space="preserve"> additional capacity to supply carriage service</w:t>
      </w:r>
      <w:r>
        <w:t>s</w:t>
      </w:r>
      <w:r w:rsidRPr="00895E23">
        <w:t xml:space="preserve"> to persons who are attending any or all of 2 or more events at a venue</w:t>
      </w:r>
      <w:r w:rsidRPr="006F2AEF">
        <w:t>;</w:t>
      </w:r>
      <w:r w:rsidRPr="00E37B29">
        <w:t xml:space="preserve"> </w:t>
      </w:r>
    </w:p>
    <w:p w:rsidR="008C0FCA" w:rsidRDefault="008C0FCA" w:rsidP="008C0FCA">
      <w:pPr>
        <w:pStyle w:val="R1"/>
        <w:ind w:left="993" w:hanging="142"/>
        <w:jc w:val="left"/>
      </w:pPr>
      <w:r>
        <w:tab/>
      </w:r>
      <w:r w:rsidRPr="006F2AEF">
        <w:t>the carrier must remove the facility within 28 days after the end of the last of the events.</w:t>
      </w:r>
    </w:p>
    <w:p w:rsidR="008C0FCA" w:rsidRPr="0066472A" w:rsidRDefault="008C0FCA" w:rsidP="003E097C">
      <w:pPr>
        <w:pStyle w:val="notetext"/>
        <w:ind w:left="1815"/>
        <w:rPr>
          <w:szCs w:val="18"/>
        </w:rPr>
      </w:pPr>
      <w:r>
        <w:rPr>
          <w:szCs w:val="18"/>
        </w:rPr>
        <w:t>Note</w:t>
      </w:r>
      <w:r>
        <w:rPr>
          <w:szCs w:val="18"/>
        </w:rPr>
        <w:tab/>
        <w:t>See Items 6 and 8 of Part 6A of the Schedule to the LIFD.</w:t>
      </w:r>
    </w:p>
    <w:p w:rsidR="008C0FCA" w:rsidRPr="006F2AEF" w:rsidRDefault="008C0FCA" w:rsidP="008C0FCA">
      <w:pPr>
        <w:pStyle w:val="R1"/>
        <w:jc w:val="left"/>
      </w:pPr>
      <w:r w:rsidRPr="006F2AEF">
        <w:tab/>
        <w:t xml:space="preserve"> </w:t>
      </w:r>
      <w:r w:rsidR="0066505F">
        <w:t xml:space="preserve">         (5) </w:t>
      </w:r>
      <w:r w:rsidRPr="006F2AEF">
        <w:t>If:</w:t>
      </w:r>
    </w:p>
    <w:p w:rsidR="008C0FCA" w:rsidRPr="006F2AEF" w:rsidRDefault="008C0FCA" w:rsidP="00EF321D">
      <w:pPr>
        <w:pStyle w:val="paragraph2"/>
        <w:numPr>
          <w:ilvl w:val="0"/>
          <w:numId w:val="36"/>
        </w:numPr>
      </w:pPr>
      <w:r w:rsidRPr="006F2AEF">
        <w:t>a carrier installs a low-impact facility; and</w:t>
      </w:r>
    </w:p>
    <w:p w:rsidR="008C0FCA" w:rsidRPr="006F2AEF" w:rsidRDefault="008C0FCA" w:rsidP="00EF321D">
      <w:pPr>
        <w:pStyle w:val="paragraph2"/>
        <w:numPr>
          <w:ilvl w:val="0"/>
          <w:numId w:val="36"/>
        </w:numPr>
      </w:pPr>
      <w:r w:rsidRPr="006F2AEF">
        <w:t xml:space="preserve">the installation is </w:t>
      </w:r>
      <w:r>
        <w:t xml:space="preserve">for the purpose of providing </w:t>
      </w:r>
      <w:r w:rsidRPr="00895E23">
        <w:t>additional capacity to supply carriage service</w:t>
      </w:r>
      <w:r>
        <w:t>s</w:t>
      </w:r>
      <w:r w:rsidRPr="00895E23">
        <w:t xml:space="preserve"> to persons who are physically present in a particular area during a high-demand holiday period</w:t>
      </w:r>
      <w:r>
        <w:t>;</w:t>
      </w:r>
      <w:r w:rsidRPr="00E37B29">
        <w:t xml:space="preserve"> </w:t>
      </w:r>
    </w:p>
    <w:p w:rsidR="008C0FCA" w:rsidRPr="006F2AEF" w:rsidRDefault="008C0FCA" w:rsidP="008C0FCA">
      <w:pPr>
        <w:pStyle w:val="R1"/>
        <w:ind w:firstLine="0"/>
        <w:jc w:val="left"/>
      </w:pPr>
      <w:r w:rsidRPr="006F2AEF">
        <w:t xml:space="preserve">the carrier must remove the facility within 28 days after the end of the </w:t>
      </w:r>
      <w:r>
        <w:t>high-  demand holiday period</w:t>
      </w:r>
      <w:r w:rsidRPr="006F2AEF">
        <w:t>.</w:t>
      </w:r>
    </w:p>
    <w:p w:rsidR="008C0FCA" w:rsidRDefault="008C0FCA" w:rsidP="008C0FCA">
      <w:pPr>
        <w:rPr>
          <w:rFonts w:eastAsia="Times New Roman"/>
          <w:iCs/>
          <w:sz w:val="18"/>
        </w:rPr>
      </w:pPr>
    </w:p>
    <w:p w:rsidR="008C0FCA" w:rsidRDefault="008C0FCA" w:rsidP="003E097C">
      <w:pPr>
        <w:pStyle w:val="notetext"/>
        <w:ind w:left="1815"/>
        <w:rPr>
          <w:iCs/>
        </w:rPr>
      </w:pPr>
      <w:r w:rsidRPr="00821026">
        <w:rPr>
          <w:iCs/>
        </w:rPr>
        <w:t xml:space="preserve">Note </w:t>
      </w:r>
      <w:r>
        <w:rPr>
          <w:iCs/>
        </w:rPr>
        <w:t xml:space="preserve">1     </w:t>
      </w:r>
      <w:r w:rsidRPr="00821026">
        <w:rPr>
          <w:iCs/>
        </w:rPr>
        <w:t>The term ‘</w:t>
      </w:r>
      <w:r w:rsidRPr="006F6DF0">
        <w:rPr>
          <w:iCs/>
        </w:rPr>
        <w:t>high-demand holiday period</w:t>
      </w:r>
      <w:r w:rsidRPr="00821026">
        <w:rPr>
          <w:iCs/>
        </w:rPr>
        <w:t xml:space="preserve">’ </w:t>
      </w:r>
      <w:r w:rsidRPr="006F6DF0">
        <w:rPr>
          <w:iCs/>
        </w:rPr>
        <w:t>has the same meaning as in clause 2 of Schedule 3 to the Act.</w:t>
      </w:r>
    </w:p>
    <w:p w:rsidR="008C0FCA" w:rsidRPr="006F6DF0" w:rsidRDefault="008C0FCA" w:rsidP="003E097C">
      <w:pPr>
        <w:pStyle w:val="notetext"/>
        <w:ind w:left="1815"/>
        <w:rPr>
          <w:iCs/>
        </w:rPr>
      </w:pPr>
      <w:r>
        <w:rPr>
          <w:iCs/>
        </w:rPr>
        <w:t xml:space="preserve">Note 2   </w:t>
      </w:r>
      <w:r w:rsidR="00974DEF">
        <w:rPr>
          <w:iCs/>
        </w:rPr>
        <w:t xml:space="preserve"> </w:t>
      </w:r>
      <w:r>
        <w:rPr>
          <w:iCs/>
        </w:rPr>
        <w:t>See Items 7 and 8 of Part 6A of the Schedule to the LIFD.</w:t>
      </w:r>
    </w:p>
    <w:p w:rsidR="008C0FCA" w:rsidRPr="006F6DF0" w:rsidRDefault="008C0FCA" w:rsidP="008C0FCA"/>
    <w:p w:rsidR="008C0FCA" w:rsidRPr="006F2AEF" w:rsidRDefault="008C0FCA" w:rsidP="008C0FCA">
      <w:pPr>
        <w:pStyle w:val="R1"/>
        <w:jc w:val="left"/>
      </w:pPr>
      <w:r>
        <w:tab/>
        <w:t xml:space="preserve"> </w:t>
      </w:r>
      <w:r w:rsidRPr="006F2AEF">
        <w:t>(</w:t>
      </w:r>
      <w:r>
        <w:t>6</w:t>
      </w:r>
      <w:r w:rsidRPr="006F2AEF">
        <w:t>)</w:t>
      </w:r>
      <w:r w:rsidRPr="006F2AEF">
        <w:tab/>
        <w:t>If:</w:t>
      </w:r>
    </w:p>
    <w:p w:rsidR="008C0FCA" w:rsidRPr="006F2AEF" w:rsidRDefault="008C0FCA" w:rsidP="008C0FCA">
      <w:pPr>
        <w:pStyle w:val="R1"/>
        <w:tabs>
          <w:tab w:val="clear" w:pos="794"/>
          <w:tab w:val="left" w:pos="851"/>
        </w:tabs>
        <w:ind w:left="1701" w:hanging="1701"/>
        <w:jc w:val="left"/>
      </w:pPr>
      <w:r w:rsidRPr="006F2AEF">
        <w:tab/>
        <w:t>(a)</w:t>
      </w:r>
      <w:r w:rsidRPr="006F2AEF">
        <w:tab/>
        <w:t>a carrier installs a low-impact facility; and</w:t>
      </w:r>
    </w:p>
    <w:p w:rsidR="008C0FCA" w:rsidRPr="006F2AEF" w:rsidRDefault="008C0FCA" w:rsidP="008C0FCA">
      <w:pPr>
        <w:pStyle w:val="R1"/>
        <w:tabs>
          <w:tab w:val="clear" w:pos="794"/>
          <w:tab w:val="left" w:pos="851"/>
        </w:tabs>
        <w:ind w:left="1701" w:hanging="1701"/>
        <w:jc w:val="left"/>
      </w:pPr>
      <w:r>
        <w:lastRenderedPageBreak/>
        <w:tab/>
      </w:r>
      <w:r w:rsidRPr="006F2AEF">
        <w:t>(b)</w:t>
      </w:r>
      <w:r w:rsidRPr="006F2AEF">
        <w:tab/>
        <w:t xml:space="preserve">the installation is </w:t>
      </w:r>
      <w:r w:rsidRPr="00893F61">
        <w:t>wholly or partly to provide capacity to supply</w:t>
      </w:r>
      <w:r>
        <w:t xml:space="preserve"> </w:t>
      </w:r>
      <w:r w:rsidRPr="00893F61">
        <w:t>carriage service</w:t>
      </w:r>
      <w:r>
        <w:t xml:space="preserve">s </w:t>
      </w:r>
      <w:r w:rsidRPr="00893F61">
        <w:t>to one or more emergency services organisations so that those organisations can deal with an emergency or natural disaster</w:t>
      </w:r>
      <w:r w:rsidRPr="006F2AEF">
        <w:t>;</w:t>
      </w:r>
    </w:p>
    <w:p w:rsidR="008C0FCA" w:rsidRDefault="008C0FCA" w:rsidP="008C0FCA">
      <w:pPr>
        <w:pStyle w:val="R1"/>
        <w:ind w:firstLine="0"/>
        <w:jc w:val="left"/>
      </w:pPr>
      <w:r w:rsidRPr="006F2AEF">
        <w:t>the carrier must remove the facility within 28 days after the facility ceases to be needed to provide capacity to supply carriage services to one or more emergency services organisations so that those organisations can deal with an</w:t>
      </w:r>
      <w:r>
        <w:t xml:space="preserve"> emergency or natural disaster.</w:t>
      </w:r>
    </w:p>
    <w:p w:rsidR="008C0FCA" w:rsidRDefault="008C0FCA" w:rsidP="008C0FCA">
      <w:pPr>
        <w:rPr>
          <w:rFonts w:eastAsia="Times New Roman"/>
          <w:iCs/>
          <w:sz w:val="18"/>
        </w:rPr>
      </w:pPr>
    </w:p>
    <w:p w:rsidR="008C0FCA" w:rsidRDefault="008C0FCA" w:rsidP="003E097C">
      <w:pPr>
        <w:pStyle w:val="notetext"/>
        <w:ind w:left="1815"/>
        <w:rPr>
          <w:iCs/>
        </w:rPr>
      </w:pPr>
      <w:r w:rsidRPr="00821026">
        <w:rPr>
          <w:iCs/>
        </w:rPr>
        <w:t xml:space="preserve">Note </w:t>
      </w:r>
      <w:r>
        <w:rPr>
          <w:iCs/>
        </w:rPr>
        <w:t xml:space="preserve">1     </w:t>
      </w:r>
      <w:r w:rsidRPr="00821026">
        <w:rPr>
          <w:iCs/>
        </w:rPr>
        <w:t>The term ‘</w:t>
      </w:r>
      <w:r>
        <w:rPr>
          <w:iCs/>
        </w:rPr>
        <w:t>emergency services organisation</w:t>
      </w:r>
      <w:r w:rsidRPr="00821026">
        <w:rPr>
          <w:iCs/>
        </w:rPr>
        <w:t xml:space="preserve">’ is defined in </w:t>
      </w:r>
      <w:r>
        <w:rPr>
          <w:iCs/>
        </w:rPr>
        <w:t>section 1.5 of the LIFD.</w:t>
      </w:r>
    </w:p>
    <w:p w:rsidR="008C0FCA" w:rsidRDefault="003E097C" w:rsidP="003E097C">
      <w:pPr>
        <w:pStyle w:val="notetext"/>
        <w:ind w:left="1815"/>
        <w:rPr>
          <w:iCs/>
        </w:rPr>
      </w:pPr>
      <w:r>
        <w:rPr>
          <w:iCs/>
        </w:rPr>
        <w:t xml:space="preserve">Note 2     </w:t>
      </w:r>
      <w:r w:rsidR="008C0FCA">
        <w:rPr>
          <w:iCs/>
        </w:rPr>
        <w:t>See Item 2 of Part 7 of the Schedule to the LIFD.</w:t>
      </w:r>
    </w:p>
    <w:p w:rsidR="008C0FCA" w:rsidRPr="003E097C" w:rsidRDefault="008C0FCA" w:rsidP="003E097C">
      <w:pPr>
        <w:pStyle w:val="notetext"/>
        <w:ind w:left="1815"/>
        <w:rPr>
          <w:iCs/>
        </w:rPr>
      </w:pPr>
      <w:r w:rsidRPr="003E097C">
        <w:rPr>
          <w:iCs/>
        </w:rPr>
        <w:tab/>
        <w:t xml:space="preserve"> </w:t>
      </w:r>
    </w:p>
    <w:p w:rsidR="00156C16" w:rsidRDefault="00156C16" w:rsidP="00156C16">
      <w:pPr>
        <w:pStyle w:val="ItemHead"/>
      </w:pPr>
      <w:proofErr w:type="gramStart"/>
      <w:r>
        <w:t>8  Heading</w:t>
      </w:r>
      <w:proofErr w:type="gramEnd"/>
      <w:r>
        <w:t xml:space="preserve"> to section 4.4 </w:t>
      </w:r>
    </w:p>
    <w:p w:rsidR="00156C16" w:rsidRPr="00974DEF" w:rsidRDefault="00156C16" w:rsidP="00156C16">
      <w:pPr>
        <w:pStyle w:val="Item"/>
        <w:rPr>
          <w:sz w:val="24"/>
          <w:szCs w:val="24"/>
        </w:rPr>
      </w:pPr>
      <w:r w:rsidRPr="00974DEF">
        <w:rPr>
          <w:sz w:val="24"/>
          <w:szCs w:val="24"/>
        </w:rPr>
        <w:t>Omit:</w:t>
      </w:r>
    </w:p>
    <w:p w:rsidR="00156C16" w:rsidRDefault="00156C16" w:rsidP="00347B50">
      <w:pPr>
        <w:pStyle w:val="HR"/>
        <w:ind w:hanging="244"/>
      </w:pPr>
      <w:bookmarkStart w:id="12" w:name="_Toc54753348"/>
      <w:r>
        <w:rPr>
          <w:rStyle w:val="CharSectno"/>
        </w:rPr>
        <w:t>4.4</w:t>
      </w:r>
      <w:r>
        <w:tab/>
        <w:t>Carrier to restore land</w:t>
      </w:r>
      <w:bookmarkEnd w:id="12"/>
    </w:p>
    <w:p w:rsidR="00347B50" w:rsidRDefault="00347B50" w:rsidP="00156C16">
      <w:pPr>
        <w:pStyle w:val="Item"/>
        <w:ind w:left="0" w:firstLine="709"/>
        <w:rPr>
          <w:sz w:val="24"/>
          <w:szCs w:val="24"/>
        </w:rPr>
      </w:pPr>
    </w:p>
    <w:p w:rsidR="00156C16" w:rsidRPr="00974DEF" w:rsidRDefault="00156C16" w:rsidP="00156C16">
      <w:pPr>
        <w:pStyle w:val="Item"/>
        <w:ind w:left="0" w:firstLine="709"/>
        <w:rPr>
          <w:sz w:val="24"/>
          <w:szCs w:val="24"/>
        </w:rPr>
      </w:pPr>
      <w:r w:rsidRPr="00974DEF">
        <w:rPr>
          <w:sz w:val="24"/>
          <w:szCs w:val="24"/>
        </w:rPr>
        <w:t>Substitute:</w:t>
      </w:r>
    </w:p>
    <w:p w:rsidR="00156C16" w:rsidRDefault="00156C16" w:rsidP="00347B50">
      <w:pPr>
        <w:pStyle w:val="HR"/>
        <w:ind w:hanging="255"/>
      </w:pPr>
      <w:r>
        <w:rPr>
          <w:rStyle w:val="CharSectno"/>
        </w:rPr>
        <w:t>4.4</w:t>
      </w:r>
      <w:r>
        <w:tab/>
        <w:t>Carrier to restore land—general</w:t>
      </w:r>
    </w:p>
    <w:p w:rsidR="00156C16" w:rsidRDefault="00156C16" w:rsidP="00156C16">
      <w:pPr>
        <w:pStyle w:val="ItemHead"/>
      </w:pPr>
      <w:proofErr w:type="gramStart"/>
      <w:r>
        <w:t>9  After</w:t>
      </w:r>
      <w:proofErr w:type="gramEnd"/>
      <w:r>
        <w:t xml:space="preserve"> section 4.4 </w:t>
      </w:r>
    </w:p>
    <w:p w:rsidR="00156C16" w:rsidRPr="00974DEF" w:rsidRDefault="00156C16" w:rsidP="00156C16">
      <w:pPr>
        <w:pStyle w:val="Item"/>
        <w:ind w:left="0" w:firstLine="709"/>
        <w:rPr>
          <w:sz w:val="24"/>
          <w:szCs w:val="24"/>
        </w:rPr>
      </w:pPr>
      <w:r w:rsidRPr="00974DEF">
        <w:rPr>
          <w:sz w:val="24"/>
          <w:szCs w:val="24"/>
        </w:rPr>
        <w:t>Insert:</w:t>
      </w:r>
    </w:p>
    <w:p w:rsidR="008C0FCA" w:rsidRPr="00347B50" w:rsidRDefault="008C0FCA" w:rsidP="00347B50">
      <w:pPr>
        <w:pStyle w:val="HR"/>
        <w:ind w:hanging="255"/>
      </w:pPr>
      <w:r w:rsidRPr="00347B50">
        <w:rPr>
          <w:rStyle w:val="CharSectno"/>
        </w:rPr>
        <w:t>4.4A</w:t>
      </w:r>
      <w:r w:rsidRPr="00347B50">
        <w:rPr>
          <w:rStyle w:val="CharSectno"/>
        </w:rPr>
        <w:tab/>
      </w:r>
      <w:r w:rsidRPr="00347B50">
        <w:t>Carrier to restore land—removal of temporary facilities</w:t>
      </w:r>
    </w:p>
    <w:p w:rsidR="008C0FCA" w:rsidRPr="00EC4DC6" w:rsidRDefault="00347B50" w:rsidP="008C0FCA">
      <w:pPr>
        <w:pStyle w:val="subsection"/>
        <w:rPr>
          <w:sz w:val="24"/>
          <w:szCs w:val="24"/>
        </w:rPr>
      </w:pPr>
      <w:r>
        <w:tab/>
      </w:r>
      <w:r w:rsidR="008C0FCA" w:rsidRPr="00EC4DC6">
        <w:rPr>
          <w:sz w:val="24"/>
          <w:szCs w:val="24"/>
        </w:rPr>
        <w:t>(1)</w:t>
      </w:r>
      <w:r w:rsidR="008C0FCA" w:rsidRPr="00EC4DC6">
        <w:rPr>
          <w:sz w:val="24"/>
          <w:szCs w:val="24"/>
        </w:rPr>
        <w:tab/>
        <w:t>If a carrier engages in a low-impact facility activity:</w:t>
      </w:r>
    </w:p>
    <w:p w:rsidR="00B16832" w:rsidRDefault="008C0FCA" w:rsidP="00BD5A4B">
      <w:pPr>
        <w:pStyle w:val="paragraph0"/>
        <w:numPr>
          <w:ilvl w:val="0"/>
          <w:numId w:val="35"/>
        </w:numPr>
        <w:rPr>
          <w:sz w:val="24"/>
          <w:szCs w:val="24"/>
        </w:rPr>
      </w:pPr>
      <w:r w:rsidRPr="00EC4DC6">
        <w:rPr>
          <w:sz w:val="24"/>
          <w:szCs w:val="24"/>
        </w:rPr>
        <w:t xml:space="preserve">the </w:t>
      </w:r>
      <w:r>
        <w:rPr>
          <w:sz w:val="24"/>
          <w:szCs w:val="24"/>
        </w:rPr>
        <w:t xml:space="preserve">activity involves the installation of </w:t>
      </w:r>
      <w:r w:rsidRPr="00EC4DC6">
        <w:rPr>
          <w:sz w:val="24"/>
          <w:szCs w:val="24"/>
        </w:rPr>
        <w:t>a low</w:t>
      </w:r>
      <w:r w:rsidRPr="00EC4DC6">
        <w:rPr>
          <w:sz w:val="24"/>
          <w:szCs w:val="24"/>
        </w:rPr>
        <w:noBreakHyphen/>
        <w:t xml:space="preserve">impact </w:t>
      </w:r>
      <w:r>
        <w:rPr>
          <w:sz w:val="24"/>
          <w:szCs w:val="24"/>
        </w:rPr>
        <w:t>facility for any of the following purposes:</w:t>
      </w:r>
    </w:p>
    <w:p w:rsidR="008C0FCA" w:rsidRPr="00B16832" w:rsidRDefault="008C0FCA" w:rsidP="00B16832">
      <w:pPr>
        <w:pStyle w:val="paragraph0"/>
        <w:numPr>
          <w:ilvl w:val="0"/>
          <w:numId w:val="4"/>
        </w:numPr>
        <w:rPr>
          <w:sz w:val="24"/>
          <w:szCs w:val="24"/>
        </w:rPr>
      </w:pPr>
      <w:r w:rsidRPr="00B16832">
        <w:rPr>
          <w:sz w:val="24"/>
          <w:szCs w:val="24"/>
        </w:rPr>
        <w:t>to minimise disruption to the supply of a carriage service that might result from carrying out the maintenance of another facility;</w:t>
      </w:r>
    </w:p>
    <w:p w:rsidR="008C0FCA" w:rsidRPr="00B16832" w:rsidRDefault="008C0FCA" w:rsidP="00B16832">
      <w:pPr>
        <w:pStyle w:val="paragraph2"/>
        <w:numPr>
          <w:ilvl w:val="0"/>
          <w:numId w:val="4"/>
        </w:numPr>
        <w:rPr>
          <w:rFonts w:eastAsia="Times New Roman"/>
          <w:noProof w:val="0"/>
          <w:lang w:val="en-AU"/>
        </w:rPr>
      </w:pPr>
      <w:r w:rsidRPr="00B16832">
        <w:rPr>
          <w:rFonts w:eastAsia="Times New Roman"/>
          <w:noProof w:val="0"/>
          <w:lang w:val="en-AU"/>
        </w:rPr>
        <w:t>to minimise disruption to the supply of a carriage service that might result from carrying out the replacement of another facility;</w:t>
      </w:r>
    </w:p>
    <w:p w:rsidR="008C0FCA" w:rsidRPr="00B16832" w:rsidRDefault="008C0FCA" w:rsidP="00B16832">
      <w:pPr>
        <w:pStyle w:val="paragraph2"/>
        <w:numPr>
          <w:ilvl w:val="0"/>
          <w:numId w:val="4"/>
        </w:numPr>
        <w:rPr>
          <w:rFonts w:eastAsia="Times New Roman"/>
          <w:noProof w:val="0"/>
          <w:lang w:val="en-AU"/>
        </w:rPr>
      </w:pPr>
      <w:r w:rsidRPr="00B16832">
        <w:rPr>
          <w:rFonts w:eastAsia="Times New Roman"/>
          <w:noProof w:val="0"/>
          <w:lang w:val="en-AU"/>
        </w:rPr>
        <w:t>to provide additional capacity to supply carriage services to persons who are attending an event at a venue;</w:t>
      </w:r>
    </w:p>
    <w:p w:rsidR="008C0FCA" w:rsidRPr="00B16832" w:rsidRDefault="008C0FCA" w:rsidP="00B16832">
      <w:pPr>
        <w:pStyle w:val="paragraph2"/>
        <w:numPr>
          <w:ilvl w:val="0"/>
          <w:numId w:val="4"/>
        </w:numPr>
        <w:rPr>
          <w:rFonts w:eastAsia="Times New Roman"/>
          <w:noProof w:val="0"/>
          <w:lang w:val="en-AU"/>
        </w:rPr>
      </w:pPr>
      <w:r w:rsidRPr="00B16832">
        <w:rPr>
          <w:rFonts w:eastAsia="Times New Roman"/>
          <w:noProof w:val="0"/>
          <w:lang w:val="en-AU"/>
        </w:rPr>
        <w:t>to provide additional capacity to supply carriage services to persons who are attending any or all of 2 or more events at a venue;</w:t>
      </w:r>
    </w:p>
    <w:p w:rsidR="008C0FCA" w:rsidRPr="00B16832" w:rsidRDefault="008C0FCA" w:rsidP="00B16832">
      <w:pPr>
        <w:pStyle w:val="paragraph2"/>
        <w:numPr>
          <w:ilvl w:val="0"/>
          <w:numId w:val="4"/>
        </w:numPr>
        <w:rPr>
          <w:rFonts w:eastAsia="Times New Roman"/>
          <w:noProof w:val="0"/>
          <w:lang w:val="en-AU"/>
        </w:rPr>
      </w:pPr>
      <w:r w:rsidRPr="00B16832">
        <w:rPr>
          <w:rFonts w:eastAsia="Times New Roman"/>
          <w:noProof w:val="0"/>
          <w:lang w:val="en-AU"/>
        </w:rPr>
        <w:t xml:space="preserve">to provide additional capacity to supply carriage services to person who are physically present in a particular area during a high-demand holiday period; </w:t>
      </w:r>
    </w:p>
    <w:p w:rsidR="00B16832" w:rsidRDefault="008C0FCA" w:rsidP="00B16832">
      <w:pPr>
        <w:pStyle w:val="paragraph2"/>
        <w:numPr>
          <w:ilvl w:val="0"/>
          <w:numId w:val="4"/>
        </w:numPr>
      </w:pPr>
      <w:r w:rsidRPr="00B16832">
        <w:rPr>
          <w:rFonts w:eastAsia="Times New Roman"/>
          <w:noProof w:val="0"/>
          <w:lang w:val="en-AU"/>
        </w:rPr>
        <w:lastRenderedPageBreak/>
        <w:t>to</w:t>
      </w:r>
      <w:r w:rsidRPr="008C0FCA">
        <w:t xml:space="preserve"> provide capacity to supply carriage services to one or more emergency service organisations so that the those organisations can deal with an emergency or natural disaster;</w:t>
      </w:r>
      <w:r w:rsidR="00397098">
        <w:t xml:space="preserve"> </w:t>
      </w:r>
      <w:r w:rsidR="009A36A1">
        <w:t>and</w:t>
      </w:r>
    </w:p>
    <w:p w:rsidR="008C0FCA" w:rsidRPr="00EC4DC6" w:rsidRDefault="008C0FCA" w:rsidP="00B16832">
      <w:pPr>
        <w:pStyle w:val="paragraph2"/>
        <w:numPr>
          <w:ilvl w:val="0"/>
          <w:numId w:val="4"/>
        </w:numPr>
      </w:pPr>
      <w:r w:rsidRPr="00B16832">
        <w:rPr>
          <w:rFonts w:eastAsia="Times New Roman"/>
          <w:noProof w:val="0"/>
          <w:lang w:val="en-AU"/>
        </w:rPr>
        <w:t>the</w:t>
      </w:r>
      <w:r w:rsidRPr="00EC4DC6">
        <w:t xml:space="preserve"> carrier removes the facility;</w:t>
      </w:r>
    </w:p>
    <w:p w:rsidR="008C0FCA" w:rsidRPr="00EC4DC6" w:rsidRDefault="00EE3E3A" w:rsidP="00EE3E3A">
      <w:pPr>
        <w:pStyle w:val="subsection2"/>
        <w:rPr>
          <w:sz w:val="24"/>
          <w:szCs w:val="24"/>
        </w:rPr>
      </w:pPr>
      <w:r>
        <w:rPr>
          <w:sz w:val="24"/>
          <w:szCs w:val="24"/>
        </w:rPr>
        <w:t xml:space="preserve"> </w:t>
      </w:r>
      <w:proofErr w:type="gramStart"/>
      <w:r w:rsidR="008C0FCA" w:rsidRPr="00EC4DC6">
        <w:rPr>
          <w:sz w:val="24"/>
          <w:szCs w:val="24"/>
        </w:rPr>
        <w:t>the</w:t>
      </w:r>
      <w:proofErr w:type="gramEnd"/>
      <w:r w:rsidR="008C0FCA" w:rsidRPr="00EC4DC6">
        <w:rPr>
          <w:sz w:val="24"/>
          <w:szCs w:val="24"/>
        </w:rPr>
        <w:t xml:space="preserve"> carrier must take all reasonable steps to ensure:</w:t>
      </w:r>
    </w:p>
    <w:p w:rsidR="008C0FCA" w:rsidRPr="00B16832" w:rsidRDefault="008C0FCA" w:rsidP="00BD5A4B">
      <w:pPr>
        <w:pStyle w:val="paragraph2"/>
        <w:numPr>
          <w:ilvl w:val="0"/>
          <w:numId w:val="35"/>
        </w:numPr>
        <w:rPr>
          <w:rFonts w:eastAsia="Times New Roman"/>
          <w:noProof w:val="0"/>
          <w:lang w:val="en-AU"/>
        </w:rPr>
      </w:pPr>
      <w:r w:rsidRPr="00B16832">
        <w:rPr>
          <w:rFonts w:eastAsia="Times New Roman"/>
          <w:noProof w:val="0"/>
          <w:lang w:val="en-AU"/>
        </w:rPr>
        <w:t>that the land is restored to a condition that is similar to its condition before the installation began; and</w:t>
      </w:r>
    </w:p>
    <w:p w:rsidR="008C0FCA" w:rsidRPr="00B16832" w:rsidRDefault="008C0FCA" w:rsidP="00BD5A4B">
      <w:pPr>
        <w:pStyle w:val="paragraph2"/>
        <w:numPr>
          <w:ilvl w:val="0"/>
          <w:numId w:val="35"/>
        </w:numPr>
        <w:rPr>
          <w:rFonts w:eastAsia="Times New Roman"/>
          <w:noProof w:val="0"/>
          <w:lang w:val="en-AU"/>
        </w:rPr>
      </w:pPr>
      <w:proofErr w:type="gramStart"/>
      <w:r w:rsidRPr="00B16832">
        <w:rPr>
          <w:rFonts w:eastAsia="Times New Roman"/>
          <w:noProof w:val="0"/>
          <w:lang w:val="en-AU"/>
        </w:rPr>
        <w:t>that</w:t>
      </w:r>
      <w:proofErr w:type="gramEnd"/>
      <w:r w:rsidRPr="00B16832">
        <w:rPr>
          <w:rFonts w:eastAsia="Times New Roman"/>
          <w:noProof w:val="0"/>
          <w:lang w:val="en-AU"/>
        </w:rPr>
        <w:t xml:space="preserve"> the restoration begins within 10 </w:t>
      </w:r>
      <w:r w:rsidR="00B16832">
        <w:rPr>
          <w:rFonts w:eastAsia="Times New Roman"/>
          <w:noProof w:val="0"/>
          <w:lang w:val="en-AU"/>
        </w:rPr>
        <w:t xml:space="preserve">business days after the removal </w:t>
      </w:r>
      <w:r>
        <w:t xml:space="preserve">of the facility. </w:t>
      </w:r>
    </w:p>
    <w:p w:rsidR="008C0FCA" w:rsidRPr="006F2AEF" w:rsidRDefault="008C0FCA" w:rsidP="003E097C">
      <w:pPr>
        <w:pStyle w:val="notetext"/>
        <w:ind w:left="1815"/>
        <w:rPr>
          <w:szCs w:val="18"/>
        </w:rPr>
      </w:pPr>
      <w:r w:rsidRPr="00276EB9">
        <w:rPr>
          <w:szCs w:val="18"/>
        </w:rPr>
        <w:t>Note</w:t>
      </w:r>
      <w:r w:rsidRPr="00276EB9">
        <w:rPr>
          <w:szCs w:val="18"/>
        </w:rPr>
        <w:tab/>
      </w:r>
      <w:r>
        <w:rPr>
          <w:szCs w:val="18"/>
        </w:rPr>
        <w:t xml:space="preserve">  </w:t>
      </w:r>
      <w:r w:rsidRPr="00120B0F">
        <w:rPr>
          <w:szCs w:val="18"/>
        </w:rPr>
        <w:t xml:space="preserve">See Items </w:t>
      </w:r>
      <w:r>
        <w:rPr>
          <w:szCs w:val="18"/>
        </w:rPr>
        <w:t xml:space="preserve">1–8 </w:t>
      </w:r>
      <w:r w:rsidRPr="00120B0F">
        <w:rPr>
          <w:szCs w:val="18"/>
        </w:rPr>
        <w:t xml:space="preserve">of Part 6A </w:t>
      </w:r>
      <w:r w:rsidR="00974DEF">
        <w:rPr>
          <w:szCs w:val="18"/>
        </w:rPr>
        <w:t xml:space="preserve">and Item </w:t>
      </w:r>
      <w:r>
        <w:rPr>
          <w:szCs w:val="18"/>
        </w:rPr>
        <w:t xml:space="preserve">2 of Part 7 </w:t>
      </w:r>
      <w:r w:rsidRPr="00120B0F">
        <w:rPr>
          <w:szCs w:val="18"/>
        </w:rPr>
        <w:t>of the Schedule to the LIFD.</w:t>
      </w:r>
    </w:p>
    <w:p w:rsidR="008C0FCA" w:rsidRPr="0066505F" w:rsidRDefault="008C0FCA" w:rsidP="00EE3E3A">
      <w:pPr>
        <w:pStyle w:val="subsection"/>
        <w:rPr>
          <w:sz w:val="24"/>
          <w:szCs w:val="24"/>
        </w:rPr>
      </w:pPr>
      <w:r>
        <w:rPr>
          <w:sz w:val="24"/>
          <w:szCs w:val="24"/>
        </w:rPr>
        <w:tab/>
      </w:r>
      <w:r w:rsidR="00347B50">
        <w:rPr>
          <w:sz w:val="24"/>
          <w:szCs w:val="24"/>
        </w:rPr>
        <w:t xml:space="preserve">        </w:t>
      </w:r>
      <w:r w:rsidR="00EE3E3A">
        <w:rPr>
          <w:sz w:val="24"/>
          <w:szCs w:val="24"/>
        </w:rPr>
        <w:t xml:space="preserve">    </w:t>
      </w:r>
      <w:r w:rsidR="00347B50">
        <w:rPr>
          <w:sz w:val="24"/>
          <w:szCs w:val="24"/>
        </w:rPr>
        <w:t xml:space="preserve"> </w:t>
      </w:r>
      <w:r w:rsidRPr="00EC4DC6">
        <w:rPr>
          <w:sz w:val="24"/>
          <w:szCs w:val="24"/>
        </w:rPr>
        <w:t>(2)</w:t>
      </w:r>
      <w:r w:rsidRPr="00EC4DC6">
        <w:rPr>
          <w:sz w:val="24"/>
          <w:szCs w:val="24"/>
        </w:rPr>
        <w:tab/>
      </w:r>
      <w:r w:rsidRPr="0066505F">
        <w:rPr>
          <w:sz w:val="24"/>
          <w:szCs w:val="24"/>
        </w:rPr>
        <w:t xml:space="preserve">The timeframe in subparagraph </w:t>
      </w:r>
      <w:proofErr w:type="gramStart"/>
      <w:r w:rsidRPr="0066505F">
        <w:rPr>
          <w:sz w:val="24"/>
          <w:szCs w:val="24"/>
        </w:rPr>
        <w:t>4.4A(</w:t>
      </w:r>
      <w:proofErr w:type="gramEnd"/>
      <w:r w:rsidRPr="0066505F">
        <w:rPr>
          <w:sz w:val="24"/>
          <w:szCs w:val="24"/>
        </w:rPr>
        <w:t>1)(</w:t>
      </w:r>
      <w:r w:rsidR="00F57473">
        <w:rPr>
          <w:sz w:val="24"/>
          <w:szCs w:val="24"/>
        </w:rPr>
        <w:t>c</w:t>
      </w:r>
      <w:r w:rsidRPr="0066505F">
        <w:rPr>
          <w:sz w:val="24"/>
          <w:szCs w:val="24"/>
        </w:rPr>
        <w:t>) does not apply if the carrier agrees with:</w:t>
      </w:r>
    </w:p>
    <w:p w:rsidR="008C0FCA" w:rsidRPr="00830C90" w:rsidRDefault="008C0FCA" w:rsidP="00B16832">
      <w:pPr>
        <w:pStyle w:val="paragraph2"/>
        <w:numPr>
          <w:ilvl w:val="0"/>
          <w:numId w:val="14"/>
        </w:numPr>
      </w:pPr>
      <w:r w:rsidRPr="00830C90">
        <w:t xml:space="preserve">the owner of the land; and  </w:t>
      </w:r>
    </w:p>
    <w:p w:rsidR="008C0FCA" w:rsidRPr="00E972CE" w:rsidRDefault="008C0FCA" w:rsidP="00B16832">
      <w:pPr>
        <w:pStyle w:val="paragraph2"/>
        <w:numPr>
          <w:ilvl w:val="0"/>
          <w:numId w:val="14"/>
        </w:numPr>
      </w:pPr>
      <w:r w:rsidRPr="00E972CE">
        <w:t>if the land is occupied by a person other than the owner—the      occupier;</w:t>
      </w:r>
    </w:p>
    <w:p w:rsidR="00BD5A4B" w:rsidRDefault="00BD5A4B" w:rsidP="00347B50">
      <w:pPr>
        <w:pStyle w:val="R1"/>
        <w:spacing w:before="0"/>
        <w:ind w:left="1390"/>
        <w:jc w:val="left"/>
      </w:pPr>
      <w:r>
        <w:tab/>
        <w:t xml:space="preserve">            </w:t>
      </w:r>
      <w:r w:rsidR="008C0FCA" w:rsidRPr="00EC4DC6">
        <w:t>to commence restoration at a time aft</w:t>
      </w:r>
      <w:r>
        <w:t>er the end of that period of 10</w:t>
      </w:r>
    </w:p>
    <w:p w:rsidR="008C0FCA" w:rsidRPr="00551431" w:rsidRDefault="00BD5A4B" w:rsidP="00347B50">
      <w:pPr>
        <w:pStyle w:val="R1"/>
        <w:spacing w:before="0"/>
        <w:ind w:left="1390"/>
        <w:jc w:val="left"/>
        <w:rPr>
          <w:rFonts w:eastAsia="Times New Roman"/>
          <w:iCs/>
          <w:noProof w:val="0"/>
          <w:lang w:val="en-AU"/>
        </w:rPr>
      </w:pPr>
      <w:r>
        <w:tab/>
        <w:t xml:space="preserve">            </w:t>
      </w:r>
      <w:r w:rsidR="008C0FCA" w:rsidRPr="00EC4DC6">
        <w:t>business days.</w:t>
      </w:r>
      <w:r w:rsidR="008C0FCA" w:rsidRPr="00EC4DC6">
        <w:rPr>
          <w:rFonts w:eastAsia="Times New Roman"/>
          <w:iCs/>
          <w:noProof w:val="0"/>
          <w:lang w:val="en-AU"/>
        </w:rPr>
        <w:t xml:space="preserve"> </w:t>
      </w:r>
    </w:p>
    <w:p w:rsidR="008C0FCA" w:rsidRDefault="00703C00" w:rsidP="00703C00">
      <w:pPr>
        <w:pStyle w:val="HR"/>
      </w:pPr>
      <w:r>
        <w:rPr>
          <w:rStyle w:val="CharSectno"/>
        </w:rPr>
        <w:t xml:space="preserve">        </w:t>
      </w:r>
      <w:r w:rsidR="008C0FCA">
        <w:rPr>
          <w:rStyle w:val="CharSectno"/>
        </w:rPr>
        <w:t>4.4B</w:t>
      </w:r>
      <w:r w:rsidR="008C0FCA">
        <w:tab/>
        <w:t xml:space="preserve">Temporary </w:t>
      </w:r>
      <w:r w:rsidR="008C0FCA" w:rsidRPr="00335604">
        <w:t xml:space="preserve">facility installed at or near a venue—annual limit </w:t>
      </w:r>
    </w:p>
    <w:p w:rsidR="008C0FCA" w:rsidRPr="0066505F" w:rsidRDefault="008C0FCA" w:rsidP="0066505F">
      <w:pPr>
        <w:pStyle w:val="subsection"/>
        <w:rPr>
          <w:sz w:val="24"/>
          <w:szCs w:val="24"/>
        </w:rPr>
      </w:pPr>
      <w:r w:rsidRPr="0066505F">
        <w:rPr>
          <w:sz w:val="24"/>
          <w:szCs w:val="24"/>
        </w:rPr>
        <w:tab/>
        <w:t xml:space="preserve"> (1)</w:t>
      </w:r>
      <w:r w:rsidRPr="0066505F">
        <w:rPr>
          <w:sz w:val="24"/>
          <w:szCs w:val="24"/>
        </w:rPr>
        <w:tab/>
        <w:t>If:</w:t>
      </w:r>
    </w:p>
    <w:p w:rsidR="00B16832" w:rsidRDefault="008C0FCA" w:rsidP="00B16832">
      <w:pPr>
        <w:pStyle w:val="paragraph2"/>
        <w:numPr>
          <w:ilvl w:val="0"/>
          <w:numId w:val="15"/>
        </w:numPr>
      </w:pPr>
      <w:r>
        <w:t xml:space="preserve">a carrier installs one or more low-impact facilities at a particular place; and </w:t>
      </w:r>
    </w:p>
    <w:p w:rsidR="008C0FCA" w:rsidRDefault="008C0FCA" w:rsidP="00B16832">
      <w:pPr>
        <w:pStyle w:val="paragraph2"/>
        <w:numPr>
          <w:ilvl w:val="0"/>
          <w:numId w:val="15"/>
        </w:numPr>
      </w:pPr>
      <w:r w:rsidRPr="00B16832">
        <w:rPr>
          <w:rFonts w:eastAsia="Times New Roman"/>
          <w:noProof w:val="0"/>
          <w:lang w:val="en-AU"/>
        </w:rPr>
        <w:t>the</w:t>
      </w:r>
      <w:r>
        <w:t xml:space="preserve"> installation is to provide additional capacity to supply carriage services to persons who are: </w:t>
      </w:r>
    </w:p>
    <w:p w:rsidR="00EE3E3A" w:rsidRDefault="008C0FCA" w:rsidP="00EE3E3A">
      <w:pPr>
        <w:pStyle w:val="paragraph2"/>
        <w:numPr>
          <w:ilvl w:val="0"/>
          <w:numId w:val="23"/>
        </w:numPr>
      </w:pPr>
      <w:r w:rsidRPr="00EE3E3A">
        <w:rPr>
          <w:rFonts w:eastAsia="Times New Roman"/>
          <w:noProof w:val="0"/>
          <w:lang w:val="en-AU"/>
        </w:rPr>
        <w:t>attending</w:t>
      </w:r>
      <w:r w:rsidRPr="003036CF">
        <w:t xml:space="preserve"> an event at a venue</w:t>
      </w:r>
      <w:r>
        <w:t xml:space="preserve">; or </w:t>
      </w:r>
      <w:r w:rsidRPr="003036CF">
        <w:t xml:space="preserve"> </w:t>
      </w:r>
    </w:p>
    <w:p w:rsidR="008C0FCA" w:rsidRDefault="008C0FCA" w:rsidP="00EE3E3A">
      <w:pPr>
        <w:pStyle w:val="paragraph2"/>
        <w:numPr>
          <w:ilvl w:val="0"/>
          <w:numId w:val="23"/>
        </w:numPr>
      </w:pPr>
      <w:r>
        <w:t xml:space="preserve">attending </w:t>
      </w:r>
      <w:r w:rsidRPr="003036CF">
        <w:t>any or all of 2 or more events at a venue</w:t>
      </w:r>
      <w:r>
        <w:t>;</w:t>
      </w:r>
    </w:p>
    <w:p w:rsidR="008C0FCA" w:rsidRDefault="008C0FCA" w:rsidP="008C0FCA">
      <w:pPr>
        <w:pStyle w:val="R1"/>
        <w:ind w:firstLine="0"/>
        <w:jc w:val="left"/>
      </w:pPr>
      <w:r>
        <w:t>the carrier must ensure that the total number of days in a calendar year on  which those facilities remain at that place does not exceed 183.</w:t>
      </w:r>
    </w:p>
    <w:p w:rsidR="008C0FCA" w:rsidRDefault="008C0FCA" w:rsidP="008C0FCA">
      <w:pPr>
        <w:pStyle w:val="Note"/>
        <w:ind w:left="1684" w:hanging="720"/>
        <w:jc w:val="left"/>
        <w:rPr>
          <w:rFonts w:eastAsia="Times New Roman"/>
          <w:iCs/>
          <w:noProof w:val="0"/>
          <w:sz w:val="18"/>
          <w:lang w:val="en-AU"/>
        </w:rPr>
      </w:pPr>
      <w:r w:rsidRPr="004E185C">
        <w:rPr>
          <w:rFonts w:eastAsia="Times New Roman"/>
          <w:iCs/>
          <w:noProof w:val="0"/>
          <w:sz w:val="18"/>
          <w:lang w:val="en-AU"/>
        </w:rPr>
        <w:t>Note</w:t>
      </w:r>
      <w:r>
        <w:rPr>
          <w:rFonts w:eastAsia="Times New Roman"/>
          <w:iCs/>
          <w:noProof w:val="0"/>
          <w:sz w:val="18"/>
          <w:lang w:val="en-AU"/>
        </w:rPr>
        <w:t xml:space="preserve"> 1 </w:t>
      </w:r>
      <w:r>
        <w:rPr>
          <w:rFonts w:eastAsia="Times New Roman"/>
          <w:iCs/>
          <w:noProof w:val="0"/>
          <w:sz w:val="18"/>
          <w:lang w:val="en-AU"/>
        </w:rPr>
        <w:tab/>
        <w:t>The annual limit relates to the time the facility remains situated on the particular land, not the number of days of the particular event</w:t>
      </w:r>
      <w:r w:rsidRPr="004E185C">
        <w:rPr>
          <w:rFonts w:eastAsia="Times New Roman"/>
          <w:iCs/>
          <w:noProof w:val="0"/>
          <w:sz w:val="18"/>
          <w:lang w:val="en-AU"/>
        </w:rPr>
        <w:t>.</w:t>
      </w:r>
    </w:p>
    <w:p w:rsidR="008C0FCA" w:rsidRDefault="008C0FCA" w:rsidP="008C0FCA">
      <w:pPr>
        <w:pStyle w:val="Note"/>
        <w:ind w:left="1684" w:hanging="720"/>
        <w:jc w:val="left"/>
        <w:rPr>
          <w:rFonts w:eastAsia="Times New Roman"/>
          <w:iCs/>
          <w:noProof w:val="0"/>
          <w:sz w:val="18"/>
          <w:lang w:val="en-AU"/>
        </w:rPr>
      </w:pPr>
      <w:r>
        <w:rPr>
          <w:rFonts w:eastAsia="Times New Roman"/>
          <w:iCs/>
          <w:noProof w:val="0"/>
          <w:sz w:val="18"/>
          <w:lang w:val="en-AU"/>
        </w:rPr>
        <w:t>Note 2   See Items 5, 6 and 8 of Part 6A to the Schedule of the LIFD.</w:t>
      </w:r>
    </w:p>
    <w:p w:rsidR="008C0FCA" w:rsidRDefault="00703C00" w:rsidP="00703C00">
      <w:pPr>
        <w:pStyle w:val="HR"/>
      </w:pPr>
      <w:r>
        <w:rPr>
          <w:rStyle w:val="CharSectno"/>
        </w:rPr>
        <w:t xml:space="preserve">     </w:t>
      </w:r>
      <w:r w:rsidR="008C0FCA">
        <w:rPr>
          <w:rStyle w:val="CharSectno"/>
        </w:rPr>
        <w:t>4.4C</w:t>
      </w:r>
      <w:r w:rsidR="008C0FCA">
        <w:tab/>
        <w:t xml:space="preserve">Temporary </w:t>
      </w:r>
      <w:r w:rsidR="008C0FCA" w:rsidRPr="00335604">
        <w:t>facility installed to provide ad</w:t>
      </w:r>
      <w:r w:rsidR="008C0FCA">
        <w:t>ditional capacity during a high-</w:t>
      </w:r>
      <w:r w:rsidR="008C0FCA" w:rsidRPr="00335604">
        <w:t>demand holiday period—annual limit</w:t>
      </w:r>
    </w:p>
    <w:p w:rsidR="008C0FCA" w:rsidRDefault="008C0FCA" w:rsidP="008C0FCA">
      <w:pPr>
        <w:pStyle w:val="R1"/>
      </w:pPr>
      <w:r>
        <w:tab/>
        <w:t>(1)</w:t>
      </w:r>
      <w:r w:rsidRPr="00BD5A4B">
        <w:rPr>
          <w:rFonts w:eastAsia="Times New Roman"/>
          <w:noProof w:val="0"/>
          <w:lang w:val="en-AU"/>
        </w:rPr>
        <w:tab/>
      </w:r>
      <w:r w:rsidRPr="0066505F">
        <w:rPr>
          <w:rFonts w:eastAsia="Times New Roman"/>
          <w:noProof w:val="0"/>
          <w:lang w:val="en-AU"/>
        </w:rPr>
        <w:t>If</w:t>
      </w:r>
      <w:r>
        <w:t>:</w:t>
      </w:r>
    </w:p>
    <w:p w:rsidR="008C0FCA" w:rsidRPr="006F2AEF" w:rsidRDefault="008C0FCA" w:rsidP="00B16832">
      <w:pPr>
        <w:pStyle w:val="paragraph2"/>
        <w:numPr>
          <w:ilvl w:val="0"/>
          <w:numId w:val="16"/>
        </w:numPr>
      </w:pPr>
      <w:r>
        <w:t>a carrier installs one or more low-impact facilities at a particular place; and</w:t>
      </w:r>
    </w:p>
    <w:p w:rsidR="008C0FCA" w:rsidRPr="006F2AEF" w:rsidRDefault="008C0FCA" w:rsidP="00B16832">
      <w:pPr>
        <w:pStyle w:val="paragraph2"/>
        <w:numPr>
          <w:ilvl w:val="0"/>
          <w:numId w:val="16"/>
        </w:numPr>
      </w:pPr>
      <w:r>
        <w:t>the installation is to provide additional capacity to supply carriage services to persons who are physically present in a particular area during a high-demand holiday period;</w:t>
      </w:r>
      <w:r w:rsidRPr="00F73FB4">
        <w:t xml:space="preserve"> </w:t>
      </w:r>
    </w:p>
    <w:p w:rsidR="008C0FCA" w:rsidRDefault="008C0FCA" w:rsidP="00B16832">
      <w:pPr>
        <w:pStyle w:val="paragraph2"/>
        <w:ind w:left="1275"/>
      </w:pPr>
      <w:r>
        <w:lastRenderedPageBreak/>
        <w:t>the carrier must ensure that the total number of days in a calendar year on which those facilities remain at that place does not exceed 90.</w:t>
      </w:r>
    </w:p>
    <w:p w:rsidR="008C0FCA" w:rsidRDefault="008C0FCA" w:rsidP="003E097C">
      <w:pPr>
        <w:pStyle w:val="notetext"/>
        <w:ind w:left="1815"/>
        <w:rPr>
          <w:iCs/>
        </w:rPr>
      </w:pPr>
      <w:r w:rsidRPr="004E185C">
        <w:rPr>
          <w:iCs/>
        </w:rPr>
        <w:t>Note</w:t>
      </w:r>
      <w:r>
        <w:rPr>
          <w:iCs/>
        </w:rPr>
        <w:t xml:space="preserve"> 1</w:t>
      </w:r>
      <w:r>
        <w:rPr>
          <w:iCs/>
        </w:rPr>
        <w:tab/>
        <w:t>The annual limit relates to the time the facility remains situated on the particular land, not the number of days comprising the high-demand holiday period.</w:t>
      </w:r>
    </w:p>
    <w:p w:rsidR="008C0FCA" w:rsidRDefault="008C0FCA" w:rsidP="003E097C">
      <w:pPr>
        <w:pStyle w:val="notetext"/>
        <w:ind w:left="1815"/>
        <w:rPr>
          <w:iCs/>
        </w:rPr>
      </w:pPr>
      <w:r>
        <w:rPr>
          <w:iCs/>
        </w:rPr>
        <w:t>Note 2</w:t>
      </w:r>
      <w:r>
        <w:rPr>
          <w:iCs/>
        </w:rPr>
        <w:tab/>
        <w:t>See Items 7 and 8 of Part 6A of the Schedule to the LIFD.</w:t>
      </w:r>
    </w:p>
    <w:p w:rsidR="00156C16" w:rsidRDefault="00156C16" w:rsidP="00322EF8">
      <w:pPr>
        <w:pStyle w:val="HR"/>
      </w:pPr>
      <w:r>
        <w:t xml:space="preserve">10  </w:t>
      </w:r>
      <w:r w:rsidR="00AD3D34">
        <w:t>S</w:t>
      </w:r>
      <w:r>
        <w:t>ection 4.7 (at the end of Note 2)</w:t>
      </w:r>
    </w:p>
    <w:p w:rsidR="00156C16" w:rsidRPr="00974DEF" w:rsidRDefault="00DC6A0D" w:rsidP="00156C16">
      <w:pPr>
        <w:pStyle w:val="Item"/>
        <w:rPr>
          <w:sz w:val="24"/>
          <w:szCs w:val="24"/>
        </w:rPr>
      </w:pPr>
      <w:r w:rsidRPr="00974DEF">
        <w:rPr>
          <w:sz w:val="24"/>
          <w:szCs w:val="24"/>
        </w:rPr>
        <w:t>Add</w:t>
      </w:r>
      <w:r w:rsidR="00156C16" w:rsidRPr="00974DEF">
        <w:rPr>
          <w:sz w:val="24"/>
          <w:szCs w:val="24"/>
        </w:rPr>
        <w:t>:</w:t>
      </w:r>
    </w:p>
    <w:p w:rsidR="00156C16" w:rsidRPr="000B409B" w:rsidRDefault="00156C16" w:rsidP="003E097C">
      <w:pPr>
        <w:pStyle w:val="notetext"/>
        <w:ind w:left="1815"/>
        <w:rPr>
          <w:iCs/>
        </w:rPr>
      </w:pPr>
      <w:r w:rsidRPr="000B409B">
        <w:rPr>
          <w:iCs/>
        </w:rPr>
        <w:t>Note 3</w:t>
      </w:r>
      <w:r w:rsidRPr="000B409B">
        <w:rPr>
          <w:iCs/>
        </w:rPr>
        <w:tab/>
      </w:r>
      <w:r w:rsidR="008C0FCA" w:rsidRPr="008C0FCA">
        <w:rPr>
          <w:iCs/>
        </w:rPr>
        <w:t>Copies of ACMA-recognised standards are available at https://www.acma.gov.au/register-telco-industry-codes-and-standards</w:t>
      </w:r>
      <w:r w:rsidRPr="000B409B">
        <w:rPr>
          <w:iCs/>
        </w:rPr>
        <w:t xml:space="preserve"> </w:t>
      </w:r>
    </w:p>
    <w:p w:rsidR="00222159" w:rsidRDefault="00222159" w:rsidP="00222159">
      <w:pPr>
        <w:pStyle w:val="Citation"/>
      </w:pPr>
    </w:p>
    <w:p w:rsidR="00222159" w:rsidRDefault="00222159" w:rsidP="00222159">
      <w:pPr>
        <w:pStyle w:val="ItemHead"/>
      </w:pPr>
      <w:proofErr w:type="gramStart"/>
      <w:r>
        <w:t>11  Subsection</w:t>
      </w:r>
      <w:proofErr w:type="gramEnd"/>
      <w:r>
        <w:t xml:space="preserve"> 4.10(2)  </w:t>
      </w:r>
    </w:p>
    <w:p w:rsidR="00A218D7" w:rsidRPr="00974DEF" w:rsidRDefault="00A218D7" w:rsidP="00A218D7">
      <w:pPr>
        <w:pStyle w:val="Item"/>
        <w:rPr>
          <w:sz w:val="24"/>
          <w:szCs w:val="24"/>
        </w:rPr>
      </w:pPr>
      <w:r w:rsidRPr="00974DEF">
        <w:rPr>
          <w:sz w:val="24"/>
          <w:szCs w:val="24"/>
        </w:rPr>
        <w:t>After “tower</w:t>
      </w:r>
      <w:r w:rsidR="00322EF8" w:rsidRPr="00974DEF">
        <w:rPr>
          <w:sz w:val="24"/>
          <w:szCs w:val="24"/>
        </w:rPr>
        <w:t>s</w:t>
      </w:r>
      <w:r w:rsidRPr="00974DEF">
        <w:rPr>
          <w:sz w:val="24"/>
          <w:szCs w:val="24"/>
        </w:rPr>
        <w:t>” insert “</w:t>
      </w:r>
      <w:r w:rsidR="008C0FCA" w:rsidRPr="00974DEF">
        <w:rPr>
          <w:sz w:val="24"/>
          <w:szCs w:val="24"/>
        </w:rPr>
        <w:t>(other than facilities mentioned in subsection 4.10(4) or (5) below)”.</w:t>
      </w:r>
    </w:p>
    <w:p w:rsidR="00C61EB9" w:rsidRDefault="00C61EB9" w:rsidP="00C61EB9">
      <w:pPr>
        <w:pStyle w:val="ItemHead"/>
      </w:pPr>
      <w:proofErr w:type="gramStart"/>
      <w:r w:rsidRPr="00E74AF8">
        <w:t>1</w:t>
      </w:r>
      <w:r w:rsidR="00E74AF8" w:rsidRPr="00E74AF8">
        <w:t>2</w:t>
      </w:r>
      <w:r w:rsidRPr="00E74AF8">
        <w:t xml:space="preserve">  </w:t>
      </w:r>
      <w:r w:rsidR="00322EF8">
        <w:t>At</w:t>
      </w:r>
      <w:proofErr w:type="gramEnd"/>
      <w:r w:rsidR="00322EF8">
        <w:t xml:space="preserve"> the end of section </w:t>
      </w:r>
      <w:r>
        <w:t>4.10</w:t>
      </w:r>
    </w:p>
    <w:p w:rsidR="00974DEF" w:rsidRDefault="00974DEF" w:rsidP="00974DEF">
      <w:pPr>
        <w:pStyle w:val="Item"/>
        <w:rPr>
          <w:sz w:val="24"/>
          <w:szCs w:val="24"/>
        </w:rPr>
      </w:pPr>
      <w:r>
        <w:rPr>
          <w:sz w:val="24"/>
          <w:szCs w:val="24"/>
        </w:rPr>
        <w:t xml:space="preserve">Omit: </w:t>
      </w:r>
    </w:p>
    <w:p w:rsidR="00974DEF" w:rsidRDefault="00974DEF" w:rsidP="00974DEF">
      <w:pPr>
        <w:pStyle w:val="Note"/>
        <w:ind w:left="1699" w:hanging="735"/>
        <w:jc w:val="left"/>
        <w:rPr>
          <w:rFonts w:eastAsia="Times New Roman"/>
          <w:iCs/>
          <w:noProof w:val="0"/>
          <w:sz w:val="18"/>
          <w:lang w:val="en-AU"/>
        </w:rPr>
      </w:pPr>
      <w:r w:rsidRPr="0095619D">
        <w:rPr>
          <w:rFonts w:eastAsia="Times New Roman"/>
          <w:iCs/>
          <w:noProof w:val="0"/>
          <w:sz w:val="18"/>
          <w:lang w:val="en-AU"/>
        </w:rPr>
        <w:t>Note  </w:t>
      </w:r>
      <w:r>
        <w:rPr>
          <w:rFonts w:eastAsia="Times New Roman"/>
          <w:iCs/>
          <w:noProof w:val="0"/>
          <w:sz w:val="18"/>
          <w:lang w:val="en-AU"/>
        </w:rPr>
        <w:tab/>
      </w:r>
      <w:r w:rsidRPr="0095619D">
        <w:rPr>
          <w:rFonts w:eastAsia="Times New Roman"/>
          <w:iCs/>
          <w:noProof w:val="0"/>
          <w:sz w:val="18"/>
          <w:lang w:val="en-AU"/>
        </w:rPr>
        <w:t xml:space="preserve">See Act, Schedule 1, clause 41, which defines the terms </w:t>
      </w:r>
      <w:r w:rsidRPr="0095619D">
        <w:rPr>
          <w:rFonts w:eastAsia="Times New Roman"/>
          <w:b/>
          <w:i/>
          <w:iCs/>
          <w:noProof w:val="0"/>
          <w:sz w:val="18"/>
          <w:lang w:val="en-AU"/>
        </w:rPr>
        <w:t>designated overhead line</w:t>
      </w:r>
      <w:r w:rsidRPr="0095619D">
        <w:rPr>
          <w:rFonts w:eastAsia="Times New Roman"/>
          <w:iCs/>
          <w:noProof w:val="0"/>
          <w:sz w:val="18"/>
          <w:lang w:val="en-AU"/>
        </w:rPr>
        <w:t xml:space="preserve">, </w:t>
      </w:r>
      <w:r w:rsidRPr="0095619D">
        <w:rPr>
          <w:rFonts w:eastAsia="Times New Roman"/>
          <w:b/>
          <w:i/>
          <w:iCs/>
          <w:noProof w:val="0"/>
          <w:sz w:val="18"/>
          <w:lang w:val="en-AU"/>
        </w:rPr>
        <w:t>telecommunications transmission tower</w:t>
      </w:r>
      <w:r w:rsidRPr="0095619D">
        <w:rPr>
          <w:rFonts w:eastAsia="Times New Roman"/>
          <w:iCs/>
          <w:noProof w:val="0"/>
          <w:sz w:val="18"/>
          <w:lang w:val="en-AU"/>
        </w:rPr>
        <w:t xml:space="preserve"> and </w:t>
      </w:r>
      <w:r w:rsidRPr="0095619D">
        <w:rPr>
          <w:rFonts w:eastAsia="Times New Roman"/>
          <w:b/>
          <w:i/>
          <w:iCs/>
          <w:noProof w:val="0"/>
          <w:sz w:val="18"/>
          <w:lang w:val="en-AU"/>
        </w:rPr>
        <w:t>eligible underground facility</w:t>
      </w:r>
      <w:r w:rsidRPr="0095619D">
        <w:rPr>
          <w:rFonts w:eastAsia="Times New Roman"/>
          <w:iCs/>
          <w:noProof w:val="0"/>
          <w:sz w:val="18"/>
          <w:lang w:val="en-AU"/>
        </w:rPr>
        <w:t>.</w:t>
      </w:r>
    </w:p>
    <w:p w:rsidR="00974DEF" w:rsidRPr="00974DEF" w:rsidRDefault="006614C9" w:rsidP="00974DEF">
      <w:pPr>
        <w:pStyle w:val="Item"/>
        <w:rPr>
          <w:sz w:val="24"/>
          <w:szCs w:val="24"/>
        </w:rPr>
      </w:pPr>
      <w:r>
        <w:rPr>
          <w:sz w:val="24"/>
          <w:szCs w:val="24"/>
        </w:rPr>
        <w:t>Substitute</w:t>
      </w:r>
      <w:r w:rsidR="00974DEF" w:rsidRPr="00974DEF">
        <w:rPr>
          <w:sz w:val="24"/>
          <w:szCs w:val="24"/>
        </w:rPr>
        <w:t>:</w:t>
      </w:r>
    </w:p>
    <w:p w:rsidR="008C0FCA" w:rsidRPr="00974DEF" w:rsidRDefault="008C0FCA" w:rsidP="00BD5A4B">
      <w:pPr>
        <w:pStyle w:val="R1"/>
      </w:pPr>
      <w:r w:rsidRPr="00974DEF">
        <w:tab/>
      </w:r>
      <w:r w:rsidR="00A8771F">
        <w:t xml:space="preserve">     </w:t>
      </w:r>
      <w:r w:rsidRPr="00974DEF">
        <w:t>(4)</w:t>
      </w:r>
      <w:r w:rsidRPr="0066505F">
        <w:rPr>
          <w:rFonts w:eastAsia="Times New Roman"/>
          <w:noProof w:val="0"/>
          <w:lang w:val="en-AU"/>
        </w:rPr>
        <w:tab/>
      </w:r>
      <w:r w:rsidRPr="00974DEF">
        <w:t>If a carrier owns or operates temporary facilities that are installed:</w:t>
      </w:r>
    </w:p>
    <w:p w:rsidR="00974DEF" w:rsidRPr="00974DEF" w:rsidRDefault="008C0FCA" w:rsidP="00B16832">
      <w:pPr>
        <w:pStyle w:val="paragraph2"/>
        <w:numPr>
          <w:ilvl w:val="0"/>
          <w:numId w:val="17"/>
        </w:numPr>
      </w:pPr>
      <w:r w:rsidRPr="00974DEF">
        <w:t>for</w:t>
      </w:r>
      <w:r w:rsidR="00974DEF" w:rsidRPr="00974DEF">
        <w:t xml:space="preserve"> any of the following purposes:</w:t>
      </w:r>
    </w:p>
    <w:p w:rsidR="00A8771F" w:rsidRPr="00EE3E3A" w:rsidRDefault="008C0FCA" w:rsidP="00EE3E3A">
      <w:pPr>
        <w:pStyle w:val="paragraph2"/>
        <w:numPr>
          <w:ilvl w:val="0"/>
          <w:numId w:val="24"/>
        </w:numPr>
        <w:rPr>
          <w:rFonts w:eastAsia="Times New Roman"/>
          <w:noProof w:val="0"/>
          <w:lang w:val="en-AU"/>
        </w:rPr>
      </w:pPr>
      <w:r w:rsidRPr="00EE3E3A">
        <w:rPr>
          <w:rFonts w:eastAsia="Times New Roman"/>
          <w:noProof w:val="0"/>
          <w:lang w:val="en-AU"/>
        </w:rPr>
        <w:t xml:space="preserve">to minimise disruption to the supply of a carriage service that might result from carrying out the maintenance of another facility; </w:t>
      </w:r>
    </w:p>
    <w:p w:rsidR="00A8771F" w:rsidRPr="00EE3E3A" w:rsidRDefault="008C0FCA" w:rsidP="00EE3E3A">
      <w:pPr>
        <w:pStyle w:val="paragraph2"/>
        <w:numPr>
          <w:ilvl w:val="0"/>
          <w:numId w:val="24"/>
        </w:numPr>
        <w:rPr>
          <w:rFonts w:eastAsia="Times New Roman"/>
          <w:noProof w:val="0"/>
          <w:lang w:val="en-AU"/>
        </w:rPr>
      </w:pPr>
      <w:r w:rsidRPr="00EE3E3A">
        <w:rPr>
          <w:rFonts w:eastAsia="Times New Roman"/>
          <w:noProof w:val="0"/>
          <w:lang w:val="en-AU"/>
        </w:rPr>
        <w:t>to minimise disruption to the supply of a carriage service that might result from carrying out the replacement of another facility;</w:t>
      </w:r>
      <w:r w:rsidR="00974DEF" w:rsidRPr="00EE3E3A">
        <w:rPr>
          <w:rFonts w:eastAsia="Times New Roman"/>
          <w:noProof w:val="0"/>
          <w:lang w:val="en-AU"/>
        </w:rPr>
        <w:t xml:space="preserve"> </w:t>
      </w:r>
    </w:p>
    <w:p w:rsidR="00A8771F" w:rsidRPr="00EE3E3A" w:rsidRDefault="008C0FCA" w:rsidP="00EE3E3A">
      <w:pPr>
        <w:pStyle w:val="paragraph2"/>
        <w:numPr>
          <w:ilvl w:val="0"/>
          <w:numId w:val="24"/>
        </w:numPr>
        <w:rPr>
          <w:rFonts w:eastAsia="Times New Roman"/>
          <w:noProof w:val="0"/>
          <w:lang w:val="en-AU"/>
        </w:rPr>
      </w:pPr>
      <w:r w:rsidRPr="00EE3E3A">
        <w:rPr>
          <w:rFonts w:eastAsia="Times New Roman"/>
          <w:noProof w:val="0"/>
          <w:lang w:val="en-AU"/>
        </w:rPr>
        <w:t>to provide additional capacity to supply carriage services to persons who are physically present in a particular area during a high-demand holiday period;</w:t>
      </w:r>
    </w:p>
    <w:p w:rsidR="007B1315" w:rsidRPr="00EE3E3A" w:rsidRDefault="008C0FCA" w:rsidP="00EE3E3A">
      <w:pPr>
        <w:pStyle w:val="paragraph2"/>
        <w:numPr>
          <w:ilvl w:val="0"/>
          <w:numId w:val="24"/>
        </w:numPr>
        <w:rPr>
          <w:rFonts w:eastAsia="Times New Roman"/>
          <w:noProof w:val="0"/>
          <w:lang w:val="en-AU"/>
        </w:rPr>
      </w:pPr>
      <w:r w:rsidRPr="00EE3E3A">
        <w:rPr>
          <w:rFonts w:eastAsia="Times New Roman"/>
          <w:noProof w:val="0"/>
          <w:lang w:val="en-AU"/>
        </w:rPr>
        <w:t>wholly or partly to provide capacity to supply carriage services to one or more emergency services organisations so that those organisations can deal with an emergency or natural disaster;</w:t>
      </w:r>
    </w:p>
    <w:p w:rsidR="00974DEF" w:rsidRPr="00974DEF" w:rsidRDefault="007B1315" w:rsidP="00FF739C">
      <w:pPr>
        <w:pStyle w:val="R1"/>
      </w:pPr>
      <w:r>
        <w:tab/>
      </w:r>
      <w:r>
        <w:tab/>
      </w:r>
      <w:r w:rsidR="008C0FCA" w:rsidRPr="00974DEF">
        <w:t>the carrier must keep and maintain records of:</w:t>
      </w:r>
      <w:r w:rsidR="008C0FCA" w:rsidRPr="00974DEF">
        <w:tab/>
      </w:r>
      <w:r w:rsidR="008C0FCA" w:rsidRPr="00974DEF">
        <w:tab/>
      </w:r>
    </w:p>
    <w:p w:rsidR="0066505F" w:rsidRDefault="008C0FCA" w:rsidP="0066505F">
      <w:pPr>
        <w:pStyle w:val="paragraph2"/>
        <w:numPr>
          <w:ilvl w:val="0"/>
          <w:numId w:val="17"/>
        </w:numPr>
      </w:pPr>
      <w:r w:rsidRPr="00974DEF">
        <w:t>each kind of temporary facility;</w:t>
      </w:r>
    </w:p>
    <w:p w:rsidR="0066505F" w:rsidRDefault="008C0FCA" w:rsidP="0066505F">
      <w:pPr>
        <w:pStyle w:val="paragraph2"/>
        <w:numPr>
          <w:ilvl w:val="0"/>
          <w:numId w:val="17"/>
        </w:numPr>
      </w:pPr>
      <w:r w:rsidRPr="0066505F">
        <w:rPr>
          <w:rFonts w:eastAsia="Times New Roman"/>
          <w:noProof w:val="0"/>
          <w:lang w:val="en-AU"/>
        </w:rPr>
        <w:t>the purpose for which the temporary facility was installed;</w:t>
      </w:r>
    </w:p>
    <w:p w:rsidR="0066505F" w:rsidRDefault="008C0FCA" w:rsidP="0066505F">
      <w:pPr>
        <w:pStyle w:val="paragraph2"/>
        <w:numPr>
          <w:ilvl w:val="0"/>
          <w:numId w:val="17"/>
        </w:numPr>
      </w:pPr>
      <w:r w:rsidRPr="0066505F">
        <w:rPr>
          <w:rFonts w:eastAsia="Times New Roman"/>
          <w:noProof w:val="0"/>
          <w:lang w:val="en-AU"/>
        </w:rPr>
        <w:t>the day on which the temporary facility was installed;</w:t>
      </w:r>
    </w:p>
    <w:p w:rsidR="0066505F" w:rsidRDefault="008C0FCA" w:rsidP="0066505F">
      <w:pPr>
        <w:pStyle w:val="paragraph2"/>
        <w:numPr>
          <w:ilvl w:val="0"/>
          <w:numId w:val="17"/>
        </w:numPr>
      </w:pPr>
      <w:r w:rsidRPr="0066505F">
        <w:rPr>
          <w:rFonts w:eastAsia="Times New Roman"/>
          <w:noProof w:val="0"/>
          <w:lang w:val="en-AU"/>
        </w:rPr>
        <w:t>the location where the temporary facility was installed;</w:t>
      </w:r>
    </w:p>
    <w:p w:rsidR="0066505F" w:rsidRPr="0066505F" w:rsidRDefault="0066505F" w:rsidP="0066505F">
      <w:pPr>
        <w:pStyle w:val="paragraph2"/>
        <w:numPr>
          <w:ilvl w:val="0"/>
          <w:numId w:val="17"/>
        </w:numPr>
      </w:pPr>
      <w:r>
        <w:rPr>
          <w:rFonts w:eastAsia="Times New Roman"/>
          <w:noProof w:val="0"/>
          <w:lang w:val="en-AU"/>
        </w:rPr>
        <w:t xml:space="preserve">  </w:t>
      </w:r>
      <w:r w:rsidR="00A75620">
        <w:rPr>
          <w:rFonts w:eastAsia="Times New Roman"/>
          <w:noProof w:val="0"/>
          <w:lang w:val="en-AU"/>
        </w:rPr>
        <w:t>the circumstances which gave r</w:t>
      </w:r>
      <w:r w:rsidR="008C0FCA" w:rsidRPr="0066505F">
        <w:rPr>
          <w:rFonts w:eastAsia="Times New Roman"/>
          <w:noProof w:val="0"/>
          <w:lang w:val="en-AU"/>
        </w:rPr>
        <w:t>ise to the requirement for the temp</w:t>
      </w:r>
      <w:r>
        <w:rPr>
          <w:rFonts w:eastAsia="Times New Roman"/>
          <w:noProof w:val="0"/>
          <w:lang w:val="en-AU"/>
        </w:rPr>
        <w:t>orary facility to be installed;</w:t>
      </w:r>
    </w:p>
    <w:p w:rsidR="0066505F" w:rsidRDefault="008C0FCA" w:rsidP="0066505F">
      <w:pPr>
        <w:pStyle w:val="paragraph2"/>
        <w:numPr>
          <w:ilvl w:val="0"/>
          <w:numId w:val="17"/>
        </w:numPr>
      </w:pPr>
      <w:r w:rsidRPr="0066505F">
        <w:rPr>
          <w:rFonts w:eastAsia="Times New Roman"/>
          <w:noProof w:val="0"/>
          <w:lang w:val="en-AU"/>
        </w:rPr>
        <w:t xml:space="preserve">the day on which the temporary facility was removed; </w:t>
      </w:r>
    </w:p>
    <w:p w:rsidR="0066505F" w:rsidRDefault="008C0FCA" w:rsidP="0066505F">
      <w:pPr>
        <w:pStyle w:val="paragraph2"/>
        <w:numPr>
          <w:ilvl w:val="0"/>
          <w:numId w:val="17"/>
        </w:numPr>
      </w:pPr>
      <w:r w:rsidRPr="0066505F">
        <w:rPr>
          <w:rFonts w:eastAsia="Times New Roman"/>
          <w:noProof w:val="0"/>
          <w:lang w:val="en-AU"/>
        </w:rPr>
        <w:lastRenderedPageBreak/>
        <w:t>where the temporary facility includes a tower—the height of the facility; and</w:t>
      </w:r>
    </w:p>
    <w:p w:rsidR="008C0FCA" w:rsidRPr="0066505F" w:rsidRDefault="0066505F" w:rsidP="0066505F">
      <w:pPr>
        <w:pStyle w:val="paragraph2"/>
        <w:numPr>
          <w:ilvl w:val="0"/>
          <w:numId w:val="17"/>
        </w:numPr>
      </w:pPr>
      <w:r>
        <w:t xml:space="preserve">  </w:t>
      </w:r>
      <w:proofErr w:type="gramStart"/>
      <w:r w:rsidR="008C0FCA" w:rsidRPr="0066505F">
        <w:rPr>
          <w:rFonts w:eastAsia="Times New Roman"/>
          <w:noProof w:val="0"/>
          <w:lang w:val="en-AU"/>
        </w:rPr>
        <w:t>where</w:t>
      </w:r>
      <w:proofErr w:type="gramEnd"/>
      <w:r w:rsidR="008C0FCA" w:rsidRPr="0066505F">
        <w:rPr>
          <w:rFonts w:eastAsia="Times New Roman"/>
          <w:noProof w:val="0"/>
          <w:lang w:val="en-AU"/>
        </w:rPr>
        <w:t xml:space="preserve"> the temporary facility is not a tower, the height and length of</w:t>
      </w:r>
      <w:r w:rsidR="000413BA">
        <w:rPr>
          <w:rFonts w:eastAsia="Times New Roman"/>
          <w:noProof w:val="0"/>
          <w:lang w:val="en-AU"/>
        </w:rPr>
        <w:t xml:space="preserve"> </w:t>
      </w:r>
      <w:r w:rsidR="008C0FCA" w:rsidRPr="0066505F">
        <w:rPr>
          <w:rFonts w:eastAsia="Times New Roman"/>
          <w:noProof w:val="0"/>
          <w:lang w:val="en-AU"/>
        </w:rPr>
        <w:t xml:space="preserve">the facility. </w:t>
      </w:r>
    </w:p>
    <w:p w:rsidR="008C0FCA" w:rsidRDefault="00347B50" w:rsidP="008C0FCA">
      <w:pPr>
        <w:pStyle w:val="Note"/>
        <w:ind w:left="1684" w:hanging="720"/>
        <w:jc w:val="left"/>
        <w:rPr>
          <w:rFonts w:eastAsia="Times New Roman"/>
          <w:iCs/>
          <w:noProof w:val="0"/>
          <w:sz w:val="18"/>
          <w:lang w:val="en-AU"/>
        </w:rPr>
      </w:pPr>
      <w:r>
        <w:rPr>
          <w:rFonts w:eastAsia="Times New Roman"/>
          <w:iCs/>
          <w:noProof w:val="0"/>
          <w:sz w:val="18"/>
          <w:lang w:val="en-AU"/>
        </w:rPr>
        <w:t xml:space="preserve">  </w:t>
      </w:r>
      <w:r w:rsidR="008C0FCA">
        <w:rPr>
          <w:rFonts w:eastAsia="Times New Roman"/>
          <w:iCs/>
          <w:noProof w:val="0"/>
          <w:sz w:val="18"/>
          <w:lang w:val="en-AU"/>
        </w:rPr>
        <w:t>Note 1   See Items 1, 2, 3, 4, 7 and 8 of Part 6A of the Schedule to the LIFD.</w:t>
      </w:r>
    </w:p>
    <w:p w:rsidR="008C0FCA" w:rsidRPr="00A8771F" w:rsidRDefault="008C0FCA" w:rsidP="00BD5A4B">
      <w:pPr>
        <w:pStyle w:val="R1"/>
      </w:pPr>
      <w:r w:rsidRPr="00A8771F">
        <w:tab/>
      </w:r>
      <w:r w:rsidR="00347B50">
        <w:t xml:space="preserve">    </w:t>
      </w:r>
      <w:r w:rsidR="0066505F">
        <w:t xml:space="preserve"> </w:t>
      </w:r>
      <w:r w:rsidRPr="00A8771F">
        <w:t>(5)</w:t>
      </w:r>
      <w:r w:rsidRPr="00A8771F">
        <w:tab/>
      </w:r>
      <w:r w:rsidRPr="0066505F">
        <w:t>If</w:t>
      </w:r>
      <w:r w:rsidRPr="00A8771F">
        <w:t xml:space="preserve"> a carrier owns or operates temporary facilities that are installed for the purpose of providing additional capacity to supply carriage services to persons who are attending one or more events at a venue, the carrier must maintain keep and records of:</w:t>
      </w:r>
    </w:p>
    <w:p w:rsidR="00B16832" w:rsidRDefault="008C0FCA" w:rsidP="0066505F">
      <w:pPr>
        <w:pStyle w:val="paragraph2"/>
        <w:numPr>
          <w:ilvl w:val="0"/>
          <w:numId w:val="32"/>
        </w:numPr>
      </w:pPr>
      <w:r w:rsidRPr="00A8771F">
        <w:t xml:space="preserve">each of the matters described in paragraphs 4.10(4)(b)-(i) above; </w:t>
      </w:r>
    </w:p>
    <w:p w:rsidR="00B16832" w:rsidRDefault="008C0FCA" w:rsidP="0066505F">
      <w:pPr>
        <w:pStyle w:val="paragraph2"/>
        <w:numPr>
          <w:ilvl w:val="0"/>
          <w:numId w:val="32"/>
        </w:numPr>
      </w:pPr>
      <w:r w:rsidRPr="00B16832">
        <w:t>the start time and date of t</w:t>
      </w:r>
      <w:r w:rsidR="00B16832">
        <w:t>he particular event or events;</w:t>
      </w:r>
    </w:p>
    <w:p w:rsidR="00B16832" w:rsidRDefault="008C0FCA" w:rsidP="0066505F">
      <w:pPr>
        <w:pStyle w:val="paragraph2"/>
        <w:numPr>
          <w:ilvl w:val="0"/>
          <w:numId w:val="32"/>
        </w:numPr>
      </w:pPr>
      <w:r w:rsidRPr="00B16832">
        <w:t>the end time and date of the</w:t>
      </w:r>
      <w:r w:rsidR="00CC1038">
        <w:t xml:space="preserve"> particular event or events; and</w:t>
      </w:r>
    </w:p>
    <w:p w:rsidR="008C0FCA" w:rsidRPr="00B16832" w:rsidRDefault="008C0FCA" w:rsidP="0066505F">
      <w:pPr>
        <w:pStyle w:val="paragraph2"/>
        <w:numPr>
          <w:ilvl w:val="0"/>
          <w:numId w:val="32"/>
        </w:numPr>
      </w:pPr>
      <w:r w:rsidRPr="00B16832">
        <w:t>the name and location of the particular venue where the event or events will be held</w:t>
      </w:r>
      <w:r w:rsidR="00A8771F" w:rsidRPr="00B16832">
        <w:t>.</w:t>
      </w:r>
    </w:p>
    <w:p w:rsidR="00A8771F" w:rsidRDefault="00A8771F" w:rsidP="007B1315">
      <w:pPr>
        <w:pStyle w:val="notetext"/>
        <w:ind w:left="1701" w:hanging="737"/>
        <w:rPr>
          <w:iCs/>
        </w:rPr>
      </w:pPr>
      <w:r w:rsidRPr="0095619D">
        <w:rPr>
          <w:iCs/>
        </w:rPr>
        <w:t>Note</w:t>
      </w:r>
      <w:r>
        <w:rPr>
          <w:iCs/>
        </w:rPr>
        <w:t xml:space="preserve"> 1</w:t>
      </w:r>
      <w:r w:rsidR="007B1315">
        <w:rPr>
          <w:iCs/>
        </w:rPr>
        <w:tab/>
      </w:r>
      <w:r w:rsidRPr="0095619D">
        <w:rPr>
          <w:iCs/>
        </w:rPr>
        <w:t xml:space="preserve">See Act, Schedule 1, clause 41, which defines the terms </w:t>
      </w:r>
      <w:r w:rsidRPr="0095619D">
        <w:rPr>
          <w:b/>
          <w:i/>
          <w:iCs/>
        </w:rPr>
        <w:t>designated overhead line</w:t>
      </w:r>
      <w:r w:rsidRPr="0095619D">
        <w:rPr>
          <w:iCs/>
        </w:rPr>
        <w:t>,</w:t>
      </w:r>
      <w:r w:rsidR="007B1315">
        <w:rPr>
          <w:iCs/>
        </w:rPr>
        <w:t xml:space="preserve"> </w:t>
      </w:r>
      <w:r w:rsidRPr="0095619D">
        <w:rPr>
          <w:b/>
          <w:i/>
          <w:iCs/>
        </w:rPr>
        <w:t>telecommunications transmission tower</w:t>
      </w:r>
      <w:r w:rsidRPr="0095619D">
        <w:rPr>
          <w:iCs/>
        </w:rPr>
        <w:t xml:space="preserve"> and </w:t>
      </w:r>
      <w:r w:rsidRPr="0095619D">
        <w:rPr>
          <w:b/>
          <w:i/>
          <w:iCs/>
        </w:rPr>
        <w:t>eligible underground facility</w:t>
      </w:r>
      <w:r w:rsidRPr="0095619D">
        <w:rPr>
          <w:iCs/>
        </w:rPr>
        <w:t>.</w:t>
      </w:r>
    </w:p>
    <w:p w:rsidR="00A8771F" w:rsidRPr="0095619D" w:rsidRDefault="00A8771F" w:rsidP="003E097C">
      <w:pPr>
        <w:pStyle w:val="notetext"/>
        <w:ind w:left="1815"/>
        <w:rPr>
          <w:iCs/>
        </w:rPr>
      </w:pPr>
      <w:r>
        <w:rPr>
          <w:iCs/>
        </w:rPr>
        <w:t>Note 2     See Items 5, 6 and 8 of Part 6A of the Schedule to the LIFD.</w:t>
      </w:r>
    </w:p>
    <w:p w:rsidR="00A8771F" w:rsidRDefault="00A8771F" w:rsidP="00A8771F">
      <w:pPr>
        <w:pStyle w:val="P1"/>
        <w:jc w:val="left"/>
      </w:pPr>
    </w:p>
    <w:p w:rsidR="00156C16" w:rsidRDefault="00156C16" w:rsidP="00156C16">
      <w:pPr>
        <w:pStyle w:val="ItemHead"/>
      </w:pPr>
      <w:proofErr w:type="gramStart"/>
      <w:r w:rsidRPr="00E74AF8">
        <w:t>1</w:t>
      </w:r>
      <w:r w:rsidR="00E74AF8" w:rsidRPr="00E74AF8">
        <w:t>3</w:t>
      </w:r>
      <w:r>
        <w:t xml:space="preserve">  Heading</w:t>
      </w:r>
      <w:proofErr w:type="gramEnd"/>
      <w:r>
        <w:t xml:space="preserve"> to section 4.16</w:t>
      </w:r>
    </w:p>
    <w:p w:rsidR="00156C16" w:rsidRPr="00A8771F" w:rsidRDefault="00156C16" w:rsidP="00156C16">
      <w:pPr>
        <w:pStyle w:val="Item"/>
        <w:rPr>
          <w:sz w:val="24"/>
        </w:rPr>
      </w:pPr>
      <w:r w:rsidRPr="00BD5A4B">
        <w:rPr>
          <w:rFonts w:eastAsiaTheme="minorEastAsia"/>
          <w:noProof/>
          <w:sz w:val="24"/>
          <w:szCs w:val="24"/>
          <w:lang w:val="en-US"/>
        </w:rPr>
        <w:t>Omit</w:t>
      </w:r>
      <w:r w:rsidRPr="00A8771F">
        <w:rPr>
          <w:sz w:val="24"/>
        </w:rPr>
        <w:t>:</w:t>
      </w:r>
    </w:p>
    <w:p w:rsidR="00156C16" w:rsidRDefault="00156C16" w:rsidP="00156C16">
      <w:pPr>
        <w:pStyle w:val="HR"/>
        <w:ind w:hanging="255"/>
      </w:pPr>
      <w:r>
        <w:rPr>
          <w:rStyle w:val="CharSectno"/>
        </w:rPr>
        <w:t>4.16</w:t>
      </w:r>
      <w:r>
        <w:tab/>
        <w:t xml:space="preserve">Notice to Nature Conservation Director </w:t>
      </w:r>
    </w:p>
    <w:p w:rsidR="00156C16" w:rsidRDefault="00156C16" w:rsidP="00156C16">
      <w:pPr>
        <w:pStyle w:val="Note"/>
      </w:pPr>
    </w:p>
    <w:p w:rsidR="00156C16" w:rsidRPr="00A8771F" w:rsidRDefault="00156C16" w:rsidP="00156C16">
      <w:pPr>
        <w:pStyle w:val="Item"/>
        <w:ind w:left="0" w:firstLine="709"/>
        <w:rPr>
          <w:sz w:val="24"/>
        </w:rPr>
      </w:pPr>
      <w:r w:rsidRPr="00A8771F">
        <w:rPr>
          <w:sz w:val="24"/>
        </w:rPr>
        <w:t>Substitute:</w:t>
      </w:r>
    </w:p>
    <w:p w:rsidR="00156C16" w:rsidRDefault="00156C16" w:rsidP="00156C16">
      <w:pPr>
        <w:pStyle w:val="HR"/>
        <w:ind w:hanging="255"/>
      </w:pPr>
      <w:bookmarkStart w:id="13" w:name="_Toc54753362"/>
      <w:r>
        <w:rPr>
          <w:rStyle w:val="CharSectno"/>
        </w:rPr>
        <w:t>4.16</w:t>
      </w:r>
      <w:r>
        <w:tab/>
        <w:t>Notice to Director</w:t>
      </w:r>
      <w:bookmarkEnd w:id="13"/>
      <w:r>
        <w:t xml:space="preserve"> of National Parks </w:t>
      </w:r>
    </w:p>
    <w:p w:rsidR="00156C16" w:rsidRDefault="00156C16" w:rsidP="00156C16">
      <w:pPr>
        <w:pStyle w:val="ItemHead"/>
      </w:pPr>
      <w:proofErr w:type="gramStart"/>
      <w:r>
        <w:t>1</w:t>
      </w:r>
      <w:r w:rsidR="00E74AF8">
        <w:t>4</w:t>
      </w:r>
      <w:r>
        <w:t xml:space="preserve">  Note</w:t>
      </w:r>
      <w:proofErr w:type="gramEnd"/>
      <w:r>
        <w:t xml:space="preserve"> after the heading to Division 2 to Part 5, Chapter 4</w:t>
      </w:r>
    </w:p>
    <w:p w:rsidR="00156C16" w:rsidRPr="00A8771F" w:rsidRDefault="00156C16" w:rsidP="00156C16">
      <w:pPr>
        <w:pStyle w:val="Item"/>
        <w:rPr>
          <w:sz w:val="24"/>
        </w:rPr>
      </w:pPr>
      <w:r w:rsidRPr="00A8771F">
        <w:rPr>
          <w:sz w:val="24"/>
        </w:rPr>
        <w:t>Omit:</w:t>
      </w:r>
    </w:p>
    <w:p w:rsidR="00156C16" w:rsidRPr="0095619D" w:rsidRDefault="00156C16" w:rsidP="003E097C">
      <w:pPr>
        <w:pStyle w:val="notetext"/>
        <w:ind w:left="1815"/>
        <w:rPr>
          <w:iCs/>
        </w:rPr>
      </w:pPr>
      <w:r w:rsidRPr="0095619D">
        <w:rPr>
          <w:iCs/>
        </w:rPr>
        <w:t>Note  </w:t>
      </w:r>
      <w:r>
        <w:rPr>
          <w:iCs/>
        </w:rPr>
        <w:tab/>
      </w:r>
      <w:r w:rsidRPr="0095619D">
        <w:rPr>
          <w:iCs/>
        </w:rPr>
        <w:t>This Division is provided for information only: see subsection 4.1 (2). The provisions of the Act should be consulted to decide rights and obligations.</w:t>
      </w:r>
    </w:p>
    <w:p w:rsidR="00156C16" w:rsidRPr="00A8771F" w:rsidRDefault="00156C16" w:rsidP="00156C16">
      <w:pPr>
        <w:pStyle w:val="Item"/>
        <w:rPr>
          <w:sz w:val="24"/>
        </w:rPr>
      </w:pPr>
      <w:r w:rsidRPr="00A8771F">
        <w:rPr>
          <w:sz w:val="24"/>
        </w:rPr>
        <w:t>Substitute:</w:t>
      </w:r>
    </w:p>
    <w:p w:rsidR="00156C16" w:rsidRPr="0095619D" w:rsidRDefault="00156C16" w:rsidP="003E097C">
      <w:pPr>
        <w:pStyle w:val="notetext"/>
        <w:ind w:left="1815"/>
        <w:rPr>
          <w:iCs/>
        </w:rPr>
      </w:pPr>
      <w:r w:rsidRPr="0095619D">
        <w:rPr>
          <w:iCs/>
        </w:rPr>
        <w:t>Note  </w:t>
      </w:r>
      <w:r>
        <w:rPr>
          <w:iCs/>
        </w:rPr>
        <w:tab/>
        <w:t>Several of the sections in t</w:t>
      </w:r>
      <w:r w:rsidRPr="0095619D">
        <w:rPr>
          <w:iCs/>
        </w:rPr>
        <w:t xml:space="preserve">his Division </w:t>
      </w:r>
      <w:r>
        <w:rPr>
          <w:iCs/>
        </w:rPr>
        <w:t xml:space="preserve">are </w:t>
      </w:r>
      <w:r w:rsidRPr="0095619D">
        <w:rPr>
          <w:iCs/>
        </w:rPr>
        <w:t>provided for information only</w:t>
      </w:r>
      <w:r>
        <w:rPr>
          <w:iCs/>
        </w:rPr>
        <w:t xml:space="preserve">. </w:t>
      </w:r>
      <w:r w:rsidRPr="0095619D">
        <w:rPr>
          <w:iCs/>
        </w:rPr>
        <w:t>The provisions of the Act should be consulted to decide rights and obligations.</w:t>
      </w:r>
    </w:p>
    <w:p w:rsidR="00156C16" w:rsidRDefault="00156C16" w:rsidP="00156C16">
      <w:pPr>
        <w:pStyle w:val="ItemHead"/>
      </w:pPr>
      <w:proofErr w:type="gramStart"/>
      <w:r>
        <w:t>1</w:t>
      </w:r>
      <w:r w:rsidR="00E74AF8">
        <w:t>5</w:t>
      </w:r>
      <w:r>
        <w:t xml:space="preserve">  After</w:t>
      </w:r>
      <w:proofErr w:type="gramEnd"/>
      <w:r>
        <w:t xml:space="preserve"> subsection 4.23A(3)</w:t>
      </w:r>
    </w:p>
    <w:p w:rsidR="00156C16" w:rsidRPr="00A8771F" w:rsidRDefault="00156C16" w:rsidP="00156C16">
      <w:pPr>
        <w:pStyle w:val="Item"/>
        <w:rPr>
          <w:sz w:val="24"/>
        </w:rPr>
      </w:pPr>
      <w:r w:rsidRPr="00A8771F">
        <w:rPr>
          <w:sz w:val="24"/>
        </w:rPr>
        <w:t>Insert:</w:t>
      </w:r>
    </w:p>
    <w:p w:rsidR="00B30FCB" w:rsidRPr="00B30FCB" w:rsidRDefault="00E74AF8" w:rsidP="0066505F">
      <w:pPr>
        <w:pStyle w:val="R2"/>
        <w:ind w:left="1275" w:hanging="1275"/>
        <w:jc w:val="left"/>
      </w:pPr>
      <w:r w:rsidRPr="00423BC8">
        <w:t xml:space="preserve"> </w:t>
      </w:r>
      <w:r w:rsidR="00423BC8" w:rsidRPr="00423BC8">
        <w:t xml:space="preserve"> </w:t>
      </w:r>
      <w:r w:rsidR="00B30FCB">
        <w:tab/>
      </w:r>
      <w:r w:rsidR="0066505F">
        <w:t xml:space="preserve">         </w:t>
      </w:r>
      <w:r w:rsidR="00B30FCB">
        <w:t>(3A)</w:t>
      </w:r>
      <w:r w:rsidR="00B30FCB">
        <w:tab/>
      </w:r>
      <w:r w:rsidR="00B30FCB" w:rsidRPr="00B30FCB">
        <w:t>Where the low-impact facility activity relates to installing a temporary facility, the notice must also specify:</w:t>
      </w:r>
    </w:p>
    <w:p w:rsidR="00B30FCB" w:rsidRPr="00B30FCB" w:rsidRDefault="00B30FCB" w:rsidP="00B16832">
      <w:pPr>
        <w:pStyle w:val="paragraph2"/>
        <w:numPr>
          <w:ilvl w:val="0"/>
          <w:numId w:val="18"/>
        </w:numPr>
      </w:pPr>
      <w:r w:rsidRPr="00B30FCB">
        <w:t>in all circumstances:</w:t>
      </w:r>
    </w:p>
    <w:p w:rsidR="00B30FCB" w:rsidRDefault="00B30FCB" w:rsidP="00EE3E3A">
      <w:pPr>
        <w:pStyle w:val="paragraph2"/>
        <w:numPr>
          <w:ilvl w:val="0"/>
          <w:numId w:val="26"/>
        </w:numPr>
      </w:pPr>
      <w:r w:rsidRPr="00EE3E3A">
        <w:rPr>
          <w:rFonts w:eastAsia="Times New Roman"/>
          <w:noProof w:val="0"/>
          <w:lang w:val="en-AU"/>
        </w:rPr>
        <w:t>the</w:t>
      </w:r>
      <w:r w:rsidRPr="00B30FCB">
        <w:t xml:space="preserve"> particular purpose for which the installation is proposed;</w:t>
      </w:r>
    </w:p>
    <w:p w:rsidR="00B30FCB" w:rsidRDefault="00B30FCB" w:rsidP="00EE3E3A">
      <w:pPr>
        <w:pStyle w:val="paragraph2"/>
        <w:numPr>
          <w:ilvl w:val="0"/>
          <w:numId w:val="26"/>
        </w:numPr>
        <w:rPr>
          <w:rStyle w:val="CommentReference"/>
          <w:sz w:val="24"/>
          <w:szCs w:val="24"/>
        </w:rPr>
      </w:pPr>
      <w:r w:rsidRPr="00B30FCB">
        <w:rPr>
          <w:rStyle w:val="CommentReference"/>
          <w:sz w:val="24"/>
          <w:szCs w:val="24"/>
        </w:rPr>
        <w:t xml:space="preserve">where the temporary facility includes a tower—the height of the tower; </w:t>
      </w:r>
    </w:p>
    <w:p w:rsidR="00B30FCB" w:rsidRDefault="00B30FCB" w:rsidP="00EE3E3A">
      <w:pPr>
        <w:pStyle w:val="paragraph2"/>
        <w:numPr>
          <w:ilvl w:val="0"/>
          <w:numId w:val="26"/>
        </w:numPr>
        <w:rPr>
          <w:rStyle w:val="CommentReference"/>
          <w:sz w:val="24"/>
          <w:szCs w:val="24"/>
        </w:rPr>
      </w:pPr>
      <w:r w:rsidRPr="00B30FCB">
        <w:rPr>
          <w:rStyle w:val="CommentReference"/>
          <w:sz w:val="24"/>
          <w:szCs w:val="24"/>
        </w:rPr>
        <w:lastRenderedPageBreak/>
        <w:t>the physical address at which the temporary facility will be installed;</w:t>
      </w:r>
    </w:p>
    <w:p w:rsidR="00B30FCB" w:rsidRDefault="00B30FCB" w:rsidP="00EE3E3A">
      <w:pPr>
        <w:pStyle w:val="paragraph2"/>
        <w:numPr>
          <w:ilvl w:val="0"/>
          <w:numId w:val="26"/>
        </w:numPr>
        <w:rPr>
          <w:rStyle w:val="CommentReference"/>
          <w:sz w:val="24"/>
          <w:szCs w:val="24"/>
        </w:rPr>
      </w:pPr>
      <w:r w:rsidRPr="00B30FCB">
        <w:rPr>
          <w:rStyle w:val="CommentReference"/>
          <w:sz w:val="24"/>
          <w:szCs w:val="24"/>
        </w:rPr>
        <w:t>the day on which the temporary faci</w:t>
      </w:r>
      <w:r>
        <w:rPr>
          <w:rStyle w:val="CommentReference"/>
          <w:sz w:val="24"/>
          <w:szCs w:val="24"/>
        </w:rPr>
        <w:t>lity is planned to be installed;</w:t>
      </w:r>
    </w:p>
    <w:p w:rsidR="00B30FCB" w:rsidRPr="00EE3E3A" w:rsidRDefault="00B30FCB" w:rsidP="00EE3E3A">
      <w:pPr>
        <w:pStyle w:val="paragraph2"/>
        <w:numPr>
          <w:ilvl w:val="0"/>
          <w:numId w:val="26"/>
        </w:numPr>
        <w:rPr>
          <w:rStyle w:val="CommentReference"/>
          <w:sz w:val="24"/>
          <w:szCs w:val="24"/>
        </w:rPr>
      </w:pPr>
      <w:r w:rsidRPr="00B30FCB">
        <w:rPr>
          <w:rStyle w:val="CommentReference"/>
          <w:sz w:val="24"/>
          <w:szCs w:val="24"/>
        </w:rPr>
        <w:t>the day on which the temporary facility is planned to be removed</w:t>
      </w:r>
      <w:r w:rsidRPr="00EE3E3A">
        <w:rPr>
          <w:rStyle w:val="CommentReference"/>
          <w:sz w:val="24"/>
          <w:szCs w:val="24"/>
        </w:rPr>
        <w:t xml:space="preserve">; and </w:t>
      </w:r>
    </w:p>
    <w:p w:rsidR="00B30FCB" w:rsidRPr="00B30FCB" w:rsidRDefault="00B30FCB" w:rsidP="00B16832">
      <w:pPr>
        <w:pStyle w:val="paragraph2"/>
        <w:numPr>
          <w:ilvl w:val="0"/>
          <w:numId w:val="18"/>
        </w:numPr>
      </w:pPr>
      <w:r w:rsidRPr="00B30FCB">
        <w:t>in a circumstance where the installation of the temporary facility is to provide additional capacity to supply carriage services to persons who are attending one or more events at a venue:</w:t>
      </w:r>
    </w:p>
    <w:p w:rsidR="00B30FCB" w:rsidRPr="00B30FCB" w:rsidRDefault="00B30FCB" w:rsidP="00EE3E3A">
      <w:pPr>
        <w:pStyle w:val="paragraph2"/>
        <w:numPr>
          <w:ilvl w:val="0"/>
          <w:numId w:val="27"/>
        </w:numPr>
        <w:rPr>
          <w:rStyle w:val="CommentReference"/>
          <w:sz w:val="24"/>
          <w:szCs w:val="24"/>
        </w:rPr>
      </w:pPr>
      <w:r w:rsidRPr="00B30FCB">
        <w:rPr>
          <w:rStyle w:val="CommentReference"/>
          <w:sz w:val="24"/>
          <w:szCs w:val="24"/>
        </w:rPr>
        <w:t>the matters listed in subparagraphs (a)(i)-(v) above;</w:t>
      </w:r>
    </w:p>
    <w:p w:rsidR="00B30FCB" w:rsidRPr="00B30FCB" w:rsidRDefault="00B30FCB" w:rsidP="00EE3E3A">
      <w:pPr>
        <w:pStyle w:val="paragraph2"/>
        <w:numPr>
          <w:ilvl w:val="0"/>
          <w:numId w:val="27"/>
        </w:numPr>
        <w:rPr>
          <w:rStyle w:val="CommentReference"/>
          <w:sz w:val="24"/>
          <w:szCs w:val="24"/>
        </w:rPr>
      </w:pPr>
      <w:r w:rsidRPr="00B30FCB">
        <w:rPr>
          <w:rStyle w:val="CommentReference"/>
          <w:sz w:val="24"/>
          <w:szCs w:val="24"/>
        </w:rPr>
        <w:t>the physical address of each venue; and</w:t>
      </w:r>
    </w:p>
    <w:p w:rsidR="00B30FCB" w:rsidRPr="00B30FCB" w:rsidRDefault="00B30FCB" w:rsidP="00EE3E3A">
      <w:pPr>
        <w:pStyle w:val="paragraph2"/>
        <w:numPr>
          <w:ilvl w:val="0"/>
          <w:numId w:val="27"/>
        </w:numPr>
        <w:rPr>
          <w:rStyle w:val="CommentReference"/>
          <w:sz w:val="24"/>
          <w:szCs w:val="24"/>
        </w:rPr>
      </w:pPr>
      <w:r w:rsidRPr="00B30FCB">
        <w:rPr>
          <w:rStyle w:val="CommentReference"/>
          <w:sz w:val="24"/>
          <w:szCs w:val="24"/>
        </w:rPr>
        <w:t>the days on which each event will take place, including the  scheduled start and end time.</w:t>
      </w:r>
    </w:p>
    <w:p w:rsidR="00B30FCB" w:rsidRPr="00C57485" w:rsidRDefault="00B30FCB" w:rsidP="003E097C">
      <w:pPr>
        <w:pStyle w:val="notetext"/>
        <w:ind w:left="1815"/>
        <w:rPr>
          <w:iCs/>
        </w:rPr>
      </w:pPr>
      <w:r w:rsidRPr="00C57485">
        <w:rPr>
          <w:iCs/>
        </w:rPr>
        <w:t>Note 1 </w:t>
      </w:r>
      <w:r w:rsidRPr="00C57485">
        <w:rPr>
          <w:iCs/>
        </w:rPr>
        <w:tab/>
        <w:t xml:space="preserve">Where a temporary </w:t>
      </w:r>
      <w:r>
        <w:rPr>
          <w:iCs/>
        </w:rPr>
        <w:t xml:space="preserve">facility </w:t>
      </w:r>
      <w:r w:rsidRPr="00C57485">
        <w:rPr>
          <w:iCs/>
        </w:rPr>
        <w:t>is to be installed to provide additional capacity to supply</w:t>
      </w:r>
      <w:r>
        <w:rPr>
          <w:iCs/>
        </w:rPr>
        <w:t xml:space="preserve"> carriage services </w:t>
      </w:r>
      <w:r w:rsidRPr="00C57485">
        <w:rPr>
          <w:iCs/>
        </w:rPr>
        <w:t xml:space="preserve">to persons who are attending any or all of </w:t>
      </w:r>
      <w:r>
        <w:rPr>
          <w:iCs/>
        </w:rPr>
        <w:t>2 or more event</w:t>
      </w:r>
      <w:r w:rsidRPr="00C57485">
        <w:rPr>
          <w:iCs/>
        </w:rPr>
        <w:t xml:space="preserve">s at a venue, </w:t>
      </w:r>
      <w:r>
        <w:rPr>
          <w:iCs/>
        </w:rPr>
        <w:t>the carrier may provide one notification covering all events at the venue.</w:t>
      </w:r>
    </w:p>
    <w:p w:rsidR="00B30FCB" w:rsidRDefault="00B30FCB" w:rsidP="003E097C">
      <w:pPr>
        <w:pStyle w:val="notetext"/>
        <w:ind w:left="1815"/>
        <w:rPr>
          <w:iCs/>
        </w:rPr>
      </w:pPr>
      <w:r w:rsidRPr="00C57485">
        <w:rPr>
          <w:iCs/>
        </w:rPr>
        <w:t xml:space="preserve">Note 2 </w:t>
      </w:r>
      <w:r>
        <w:rPr>
          <w:iCs/>
        </w:rPr>
        <w:t xml:space="preserve">  </w:t>
      </w:r>
      <w:r w:rsidR="00713CC8">
        <w:rPr>
          <w:iCs/>
        </w:rPr>
        <w:t xml:space="preserve">  </w:t>
      </w:r>
      <w:r w:rsidR="003E097C">
        <w:rPr>
          <w:iCs/>
        </w:rPr>
        <w:t xml:space="preserve">   </w:t>
      </w:r>
      <w:r w:rsidRPr="00C57485">
        <w:rPr>
          <w:iCs/>
        </w:rPr>
        <w:t xml:space="preserve">Where </w:t>
      </w:r>
      <w:r>
        <w:rPr>
          <w:iCs/>
        </w:rPr>
        <w:t xml:space="preserve">the </w:t>
      </w:r>
      <w:r w:rsidRPr="00C57485">
        <w:rPr>
          <w:iCs/>
        </w:rPr>
        <w:t xml:space="preserve">time limit in any one calendar year has been expended </w:t>
      </w:r>
      <w:r>
        <w:rPr>
          <w:iCs/>
        </w:rPr>
        <w:t xml:space="preserve">in respect of the location of a temporary facility on a </w:t>
      </w:r>
      <w:r w:rsidRPr="00C57485">
        <w:rPr>
          <w:iCs/>
        </w:rPr>
        <w:t xml:space="preserve">particular </w:t>
      </w:r>
      <w:r>
        <w:rPr>
          <w:iCs/>
        </w:rPr>
        <w:t xml:space="preserve">parcel of </w:t>
      </w:r>
      <w:r w:rsidRPr="00C57485">
        <w:rPr>
          <w:iCs/>
        </w:rPr>
        <w:t xml:space="preserve">land, that land cannot be used </w:t>
      </w:r>
      <w:r>
        <w:rPr>
          <w:iCs/>
        </w:rPr>
        <w:t xml:space="preserve">by the carrier </w:t>
      </w:r>
      <w:r w:rsidRPr="00C57485">
        <w:rPr>
          <w:iCs/>
        </w:rPr>
        <w:t xml:space="preserve">for the remainder of </w:t>
      </w:r>
      <w:r>
        <w:rPr>
          <w:iCs/>
        </w:rPr>
        <w:t xml:space="preserve">that </w:t>
      </w:r>
      <w:r w:rsidRPr="00C57485">
        <w:rPr>
          <w:iCs/>
        </w:rPr>
        <w:t xml:space="preserve">calendar year for </w:t>
      </w:r>
      <w:r>
        <w:rPr>
          <w:iCs/>
        </w:rPr>
        <w:t>siting of another temporary facility of the same kind for the same purpose on any part of that land.</w:t>
      </w:r>
    </w:p>
    <w:p w:rsidR="00B30FCB" w:rsidRDefault="00B30FCB" w:rsidP="003E097C">
      <w:pPr>
        <w:pStyle w:val="notetext"/>
        <w:ind w:left="1815"/>
        <w:rPr>
          <w:iCs/>
        </w:rPr>
      </w:pPr>
      <w:r>
        <w:rPr>
          <w:iCs/>
        </w:rPr>
        <w:t xml:space="preserve">Note 3 </w:t>
      </w:r>
      <w:r>
        <w:rPr>
          <w:iCs/>
        </w:rPr>
        <w:tab/>
        <w:t>For paragraph 4.23(3A</w:t>
      </w:r>
      <w:proofErr w:type="gramStart"/>
      <w:r>
        <w:rPr>
          <w:iCs/>
        </w:rPr>
        <w:t>)(</w:t>
      </w:r>
      <w:proofErr w:type="gramEnd"/>
      <w:r>
        <w:rPr>
          <w:iCs/>
        </w:rPr>
        <w:t>a), see Items 1– 4 , 7 and 8 of Part 6A of the Schedule to the LIFD.</w:t>
      </w:r>
    </w:p>
    <w:p w:rsidR="00B30FCB" w:rsidRPr="00C57485" w:rsidRDefault="00B30FCB" w:rsidP="003E097C">
      <w:pPr>
        <w:pStyle w:val="notetext"/>
        <w:ind w:left="1815"/>
        <w:rPr>
          <w:iCs/>
        </w:rPr>
      </w:pPr>
      <w:r>
        <w:rPr>
          <w:iCs/>
        </w:rPr>
        <w:t xml:space="preserve">Note 4   </w:t>
      </w:r>
      <w:r w:rsidR="00713CC8">
        <w:rPr>
          <w:iCs/>
        </w:rPr>
        <w:t xml:space="preserve">  </w:t>
      </w:r>
      <w:r w:rsidR="003E097C">
        <w:rPr>
          <w:iCs/>
        </w:rPr>
        <w:tab/>
      </w:r>
      <w:r>
        <w:rPr>
          <w:iCs/>
        </w:rPr>
        <w:t>For paragraph 4.23(3A</w:t>
      </w:r>
      <w:proofErr w:type="gramStart"/>
      <w:r>
        <w:rPr>
          <w:iCs/>
        </w:rPr>
        <w:t>)(</w:t>
      </w:r>
      <w:proofErr w:type="gramEnd"/>
      <w:r>
        <w:rPr>
          <w:iCs/>
        </w:rPr>
        <w:t>b), see Items 5, 6 and 8 of Part 6A of the Schedule to the LIFD.</w:t>
      </w:r>
    </w:p>
    <w:p w:rsidR="00423BC8" w:rsidRPr="00B30FCB" w:rsidRDefault="00B30FCB" w:rsidP="00B30FCB">
      <w:pPr>
        <w:pStyle w:val="ItemHead"/>
      </w:pPr>
      <w:r w:rsidRPr="00B30FCB">
        <w:t xml:space="preserve"> </w:t>
      </w:r>
      <w:proofErr w:type="gramStart"/>
      <w:r w:rsidR="00423BC8" w:rsidRPr="00B30FCB">
        <w:t>16  Section</w:t>
      </w:r>
      <w:proofErr w:type="gramEnd"/>
      <w:r w:rsidR="00423BC8" w:rsidRPr="00B30FCB">
        <w:t xml:space="preserve"> 4.23(5) </w:t>
      </w:r>
    </w:p>
    <w:p w:rsidR="00423BC8" w:rsidRPr="00B30FCB" w:rsidRDefault="00423BC8" w:rsidP="00423BC8">
      <w:pPr>
        <w:pStyle w:val="Item"/>
        <w:rPr>
          <w:sz w:val="24"/>
        </w:rPr>
      </w:pPr>
      <w:r w:rsidRPr="00B30FCB">
        <w:rPr>
          <w:sz w:val="24"/>
        </w:rPr>
        <w:t>Omit:</w:t>
      </w:r>
    </w:p>
    <w:p w:rsidR="00423BC8" w:rsidRPr="00B30FCB" w:rsidRDefault="00423BC8" w:rsidP="00423BC8">
      <w:pPr>
        <w:pStyle w:val="Item"/>
        <w:ind w:left="1429" w:firstLine="11"/>
      </w:pPr>
      <w:proofErr w:type="gramStart"/>
      <w:r w:rsidRPr="00B30FCB">
        <w:t>to</w:t>
      </w:r>
      <w:proofErr w:type="gramEnd"/>
      <w:r w:rsidRPr="00B30FCB">
        <w:t xml:space="preserve"> (7) </w:t>
      </w:r>
    </w:p>
    <w:p w:rsidR="00423BC8" w:rsidRPr="00B30FCB" w:rsidRDefault="00423BC8" w:rsidP="00423BC8">
      <w:pPr>
        <w:pStyle w:val="Item"/>
        <w:rPr>
          <w:sz w:val="24"/>
        </w:rPr>
      </w:pPr>
      <w:r w:rsidRPr="00B30FCB">
        <w:rPr>
          <w:sz w:val="24"/>
        </w:rPr>
        <w:t>Substitute:</w:t>
      </w:r>
    </w:p>
    <w:p w:rsidR="00423BC8" w:rsidRPr="00B30FCB" w:rsidRDefault="00423BC8" w:rsidP="00423BC8">
      <w:pPr>
        <w:pStyle w:val="Item"/>
        <w:ind w:left="1429" w:firstLine="11"/>
      </w:pPr>
      <w:proofErr w:type="gramStart"/>
      <w:r w:rsidRPr="00B30FCB">
        <w:t>to</w:t>
      </w:r>
      <w:proofErr w:type="gramEnd"/>
      <w:r w:rsidRPr="00B30FCB">
        <w:t xml:space="preserve"> (8) </w:t>
      </w:r>
    </w:p>
    <w:p w:rsidR="00156C16" w:rsidRDefault="00156C16" w:rsidP="00156C16">
      <w:pPr>
        <w:pStyle w:val="ItemHead"/>
      </w:pPr>
      <w:proofErr w:type="gramStart"/>
      <w:r w:rsidRPr="00B30FCB">
        <w:t>1</w:t>
      </w:r>
      <w:r w:rsidR="00423BC8" w:rsidRPr="00B30FCB">
        <w:t>7</w:t>
      </w:r>
      <w:r w:rsidRPr="00B30FCB">
        <w:t xml:space="preserve">  </w:t>
      </w:r>
      <w:r w:rsidR="00AD3D34" w:rsidRPr="00B30FCB">
        <w:t>S</w:t>
      </w:r>
      <w:r w:rsidRPr="00B30FCB">
        <w:t>ection</w:t>
      </w:r>
      <w:proofErr w:type="gramEnd"/>
      <w:r w:rsidRPr="00B30FCB">
        <w:t xml:space="preserve"> 5.7 (at the end of Note 2)</w:t>
      </w:r>
    </w:p>
    <w:p w:rsidR="00156C16" w:rsidRPr="00A8771F" w:rsidRDefault="00DC6A0D" w:rsidP="00156C16">
      <w:pPr>
        <w:pStyle w:val="Item"/>
        <w:rPr>
          <w:sz w:val="24"/>
        </w:rPr>
      </w:pPr>
      <w:r w:rsidRPr="00A8771F">
        <w:rPr>
          <w:sz w:val="24"/>
        </w:rPr>
        <w:t>Add</w:t>
      </w:r>
      <w:r w:rsidR="00156C16" w:rsidRPr="00A8771F">
        <w:rPr>
          <w:sz w:val="24"/>
        </w:rPr>
        <w:t>:</w:t>
      </w:r>
    </w:p>
    <w:p w:rsidR="00156C16" w:rsidRPr="000B409B" w:rsidRDefault="00156C16" w:rsidP="00B16832">
      <w:pPr>
        <w:pStyle w:val="notetext"/>
        <w:ind w:left="1815"/>
        <w:rPr>
          <w:iCs/>
        </w:rPr>
      </w:pPr>
      <w:r w:rsidRPr="000B409B">
        <w:rPr>
          <w:iCs/>
        </w:rPr>
        <w:t>Note 3</w:t>
      </w:r>
      <w:r w:rsidRPr="000B409B">
        <w:rPr>
          <w:iCs/>
        </w:rPr>
        <w:tab/>
      </w:r>
      <w:r w:rsidR="00713CC8" w:rsidRPr="00713CC8">
        <w:rPr>
          <w:iCs/>
        </w:rPr>
        <w:t xml:space="preserve">Copies of ACMA-recognised standards are available at:  https://www.acma.gov.au/register-telco-industry-codes-and-standards </w:t>
      </w:r>
    </w:p>
    <w:p w:rsidR="00156C16" w:rsidRDefault="00156C16" w:rsidP="00156C16">
      <w:pPr>
        <w:pStyle w:val="ItemHead"/>
      </w:pPr>
      <w:proofErr w:type="gramStart"/>
      <w:r>
        <w:t>1</w:t>
      </w:r>
      <w:r w:rsidR="00423BC8">
        <w:t>8</w:t>
      </w:r>
      <w:r>
        <w:t xml:space="preserve">  </w:t>
      </w:r>
      <w:r w:rsidR="00DC6A0D">
        <w:t>At</w:t>
      </w:r>
      <w:proofErr w:type="gramEnd"/>
      <w:r w:rsidR="00DC6A0D">
        <w:t xml:space="preserve"> the end of </w:t>
      </w:r>
      <w:r>
        <w:t xml:space="preserve">section 6.2 </w:t>
      </w:r>
    </w:p>
    <w:p w:rsidR="00156C16" w:rsidRPr="00A8771F" w:rsidRDefault="00DC6A0D" w:rsidP="00156C16">
      <w:pPr>
        <w:pStyle w:val="Item"/>
        <w:rPr>
          <w:sz w:val="24"/>
        </w:rPr>
      </w:pPr>
      <w:r w:rsidRPr="00A8771F">
        <w:rPr>
          <w:sz w:val="24"/>
        </w:rPr>
        <w:t>Add</w:t>
      </w:r>
      <w:r w:rsidR="00156C16" w:rsidRPr="00A8771F">
        <w:rPr>
          <w:sz w:val="24"/>
        </w:rPr>
        <w:t>:</w:t>
      </w:r>
    </w:p>
    <w:p w:rsidR="00713CC8" w:rsidRPr="00347B50" w:rsidRDefault="00713CC8" w:rsidP="003E097C">
      <w:pPr>
        <w:pStyle w:val="notetext"/>
        <w:ind w:left="1815"/>
        <w:rPr>
          <w:szCs w:val="18"/>
        </w:rPr>
      </w:pPr>
      <w:r w:rsidRPr="003E097C">
        <w:rPr>
          <w:iCs/>
        </w:rPr>
        <w:t>Note</w:t>
      </w:r>
      <w:r w:rsidRPr="00347B50">
        <w:rPr>
          <w:szCs w:val="18"/>
        </w:rPr>
        <w:t xml:space="preserve"> 1   </w:t>
      </w:r>
      <w:r w:rsidRPr="00347B50">
        <w:rPr>
          <w:szCs w:val="18"/>
        </w:rPr>
        <w:tab/>
        <w:t xml:space="preserve">The term ‘maintenance’ is defined in the Dictionary. </w:t>
      </w:r>
    </w:p>
    <w:p w:rsidR="00713CC8" w:rsidRPr="00347B50" w:rsidRDefault="00713CC8" w:rsidP="00B16832">
      <w:pPr>
        <w:pStyle w:val="notetext"/>
        <w:ind w:left="1815"/>
        <w:rPr>
          <w:szCs w:val="18"/>
        </w:rPr>
      </w:pPr>
      <w:r w:rsidRPr="003E097C">
        <w:rPr>
          <w:iCs/>
        </w:rPr>
        <w:t>Note</w:t>
      </w:r>
      <w:r w:rsidRPr="00347B50">
        <w:rPr>
          <w:szCs w:val="18"/>
        </w:rPr>
        <w:t xml:space="preserve"> 2 </w:t>
      </w:r>
      <w:r w:rsidRPr="00347B50">
        <w:rPr>
          <w:szCs w:val="18"/>
        </w:rPr>
        <w:tab/>
        <w:t>The maintenance of a facility includes a reference to the installation of a temporary facility (other than a tower within the meaning of subclause 6(5) of Schedule 3 to the Act) where certain conditions are satisfied; see subclause 7(3A) of Schedule 3 to the Act.</w:t>
      </w:r>
    </w:p>
    <w:p w:rsidR="00156C16" w:rsidRDefault="00156C16" w:rsidP="00156C16">
      <w:pPr>
        <w:pStyle w:val="ItemHead"/>
      </w:pPr>
      <w:proofErr w:type="gramStart"/>
      <w:r>
        <w:t>1</w:t>
      </w:r>
      <w:r w:rsidR="00423BC8">
        <w:t>9</w:t>
      </w:r>
      <w:r>
        <w:t xml:space="preserve">  After</w:t>
      </w:r>
      <w:proofErr w:type="gramEnd"/>
      <w:r>
        <w:t xml:space="preserve"> section 6.3 </w:t>
      </w:r>
    </w:p>
    <w:p w:rsidR="00156C16" w:rsidRDefault="00156C16" w:rsidP="00156C16">
      <w:pPr>
        <w:pStyle w:val="Item"/>
        <w:rPr>
          <w:sz w:val="24"/>
        </w:rPr>
      </w:pPr>
      <w:r w:rsidRPr="00A8771F">
        <w:rPr>
          <w:sz w:val="24"/>
        </w:rPr>
        <w:t>Insert:</w:t>
      </w:r>
    </w:p>
    <w:p w:rsidR="00B16832" w:rsidRDefault="00B16832" w:rsidP="00B16832">
      <w:pPr>
        <w:pStyle w:val="HR"/>
        <w:ind w:hanging="255"/>
      </w:pPr>
      <w:r>
        <w:lastRenderedPageBreak/>
        <w:t>6.3A</w:t>
      </w:r>
      <w:r>
        <w:tab/>
        <w:t>Carrier to remove temporary facilities within 28 days</w:t>
      </w:r>
    </w:p>
    <w:p w:rsidR="00713CC8" w:rsidRPr="002B50EB" w:rsidRDefault="00713CC8" w:rsidP="00713CC8">
      <w:pPr>
        <w:pStyle w:val="R1"/>
        <w:jc w:val="left"/>
      </w:pPr>
      <w:r>
        <w:tab/>
      </w:r>
      <w:r>
        <w:tab/>
      </w:r>
      <w:r w:rsidRPr="00060B0B">
        <w:t>If a carrier engage</w:t>
      </w:r>
      <w:r>
        <w:t>s</w:t>
      </w:r>
      <w:r w:rsidRPr="00060B0B">
        <w:t xml:space="preserve"> in a maintenance activity in relation to any land a</w:t>
      </w:r>
      <w:r>
        <w:t>nd, as part of that maintenance</w:t>
      </w:r>
      <w:r w:rsidRPr="002B50EB">
        <w:t>:</w:t>
      </w:r>
    </w:p>
    <w:p w:rsidR="00B16832" w:rsidRDefault="00713CC8" w:rsidP="00B16832">
      <w:pPr>
        <w:pStyle w:val="paragraph2"/>
        <w:numPr>
          <w:ilvl w:val="0"/>
          <w:numId w:val="19"/>
        </w:numPr>
      </w:pPr>
      <w:r w:rsidRPr="00C222F1">
        <w:t>the carrier installs a low</w:t>
      </w:r>
      <w:r w:rsidRPr="00C222F1">
        <w:noBreakHyphen/>
        <w:t xml:space="preserve">impact facility on particular land; and </w:t>
      </w:r>
    </w:p>
    <w:p w:rsidR="00713CC8" w:rsidRPr="00B16832" w:rsidRDefault="00713CC8" w:rsidP="00B16832">
      <w:pPr>
        <w:pStyle w:val="paragraph2"/>
        <w:numPr>
          <w:ilvl w:val="0"/>
          <w:numId w:val="19"/>
        </w:numPr>
      </w:pPr>
      <w:r w:rsidRPr="00B16832">
        <w:t>the installation of the facility is for one of the following purposes:</w:t>
      </w:r>
    </w:p>
    <w:p w:rsidR="00EE3E3A" w:rsidRDefault="00713CC8" w:rsidP="00EE3E3A">
      <w:pPr>
        <w:pStyle w:val="paragraph2"/>
        <w:numPr>
          <w:ilvl w:val="0"/>
          <w:numId w:val="28"/>
        </w:numPr>
      </w:pPr>
      <w:r w:rsidRPr="00EE3E3A">
        <w:rPr>
          <w:rStyle w:val="CommentReference"/>
          <w:sz w:val="24"/>
          <w:szCs w:val="24"/>
        </w:rPr>
        <w:t>to</w:t>
      </w:r>
      <w:r w:rsidRPr="004601B4">
        <w:t xml:space="preserve"> minimise disruption to the supply of </w:t>
      </w:r>
      <w:r>
        <w:t xml:space="preserve">a </w:t>
      </w:r>
      <w:r w:rsidRPr="004601B4">
        <w:t>carriage service that might result from the maintenance of another facility;</w:t>
      </w:r>
      <w:r>
        <w:t xml:space="preserve"> or</w:t>
      </w:r>
    </w:p>
    <w:p w:rsidR="00713CC8" w:rsidRPr="00EE3E3A" w:rsidRDefault="00713CC8" w:rsidP="00EE3E3A">
      <w:pPr>
        <w:pStyle w:val="paragraph2"/>
        <w:numPr>
          <w:ilvl w:val="0"/>
          <w:numId w:val="28"/>
        </w:numPr>
      </w:pPr>
      <w:r w:rsidRPr="00EE3E3A">
        <w:t xml:space="preserve">to minimise disruption to the supply of a carriage service that might result from carrying out the replacement of another facility; </w:t>
      </w:r>
    </w:p>
    <w:p w:rsidR="00713CC8" w:rsidRPr="00B01386" w:rsidRDefault="00713CC8" w:rsidP="00713CC8">
      <w:pPr>
        <w:pStyle w:val="R1"/>
        <w:jc w:val="left"/>
      </w:pPr>
      <w:r>
        <w:tab/>
      </w:r>
      <w:r>
        <w:tab/>
      </w:r>
      <w:r w:rsidRPr="00B01386">
        <w:t>the carrier must remove the facility within 28 days after the completion of the maintenance</w:t>
      </w:r>
      <w:r>
        <w:t xml:space="preserve"> of the original facility</w:t>
      </w:r>
      <w:r w:rsidRPr="00B01386">
        <w:t>.</w:t>
      </w:r>
    </w:p>
    <w:p w:rsidR="00713CC8" w:rsidRDefault="00713CC8" w:rsidP="00B16832">
      <w:pPr>
        <w:pStyle w:val="notetext"/>
        <w:ind w:left="1815"/>
      </w:pPr>
      <w:r w:rsidRPr="00B16832">
        <w:rPr>
          <w:iCs/>
        </w:rPr>
        <w:t>Note</w:t>
      </w:r>
      <w:r w:rsidRPr="007B3B52">
        <w:rPr>
          <w:color w:val="000000" w:themeColor="text1"/>
          <w:sz w:val="16"/>
          <w:szCs w:val="16"/>
        </w:rPr>
        <w:t xml:space="preserve"> </w:t>
      </w:r>
      <w:r w:rsidRPr="007B3B52">
        <w:rPr>
          <w:color w:val="000000" w:themeColor="text1"/>
          <w:sz w:val="16"/>
          <w:szCs w:val="16"/>
        </w:rPr>
        <w:tab/>
        <w:t>See Item</w:t>
      </w:r>
      <w:r>
        <w:rPr>
          <w:color w:val="000000" w:themeColor="text1"/>
          <w:sz w:val="16"/>
          <w:szCs w:val="16"/>
        </w:rPr>
        <w:t xml:space="preserve"> 8 </w:t>
      </w:r>
      <w:r w:rsidRPr="007B3B52">
        <w:rPr>
          <w:color w:val="000000" w:themeColor="text1"/>
          <w:sz w:val="16"/>
          <w:szCs w:val="16"/>
        </w:rPr>
        <w:t xml:space="preserve">of Part 6A of the Schedule </w:t>
      </w:r>
      <w:r w:rsidRPr="00B65FD5">
        <w:rPr>
          <w:szCs w:val="18"/>
        </w:rPr>
        <w:t>to</w:t>
      </w:r>
      <w:r w:rsidRPr="007B3B52">
        <w:rPr>
          <w:color w:val="000000" w:themeColor="text1"/>
          <w:sz w:val="16"/>
          <w:szCs w:val="16"/>
        </w:rPr>
        <w:t xml:space="preserve"> the LIFD.</w:t>
      </w:r>
    </w:p>
    <w:p w:rsidR="00156C16" w:rsidRDefault="00423BC8" w:rsidP="00156C16">
      <w:pPr>
        <w:pStyle w:val="ItemHead"/>
      </w:pPr>
      <w:r>
        <w:t xml:space="preserve">20 </w:t>
      </w:r>
      <w:r w:rsidR="00156C16">
        <w:t xml:space="preserve">Heading to section 6.4 </w:t>
      </w:r>
    </w:p>
    <w:p w:rsidR="00156C16" w:rsidRPr="00A8771F" w:rsidRDefault="00156C16" w:rsidP="00156C16">
      <w:pPr>
        <w:pStyle w:val="Item"/>
        <w:rPr>
          <w:sz w:val="24"/>
        </w:rPr>
      </w:pPr>
      <w:r w:rsidRPr="00A8771F">
        <w:rPr>
          <w:sz w:val="24"/>
        </w:rPr>
        <w:t>Omit:</w:t>
      </w:r>
    </w:p>
    <w:p w:rsidR="00156C16" w:rsidRDefault="00156C16" w:rsidP="00156C16">
      <w:pPr>
        <w:pStyle w:val="HR"/>
        <w:ind w:hanging="255"/>
      </w:pPr>
      <w:r>
        <w:rPr>
          <w:rStyle w:val="CharSectno"/>
        </w:rPr>
        <w:t>6.4</w:t>
      </w:r>
      <w:r>
        <w:tab/>
        <w:t>Carrier to restore land</w:t>
      </w:r>
    </w:p>
    <w:p w:rsidR="00156C16" w:rsidRDefault="00156C16" w:rsidP="00156C16">
      <w:pPr>
        <w:pStyle w:val="Note"/>
      </w:pPr>
    </w:p>
    <w:p w:rsidR="00156C16" w:rsidRPr="00A8771F" w:rsidRDefault="00156C16" w:rsidP="00156C16">
      <w:pPr>
        <w:pStyle w:val="Item"/>
        <w:ind w:left="0" w:firstLine="709"/>
        <w:rPr>
          <w:sz w:val="24"/>
        </w:rPr>
      </w:pPr>
      <w:r w:rsidRPr="00A8771F">
        <w:rPr>
          <w:sz w:val="24"/>
        </w:rPr>
        <w:t>Substitute:</w:t>
      </w:r>
    </w:p>
    <w:p w:rsidR="00156C16" w:rsidRDefault="00156C16" w:rsidP="00156C16">
      <w:pPr>
        <w:pStyle w:val="HR"/>
        <w:ind w:hanging="255"/>
      </w:pPr>
      <w:r>
        <w:rPr>
          <w:rStyle w:val="CharSectno"/>
        </w:rPr>
        <w:t>6.4</w:t>
      </w:r>
      <w:r>
        <w:tab/>
        <w:t>Carrier to restore land—general</w:t>
      </w:r>
    </w:p>
    <w:p w:rsidR="00156C16" w:rsidRDefault="00156C16" w:rsidP="00156C16">
      <w:pPr>
        <w:pStyle w:val="Note"/>
        <w:ind w:left="1699" w:hanging="735"/>
        <w:jc w:val="left"/>
      </w:pPr>
    </w:p>
    <w:p w:rsidR="00156C16" w:rsidRDefault="00E74AF8" w:rsidP="00156C16">
      <w:pPr>
        <w:pStyle w:val="ItemHead"/>
      </w:pPr>
      <w:proofErr w:type="gramStart"/>
      <w:r>
        <w:t>2</w:t>
      </w:r>
      <w:r w:rsidR="00274B96">
        <w:t>1</w:t>
      </w:r>
      <w:r w:rsidR="00156C16">
        <w:t xml:space="preserve">  After</w:t>
      </w:r>
      <w:proofErr w:type="gramEnd"/>
      <w:r w:rsidR="00156C16">
        <w:t xml:space="preserve"> section 6.4 </w:t>
      </w:r>
    </w:p>
    <w:p w:rsidR="00156C16" w:rsidRPr="00A8771F" w:rsidRDefault="00156C16" w:rsidP="00156C16">
      <w:pPr>
        <w:pStyle w:val="Item"/>
        <w:rPr>
          <w:sz w:val="24"/>
        </w:rPr>
      </w:pPr>
      <w:r w:rsidRPr="00A8771F">
        <w:rPr>
          <w:sz w:val="24"/>
        </w:rPr>
        <w:t>Insert:</w:t>
      </w:r>
    </w:p>
    <w:p w:rsidR="00713CC8" w:rsidRDefault="00713CC8" w:rsidP="00347B50">
      <w:pPr>
        <w:pStyle w:val="HR"/>
        <w:ind w:hanging="255"/>
      </w:pPr>
      <w:r>
        <w:rPr>
          <w:rStyle w:val="CharSectno"/>
        </w:rPr>
        <w:t>6.4A</w:t>
      </w:r>
      <w:r>
        <w:tab/>
        <w:t>Carrier to restore land—removal of temporary facilities</w:t>
      </w:r>
    </w:p>
    <w:p w:rsidR="00713CC8" w:rsidRPr="0059458F" w:rsidRDefault="00713CC8" w:rsidP="0082287C">
      <w:pPr>
        <w:pStyle w:val="R2"/>
        <w:ind w:left="1275" w:hanging="1275"/>
        <w:jc w:val="left"/>
      </w:pPr>
      <w:r w:rsidRPr="005A500F">
        <w:tab/>
      </w:r>
      <w:r w:rsidR="00BD355A">
        <w:t xml:space="preserve">              </w:t>
      </w:r>
      <w:r>
        <w:t>(</w:t>
      </w:r>
      <w:r w:rsidRPr="0059458F">
        <w:t>1</w:t>
      </w:r>
      <w:r w:rsidRPr="00BD5A4B">
        <w:t xml:space="preserve">) </w:t>
      </w:r>
      <w:r w:rsidRPr="0059458F">
        <w:t>If a carrier engages in a maintenance activity in relation to any land and, as part of that maintenance:</w:t>
      </w:r>
    </w:p>
    <w:p w:rsidR="00713CC8" w:rsidRPr="0059458F" w:rsidRDefault="00713CC8" w:rsidP="00B16832">
      <w:pPr>
        <w:pStyle w:val="paragraph2"/>
        <w:numPr>
          <w:ilvl w:val="0"/>
          <w:numId w:val="20"/>
        </w:numPr>
      </w:pPr>
      <w:r w:rsidRPr="0059458F">
        <w:t>the carrier installs a low</w:t>
      </w:r>
      <w:r w:rsidRPr="0059458F">
        <w:noBreakHyphen/>
        <w:t xml:space="preserve">impact facility on particular land; and </w:t>
      </w:r>
    </w:p>
    <w:p w:rsidR="00713CC8" w:rsidRPr="0059458F" w:rsidRDefault="00713CC8" w:rsidP="00B16832">
      <w:pPr>
        <w:pStyle w:val="paragraph2"/>
        <w:numPr>
          <w:ilvl w:val="0"/>
          <w:numId w:val="20"/>
        </w:numPr>
      </w:pPr>
      <w:r w:rsidRPr="0059458F">
        <w:t>the installation of the facility is on a temporary basis for one of the following purposes:</w:t>
      </w:r>
    </w:p>
    <w:p w:rsidR="00EE3E3A" w:rsidRDefault="00713CC8" w:rsidP="00EE3E3A">
      <w:pPr>
        <w:pStyle w:val="paragraph2"/>
        <w:numPr>
          <w:ilvl w:val="0"/>
          <w:numId w:val="29"/>
        </w:numPr>
      </w:pPr>
      <w:r w:rsidRPr="0059458F">
        <w:t xml:space="preserve">to minimise disruption to the supply of a carriage service that might result from the maintenance of another facility; or </w:t>
      </w:r>
    </w:p>
    <w:p w:rsidR="00713CC8" w:rsidRPr="00EE3E3A" w:rsidRDefault="00713CC8" w:rsidP="00EE3E3A">
      <w:pPr>
        <w:pStyle w:val="paragraph2"/>
        <w:numPr>
          <w:ilvl w:val="0"/>
          <w:numId w:val="29"/>
        </w:numPr>
      </w:pPr>
      <w:r w:rsidRPr="00EE3E3A">
        <w:t xml:space="preserve">to minimise disruption to the supply of a carriage service that might result from carrying out the replacement of another facility; </w:t>
      </w:r>
    </w:p>
    <w:p w:rsidR="00713CC8" w:rsidRPr="0059458F" w:rsidRDefault="00713CC8" w:rsidP="00B16832">
      <w:pPr>
        <w:pStyle w:val="paragraph2"/>
        <w:numPr>
          <w:ilvl w:val="0"/>
          <w:numId w:val="20"/>
        </w:numPr>
      </w:pPr>
      <w:r w:rsidRPr="00B65FD5">
        <w:rPr>
          <w:rFonts w:eastAsia="Times New Roman"/>
          <w:noProof w:val="0"/>
          <w:lang w:val="en-AU"/>
        </w:rPr>
        <w:t>the</w:t>
      </w:r>
      <w:r w:rsidRPr="0059458F">
        <w:t xml:space="preserve"> carrier removes the facility;</w:t>
      </w:r>
    </w:p>
    <w:p w:rsidR="00713CC8" w:rsidRPr="0059458F" w:rsidRDefault="00713CC8" w:rsidP="00713CC8">
      <w:pPr>
        <w:pStyle w:val="subsection2"/>
        <w:ind w:left="0"/>
        <w:rPr>
          <w:sz w:val="24"/>
          <w:szCs w:val="24"/>
        </w:rPr>
      </w:pPr>
      <w:r w:rsidRPr="0059458F">
        <w:rPr>
          <w:sz w:val="24"/>
          <w:szCs w:val="24"/>
        </w:rPr>
        <w:t xml:space="preserve">         </w:t>
      </w:r>
      <w:r w:rsidR="00BD355A">
        <w:rPr>
          <w:sz w:val="24"/>
          <w:szCs w:val="24"/>
        </w:rPr>
        <w:t xml:space="preserve"> </w:t>
      </w:r>
      <w:r w:rsidR="00347B50">
        <w:rPr>
          <w:sz w:val="24"/>
          <w:szCs w:val="24"/>
        </w:rPr>
        <w:t xml:space="preserve">   </w:t>
      </w:r>
      <w:r w:rsidR="00BD355A">
        <w:rPr>
          <w:sz w:val="24"/>
          <w:szCs w:val="24"/>
        </w:rPr>
        <w:t xml:space="preserve"> </w:t>
      </w:r>
      <w:r w:rsidR="00627718">
        <w:rPr>
          <w:sz w:val="24"/>
          <w:szCs w:val="24"/>
        </w:rPr>
        <w:t xml:space="preserve">      </w:t>
      </w:r>
      <w:proofErr w:type="gramStart"/>
      <w:r w:rsidRPr="0059458F">
        <w:rPr>
          <w:sz w:val="24"/>
          <w:szCs w:val="24"/>
        </w:rPr>
        <w:t>the</w:t>
      </w:r>
      <w:proofErr w:type="gramEnd"/>
      <w:r w:rsidRPr="0059458F">
        <w:rPr>
          <w:sz w:val="24"/>
          <w:szCs w:val="24"/>
        </w:rPr>
        <w:t xml:space="preserve"> carrier must take all reasonable steps to ensure:</w:t>
      </w:r>
    </w:p>
    <w:p w:rsidR="00713CC8" w:rsidRPr="00C222F1" w:rsidRDefault="00713CC8" w:rsidP="00B16832">
      <w:pPr>
        <w:pStyle w:val="paragraph2"/>
        <w:numPr>
          <w:ilvl w:val="0"/>
          <w:numId w:val="20"/>
        </w:numPr>
      </w:pPr>
      <w:r w:rsidRPr="00B65FD5">
        <w:rPr>
          <w:rFonts w:eastAsia="Times New Roman"/>
          <w:noProof w:val="0"/>
          <w:lang w:val="en-AU"/>
        </w:rPr>
        <w:t>that</w:t>
      </w:r>
      <w:r w:rsidRPr="00C222F1">
        <w:t xml:space="preserve"> the land is restored to a condition that is similar to its condition before the installation began; and</w:t>
      </w:r>
    </w:p>
    <w:p w:rsidR="00713CC8" w:rsidRPr="00C222F1" w:rsidRDefault="00713CC8" w:rsidP="00B16832">
      <w:pPr>
        <w:pStyle w:val="paragraph2"/>
        <w:numPr>
          <w:ilvl w:val="0"/>
          <w:numId w:val="20"/>
        </w:numPr>
      </w:pPr>
      <w:r w:rsidRPr="00B16832">
        <w:rPr>
          <w:rFonts w:eastAsia="Times New Roman"/>
          <w:noProof w:val="0"/>
          <w:lang w:val="en-AU"/>
        </w:rPr>
        <w:lastRenderedPageBreak/>
        <w:t xml:space="preserve"> </w:t>
      </w:r>
      <w:proofErr w:type="gramStart"/>
      <w:r w:rsidRPr="00B65FD5">
        <w:rPr>
          <w:rFonts w:eastAsia="Times New Roman"/>
          <w:noProof w:val="0"/>
          <w:lang w:val="en-AU"/>
        </w:rPr>
        <w:t>that</w:t>
      </w:r>
      <w:proofErr w:type="gramEnd"/>
      <w:r w:rsidRPr="00C222F1">
        <w:t xml:space="preserve"> the restoration begins within 10 business days after the removal of the facility.</w:t>
      </w:r>
    </w:p>
    <w:p w:rsidR="00713CC8" w:rsidRPr="003921F0" w:rsidRDefault="00713CC8" w:rsidP="00713CC8">
      <w:pPr>
        <w:pStyle w:val="subsection"/>
        <w:rPr>
          <w:sz w:val="24"/>
          <w:szCs w:val="24"/>
        </w:rPr>
      </w:pPr>
      <w:r w:rsidRPr="003921F0">
        <w:rPr>
          <w:sz w:val="24"/>
          <w:szCs w:val="24"/>
        </w:rPr>
        <w:tab/>
        <w:t>(</w:t>
      </w:r>
      <w:r>
        <w:rPr>
          <w:sz w:val="24"/>
          <w:szCs w:val="24"/>
        </w:rPr>
        <w:t>2</w:t>
      </w:r>
      <w:r w:rsidRPr="003921F0">
        <w:rPr>
          <w:sz w:val="24"/>
          <w:szCs w:val="24"/>
        </w:rPr>
        <w:t>)</w:t>
      </w:r>
      <w:r w:rsidRPr="003921F0">
        <w:rPr>
          <w:sz w:val="24"/>
          <w:szCs w:val="24"/>
        </w:rPr>
        <w:tab/>
        <w:t xml:space="preserve">The </w:t>
      </w:r>
      <w:r>
        <w:rPr>
          <w:sz w:val="24"/>
          <w:szCs w:val="24"/>
        </w:rPr>
        <w:t xml:space="preserve">timeframe in subsection </w:t>
      </w:r>
      <w:proofErr w:type="gramStart"/>
      <w:r>
        <w:rPr>
          <w:sz w:val="24"/>
          <w:szCs w:val="24"/>
        </w:rPr>
        <w:t>6.4A(</w:t>
      </w:r>
      <w:proofErr w:type="gramEnd"/>
      <w:r>
        <w:rPr>
          <w:sz w:val="24"/>
          <w:szCs w:val="24"/>
        </w:rPr>
        <w:t>1)</w:t>
      </w:r>
      <w:r w:rsidRPr="003921F0">
        <w:rPr>
          <w:sz w:val="24"/>
          <w:szCs w:val="24"/>
        </w:rPr>
        <w:t>(e) does not apply if the carrier agrees with:</w:t>
      </w:r>
    </w:p>
    <w:p w:rsidR="00713CC8" w:rsidRPr="004601B4" w:rsidRDefault="00713CC8" w:rsidP="00B16832">
      <w:pPr>
        <w:pStyle w:val="paragraph2"/>
        <w:numPr>
          <w:ilvl w:val="0"/>
          <w:numId w:val="13"/>
        </w:numPr>
      </w:pPr>
      <w:r w:rsidRPr="00B65FD5">
        <w:rPr>
          <w:rFonts w:eastAsia="Times New Roman"/>
          <w:noProof w:val="0"/>
          <w:lang w:val="en-AU"/>
        </w:rPr>
        <w:t>the</w:t>
      </w:r>
      <w:r w:rsidRPr="004601B4">
        <w:t xml:space="preserve"> owner of the land; and</w:t>
      </w:r>
    </w:p>
    <w:p w:rsidR="00713CC8" w:rsidRPr="005071BE" w:rsidRDefault="00713CC8" w:rsidP="00B16832">
      <w:pPr>
        <w:pStyle w:val="paragraph2"/>
        <w:numPr>
          <w:ilvl w:val="0"/>
          <w:numId w:val="13"/>
        </w:numPr>
      </w:pPr>
      <w:r w:rsidRPr="005071BE">
        <w:t>if the land is occupied by a person other than the owner—the occupier;</w:t>
      </w:r>
    </w:p>
    <w:p w:rsidR="00713CC8" w:rsidRDefault="00713CC8" w:rsidP="00713CC8">
      <w:pPr>
        <w:pStyle w:val="R1"/>
        <w:ind w:left="1134"/>
        <w:jc w:val="left"/>
        <w:rPr>
          <w:rFonts w:eastAsia="Times New Roman"/>
          <w:iCs/>
          <w:noProof w:val="0"/>
          <w:sz w:val="18"/>
          <w:lang w:val="en-AU"/>
        </w:rPr>
      </w:pPr>
      <w:r w:rsidRPr="004601B4">
        <w:tab/>
      </w:r>
      <w:r w:rsidRPr="004601B4">
        <w:tab/>
        <w:t>to commence restoration</w:t>
      </w:r>
      <w:r w:rsidRPr="005A500F">
        <w:t xml:space="preserve"> at a time after the end of that period of 10 business days.</w:t>
      </w:r>
      <w:r w:rsidRPr="004E185C">
        <w:rPr>
          <w:rFonts w:eastAsia="Times New Roman"/>
          <w:iCs/>
          <w:noProof w:val="0"/>
          <w:sz w:val="18"/>
          <w:lang w:val="en-AU"/>
        </w:rPr>
        <w:t xml:space="preserve"> </w:t>
      </w:r>
    </w:p>
    <w:p w:rsidR="00713CC8" w:rsidRPr="00B65FD5" w:rsidRDefault="00713CC8" w:rsidP="00B16832">
      <w:pPr>
        <w:pStyle w:val="notetext"/>
        <w:ind w:left="1815"/>
        <w:rPr>
          <w:color w:val="000000" w:themeColor="text1"/>
          <w:szCs w:val="18"/>
        </w:rPr>
      </w:pPr>
      <w:r w:rsidRPr="00B65FD5">
        <w:rPr>
          <w:color w:val="000000" w:themeColor="text1"/>
          <w:szCs w:val="18"/>
        </w:rPr>
        <w:t xml:space="preserve">Note </w:t>
      </w:r>
      <w:r w:rsidRPr="00B65FD5">
        <w:rPr>
          <w:color w:val="000000" w:themeColor="text1"/>
          <w:szCs w:val="18"/>
        </w:rPr>
        <w:tab/>
        <w:t xml:space="preserve">See Item 8 of Part 6A of the Schedule </w:t>
      </w:r>
      <w:r w:rsidRPr="00B65FD5">
        <w:rPr>
          <w:szCs w:val="18"/>
        </w:rPr>
        <w:t>to</w:t>
      </w:r>
      <w:r w:rsidRPr="00B65FD5">
        <w:rPr>
          <w:color w:val="000000" w:themeColor="text1"/>
          <w:szCs w:val="18"/>
        </w:rPr>
        <w:t xml:space="preserve"> the LIFD.</w:t>
      </w:r>
    </w:p>
    <w:p w:rsidR="00156C16" w:rsidRDefault="00E74AF8" w:rsidP="00156C16">
      <w:pPr>
        <w:pStyle w:val="ItemHead"/>
      </w:pPr>
      <w:proofErr w:type="gramStart"/>
      <w:r>
        <w:t>2</w:t>
      </w:r>
      <w:r w:rsidR="00274B96">
        <w:t>2</w:t>
      </w:r>
      <w:r w:rsidR="00156C16">
        <w:t xml:space="preserve">  </w:t>
      </w:r>
      <w:r w:rsidR="00AD3D34">
        <w:t>S</w:t>
      </w:r>
      <w:r w:rsidR="00156C16">
        <w:t>ection</w:t>
      </w:r>
      <w:proofErr w:type="gramEnd"/>
      <w:r w:rsidR="00156C16">
        <w:t xml:space="preserve"> 6.7 (at the end of Note 2)</w:t>
      </w:r>
    </w:p>
    <w:p w:rsidR="00156C16" w:rsidRPr="00A8771F" w:rsidRDefault="00DC6A0D" w:rsidP="00156C16">
      <w:pPr>
        <w:pStyle w:val="Item"/>
        <w:rPr>
          <w:sz w:val="24"/>
        </w:rPr>
      </w:pPr>
      <w:r w:rsidRPr="00A8771F">
        <w:rPr>
          <w:sz w:val="24"/>
        </w:rPr>
        <w:t>Add</w:t>
      </w:r>
      <w:r w:rsidR="00156C16" w:rsidRPr="00A8771F">
        <w:rPr>
          <w:sz w:val="24"/>
        </w:rPr>
        <w:t>:</w:t>
      </w:r>
    </w:p>
    <w:p w:rsidR="00713CC8" w:rsidRPr="00896E95" w:rsidRDefault="00713CC8" w:rsidP="00B16832">
      <w:pPr>
        <w:pStyle w:val="notetext"/>
        <w:ind w:left="1815"/>
        <w:rPr>
          <w:color w:val="000000" w:themeColor="text1"/>
          <w:szCs w:val="18"/>
        </w:rPr>
      </w:pPr>
      <w:r w:rsidRPr="00896E95">
        <w:rPr>
          <w:color w:val="000000" w:themeColor="text1"/>
          <w:szCs w:val="18"/>
        </w:rPr>
        <w:t>Note 3</w:t>
      </w:r>
      <w:r w:rsidRPr="00896E95">
        <w:rPr>
          <w:color w:val="000000" w:themeColor="text1"/>
          <w:szCs w:val="18"/>
        </w:rPr>
        <w:tab/>
        <w:t xml:space="preserve">Copies of ACMA-recognised standards are available at             </w:t>
      </w:r>
      <w:r w:rsidRPr="00713CC8">
        <w:rPr>
          <w:color w:val="000000" w:themeColor="text1"/>
          <w:szCs w:val="18"/>
        </w:rPr>
        <w:t xml:space="preserve">https://www.acma.gov.au/register-telco-industry-codes-and-standards </w:t>
      </w:r>
      <w:r>
        <w:rPr>
          <w:color w:val="000000" w:themeColor="text1"/>
          <w:szCs w:val="18"/>
        </w:rPr>
        <w:t xml:space="preserve"> </w:t>
      </w:r>
    </w:p>
    <w:p w:rsidR="00A218D7" w:rsidRDefault="00274B96" w:rsidP="00A218D7">
      <w:pPr>
        <w:pStyle w:val="ItemHead"/>
      </w:pPr>
      <w:proofErr w:type="gramStart"/>
      <w:r>
        <w:t>2</w:t>
      </w:r>
      <w:r w:rsidR="0059458F">
        <w:t>3</w:t>
      </w:r>
      <w:r w:rsidR="00A218D7">
        <w:t xml:space="preserve">  Subsection</w:t>
      </w:r>
      <w:proofErr w:type="gramEnd"/>
      <w:r w:rsidR="00A218D7">
        <w:t xml:space="preserve"> 6.10(2)  </w:t>
      </w:r>
    </w:p>
    <w:p w:rsidR="00A218D7" w:rsidRPr="00A8771F" w:rsidRDefault="00A218D7" w:rsidP="00A218D7">
      <w:pPr>
        <w:pStyle w:val="Item"/>
        <w:rPr>
          <w:sz w:val="24"/>
        </w:rPr>
      </w:pPr>
      <w:r w:rsidRPr="00A8771F">
        <w:rPr>
          <w:sz w:val="24"/>
        </w:rPr>
        <w:t>After “tower</w:t>
      </w:r>
      <w:r w:rsidR="00274B96" w:rsidRPr="00A8771F">
        <w:rPr>
          <w:sz w:val="24"/>
        </w:rPr>
        <w:t>s</w:t>
      </w:r>
      <w:r w:rsidRPr="00A8771F">
        <w:rPr>
          <w:sz w:val="24"/>
        </w:rPr>
        <w:t>” insert “(other than temporary facilities mentioned in subsection 6.10(4)</w:t>
      </w:r>
      <w:r w:rsidR="00F9243B" w:rsidRPr="00A8771F">
        <w:rPr>
          <w:sz w:val="24"/>
        </w:rPr>
        <w:t xml:space="preserve"> or (5)</w:t>
      </w:r>
      <w:r w:rsidRPr="00A8771F">
        <w:rPr>
          <w:sz w:val="24"/>
        </w:rPr>
        <w:t xml:space="preserve"> below)”.</w:t>
      </w:r>
    </w:p>
    <w:p w:rsidR="00A218D7" w:rsidRDefault="00E74AF8" w:rsidP="00A218D7">
      <w:pPr>
        <w:pStyle w:val="ItemHead"/>
      </w:pPr>
      <w:proofErr w:type="gramStart"/>
      <w:r w:rsidRPr="00E74AF8">
        <w:t>2</w:t>
      </w:r>
      <w:r w:rsidR="0059458F">
        <w:t>4</w:t>
      </w:r>
      <w:r w:rsidR="00A218D7">
        <w:t xml:space="preserve">  </w:t>
      </w:r>
      <w:r w:rsidR="00274B96">
        <w:t>At</w:t>
      </w:r>
      <w:proofErr w:type="gramEnd"/>
      <w:r w:rsidR="00274B96">
        <w:t xml:space="preserve"> the end of s</w:t>
      </w:r>
      <w:r w:rsidR="00A218D7">
        <w:t xml:space="preserve">ection 6.10 </w:t>
      </w:r>
    </w:p>
    <w:p w:rsidR="00A218D7" w:rsidRPr="00A8771F" w:rsidRDefault="00A218D7" w:rsidP="00A218D7">
      <w:pPr>
        <w:pStyle w:val="Item"/>
        <w:rPr>
          <w:sz w:val="24"/>
        </w:rPr>
      </w:pPr>
      <w:r w:rsidRPr="00A8771F">
        <w:rPr>
          <w:sz w:val="24"/>
        </w:rPr>
        <w:t>Add:</w:t>
      </w:r>
    </w:p>
    <w:p w:rsidR="00713CC8" w:rsidRDefault="00E30B7A" w:rsidP="00713CC8">
      <w:pPr>
        <w:pStyle w:val="R2"/>
        <w:jc w:val="left"/>
      </w:pPr>
      <w:r>
        <w:tab/>
      </w:r>
      <w:r w:rsidR="00713CC8">
        <w:t>(4)</w:t>
      </w:r>
      <w:r w:rsidR="00713CC8">
        <w:tab/>
        <w:t>If a carrier owns or operates temporary facilities that are installed to</w:t>
      </w:r>
      <w:r w:rsidR="00713CC8" w:rsidRPr="0021217E">
        <w:t xml:space="preserve"> minimise disruption to the supply of a carriage service that might result from </w:t>
      </w:r>
      <w:r w:rsidR="00713CC8">
        <w:t>the maintenance of another facility, the carrier must keep and maintain records of:</w:t>
      </w:r>
    </w:p>
    <w:p w:rsidR="00B65FD5" w:rsidRDefault="00713CC8" w:rsidP="00B16832">
      <w:pPr>
        <w:pStyle w:val="paragraph2"/>
        <w:numPr>
          <w:ilvl w:val="0"/>
          <w:numId w:val="21"/>
        </w:numPr>
      </w:pPr>
      <w:r w:rsidRPr="00B16832">
        <w:rPr>
          <w:rFonts w:eastAsia="Times New Roman"/>
          <w:noProof w:val="0"/>
          <w:lang w:val="en-AU"/>
        </w:rPr>
        <w:t>the</w:t>
      </w:r>
      <w:r>
        <w:t xml:space="preserve"> kind of temporary facility and height; </w:t>
      </w:r>
    </w:p>
    <w:p w:rsidR="00B65FD5" w:rsidRDefault="00713CC8" w:rsidP="00B16832">
      <w:pPr>
        <w:pStyle w:val="paragraph2"/>
        <w:numPr>
          <w:ilvl w:val="0"/>
          <w:numId w:val="21"/>
        </w:numPr>
      </w:pPr>
      <w:r>
        <w:t xml:space="preserve">the location where the temporary facility was installed; </w:t>
      </w:r>
    </w:p>
    <w:p w:rsidR="00B65FD5" w:rsidRDefault="00713CC8" w:rsidP="00B16832">
      <w:pPr>
        <w:pStyle w:val="paragraph2"/>
        <w:numPr>
          <w:ilvl w:val="0"/>
          <w:numId w:val="21"/>
        </w:numPr>
      </w:pPr>
      <w:r>
        <w:t>the day on which each temporary facility was installed;</w:t>
      </w:r>
    </w:p>
    <w:p w:rsidR="00713CC8" w:rsidRDefault="00713CC8" w:rsidP="00B16832">
      <w:pPr>
        <w:pStyle w:val="paragraph2"/>
        <w:numPr>
          <w:ilvl w:val="0"/>
          <w:numId w:val="21"/>
        </w:numPr>
      </w:pPr>
      <w:r>
        <w:t>the purpose for which the temporary facility was installed, including:</w:t>
      </w:r>
    </w:p>
    <w:p w:rsidR="00713CC8" w:rsidRPr="00E26CD5" w:rsidRDefault="00713CC8" w:rsidP="00EE3E3A">
      <w:pPr>
        <w:pStyle w:val="paragraph2"/>
        <w:numPr>
          <w:ilvl w:val="0"/>
          <w:numId w:val="30"/>
        </w:numPr>
      </w:pPr>
      <w:r w:rsidRPr="00E26CD5">
        <w:t>details of the other facility (including height and type) that is the subject of maintenance activity;</w:t>
      </w:r>
    </w:p>
    <w:p w:rsidR="00713CC8" w:rsidRPr="00E26CD5" w:rsidRDefault="00713CC8" w:rsidP="00EE3E3A">
      <w:pPr>
        <w:pStyle w:val="paragraph2"/>
        <w:numPr>
          <w:ilvl w:val="0"/>
          <w:numId w:val="30"/>
        </w:numPr>
      </w:pPr>
      <w:r w:rsidRPr="00E26CD5">
        <w:t>the day on which maintenance of the other facility commenced; and</w:t>
      </w:r>
    </w:p>
    <w:p w:rsidR="00B65FD5" w:rsidRDefault="00713CC8" w:rsidP="00EE3E3A">
      <w:pPr>
        <w:pStyle w:val="paragraph2"/>
        <w:numPr>
          <w:ilvl w:val="0"/>
          <w:numId w:val="30"/>
        </w:numPr>
      </w:pPr>
      <w:r w:rsidRPr="00E26CD5">
        <w:t>the day on which maintenance of the other facility ceased; and</w:t>
      </w:r>
      <w:r w:rsidR="00B65FD5">
        <w:t>;</w:t>
      </w:r>
    </w:p>
    <w:p w:rsidR="00B65FD5" w:rsidRPr="00B65FD5" w:rsidRDefault="00713CC8" w:rsidP="00EE3E3A">
      <w:pPr>
        <w:pStyle w:val="paragraph2"/>
        <w:numPr>
          <w:ilvl w:val="0"/>
          <w:numId w:val="30"/>
        </w:numPr>
      </w:pPr>
      <w:r w:rsidRPr="00B65FD5">
        <w:t>the day on which each temporary facility was removed.</w:t>
      </w:r>
      <w:r w:rsidR="00B65FD5" w:rsidRPr="00B65FD5">
        <w:tab/>
      </w:r>
    </w:p>
    <w:p w:rsidR="00B65FD5" w:rsidRDefault="00B65FD5" w:rsidP="00B65FD5">
      <w:pPr>
        <w:pStyle w:val="paragraph2"/>
      </w:pPr>
      <w:r>
        <w:t xml:space="preserve"> </w:t>
      </w:r>
      <w:r>
        <w:tab/>
      </w:r>
      <w:r>
        <w:tab/>
      </w:r>
    </w:p>
    <w:p w:rsidR="00713CC8" w:rsidRDefault="00B65FD5" w:rsidP="00B65FD5">
      <w:pPr>
        <w:pStyle w:val="paragraph2"/>
      </w:pPr>
      <w:r>
        <w:tab/>
      </w:r>
      <w:r>
        <w:tab/>
      </w:r>
      <w:r w:rsidR="00713CC8" w:rsidRPr="00B65FD5">
        <w:rPr>
          <w:color w:val="000000" w:themeColor="text1"/>
          <w:sz w:val="16"/>
          <w:szCs w:val="16"/>
        </w:rPr>
        <w:t xml:space="preserve">Note </w:t>
      </w:r>
      <w:r w:rsidR="00713CC8" w:rsidRPr="00B65FD5">
        <w:rPr>
          <w:color w:val="000000" w:themeColor="text1"/>
          <w:sz w:val="16"/>
          <w:szCs w:val="16"/>
        </w:rPr>
        <w:tab/>
        <w:t>See Item 8 of Part 6A of the Schedule to the LIFD.</w:t>
      </w:r>
    </w:p>
    <w:p w:rsidR="00713CC8" w:rsidRDefault="00713CC8" w:rsidP="00713CC8">
      <w:pPr>
        <w:pStyle w:val="R2"/>
        <w:jc w:val="left"/>
      </w:pPr>
      <w:r>
        <w:tab/>
        <w:t>(5)</w:t>
      </w:r>
      <w:r>
        <w:tab/>
        <w:t xml:space="preserve">If a carrier owns or operates temporary facilities that are installed </w:t>
      </w:r>
      <w:r w:rsidRPr="0021217E">
        <w:t xml:space="preserve">to minimise disruption to the supply of a carriage service that might result from </w:t>
      </w:r>
      <w:r>
        <w:t xml:space="preserve">carrying out the replacement of </w:t>
      </w:r>
      <w:r w:rsidRPr="0021217E">
        <w:t>another</w:t>
      </w:r>
      <w:r>
        <w:t xml:space="preserve"> facility, the carrier must keep and maintain records of:</w:t>
      </w:r>
    </w:p>
    <w:p w:rsidR="00B16832" w:rsidRDefault="00713CC8" w:rsidP="00B16832">
      <w:pPr>
        <w:pStyle w:val="paragraph2"/>
        <w:numPr>
          <w:ilvl w:val="0"/>
          <w:numId w:val="22"/>
        </w:numPr>
      </w:pPr>
      <w:r>
        <w:t xml:space="preserve">the kind of temporary facility and height; </w:t>
      </w:r>
    </w:p>
    <w:p w:rsidR="00B16832" w:rsidRDefault="00713CC8" w:rsidP="00B16832">
      <w:pPr>
        <w:pStyle w:val="paragraph2"/>
        <w:numPr>
          <w:ilvl w:val="0"/>
          <w:numId w:val="22"/>
        </w:numPr>
      </w:pPr>
      <w:r>
        <w:lastRenderedPageBreak/>
        <w:t xml:space="preserve">the location where the temporary facility was installed; </w:t>
      </w:r>
    </w:p>
    <w:p w:rsidR="00B16832" w:rsidRDefault="00713CC8" w:rsidP="00B16832">
      <w:pPr>
        <w:pStyle w:val="paragraph2"/>
        <w:numPr>
          <w:ilvl w:val="0"/>
          <w:numId w:val="22"/>
        </w:numPr>
      </w:pPr>
      <w:r>
        <w:t>the days on which the temporary facility was installed;</w:t>
      </w:r>
    </w:p>
    <w:p w:rsidR="00B16832" w:rsidRDefault="00713CC8" w:rsidP="00B16832">
      <w:pPr>
        <w:pStyle w:val="paragraph2"/>
        <w:numPr>
          <w:ilvl w:val="0"/>
          <w:numId w:val="22"/>
        </w:numPr>
      </w:pPr>
      <w:r>
        <w:t>the purpose for which the temporary fa</w:t>
      </w:r>
      <w:r w:rsidR="00B16832">
        <w:t>cility was installed, including:</w:t>
      </w:r>
    </w:p>
    <w:p w:rsidR="00EE3E3A" w:rsidRDefault="00713CC8" w:rsidP="00EE3E3A">
      <w:pPr>
        <w:pStyle w:val="paragraph2"/>
        <w:numPr>
          <w:ilvl w:val="0"/>
          <w:numId w:val="31"/>
        </w:numPr>
      </w:pPr>
      <w:r w:rsidRPr="000742BD">
        <w:t xml:space="preserve">details of the other facility (including height and type) that is being replaced; </w:t>
      </w:r>
    </w:p>
    <w:p w:rsidR="00EE3E3A" w:rsidRDefault="00713CC8" w:rsidP="00EE3E3A">
      <w:pPr>
        <w:pStyle w:val="paragraph2"/>
        <w:numPr>
          <w:ilvl w:val="0"/>
          <w:numId w:val="31"/>
        </w:numPr>
      </w:pPr>
      <w:r w:rsidRPr="00B16832">
        <w:t>the date upon on which replacement of the other facility commenced; and</w:t>
      </w:r>
    </w:p>
    <w:p w:rsidR="00EE3E3A" w:rsidRDefault="00713CC8" w:rsidP="00EE3E3A">
      <w:pPr>
        <w:pStyle w:val="paragraph2"/>
        <w:numPr>
          <w:ilvl w:val="0"/>
          <w:numId w:val="31"/>
        </w:numPr>
      </w:pPr>
      <w:r w:rsidRPr="00B16832">
        <w:t xml:space="preserve">the day on which replacement of the other facility ceased; and </w:t>
      </w:r>
    </w:p>
    <w:p w:rsidR="00713CC8" w:rsidRDefault="00713CC8" w:rsidP="00EE3E3A">
      <w:pPr>
        <w:pStyle w:val="paragraph2"/>
        <w:numPr>
          <w:ilvl w:val="0"/>
          <w:numId w:val="31"/>
        </w:numPr>
      </w:pPr>
      <w:r>
        <w:t>the day on which each temporary facility was removed.</w:t>
      </w:r>
    </w:p>
    <w:p w:rsidR="00713CC8" w:rsidRDefault="00713CC8" w:rsidP="00713CC8">
      <w:pPr>
        <w:pStyle w:val="Note"/>
        <w:ind w:left="1684" w:hanging="720"/>
        <w:jc w:val="left"/>
      </w:pPr>
      <w:r w:rsidRPr="007B3B52">
        <w:rPr>
          <w:color w:val="000000" w:themeColor="text1"/>
          <w:sz w:val="16"/>
          <w:szCs w:val="16"/>
        </w:rPr>
        <w:t xml:space="preserve">Note </w:t>
      </w:r>
      <w:r w:rsidRPr="007B3B52">
        <w:rPr>
          <w:color w:val="000000" w:themeColor="text1"/>
          <w:sz w:val="16"/>
          <w:szCs w:val="16"/>
        </w:rPr>
        <w:tab/>
        <w:t xml:space="preserve">See Item </w:t>
      </w:r>
      <w:r>
        <w:rPr>
          <w:color w:val="000000" w:themeColor="text1"/>
          <w:sz w:val="16"/>
          <w:szCs w:val="16"/>
        </w:rPr>
        <w:t xml:space="preserve">8 </w:t>
      </w:r>
      <w:r w:rsidRPr="007B3B52">
        <w:rPr>
          <w:color w:val="000000" w:themeColor="text1"/>
          <w:sz w:val="16"/>
          <w:szCs w:val="16"/>
        </w:rPr>
        <w:t>of Part 6A of the Schedule to the LIFD.</w:t>
      </w:r>
    </w:p>
    <w:p w:rsidR="00713CC8" w:rsidRDefault="00713CC8" w:rsidP="00713CC8">
      <w:pPr>
        <w:pStyle w:val="ItemHead"/>
        <w:ind w:left="720" w:hanging="720"/>
      </w:pPr>
      <w:proofErr w:type="gramStart"/>
      <w:r>
        <w:t>2</w:t>
      </w:r>
      <w:r w:rsidR="0059458F">
        <w:t>5</w:t>
      </w:r>
      <w:r>
        <w:t xml:space="preserve">  Heading</w:t>
      </w:r>
      <w:proofErr w:type="gramEnd"/>
      <w:r>
        <w:t xml:space="preserve"> to Division 1, Part 4 of Chapter 6 </w:t>
      </w:r>
    </w:p>
    <w:p w:rsidR="00713CC8" w:rsidRPr="00A8771F" w:rsidRDefault="00713CC8" w:rsidP="00713CC8">
      <w:pPr>
        <w:pStyle w:val="Item"/>
        <w:rPr>
          <w:sz w:val="24"/>
        </w:rPr>
      </w:pPr>
      <w:r w:rsidRPr="00A8771F">
        <w:rPr>
          <w:sz w:val="24"/>
        </w:rPr>
        <w:t>Repeal the heading.</w:t>
      </w:r>
    </w:p>
    <w:p w:rsidR="00713CC8" w:rsidRDefault="00713CC8" w:rsidP="00713CC8">
      <w:pPr>
        <w:pStyle w:val="ItemHead"/>
      </w:pPr>
      <w:proofErr w:type="gramStart"/>
      <w:r>
        <w:t>2</w:t>
      </w:r>
      <w:r w:rsidR="0059458F">
        <w:t>6</w:t>
      </w:r>
      <w:r>
        <w:t xml:space="preserve">  Section</w:t>
      </w:r>
      <w:proofErr w:type="gramEnd"/>
      <w:r>
        <w:t xml:space="preserve"> 6.14 </w:t>
      </w:r>
    </w:p>
    <w:p w:rsidR="00713CC8" w:rsidRPr="00A8771F" w:rsidRDefault="00713CC8" w:rsidP="00713CC8">
      <w:pPr>
        <w:pStyle w:val="Item"/>
        <w:rPr>
          <w:sz w:val="24"/>
          <w:szCs w:val="24"/>
        </w:rPr>
      </w:pPr>
      <w:r w:rsidRPr="00A8771F">
        <w:rPr>
          <w:sz w:val="24"/>
          <w:szCs w:val="24"/>
        </w:rPr>
        <w:t>Repeal t</w:t>
      </w:r>
      <w:r>
        <w:rPr>
          <w:sz w:val="24"/>
          <w:szCs w:val="24"/>
        </w:rPr>
        <w:t xml:space="preserve">he </w:t>
      </w:r>
      <w:r w:rsidRPr="00A8771F">
        <w:rPr>
          <w:sz w:val="24"/>
          <w:szCs w:val="24"/>
        </w:rPr>
        <w:t>section.</w:t>
      </w:r>
    </w:p>
    <w:p w:rsidR="00156C16" w:rsidRDefault="00156C16" w:rsidP="00156C16">
      <w:pPr>
        <w:pStyle w:val="ItemHead"/>
      </w:pPr>
      <w:proofErr w:type="gramStart"/>
      <w:r>
        <w:t>2</w:t>
      </w:r>
      <w:r w:rsidR="0059458F">
        <w:t>7</w:t>
      </w:r>
      <w:r>
        <w:t xml:space="preserve">  Glossary</w:t>
      </w:r>
      <w:proofErr w:type="gramEnd"/>
      <w:r>
        <w:t xml:space="preserve"> (Schedule)</w:t>
      </w:r>
    </w:p>
    <w:p w:rsidR="00156C16" w:rsidRPr="00A8771F" w:rsidRDefault="00156C16" w:rsidP="00156C16">
      <w:pPr>
        <w:pStyle w:val="Item"/>
        <w:rPr>
          <w:sz w:val="24"/>
        </w:rPr>
      </w:pPr>
      <w:r w:rsidRPr="00A8771F">
        <w:rPr>
          <w:sz w:val="24"/>
        </w:rPr>
        <w:t>Insert:</w:t>
      </w:r>
    </w:p>
    <w:p w:rsidR="00156C16" w:rsidRDefault="00156C16" w:rsidP="00156C16">
      <w:pPr>
        <w:pStyle w:val="DD"/>
        <w:ind w:left="709"/>
        <w:jc w:val="left"/>
        <w:rPr>
          <w:bCs/>
          <w:iCs/>
        </w:rPr>
      </w:pPr>
      <w:r>
        <w:rPr>
          <w:b/>
          <w:bCs/>
          <w:i/>
          <w:iCs/>
        </w:rPr>
        <w:t>high</w:t>
      </w:r>
      <w:r w:rsidR="00274B96">
        <w:rPr>
          <w:b/>
          <w:bCs/>
          <w:i/>
          <w:iCs/>
        </w:rPr>
        <w:t>-</w:t>
      </w:r>
      <w:r>
        <w:rPr>
          <w:b/>
          <w:bCs/>
          <w:i/>
          <w:iCs/>
        </w:rPr>
        <w:t xml:space="preserve">demand holiday period </w:t>
      </w:r>
      <w:r w:rsidRPr="00825EC4">
        <w:rPr>
          <w:bCs/>
          <w:iCs/>
        </w:rPr>
        <w:t>has the same meaning as in clause 2 of Schedule 3 to the Act.</w:t>
      </w:r>
    </w:p>
    <w:p w:rsidR="00156C16" w:rsidRDefault="00156C16" w:rsidP="00156C16">
      <w:pPr>
        <w:pStyle w:val="DD"/>
        <w:ind w:left="709"/>
        <w:jc w:val="left"/>
      </w:pPr>
      <w:r w:rsidRPr="000D1553">
        <w:rPr>
          <w:b/>
          <w:i/>
        </w:rPr>
        <w:t>LIFD</w:t>
      </w:r>
      <w:r w:rsidRPr="000D1553">
        <w:t xml:space="preserve"> </w:t>
      </w:r>
      <w:r>
        <w:t xml:space="preserve">means </w:t>
      </w:r>
      <w:r w:rsidRPr="000D1553">
        <w:t xml:space="preserve">the </w:t>
      </w:r>
      <w:r w:rsidRPr="000D1553">
        <w:rPr>
          <w:i/>
        </w:rPr>
        <w:t>Telecommunications (Low-impact Facilities) Determination 2018</w:t>
      </w:r>
      <w:r w:rsidRPr="000D1553">
        <w:t>.</w:t>
      </w:r>
    </w:p>
    <w:p w:rsidR="00156C16" w:rsidRPr="00825EC4" w:rsidRDefault="00156C16" w:rsidP="00156C16">
      <w:pPr>
        <w:pStyle w:val="DD"/>
        <w:ind w:left="709"/>
        <w:jc w:val="left"/>
        <w:rPr>
          <w:b/>
          <w:bCs/>
          <w:iCs/>
        </w:rPr>
      </w:pPr>
      <w:r w:rsidRPr="00C222F1">
        <w:rPr>
          <w:b/>
          <w:i/>
        </w:rPr>
        <w:t>public land</w:t>
      </w:r>
      <w:r>
        <w:t xml:space="preserve"> </w:t>
      </w:r>
      <w:r w:rsidRPr="00EC4DC6">
        <w:t>has the same meaning as in clause 2 of Schedule 3 to the Act.</w:t>
      </w:r>
    </w:p>
    <w:p w:rsidR="00156C16" w:rsidRDefault="00156C16" w:rsidP="00156C16">
      <w:pPr>
        <w:pStyle w:val="Item"/>
      </w:pPr>
    </w:p>
    <w:p w:rsidR="00156C16" w:rsidRDefault="0059458F" w:rsidP="00156C16">
      <w:pPr>
        <w:pStyle w:val="ItemHead"/>
      </w:pPr>
      <w:proofErr w:type="gramStart"/>
      <w:r>
        <w:t>28</w:t>
      </w:r>
      <w:r w:rsidR="00156C16">
        <w:t xml:space="preserve">  Definition</w:t>
      </w:r>
      <w:proofErr w:type="gramEnd"/>
      <w:r w:rsidR="00156C16">
        <w:t xml:space="preserve"> of </w:t>
      </w:r>
      <w:r w:rsidR="00156C16" w:rsidRPr="003D50D4">
        <w:rPr>
          <w:i/>
        </w:rPr>
        <w:t>low-impact facility</w:t>
      </w:r>
      <w:r w:rsidR="00156C16">
        <w:t xml:space="preserve"> in the Glossary (Schedule) </w:t>
      </w:r>
    </w:p>
    <w:p w:rsidR="00156C16" w:rsidRPr="00A8771F" w:rsidRDefault="00156C16" w:rsidP="00156C16">
      <w:pPr>
        <w:pStyle w:val="Item"/>
        <w:rPr>
          <w:sz w:val="24"/>
          <w:szCs w:val="24"/>
        </w:rPr>
      </w:pPr>
      <w:r w:rsidRPr="00A8771F">
        <w:rPr>
          <w:sz w:val="24"/>
          <w:szCs w:val="24"/>
        </w:rPr>
        <w:t>Omit:</w:t>
      </w:r>
    </w:p>
    <w:p w:rsidR="00156C16" w:rsidRPr="00AB2B08" w:rsidRDefault="00156C16" w:rsidP="00B16832">
      <w:pPr>
        <w:pStyle w:val="notetext"/>
        <w:ind w:left="1815"/>
        <w:rPr>
          <w:iCs/>
        </w:rPr>
      </w:pPr>
      <w:r w:rsidRPr="004C45BD">
        <w:rPr>
          <w:iCs/>
        </w:rPr>
        <w:t xml:space="preserve">Note </w:t>
      </w:r>
      <w:r w:rsidRPr="00823877">
        <w:rPr>
          <w:iCs/>
        </w:rPr>
        <w:t>1</w:t>
      </w:r>
      <w:r w:rsidRPr="00823877">
        <w:rPr>
          <w:iCs/>
        </w:rPr>
        <w:tab/>
        <w:t>For specification by class, see subsection 33 (3A</w:t>
      </w:r>
      <w:r w:rsidRPr="00B01386">
        <w:rPr>
          <w:iCs/>
        </w:rPr>
        <w:t xml:space="preserve">) of the </w:t>
      </w:r>
      <w:r w:rsidRPr="00823877">
        <w:rPr>
          <w:i/>
          <w:iCs/>
        </w:rPr>
        <w:t>Acts Interpretation</w:t>
      </w:r>
      <w:r w:rsidRPr="00C222F1">
        <w:rPr>
          <w:i/>
          <w:iCs/>
        </w:rPr>
        <w:t xml:space="preserve"> Act </w:t>
      </w:r>
      <w:r w:rsidRPr="00823877">
        <w:rPr>
          <w:i/>
          <w:iCs/>
        </w:rPr>
        <w:t>1901</w:t>
      </w:r>
      <w:r w:rsidRPr="00AB2B08">
        <w:rPr>
          <w:iCs/>
        </w:rPr>
        <w:t>.</w:t>
      </w:r>
    </w:p>
    <w:p w:rsidR="00156C16" w:rsidRPr="00AB2B08" w:rsidRDefault="00156C16" w:rsidP="00156C16">
      <w:pPr>
        <w:pStyle w:val="Note"/>
        <w:ind w:left="1699" w:hanging="735"/>
        <w:jc w:val="left"/>
        <w:rPr>
          <w:rFonts w:eastAsia="Times New Roman"/>
          <w:iCs/>
          <w:noProof w:val="0"/>
          <w:sz w:val="18"/>
          <w:lang w:val="en-AU"/>
        </w:rPr>
      </w:pPr>
    </w:p>
    <w:p w:rsidR="00156C16" w:rsidRPr="0059458F" w:rsidRDefault="00156C16" w:rsidP="00156C16">
      <w:pPr>
        <w:pStyle w:val="Item"/>
        <w:rPr>
          <w:sz w:val="24"/>
          <w:szCs w:val="24"/>
        </w:rPr>
      </w:pPr>
      <w:r w:rsidRPr="0059458F">
        <w:rPr>
          <w:sz w:val="24"/>
          <w:szCs w:val="24"/>
        </w:rPr>
        <w:t>Substitute:</w:t>
      </w:r>
    </w:p>
    <w:p w:rsidR="00156C16" w:rsidRPr="00AB2B08" w:rsidRDefault="00156C16" w:rsidP="00B16832">
      <w:pPr>
        <w:pStyle w:val="notetext"/>
        <w:ind w:left="1815"/>
        <w:rPr>
          <w:iCs/>
        </w:rPr>
      </w:pPr>
      <w:r w:rsidRPr="004C45BD">
        <w:rPr>
          <w:iCs/>
        </w:rPr>
        <w:t xml:space="preserve">Note </w:t>
      </w:r>
      <w:r w:rsidRPr="00823877">
        <w:rPr>
          <w:iCs/>
        </w:rPr>
        <w:t>1</w:t>
      </w:r>
      <w:r w:rsidRPr="00823877">
        <w:rPr>
          <w:iCs/>
        </w:rPr>
        <w:tab/>
        <w:t xml:space="preserve">For specification by class, see subsection </w:t>
      </w:r>
      <w:r>
        <w:rPr>
          <w:iCs/>
        </w:rPr>
        <w:t>13(3</w:t>
      </w:r>
      <w:r w:rsidRPr="00B01386">
        <w:rPr>
          <w:iCs/>
        </w:rPr>
        <w:t xml:space="preserve">) of the </w:t>
      </w:r>
      <w:r w:rsidRPr="00C222F1">
        <w:rPr>
          <w:i/>
          <w:iCs/>
        </w:rPr>
        <w:t>Legislat</w:t>
      </w:r>
      <w:r w:rsidR="00713CC8">
        <w:rPr>
          <w:i/>
          <w:iCs/>
        </w:rPr>
        <w:t xml:space="preserve">ion </w:t>
      </w:r>
      <w:r w:rsidRPr="00C222F1">
        <w:rPr>
          <w:i/>
          <w:iCs/>
        </w:rPr>
        <w:t>Act 2003</w:t>
      </w:r>
      <w:r w:rsidRPr="00AB2B08">
        <w:rPr>
          <w:iCs/>
        </w:rPr>
        <w:t>.</w:t>
      </w:r>
    </w:p>
    <w:sectPr w:rsidR="00156C16" w:rsidRPr="00AB2B08" w:rsidSect="00B20990">
      <w:headerReference w:type="even" r:id="rId17"/>
      <w:headerReference w:type="default" r:id="rId18"/>
      <w:footerReference w:type="even" r:id="rId19"/>
      <w:footerReference w:type="default" r:id="rId20"/>
      <w:footerReference w:type="first" r:id="rId21"/>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101" w:rsidRDefault="00A62101" w:rsidP="0048364F">
      <w:pPr>
        <w:spacing w:line="240" w:lineRule="auto"/>
      </w:pPr>
      <w:r>
        <w:separator/>
      </w:r>
    </w:p>
  </w:endnote>
  <w:endnote w:type="continuationSeparator" w:id="0">
    <w:p w:rsidR="00A62101" w:rsidRDefault="00A6210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9278C1" w:rsidTr="0001176A">
      <w:tc>
        <w:tcPr>
          <w:tcW w:w="5000" w:type="pct"/>
        </w:tcPr>
        <w:p w:rsidR="009278C1" w:rsidRDefault="009278C1" w:rsidP="0001176A">
          <w:pPr>
            <w:rPr>
              <w:sz w:val="18"/>
            </w:rPr>
          </w:pPr>
        </w:p>
      </w:tc>
    </w:tr>
  </w:tbl>
  <w:p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20990" w:rsidTr="00C160A1">
      <w:tc>
        <w:tcPr>
          <w:tcW w:w="5000" w:type="pct"/>
        </w:tcPr>
        <w:p w:rsidR="00B20990" w:rsidRDefault="00B20990" w:rsidP="007946FE">
          <w:pPr>
            <w:rPr>
              <w:sz w:val="18"/>
            </w:rPr>
          </w:pPr>
        </w:p>
      </w:tc>
    </w:tr>
  </w:tbl>
  <w:p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rsidTr="00C160A1">
      <w:tc>
        <w:tcPr>
          <w:tcW w:w="5000" w:type="pct"/>
        </w:tcPr>
        <w:p w:rsidR="00B20990" w:rsidRDefault="00B20990" w:rsidP="00465764">
          <w:pPr>
            <w:rPr>
              <w:sz w:val="18"/>
            </w:rPr>
          </w:pPr>
        </w:p>
      </w:tc>
    </w:tr>
  </w:tbl>
  <w:p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rsidTr="007A6863">
      <w:tc>
        <w:tcPr>
          <w:tcW w:w="709" w:type="dxa"/>
          <w:tcBorders>
            <w:top w:val="nil"/>
            <w:left w:val="nil"/>
            <w:bottom w:val="nil"/>
            <w:right w:val="nil"/>
          </w:tcBorders>
        </w:tcPr>
        <w:p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D6AA0">
            <w:rPr>
              <w:i/>
              <w:noProof/>
              <w:sz w:val="18"/>
            </w:rPr>
            <w:t>10</w:t>
          </w:r>
          <w:r w:rsidRPr="00ED79B6">
            <w:rPr>
              <w:i/>
              <w:sz w:val="18"/>
            </w:rPr>
            <w:fldChar w:fldCharType="end"/>
          </w:r>
        </w:p>
      </w:tc>
      <w:tc>
        <w:tcPr>
          <w:tcW w:w="6379" w:type="dxa"/>
          <w:tcBorders>
            <w:top w:val="nil"/>
            <w:left w:val="nil"/>
            <w:bottom w:val="nil"/>
            <w:right w:val="nil"/>
          </w:tcBorders>
        </w:tcPr>
        <w:p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ED6AA0">
            <w:rPr>
              <w:i/>
              <w:noProof/>
              <w:sz w:val="18"/>
            </w:rPr>
            <w:t>Telecommunications Code of Practice (Temporary Facilities) Amendment Determination 2020</w:t>
          </w:r>
          <w:r w:rsidRPr="00B20990">
            <w:rPr>
              <w:i/>
              <w:sz w:val="18"/>
            </w:rPr>
            <w:fldChar w:fldCharType="end"/>
          </w:r>
        </w:p>
      </w:tc>
      <w:tc>
        <w:tcPr>
          <w:tcW w:w="1383" w:type="dxa"/>
          <w:tcBorders>
            <w:top w:val="nil"/>
            <w:left w:val="nil"/>
            <w:bottom w:val="nil"/>
            <w:right w:val="nil"/>
          </w:tcBorders>
        </w:tcPr>
        <w:p w:rsidR="00EE57E8" w:rsidRDefault="00EE57E8" w:rsidP="00EE57E8">
          <w:pPr>
            <w:spacing w:line="0" w:lineRule="atLeast"/>
            <w:jc w:val="right"/>
            <w:rPr>
              <w:sz w:val="18"/>
            </w:rPr>
          </w:pPr>
        </w:p>
      </w:tc>
    </w:tr>
    <w:tr w:rsidR="00EE57E8"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EE57E8" w:rsidRDefault="00EE57E8" w:rsidP="00EE57E8">
          <w:pPr>
            <w:jc w:val="right"/>
            <w:rPr>
              <w:sz w:val="18"/>
            </w:rPr>
          </w:pPr>
        </w:p>
      </w:tc>
    </w:tr>
  </w:tbl>
  <w:p w:rsidR="00EE57E8" w:rsidRPr="00ED79B6" w:rsidRDefault="00EE57E8"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rsidTr="00EE57E8">
      <w:tc>
        <w:tcPr>
          <w:tcW w:w="1384" w:type="dxa"/>
          <w:tcBorders>
            <w:top w:val="nil"/>
            <w:left w:val="nil"/>
            <w:bottom w:val="nil"/>
            <w:right w:val="nil"/>
          </w:tcBorders>
        </w:tcPr>
        <w:p w:rsidR="00EE57E8" w:rsidRDefault="00EE57E8" w:rsidP="00EE57E8">
          <w:pPr>
            <w:spacing w:line="0" w:lineRule="atLeast"/>
            <w:rPr>
              <w:sz w:val="18"/>
            </w:rPr>
          </w:pPr>
        </w:p>
      </w:tc>
      <w:tc>
        <w:tcPr>
          <w:tcW w:w="6379" w:type="dxa"/>
          <w:tcBorders>
            <w:top w:val="nil"/>
            <w:left w:val="nil"/>
            <w:bottom w:val="nil"/>
            <w:right w:val="nil"/>
          </w:tcBorders>
        </w:tcPr>
        <w:p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ED6AA0">
            <w:rPr>
              <w:i/>
              <w:noProof/>
              <w:sz w:val="18"/>
            </w:rPr>
            <w:t>Telecommunications Code of Practice (Temporary Facilities) Amendment Determination 2020</w:t>
          </w:r>
          <w:r w:rsidRPr="00B20990">
            <w:rPr>
              <w:i/>
              <w:sz w:val="18"/>
            </w:rPr>
            <w:fldChar w:fldCharType="end"/>
          </w:r>
        </w:p>
      </w:tc>
      <w:tc>
        <w:tcPr>
          <w:tcW w:w="709" w:type="dxa"/>
          <w:tcBorders>
            <w:top w:val="nil"/>
            <w:left w:val="nil"/>
            <w:bottom w:val="nil"/>
            <w:right w:val="nil"/>
          </w:tcBorders>
        </w:tcPr>
        <w:p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D6AA0">
            <w:rPr>
              <w:i/>
              <w:noProof/>
              <w:sz w:val="18"/>
            </w:rPr>
            <w:t>11</w:t>
          </w:r>
          <w:r w:rsidRPr="00ED79B6">
            <w:rPr>
              <w:i/>
              <w:sz w:val="18"/>
            </w:rPr>
            <w:fldChar w:fldCharType="end"/>
          </w:r>
        </w:p>
      </w:tc>
    </w:tr>
    <w:tr w:rsidR="00EE57E8"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EE57E8" w:rsidRDefault="00EE57E8" w:rsidP="00EE57E8">
          <w:pPr>
            <w:rPr>
              <w:sz w:val="18"/>
            </w:rPr>
          </w:pPr>
        </w:p>
      </w:tc>
    </w:tr>
  </w:tbl>
  <w:p w:rsidR="00EE57E8" w:rsidRPr="00ED79B6" w:rsidRDefault="00EE57E8" w:rsidP="007A686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rsidTr="007A6863">
      <w:tc>
        <w:tcPr>
          <w:tcW w:w="1384" w:type="dxa"/>
          <w:tcBorders>
            <w:top w:val="nil"/>
            <w:left w:val="nil"/>
            <w:bottom w:val="nil"/>
            <w:right w:val="nil"/>
          </w:tcBorders>
        </w:tcPr>
        <w:p w:rsidR="00EE57E8" w:rsidRDefault="00EE57E8" w:rsidP="00EE57E8">
          <w:pPr>
            <w:spacing w:line="0" w:lineRule="atLeast"/>
            <w:rPr>
              <w:sz w:val="18"/>
            </w:rPr>
          </w:pPr>
        </w:p>
      </w:tc>
      <w:tc>
        <w:tcPr>
          <w:tcW w:w="6379" w:type="dxa"/>
          <w:tcBorders>
            <w:top w:val="nil"/>
            <w:left w:val="nil"/>
            <w:bottom w:val="nil"/>
            <w:right w:val="nil"/>
          </w:tcBorders>
        </w:tcPr>
        <w:p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42475">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E42475">
            <w:rPr>
              <w:i/>
              <w:noProof/>
              <w:sz w:val="18"/>
            </w:rPr>
            <w:t>https://communications.pws.gov.au/workspaces/03/01/SupportingDocuments/MS/2020/043/MS20-000043/Attachment E - Telecommunications Code of Practice -Temporary Facilities- Amendment Determination 2020.2.docx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ED6AA0">
            <w:rPr>
              <w:i/>
              <w:noProof/>
              <w:sz w:val="18"/>
            </w:rPr>
            <w:t>1/4/2020 1:52 PM</w:t>
          </w:r>
          <w:r w:rsidRPr="00ED79B6">
            <w:rPr>
              <w:i/>
              <w:sz w:val="18"/>
            </w:rPr>
            <w:fldChar w:fldCharType="end"/>
          </w:r>
        </w:p>
      </w:tc>
    </w:tr>
  </w:tbl>
  <w:p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101" w:rsidRDefault="00A62101" w:rsidP="0048364F">
      <w:pPr>
        <w:spacing w:line="240" w:lineRule="auto"/>
      </w:pPr>
      <w:r>
        <w:separator/>
      </w:r>
    </w:p>
  </w:footnote>
  <w:footnote w:type="continuationSeparator" w:id="0">
    <w:p w:rsidR="00A62101" w:rsidRDefault="00A6210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A961C4" w:rsidRDefault="00EE57E8" w:rsidP="0048364F">
    <w:pPr>
      <w:rPr>
        <w:b/>
        <w:sz w:val="20"/>
      </w:rPr>
    </w:pPr>
  </w:p>
  <w:p w:rsidR="00EE57E8" w:rsidRPr="00A961C4" w:rsidRDefault="00EE57E8" w:rsidP="0048364F">
    <w:pPr>
      <w:rPr>
        <w:b/>
        <w:sz w:val="20"/>
      </w:rPr>
    </w:pPr>
  </w:p>
  <w:p w:rsidR="00EE57E8" w:rsidRPr="00A961C4" w:rsidRDefault="00EE57E8" w:rsidP="007F48ED">
    <w:pPr>
      <w:pBdr>
        <w:bottom w:val="single" w:sz="6" w:space="1" w:color="auto"/>
      </w:pBdr>
      <w:spacing w:after="12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23EE0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825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CE55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8822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E02B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0E68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BC11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38D7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DE92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5268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10C39"/>
    <w:multiLevelType w:val="hybridMultilevel"/>
    <w:tmpl w:val="99E8CB5A"/>
    <w:lvl w:ilvl="0" w:tplc="E3085906">
      <w:start w:val="1"/>
      <w:numFmt w:val="lowerRoman"/>
      <w:lvlText w:val="(%1)"/>
      <w:lvlJc w:val="left"/>
      <w:pPr>
        <w:ind w:left="2370" w:hanging="720"/>
      </w:pPr>
      <w:rPr>
        <w:rFonts w:hint="default"/>
      </w:rPr>
    </w:lvl>
    <w:lvl w:ilvl="1" w:tplc="0C090019" w:tentative="1">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abstractNum w:abstractNumId="11" w15:restartNumberingAfterBreak="0">
    <w:nsid w:val="03B14DB8"/>
    <w:multiLevelType w:val="hybridMultilevel"/>
    <w:tmpl w:val="61C6754C"/>
    <w:lvl w:ilvl="0" w:tplc="40CA0D60">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130026CC"/>
    <w:multiLevelType w:val="hybridMultilevel"/>
    <w:tmpl w:val="FD904676"/>
    <w:lvl w:ilvl="0" w:tplc="C65C3F18">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3" w15:restartNumberingAfterBreak="0">
    <w:nsid w:val="15F75B80"/>
    <w:multiLevelType w:val="hybridMultilevel"/>
    <w:tmpl w:val="FD904676"/>
    <w:lvl w:ilvl="0" w:tplc="C65C3F18">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0923589"/>
    <w:multiLevelType w:val="hybridMultilevel"/>
    <w:tmpl w:val="61C6754C"/>
    <w:lvl w:ilvl="0" w:tplc="40CA0D60">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2206056A"/>
    <w:multiLevelType w:val="hybridMultilevel"/>
    <w:tmpl w:val="E7BA798E"/>
    <w:lvl w:ilvl="0" w:tplc="A8182088">
      <w:start w:val="1"/>
      <w:numFmt w:val="lowerRoman"/>
      <w:pStyle w:val="paragraph"/>
      <w:lvlText w:val="(%1)"/>
      <w:lvlJc w:val="left"/>
      <w:pPr>
        <w:ind w:left="2355"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3F64F91"/>
    <w:multiLevelType w:val="hybridMultilevel"/>
    <w:tmpl w:val="FD904676"/>
    <w:lvl w:ilvl="0" w:tplc="C65C3F18">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8" w15:restartNumberingAfterBreak="0">
    <w:nsid w:val="289D4D84"/>
    <w:multiLevelType w:val="hybridMultilevel"/>
    <w:tmpl w:val="FD904676"/>
    <w:lvl w:ilvl="0" w:tplc="C65C3F18">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9" w15:restartNumberingAfterBreak="0">
    <w:nsid w:val="296011F0"/>
    <w:multiLevelType w:val="hybridMultilevel"/>
    <w:tmpl w:val="FD904676"/>
    <w:lvl w:ilvl="0" w:tplc="C65C3F18">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0" w15:restartNumberingAfterBreak="0">
    <w:nsid w:val="2E5F3215"/>
    <w:multiLevelType w:val="hybridMultilevel"/>
    <w:tmpl w:val="3950078C"/>
    <w:lvl w:ilvl="0" w:tplc="D988D736">
      <w:start w:val="1"/>
      <w:numFmt w:val="lowerRoman"/>
      <w:lvlText w:val="(%1)"/>
      <w:lvlJc w:val="left"/>
      <w:pPr>
        <w:ind w:left="2355"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FE5248B"/>
    <w:multiLevelType w:val="hybridMultilevel"/>
    <w:tmpl w:val="99E8CB5A"/>
    <w:lvl w:ilvl="0" w:tplc="E3085906">
      <w:start w:val="1"/>
      <w:numFmt w:val="lowerRoman"/>
      <w:lvlText w:val="(%1)"/>
      <w:lvlJc w:val="left"/>
      <w:pPr>
        <w:ind w:left="2370" w:hanging="720"/>
      </w:pPr>
      <w:rPr>
        <w:rFonts w:hint="default"/>
      </w:rPr>
    </w:lvl>
    <w:lvl w:ilvl="1" w:tplc="0C090019" w:tentative="1">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abstractNum w:abstractNumId="22" w15:restartNumberingAfterBreak="0">
    <w:nsid w:val="379101E8"/>
    <w:multiLevelType w:val="hybridMultilevel"/>
    <w:tmpl w:val="27EE42E6"/>
    <w:lvl w:ilvl="0" w:tplc="C65C3F18">
      <w:start w:val="1"/>
      <w:numFmt w:val="lowerLetter"/>
      <w:lvlText w:val="(%1)"/>
      <w:lvlJc w:val="left"/>
      <w:pPr>
        <w:ind w:left="1650" w:hanging="375"/>
      </w:pPr>
      <w:rPr>
        <w:rFonts w:hint="default"/>
      </w:rPr>
    </w:lvl>
    <w:lvl w:ilvl="1" w:tplc="D988D736">
      <w:start w:val="1"/>
      <w:numFmt w:val="lowerRoman"/>
      <w:lvlText w:val="(%2)"/>
      <w:lvlJc w:val="left"/>
      <w:pPr>
        <w:ind w:left="2355" w:hanging="360"/>
      </w:pPr>
      <w:rPr>
        <w:rFonts w:ascii="Times New Roman" w:eastAsia="Times New Roman" w:hAnsi="Times New Roman" w:cs="Times New Roman"/>
      </w:r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3" w15:restartNumberingAfterBreak="0">
    <w:nsid w:val="38635B68"/>
    <w:multiLevelType w:val="hybridMultilevel"/>
    <w:tmpl w:val="99E8CB5A"/>
    <w:lvl w:ilvl="0" w:tplc="E3085906">
      <w:start w:val="1"/>
      <w:numFmt w:val="lowerRoman"/>
      <w:lvlText w:val="(%1)"/>
      <w:lvlJc w:val="left"/>
      <w:pPr>
        <w:ind w:left="2370" w:hanging="720"/>
      </w:pPr>
      <w:rPr>
        <w:rFonts w:hint="default"/>
      </w:rPr>
    </w:lvl>
    <w:lvl w:ilvl="1" w:tplc="0C090019" w:tentative="1">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3B102773"/>
    <w:multiLevelType w:val="hybridMultilevel"/>
    <w:tmpl w:val="27EE42E6"/>
    <w:lvl w:ilvl="0" w:tplc="C65C3F18">
      <w:start w:val="1"/>
      <w:numFmt w:val="lowerLetter"/>
      <w:lvlText w:val="(%1)"/>
      <w:lvlJc w:val="left"/>
      <w:pPr>
        <w:ind w:left="1650" w:hanging="375"/>
      </w:pPr>
      <w:rPr>
        <w:rFonts w:hint="default"/>
      </w:rPr>
    </w:lvl>
    <w:lvl w:ilvl="1" w:tplc="D988D736">
      <w:start w:val="1"/>
      <w:numFmt w:val="lowerRoman"/>
      <w:lvlText w:val="(%2)"/>
      <w:lvlJc w:val="left"/>
      <w:pPr>
        <w:ind w:left="2355" w:hanging="360"/>
      </w:pPr>
      <w:rPr>
        <w:rFonts w:ascii="Times New Roman" w:eastAsia="Times New Roman" w:hAnsi="Times New Roman" w:cs="Times New Roman"/>
      </w:rPr>
    </w:lvl>
    <w:lvl w:ilvl="2" w:tplc="0C09001B">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6" w15:restartNumberingAfterBreak="0">
    <w:nsid w:val="41C97889"/>
    <w:multiLevelType w:val="hybridMultilevel"/>
    <w:tmpl w:val="99E8CB5A"/>
    <w:lvl w:ilvl="0" w:tplc="E3085906">
      <w:start w:val="1"/>
      <w:numFmt w:val="lowerRoman"/>
      <w:lvlText w:val="(%1)"/>
      <w:lvlJc w:val="left"/>
      <w:pPr>
        <w:ind w:left="2370" w:hanging="720"/>
      </w:pPr>
      <w:rPr>
        <w:rFonts w:hint="default"/>
      </w:rPr>
    </w:lvl>
    <w:lvl w:ilvl="1" w:tplc="0C090019" w:tentative="1">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abstractNum w:abstractNumId="27" w15:restartNumberingAfterBreak="0">
    <w:nsid w:val="44E96CEE"/>
    <w:multiLevelType w:val="hybridMultilevel"/>
    <w:tmpl w:val="61C6754C"/>
    <w:lvl w:ilvl="0" w:tplc="40CA0D60">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49337781"/>
    <w:multiLevelType w:val="hybridMultilevel"/>
    <w:tmpl w:val="FD904676"/>
    <w:lvl w:ilvl="0" w:tplc="C65C3F18">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9" w15:restartNumberingAfterBreak="0">
    <w:nsid w:val="4C9650BA"/>
    <w:multiLevelType w:val="hybridMultilevel"/>
    <w:tmpl w:val="27EE42E6"/>
    <w:lvl w:ilvl="0" w:tplc="C65C3F18">
      <w:start w:val="1"/>
      <w:numFmt w:val="lowerLetter"/>
      <w:lvlText w:val="(%1)"/>
      <w:lvlJc w:val="left"/>
      <w:pPr>
        <w:ind w:left="1650" w:hanging="375"/>
      </w:pPr>
      <w:rPr>
        <w:rFonts w:hint="default"/>
      </w:rPr>
    </w:lvl>
    <w:lvl w:ilvl="1" w:tplc="D988D736">
      <w:start w:val="1"/>
      <w:numFmt w:val="lowerRoman"/>
      <w:lvlText w:val="(%2)"/>
      <w:lvlJc w:val="left"/>
      <w:pPr>
        <w:ind w:left="2355" w:hanging="360"/>
      </w:pPr>
      <w:rPr>
        <w:rFonts w:ascii="Times New Roman" w:eastAsia="Times New Roman" w:hAnsi="Times New Roman" w:cs="Times New Roman"/>
      </w:rPr>
    </w:lvl>
    <w:lvl w:ilvl="2" w:tplc="0C09001B">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0" w15:restartNumberingAfterBreak="0">
    <w:nsid w:val="55491C1F"/>
    <w:multiLevelType w:val="hybridMultilevel"/>
    <w:tmpl w:val="99E8CB5A"/>
    <w:lvl w:ilvl="0" w:tplc="E3085906">
      <w:start w:val="1"/>
      <w:numFmt w:val="lowerRoman"/>
      <w:lvlText w:val="(%1)"/>
      <w:lvlJc w:val="left"/>
      <w:pPr>
        <w:ind w:left="2370" w:hanging="720"/>
      </w:pPr>
      <w:rPr>
        <w:rFonts w:hint="default"/>
      </w:rPr>
    </w:lvl>
    <w:lvl w:ilvl="1" w:tplc="0C090019" w:tentative="1">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abstractNum w:abstractNumId="31" w15:restartNumberingAfterBreak="0">
    <w:nsid w:val="59ED323D"/>
    <w:multiLevelType w:val="hybridMultilevel"/>
    <w:tmpl w:val="99E8CB5A"/>
    <w:lvl w:ilvl="0" w:tplc="E3085906">
      <w:start w:val="1"/>
      <w:numFmt w:val="lowerRoman"/>
      <w:lvlText w:val="(%1)"/>
      <w:lvlJc w:val="left"/>
      <w:pPr>
        <w:ind w:left="2370" w:hanging="720"/>
      </w:pPr>
      <w:rPr>
        <w:rFonts w:hint="default"/>
      </w:rPr>
    </w:lvl>
    <w:lvl w:ilvl="1" w:tplc="0C090019" w:tentative="1">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abstractNum w:abstractNumId="32" w15:restartNumberingAfterBreak="0">
    <w:nsid w:val="5B6045A8"/>
    <w:multiLevelType w:val="hybridMultilevel"/>
    <w:tmpl w:val="FD904676"/>
    <w:lvl w:ilvl="0" w:tplc="C65C3F18">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3" w15:restartNumberingAfterBreak="0">
    <w:nsid w:val="5BC1496E"/>
    <w:multiLevelType w:val="hybridMultilevel"/>
    <w:tmpl w:val="99E8CB5A"/>
    <w:lvl w:ilvl="0" w:tplc="E3085906">
      <w:start w:val="1"/>
      <w:numFmt w:val="lowerRoman"/>
      <w:lvlText w:val="(%1)"/>
      <w:lvlJc w:val="left"/>
      <w:pPr>
        <w:ind w:left="2370" w:hanging="720"/>
      </w:pPr>
      <w:rPr>
        <w:rFonts w:hint="default"/>
      </w:rPr>
    </w:lvl>
    <w:lvl w:ilvl="1" w:tplc="0C090019" w:tentative="1">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abstractNum w:abstractNumId="34" w15:restartNumberingAfterBreak="0">
    <w:nsid w:val="5F4B0FF1"/>
    <w:multiLevelType w:val="hybridMultilevel"/>
    <w:tmpl w:val="27EE42E6"/>
    <w:lvl w:ilvl="0" w:tplc="C65C3F18">
      <w:start w:val="1"/>
      <w:numFmt w:val="lowerLetter"/>
      <w:lvlText w:val="(%1)"/>
      <w:lvlJc w:val="left"/>
      <w:pPr>
        <w:ind w:left="1650" w:hanging="375"/>
      </w:pPr>
      <w:rPr>
        <w:rFonts w:hint="default"/>
      </w:rPr>
    </w:lvl>
    <w:lvl w:ilvl="1" w:tplc="D988D736">
      <w:start w:val="1"/>
      <w:numFmt w:val="lowerRoman"/>
      <w:lvlText w:val="(%2)"/>
      <w:lvlJc w:val="left"/>
      <w:pPr>
        <w:ind w:left="2355" w:hanging="360"/>
      </w:pPr>
      <w:rPr>
        <w:rFonts w:ascii="Times New Roman" w:eastAsia="Times New Roman" w:hAnsi="Times New Roman" w:cs="Times New Roman"/>
      </w:rPr>
    </w:lvl>
    <w:lvl w:ilvl="2" w:tplc="0C09001B">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5" w15:restartNumberingAfterBreak="0">
    <w:nsid w:val="6881691A"/>
    <w:multiLevelType w:val="hybridMultilevel"/>
    <w:tmpl w:val="61C6754C"/>
    <w:lvl w:ilvl="0" w:tplc="40CA0D60">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6" w15:restartNumberingAfterBreak="0">
    <w:nsid w:val="68A0220F"/>
    <w:multiLevelType w:val="hybridMultilevel"/>
    <w:tmpl w:val="FD904676"/>
    <w:lvl w:ilvl="0" w:tplc="C65C3F18">
      <w:start w:val="1"/>
      <w:numFmt w:val="lowerLetter"/>
      <w:lvlText w:val="(%1)"/>
      <w:lvlJc w:val="left"/>
      <w:pPr>
        <w:ind w:left="1650" w:hanging="375"/>
      </w:pPr>
      <w:rPr>
        <w:rFonts w:hint="default"/>
      </w:rPr>
    </w:lvl>
    <w:lvl w:ilvl="1" w:tplc="0C090019">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7" w15:restartNumberingAfterBreak="0">
    <w:nsid w:val="69DB3174"/>
    <w:multiLevelType w:val="hybridMultilevel"/>
    <w:tmpl w:val="99E8CB5A"/>
    <w:lvl w:ilvl="0" w:tplc="E3085906">
      <w:start w:val="1"/>
      <w:numFmt w:val="lowerRoman"/>
      <w:lvlText w:val="(%1)"/>
      <w:lvlJc w:val="left"/>
      <w:pPr>
        <w:ind w:left="2370" w:hanging="720"/>
      </w:pPr>
      <w:rPr>
        <w:rFonts w:hint="default"/>
      </w:rPr>
    </w:lvl>
    <w:lvl w:ilvl="1" w:tplc="0C090019" w:tentative="1">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abstractNum w:abstractNumId="38" w15:restartNumberingAfterBreak="0">
    <w:nsid w:val="6C042DAC"/>
    <w:multiLevelType w:val="hybridMultilevel"/>
    <w:tmpl w:val="FD904676"/>
    <w:lvl w:ilvl="0" w:tplc="C65C3F18">
      <w:start w:val="1"/>
      <w:numFmt w:val="lowerLetter"/>
      <w:lvlText w:val="(%1)"/>
      <w:lvlJc w:val="left"/>
      <w:pPr>
        <w:ind w:left="1650" w:hanging="375"/>
      </w:pPr>
      <w:rPr>
        <w:rFonts w:hint="default"/>
      </w:rPr>
    </w:lvl>
    <w:lvl w:ilvl="1" w:tplc="0C090019">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9" w15:restartNumberingAfterBreak="0">
    <w:nsid w:val="6E1E4DA8"/>
    <w:multiLevelType w:val="hybridMultilevel"/>
    <w:tmpl w:val="27EE42E6"/>
    <w:lvl w:ilvl="0" w:tplc="C65C3F18">
      <w:start w:val="1"/>
      <w:numFmt w:val="lowerLetter"/>
      <w:lvlText w:val="(%1)"/>
      <w:lvlJc w:val="left"/>
      <w:pPr>
        <w:ind w:left="1650" w:hanging="375"/>
      </w:pPr>
      <w:rPr>
        <w:rFonts w:hint="default"/>
      </w:rPr>
    </w:lvl>
    <w:lvl w:ilvl="1" w:tplc="D988D736">
      <w:start w:val="1"/>
      <w:numFmt w:val="lowerRoman"/>
      <w:lvlText w:val="(%2)"/>
      <w:lvlJc w:val="left"/>
      <w:pPr>
        <w:ind w:left="2355" w:hanging="360"/>
      </w:pPr>
      <w:rPr>
        <w:rFonts w:ascii="Times New Roman" w:eastAsia="Times New Roman" w:hAnsi="Times New Roman" w:cs="Times New Roman"/>
      </w:rPr>
    </w:lvl>
    <w:lvl w:ilvl="2" w:tplc="0C09001B">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40" w15:restartNumberingAfterBreak="0">
    <w:nsid w:val="723B1761"/>
    <w:multiLevelType w:val="hybridMultilevel"/>
    <w:tmpl w:val="99E8CB5A"/>
    <w:lvl w:ilvl="0" w:tplc="E3085906">
      <w:start w:val="1"/>
      <w:numFmt w:val="lowerRoman"/>
      <w:lvlText w:val="(%1)"/>
      <w:lvlJc w:val="left"/>
      <w:pPr>
        <w:ind w:left="2370" w:hanging="720"/>
      </w:pPr>
      <w:rPr>
        <w:rFonts w:hint="default"/>
      </w:rPr>
    </w:lvl>
    <w:lvl w:ilvl="1" w:tplc="0C090019" w:tentative="1">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abstractNum w:abstractNumId="41" w15:restartNumberingAfterBreak="0">
    <w:nsid w:val="75755183"/>
    <w:multiLevelType w:val="hybridMultilevel"/>
    <w:tmpl w:val="FD904676"/>
    <w:lvl w:ilvl="0" w:tplc="C65C3F18">
      <w:start w:val="1"/>
      <w:numFmt w:val="lowerLetter"/>
      <w:lvlText w:val="(%1)"/>
      <w:lvlJc w:val="left"/>
      <w:pPr>
        <w:ind w:left="1650" w:hanging="375"/>
      </w:pPr>
      <w:rPr>
        <w:rFonts w:hint="default"/>
      </w:rPr>
    </w:lvl>
    <w:lvl w:ilvl="1" w:tplc="0C090019">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42" w15:restartNumberingAfterBreak="0">
    <w:nsid w:val="760D2928"/>
    <w:multiLevelType w:val="hybridMultilevel"/>
    <w:tmpl w:val="99E8CB5A"/>
    <w:lvl w:ilvl="0" w:tplc="E3085906">
      <w:start w:val="1"/>
      <w:numFmt w:val="lowerRoman"/>
      <w:lvlText w:val="(%1)"/>
      <w:lvlJc w:val="left"/>
      <w:pPr>
        <w:ind w:left="2370" w:hanging="720"/>
      </w:pPr>
      <w:rPr>
        <w:rFonts w:hint="default"/>
      </w:rPr>
    </w:lvl>
    <w:lvl w:ilvl="1" w:tplc="0C090019" w:tentative="1">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abstractNum w:abstractNumId="43" w15:restartNumberingAfterBreak="0">
    <w:nsid w:val="76493197"/>
    <w:multiLevelType w:val="hybridMultilevel"/>
    <w:tmpl w:val="FD904676"/>
    <w:lvl w:ilvl="0" w:tplc="C65C3F18">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44" w15:restartNumberingAfterBreak="0">
    <w:nsid w:val="7BC80DE8"/>
    <w:multiLevelType w:val="hybridMultilevel"/>
    <w:tmpl w:val="FD904676"/>
    <w:lvl w:ilvl="0" w:tplc="C65C3F18">
      <w:start w:val="1"/>
      <w:numFmt w:val="lowerLetter"/>
      <w:lvlText w:val="(%1)"/>
      <w:lvlJc w:val="left"/>
      <w:pPr>
        <w:ind w:left="1650" w:hanging="375"/>
      </w:pPr>
      <w:rPr>
        <w:rFonts w:hint="default"/>
      </w:rPr>
    </w:lvl>
    <w:lvl w:ilvl="1" w:tplc="0C090019">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45" w15:restartNumberingAfterBreak="0">
    <w:nsid w:val="7D6D0412"/>
    <w:multiLevelType w:val="hybridMultilevel"/>
    <w:tmpl w:val="FD904676"/>
    <w:lvl w:ilvl="0" w:tplc="C65C3F18">
      <w:start w:val="1"/>
      <w:numFmt w:val="lowerLetter"/>
      <w:lvlText w:val="(%1)"/>
      <w:lvlJc w:val="left"/>
      <w:pPr>
        <w:ind w:left="1650" w:hanging="375"/>
      </w:pPr>
      <w:rPr>
        <w:rFonts w:hint="default"/>
      </w:rPr>
    </w:lvl>
    <w:lvl w:ilvl="1" w:tplc="0C090019">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46" w15:restartNumberingAfterBreak="0">
    <w:nsid w:val="7EA310FB"/>
    <w:multiLevelType w:val="hybridMultilevel"/>
    <w:tmpl w:val="FD904676"/>
    <w:lvl w:ilvl="0" w:tplc="C65C3F18">
      <w:start w:val="1"/>
      <w:numFmt w:val="lowerLetter"/>
      <w:lvlText w:val="(%1)"/>
      <w:lvlJc w:val="left"/>
      <w:pPr>
        <w:ind w:left="1650" w:hanging="375"/>
      </w:pPr>
      <w:rPr>
        <w:rFonts w:hint="default"/>
      </w:rPr>
    </w:lvl>
    <w:lvl w:ilvl="1" w:tplc="0C090019">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num w:numId="1">
    <w:abstractNumId w:val="24"/>
  </w:num>
  <w:num w:numId="2">
    <w:abstractNumId w:val="14"/>
  </w:num>
  <w:num w:numId="3">
    <w:abstractNumId w:val="46"/>
  </w:num>
  <w:num w:numId="4">
    <w:abstractNumId w:val="10"/>
  </w:num>
  <w:num w:numId="5">
    <w:abstractNumId w:val="22"/>
  </w:num>
  <w:num w:numId="6">
    <w:abstractNumId w:val="27"/>
  </w:num>
  <w:num w:numId="7">
    <w:abstractNumId w:val="11"/>
  </w:num>
  <w:num w:numId="8">
    <w:abstractNumId w:val="15"/>
  </w:num>
  <w:num w:numId="9">
    <w:abstractNumId w:val="35"/>
  </w:num>
  <w:num w:numId="10">
    <w:abstractNumId w:val="39"/>
  </w:num>
  <w:num w:numId="11">
    <w:abstractNumId w:val="20"/>
  </w:num>
  <w:num w:numId="12">
    <w:abstractNumId w:val="16"/>
  </w:num>
  <w:num w:numId="13">
    <w:abstractNumId w:val="25"/>
  </w:num>
  <w:num w:numId="14">
    <w:abstractNumId w:val="32"/>
  </w:num>
  <w:num w:numId="15">
    <w:abstractNumId w:val="13"/>
  </w:num>
  <w:num w:numId="16">
    <w:abstractNumId w:val="18"/>
  </w:num>
  <w:num w:numId="17">
    <w:abstractNumId w:val="19"/>
  </w:num>
  <w:num w:numId="18">
    <w:abstractNumId w:val="17"/>
  </w:num>
  <w:num w:numId="19">
    <w:abstractNumId w:val="43"/>
  </w:num>
  <w:num w:numId="20">
    <w:abstractNumId w:val="28"/>
  </w:num>
  <w:num w:numId="21">
    <w:abstractNumId w:val="29"/>
  </w:num>
  <w:num w:numId="22">
    <w:abstractNumId w:val="34"/>
  </w:num>
  <w:num w:numId="23">
    <w:abstractNumId w:val="26"/>
  </w:num>
  <w:num w:numId="24">
    <w:abstractNumId w:val="23"/>
  </w:num>
  <w:num w:numId="25">
    <w:abstractNumId w:val="37"/>
  </w:num>
  <w:num w:numId="26">
    <w:abstractNumId w:val="21"/>
  </w:num>
  <w:num w:numId="27">
    <w:abstractNumId w:val="33"/>
  </w:num>
  <w:num w:numId="28">
    <w:abstractNumId w:val="31"/>
  </w:num>
  <w:num w:numId="29">
    <w:abstractNumId w:val="40"/>
  </w:num>
  <w:num w:numId="30">
    <w:abstractNumId w:val="42"/>
  </w:num>
  <w:num w:numId="31">
    <w:abstractNumId w:val="30"/>
  </w:num>
  <w:num w:numId="32">
    <w:abstractNumId w:val="12"/>
  </w:num>
  <w:num w:numId="33">
    <w:abstractNumId w:val="38"/>
  </w:num>
  <w:num w:numId="34">
    <w:abstractNumId w:val="36"/>
  </w:num>
  <w:num w:numId="35">
    <w:abstractNumId w:val="45"/>
  </w:num>
  <w:num w:numId="36">
    <w:abstractNumId w:val="44"/>
  </w:num>
  <w:num w:numId="37">
    <w:abstractNumId w:val="41"/>
  </w:num>
  <w:num w:numId="38">
    <w:abstractNumId w:val="9"/>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AF0"/>
    <w:rsid w:val="00000263"/>
    <w:rsid w:val="000113BC"/>
    <w:rsid w:val="000136AF"/>
    <w:rsid w:val="0004044E"/>
    <w:rsid w:val="000413BA"/>
    <w:rsid w:val="0005120E"/>
    <w:rsid w:val="00054577"/>
    <w:rsid w:val="000614BF"/>
    <w:rsid w:val="0007169C"/>
    <w:rsid w:val="00077593"/>
    <w:rsid w:val="00083F48"/>
    <w:rsid w:val="00090ADD"/>
    <w:rsid w:val="00093362"/>
    <w:rsid w:val="000A479A"/>
    <w:rsid w:val="000A7DF9"/>
    <w:rsid w:val="000C5302"/>
    <w:rsid w:val="000D05EF"/>
    <w:rsid w:val="000D3FB9"/>
    <w:rsid w:val="000D5485"/>
    <w:rsid w:val="000D584C"/>
    <w:rsid w:val="000E598E"/>
    <w:rsid w:val="000E5A3D"/>
    <w:rsid w:val="000F0ADA"/>
    <w:rsid w:val="000F21C1"/>
    <w:rsid w:val="0010745C"/>
    <w:rsid w:val="001122FF"/>
    <w:rsid w:val="0012468F"/>
    <w:rsid w:val="00125257"/>
    <w:rsid w:val="00156C16"/>
    <w:rsid w:val="00160BD7"/>
    <w:rsid w:val="00162300"/>
    <w:rsid w:val="001643C9"/>
    <w:rsid w:val="00165568"/>
    <w:rsid w:val="00166082"/>
    <w:rsid w:val="00166C2F"/>
    <w:rsid w:val="001716C9"/>
    <w:rsid w:val="00184261"/>
    <w:rsid w:val="00193461"/>
    <w:rsid w:val="001939E1"/>
    <w:rsid w:val="0019452E"/>
    <w:rsid w:val="00195382"/>
    <w:rsid w:val="001A3B9F"/>
    <w:rsid w:val="001A5231"/>
    <w:rsid w:val="001A5520"/>
    <w:rsid w:val="001A65C0"/>
    <w:rsid w:val="001B7A5D"/>
    <w:rsid w:val="001C69C4"/>
    <w:rsid w:val="001E0A8D"/>
    <w:rsid w:val="001E2633"/>
    <w:rsid w:val="001E3590"/>
    <w:rsid w:val="001E7407"/>
    <w:rsid w:val="001F1A46"/>
    <w:rsid w:val="00201D27"/>
    <w:rsid w:val="0021153A"/>
    <w:rsid w:val="00222159"/>
    <w:rsid w:val="002245A6"/>
    <w:rsid w:val="002302EA"/>
    <w:rsid w:val="00237614"/>
    <w:rsid w:val="00240749"/>
    <w:rsid w:val="002468D7"/>
    <w:rsid w:val="00247E97"/>
    <w:rsid w:val="00256C81"/>
    <w:rsid w:val="00261987"/>
    <w:rsid w:val="00274B96"/>
    <w:rsid w:val="002761CB"/>
    <w:rsid w:val="00285CDD"/>
    <w:rsid w:val="00291167"/>
    <w:rsid w:val="00292694"/>
    <w:rsid w:val="0029489E"/>
    <w:rsid w:val="002957FB"/>
    <w:rsid w:val="00297ECB"/>
    <w:rsid w:val="002B2785"/>
    <w:rsid w:val="002B7658"/>
    <w:rsid w:val="002C152A"/>
    <w:rsid w:val="002C73A0"/>
    <w:rsid w:val="002D043A"/>
    <w:rsid w:val="003111C0"/>
    <w:rsid w:val="0031713F"/>
    <w:rsid w:val="003222D1"/>
    <w:rsid w:val="00322EF8"/>
    <w:rsid w:val="0032750F"/>
    <w:rsid w:val="00327C97"/>
    <w:rsid w:val="003415D3"/>
    <w:rsid w:val="003442F6"/>
    <w:rsid w:val="00346335"/>
    <w:rsid w:val="00347B50"/>
    <w:rsid w:val="00352B0F"/>
    <w:rsid w:val="003561B0"/>
    <w:rsid w:val="00372292"/>
    <w:rsid w:val="00397098"/>
    <w:rsid w:val="00397893"/>
    <w:rsid w:val="003A15AC"/>
    <w:rsid w:val="003B0627"/>
    <w:rsid w:val="003C5F2B"/>
    <w:rsid w:val="003C7D35"/>
    <w:rsid w:val="003D0BFE"/>
    <w:rsid w:val="003D5700"/>
    <w:rsid w:val="003E097C"/>
    <w:rsid w:val="003F6F52"/>
    <w:rsid w:val="004022CA"/>
    <w:rsid w:val="004067FA"/>
    <w:rsid w:val="004116CD"/>
    <w:rsid w:val="00414ADE"/>
    <w:rsid w:val="00423BC8"/>
    <w:rsid w:val="00424CA9"/>
    <w:rsid w:val="004257BB"/>
    <w:rsid w:val="0044291A"/>
    <w:rsid w:val="004600B0"/>
    <w:rsid w:val="00460499"/>
    <w:rsid w:val="00460FBA"/>
    <w:rsid w:val="00464FA0"/>
    <w:rsid w:val="00474835"/>
    <w:rsid w:val="004819C7"/>
    <w:rsid w:val="0048364F"/>
    <w:rsid w:val="004877FC"/>
    <w:rsid w:val="00490F2E"/>
    <w:rsid w:val="00496F97"/>
    <w:rsid w:val="004A53EA"/>
    <w:rsid w:val="004A6859"/>
    <w:rsid w:val="004B35E7"/>
    <w:rsid w:val="004D38D7"/>
    <w:rsid w:val="004F1FAC"/>
    <w:rsid w:val="004F3711"/>
    <w:rsid w:val="004F676E"/>
    <w:rsid w:val="004F71C0"/>
    <w:rsid w:val="004F7F86"/>
    <w:rsid w:val="0050520B"/>
    <w:rsid w:val="00516B8D"/>
    <w:rsid w:val="00526D2D"/>
    <w:rsid w:val="0052756C"/>
    <w:rsid w:val="00530230"/>
    <w:rsid w:val="00530CC9"/>
    <w:rsid w:val="00531B46"/>
    <w:rsid w:val="00537FBC"/>
    <w:rsid w:val="00541D73"/>
    <w:rsid w:val="00543469"/>
    <w:rsid w:val="00546FA3"/>
    <w:rsid w:val="00557C7A"/>
    <w:rsid w:val="00562A58"/>
    <w:rsid w:val="0056541A"/>
    <w:rsid w:val="00581211"/>
    <w:rsid w:val="00581AF0"/>
    <w:rsid w:val="00584811"/>
    <w:rsid w:val="00593AA6"/>
    <w:rsid w:val="00594161"/>
    <w:rsid w:val="0059458F"/>
    <w:rsid w:val="00594749"/>
    <w:rsid w:val="00594956"/>
    <w:rsid w:val="005B1555"/>
    <w:rsid w:val="005B4067"/>
    <w:rsid w:val="005B5ECD"/>
    <w:rsid w:val="005C3F41"/>
    <w:rsid w:val="005C4EF0"/>
    <w:rsid w:val="005D5EA1"/>
    <w:rsid w:val="005E098C"/>
    <w:rsid w:val="005E1F8D"/>
    <w:rsid w:val="005E317F"/>
    <w:rsid w:val="005E61D3"/>
    <w:rsid w:val="00600219"/>
    <w:rsid w:val="006065DA"/>
    <w:rsid w:val="00606AA4"/>
    <w:rsid w:val="00627718"/>
    <w:rsid w:val="00640402"/>
    <w:rsid w:val="00640F78"/>
    <w:rsid w:val="00655D6A"/>
    <w:rsid w:val="00656DE9"/>
    <w:rsid w:val="006614C9"/>
    <w:rsid w:val="0066505F"/>
    <w:rsid w:val="00672876"/>
    <w:rsid w:val="006778CF"/>
    <w:rsid w:val="00677CC2"/>
    <w:rsid w:val="00685F42"/>
    <w:rsid w:val="0069207B"/>
    <w:rsid w:val="006A2788"/>
    <w:rsid w:val="006A304E"/>
    <w:rsid w:val="006A768D"/>
    <w:rsid w:val="006B7006"/>
    <w:rsid w:val="006C7F8C"/>
    <w:rsid w:val="006D4A01"/>
    <w:rsid w:val="006D7AB9"/>
    <w:rsid w:val="006E7C53"/>
    <w:rsid w:val="00700B2C"/>
    <w:rsid w:val="00703C00"/>
    <w:rsid w:val="00713084"/>
    <w:rsid w:val="00713CC8"/>
    <w:rsid w:val="00717463"/>
    <w:rsid w:val="00720FC2"/>
    <w:rsid w:val="00722E89"/>
    <w:rsid w:val="00731E00"/>
    <w:rsid w:val="007339C7"/>
    <w:rsid w:val="007440B7"/>
    <w:rsid w:val="0074557C"/>
    <w:rsid w:val="00747993"/>
    <w:rsid w:val="007634AD"/>
    <w:rsid w:val="007715C9"/>
    <w:rsid w:val="00774EDD"/>
    <w:rsid w:val="007757EC"/>
    <w:rsid w:val="007A6863"/>
    <w:rsid w:val="007B1315"/>
    <w:rsid w:val="007B7740"/>
    <w:rsid w:val="007C78B4"/>
    <w:rsid w:val="007E32B6"/>
    <w:rsid w:val="007E486B"/>
    <w:rsid w:val="007E4F0F"/>
    <w:rsid w:val="007E7D4A"/>
    <w:rsid w:val="007F48ED"/>
    <w:rsid w:val="007F5E3F"/>
    <w:rsid w:val="00812F45"/>
    <w:rsid w:val="0082287C"/>
    <w:rsid w:val="00836FE9"/>
    <w:rsid w:val="0084172C"/>
    <w:rsid w:val="0085175E"/>
    <w:rsid w:val="00856A31"/>
    <w:rsid w:val="00866C54"/>
    <w:rsid w:val="008754D0"/>
    <w:rsid w:val="00877C69"/>
    <w:rsid w:val="00877D48"/>
    <w:rsid w:val="00883110"/>
    <w:rsid w:val="0088345B"/>
    <w:rsid w:val="00893F06"/>
    <w:rsid w:val="008A16A5"/>
    <w:rsid w:val="008A1AB8"/>
    <w:rsid w:val="008A5C57"/>
    <w:rsid w:val="008C0629"/>
    <w:rsid w:val="008C0FCA"/>
    <w:rsid w:val="008D0EE0"/>
    <w:rsid w:val="008D7A27"/>
    <w:rsid w:val="008E4702"/>
    <w:rsid w:val="008E69AA"/>
    <w:rsid w:val="008F4F1C"/>
    <w:rsid w:val="009069AD"/>
    <w:rsid w:val="00910E64"/>
    <w:rsid w:val="00922764"/>
    <w:rsid w:val="009242CD"/>
    <w:rsid w:val="009278C1"/>
    <w:rsid w:val="00932377"/>
    <w:rsid w:val="009346E3"/>
    <w:rsid w:val="0094523D"/>
    <w:rsid w:val="009640CB"/>
    <w:rsid w:val="00974DEF"/>
    <w:rsid w:val="00976A63"/>
    <w:rsid w:val="009A36A1"/>
    <w:rsid w:val="009B2490"/>
    <w:rsid w:val="009B337F"/>
    <w:rsid w:val="009B50E5"/>
    <w:rsid w:val="009B7707"/>
    <w:rsid w:val="009C3431"/>
    <w:rsid w:val="009C5989"/>
    <w:rsid w:val="009C6A32"/>
    <w:rsid w:val="009D08DA"/>
    <w:rsid w:val="00A0618E"/>
    <w:rsid w:val="00A06860"/>
    <w:rsid w:val="00A136F5"/>
    <w:rsid w:val="00A218D7"/>
    <w:rsid w:val="00A231E2"/>
    <w:rsid w:val="00A2550D"/>
    <w:rsid w:val="00A31F63"/>
    <w:rsid w:val="00A379BB"/>
    <w:rsid w:val="00A4169B"/>
    <w:rsid w:val="00A50D55"/>
    <w:rsid w:val="00A52FDA"/>
    <w:rsid w:val="00A62101"/>
    <w:rsid w:val="00A64912"/>
    <w:rsid w:val="00A70A74"/>
    <w:rsid w:val="00A75620"/>
    <w:rsid w:val="00A83D34"/>
    <w:rsid w:val="00A86971"/>
    <w:rsid w:val="00A8771F"/>
    <w:rsid w:val="00A9231A"/>
    <w:rsid w:val="00A95BC7"/>
    <w:rsid w:val="00AA0343"/>
    <w:rsid w:val="00AA78CE"/>
    <w:rsid w:val="00AA7B26"/>
    <w:rsid w:val="00AC767C"/>
    <w:rsid w:val="00AD3467"/>
    <w:rsid w:val="00AD3D34"/>
    <w:rsid w:val="00AD5641"/>
    <w:rsid w:val="00AE02DF"/>
    <w:rsid w:val="00AF33DB"/>
    <w:rsid w:val="00B032D8"/>
    <w:rsid w:val="00B05D72"/>
    <w:rsid w:val="00B16832"/>
    <w:rsid w:val="00B20990"/>
    <w:rsid w:val="00B23FAF"/>
    <w:rsid w:val="00B30FCB"/>
    <w:rsid w:val="00B314F0"/>
    <w:rsid w:val="00B33B3C"/>
    <w:rsid w:val="00B36AA5"/>
    <w:rsid w:val="00B40D74"/>
    <w:rsid w:val="00B42649"/>
    <w:rsid w:val="00B42E91"/>
    <w:rsid w:val="00B46467"/>
    <w:rsid w:val="00B52663"/>
    <w:rsid w:val="00B56DCB"/>
    <w:rsid w:val="00B61728"/>
    <w:rsid w:val="00B65FD5"/>
    <w:rsid w:val="00B770D2"/>
    <w:rsid w:val="00B93516"/>
    <w:rsid w:val="00B96776"/>
    <w:rsid w:val="00B973E5"/>
    <w:rsid w:val="00BA47A3"/>
    <w:rsid w:val="00BA5026"/>
    <w:rsid w:val="00BA7B5B"/>
    <w:rsid w:val="00BB6E79"/>
    <w:rsid w:val="00BD355A"/>
    <w:rsid w:val="00BD5A4B"/>
    <w:rsid w:val="00BE42C5"/>
    <w:rsid w:val="00BE719A"/>
    <w:rsid w:val="00BE720A"/>
    <w:rsid w:val="00BF0723"/>
    <w:rsid w:val="00BF6650"/>
    <w:rsid w:val="00C067E5"/>
    <w:rsid w:val="00C164CA"/>
    <w:rsid w:val="00C26026"/>
    <w:rsid w:val="00C26051"/>
    <w:rsid w:val="00C366CC"/>
    <w:rsid w:val="00C42BF8"/>
    <w:rsid w:val="00C460AE"/>
    <w:rsid w:val="00C50043"/>
    <w:rsid w:val="00C5015F"/>
    <w:rsid w:val="00C50A0F"/>
    <w:rsid w:val="00C50F4A"/>
    <w:rsid w:val="00C61EB9"/>
    <w:rsid w:val="00C72D10"/>
    <w:rsid w:val="00C7573B"/>
    <w:rsid w:val="00C76CF3"/>
    <w:rsid w:val="00C81A68"/>
    <w:rsid w:val="00C93205"/>
    <w:rsid w:val="00C945DC"/>
    <w:rsid w:val="00CA687A"/>
    <w:rsid w:val="00CA7844"/>
    <w:rsid w:val="00CB58EF"/>
    <w:rsid w:val="00CC1038"/>
    <w:rsid w:val="00CE0A93"/>
    <w:rsid w:val="00CF0BB2"/>
    <w:rsid w:val="00D03E31"/>
    <w:rsid w:val="00D12B0D"/>
    <w:rsid w:val="00D13441"/>
    <w:rsid w:val="00D243A3"/>
    <w:rsid w:val="00D33440"/>
    <w:rsid w:val="00D52EFE"/>
    <w:rsid w:val="00D53A81"/>
    <w:rsid w:val="00D55894"/>
    <w:rsid w:val="00D56A0D"/>
    <w:rsid w:val="00D63EF6"/>
    <w:rsid w:val="00D64DF6"/>
    <w:rsid w:val="00D66518"/>
    <w:rsid w:val="00D70DFB"/>
    <w:rsid w:val="00D71EEA"/>
    <w:rsid w:val="00D735CD"/>
    <w:rsid w:val="00D766DF"/>
    <w:rsid w:val="00D90841"/>
    <w:rsid w:val="00DA2439"/>
    <w:rsid w:val="00DA6F05"/>
    <w:rsid w:val="00DA7C20"/>
    <w:rsid w:val="00DB64FC"/>
    <w:rsid w:val="00DB7ABC"/>
    <w:rsid w:val="00DC6A0D"/>
    <w:rsid w:val="00DD097A"/>
    <w:rsid w:val="00DE149E"/>
    <w:rsid w:val="00E034DB"/>
    <w:rsid w:val="00E05704"/>
    <w:rsid w:val="00E12F1A"/>
    <w:rsid w:val="00E22935"/>
    <w:rsid w:val="00E30B7A"/>
    <w:rsid w:val="00E42475"/>
    <w:rsid w:val="00E464F3"/>
    <w:rsid w:val="00E54292"/>
    <w:rsid w:val="00E60191"/>
    <w:rsid w:val="00E74AF8"/>
    <w:rsid w:val="00E74DC7"/>
    <w:rsid w:val="00E87699"/>
    <w:rsid w:val="00E92E27"/>
    <w:rsid w:val="00E94D1A"/>
    <w:rsid w:val="00E9586B"/>
    <w:rsid w:val="00E97334"/>
    <w:rsid w:val="00EB042B"/>
    <w:rsid w:val="00EB3A99"/>
    <w:rsid w:val="00EB65F8"/>
    <w:rsid w:val="00ED4928"/>
    <w:rsid w:val="00ED6AA0"/>
    <w:rsid w:val="00EE3E3A"/>
    <w:rsid w:val="00EE3FFE"/>
    <w:rsid w:val="00EE57E8"/>
    <w:rsid w:val="00EE6190"/>
    <w:rsid w:val="00EF2E3A"/>
    <w:rsid w:val="00EF321D"/>
    <w:rsid w:val="00EF6402"/>
    <w:rsid w:val="00F047E2"/>
    <w:rsid w:val="00F04D57"/>
    <w:rsid w:val="00F078DC"/>
    <w:rsid w:val="00F13E86"/>
    <w:rsid w:val="00F20B52"/>
    <w:rsid w:val="00F32FCB"/>
    <w:rsid w:val="00F33523"/>
    <w:rsid w:val="00F56247"/>
    <w:rsid w:val="00F57325"/>
    <w:rsid w:val="00F57473"/>
    <w:rsid w:val="00F638A7"/>
    <w:rsid w:val="00F677A9"/>
    <w:rsid w:val="00F7526E"/>
    <w:rsid w:val="00F8121C"/>
    <w:rsid w:val="00F84CF5"/>
    <w:rsid w:val="00F8612E"/>
    <w:rsid w:val="00F9243B"/>
    <w:rsid w:val="00F94583"/>
    <w:rsid w:val="00FA420B"/>
    <w:rsid w:val="00FB6AEE"/>
    <w:rsid w:val="00FC3EAC"/>
    <w:rsid w:val="00FF39DE"/>
    <w:rsid w:val="00FF73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A3E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0">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uiPriority w:val="99"/>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uiPriority w:val="99"/>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2"/>
      </w:numPr>
      <w:spacing w:before="240" w:line="240" w:lineRule="auto"/>
    </w:pPr>
    <w:rPr>
      <w:sz w:val="24"/>
    </w:rPr>
  </w:style>
  <w:style w:type="paragraph" w:customStyle="1" w:styleId="BodyPara">
    <w:name w:val="BodyPara"/>
    <w:aliases w:val="ba"/>
    <w:basedOn w:val="OPCParaBase"/>
    <w:rsid w:val="006065DA"/>
    <w:pPr>
      <w:numPr>
        <w:ilvl w:val="1"/>
        <w:numId w:val="2"/>
      </w:numPr>
      <w:spacing w:before="240" w:line="240" w:lineRule="auto"/>
    </w:pPr>
    <w:rPr>
      <w:sz w:val="24"/>
    </w:rPr>
  </w:style>
  <w:style w:type="numbering" w:customStyle="1" w:styleId="OPCBodyList">
    <w:name w:val="OPCBodyList"/>
    <w:uiPriority w:val="99"/>
    <w:rsid w:val="006065DA"/>
    <w:pPr>
      <w:numPr>
        <w:numId w:val="2"/>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Ii">
    <w:name w:val="Ii"/>
    <w:basedOn w:val="ItemHead"/>
    <w:rsid w:val="00F638A7"/>
  </w:style>
  <w:style w:type="character" w:styleId="CommentReference">
    <w:name w:val="annotation reference"/>
    <w:basedOn w:val="DefaultParagraphFont"/>
    <w:unhideWhenUsed/>
    <w:rsid w:val="001E2633"/>
    <w:rPr>
      <w:sz w:val="16"/>
      <w:szCs w:val="16"/>
    </w:rPr>
  </w:style>
  <w:style w:type="paragraph" w:styleId="CommentText">
    <w:name w:val="annotation text"/>
    <w:basedOn w:val="Normal"/>
    <w:link w:val="CommentTextChar"/>
    <w:uiPriority w:val="99"/>
    <w:unhideWhenUsed/>
    <w:rsid w:val="001E2633"/>
    <w:pPr>
      <w:spacing w:line="240" w:lineRule="auto"/>
    </w:pPr>
    <w:rPr>
      <w:sz w:val="20"/>
    </w:rPr>
  </w:style>
  <w:style w:type="character" w:customStyle="1" w:styleId="CommentTextChar">
    <w:name w:val="Comment Text Char"/>
    <w:basedOn w:val="DefaultParagraphFont"/>
    <w:link w:val="CommentText"/>
    <w:uiPriority w:val="99"/>
    <w:rsid w:val="001E2633"/>
  </w:style>
  <w:style w:type="paragraph" w:styleId="CommentSubject">
    <w:name w:val="annotation subject"/>
    <w:basedOn w:val="CommentText"/>
    <w:next w:val="CommentText"/>
    <w:link w:val="CommentSubjectChar"/>
    <w:uiPriority w:val="99"/>
    <w:semiHidden/>
    <w:unhideWhenUsed/>
    <w:rsid w:val="001E2633"/>
    <w:rPr>
      <w:b/>
      <w:bCs/>
    </w:rPr>
  </w:style>
  <w:style w:type="character" w:customStyle="1" w:styleId="CommentSubjectChar">
    <w:name w:val="Comment Subject Char"/>
    <w:basedOn w:val="CommentTextChar"/>
    <w:link w:val="CommentSubject"/>
    <w:uiPriority w:val="99"/>
    <w:semiHidden/>
    <w:rsid w:val="001E2633"/>
    <w:rPr>
      <w:b/>
      <w:bCs/>
    </w:rPr>
  </w:style>
  <w:style w:type="paragraph" w:styleId="Index1">
    <w:name w:val="index 1"/>
    <w:basedOn w:val="Normal"/>
    <w:next w:val="Normal"/>
    <w:autoRedefine/>
    <w:uiPriority w:val="99"/>
    <w:unhideWhenUsed/>
    <w:rsid w:val="001E2633"/>
    <w:pPr>
      <w:spacing w:line="240" w:lineRule="auto"/>
      <w:ind w:left="220" w:hanging="220"/>
    </w:pPr>
  </w:style>
  <w:style w:type="paragraph" w:customStyle="1" w:styleId="Note">
    <w:name w:val="Note"/>
    <w:basedOn w:val="Normal"/>
    <w:uiPriority w:val="99"/>
    <w:rsid w:val="00156C16"/>
    <w:pPr>
      <w:autoSpaceDE w:val="0"/>
      <w:autoSpaceDN w:val="0"/>
      <w:spacing w:before="120" w:line="220" w:lineRule="exact"/>
      <w:ind w:left="964"/>
      <w:jc w:val="both"/>
    </w:pPr>
    <w:rPr>
      <w:rFonts w:eastAsiaTheme="minorEastAsia" w:cs="Times New Roman"/>
      <w:noProof/>
      <w:sz w:val="20"/>
      <w:lang w:val="en-US" w:eastAsia="en-AU"/>
    </w:rPr>
  </w:style>
  <w:style w:type="paragraph" w:customStyle="1" w:styleId="R2">
    <w:name w:val="R2"/>
    <w:aliases w:val="(2)"/>
    <w:basedOn w:val="Normal"/>
    <w:uiPriority w:val="99"/>
    <w:rsid w:val="00156C16"/>
    <w:pPr>
      <w:tabs>
        <w:tab w:val="right" w:pos="794"/>
      </w:tabs>
      <w:autoSpaceDE w:val="0"/>
      <w:autoSpaceDN w:val="0"/>
      <w:spacing w:before="180" w:line="260" w:lineRule="exact"/>
      <w:ind w:left="964" w:hanging="964"/>
      <w:jc w:val="both"/>
    </w:pPr>
    <w:rPr>
      <w:rFonts w:eastAsiaTheme="minorEastAsia" w:cs="Times New Roman"/>
      <w:noProof/>
      <w:sz w:val="24"/>
      <w:szCs w:val="24"/>
      <w:lang w:val="en-US" w:eastAsia="en-AU"/>
    </w:rPr>
  </w:style>
  <w:style w:type="paragraph" w:customStyle="1" w:styleId="HR">
    <w:name w:val="HR"/>
    <w:aliases w:val="Regulation Heading"/>
    <w:basedOn w:val="Normal"/>
    <w:next w:val="Normal"/>
    <w:uiPriority w:val="99"/>
    <w:rsid w:val="00156C16"/>
    <w:pPr>
      <w:keepNext/>
      <w:autoSpaceDE w:val="0"/>
      <w:autoSpaceDN w:val="0"/>
      <w:spacing w:before="360" w:line="240" w:lineRule="auto"/>
      <w:ind w:left="964" w:hanging="964"/>
    </w:pPr>
    <w:rPr>
      <w:rFonts w:ascii="Arial" w:eastAsiaTheme="minorEastAsia" w:hAnsi="Arial" w:cs="Arial"/>
      <w:b/>
      <w:bCs/>
      <w:noProof/>
      <w:sz w:val="24"/>
      <w:szCs w:val="24"/>
      <w:lang w:val="en-US" w:eastAsia="en-AU"/>
    </w:rPr>
  </w:style>
  <w:style w:type="paragraph" w:customStyle="1" w:styleId="R1">
    <w:name w:val="R1"/>
    <w:aliases w:val="1. or 1.(1)"/>
    <w:basedOn w:val="Normal"/>
    <w:next w:val="Normal"/>
    <w:uiPriority w:val="99"/>
    <w:rsid w:val="00156C16"/>
    <w:pPr>
      <w:tabs>
        <w:tab w:val="right" w:pos="794"/>
      </w:tabs>
      <w:autoSpaceDE w:val="0"/>
      <w:autoSpaceDN w:val="0"/>
      <w:spacing w:before="120" w:line="260" w:lineRule="exact"/>
      <w:ind w:left="964" w:hanging="964"/>
      <w:jc w:val="both"/>
    </w:pPr>
    <w:rPr>
      <w:rFonts w:eastAsiaTheme="minorEastAsia" w:cs="Times New Roman"/>
      <w:noProof/>
      <w:sz w:val="24"/>
      <w:szCs w:val="24"/>
      <w:lang w:val="en-US" w:eastAsia="en-AU"/>
    </w:rPr>
  </w:style>
  <w:style w:type="paragraph" w:customStyle="1" w:styleId="P1">
    <w:name w:val="P1"/>
    <w:aliases w:val="(a)"/>
    <w:basedOn w:val="Normal"/>
    <w:uiPriority w:val="99"/>
    <w:rsid w:val="00156C16"/>
    <w:pPr>
      <w:tabs>
        <w:tab w:val="right" w:pos="1191"/>
      </w:tabs>
      <w:autoSpaceDE w:val="0"/>
      <w:autoSpaceDN w:val="0"/>
      <w:spacing w:before="60" w:line="260" w:lineRule="exact"/>
      <w:ind w:left="1418" w:hanging="1418"/>
      <w:jc w:val="both"/>
    </w:pPr>
    <w:rPr>
      <w:rFonts w:eastAsiaTheme="minorEastAsia" w:cs="Times New Roman"/>
      <w:noProof/>
      <w:sz w:val="24"/>
      <w:szCs w:val="24"/>
      <w:lang w:val="en-US" w:eastAsia="en-AU"/>
    </w:rPr>
  </w:style>
  <w:style w:type="character" w:customStyle="1" w:styleId="paragraphChar">
    <w:name w:val="paragraph Char"/>
    <w:aliases w:val="a Char"/>
    <w:basedOn w:val="DefaultParagraphFont"/>
    <w:link w:val="paragraph0"/>
    <w:rsid w:val="00156C16"/>
    <w:rPr>
      <w:rFonts w:eastAsia="Times New Roman" w:cs="Times New Roman"/>
      <w:sz w:val="22"/>
      <w:lang w:eastAsia="en-AU"/>
    </w:rPr>
  </w:style>
  <w:style w:type="paragraph" w:customStyle="1" w:styleId="DD">
    <w:name w:val="DD"/>
    <w:aliases w:val="Dictionary Definition"/>
    <w:basedOn w:val="Normal"/>
    <w:uiPriority w:val="99"/>
    <w:rsid w:val="00156C16"/>
    <w:pPr>
      <w:autoSpaceDE w:val="0"/>
      <w:autoSpaceDN w:val="0"/>
      <w:spacing w:before="80" w:line="260" w:lineRule="exact"/>
      <w:jc w:val="both"/>
    </w:pPr>
    <w:rPr>
      <w:rFonts w:eastAsiaTheme="minorEastAsia" w:cs="Times New Roman"/>
      <w:noProof/>
      <w:sz w:val="24"/>
      <w:szCs w:val="24"/>
      <w:lang w:val="en-US" w:eastAsia="en-AU"/>
    </w:rPr>
  </w:style>
  <w:style w:type="paragraph" w:customStyle="1" w:styleId="Citation">
    <w:name w:val="Citation"/>
    <w:basedOn w:val="Footer"/>
    <w:uiPriority w:val="99"/>
    <w:rsid w:val="00222159"/>
    <w:pPr>
      <w:tabs>
        <w:tab w:val="clear" w:pos="4153"/>
        <w:tab w:val="clear" w:pos="8306"/>
      </w:tabs>
      <w:autoSpaceDE w:val="0"/>
      <w:autoSpaceDN w:val="0"/>
    </w:pPr>
    <w:rPr>
      <w:rFonts w:ascii="Arial" w:eastAsiaTheme="minorEastAsia" w:hAnsi="Arial" w:cs="Arial"/>
      <w:noProof/>
      <w:sz w:val="18"/>
      <w:szCs w:val="18"/>
      <w:lang w:val="en-US"/>
    </w:rPr>
  </w:style>
  <w:style w:type="paragraph" w:customStyle="1" w:styleId="P2">
    <w:name w:val="P2"/>
    <w:aliases w:val="(i)"/>
    <w:basedOn w:val="Normal"/>
    <w:uiPriority w:val="99"/>
    <w:rsid w:val="00E30B7A"/>
    <w:pPr>
      <w:tabs>
        <w:tab w:val="right" w:pos="1758"/>
        <w:tab w:val="left" w:pos="2155"/>
      </w:tabs>
      <w:autoSpaceDE w:val="0"/>
      <w:autoSpaceDN w:val="0"/>
      <w:spacing w:before="60" w:line="260" w:lineRule="exact"/>
      <w:ind w:left="1985" w:hanging="1985"/>
      <w:jc w:val="both"/>
    </w:pPr>
    <w:rPr>
      <w:rFonts w:eastAsiaTheme="minorEastAsia" w:cs="Times New Roman"/>
      <w:noProof/>
      <w:sz w:val="24"/>
      <w:szCs w:val="24"/>
      <w:lang w:val="en-US" w:eastAsia="en-AU"/>
    </w:rPr>
  </w:style>
  <w:style w:type="paragraph" w:styleId="ListParagraph">
    <w:name w:val="List Paragraph"/>
    <w:basedOn w:val="Normal"/>
    <w:uiPriority w:val="34"/>
    <w:qFormat/>
    <w:rsid w:val="00423BC8"/>
    <w:pPr>
      <w:autoSpaceDE w:val="0"/>
      <w:autoSpaceDN w:val="0"/>
      <w:spacing w:line="240" w:lineRule="auto"/>
      <w:ind w:left="720"/>
      <w:contextualSpacing/>
    </w:pPr>
    <w:rPr>
      <w:rFonts w:eastAsiaTheme="minorEastAsia" w:cs="Times New Roman"/>
      <w:noProof/>
      <w:sz w:val="24"/>
      <w:szCs w:val="24"/>
      <w:lang w:val="en-US" w:eastAsia="en-AU"/>
    </w:rPr>
  </w:style>
  <w:style w:type="character" w:customStyle="1" w:styleId="CharENotesHeading">
    <w:name w:val="CharENotesHeading"/>
    <w:basedOn w:val="DefaultParagraphFont"/>
    <w:uiPriority w:val="99"/>
    <w:rsid w:val="00274B96"/>
  </w:style>
  <w:style w:type="character" w:styleId="Hyperlink">
    <w:name w:val="Hyperlink"/>
    <w:basedOn w:val="DefaultParagraphFont"/>
    <w:uiPriority w:val="99"/>
    <w:rsid w:val="00713CC8"/>
    <w:rPr>
      <w:color w:val="0000FF"/>
      <w:u w:val="single"/>
    </w:rPr>
  </w:style>
  <w:style w:type="paragraph" w:customStyle="1" w:styleId="paragraph">
    <w:name w:val="paragraph"/>
    <w:aliases w:val="i"/>
    <w:basedOn w:val="paragraph0"/>
    <w:rsid w:val="00627718"/>
    <w:pPr>
      <w:numPr>
        <w:numId w:val="12"/>
      </w:numPr>
    </w:pPr>
    <w:rPr>
      <w:rFonts w:eastAsiaTheme="minorEastAsia"/>
      <w:noProof/>
      <w:sz w:val="24"/>
      <w:szCs w:val="24"/>
      <w:lang w:val="en-US"/>
    </w:rPr>
  </w:style>
  <w:style w:type="paragraph" w:customStyle="1" w:styleId="paragraph1">
    <w:name w:val="paragraph"/>
    <w:aliases w:val="i"/>
    <w:basedOn w:val="paragraph"/>
    <w:rsid w:val="00627718"/>
  </w:style>
  <w:style w:type="paragraph" w:customStyle="1" w:styleId="paragraph2">
    <w:name w:val="paragraph"/>
    <w:aliases w:val="i"/>
    <w:basedOn w:val="paragraph1"/>
    <w:rsid w:val="00627718"/>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DF9F0485B8D1443A35CCB2766B6C955" ma:contentTypeVersion="" ma:contentTypeDescription="PDMS Document Site Content Type" ma:contentTypeScope="" ma:versionID="8601d3826ee7661c91114e59cc53a52e">
  <xsd:schema xmlns:xsd="http://www.w3.org/2001/XMLSchema" xmlns:xs="http://www.w3.org/2001/XMLSchema" xmlns:p="http://schemas.microsoft.com/office/2006/metadata/properties" xmlns:ns2="2546950A-2713-452B-9452-7724CAA6899E" targetNamespace="http://schemas.microsoft.com/office/2006/metadata/properties" ma:root="true" ma:fieldsID="e4d17fd5bd95c6d72849009bf76b6949" ns2:_="">
    <xsd:import namespace="2546950A-2713-452B-9452-7724CAA6899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6950A-2713-452B-9452-7724CAA6899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546950A-2713-452B-9452-7724CAA689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808023-A962-48A3-A759-731A0AA6A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6950A-2713-452B-9452-7724CAA68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55634-E57E-4976-8E9F-8B7F7FECD845}">
  <ds:schemaRefs>
    <ds:schemaRef ds:uri="http://purl.org/dc/terms/"/>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2546950A-2713-452B-9452-7724CAA6899E"/>
  </ds:schemaRefs>
</ds:datastoreItem>
</file>

<file path=customXml/itemProps3.xml><?xml version="1.0" encoding="utf-8"?>
<ds:datastoreItem xmlns:ds="http://schemas.openxmlformats.org/officeDocument/2006/customXml" ds:itemID="{3AF2FBEA-66A9-49FE-9DF1-0BD0138765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2784</Words>
  <Characters>15872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2020-03-26T00:50:00Z</dcterms:created>
  <dcterms:modified xsi:type="dcterms:W3CDTF">2020-04-01T02:53:00Z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0x010100266966F133664895A6EE3632470D45F500BDF9F0485B8D1443A35CCB2766B6C955</vt:lpwstr>
  </property>
  <property fmtid="{D5CDD505-2E9C-101B-9397-08002B2CF9AE}" pid="3" name="TrimRevisionNumber">
    <vt:i4>8</vt:i4>
  </property>
</Properties>
</file>