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89B4D" w14:textId="77777777" w:rsidR="00A219C2" w:rsidRPr="00F45127" w:rsidRDefault="00A219C2" w:rsidP="00A219C2">
      <w:pPr>
        <w:pStyle w:val="Title"/>
      </w:pPr>
      <w:r w:rsidRPr="00F45127">
        <w:t>EXPLANATORY STATEMENT</w:t>
      </w:r>
    </w:p>
    <w:p w14:paraId="3E5ADBCD" w14:textId="77777777" w:rsidR="00A219C2" w:rsidRPr="00F45127" w:rsidRDefault="00A219C2" w:rsidP="00A219C2">
      <w:pPr>
        <w:pStyle w:val="Title"/>
      </w:pPr>
    </w:p>
    <w:p w14:paraId="3EAF0C08" w14:textId="77777777" w:rsidR="00A219C2" w:rsidRPr="00F45127" w:rsidRDefault="00A219C2" w:rsidP="00A219C2">
      <w:pPr>
        <w:jc w:val="center"/>
      </w:pPr>
      <w:r w:rsidRPr="00F45127">
        <w:t xml:space="preserve">Issued by the Authority of the Minister for Health </w:t>
      </w:r>
    </w:p>
    <w:p w14:paraId="5C6D7076" w14:textId="77777777" w:rsidR="00A219C2" w:rsidRPr="00F45127" w:rsidRDefault="00A219C2" w:rsidP="00A219C2">
      <w:pPr>
        <w:jc w:val="center"/>
      </w:pPr>
    </w:p>
    <w:p w14:paraId="6D804BBC" w14:textId="77777777" w:rsidR="00A219C2" w:rsidRPr="00F45127" w:rsidRDefault="00A219C2" w:rsidP="00A219C2">
      <w:pPr>
        <w:jc w:val="center"/>
        <w:rPr>
          <w:i/>
        </w:rPr>
      </w:pPr>
      <w:r w:rsidRPr="00F45127">
        <w:rPr>
          <w:i/>
        </w:rPr>
        <w:t>Private Health Insurance Act 2007</w:t>
      </w:r>
    </w:p>
    <w:p w14:paraId="6DE66893" w14:textId="77777777" w:rsidR="00A219C2" w:rsidRPr="00F45127" w:rsidRDefault="00A219C2" w:rsidP="00A219C2">
      <w:pPr>
        <w:jc w:val="center"/>
        <w:rPr>
          <w:b/>
          <w:u w:val="single"/>
        </w:rPr>
      </w:pPr>
    </w:p>
    <w:p w14:paraId="3B46C437" w14:textId="77777777" w:rsidR="00A219C2" w:rsidRPr="00F45127" w:rsidRDefault="00A219C2" w:rsidP="00A219C2">
      <w:pPr>
        <w:jc w:val="center"/>
        <w:rPr>
          <w:i/>
        </w:rPr>
      </w:pPr>
      <w:r w:rsidRPr="00F45127">
        <w:rPr>
          <w:i/>
        </w:rPr>
        <w:t xml:space="preserve">Private Health Insurance (Incentives) </w:t>
      </w:r>
      <w:r>
        <w:rPr>
          <w:i/>
        </w:rPr>
        <w:t xml:space="preserve">Amendment </w:t>
      </w:r>
      <w:r w:rsidRPr="00F45127">
        <w:rPr>
          <w:i/>
        </w:rPr>
        <w:t>Rules</w:t>
      </w:r>
      <w:r w:rsidRPr="00E14D14">
        <w:rPr>
          <w:i/>
        </w:rPr>
        <w:t xml:space="preserve"> (No. 1)</w:t>
      </w:r>
      <w:r>
        <w:rPr>
          <w:i/>
        </w:rPr>
        <w:t xml:space="preserve"> </w:t>
      </w:r>
      <w:r w:rsidR="008B1C9F">
        <w:rPr>
          <w:i/>
        </w:rPr>
        <w:t>2020</w:t>
      </w:r>
    </w:p>
    <w:p w14:paraId="24E252B7" w14:textId="77777777" w:rsidR="00A219C2" w:rsidRPr="00F45127" w:rsidRDefault="00A219C2" w:rsidP="00A219C2"/>
    <w:p w14:paraId="198BFD11" w14:textId="77777777" w:rsidR="00A219C2" w:rsidRPr="00F45127" w:rsidRDefault="00A219C2" w:rsidP="00A219C2">
      <w:pPr>
        <w:rPr>
          <w:u w:val="single"/>
        </w:rPr>
      </w:pPr>
      <w:r w:rsidRPr="00F45127">
        <w:rPr>
          <w:u w:val="single"/>
        </w:rPr>
        <w:t>Authority</w:t>
      </w:r>
    </w:p>
    <w:p w14:paraId="2A782CB3" w14:textId="77777777" w:rsidR="00A219C2" w:rsidRDefault="00A219C2" w:rsidP="00A219C2">
      <w:pPr>
        <w:shd w:val="clear" w:color="auto" w:fill="FFFFFF"/>
        <w:rPr>
          <w:color w:val="000000"/>
          <w:szCs w:val="24"/>
        </w:rPr>
      </w:pPr>
      <w:r w:rsidRPr="00742C7A">
        <w:rPr>
          <w:color w:val="000000"/>
          <w:szCs w:val="24"/>
        </w:rPr>
        <w:t>Section 333-20 of the </w:t>
      </w:r>
      <w:r w:rsidRPr="00742C7A">
        <w:rPr>
          <w:i/>
          <w:iCs/>
          <w:color w:val="000000"/>
          <w:szCs w:val="24"/>
        </w:rPr>
        <w:t>Private Health Insurance Act 2007 </w:t>
      </w:r>
      <w:r w:rsidRPr="00742C7A">
        <w:rPr>
          <w:color w:val="000000"/>
          <w:szCs w:val="24"/>
        </w:rPr>
        <w:t>(the Act) provides that the Minister may make </w:t>
      </w:r>
      <w:r w:rsidRPr="00742C7A">
        <w:rPr>
          <w:i/>
          <w:iCs/>
          <w:color w:val="000000"/>
          <w:szCs w:val="24"/>
        </w:rPr>
        <w:t>Private Health Insurance (Incentives) Rules</w:t>
      </w:r>
      <w:r w:rsidRPr="00742C7A">
        <w:rPr>
          <w:color w:val="000000"/>
          <w:szCs w:val="24"/>
        </w:rPr>
        <w:t> providing for matters required or permitted by Part 2-2, section 206-1 and Part 6-4 of the Act, or necessary or convenient to be provided in order to carry out or give effect to these provisions.</w:t>
      </w:r>
    </w:p>
    <w:p w14:paraId="5F57995B" w14:textId="77777777" w:rsidR="00A219C2" w:rsidRDefault="00A219C2" w:rsidP="00A219C2">
      <w:pPr>
        <w:shd w:val="clear" w:color="auto" w:fill="FFFFFF"/>
        <w:rPr>
          <w:color w:val="000000"/>
          <w:szCs w:val="24"/>
        </w:rPr>
      </w:pPr>
    </w:p>
    <w:p w14:paraId="3EA31917" w14:textId="77777777" w:rsidR="00A219C2" w:rsidRPr="00594978" w:rsidRDefault="00A219C2" w:rsidP="00A219C2">
      <w:pPr>
        <w:shd w:val="clear" w:color="auto" w:fill="FFFFFF"/>
        <w:rPr>
          <w:color w:val="000000"/>
          <w:szCs w:val="24"/>
        </w:rPr>
      </w:pPr>
      <w:r>
        <w:rPr>
          <w:color w:val="000000"/>
          <w:szCs w:val="24"/>
        </w:rPr>
        <w:t xml:space="preserve">In addition to the power to make this instrument under section 333-20 of the Act, subsection 33(3) of the </w:t>
      </w:r>
      <w:r>
        <w:rPr>
          <w:i/>
          <w:color w:val="000000"/>
          <w:szCs w:val="24"/>
        </w:rPr>
        <w:t xml:space="preserve">Acts Interpretation Act 1901 </w:t>
      </w:r>
      <w:r>
        <w:rPr>
          <w:color w:val="000000"/>
          <w:szCs w:val="24"/>
        </w:rPr>
        <w:t xml:space="preserve">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14:paraId="120669D0" w14:textId="77777777" w:rsidR="00A219C2" w:rsidRPr="00742C7A" w:rsidRDefault="00A219C2" w:rsidP="00A219C2">
      <w:pPr>
        <w:shd w:val="clear" w:color="auto" w:fill="FFFFFF"/>
        <w:rPr>
          <w:color w:val="000000"/>
          <w:szCs w:val="24"/>
        </w:rPr>
      </w:pPr>
      <w:r w:rsidRPr="00742C7A">
        <w:rPr>
          <w:color w:val="000000"/>
          <w:szCs w:val="24"/>
        </w:rPr>
        <w:t> </w:t>
      </w:r>
    </w:p>
    <w:p w14:paraId="1B161DF7" w14:textId="77777777" w:rsidR="00A219C2" w:rsidRPr="00742C7A" w:rsidRDefault="00A219C2" w:rsidP="00A219C2">
      <w:pPr>
        <w:shd w:val="clear" w:color="auto" w:fill="FFFFFF"/>
        <w:rPr>
          <w:color w:val="000000"/>
          <w:szCs w:val="24"/>
        </w:rPr>
      </w:pPr>
      <w:r w:rsidRPr="00742C7A">
        <w:rPr>
          <w:color w:val="000000"/>
          <w:szCs w:val="24"/>
        </w:rPr>
        <w:t>The </w:t>
      </w:r>
      <w:r w:rsidRPr="00742C7A">
        <w:rPr>
          <w:i/>
          <w:iCs/>
          <w:color w:val="000000"/>
          <w:szCs w:val="24"/>
        </w:rPr>
        <w:t>Private Health Insurance (Incentives) Amendment Rules (No. 1)</w:t>
      </w:r>
      <w:r w:rsidRPr="00742C7A">
        <w:rPr>
          <w:color w:val="000000"/>
          <w:szCs w:val="24"/>
        </w:rPr>
        <w:t> </w:t>
      </w:r>
      <w:r w:rsidR="008B1C9F">
        <w:rPr>
          <w:i/>
          <w:iCs/>
          <w:color w:val="000000"/>
          <w:szCs w:val="24"/>
        </w:rPr>
        <w:t>2020</w:t>
      </w:r>
      <w:r w:rsidRPr="00742C7A">
        <w:rPr>
          <w:i/>
          <w:iCs/>
          <w:color w:val="000000"/>
          <w:szCs w:val="24"/>
        </w:rPr>
        <w:t xml:space="preserve"> </w:t>
      </w:r>
      <w:r w:rsidRPr="00742C7A">
        <w:rPr>
          <w:color w:val="000000"/>
          <w:szCs w:val="24"/>
        </w:rPr>
        <w:t>(the Amendment Rules) amend the</w:t>
      </w:r>
      <w:r w:rsidRPr="00742C7A">
        <w:rPr>
          <w:i/>
          <w:iCs/>
          <w:color w:val="000000"/>
          <w:szCs w:val="24"/>
        </w:rPr>
        <w:t> Private Health Insurance (Incentives) Rules</w:t>
      </w:r>
      <w:r w:rsidRPr="00742C7A">
        <w:rPr>
          <w:color w:val="000000"/>
          <w:szCs w:val="24"/>
        </w:rPr>
        <w:t> </w:t>
      </w:r>
      <w:r w:rsidRPr="00742C7A">
        <w:rPr>
          <w:i/>
          <w:iCs/>
          <w:color w:val="000000"/>
          <w:szCs w:val="24"/>
        </w:rPr>
        <w:t>2012 (No. 2) </w:t>
      </w:r>
      <w:r w:rsidRPr="00742C7A">
        <w:rPr>
          <w:color w:val="000000"/>
          <w:szCs w:val="24"/>
        </w:rPr>
        <w:t>(the Principal Rules).</w:t>
      </w:r>
    </w:p>
    <w:p w14:paraId="3A88588F" w14:textId="77777777" w:rsidR="00A219C2" w:rsidRDefault="00A219C2" w:rsidP="00A219C2"/>
    <w:p w14:paraId="1BBA38E6" w14:textId="77777777" w:rsidR="00A219C2" w:rsidRPr="00F45127" w:rsidRDefault="00A219C2" w:rsidP="00A219C2">
      <w:pPr>
        <w:pStyle w:val="Subtitle"/>
      </w:pPr>
      <w:r>
        <w:t>Purpose</w:t>
      </w:r>
    </w:p>
    <w:p w14:paraId="522585F4" w14:textId="77777777" w:rsidR="00A219C2" w:rsidRPr="00654603" w:rsidRDefault="00A219C2" w:rsidP="00A219C2">
      <w:pPr>
        <w:shd w:val="clear" w:color="auto" w:fill="FFFFFF"/>
        <w:rPr>
          <w:color w:val="000000"/>
          <w:szCs w:val="24"/>
        </w:rPr>
      </w:pPr>
      <w:r w:rsidRPr="00654603">
        <w:rPr>
          <w:color w:val="000000"/>
          <w:szCs w:val="24"/>
        </w:rPr>
        <w:t> </w:t>
      </w:r>
    </w:p>
    <w:p w14:paraId="0490B68A" w14:textId="77777777" w:rsidR="00A219C2" w:rsidRPr="00654603" w:rsidRDefault="00A219C2" w:rsidP="00A219C2">
      <w:pPr>
        <w:shd w:val="clear" w:color="auto" w:fill="FFFFFF"/>
        <w:rPr>
          <w:color w:val="000000"/>
          <w:szCs w:val="24"/>
        </w:rPr>
      </w:pPr>
      <w:r w:rsidRPr="00654603">
        <w:rPr>
          <w:color w:val="000000"/>
          <w:szCs w:val="24"/>
        </w:rPr>
        <w:t xml:space="preserve">The Amendment Rules amend the Principal Rules to insert a </w:t>
      </w:r>
      <w:r>
        <w:rPr>
          <w:color w:val="000000"/>
          <w:szCs w:val="24"/>
        </w:rPr>
        <w:t>revised</w:t>
      </w:r>
      <w:r w:rsidRPr="00654603">
        <w:rPr>
          <w:color w:val="000000"/>
          <w:szCs w:val="24"/>
        </w:rPr>
        <w:t xml:space="preserve"> section </w:t>
      </w:r>
      <w:proofErr w:type="spellStart"/>
      <w:r w:rsidRPr="00654603">
        <w:rPr>
          <w:color w:val="000000"/>
          <w:szCs w:val="24"/>
        </w:rPr>
        <w:t>5A</w:t>
      </w:r>
      <w:proofErr w:type="spellEnd"/>
      <w:r w:rsidRPr="00654603">
        <w:rPr>
          <w:color w:val="000000"/>
          <w:szCs w:val="24"/>
        </w:rPr>
        <w:t xml:space="preserve">.  Section </w:t>
      </w:r>
      <w:proofErr w:type="spellStart"/>
      <w:r w:rsidRPr="00654603">
        <w:rPr>
          <w:color w:val="000000"/>
          <w:szCs w:val="24"/>
        </w:rPr>
        <w:t>5A</w:t>
      </w:r>
      <w:proofErr w:type="spellEnd"/>
      <w:r w:rsidRPr="00654603">
        <w:rPr>
          <w:color w:val="000000"/>
          <w:szCs w:val="24"/>
        </w:rPr>
        <w:t xml:space="preserve"> determines the adjustment factor</w:t>
      </w:r>
      <w:r>
        <w:rPr>
          <w:color w:val="000000"/>
          <w:szCs w:val="24"/>
        </w:rPr>
        <w:t xml:space="preserve"> for the purposes of subsection 22-10(</w:t>
      </w:r>
      <w:proofErr w:type="spellStart"/>
      <w:r>
        <w:rPr>
          <w:color w:val="000000"/>
          <w:szCs w:val="24"/>
        </w:rPr>
        <w:t>5A</w:t>
      </w:r>
      <w:proofErr w:type="spellEnd"/>
      <w:r>
        <w:rPr>
          <w:color w:val="000000"/>
          <w:szCs w:val="24"/>
        </w:rPr>
        <w:t>) of the Act</w:t>
      </w:r>
      <w:r w:rsidRPr="00654603">
        <w:rPr>
          <w:color w:val="000000"/>
          <w:szCs w:val="24"/>
        </w:rPr>
        <w:t>, defined for the purposes of the Principal Rules as the rebate</w:t>
      </w:r>
      <w:r w:rsidR="008967FE">
        <w:rPr>
          <w:color w:val="000000"/>
          <w:szCs w:val="24"/>
        </w:rPr>
        <w:t xml:space="preserve"> </w:t>
      </w:r>
      <w:r w:rsidRPr="00654603">
        <w:rPr>
          <w:color w:val="000000"/>
          <w:szCs w:val="24"/>
        </w:rPr>
        <w:t>adjustment factor</w:t>
      </w:r>
      <w:r>
        <w:rPr>
          <w:color w:val="000000"/>
          <w:szCs w:val="24"/>
        </w:rPr>
        <w:t>.</w:t>
      </w:r>
      <w:r w:rsidRPr="00654603">
        <w:rPr>
          <w:color w:val="000000"/>
          <w:szCs w:val="24"/>
        </w:rPr>
        <w:t xml:space="preserve"> The rebate adjustment factor is used to uniformly adjust all rebate percentages</w:t>
      </w:r>
      <w:r>
        <w:rPr>
          <w:color w:val="000000"/>
          <w:szCs w:val="24"/>
        </w:rPr>
        <w:t>.</w:t>
      </w:r>
    </w:p>
    <w:p w14:paraId="3EB777E4" w14:textId="77777777" w:rsidR="00A219C2" w:rsidRDefault="00A219C2" w:rsidP="00A219C2">
      <w:pPr>
        <w:autoSpaceDE w:val="0"/>
        <w:autoSpaceDN w:val="0"/>
        <w:adjustRightInd w:val="0"/>
      </w:pPr>
    </w:p>
    <w:p w14:paraId="1F7F42AB" w14:textId="77777777" w:rsidR="00A219C2" w:rsidRDefault="00A219C2" w:rsidP="00A219C2">
      <w:pPr>
        <w:autoSpaceDE w:val="0"/>
        <w:autoSpaceDN w:val="0"/>
        <w:adjustRightInd w:val="0"/>
      </w:pPr>
      <w:r>
        <w:t xml:space="preserve">New rule </w:t>
      </w:r>
      <w:proofErr w:type="spellStart"/>
      <w:proofErr w:type="gramStart"/>
      <w:r>
        <w:t>5A</w:t>
      </w:r>
      <w:proofErr w:type="spellEnd"/>
      <w:r>
        <w:t xml:space="preserve"> :</w:t>
      </w:r>
      <w:proofErr w:type="gramEnd"/>
    </w:p>
    <w:p w14:paraId="702D4F9E" w14:textId="77777777" w:rsidR="00A219C2" w:rsidRDefault="00A219C2" w:rsidP="00A219C2">
      <w:pPr>
        <w:autoSpaceDE w:val="0"/>
        <w:autoSpaceDN w:val="0"/>
        <w:adjustRightInd w:val="0"/>
      </w:pPr>
    </w:p>
    <w:p w14:paraId="155454C4" w14:textId="77777777" w:rsidR="00A219C2" w:rsidRPr="00654603" w:rsidRDefault="008B1C9F" w:rsidP="00A219C2">
      <w:pPr>
        <w:pStyle w:val="ListParagraph"/>
        <w:autoSpaceDE w:val="0"/>
        <w:autoSpaceDN w:val="0"/>
        <w:adjustRightInd w:val="0"/>
        <w:ind w:left="567"/>
        <w:rPr>
          <w:szCs w:val="24"/>
        </w:rPr>
      </w:pPr>
      <w:r>
        <w:t>Sets the rebate adjustment factor for the adjustment year commencing on 1 April 2020 to one (1).</w:t>
      </w:r>
      <w:r w:rsidR="00A219C2">
        <w:t xml:space="preserve">  </w:t>
      </w:r>
    </w:p>
    <w:p w14:paraId="5F449A20" w14:textId="77777777" w:rsidR="00A219C2" w:rsidRDefault="00A219C2" w:rsidP="00A219C2">
      <w:pPr>
        <w:pStyle w:val="ListParagraph"/>
        <w:autoSpaceDE w:val="0"/>
        <w:autoSpaceDN w:val="0"/>
        <w:adjustRightInd w:val="0"/>
        <w:ind w:left="0"/>
        <w:rPr>
          <w:rFonts w:ascii="Helvetica" w:hAnsi="Helvetica" w:cs="Helvetica"/>
          <w:color w:val="222222"/>
          <w:sz w:val="20"/>
        </w:rPr>
      </w:pPr>
    </w:p>
    <w:p w14:paraId="65D99CEF" w14:textId="77777777" w:rsidR="00A219C2" w:rsidRDefault="00A219C2" w:rsidP="00A219C2">
      <w:pPr>
        <w:shd w:val="clear" w:color="auto" w:fill="FFFFFF"/>
        <w:rPr>
          <w:color w:val="000000"/>
        </w:rPr>
      </w:pPr>
      <w:r>
        <w:rPr>
          <w:color w:val="000000"/>
          <w:u w:val="single"/>
        </w:rPr>
        <w:t>Background</w:t>
      </w:r>
    </w:p>
    <w:p w14:paraId="68665876" w14:textId="77777777" w:rsidR="00A219C2" w:rsidRDefault="00A219C2" w:rsidP="00A219C2">
      <w:pPr>
        <w:shd w:val="clear" w:color="auto" w:fill="FFFFFF"/>
        <w:rPr>
          <w:color w:val="000000"/>
          <w:szCs w:val="24"/>
        </w:rPr>
      </w:pPr>
      <w:r w:rsidRPr="00E8236C">
        <w:rPr>
          <w:color w:val="000000"/>
          <w:szCs w:val="24"/>
        </w:rPr>
        <w:t xml:space="preserve">The Private Health Insurance Rebate was announced in the </w:t>
      </w:r>
      <w:r>
        <w:rPr>
          <w:color w:val="000000"/>
          <w:szCs w:val="24"/>
        </w:rPr>
        <w:t>‘</w:t>
      </w:r>
      <w:r w:rsidRPr="00E8236C">
        <w:rPr>
          <w:color w:val="000000"/>
          <w:szCs w:val="24"/>
        </w:rPr>
        <w:t>Tax Reform: not a new tax, a new tax system package</w:t>
      </w:r>
      <w:r>
        <w:rPr>
          <w:color w:val="000000"/>
          <w:szCs w:val="24"/>
        </w:rPr>
        <w:t>’</w:t>
      </w:r>
      <w:r w:rsidRPr="00E8236C">
        <w:rPr>
          <w:color w:val="000000"/>
          <w:szCs w:val="24"/>
        </w:rPr>
        <w:t xml:space="preserve"> in August 1998. The rebate commenced on 1 January 1999 as a 30% rebate payable for all complying hospital, general and combined (hospital and general) treatment insurance policies. </w:t>
      </w:r>
    </w:p>
    <w:p w14:paraId="395C8654" w14:textId="77777777" w:rsidR="00A219C2" w:rsidRDefault="00A219C2" w:rsidP="00A219C2">
      <w:pPr>
        <w:shd w:val="clear" w:color="auto" w:fill="FFFFFF"/>
        <w:rPr>
          <w:color w:val="000000"/>
          <w:szCs w:val="24"/>
        </w:rPr>
      </w:pPr>
    </w:p>
    <w:p w14:paraId="2D9A07BA" w14:textId="77777777" w:rsidR="00A219C2" w:rsidRDefault="00A219C2" w:rsidP="00A219C2">
      <w:pPr>
        <w:shd w:val="clear" w:color="auto" w:fill="FFFFFF"/>
        <w:rPr>
          <w:color w:val="000000"/>
          <w:szCs w:val="24"/>
        </w:rPr>
      </w:pPr>
      <w:r w:rsidRPr="00E8236C">
        <w:rPr>
          <w:color w:val="000000"/>
          <w:szCs w:val="24"/>
        </w:rPr>
        <w:t xml:space="preserve">Higher rebates for older Australians were introduced from 1 April 2005; rebates increased to 35% for policyholders aged 65-69 years and to 40% for those 70 years and over. </w:t>
      </w:r>
    </w:p>
    <w:p w14:paraId="092741CA" w14:textId="77777777" w:rsidR="00A219C2" w:rsidRDefault="00A219C2" w:rsidP="00A219C2">
      <w:pPr>
        <w:shd w:val="clear" w:color="auto" w:fill="FFFFFF"/>
        <w:rPr>
          <w:color w:val="000000"/>
          <w:szCs w:val="24"/>
        </w:rPr>
      </w:pPr>
    </w:p>
    <w:p w14:paraId="4213A658" w14:textId="77777777" w:rsidR="00A219C2" w:rsidRDefault="00A219C2" w:rsidP="00A219C2">
      <w:pPr>
        <w:shd w:val="clear" w:color="auto" w:fill="FFFFFF"/>
        <w:rPr>
          <w:color w:val="000000"/>
          <w:szCs w:val="24"/>
        </w:rPr>
      </w:pPr>
      <w:r w:rsidRPr="00E8236C">
        <w:rPr>
          <w:szCs w:val="24"/>
        </w:rPr>
        <w:t xml:space="preserve">From 1 April 2014, the rebate contribution from the Australian Government is calculated based on a weighted average ratio, known as a Rebate Adjustment Factor. </w:t>
      </w:r>
    </w:p>
    <w:p w14:paraId="06E14E25" w14:textId="77777777" w:rsidR="00A219C2" w:rsidRDefault="00A219C2" w:rsidP="00A219C2">
      <w:pPr>
        <w:shd w:val="clear" w:color="auto" w:fill="FFFFFF"/>
        <w:rPr>
          <w:color w:val="000000"/>
          <w:szCs w:val="24"/>
        </w:rPr>
      </w:pPr>
    </w:p>
    <w:p w14:paraId="0C7FA28F" w14:textId="77777777" w:rsidR="00A219C2" w:rsidRPr="00E8236C" w:rsidRDefault="00A219C2" w:rsidP="00A219C2">
      <w:pPr>
        <w:shd w:val="clear" w:color="auto" w:fill="FFFFFF"/>
        <w:rPr>
          <w:color w:val="000000"/>
          <w:szCs w:val="24"/>
        </w:rPr>
      </w:pPr>
      <w:r w:rsidRPr="00E8236C">
        <w:rPr>
          <w:szCs w:val="24"/>
        </w:rPr>
        <w:t xml:space="preserve">The Rebate Adjustment Factor </w:t>
      </w:r>
      <w:r>
        <w:rPr>
          <w:szCs w:val="24"/>
        </w:rPr>
        <w:t>takes into account</w:t>
      </w:r>
      <w:r w:rsidRPr="00E8236C">
        <w:rPr>
          <w:szCs w:val="24"/>
        </w:rPr>
        <w:t xml:space="preserve"> the difference between the Consumer Price Index </w:t>
      </w:r>
      <w:r w:rsidRPr="00EE7AA3">
        <w:rPr>
          <w:color w:val="000000"/>
          <w:szCs w:val="24"/>
        </w:rPr>
        <w:t xml:space="preserve">and the industry weighted average increase in premiums. </w:t>
      </w:r>
    </w:p>
    <w:p w14:paraId="178BF582" w14:textId="77777777" w:rsidR="00A219C2" w:rsidRPr="00E8236C" w:rsidRDefault="00A219C2" w:rsidP="00A219C2">
      <w:pPr>
        <w:shd w:val="clear" w:color="auto" w:fill="FFFFFF"/>
        <w:rPr>
          <w:color w:val="000000"/>
          <w:szCs w:val="24"/>
        </w:rPr>
      </w:pPr>
    </w:p>
    <w:p w14:paraId="6F56407C" w14:textId="1B69A8FF" w:rsidR="00A219C2" w:rsidRPr="00654603" w:rsidRDefault="008B1C9F" w:rsidP="00A219C2">
      <w:pPr>
        <w:shd w:val="clear" w:color="auto" w:fill="FFFFFF"/>
        <w:rPr>
          <w:color w:val="000000"/>
          <w:szCs w:val="24"/>
        </w:rPr>
      </w:pPr>
      <w:r>
        <w:rPr>
          <w:color w:val="000000"/>
          <w:szCs w:val="24"/>
        </w:rPr>
        <w:t xml:space="preserve">In late March 2020, due to the widespread impact on most Australians of the </w:t>
      </w:r>
      <w:proofErr w:type="spellStart"/>
      <w:r>
        <w:rPr>
          <w:color w:val="000000"/>
          <w:szCs w:val="24"/>
        </w:rPr>
        <w:t>COVID</w:t>
      </w:r>
      <w:proofErr w:type="spellEnd"/>
      <w:r>
        <w:rPr>
          <w:color w:val="000000"/>
          <w:szCs w:val="24"/>
        </w:rPr>
        <w:t>-19 pandemic, the private health insurance industry indicated that a number of insurers were planning to defer their 1 April 2020 premium increase f</w:t>
      </w:r>
      <w:r w:rsidR="004B5CAD">
        <w:rPr>
          <w:color w:val="000000"/>
          <w:szCs w:val="24"/>
        </w:rPr>
        <w:t xml:space="preserve">or three, six or twelve months.  </w:t>
      </w:r>
      <w:r w:rsidR="00F366A2">
        <w:rPr>
          <w:color w:val="000000"/>
          <w:szCs w:val="24"/>
        </w:rPr>
        <w:t xml:space="preserve">The current formula does not envisage a situation where insurers do not </w:t>
      </w:r>
      <w:r w:rsidR="001C4A04">
        <w:rPr>
          <w:color w:val="000000"/>
          <w:szCs w:val="24"/>
        </w:rPr>
        <w:t>implement approved</w:t>
      </w:r>
      <w:r w:rsidR="00F366A2">
        <w:rPr>
          <w:color w:val="000000"/>
          <w:szCs w:val="24"/>
        </w:rPr>
        <w:t xml:space="preserve"> premium increase</w:t>
      </w:r>
      <w:r w:rsidR="001C4A04">
        <w:rPr>
          <w:color w:val="000000"/>
          <w:szCs w:val="24"/>
        </w:rPr>
        <w:t>s</w:t>
      </w:r>
      <w:r w:rsidR="00F366A2">
        <w:rPr>
          <w:color w:val="000000"/>
          <w:szCs w:val="24"/>
        </w:rPr>
        <w:t xml:space="preserve"> uniformly</w:t>
      </w:r>
      <w:r w:rsidR="001C4A04">
        <w:rPr>
          <w:color w:val="000000"/>
          <w:szCs w:val="24"/>
        </w:rPr>
        <w:t>.</w:t>
      </w:r>
      <w:r w:rsidR="00F366A2">
        <w:rPr>
          <w:color w:val="000000"/>
          <w:szCs w:val="24"/>
        </w:rPr>
        <w:t xml:space="preserve">  </w:t>
      </w:r>
      <w:r w:rsidR="001C4A04">
        <w:rPr>
          <w:color w:val="000000"/>
          <w:szCs w:val="24"/>
        </w:rPr>
        <w:t>T</w:t>
      </w:r>
      <w:r w:rsidR="00F366A2">
        <w:rPr>
          <w:color w:val="000000"/>
          <w:szCs w:val="24"/>
        </w:rPr>
        <w:t xml:space="preserve">he application of </w:t>
      </w:r>
      <w:r w:rsidR="001C4A04">
        <w:rPr>
          <w:color w:val="000000"/>
          <w:szCs w:val="24"/>
        </w:rPr>
        <w:t>a</w:t>
      </w:r>
      <w:r w:rsidR="00F366A2">
        <w:rPr>
          <w:color w:val="000000"/>
          <w:szCs w:val="24"/>
        </w:rPr>
        <w:t xml:space="preserve"> Rebate Adjustment Factor </w:t>
      </w:r>
      <w:r w:rsidR="001C4A04">
        <w:rPr>
          <w:color w:val="000000"/>
          <w:szCs w:val="24"/>
        </w:rPr>
        <w:t xml:space="preserve">less than 1 </w:t>
      </w:r>
      <w:r w:rsidR="00F366A2">
        <w:rPr>
          <w:color w:val="000000"/>
          <w:szCs w:val="24"/>
        </w:rPr>
        <w:t xml:space="preserve">in this circumstance would disadvantage consumers by adjusting their Rebate amount while </w:t>
      </w:r>
      <w:r w:rsidR="001C4A04">
        <w:rPr>
          <w:color w:val="000000"/>
          <w:szCs w:val="24"/>
        </w:rPr>
        <w:t>an approved increase to their</w:t>
      </w:r>
      <w:r w:rsidR="00F366A2">
        <w:rPr>
          <w:color w:val="000000"/>
          <w:szCs w:val="24"/>
        </w:rPr>
        <w:t xml:space="preserve"> premium </w:t>
      </w:r>
      <w:r w:rsidR="001C4A04">
        <w:rPr>
          <w:color w:val="000000"/>
          <w:szCs w:val="24"/>
        </w:rPr>
        <w:t>was deferred.</w:t>
      </w:r>
    </w:p>
    <w:p w14:paraId="5AF4C118" w14:textId="77777777" w:rsidR="00A219C2" w:rsidRPr="00D84D11" w:rsidRDefault="00A219C2" w:rsidP="00A219C2">
      <w:pPr>
        <w:shd w:val="clear" w:color="auto" w:fill="FFFFFF"/>
        <w:rPr>
          <w:color w:val="000000"/>
          <w:szCs w:val="24"/>
        </w:rPr>
      </w:pPr>
    </w:p>
    <w:p w14:paraId="7AA08CDB" w14:textId="77777777" w:rsidR="00A219C2" w:rsidRDefault="00A219C2" w:rsidP="00A219C2">
      <w:pPr>
        <w:shd w:val="clear" w:color="auto" w:fill="FFFFFF"/>
        <w:jc w:val="both"/>
        <w:rPr>
          <w:color w:val="000000"/>
        </w:rPr>
      </w:pPr>
      <w:r>
        <w:rPr>
          <w:color w:val="000000"/>
          <w:u w:val="single"/>
        </w:rPr>
        <w:t>Commencement</w:t>
      </w:r>
    </w:p>
    <w:p w14:paraId="7C48B746" w14:textId="77777777" w:rsidR="00A219C2" w:rsidRDefault="00A219C2" w:rsidP="00A219C2">
      <w:pPr>
        <w:shd w:val="clear" w:color="auto" w:fill="FFFFFF"/>
        <w:jc w:val="both"/>
        <w:rPr>
          <w:color w:val="000000"/>
        </w:rPr>
      </w:pPr>
      <w:r>
        <w:rPr>
          <w:color w:val="000000"/>
        </w:rPr>
        <w:t xml:space="preserve">The Amendment Rules commence on </w:t>
      </w:r>
      <w:r w:rsidR="004B5CAD">
        <w:rPr>
          <w:color w:val="000000"/>
        </w:rPr>
        <w:t>31 March</w:t>
      </w:r>
      <w:r w:rsidR="0015699B">
        <w:rPr>
          <w:color w:val="000000"/>
        </w:rPr>
        <w:t xml:space="preserve"> 2020</w:t>
      </w:r>
      <w:r>
        <w:rPr>
          <w:color w:val="000000"/>
        </w:rPr>
        <w:t>.</w:t>
      </w:r>
    </w:p>
    <w:p w14:paraId="0CABF33E" w14:textId="77777777" w:rsidR="00A219C2" w:rsidRDefault="00A219C2" w:rsidP="00A219C2">
      <w:pPr>
        <w:shd w:val="clear" w:color="auto" w:fill="FFFFFF"/>
        <w:jc w:val="both"/>
        <w:rPr>
          <w:color w:val="000000"/>
        </w:rPr>
      </w:pPr>
      <w:r>
        <w:rPr>
          <w:color w:val="000000"/>
        </w:rPr>
        <w:t> </w:t>
      </w:r>
    </w:p>
    <w:p w14:paraId="3B9F39E9" w14:textId="77777777" w:rsidR="00A219C2" w:rsidRDefault="00A219C2" w:rsidP="00A219C2">
      <w:pPr>
        <w:shd w:val="clear" w:color="auto" w:fill="FFFFFF"/>
        <w:jc w:val="both"/>
        <w:rPr>
          <w:color w:val="000000"/>
        </w:rPr>
      </w:pPr>
      <w:r>
        <w:rPr>
          <w:color w:val="000000"/>
          <w:u w:val="single"/>
        </w:rPr>
        <w:t>Details</w:t>
      </w:r>
    </w:p>
    <w:p w14:paraId="667D75CF" w14:textId="77777777" w:rsidR="00A219C2" w:rsidRDefault="00A219C2" w:rsidP="00A219C2">
      <w:pPr>
        <w:shd w:val="clear" w:color="auto" w:fill="FFFFFF"/>
        <w:rPr>
          <w:color w:val="000000"/>
        </w:rPr>
      </w:pPr>
      <w:r>
        <w:rPr>
          <w:color w:val="000000"/>
        </w:rPr>
        <w:t>Details of the Amendment Rules are set out in the </w:t>
      </w:r>
      <w:r>
        <w:rPr>
          <w:b/>
          <w:bCs/>
          <w:color w:val="000000"/>
        </w:rPr>
        <w:t>Attachment</w:t>
      </w:r>
      <w:r>
        <w:rPr>
          <w:color w:val="000000"/>
        </w:rPr>
        <w:t>.</w:t>
      </w:r>
    </w:p>
    <w:p w14:paraId="761D820D" w14:textId="77777777" w:rsidR="00A219C2" w:rsidRDefault="00A219C2" w:rsidP="00A219C2">
      <w:pPr>
        <w:shd w:val="clear" w:color="auto" w:fill="FFFFFF"/>
        <w:jc w:val="both"/>
        <w:rPr>
          <w:color w:val="000000"/>
        </w:rPr>
      </w:pPr>
      <w:r>
        <w:rPr>
          <w:color w:val="000000"/>
        </w:rPr>
        <w:t> </w:t>
      </w:r>
    </w:p>
    <w:p w14:paraId="65133697" w14:textId="77777777" w:rsidR="00A219C2" w:rsidRDefault="00A219C2" w:rsidP="00A219C2">
      <w:pPr>
        <w:shd w:val="clear" w:color="auto" w:fill="FFFFFF"/>
        <w:jc w:val="both"/>
        <w:rPr>
          <w:color w:val="000000"/>
        </w:rPr>
      </w:pPr>
      <w:r>
        <w:rPr>
          <w:color w:val="000000"/>
          <w:u w:val="single"/>
        </w:rPr>
        <w:t>Consultation</w:t>
      </w:r>
    </w:p>
    <w:p w14:paraId="2D222117" w14:textId="09C1D09F" w:rsidR="00A219C2" w:rsidRDefault="00A219C2" w:rsidP="00A219C2">
      <w:pPr>
        <w:shd w:val="clear" w:color="auto" w:fill="FFFFFF"/>
        <w:rPr>
          <w:color w:val="000000"/>
        </w:rPr>
      </w:pPr>
      <w:r w:rsidRPr="00DC6F4C">
        <w:rPr>
          <w:color w:val="000000"/>
        </w:rPr>
        <w:t>The Department has consulted with the Australian Prudential Regulation Authority</w:t>
      </w:r>
      <w:r w:rsidR="0039155E">
        <w:rPr>
          <w:color w:val="000000"/>
        </w:rPr>
        <w:t xml:space="preserve">, </w:t>
      </w:r>
      <w:r w:rsidR="004B5CAD">
        <w:rPr>
          <w:color w:val="000000"/>
        </w:rPr>
        <w:t>peak bodies within</w:t>
      </w:r>
      <w:r>
        <w:rPr>
          <w:color w:val="000000"/>
        </w:rPr>
        <w:t xml:space="preserve"> the private health insurer industry</w:t>
      </w:r>
      <w:r w:rsidR="0039155E">
        <w:rPr>
          <w:color w:val="000000"/>
        </w:rPr>
        <w:t xml:space="preserve"> and </w:t>
      </w:r>
      <w:r w:rsidR="001C4A04">
        <w:rPr>
          <w:color w:val="000000"/>
        </w:rPr>
        <w:t>several</w:t>
      </w:r>
      <w:bookmarkStart w:id="0" w:name="_GoBack"/>
      <w:bookmarkEnd w:id="0"/>
      <w:r w:rsidR="0039155E">
        <w:rPr>
          <w:color w:val="000000"/>
        </w:rPr>
        <w:t xml:space="preserve"> individual private health insurers</w:t>
      </w:r>
      <w:r>
        <w:rPr>
          <w:color w:val="000000"/>
        </w:rPr>
        <w:t>.</w:t>
      </w:r>
      <w:r>
        <w:rPr>
          <w:b/>
          <w:bCs/>
          <w:color w:val="000000"/>
        </w:rPr>
        <w:br w:type="textWrapping" w:clear="all"/>
      </w:r>
    </w:p>
    <w:p w14:paraId="115C27DB" w14:textId="77777777" w:rsidR="00A219C2" w:rsidRDefault="00A219C2" w:rsidP="00A219C2">
      <w:pPr>
        <w:shd w:val="clear" w:color="auto" w:fill="FFFFFF"/>
        <w:jc w:val="right"/>
        <w:rPr>
          <w:color w:val="000000"/>
        </w:rPr>
      </w:pPr>
      <w:r>
        <w:rPr>
          <w:color w:val="000000"/>
        </w:rPr>
        <w:br w:type="page"/>
      </w:r>
      <w:r>
        <w:rPr>
          <w:color w:val="000000"/>
        </w:rPr>
        <w:lastRenderedPageBreak/>
        <w:t>ATTACHMENT</w:t>
      </w:r>
    </w:p>
    <w:p w14:paraId="7F3BDDC8" w14:textId="333E46E1" w:rsidR="00A219C2" w:rsidRPr="00165B6A" w:rsidRDefault="00A219C2" w:rsidP="00A219C2">
      <w:pPr>
        <w:pStyle w:val="Heading6"/>
        <w:shd w:val="clear" w:color="auto" w:fill="FFFFFF"/>
      </w:pPr>
      <w:r w:rsidRPr="00165B6A">
        <w:t>Private Health Insurance (Incentives)</w:t>
      </w:r>
    </w:p>
    <w:p w14:paraId="36B84F59" w14:textId="77777777" w:rsidR="00A219C2" w:rsidRPr="00165B6A" w:rsidRDefault="00A219C2" w:rsidP="00A219C2">
      <w:pPr>
        <w:pStyle w:val="Heading6"/>
        <w:shd w:val="clear" w:color="auto" w:fill="FFFFFF"/>
      </w:pPr>
      <w:r w:rsidRPr="00165B6A">
        <w:t xml:space="preserve">Amendment Rules </w:t>
      </w:r>
      <w:r w:rsidRPr="00633368">
        <w:t>(No. 1)</w:t>
      </w:r>
      <w:r>
        <w:t xml:space="preserve"> </w:t>
      </w:r>
      <w:r w:rsidR="00DF395D">
        <w:t>2020</w:t>
      </w:r>
      <w:r w:rsidRPr="00165B6A">
        <w:t xml:space="preserve"> </w:t>
      </w:r>
    </w:p>
    <w:p w14:paraId="57C8CF64" w14:textId="77777777" w:rsidR="00A219C2" w:rsidRDefault="00A219C2" w:rsidP="00A219C2">
      <w:pPr>
        <w:pStyle w:val="Header"/>
        <w:shd w:val="clear" w:color="auto" w:fill="FFFFFF"/>
        <w:jc w:val="both"/>
        <w:rPr>
          <w:color w:val="000000"/>
          <w:szCs w:val="24"/>
        </w:rPr>
      </w:pPr>
      <w:r>
        <w:rPr>
          <w:b/>
          <w:bCs/>
          <w:color w:val="000000"/>
        </w:rPr>
        <w:t> </w:t>
      </w:r>
    </w:p>
    <w:p w14:paraId="4DC902CC" w14:textId="77777777" w:rsidR="00A219C2" w:rsidRDefault="00A219C2" w:rsidP="00A219C2">
      <w:pPr>
        <w:pStyle w:val="Header"/>
        <w:shd w:val="clear" w:color="auto" w:fill="FFFFFF"/>
        <w:jc w:val="both"/>
        <w:rPr>
          <w:color w:val="000000"/>
        </w:rPr>
      </w:pPr>
      <w:r>
        <w:rPr>
          <w:b/>
          <w:bCs/>
          <w:color w:val="000000"/>
        </w:rPr>
        <w:t>Section 1    Name</w:t>
      </w:r>
    </w:p>
    <w:p w14:paraId="337D3349" w14:textId="77777777" w:rsidR="00A219C2" w:rsidRDefault="00A219C2" w:rsidP="00A219C2">
      <w:pPr>
        <w:pStyle w:val="Header"/>
        <w:shd w:val="clear" w:color="auto" w:fill="FFFFFF"/>
        <w:rPr>
          <w:color w:val="000000"/>
        </w:rPr>
      </w:pPr>
      <w:r>
        <w:rPr>
          <w:color w:val="000000"/>
        </w:rPr>
        <w:t> </w:t>
      </w:r>
    </w:p>
    <w:p w14:paraId="652555ED" w14:textId="77777777" w:rsidR="00A219C2" w:rsidRDefault="00A219C2" w:rsidP="00A219C2">
      <w:pPr>
        <w:pStyle w:val="Header"/>
        <w:shd w:val="clear" w:color="auto" w:fill="FFFFFF"/>
        <w:rPr>
          <w:color w:val="000000"/>
        </w:rPr>
      </w:pPr>
      <w:r>
        <w:rPr>
          <w:color w:val="000000"/>
        </w:rPr>
        <w:t>Section 1 provides that the name of the instrument is the </w:t>
      </w:r>
      <w:r w:rsidRPr="00165B6A">
        <w:rPr>
          <w:i/>
          <w:color w:val="000000"/>
        </w:rPr>
        <w:t>Private Health Insurance (Incentives) Amendment Rules</w:t>
      </w:r>
      <w:r w:rsidRPr="00633368">
        <w:rPr>
          <w:i/>
          <w:color w:val="000000"/>
        </w:rPr>
        <w:t xml:space="preserve"> (No. 1)</w:t>
      </w:r>
      <w:r>
        <w:rPr>
          <w:i/>
          <w:color w:val="000000"/>
        </w:rPr>
        <w:t xml:space="preserve"> </w:t>
      </w:r>
      <w:r w:rsidRPr="00165B6A">
        <w:rPr>
          <w:i/>
          <w:color w:val="000000"/>
        </w:rPr>
        <w:t>20</w:t>
      </w:r>
      <w:r w:rsidR="00DF395D">
        <w:rPr>
          <w:i/>
          <w:color w:val="000000"/>
        </w:rPr>
        <w:t>20</w:t>
      </w:r>
      <w:r>
        <w:rPr>
          <w:color w:val="000000"/>
        </w:rPr>
        <w:t xml:space="preserve"> (the Amendment Rules).</w:t>
      </w:r>
    </w:p>
    <w:p w14:paraId="645E6034" w14:textId="77777777" w:rsidR="00A219C2" w:rsidRDefault="00A219C2" w:rsidP="00A219C2">
      <w:pPr>
        <w:pStyle w:val="Header"/>
        <w:shd w:val="clear" w:color="auto" w:fill="FFFFFF"/>
        <w:jc w:val="both"/>
        <w:rPr>
          <w:color w:val="000000"/>
        </w:rPr>
      </w:pPr>
      <w:r>
        <w:rPr>
          <w:color w:val="000000"/>
        </w:rPr>
        <w:t> </w:t>
      </w:r>
    </w:p>
    <w:p w14:paraId="139D9571" w14:textId="77777777" w:rsidR="00A219C2" w:rsidRDefault="00A219C2" w:rsidP="00A219C2">
      <w:pPr>
        <w:pStyle w:val="Header"/>
        <w:shd w:val="clear" w:color="auto" w:fill="FFFFFF"/>
        <w:jc w:val="both"/>
        <w:rPr>
          <w:color w:val="000000"/>
        </w:rPr>
      </w:pPr>
      <w:r>
        <w:rPr>
          <w:b/>
          <w:bCs/>
          <w:color w:val="000000"/>
        </w:rPr>
        <w:t>Section 2    Commencement</w:t>
      </w:r>
    </w:p>
    <w:p w14:paraId="1F7ACEC5" w14:textId="77777777" w:rsidR="00A219C2" w:rsidRDefault="00A219C2" w:rsidP="00A219C2">
      <w:pPr>
        <w:pStyle w:val="Header"/>
        <w:shd w:val="clear" w:color="auto" w:fill="FFFFFF"/>
        <w:jc w:val="both"/>
        <w:rPr>
          <w:color w:val="000000"/>
        </w:rPr>
      </w:pPr>
      <w:r>
        <w:rPr>
          <w:color w:val="000000"/>
        </w:rPr>
        <w:t> </w:t>
      </w:r>
    </w:p>
    <w:p w14:paraId="455B1051" w14:textId="77777777" w:rsidR="00A219C2" w:rsidRDefault="00A219C2" w:rsidP="00A219C2">
      <w:pPr>
        <w:pStyle w:val="Header"/>
        <w:shd w:val="clear" w:color="auto" w:fill="FFFFFF"/>
        <w:rPr>
          <w:color w:val="000000"/>
        </w:rPr>
      </w:pPr>
      <w:r>
        <w:rPr>
          <w:color w:val="000000"/>
        </w:rPr>
        <w:t xml:space="preserve">Section 2 provides that the instrument commences on </w:t>
      </w:r>
      <w:r w:rsidR="00DF395D">
        <w:rPr>
          <w:color w:val="000000"/>
        </w:rPr>
        <w:t>31 March</w:t>
      </w:r>
      <w:r w:rsidR="00002BDA">
        <w:rPr>
          <w:color w:val="000000"/>
        </w:rPr>
        <w:t xml:space="preserve"> 2020</w:t>
      </w:r>
      <w:r>
        <w:rPr>
          <w:color w:val="000000"/>
        </w:rPr>
        <w:t>.</w:t>
      </w:r>
    </w:p>
    <w:p w14:paraId="518DC878" w14:textId="77777777" w:rsidR="00A219C2" w:rsidRDefault="00A219C2" w:rsidP="00A219C2">
      <w:pPr>
        <w:pStyle w:val="Header"/>
        <w:shd w:val="clear" w:color="auto" w:fill="FFFFFF"/>
        <w:jc w:val="both"/>
        <w:rPr>
          <w:color w:val="000000"/>
        </w:rPr>
      </w:pPr>
      <w:r>
        <w:rPr>
          <w:color w:val="000000"/>
        </w:rPr>
        <w:t> </w:t>
      </w:r>
    </w:p>
    <w:p w14:paraId="475083A7" w14:textId="77777777" w:rsidR="00A219C2" w:rsidRDefault="00A219C2" w:rsidP="00A219C2">
      <w:pPr>
        <w:pStyle w:val="Header"/>
        <w:shd w:val="clear" w:color="auto" w:fill="FFFFFF"/>
        <w:jc w:val="both"/>
        <w:rPr>
          <w:color w:val="000000"/>
        </w:rPr>
      </w:pPr>
      <w:r>
        <w:rPr>
          <w:b/>
          <w:bCs/>
          <w:color w:val="000000"/>
        </w:rPr>
        <w:t>Section 3    Authority</w:t>
      </w:r>
    </w:p>
    <w:p w14:paraId="76D77242" w14:textId="77777777" w:rsidR="00A219C2" w:rsidRDefault="00A219C2" w:rsidP="00A219C2">
      <w:pPr>
        <w:pStyle w:val="Header"/>
        <w:shd w:val="clear" w:color="auto" w:fill="FFFFFF"/>
        <w:jc w:val="both"/>
        <w:rPr>
          <w:color w:val="000000"/>
        </w:rPr>
      </w:pPr>
      <w:r>
        <w:rPr>
          <w:color w:val="000000"/>
        </w:rPr>
        <w:t> </w:t>
      </w:r>
    </w:p>
    <w:p w14:paraId="424750F4" w14:textId="77777777" w:rsidR="00A219C2" w:rsidRDefault="00A219C2" w:rsidP="00A219C2">
      <w:pPr>
        <w:pStyle w:val="Header"/>
        <w:shd w:val="clear" w:color="auto" w:fill="FFFFFF"/>
        <w:rPr>
          <w:color w:val="000000"/>
        </w:rPr>
      </w:pPr>
      <w:r>
        <w:rPr>
          <w:color w:val="000000"/>
        </w:rPr>
        <w:t>Section 3 provides that the Amendment Rules are made under section 333-20 of the </w:t>
      </w:r>
      <w:r>
        <w:rPr>
          <w:i/>
          <w:iCs/>
          <w:color w:val="000000"/>
        </w:rPr>
        <w:t>Private Health Insurance Act 2007</w:t>
      </w:r>
      <w:r>
        <w:rPr>
          <w:color w:val="000000"/>
        </w:rPr>
        <w:t>.</w:t>
      </w:r>
    </w:p>
    <w:p w14:paraId="44F96799" w14:textId="77777777" w:rsidR="00A219C2" w:rsidRDefault="00A219C2" w:rsidP="00A219C2">
      <w:pPr>
        <w:pStyle w:val="Header"/>
        <w:shd w:val="clear" w:color="auto" w:fill="FFFFFF"/>
        <w:jc w:val="both"/>
        <w:rPr>
          <w:color w:val="000000"/>
        </w:rPr>
      </w:pPr>
      <w:r>
        <w:rPr>
          <w:color w:val="000000"/>
        </w:rPr>
        <w:t> </w:t>
      </w:r>
    </w:p>
    <w:p w14:paraId="2F0832F2" w14:textId="77777777" w:rsidR="00A219C2" w:rsidRDefault="00A219C2" w:rsidP="00A219C2">
      <w:pPr>
        <w:pStyle w:val="Header"/>
        <w:shd w:val="clear" w:color="auto" w:fill="FFFFFF"/>
        <w:jc w:val="both"/>
        <w:rPr>
          <w:color w:val="000000"/>
        </w:rPr>
      </w:pPr>
      <w:r>
        <w:rPr>
          <w:b/>
          <w:bCs/>
          <w:color w:val="000000"/>
        </w:rPr>
        <w:t>Section 4    Schedules</w:t>
      </w:r>
    </w:p>
    <w:p w14:paraId="68974A00" w14:textId="77777777" w:rsidR="00A219C2" w:rsidRDefault="00A219C2" w:rsidP="00A219C2">
      <w:pPr>
        <w:pStyle w:val="Header"/>
        <w:shd w:val="clear" w:color="auto" w:fill="FFFFFF"/>
        <w:jc w:val="both"/>
        <w:rPr>
          <w:color w:val="000000"/>
        </w:rPr>
      </w:pPr>
      <w:r>
        <w:rPr>
          <w:b/>
          <w:bCs/>
          <w:color w:val="000000"/>
        </w:rPr>
        <w:t> </w:t>
      </w:r>
    </w:p>
    <w:p w14:paraId="0EFEC4E9" w14:textId="77777777" w:rsidR="00A219C2" w:rsidRDefault="00A219C2" w:rsidP="00A219C2">
      <w:pPr>
        <w:pStyle w:val="Header"/>
        <w:shd w:val="clear" w:color="auto" w:fill="FFFFFF"/>
        <w:rPr>
          <w:color w:val="000000"/>
        </w:rPr>
      </w:pPr>
      <w:r>
        <w:rPr>
          <w:color w:val="000000"/>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5ED4C921" w14:textId="77777777" w:rsidR="00A219C2" w:rsidRDefault="00A219C2" w:rsidP="00A219C2">
      <w:pPr>
        <w:pStyle w:val="Header"/>
        <w:shd w:val="clear" w:color="auto" w:fill="FFFFFF"/>
        <w:jc w:val="both"/>
        <w:rPr>
          <w:color w:val="000000"/>
        </w:rPr>
      </w:pPr>
      <w:r>
        <w:rPr>
          <w:color w:val="000000"/>
        </w:rPr>
        <w:t> </w:t>
      </w:r>
    </w:p>
    <w:p w14:paraId="2434D074" w14:textId="77777777" w:rsidR="00A219C2" w:rsidRDefault="00A219C2" w:rsidP="00A219C2">
      <w:pPr>
        <w:shd w:val="clear" w:color="auto" w:fill="FFFFFF"/>
        <w:jc w:val="both"/>
        <w:rPr>
          <w:color w:val="000000"/>
        </w:rPr>
      </w:pPr>
      <w:r>
        <w:rPr>
          <w:b/>
          <w:bCs/>
          <w:color w:val="000000"/>
          <w:sz w:val="28"/>
          <w:szCs w:val="28"/>
        </w:rPr>
        <w:t>Schedule 1 – Amendments</w:t>
      </w:r>
    </w:p>
    <w:p w14:paraId="192DC756" w14:textId="77777777" w:rsidR="00A219C2" w:rsidRDefault="00A219C2" w:rsidP="00A219C2">
      <w:pPr>
        <w:shd w:val="clear" w:color="auto" w:fill="FFFFFF"/>
        <w:jc w:val="both"/>
        <w:rPr>
          <w:color w:val="000000"/>
        </w:rPr>
      </w:pPr>
      <w:r>
        <w:rPr>
          <w:b/>
          <w:bCs/>
          <w:color w:val="000000"/>
        </w:rPr>
        <w:t> </w:t>
      </w:r>
    </w:p>
    <w:p w14:paraId="0C44F5E1" w14:textId="77777777" w:rsidR="00A219C2" w:rsidRDefault="00A219C2" w:rsidP="00A219C2">
      <w:pPr>
        <w:shd w:val="clear" w:color="auto" w:fill="FFFFFF"/>
        <w:jc w:val="both"/>
        <w:rPr>
          <w:color w:val="000000"/>
        </w:rPr>
      </w:pPr>
      <w:r>
        <w:rPr>
          <w:i/>
          <w:iCs/>
          <w:color w:val="000000"/>
          <w:sz w:val="28"/>
          <w:szCs w:val="28"/>
        </w:rPr>
        <w:t>Private Health Insurance (Incentives) Rules 2012 (No. 2)</w:t>
      </w:r>
    </w:p>
    <w:p w14:paraId="4C995EBA" w14:textId="77777777" w:rsidR="00A219C2" w:rsidRDefault="00A219C2" w:rsidP="00A219C2">
      <w:pPr>
        <w:shd w:val="clear" w:color="auto" w:fill="FFFFFF"/>
        <w:jc w:val="both"/>
        <w:rPr>
          <w:color w:val="000000"/>
        </w:rPr>
      </w:pPr>
      <w:r>
        <w:rPr>
          <w:b/>
          <w:bCs/>
          <w:color w:val="000000"/>
        </w:rPr>
        <w:t> </w:t>
      </w:r>
    </w:p>
    <w:p w14:paraId="32D3E2EF" w14:textId="77777777" w:rsidR="00A219C2" w:rsidRDefault="00A219C2" w:rsidP="00A219C2">
      <w:pPr>
        <w:shd w:val="clear" w:color="auto" w:fill="FFFFFF"/>
        <w:rPr>
          <w:b/>
          <w:bCs/>
          <w:color w:val="000000"/>
        </w:rPr>
      </w:pPr>
      <w:r w:rsidRPr="00165B6A">
        <w:rPr>
          <w:b/>
          <w:bCs/>
          <w:i/>
          <w:color w:val="000000"/>
        </w:rPr>
        <w:t>Item 1</w:t>
      </w:r>
    </w:p>
    <w:p w14:paraId="05B5AABE" w14:textId="77777777" w:rsidR="00A219C2" w:rsidRDefault="00A219C2" w:rsidP="00A219C2">
      <w:pPr>
        <w:shd w:val="clear" w:color="auto" w:fill="FFFFFF"/>
        <w:rPr>
          <w:color w:val="000000"/>
        </w:rPr>
      </w:pPr>
    </w:p>
    <w:p w14:paraId="2563EC2E" w14:textId="77777777" w:rsidR="00A219C2" w:rsidRPr="00DC6F4C" w:rsidRDefault="00A219C2" w:rsidP="00A219C2">
      <w:pPr>
        <w:shd w:val="clear" w:color="auto" w:fill="FFFFFF"/>
        <w:rPr>
          <w:color w:val="000000"/>
          <w:szCs w:val="24"/>
        </w:rPr>
      </w:pPr>
      <w:r w:rsidRPr="00DC6F4C">
        <w:rPr>
          <w:color w:val="000000"/>
          <w:szCs w:val="24"/>
        </w:rPr>
        <w:t xml:space="preserve">Item </w:t>
      </w:r>
      <w:r>
        <w:rPr>
          <w:color w:val="000000"/>
          <w:szCs w:val="24"/>
        </w:rPr>
        <w:t>1</w:t>
      </w:r>
      <w:r w:rsidRPr="00DC6F4C">
        <w:rPr>
          <w:color w:val="000000"/>
          <w:szCs w:val="24"/>
        </w:rPr>
        <w:t xml:space="preserve"> </w:t>
      </w:r>
      <w:r>
        <w:rPr>
          <w:color w:val="000000"/>
          <w:szCs w:val="24"/>
        </w:rPr>
        <w:t>repeals</w:t>
      </w:r>
      <w:r w:rsidRPr="00DC6F4C">
        <w:rPr>
          <w:color w:val="000000"/>
          <w:szCs w:val="24"/>
        </w:rPr>
        <w:t xml:space="preserve"> </w:t>
      </w:r>
      <w:r>
        <w:rPr>
          <w:color w:val="000000"/>
          <w:szCs w:val="24"/>
        </w:rPr>
        <w:t>rule</w:t>
      </w:r>
      <w:r w:rsidRPr="00DC6F4C">
        <w:rPr>
          <w:color w:val="000000"/>
          <w:szCs w:val="24"/>
        </w:rPr>
        <w:t xml:space="preserve"> </w:t>
      </w:r>
      <w:proofErr w:type="spellStart"/>
      <w:r w:rsidRPr="00DC6F4C">
        <w:rPr>
          <w:color w:val="000000"/>
          <w:szCs w:val="24"/>
        </w:rPr>
        <w:t>5A</w:t>
      </w:r>
      <w:proofErr w:type="spellEnd"/>
      <w:r w:rsidRPr="00DC6F4C">
        <w:rPr>
          <w:color w:val="000000"/>
          <w:szCs w:val="24"/>
        </w:rPr>
        <w:t xml:space="preserve"> </w:t>
      </w:r>
      <w:r>
        <w:rPr>
          <w:color w:val="000000"/>
          <w:szCs w:val="24"/>
        </w:rPr>
        <w:t xml:space="preserve">of the Principal Rules </w:t>
      </w:r>
      <w:r w:rsidRPr="00DC6F4C">
        <w:rPr>
          <w:color w:val="000000"/>
          <w:szCs w:val="24"/>
        </w:rPr>
        <w:t>and insert</w:t>
      </w:r>
      <w:r>
        <w:rPr>
          <w:color w:val="000000"/>
          <w:szCs w:val="24"/>
        </w:rPr>
        <w:t>s</w:t>
      </w:r>
      <w:r w:rsidRPr="00DC6F4C">
        <w:rPr>
          <w:color w:val="000000"/>
          <w:szCs w:val="24"/>
        </w:rPr>
        <w:t xml:space="preserve"> a new </w:t>
      </w:r>
      <w:r>
        <w:rPr>
          <w:color w:val="000000"/>
          <w:szCs w:val="24"/>
        </w:rPr>
        <w:t>rule</w:t>
      </w:r>
      <w:r w:rsidRPr="00DC6F4C">
        <w:rPr>
          <w:color w:val="000000"/>
          <w:szCs w:val="24"/>
        </w:rPr>
        <w:t xml:space="preserve"> </w:t>
      </w:r>
      <w:proofErr w:type="spellStart"/>
      <w:r w:rsidRPr="00DC6F4C">
        <w:rPr>
          <w:color w:val="000000"/>
          <w:szCs w:val="24"/>
        </w:rPr>
        <w:t>5A</w:t>
      </w:r>
      <w:proofErr w:type="spellEnd"/>
      <w:r w:rsidRPr="00DC6F4C">
        <w:rPr>
          <w:color w:val="000000"/>
          <w:szCs w:val="24"/>
        </w:rPr>
        <w:t>.</w:t>
      </w:r>
    </w:p>
    <w:p w14:paraId="05685A2F" w14:textId="77777777" w:rsidR="00A219C2" w:rsidRPr="00DC6F4C" w:rsidRDefault="00A219C2" w:rsidP="00A219C2">
      <w:pPr>
        <w:shd w:val="clear" w:color="auto" w:fill="FFFFFF"/>
        <w:rPr>
          <w:color w:val="000000"/>
          <w:szCs w:val="24"/>
        </w:rPr>
      </w:pPr>
      <w:r w:rsidRPr="00DC6F4C">
        <w:rPr>
          <w:color w:val="000000"/>
          <w:szCs w:val="24"/>
        </w:rPr>
        <w:t> </w:t>
      </w:r>
    </w:p>
    <w:p w14:paraId="0F587CC4" w14:textId="77777777" w:rsidR="00A219C2" w:rsidRPr="00DC6F4C" w:rsidRDefault="00A219C2" w:rsidP="00A219C2">
      <w:pPr>
        <w:shd w:val="clear" w:color="auto" w:fill="FFFFFF"/>
        <w:rPr>
          <w:color w:val="000000"/>
          <w:szCs w:val="24"/>
        </w:rPr>
      </w:pPr>
      <w:r w:rsidRPr="00DC6F4C">
        <w:rPr>
          <w:color w:val="000000"/>
          <w:szCs w:val="24"/>
        </w:rPr>
        <w:t xml:space="preserve">Section </w:t>
      </w:r>
      <w:proofErr w:type="spellStart"/>
      <w:r w:rsidRPr="00DC6F4C">
        <w:rPr>
          <w:color w:val="000000"/>
          <w:szCs w:val="24"/>
        </w:rPr>
        <w:t>5A</w:t>
      </w:r>
      <w:proofErr w:type="spellEnd"/>
      <w:r w:rsidRPr="00DC6F4C">
        <w:rPr>
          <w:color w:val="000000"/>
          <w:szCs w:val="24"/>
        </w:rPr>
        <w:t xml:space="preserve"> determines the rebate adjustment factor as a formula for the purposes of subsection 22-15(</w:t>
      </w:r>
      <w:proofErr w:type="spellStart"/>
      <w:r w:rsidRPr="00DC6F4C">
        <w:rPr>
          <w:color w:val="000000"/>
          <w:szCs w:val="24"/>
        </w:rPr>
        <w:t>5A</w:t>
      </w:r>
      <w:proofErr w:type="spellEnd"/>
      <w:r w:rsidRPr="00DC6F4C">
        <w:rPr>
          <w:color w:val="000000"/>
          <w:szCs w:val="24"/>
        </w:rPr>
        <w:t>) of the </w:t>
      </w:r>
      <w:r w:rsidRPr="00DC6F4C">
        <w:rPr>
          <w:i/>
          <w:iCs/>
          <w:color w:val="000000"/>
          <w:szCs w:val="24"/>
        </w:rPr>
        <w:t>Private Health Insurance Act 2007 </w:t>
      </w:r>
      <w:r w:rsidRPr="00DC6F4C">
        <w:rPr>
          <w:color w:val="000000"/>
          <w:szCs w:val="24"/>
        </w:rPr>
        <w:t>(the Act).</w:t>
      </w:r>
    </w:p>
    <w:p w14:paraId="50B72DD0" w14:textId="77777777" w:rsidR="00A219C2" w:rsidRPr="00DC6F4C" w:rsidRDefault="00A219C2" w:rsidP="00A219C2">
      <w:pPr>
        <w:shd w:val="clear" w:color="auto" w:fill="FFFFFF"/>
        <w:rPr>
          <w:color w:val="000000"/>
          <w:szCs w:val="24"/>
        </w:rPr>
      </w:pPr>
      <w:r w:rsidRPr="00DC6F4C">
        <w:rPr>
          <w:color w:val="000000"/>
          <w:szCs w:val="24"/>
        </w:rPr>
        <w:t> </w:t>
      </w:r>
    </w:p>
    <w:p w14:paraId="1E6570C3" w14:textId="77777777" w:rsidR="00A219C2" w:rsidRPr="00DC6F4C" w:rsidRDefault="00A219C2" w:rsidP="00A219C2">
      <w:pPr>
        <w:shd w:val="clear" w:color="auto" w:fill="FFFFFF"/>
        <w:rPr>
          <w:color w:val="000000"/>
          <w:szCs w:val="24"/>
        </w:rPr>
      </w:pPr>
      <w:r w:rsidRPr="00DC6F4C">
        <w:rPr>
          <w:color w:val="000000"/>
          <w:szCs w:val="24"/>
        </w:rPr>
        <w:t>The rebate adjustment factor is calculated as a proportional rebate adjustment so that the rebate levels are reduced by the difference between the growth in premiums and the change in the Consumer Price Index (CPI).</w:t>
      </w:r>
    </w:p>
    <w:p w14:paraId="34A3A768" w14:textId="77777777" w:rsidR="00A219C2" w:rsidRPr="00DC6F4C" w:rsidRDefault="00A219C2" w:rsidP="00A219C2">
      <w:pPr>
        <w:shd w:val="clear" w:color="auto" w:fill="FFFFFF"/>
        <w:rPr>
          <w:color w:val="000000"/>
          <w:szCs w:val="24"/>
        </w:rPr>
      </w:pPr>
      <w:r w:rsidRPr="00DC6F4C">
        <w:rPr>
          <w:color w:val="000000"/>
          <w:szCs w:val="24"/>
        </w:rPr>
        <w:t> </w:t>
      </w:r>
    </w:p>
    <w:p w14:paraId="055A0DF6" w14:textId="77777777" w:rsidR="00A219C2" w:rsidRPr="00DC6F4C" w:rsidRDefault="00A219C2" w:rsidP="00A219C2">
      <w:pPr>
        <w:shd w:val="clear" w:color="auto" w:fill="FFFFFF"/>
        <w:rPr>
          <w:color w:val="000000"/>
          <w:szCs w:val="24"/>
        </w:rPr>
      </w:pPr>
      <w:r w:rsidRPr="00DC6F4C">
        <w:rPr>
          <w:color w:val="000000"/>
          <w:szCs w:val="24"/>
        </w:rPr>
        <w:t>The rebate adjustment factor is calculated to three decimal places. The rebate adjustment factor is expressed as a factor, rounding up where the fourth decimal place is five or more.</w:t>
      </w:r>
    </w:p>
    <w:p w14:paraId="6AD64D4A" w14:textId="77777777" w:rsidR="00A219C2" w:rsidRDefault="00A219C2" w:rsidP="00A219C2">
      <w:pPr>
        <w:shd w:val="clear" w:color="auto" w:fill="FFFFFF"/>
        <w:rPr>
          <w:color w:val="000000"/>
          <w:szCs w:val="24"/>
        </w:rPr>
      </w:pPr>
      <w:r w:rsidRPr="00DC6F4C">
        <w:rPr>
          <w:color w:val="000000"/>
          <w:szCs w:val="24"/>
        </w:rPr>
        <w:t> </w:t>
      </w:r>
    </w:p>
    <w:p w14:paraId="3A5FEF31" w14:textId="77777777" w:rsidR="00A219C2" w:rsidRPr="00DF395D" w:rsidRDefault="00A219C2" w:rsidP="00DF395D">
      <w:pPr>
        <w:shd w:val="clear" w:color="auto" w:fill="FFFFFF"/>
        <w:rPr>
          <w:i/>
          <w:color w:val="000000"/>
          <w:szCs w:val="24"/>
        </w:rPr>
      </w:pPr>
      <w:r w:rsidRPr="008B124C">
        <w:rPr>
          <w:color w:val="000000"/>
          <w:szCs w:val="24"/>
        </w:rPr>
        <w:t xml:space="preserve">This amendment will </w:t>
      </w:r>
      <w:r w:rsidR="00DF395D">
        <w:rPr>
          <w:color w:val="000000"/>
          <w:szCs w:val="24"/>
        </w:rPr>
        <w:t>prescribe the rebate adjustment factor for the adjustment year commencing 1 April 2020 to be one “1”</w:t>
      </w:r>
      <w:r w:rsidR="00DF395D">
        <w:rPr>
          <w:i/>
          <w:color w:val="000000"/>
          <w:szCs w:val="24"/>
        </w:rPr>
        <w:t>.</w:t>
      </w:r>
    </w:p>
    <w:p w14:paraId="0D680671" w14:textId="77777777" w:rsidR="00A219C2" w:rsidRDefault="00A219C2" w:rsidP="00A219C2">
      <w:r>
        <w:br w:type="page"/>
      </w:r>
    </w:p>
    <w:p w14:paraId="6ACBD625" w14:textId="77777777" w:rsidR="00A219C2" w:rsidRPr="003F7450" w:rsidRDefault="00A219C2" w:rsidP="00A219C2">
      <w:pPr>
        <w:shd w:val="clear" w:color="auto" w:fill="FFFFFF"/>
        <w:spacing w:before="360" w:after="120"/>
        <w:jc w:val="center"/>
        <w:rPr>
          <w:color w:val="000000"/>
          <w:szCs w:val="24"/>
        </w:rPr>
      </w:pPr>
      <w:r w:rsidRPr="003F7450">
        <w:rPr>
          <w:b/>
          <w:bCs/>
          <w:color w:val="000000"/>
          <w:sz w:val="28"/>
          <w:szCs w:val="28"/>
        </w:rPr>
        <w:lastRenderedPageBreak/>
        <w:t>Statement of Compatibility with Human Rights</w:t>
      </w:r>
    </w:p>
    <w:p w14:paraId="28E33304" w14:textId="77777777" w:rsidR="00A219C2" w:rsidRPr="003F7450" w:rsidRDefault="00A219C2" w:rsidP="00A219C2">
      <w:pPr>
        <w:shd w:val="clear" w:color="auto" w:fill="FFFFFF"/>
        <w:spacing w:before="120" w:after="120"/>
        <w:jc w:val="center"/>
        <w:rPr>
          <w:color w:val="000000"/>
          <w:szCs w:val="24"/>
        </w:rPr>
      </w:pPr>
      <w:r w:rsidRPr="003F7450">
        <w:rPr>
          <w:i/>
          <w:iCs/>
          <w:color w:val="000000"/>
          <w:szCs w:val="24"/>
        </w:rPr>
        <w:t>Prepared in accordance with Part 3 of the Human Rights (Parliamentary Scrutiny) Act 2011</w:t>
      </w:r>
    </w:p>
    <w:p w14:paraId="2F28F7BF" w14:textId="7731E281" w:rsidR="00A219C2" w:rsidRPr="00165B6A" w:rsidRDefault="00A219C2" w:rsidP="00A219C2">
      <w:pPr>
        <w:shd w:val="clear" w:color="auto" w:fill="FFFFFF"/>
        <w:spacing w:before="120" w:after="120"/>
        <w:jc w:val="center"/>
        <w:rPr>
          <w:i/>
          <w:color w:val="000000"/>
          <w:szCs w:val="24"/>
        </w:rPr>
      </w:pPr>
      <w:r w:rsidRPr="00165B6A">
        <w:rPr>
          <w:b/>
          <w:bCs/>
          <w:i/>
          <w:color w:val="000000"/>
          <w:szCs w:val="24"/>
        </w:rPr>
        <w:t xml:space="preserve">Private Health Insurance (Incentives) Amendment Rules (No. 1) </w:t>
      </w:r>
      <w:r w:rsidR="00DE4B8D">
        <w:rPr>
          <w:b/>
          <w:bCs/>
          <w:i/>
          <w:color w:val="000000"/>
          <w:szCs w:val="24"/>
        </w:rPr>
        <w:t>2020</w:t>
      </w:r>
    </w:p>
    <w:p w14:paraId="51B52550" w14:textId="77777777" w:rsidR="00A219C2" w:rsidRPr="003F7450" w:rsidRDefault="00A219C2" w:rsidP="00A219C2">
      <w:pPr>
        <w:shd w:val="clear" w:color="auto" w:fill="FFFFFF"/>
        <w:spacing w:before="120" w:after="120"/>
        <w:rPr>
          <w:color w:val="000000"/>
          <w:szCs w:val="24"/>
        </w:rPr>
      </w:pPr>
      <w:r w:rsidRPr="003F7450">
        <w:rPr>
          <w:color w:val="000000"/>
          <w:szCs w:val="24"/>
        </w:rPr>
        <w:t>This Legislative Instrument is compatible with the human rights and freedoms recognised or declared in the international instruments listed in section 3 of the </w:t>
      </w:r>
      <w:r w:rsidRPr="003F7450">
        <w:rPr>
          <w:i/>
          <w:iCs/>
          <w:color w:val="000000"/>
          <w:szCs w:val="24"/>
        </w:rPr>
        <w:t>Human Rights (Parliamentary Scrutiny) Act 2011</w:t>
      </w:r>
      <w:r w:rsidRPr="003F7450">
        <w:rPr>
          <w:color w:val="000000"/>
          <w:szCs w:val="24"/>
        </w:rPr>
        <w:t>.</w:t>
      </w:r>
    </w:p>
    <w:p w14:paraId="2D65607B" w14:textId="77777777" w:rsidR="00A219C2" w:rsidRPr="003F7450" w:rsidRDefault="00A219C2" w:rsidP="00A219C2">
      <w:pPr>
        <w:shd w:val="clear" w:color="auto" w:fill="FFFFFF"/>
        <w:spacing w:before="120" w:after="120"/>
        <w:jc w:val="both"/>
        <w:rPr>
          <w:color w:val="000000"/>
          <w:szCs w:val="24"/>
        </w:rPr>
      </w:pPr>
      <w:r w:rsidRPr="003F7450">
        <w:rPr>
          <w:b/>
          <w:bCs/>
          <w:color w:val="000000"/>
          <w:szCs w:val="24"/>
        </w:rPr>
        <w:t>Overview of the Legislative Instrument</w:t>
      </w:r>
    </w:p>
    <w:p w14:paraId="2533102C" w14:textId="77777777" w:rsidR="00A219C2" w:rsidRPr="003F7450" w:rsidRDefault="00A219C2" w:rsidP="00A219C2">
      <w:pPr>
        <w:shd w:val="clear" w:color="auto" w:fill="FFFFFF"/>
        <w:rPr>
          <w:color w:val="000000"/>
          <w:szCs w:val="24"/>
        </w:rPr>
      </w:pPr>
      <w:r w:rsidRPr="003F7450">
        <w:rPr>
          <w:color w:val="000000"/>
          <w:szCs w:val="24"/>
        </w:rPr>
        <w:t>The purpose of the </w:t>
      </w:r>
      <w:r w:rsidRPr="003F7450">
        <w:rPr>
          <w:i/>
          <w:color w:val="000000"/>
        </w:rPr>
        <w:t>Private Health Insurance (Incentives) Amendment Rules</w:t>
      </w:r>
      <w:r>
        <w:rPr>
          <w:i/>
          <w:color w:val="000000"/>
        </w:rPr>
        <w:t xml:space="preserve"> </w:t>
      </w:r>
      <w:r w:rsidRPr="003F7450">
        <w:rPr>
          <w:i/>
          <w:color w:val="000000"/>
        </w:rPr>
        <w:t>(No. 1)</w:t>
      </w:r>
      <w:r w:rsidR="00DF395D">
        <w:rPr>
          <w:i/>
          <w:color w:val="000000"/>
        </w:rPr>
        <w:t xml:space="preserve"> 2020</w:t>
      </w:r>
      <w:r w:rsidRPr="003F7450">
        <w:rPr>
          <w:i/>
          <w:color w:val="000000"/>
        </w:rPr>
        <w:t xml:space="preserve"> </w:t>
      </w:r>
      <w:r w:rsidRPr="00165B6A">
        <w:rPr>
          <w:iCs/>
          <w:color w:val="000000"/>
          <w:szCs w:val="24"/>
        </w:rPr>
        <w:t>(the Amendment Rules)</w:t>
      </w:r>
      <w:r w:rsidRPr="003F7450">
        <w:rPr>
          <w:i/>
          <w:iCs/>
          <w:color w:val="000000"/>
          <w:szCs w:val="24"/>
        </w:rPr>
        <w:t> </w:t>
      </w:r>
      <w:r w:rsidRPr="003F7450">
        <w:rPr>
          <w:color w:val="000000"/>
          <w:szCs w:val="24"/>
        </w:rPr>
        <w:t>is to amend the following instruments:</w:t>
      </w:r>
    </w:p>
    <w:p w14:paraId="33003862" w14:textId="77777777" w:rsidR="00A219C2" w:rsidRPr="003F7450" w:rsidRDefault="00A219C2" w:rsidP="00A219C2">
      <w:pPr>
        <w:shd w:val="clear" w:color="auto" w:fill="FFFFFF"/>
        <w:ind w:left="832" w:hanging="360"/>
        <w:rPr>
          <w:color w:val="000000"/>
          <w:szCs w:val="24"/>
        </w:rPr>
      </w:pPr>
      <w:r w:rsidRPr="003F7450">
        <w:rPr>
          <w:rFonts w:ascii="Symbol" w:hAnsi="Symbol"/>
          <w:color w:val="000000"/>
          <w:szCs w:val="24"/>
        </w:rPr>
        <w:t></w:t>
      </w:r>
      <w:r w:rsidRPr="003F7450">
        <w:rPr>
          <w:color w:val="000000"/>
          <w:sz w:val="14"/>
          <w:szCs w:val="14"/>
        </w:rPr>
        <w:t>         </w:t>
      </w:r>
      <w:r w:rsidRPr="003F7450">
        <w:rPr>
          <w:i/>
          <w:iCs/>
          <w:color w:val="000000"/>
          <w:szCs w:val="24"/>
        </w:rPr>
        <w:t>Private Health Insurance (</w:t>
      </w:r>
      <w:r>
        <w:rPr>
          <w:i/>
          <w:iCs/>
          <w:color w:val="000000"/>
          <w:szCs w:val="24"/>
        </w:rPr>
        <w:t>Incentives</w:t>
      </w:r>
      <w:r w:rsidRPr="003F7450">
        <w:rPr>
          <w:i/>
          <w:iCs/>
          <w:color w:val="000000"/>
          <w:szCs w:val="24"/>
        </w:rPr>
        <w:t xml:space="preserve">) Rules </w:t>
      </w:r>
      <w:r>
        <w:rPr>
          <w:i/>
          <w:iCs/>
          <w:color w:val="000000"/>
          <w:szCs w:val="24"/>
        </w:rPr>
        <w:t>2012 (No. 2)</w:t>
      </w:r>
      <w:r>
        <w:rPr>
          <w:iCs/>
          <w:color w:val="000000"/>
          <w:szCs w:val="24"/>
        </w:rPr>
        <w:t xml:space="preserve"> (the Incentive Rules) </w:t>
      </w:r>
    </w:p>
    <w:p w14:paraId="2A7FDD9F" w14:textId="77777777" w:rsidR="00A219C2" w:rsidRPr="003F7450" w:rsidRDefault="00A219C2" w:rsidP="00A219C2">
      <w:pPr>
        <w:shd w:val="clear" w:color="auto" w:fill="FFFFFF"/>
        <w:rPr>
          <w:color w:val="000000"/>
          <w:szCs w:val="24"/>
        </w:rPr>
      </w:pPr>
      <w:r w:rsidRPr="003F7450">
        <w:rPr>
          <w:color w:val="000000"/>
          <w:szCs w:val="24"/>
        </w:rPr>
        <w:t> </w:t>
      </w:r>
    </w:p>
    <w:p w14:paraId="0665E452" w14:textId="4679FEA6" w:rsidR="00A219C2" w:rsidRPr="00654603" w:rsidRDefault="00A219C2" w:rsidP="00A219C2">
      <w:pPr>
        <w:autoSpaceDE w:val="0"/>
        <w:autoSpaceDN w:val="0"/>
        <w:adjustRightInd w:val="0"/>
        <w:rPr>
          <w:szCs w:val="24"/>
        </w:rPr>
      </w:pPr>
      <w:r w:rsidRPr="003F7450">
        <w:rPr>
          <w:color w:val="000000"/>
          <w:szCs w:val="24"/>
        </w:rPr>
        <w:t xml:space="preserve">These Amendment Rules </w:t>
      </w:r>
      <w:r>
        <w:t>insert a new</w:t>
      </w:r>
      <w:r w:rsidR="00DE4B8D">
        <w:t xml:space="preserve"> </w:t>
      </w:r>
      <w:r>
        <w:t xml:space="preserve">Rule </w:t>
      </w:r>
      <w:proofErr w:type="spellStart"/>
      <w:r>
        <w:t>5A</w:t>
      </w:r>
      <w:proofErr w:type="spellEnd"/>
      <w:r>
        <w:t xml:space="preserve"> to the Incentives Rules to update the formula for calculating the rebate adjustment factor by including the impact of age-based discounts and to state that rate protection is a variable in the formula.</w:t>
      </w:r>
    </w:p>
    <w:p w14:paraId="0DF4E32D" w14:textId="77777777" w:rsidR="00A219C2" w:rsidRPr="003F7450" w:rsidRDefault="00A219C2" w:rsidP="00A219C2">
      <w:pPr>
        <w:shd w:val="clear" w:color="auto" w:fill="FFFFFF"/>
        <w:rPr>
          <w:color w:val="000000"/>
          <w:szCs w:val="24"/>
        </w:rPr>
      </w:pPr>
    </w:p>
    <w:p w14:paraId="06BBF078" w14:textId="77777777" w:rsidR="00A219C2" w:rsidRPr="00167D26" w:rsidRDefault="00A219C2" w:rsidP="00A219C2">
      <w:pPr>
        <w:shd w:val="clear" w:color="auto" w:fill="FFFFFF"/>
        <w:spacing w:before="120" w:after="120"/>
        <w:rPr>
          <w:color w:val="000000"/>
          <w:szCs w:val="24"/>
        </w:rPr>
      </w:pPr>
      <w:r w:rsidRPr="00167D26">
        <w:rPr>
          <w:b/>
          <w:bCs/>
          <w:color w:val="000000"/>
          <w:szCs w:val="24"/>
        </w:rPr>
        <w:t>Human rights implications</w:t>
      </w:r>
    </w:p>
    <w:p w14:paraId="7304EB21" w14:textId="77777777" w:rsidR="00A219C2" w:rsidRPr="00167D26" w:rsidRDefault="00A219C2" w:rsidP="00A219C2">
      <w:pPr>
        <w:shd w:val="clear" w:color="auto" w:fill="FFFFFF"/>
        <w:spacing w:before="120" w:after="120"/>
        <w:rPr>
          <w:color w:val="000000"/>
          <w:szCs w:val="24"/>
        </w:rPr>
      </w:pPr>
      <w:r w:rsidRPr="00167D26">
        <w:rPr>
          <w:color w:val="000000"/>
          <w:szCs w:val="24"/>
        </w:rPr>
        <w:t>Some aspects of the Amendment Rules engage Article 12 of the International Covenant on Economic, Social and Cultural Rights, the right to health, by assisting with the progressive realisation by all appropriate means of the right of everyone to the enjoyment of the highest attainable standard of physical and mental health.</w:t>
      </w:r>
    </w:p>
    <w:p w14:paraId="1EBD5264" w14:textId="77777777" w:rsidR="00A219C2" w:rsidRPr="00167D26" w:rsidRDefault="00A219C2" w:rsidP="00A219C2">
      <w:pPr>
        <w:shd w:val="clear" w:color="auto" w:fill="FFFFFF"/>
        <w:spacing w:before="120" w:after="120"/>
        <w:rPr>
          <w:color w:val="000000"/>
          <w:szCs w:val="24"/>
        </w:rPr>
      </w:pPr>
      <w:r w:rsidRPr="00167D26">
        <w:rPr>
          <w:color w:val="000000"/>
          <w:szCs w:val="24"/>
        </w:rPr>
        <w:t>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to improve information provided to consumers of private health services to allow consumers to make more informed choices when purchasing services and requires insurers to not differentiate the premiums they charge according to individual health characteristics such as poor health.</w:t>
      </w:r>
    </w:p>
    <w:p w14:paraId="600E947A" w14:textId="77777777" w:rsidR="00A219C2" w:rsidRDefault="00A219C2" w:rsidP="00A219C2"/>
    <w:p w14:paraId="2A62F778" w14:textId="77777777" w:rsidR="00A219C2" w:rsidRDefault="00A219C2" w:rsidP="00A219C2">
      <w:r>
        <w:t>The amendment Rules do not change the overall private health insurance regulation’s support for human right to health.</w:t>
      </w:r>
    </w:p>
    <w:p w14:paraId="31BC86B1" w14:textId="77777777" w:rsidR="00A219C2" w:rsidRPr="00167D26" w:rsidRDefault="00A219C2" w:rsidP="00A219C2">
      <w:pPr>
        <w:shd w:val="clear" w:color="auto" w:fill="FFFFFF"/>
        <w:spacing w:before="120" w:after="120"/>
        <w:rPr>
          <w:color w:val="000000"/>
          <w:szCs w:val="24"/>
        </w:rPr>
      </w:pPr>
      <w:r w:rsidRPr="00167D26">
        <w:rPr>
          <w:i/>
          <w:iCs/>
          <w:color w:val="000000"/>
          <w:szCs w:val="24"/>
        </w:rPr>
        <w:t>Analysis</w:t>
      </w:r>
    </w:p>
    <w:p w14:paraId="288814CF" w14:textId="77777777" w:rsidR="00A219C2" w:rsidRPr="00167D26" w:rsidRDefault="00A219C2" w:rsidP="00A219C2">
      <w:pPr>
        <w:shd w:val="clear" w:color="auto" w:fill="FFFFFF"/>
        <w:spacing w:before="120" w:after="120"/>
        <w:rPr>
          <w:color w:val="000000"/>
          <w:szCs w:val="24"/>
        </w:rPr>
      </w:pPr>
      <w:r w:rsidRPr="00167D26">
        <w:rPr>
          <w:color w:val="000000"/>
          <w:szCs w:val="24"/>
        </w:rPr>
        <w:t xml:space="preserve">The amendments relating to the updated </w:t>
      </w:r>
      <w:r>
        <w:rPr>
          <w:color w:val="000000"/>
          <w:szCs w:val="24"/>
        </w:rPr>
        <w:t xml:space="preserve">formula in relation to the entitlement to rebates by specified persons who hold private health insurance </w:t>
      </w:r>
      <w:r w:rsidRPr="00167D26">
        <w:rPr>
          <w:color w:val="000000"/>
          <w:szCs w:val="24"/>
        </w:rPr>
        <w:t>are entirely administrative in nature and therefore do not engage human rights.</w:t>
      </w:r>
    </w:p>
    <w:p w14:paraId="0793213E" w14:textId="77777777" w:rsidR="00A219C2" w:rsidRPr="00167D26" w:rsidRDefault="00A219C2" w:rsidP="00A219C2">
      <w:pPr>
        <w:shd w:val="clear" w:color="auto" w:fill="FFFFFF"/>
        <w:spacing w:before="120" w:after="120"/>
        <w:jc w:val="both"/>
        <w:rPr>
          <w:color w:val="000000"/>
          <w:szCs w:val="24"/>
        </w:rPr>
      </w:pPr>
      <w:r>
        <w:rPr>
          <w:b/>
          <w:bCs/>
          <w:color w:val="000000"/>
          <w:szCs w:val="24"/>
        </w:rPr>
        <w:br w:type="page"/>
      </w:r>
      <w:r w:rsidRPr="00167D26">
        <w:rPr>
          <w:b/>
          <w:bCs/>
          <w:color w:val="000000"/>
          <w:szCs w:val="24"/>
        </w:rPr>
        <w:lastRenderedPageBreak/>
        <w:t>Conclusion</w:t>
      </w:r>
    </w:p>
    <w:p w14:paraId="326F0B69" w14:textId="77777777" w:rsidR="00A219C2" w:rsidRDefault="00A219C2" w:rsidP="00A219C2">
      <w:pPr>
        <w:shd w:val="clear" w:color="auto" w:fill="FFFFFF"/>
        <w:spacing w:before="120" w:after="120"/>
        <w:rPr>
          <w:color w:val="000000"/>
          <w:szCs w:val="24"/>
        </w:rPr>
      </w:pPr>
      <w:r w:rsidRPr="00167D26">
        <w:rPr>
          <w:color w:val="000000"/>
          <w:szCs w:val="24"/>
        </w:rPr>
        <w:t>Th</w:t>
      </w:r>
      <w:r>
        <w:rPr>
          <w:color w:val="000000"/>
          <w:szCs w:val="24"/>
        </w:rPr>
        <w:t>e Amendment Rules are</w:t>
      </w:r>
      <w:r w:rsidRPr="00167D26">
        <w:rPr>
          <w:color w:val="000000"/>
          <w:szCs w:val="24"/>
        </w:rPr>
        <w:t xml:space="preserve"> compatible with human rights because th</w:t>
      </w:r>
      <w:r>
        <w:rPr>
          <w:color w:val="000000"/>
          <w:szCs w:val="24"/>
        </w:rPr>
        <w:t xml:space="preserve">e amendment introduced by these Rules </w:t>
      </w:r>
      <w:r w:rsidRPr="00167D26">
        <w:rPr>
          <w:color w:val="000000"/>
          <w:szCs w:val="24"/>
        </w:rPr>
        <w:t xml:space="preserve">continue to ensure that existing arrangements </w:t>
      </w:r>
      <w:r>
        <w:rPr>
          <w:color w:val="000000"/>
          <w:szCs w:val="24"/>
        </w:rPr>
        <w:t xml:space="preserve">that </w:t>
      </w:r>
      <w:r w:rsidRPr="00167D26">
        <w:rPr>
          <w:color w:val="000000"/>
          <w:szCs w:val="24"/>
        </w:rPr>
        <w:t>advance the protection of human rights are maintained.</w:t>
      </w:r>
    </w:p>
    <w:p w14:paraId="69158459" w14:textId="77777777" w:rsidR="00A219C2" w:rsidRPr="00167D26" w:rsidRDefault="00A219C2" w:rsidP="00A219C2">
      <w:pPr>
        <w:shd w:val="clear" w:color="auto" w:fill="FFFFFF"/>
        <w:spacing w:before="120" w:after="120"/>
        <w:rPr>
          <w:color w:val="000000"/>
          <w:szCs w:val="24"/>
        </w:rPr>
      </w:pPr>
    </w:p>
    <w:p w14:paraId="798335ED" w14:textId="77777777" w:rsidR="00A219C2" w:rsidRDefault="00DF395D" w:rsidP="004D4775">
      <w:pPr>
        <w:pStyle w:val="Header"/>
        <w:tabs>
          <w:tab w:val="clear" w:pos="4153"/>
          <w:tab w:val="clear" w:pos="8306"/>
          <w:tab w:val="num" w:pos="1080"/>
        </w:tabs>
        <w:jc w:val="center"/>
      </w:pPr>
      <w:r>
        <w:rPr>
          <w:b/>
          <w:bCs/>
          <w:color w:val="000000"/>
          <w:shd w:val="clear" w:color="auto" w:fill="FFFFFF"/>
        </w:rPr>
        <w:t>Brian Kelleher</w:t>
      </w:r>
      <w:r>
        <w:rPr>
          <w:b/>
          <w:bCs/>
          <w:color w:val="000000"/>
          <w:shd w:val="clear" w:color="auto" w:fill="FFFFFF"/>
        </w:rPr>
        <w:br/>
      </w:r>
      <w:r w:rsidR="004D4775">
        <w:rPr>
          <w:b/>
          <w:bCs/>
          <w:color w:val="000000"/>
          <w:shd w:val="clear" w:color="auto" w:fill="FFFFFF"/>
        </w:rPr>
        <w:t xml:space="preserve"> Assistant Secretary</w:t>
      </w:r>
      <w:r w:rsidR="004D4775">
        <w:rPr>
          <w:b/>
          <w:bCs/>
          <w:color w:val="000000"/>
          <w:shd w:val="clear" w:color="auto" w:fill="FFFFFF"/>
        </w:rPr>
        <w:br/>
        <w:t>Private Health Insurance Branch</w:t>
      </w:r>
      <w:r w:rsidR="004D4775">
        <w:rPr>
          <w:b/>
          <w:bCs/>
          <w:color w:val="000000"/>
          <w:shd w:val="clear" w:color="auto" w:fill="FFFFFF"/>
        </w:rPr>
        <w:br/>
        <w:t>Medical Benefits Division</w:t>
      </w:r>
      <w:r w:rsidR="004D4775">
        <w:rPr>
          <w:b/>
          <w:bCs/>
          <w:color w:val="000000"/>
          <w:shd w:val="clear" w:color="auto" w:fill="FFFFFF"/>
        </w:rPr>
        <w:br/>
        <w:t>Department of Health</w:t>
      </w:r>
    </w:p>
    <w:p w14:paraId="39B8BF02" w14:textId="77777777" w:rsidR="003B4A6D" w:rsidRPr="00A219C2" w:rsidRDefault="003B4A6D" w:rsidP="00A219C2"/>
    <w:sectPr w:rsidR="003B4A6D" w:rsidRPr="00A219C2">
      <w:headerReference w:type="even" r:id="rId10"/>
      <w:headerReference w:type="default" r:id="rId11"/>
      <w:pgSz w:w="11906" w:h="16838"/>
      <w:pgMar w:top="1304" w:right="1440" w:bottom="1304" w:left="144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893D2" w14:textId="77777777" w:rsidR="007B31BA" w:rsidRDefault="007B31BA">
      <w:r>
        <w:separator/>
      </w:r>
    </w:p>
  </w:endnote>
  <w:endnote w:type="continuationSeparator" w:id="0">
    <w:p w14:paraId="73238CC7" w14:textId="77777777" w:rsidR="007B31BA" w:rsidRDefault="007B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EA05D" w14:textId="77777777" w:rsidR="007B31BA" w:rsidRDefault="007B31BA">
      <w:r>
        <w:separator/>
      </w:r>
    </w:p>
  </w:footnote>
  <w:footnote w:type="continuationSeparator" w:id="0">
    <w:p w14:paraId="3F3155D7" w14:textId="77777777" w:rsidR="007B31BA" w:rsidRDefault="007B3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A5FAD" w14:textId="77777777" w:rsidR="008B01C2" w:rsidRDefault="008B01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356FAD" w14:textId="77777777" w:rsidR="008B01C2" w:rsidRDefault="008B01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60EA0" w14:textId="17A9711D" w:rsidR="008B01C2" w:rsidRDefault="008B01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4A04">
      <w:rPr>
        <w:rStyle w:val="PageNumber"/>
        <w:noProof/>
      </w:rPr>
      <w:t>5</w:t>
    </w:r>
    <w:r>
      <w:rPr>
        <w:rStyle w:val="PageNumber"/>
      </w:rPr>
      <w:fldChar w:fldCharType="end"/>
    </w:r>
  </w:p>
  <w:p w14:paraId="55FC02D7" w14:textId="77777777" w:rsidR="008B01C2" w:rsidRDefault="008B0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904CE"/>
    <w:multiLevelType w:val="multilevel"/>
    <w:tmpl w:val="EA5A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9949FC"/>
    <w:multiLevelType w:val="hybridMultilevel"/>
    <w:tmpl w:val="12407F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FD649D"/>
    <w:multiLevelType w:val="hybridMultilevel"/>
    <w:tmpl w:val="55C02E9E"/>
    <w:lvl w:ilvl="0" w:tplc="DA92BED4">
      <w:start w:val="4"/>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F2E0948"/>
    <w:multiLevelType w:val="hybridMultilevel"/>
    <w:tmpl w:val="5070602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453135A3"/>
    <w:multiLevelType w:val="hybridMultilevel"/>
    <w:tmpl w:val="09B018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2E41AD"/>
    <w:multiLevelType w:val="hybridMultilevel"/>
    <w:tmpl w:val="889C3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E064AF"/>
    <w:multiLevelType w:val="hybridMultilevel"/>
    <w:tmpl w:val="C78A862A"/>
    <w:lvl w:ilvl="0" w:tplc="0C09000F">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8" w15:restartNumberingAfterBreak="0">
    <w:nsid w:val="703023F3"/>
    <w:multiLevelType w:val="hybridMultilevel"/>
    <w:tmpl w:val="127A1F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357255"/>
    <w:multiLevelType w:val="multilevel"/>
    <w:tmpl w:val="112E5034"/>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9"/>
  </w:num>
  <w:num w:numId="2">
    <w:abstractNumId w:val="8"/>
  </w:num>
  <w:num w:numId="3">
    <w:abstractNumId w:val="4"/>
  </w:num>
  <w:num w:numId="4">
    <w:abstractNumId w:val="1"/>
  </w:num>
  <w:num w:numId="5">
    <w:abstractNumId w:val="2"/>
  </w:num>
  <w:num w:numId="6">
    <w:abstractNumId w:val="6"/>
  </w:num>
  <w:num w:numId="7">
    <w:abstractNumId w:val="3"/>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7C"/>
    <w:rsid w:val="0000179A"/>
    <w:rsid w:val="00002BDA"/>
    <w:rsid w:val="0001486F"/>
    <w:rsid w:val="00025876"/>
    <w:rsid w:val="000265B8"/>
    <w:rsid w:val="000272C5"/>
    <w:rsid w:val="0003157F"/>
    <w:rsid w:val="0005046E"/>
    <w:rsid w:val="00056520"/>
    <w:rsid w:val="0007478F"/>
    <w:rsid w:val="000830A2"/>
    <w:rsid w:val="0008330C"/>
    <w:rsid w:val="00095A60"/>
    <w:rsid w:val="000B1A63"/>
    <w:rsid w:val="000B489D"/>
    <w:rsid w:val="000C1039"/>
    <w:rsid w:val="000C5413"/>
    <w:rsid w:val="000D3961"/>
    <w:rsid w:val="000D5D4B"/>
    <w:rsid w:val="000E0E58"/>
    <w:rsid w:val="000E7AC5"/>
    <w:rsid w:val="00115767"/>
    <w:rsid w:val="00136EF4"/>
    <w:rsid w:val="00152797"/>
    <w:rsid w:val="0015699B"/>
    <w:rsid w:val="00166950"/>
    <w:rsid w:val="00167D26"/>
    <w:rsid w:val="00170549"/>
    <w:rsid w:val="00171489"/>
    <w:rsid w:val="00176323"/>
    <w:rsid w:val="00182DE9"/>
    <w:rsid w:val="00184418"/>
    <w:rsid w:val="001865F3"/>
    <w:rsid w:val="00194170"/>
    <w:rsid w:val="001A11EB"/>
    <w:rsid w:val="001B7CBF"/>
    <w:rsid w:val="001C2704"/>
    <w:rsid w:val="001C4A04"/>
    <w:rsid w:val="001D0F47"/>
    <w:rsid w:val="001E5024"/>
    <w:rsid w:val="00201230"/>
    <w:rsid w:val="00205F55"/>
    <w:rsid w:val="002167CC"/>
    <w:rsid w:val="00226173"/>
    <w:rsid w:val="0024225B"/>
    <w:rsid w:val="00256C3D"/>
    <w:rsid w:val="00265148"/>
    <w:rsid w:val="00270894"/>
    <w:rsid w:val="002835E1"/>
    <w:rsid w:val="00284930"/>
    <w:rsid w:val="002920A2"/>
    <w:rsid w:val="00292657"/>
    <w:rsid w:val="00293453"/>
    <w:rsid w:val="002C120B"/>
    <w:rsid w:val="002C233F"/>
    <w:rsid w:val="002D2586"/>
    <w:rsid w:val="002E56B3"/>
    <w:rsid w:val="002E6B76"/>
    <w:rsid w:val="002F25D7"/>
    <w:rsid w:val="002F4262"/>
    <w:rsid w:val="002F4988"/>
    <w:rsid w:val="003111DD"/>
    <w:rsid w:val="00312A26"/>
    <w:rsid w:val="00331C2F"/>
    <w:rsid w:val="00347610"/>
    <w:rsid w:val="00350756"/>
    <w:rsid w:val="00351D16"/>
    <w:rsid w:val="003542BC"/>
    <w:rsid w:val="00360A16"/>
    <w:rsid w:val="003612B5"/>
    <w:rsid w:val="00364625"/>
    <w:rsid w:val="00365BB7"/>
    <w:rsid w:val="00366C65"/>
    <w:rsid w:val="003709C0"/>
    <w:rsid w:val="00380294"/>
    <w:rsid w:val="00386463"/>
    <w:rsid w:val="0039155E"/>
    <w:rsid w:val="003B4A6D"/>
    <w:rsid w:val="003D121F"/>
    <w:rsid w:val="003E7B8D"/>
    <w:rsid w:val="003F3557"/>
    <w:rsid w:val="003F4DF3"/>
    <w:rsid w:val="003F7450"/>
    <w:rsid w:val="004014B0"/>
    <w:rsid w:val="00412788"/>
    <w:rsid w:val="0041406A"/>
    <w:rsid w:val="00417CCC"/>
    <w:rsid w:val="00425811"/>
    <w:rsid w:val="00433FA7"/>
    <w:rsid w:val="0044118B"/>
    <w:rsid w:val="00464E41"/>
    <w:rsid w:val="0046756F"/>
    <w:rsid w:val="004734A5"/>
    <w:rsid w:val="00473F94"/>
    <w:rsid w:val="00477E2E"/>
    <w:rsid w:val="00482A18"/>
    <w:rsid w:val="00485801"/>
    <w:rsid w:val="004A4A1D"/>
    <w:rsid w:val="004A6E62"/>
    <w:rsid w:val="004A7AE9"/>
    <w:rsid w:val="004B5CAD"/>
    <w:rsid w:val="004C5166"/>
    <w:rsid w:val="004C6A0D"/>
    <w:rsid w:val="004D4775"/>
    <w:rsid w:val="004D5633"/>
    <w:rsid w:val="004E035C"/>
    <w:rsid w:val="004F16BA"/>
    <w:rsid w:val="00527837"/>
    <w:rsid w:val="0053024E"/>
    <w:rsid w:val="0053207C"/>
    <w:rsid w:val="00546765"/>
    <w:rsid w:val="005571AB"/>
    <w:rsid w:val="005702F2"/>
    <w:rsid w:val="00575A24"/>
    <w:rsid w:val="00576580"/>
    <w:rsid w:val="005775B1"/>
    <w:rsid w:val="00587356"/>
    <w:rsid w:val="00594009"/>
    <w:rsid w:val="005A3426"/>
    <w:rsid w:val="005B12AC"/>
    <w:rsid w:val="005B24F9"/>
    <w:rsid w:val="005B78A4"/>
    <w:rsid w:val="005C11C6"/>
    <w:rsid w:val="005C385B"/>
    <w:rsid w:val="005C4CD9"/>
    <w:rsid w:val="005C650E"/>
    <w:rsid w:val="005D2194"/>
    <w:rsid w:val="005F54DA"/>
    <w:rsid w:val="005F703B"/>
    <w:rsid w:val="00604297"/>
    <w:rsid w:val="00606CCE"/>
    <w:rsid w:val="006228AF"/>
    <w:rsid w:val="00627DA3"/>
    <w:rsid w:val="0063140E"/>
    <w:rsid w:val="006327FE"/>
    <w:rsid w:val="00635444"/>
    <w:rsid w:val="0063669D"/>
    <w:rsid w:val="0064123E"/>
    <w:rsid w:val="00644351"/>
    <w:rsid w:val="00654603"/>
    <w:rsid w:val="00657CA8"/>
    <w:rsid w:val="00662A59"/>
    <w:rsid w:val="00665893"/>
    <w:rsid w:val="006817B0"/>
    <w:rsid w:val="006858CA"/>
    <w:rsid w:val="006951E2"/>
    <w:rsid w:val="0069528B"/>
    <w:rsid w:val="00697AA8"/>
    <w:rsid w:val="006A7451"/>
    <w:rsid w:val="006C0D21"/>
    <w:rsid w:val="006C30C8"/>
    <w:rsid w:val="006C77D0"/>
    <w:rsid w:val="006D020F"/>
    <w:rsid w:val="006D28FE"/>
    <w:rsid w:val="006D7A8C"/>
    <w:rsid w:val="006E333D"/>
    <w:rsid w:val="0071099E"/>
    <w:rsid w:val="00713703"/>
    <w:rsid w:val="00721421"/>
    <w:rsid w:val="0072447C"/>
    <w:rsid w:val="00742C7A"/>
    <w:rsid w:val="007457E7"/>
    <w:rsid w:val="00757B42"/>
    <w:rsid w:val="00762CDA"/>
    <w:rsid w:val="00763D66"/>
    <w:rsid w:val="00764464"/>
    <w:rsid w:val="00775C7F"/>
    <w:rsid w:val="00775D3A"/>
    <w:rsid w:val="00780B84"/>
    <w:rsid w:val="0079417C"/>
    <w:rsid w:val="007A4D4C"/>
    <w:rsid w:val="007A697A"/>
    <w:rsid w:val="007B1D5B"/>
    <w:rsid w:val="007B31BA"/>
    <w:rsid w:val="007B534D"/>
    <w:rsid w:val="007B6468"/>
    <w:rsid w:val="007D63BF"/>
    <w:rsid w:val="007F63A6"/>
    <w:rsid w:val="007F783F"/>
    <w:rsid w:val="008073DA"/>
    <w:rsid w:val="00835948"/>
    <w:rsid w:val="008407B3"/>
    <w:rsid w:val="0084364C"/>
    <w:rsid w:val="00851E24"/>
    <w:rsid w:val="00853A88"/>
    <w:rsid w:val="00866A2F"/>
    <w:rsid w:val="00894F9A"/>
    <w:rsid w:val="008967FE"/>
    <w:rsid w:val="008A16B6"/>
    <w:rsid w:val="008A3ABE"/>
    <w:rsid w:val="008A4777"/>
    <w:rsid w:val="008A68ED"/>
    <w:rsid w:val="008A7F80"/>
    <w:rsid w:val="008B01C2"/>
    <w:rsid w:val="008B124C"/>
    <w:rsid w:val="008B1C9F"/>
    <w:rsid w:val="008B7443"/>
    <w:rsid w:val="008D4782"/>
    <w:rsid w:val="008E5204"/>
    <w:rsid w:val="008F09D1"/>
    <w:rsid w:val="008F202C"/>
    <w:rsid w:val="0090340B"/>
    <w:rsid w:val="00904E9E"/>
    <w:rsid w:val="00914D62"/>
    <w:rsid w:val="009242E7"/>
    <w:rsid w:val="00932F68"/>
    <w:rsid w:val="009335FF"/>
    <w:rsid w:val="00936049"/>
    <w:rsid w:val="00940A14"/>
    <w:rsid w:val="00941E47"/>
    <w:rsid w:val="009456CF"/>
    <w:rsid w:val="00960142"/>
    <w:rsid w:val="00966559"/>
    <w:rsid w:val="0097069C"/>
    <w:rsid w:val="00975F09"/>
    <w:rsid w:val="00981066"/>
    <w:rsid w:val="009876A6"/>
    <w:rsid w:val="009972C0"/>
    <w:rsid w:val="009A1C41"/>
    <w:rsid w:val="009A43F8"/>
    <w:rsid w:val="009A5402"/>
    <w:rsid w:val="009C2658"/>
    <w:rsid w:val="009C3600"/>
    <w:rsid w:val="009C4B42"/>
    <w:rsid w:val="009C7171"/>
    <w:rsid w:val="009D38D6"/>
    <w:rsid w:val="009D3BCF"/>
    <w:rsid w:val="009D5184"/>
    <w:rsid w:val="009F028E"/>
    <w:rsid w:val="00A03819"/>
    <w:rsid w:val="00A1087C"/>
    <w:rsid w:val="00A11DB6"/>
    <w:rsid w:val="00A1321C"/>
    <w:rsid w:val="00A14EE7"/>
    <w:rsid w:val="00A219C2"/>
    <w:rsid w:val="00A243CE"/>
    <w:rsid w:val="00A25C20"/>
    <w:rsid w:val="00A30AD0"/>
    <w:rsid w:val="00A316B7"/>
    <w:rsid w:val="00A328F2"/>
    <w:rsid w:val="00A44460"/>
    <w:rsid w:val="00A55FD2"/>
    <w:rsid w:val="00A7107E"/>
    <w:rsid w:val="00A7556C"/>
    <w:rsid w:val="00A8012A"/>
    <w:rsid w:val="00A8139E"/>
    <w:rsid w:val="00A823C8"/>
    <w:rsid w:val="00A862EF"/>
    <w:rsid w:val="00A953D6"/>
    <w:rsid w:val="00AB2EC7"/>
    <w:rsid w:val="00AB7282"/>
    <w:rsid w:val="00AC41AC"/>
    <w:rsid w:val="00AD1EF0"/>
    <w:rsid w:val="00AE0210"/>
    <w:rsid w:val="00AE0C18"/>
    <w:rsid w:val="00AF1BF9"/>
    <w:rsid w:val="00AF4190"/>
    <w:rsid w:val="00B1752E"/>
    <w:rsid w:val="00B23ACF"/>
    <w:rsid w:val="00B24631"/>
    <w:rsid w:val="00B331D5"/>
    <w:rsid w:val="00B41824"/>
    <w:rsid w:val="00B4644B"/>
    <w:rsid w:val="00B54F5B"/>
    <w:rsid w:val="00B634FC"/>
    <w:rsid w:val="00B65B22"/>
    <w:rsid w:val="00B74D9D"/>
    <w:rsid w:val="00B770A1"/>
    <w:rsid w:val="00B77F81"/>
    <w:rsid w:val="00B8021A"/>
    <w:rsid w:val="00B84E23"/>
    <w:rsid w:val="00B9148F"/>
    <w:rsid w:val="00B9744D"/>
    <w:rsid w:val="00BA0697"/>
    <w:rsid w:val="00BA0A17"/>
    <w:rsid w:val="00BA6A62"/>
    <w:rsid w:val="00BA7243"/>
    <w:rsid w:val="00BB2CFF"/>
    <w:rsid w:val="00BD1A57"/>
    <w:rsid w:val="00BE664E"/>
    <w:rsid w:val="00BF08E8"/>
    <w:rsid w:val="00C01FB0"/>
    <w:rsid w:val="00C02F32"/>
    <w:rsid w:val="00C11417"/>
    <w:rsid w:val="00C12156"/>
    <w:rsid w:val="00C14F15"/>
    <w:rsid w:val="00C15D8B"/>
    <w:rsid w:val="00C219FE"/>
    <w:rsid w:val="00C23175"/>
    <w:rsid w:val="00C458BF"/>
    <w:rsid w:val="00C467E4"/>
    <w:rsid w:val="00C54C8E"/>
    <w:rsid w:val="00C575B4"/>
    <w:rsid w:val="00C66A3B"/>
    <w:rsid w:val="00C6738C"/>
    <w:rsid w:val="00C67F38"/>
    <w:rsid w:val="00C70129"/>
    <w:rsid w:val="00C87978"/>
    <w:rsid w:val="00C91612"/>
    <w:rsid w:val="00C95807"/>
    <w:rsid w:val="00CA00BB"/>
    <w:rsid w:val="00CC5FAB"/>
    <w:rsid w:val="00CE1082"/>
    <w:rsid w:val="00CE1871"/>
    <w:rsid w:val="00CF4195"/>
    <w:rsid w:val="00D01FDB"/>
    <w:rsid w:val="00D2225F"/>
    <w:rsid w:val="00D27CB3"/>
    <w:rsid w:val="00D35F40"/>
    <w:rsid w:val="00D431BC"/>
    <w:rsid w:val="00D541EE"/>
    <w:rsid w:val="00D64E47"/>
    <w:rsid w:val="00D8436A"/>
    <w:rsid w:val="00D84D11"/>
    <w:rsid w:val="00D94C85"/>
    <w:rsid w:val="00DB0BD6"/>
    <w:rsid w:val="00DC6F4C"/>
    <w:rsid w:val="00DD72FB"/>
    <w:rsid w:val="00DE34DE"/>
    <w:rsid w:val="00DE4B8D"/>
    <w:rsid w:val="00DE7BB7"/>
    <w:rsid w:val="00DF395D"/>
    <w:rsid w:val="00E01AD2"/>
    <w:rsid w:val="00E11DBC"/>
    <w:rsid w:val="00E17ED6"/>
    <w:rsid w:val="00E265C6"/>
    <w:rsid w:val="00E457B5"/>
    <w:rsid w:val="00E50C8A"/>
    <w:rsid w:val="00E5181E"/>
    <w:rsid w:val="00E53D50"/>
    <w:rsid w:val="00E7340F"/>
    <w:rsid w:val="00E74A1A"/>
    <w:rsid w:val="00E8236C"/>
    <w:rsid w:val="00E86ED5"/>
    <w:rsid w:val="00E90442"/>
    <w:rsid w:val="00E940F4"/>
    <w:rsid w:val="00E95D97"/>
    <w:rsid w:val="00E95EAD"/>
    <w:rsid w:val="00EE43BB"/>
    <w:rsid w:val="00EE65DE"/>
    <w:rsid w:val="00EE755C"/>
    <w:rsid w:val="00EE7AA3"/>
    <w:rsid w:val="00EF6110"/>
    <w:rsid w:val="00F02720"/>
    <w:rsid w:val="00F0272B"/>
    <w:rsid w:val="00F0508D"/>
    <w:rsid w:val="00F2252D"/>
    <w:rsid w:val="00F24BEC"/>
    <w:rsid w:val="00F31240"/>
    <w:rsid w:val="00F366A2"/>
    <w:rsid w:val="00F36E21"/>
    <w:rsid w:val="00F43659"/>
    <w:rsid w:val="00F440E0"/>
    <w:rsid w:val="00F45127"/>
    <w:rsid w:val="00F46155"/>
    <w:rsid w:val="00F527CA"/>
    <w:rsid w:val="00F55CF0"/>
    <w:rsid w:val="00F62E58"/>
    <w:rsid w:val="00F9659F"/>
    <w:rsid w:val="00FA03D2"/>
    <w:rsid w:val="00FB137E"/>
    <w:rsid w:val="00FB3D4B"/>
    <w:rsid w:val="00FB465C"/>
    <w:rsid w:val="00FD58D9"/>
    <w:rsid w:val="00FE1189"/>
    <w:rsid w:val="00FE19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800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Number" w:uiPriority="99" w:qFormat="1"/>
    <w:lsdException w:name="List Number 2" w:uiPriority="99"/>
    <w:lsdException w:name="List Number 3" w:uiPriority="99"/>
    <w:lsdException w:name="List Number 4" w:uiPriority="99"/>
    <w:lsdException w:name="List Number 5"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link w:val="HeaderChar"/>
    <w:uiPriority w:val="99"/>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rsid w:val="00775D3A"/>
    <w:pPr>
      <w:tabs>
        <w:tab w:val="center" w:pos="4153"/>
        <w:tab w:val="right" w:pos="8306"/>
      </w:tabs>
    </w:pPr>
  </w:style>
  <w:style w:type="paragraph" w:styleId="NormalWeb">
    <w:name w:val="Normal (Web)"/>
    <w:basedOn w:val="Normal"/>
    <w:uiPriority w:val="99"/>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semiHidden/>
    <w:rsid w:val="003612B5"/>
    <w:rPr>
      <w:sz w:val="16"/>
      <w:szCs w:val="16"/>
    </w:rPr>
  </w:style>
  <w:style w:type="paragraph" w:styleId="CommentText">
    <w:name w:val="annotation text"/>
    <w:basedOn w:val="Normal"/>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
    <w:name w:val="Char"/>
    <w:basedOn w:val="Normal"/>
    <w:rsid w:val="007D63BF"/>
    <w:rPr>
      <w:rFonts w:ascii="Arial" w:hAnsi="Arial" w:cs="Arial"/>
      <w:sz w:val="22"/>
      <w:szCs w:val="22"/>
      <w:lang w:eastAsia="en-US"/>
    </w:rPr>
  </w:style>
  <w:style w:type="paragraph" w:customStyle="1" w:styleId="boxpara">
    <w:name w:val="boxpara"/>
    <w:basedOn w:val="Normal"/>
    <w:rsid w:val="00594009"/>
    <w:pPr>
      <w:spacing w:before="240"/>
      <w:ind w:left="2552" w:hanging="1418"/>
    </w:pPr>
    <w:rPr>
      <w:sz w:val="22"/>
      <w:szCs w:val="22"/>
    </w:rPr>
  </w:style>
  <w:style w:type="paragraph" w:customStyle="1" w:styleId="boxtext">
    <w:name w:val="boxtext"/>
    <w:basedOn w:val="Normal"/>
    <w:rsid w:val="00594009"/>
    <w:pPr>
      <w:spacing w:before="240"/>
      <w:ind w:left="1134"/>
    </w:pPr>
    <w:rPr>
      <w:sz w:val="22"/>
      <w:szCs w:val="22"/>
    </w:rPr>
  </w:style>
  <w:style w:type="paragraph" w:customStyle="1" w:styleId="paragraph">
    <w:name w:val="paragraph"/>
    <w:basedOn w:val="Normal"/>
    <w:rsid w:val="00265148"/>
    <w:pPr>
      <w:spacing w:before="40"/>
      <w:ind w:left="1644" w:hanging="1644"/>
    </w:pPr>
    <w:rPr>
      <w:sz w:val="22"/>
      <w:szCs w:val="22"/>
    </w:rPr>
  </w:style>
  <w:style w:type="paragraph" w:customStyle="1" w:styleId="subsection">
    <w:name w:val="subsection"/>
    <w:basedOn w:val="Normal"/>
    <w:rsid w:val="00265148"/>
    <w:pPr>
      <w:spacing w:before="180"/>
      <w:ind w:left="1134" w:hanging="1134"/>
    </w:pPr>
    <w:rPr>
      <w:sz w:val="22"/>
      <w:szCs w:val="22"/>
    </w:rPr>
  </w:style>
  <w:style w:type="character" w:customStyle="1" w:styleId="HeaderChar">
    <w:name w:val="Header Char"/>
    <w:link w:val="Header"/>
    <w:uiPriority w:val="99"/>
    <w:rsid w:val="00464E41"/>
    <w:rPr>
      <w:snapToGrid w:val="0"/>
      <w:sz w:val="24"/>
      <w:lang w:val="en-US" w:eastAsia="en-US" w:bidi="ar-SA"/>
    </w:rPr>
  </w:style>
  <w:style w:type="paragraph" w:styleId="ListParagraph">
    <w:name w:val="List Paragraph"/>
    <w:basedOn w:val="Normal"/>
    <w:uiPriority w:val="34"/>
    <w:qFormat/>
    <w:rsid w:val="00C14F15"/>
    <w:pPr>
      <w:ind w:left="720"/>
      <w:contextualSpacing/>
    </w:pPr>
  </w:style>
  <w:style w:type="paragraph" w:styleId="ListNumber">
    <w:name w:val="List Number"/>
    <w:basedOn w:val="Normal"/>
    <w:uiPriority w:val="99"/>
    <w:qFormat/>
    <w:rsid w:val="00E8236C"/>
    <w:pPr>
      <w:numPr>
        <w:numId w:val="9"/>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E8236C"/>
    <w:pPr>
      <w:numPr>
        <w:ilvl w:val="1"/>
        <w:numId w:val="9"/>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E8236C"/>
    <w:pPr>
      <w:numPr>
        <w:ilvl w:val="2"/>
        <w:numId w:val="9"/>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E8236C"/>
    <w:pPr>
      <w:numPr>
        <w:ilvl w:val="3"/>
        <w:numId w:val="9"/>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E8236C"/>
    <w:pPr>
      <w:numPr>
        <w:ilvl w:val="4"/>
        <w:numId w:val="9"/>
      </w:numPr>
      <w:spacing w:after="200" w:line="276" w:lineRule="auto"/>
    </w:pPr>
    <w:rPr>
      <w:rFonts w:ascii="Arial" w:eastAsia="Calibri" w:hAnsi="Arial"/>
      <w:sz w:val="22"/>
      <w:szCs w:val="22"/>
      <w:lang w:eastAsia="en-US"/>
    </w:rPr>
  </w:style>
  <w:style w:type="paragraph" w:customStyle="1" w:styleId="Default">
    <w:name w:val="Default"/>
    <w:rsid w:val="00F62E58"/>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F62E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37441">
      <w:bodyDiv w:val="1"/>
      <w:marLeft w:val="0"/>
      <w:marRight w:val="0"/>
      <w:marTop w:val="0"/>
      <w:marBottom w:val="0"/>
      <w:divBdr>
        <w:top w:val="none" w:sz="0" w:space="0" w:color="auto"/>
        <w:left w:val="none" w:sz="0" w:space="0" w:color="auto"/>
        <w:bottom w:val="none" w:sz="0" w:space="0" w:color="auto"/>
        <w:right w:val="none" w:sz="0" w:space="0" w:color="auto"/>
      </w:divBdr>
    </w:div>
    <w:div w:id="296573545">
      <w:bodyDiv w:val="1"/>
      <w:marLeft w:val="0"/>
      <w:marRight w:val="0"/>
      <w:marTop w:val="0"/>
      <w:marBottom w:val="0"/>
      <w:divBdr>
        <w:top w:val="none" w:sz="0" w:space="0" w:color="auto"/>
        <w:left w:val="none" w:sz="0" w:space="0" w:color="auto"/>
        <w:bottom w:val="none" w:sz="0" w:space="0" w:color="auto"/>
        <w:right w:val="none" w:sz="0" w:space="0" w:color="auto"/>
      </w:divBdr>
    </w:div>
    <w:div w:id="754517596">
      <w:bodyDiv w:val="1"/>
      <w:marLeft w:val="0"/>
      <w:marRight w:val="0"/>
      <w:marTop w:val="0"/>
      <w:marBottom w:val="0"/>
      <w:divBdr>
        <w:top w:val="none" w:sz="0" w:space="0" w:color="auto"/>
        <w:left w:val="none" w:sz="0" w:space="0" w:color="auto"/>
        <w:bottom w:val="none" w:sz="0" w:space="0" w:color="auto"/>
        <w:right w:val="none" w:sz="0" w:space="0" w:color="auto"/>
      </w:divBdr>
      <w:divsChild>
        <w:div w:id="942690204">
          <w:marLeft w:val="1134"/>
          <w:marRight w:val="0"/>
          <w:marTop w:val="0"/>
          <w:marBottom w:val="0"/>
          <w:divBdr>
            <w:top w:val="single" w:sz="8" w:space="5" w:color="auto"/>
            <w:left w:val="single" w:sz="8" w:space="5" w:color="auto"/>
            <w:bottom w:val="single" w:sz="8" w:space="5" w:color="auto"/>
            <w:right w:val="single" w:sz="8" w:space="5" w:color="auto"/>
          </w:divBdr>
        </w:div>
      </w:divsChild>
    </w:div>
    <w:div w:id="812990402">
      <w:bodyDiv w:val="1"/>
      <w:marLeft w:val="0"/>
      <w:marRight w:val="0"/>
      <w:marTop w:val="0"/>
      <w:marBottom w:val="0"/>
      <w:divBdr>
        <w:top w:val="none" w:sz="0" w:space="0" w:color="auto"/>
        <w:left w:val="none" w:sz="0" w:space="0" w:color="auto"/>
        <w:bottom w:val="none" w:sz="0" w:space="0" w:color="auto"/>
        <w:right w:val="none" w:sz="0" w:space="0" w:color="auto"/>
      </w:divBdr>
    </w:div>
    <w:div w:id="937131701">
      <w:bodyDiv w:val="1"/>
      <w:marLeft w:val="0"/>
      <w:marRight w:val="0"/>
      <w:marTop w:val="0"/>
      <w:marBottom w:val="0"/>
      <w:divBdr>
        <w:top w:val="none" w:sz="0" w:space="0" w:color="auto"/>
        <w:left w:val="none" w:sz="0" w:space="0" w:color="auto"/>
        <w:bottom w:val="none" w:sz="0" w:space="0" w:color="auto"/>
        <w:right w:val="none" w:sz="0" w:space="0" w:color="auto"/>
      </w:divBdr>
    </w:div>
    <w:div w:id="964896128">
      <w:bodyDiv w:val="1"/>
      <w:marLeft w:val="0"/>
      <w:marRight w:val="0"/>
      <w:marTop w:val="0"/>
      <w:marBottom w:val="0"/>
      <w:divBdr>
        <w:top w:val="none" w:sz="0" w:space="0" w:color="auto"/>
        <w:left w:val="none" w:sz="0" w:space="0" w:color="auto"/>
        <w:bottom w:val="none" w:sz="0" w:space="0" w:color="auto"/>
        <w:right w:val="none" w:sz="0" w:space="0" w:color="auto"/>
      </w:divBdr>
    </w:div>
    <w:div w:id="1036127215">
      <w:bodyDiv w:val="1"/>
      <w:marLeft w:val="0"/>
      <w:marRight w:val="0"/>
      <w:marTop w:val="0"/>
      <w:marBottom w:val="0"/>
      <w:divBdr>
        <w:top w:val="none" w:sz="0" w:space="0" w:color="auto"/>
        <w:left w:val="none" w:sz="0" w:space="0" w:color="auto"/>
        <w:bottom w:val="none" w:sz="0" w:space="0" w:color="auto"/>
        <w:right w:val="none" w:sz="0" w:space="0" w:color="auto"/>
      </w:divBdr>
    </w:div>
    <w:div w:id="1203134661">
      <w:bodyDiv w:val="1"/>
      <w:marLeft w:val="0"/>
      <w:marRight w:val="0"/>
      <w:marTop w:val="0"/>
      <w:marBottom w:val="0"/>
      <w:divBdr>
        <w:top w:val="none" w:sz="0" w:space="0" w:color="auto"/>
        <w:left w:val="none" w:sz="0" w:space="0" w:color="auto"/>
        <w:bottom w:val="none" w:sz="0" w:space="0" w:color="auto"/>
        <w:right w:val="none" w:sz="0" w:space="0" w:color="auto"/>
      </w:divBdr>
    </w:div>
    <w:div w:id="1362198255">
      <w:bodyDiv w:val="1"/>
      <w:marLeft w:val="0"/>
      <w:marRight w:val="0"/>
      <w:marTop w:val="0"/>
      <w:marBottom w:val="0"/>
      <w:divBdr>
        <w:top w:val="none" w:sz="0" w:space="0" w:color="auto"/>
        <w:left w:val="none" w:sz="0" w:space="0" w:color="auto"/>
        <w:bottom w:val="none" w:sz="0" w:space="0" w:color="auto"/>
        <w:right w:val="none" w:sz="0" w:space="0" w:color="auto"/>
      </w:divBdr>
    </w:div>
    <w:div w:id="1500921573">
      <w:bodyDiv w:val="1"/>
      <w:marLeft w:val="0"/>
      <w:marRight w:val="0"/>
      <w:marTop w:val="0"/>
      <w:marBottom w:val="0"/>
      <w:divBdr>
        <w:top w:val="none" w:sz="0" w:space="0" w:color="auto"/>
        <w:left w:val="none" w:sz="0" w:space="0" w:color="auto"/>
        <w:bottom w:val="none" w:sz="0" w:space="0" w:color="auto"/>
        <w:right w:val="none" w:sz="0" w:space="0" w:color="auto"/>
      </w:divBdr>
    </w:div>
    <w:div w:id="1543517894">
      <w:bodyDiv w:val="1"/>
      <w:marLeft w:val="0"/>
      <w:marRight w:val="0"/>
      <w:marTop w:val="0"/>
      <w:marBottom w:val="0"/>
      <w:divBdr>
        <w:top w:val="none" w:sz="0" w:space="0" w:color="auto"/>
        <w:left w:val="none" w:sz="0" w:space="0" w:color="auto"/>
        <w:bottom w:val="none" w:sz="0" w:space="0" w:color="auto"/>
        <w:right w:val="none" w:sz="0" w:space="0" w:color="auto"/>
      </w:divBdr>
      <w:divsChild>
        <w:div w:id="1222255164">
          <w:marLeft w:val="0"/>
          <w:marRight w:val="0"/>
          <w:marTop w:val="0"/>
          <w:marBottom w:val="0"/>
          <w:divBdr>
            <w:top w:val="none" w:sz="0" w:space="0" w:color="auto"/>
            <w:left w:val="none" w:sz="0" w:space="0" w:color="auto"/>
            <w:bottom w:val="none" w:sz="0" w:space="0" w:color="auto"/>
            <w:right w:val="none" w:sz="0" w:space="0" w:color="auto"/>
          </w:divBdr>
          <w:divsChild>
            <w:div w:id="1593050658">
              <w:marLeft w:val="0"/>
              <w:marRight w:val="0"/>
              <w:marTop w:val="0"/>
              <w:marBottom w:val="0"/>
              <w:divBdr>
                <w:top w:val="none" w:sz="0" w:space="0" w:color="auto"/>
                <w:left w:val="none" w:sz="0" w:space="0" w:color="auto"/>
                <w:bottom w:val="none" w:sz="0" w:space="0" w:color="auto"/>
                <w:right w:val="none" w:sz="0" w:space="0" w:color="auto"/>
              </w:divBdr>
              <w:divsChild>
                <w:div w:id="1750078267">
                  <w:marLeft w:val="0"/>
                  <w:marRight w:val="0"/>
                  <w:marTop w:val="0"/>
                  <w:marBottom w:val="0"/>
                  <w:divBdr>
                    <w:top w:val="none" w:sz="0" w:space="0" w:color="auto"/>
                    <w:left w:val="none" w:sz="0" w:space="0" w:color="auto"/>
                    <w:bottom w:val="none" w:sz="0" w:space="0" w:color="auto"/>
                    <w:right w:val="none" w:sz="0" w:space="0" w:color="auto"/>
                  </w:divBdr>
                  <w:divsChild>
                    <w:div w:id="2028865756">
                      <w:marLeft w:val="0"/>
                      <w:marRight w:val="0"/>
                      <w:marTop w:val="0"/>
                      <w:marBottom w:val="0"/>
                      <w:divBdr>
                        <w:top w:val="none" w:sz="0" w:space="0" w:color="auto"/>
                        <w:left w:val="none" w:sz="0" w:space="0" w:color="auto"/>
                        <w:bottom w:val="none" w:sz="0" w:space="0" w:color="auto"/>
                        <w:right w:val="none" w:sz="0" w:space="0" w:color="auto"/>
                      </w:divBdr>
                      <w:divsChild>
                        <w:div w:id="1301692724">
                          <w:marLeft w:val="0"/>
                          <w:marRight w:val="0"/>
                          <w:marTop w:val="0"/>
                          <w:marBottom w:val="0"/>
                          <w:divBdr>
                            <w:top w:val="single" w:sz="6" w:space="0" w:color="828282"/>
                            <w:left w:val="single" w:sz="6" w:space="0" w:color="828282"/>
                            <w:bottom w:val="single" w:sz="6" w:space="0" w:color="828282"/>
                            <w:right w:val="single" w:sz="6" w:space="0" w:color="828282"/>
                          </w:divBdr>
                          <w:divsChild>
                            <w:div w:id="391539495">
                              <w:marLeft w:val="0"/>
                              <w:marRight w:val="0"/>
                              <w:marTop w:val="0"/>
                              <w:marBottom w:val="0"/>
                              <w:divBdr>
                                <w:top w:val="none" w:sz="0" w:space="0" w:color="auto"/>
                                <w:left w:val="none" w:sz="0" w:space="0" w:color="auto"/>
                                <w:bottom w:val="none" w:sz="0" w:space="0" w:color="auto"/>
                                <w:right w:val="none" w:sz="0" w:space="0" w:color="auto"/>
                              </w:divBdr>
                              <w:divsChild>
                                <w:div w:id="1574121266">
                                  <w:marLeft w:val="0"/>
                                  <w:marRight w:val="0"/>
                                  <w:marTop w:val="0"/>
                                  <w:marBottom w:val="0"/>
                                  <w:divBdr>
                                    <w:top w:val="none" w:sz="0" w:space="0" w:color="auto"/>
                                    <w:left w:val="none" w:sz="0" w:space="0" w:color="auto"/>
                                    <w:bottom w:val="none" w:sz="0" w:space="0" w:color="auto"/>
                                    <w:right w:val="none" w:sz="0" w:space="0" w:color="auto"/>
                                  </w:divBdr>
                                  <w:divsChild>
                                    <w:div w:id="739059682">
                                      <w:marLeft w:val="0"/>
                                      <w:marRight w:val="0"/>
                                      <w:marTop w:val="0"/>
                                      <w:marBottom w:val="0"/>
                                      <w:divBdr>
                                        <w:top w:val="none" w:sz="0" w:space="0" w:color="auto"/>
                                        <w:left w:val="none" w:sz="0" w:space="0" w:color="auto"/>
                                        <w:bottom w:val="none" w:sz="0" w:space="0" w:color="auto"/>
                                        <w:right w:val="none" w:sz="0" w:space="0" w:color="auto"/>
                                      </w:divBdr>
                                      <w:divsChild>
                                        <w:div w:id="769786351">
                                          <w:marLeft w:val="0"/>
                                          <w:marRight w:val="0"/>
                                          <w:marTop w:val="0"/>
                                          <w:marBottom w:val="0"/>
                                          <w:divBdr>
                                            <w:top w:val="none" w:sz="0" w:space="0" w:color="auto"/>
                                            <w:left w:val="none" w:sz="0" w:space="0" w:color="auto"/>
                                            <w:bottom w:val="none" w:sz="0" w:space="0" w:color="auto"/>
                                            <w:right w:val="none" w:sz="0" w:space="0" w:color="auto"/>
                                          </w:divBdr>
                                          <w:divsChild>
                                            <w:div w:id="1229196093">
                                              <w:marLeft w:val="0"/>
                                              <w:marRight w:val="0"/>
                                              <w:marTop w:val="0"/>
                                              <w:marBottom w:val="0"/>
                                              <w:divBdr>
                                                <w:top w:val="none" w:sz="0" w:space="0" w:color="auto"/>
                                                <w:left w:val="none" w:sz="0" w:space="0" w:color="auto"/>
                                                <w:bottom w:val="none" w:sz="0" w:space="0" w:color="auto"/>
                                                <w:right w:val="none" w:sz="0" w:space="0" w:color="auto"/>
                                              </w:divBdr>
                                              <w:divsChild>
                                                <w:div w:id="17497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401649">
      <w:bodyDiv w:val="1"/>
      <w:marLeft w:val="0"/>
      <w:marRight w:val="0"/>
      <w:marTop w:val="0"/>
      <w:marBottom w:val="0"/>
      <w:divBdr>
        <w:top w:val="none" w:sz="0" w:space="0" w:color="auto"/>
        <w:left w:val="none" w:sz="0" w:space="0" w:color="auto"/>
        <w:bottom w:val="none" w:sz="0" w:space="0" w:color="auto"/>
        <w:right w:val="none" w:sz="0" w:space="0" w:color="auto"/>
      </w:divBdr>
    </w:div>
    <w:div w:id="1982344114">
      <w:bodyDiv w:val="1"/>
      <w:marLeft w:val="0"/>
      <w:marRight w:val="0"/>
      <w:marTop w:val="0"/>
      <w:marBottom w:val="0"/>
      <w:divBdr>
        <w:top w:val="none" w:sz="0" w:space="0" w:color="auto"/>
        <w:left w:val="none" w:sz="0" w:space="0" w:color="auto"/>
        <w:bottom w:val="none" w:sz="0" w:space="0" w:color="auto"/>
        <w:right w:val="none" w:sz="0" w:space="0" w:color="auto"/>
      </w:divBdr>
    </w:div>
    <w:div w:id="2013336565">
      <w:bodyDiv w:val="1"/>
      <w:marLeft w:val="0"/>
      <w:marRight w:val="0"/>
      <w:marTop w:val="0"/>
      <w:marBottom w:val="0"/>
      <w:divBdr>
        <w:top w:val="none" w:sz="0" w:space="0" w:color="auto"/>
        <w:left w:val="none" w:sz="0" w:space="0" w:color="auto"/>
        <w:bottom w:val="none" w:sz="0" w:space="0" w:color="auto"/>
        <w:right w:val="none" w:sz="0" w:space="0" w:color="auto"/>
      </w:divBdr>
    </w:div>
    <w:div w:id="2032798987">
      <w:bodyDiv w:val="1"/>
      <w:marLeft w:val="0"/>
      <w:marRight w:val="0"/>
      <w:marTop w:val="0"/>
      <w:marBottom w:val="0"/>
      <w:divBdr>
        <w:top w:val="none" w:sz="0" w:space="0" w:color="auto"/>
        <w:left w:val="none" w:sz="0" w:space="0" w:color="auto"/>
        <w:bottom w:val="none" w:sz="0" w:space="0" w:color="auto"/>
        <w:right w:val="none" w:sz="0" w:space="0" w:color="auto"/>
      </w:divBdr>
    </w:div>
    <w:div w:id="20758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89A487F-9855-4890-A2FA-68CF8D9A7E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92F5BDDA65ED64B9D0E133DD9F6DE89" ma:contentTypeVersion="" ma:contentTypeDescription="PDMS Document Site Content Type" ma:contentTypeScope="" ma:versionID="03de4943f1d1ab1f929fc7e66a83c12b">
  <xsd:schema xmlns:xsd="http://www.w3.org/2001/XMLSchema" xmlns:xs="http://www.w3.org/2001/XMLSchema" xmlns:p="http://schemas.microsoft.com/office/2006/metadata/properties" xmlns:ns2="289A487F-9855-4890-A2FA-68CF8D9A7E4F" targetNamespace="http://schemas.microsoft.com/office/2006/metadata/properties" ma:root="true" ma:fieldsID="d20ac01d4e243a2b873679117263a72a" ns2:_="">
    <xsd:import namespace="289A487F-9855-4890-A2FA-68CF8D9A7E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A487F-9855-4890-A2FA-68CF8D9A7E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CDAB9-0651-4DDA-8F16-AD377522DB2D}">
  <ds:schemaRefs>
    <ds:schemaRef ds:uri="http://schemas.microsoft.com/office/2006/metadata/properties"/>
    <ds:schemaRef ds:uri="289A487F-9855-4890-A2FA-68CF8D9A7E4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44006D9-5B86-43F6-9C34-80AE83CD5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A487F-9855-4890-A2FA-68CF8D9A7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43E6F-2829-41C3-A817-6FE7B9E30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1165</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
  <cp:keywords/>
  <cp:lastModifiedBy/>
  <cp:revision>1</cp:revision>
  <cp:lastPrinted>2012-05-16T23:29:00Z</cp:lastPrinted>
  <dcterms:created xsi:type="dcterms:W3CDTF">2020-03-29T22:22:00Z</dcterms:created>
  <dcterms:modified xsi:type="dcterms:W3CDTF">2020-03-30T01:24:00Z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