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2DA5C" w14:textId="77777777" w:rsidR="00543981" w:rsidRPr="00543981" w:rsidRDefault="0009111F" w:rsidP="00ED467E">
      <w:pPr>
        <w:pStyle w:val="Header"/>
        <w:pBdr>
          <w:top w:val="double" w:sz="4" w:space="1" w:color="auto"/>
          <w:bottom w:val="double" w:sz="4" w:space="1" w:color="auto"/>
        </w:pBdr>
        <w:tabs>
          <w:tab w:val="clear" w:pos="4153"/>
          <w:tab w:val="clear" w:pos="8306"/>
        </w:tabs>
        <w:jc w:val="center"/>
        <w:rPr>
          <w:rFonts w:ascii="Arial" w:hAnsi="Arial" w:cs="Arial"/>
          <w:sz w:val="34"/>
          <w:szCs w:val="34"/>
        </w:rPr>
      </w:pPr>
      <w:r w:rsidRPr="00543981">
        <w:rPr>
          <w:rFonts w:ascii="Arial" w:hAnsi="Arial" w:cs="Arial"/>
          <w:sz w:val="34"/>
          <w:szCs w:val="34"/>
        </w:rPr>
        <w:t>Legislative Instrument</w:t>
      </w:r>
    </w:p>
    <w:p w14:paraId="57D56E0D" w14:textId="228D506B" w:rsidR="007A010E" w:rsidRPr="00543981" w:rsidRDefault="007A010E" w:rsidP="00ED467E">
      <w:pPr>
        <w:pStyle w:val="Header"/>
        <w:pBdr>
          <w:top w:val="double" w:sz="4" w:space="1" w:color="auto"/>
          <w:bottom w:val="double" w:sz="4" w:space="1" w:color="auto"/>
        </w:pBdr>
        <w:tabs>
          <w:tab w:val="clear" w:pos="4153"/>
          <w:tab w:val="clear" w:pos="8306"/>
        </w:tabs>
        <w:rPr>
          <w:rFonts w:ascii="Arial" w:hAnsi="Arial" w:cs="Arial"/>
          <w:sz w:val="34"/>
          <w:szCs w:val="34"/>
        </w:rPr>
      </w:pPr>
    </w:p>
    <w:p w14:paraId="5D42445C" w14:textId="7F325EC6" w:rsidR="00543981" w:rsidRPr="00543981" w:rsidRDefault="00DE188C" w:rsidP="00ED467E">
      <w:pPr>
        <w:pStyle w:val="Header"/>
        <w:pBdr>
          <w:top w:val="double" w:sz="4" w:space="1" w:color="auto"/>
          <w:bottom w:val="double" w:sz="4" w:space="1" w:color="auto"/>
        </w:pBdr>
        <w:tabs>
          <w:tab w:val="clear" w:pos="4153"/>
          <w:tab w:val="clear" w:pos="8306"/>
        </w:tabs>
        <w:jc w:val="center"/>
        <w:rPr>
          <w:rFonts w:ascii="Arial" w:hAnsi="Arial" w:cs="Arial"/>
          <w:sz w:val="34"/>
          <w:szCs w:val="34"/>
        </w:rPr>
      </w:pPr>
      <w:r>
        <w:rPr>
          <w:rFonts w:ascii="Arial" w:hAnsi="Arial" w:cs="Arial"/>
          <w:sz w:val="34"/>
          <w:szCs w:val="34"/>
        </w:rPr>
        <w:t>A New Tax System (Goods and Services Tax) Margin Scheme Valuat</w:t>
      </w:r>
      <w:r w:rsidR="00AF447C">
        <w:rPr>
          <w:rFonts w:ascii="Arial" w:hAnsi="Arial" w:cs="Arial"/>
          <w:sz w:val="34"/>
          <w:szCs w:val="34"/>
        </w:rPr>
        <w:t xml:space="preserve">ion Requirements Determination </w:t>
      </w:r>
      <w:r>
        <w:rPr>
          <w:rFonts w:ascii="Arial" w:hAnsi="Arial" w:cs="Arial"/>
          <w:sz w:val="34"/>
          <w:szCs w:val="34"/>
        </w:rPr>
        <w:t>2020</w:t>
      </w:r>
    </w:p>
    <w:p w14:paraId="3BF9507A" w14:textId="338A5742" w:rsidR="000A1078" w:rsidRPr="00410152" w:rsidRDefault="000A1078" w:rsidP="00ED467E">
      <w:pPr>
        <w:rPr>
          <w:rFonts w:ascii="Arial" w:hAnsi="Arial" w:cs="Arial"/>
          <w:sz w:val="22"/>
          <w:szCs w:val="22"/>
        </w:rPr>
      </w:pPr>
    </w:p>
    <w:p w14:paraId="133A6C87" w14:textId="77777777" w:rsidR="00B813C3" w:rsidRPr="00410152" w:rsidRDefault="00B813C3" w:rsidP="00ED467E">
      <w:pPr>
        <w:rPr>
          <w:rFonts w:ascii="Arial" w:hAnsi="Arial" w:cs="Arial"/>
          <w:sz w:val="22"/>
          <w:szCs w:val="22"/>
        </w:rPr>
      </w:pPr>
    </w:p>
    <w:p w14:paraId="13790D4F" w14:textId="0BD18CCA" w:rsidR="00AF447C" w:rsidRPr="00AF447C" w:rsidRDefault="00B813C3" w:rsidP="00ED467E">
      <w:pPr>
        <w:spacing w:after="120"/>
        <w:rPr>
          <w:rFonts w:ascii="Arial" w:hAnsi="Arial" w:cs="Arial"/>
          <w:sz w:val="22"/>
          <w:szCs w:val="22"/>
        </w:rPr>
      </w:pPr>
      <w:r w:rsidRPr="00AF447C">
        <w:rPr>
          <w:rFonts w:ascii="Arial" w:hAnsi="Arial" w:cs="Arial"/>
          <w:sz w:val="22"/>
          <w:szCs w:val="22"/>
        </w:rPr>
        <w:t>I, Louise Clarke, Deputy Commissioner of Taxation, Policy, Analysis and Legislation</w:t>
      </w:r>
      <w:r w:rsidR="0088249E" w:rsidRPr="00543981">
        <w:rPr>
          <w:rFonts w:ascii="Arial" w:hAnsi="Arial" w:cs="Arial"/>
          <w:sz w:val="22"/>
          <w:szCs w:val="22"/>
        </w:rPr>
        <w:t>,</w:t>
      </w:r>
      <w:r w:rsidR="0088249E" w:rsidRPr="002869D0">
        <w:t xml:space="preserve"> </w:t>
      </w:r>
      <w:r w:rsidR="0088249E" w:rsidRPr="002869D0">
        <w:rPr>
          <w:rFonts w:ascii="Arial" w:hAnsi="Arial" w:cs="Arial"/>
          <w:sz w:val="22"/>
          <w:szCs w:val="22"/>
        </w:rPr>
        <w:t>Law Design and Practice</w:t>
      </w:r>
      <w:r w:rsidRPr="00AF447C">
        <w:rPr>
          <w:rFonts w:ascii="Arial" w:hAnsi="Arial" w:cs="Arial"/>
          <w:sz w:val="22"/>
          <w:szCs w:val="22"/>
        </w:rPr>
        <w:t xml:space="preserve">, make this determination under </w:t>
      </w:r>
      <w:r w:rsidR="00CA79F6">
        <w:rPr>
          <w:rFonts w:ascii="Arial" w:hAnsi="Arial" w:cs="Arial"/>
          <w:sz w:val="22"/>
          <w:szCs w:val="22"/>
        </w:rPr>
        <w:t>s</w:t>
      </w:r>
      <w:r w:rsidR="001D460D" w:rsidRPr="00AF447C">
        <w:rPr>
          <w:rFonts w:ascii="Arial" w:hAnsi="Arial" w:cs="Arial"/>
          <w:sz w:val="22"/>
          <w:szCs w:val="22"/>
        </w:rPr>
        <w:t>ubsection</w:t>
      </w:r>
      <w:r w:rsidR="00DE188C" w:rsidRPr="00AF447C">
        <w:rPr>
          <w:rFonts w:ascii="Arial" w:hAnsi="Arial" w:cs="Arial"/>
          <w:sz w:val="22"/>
          <w:szCs w:val="22"/>
        </w:rPr>
        <w:t xml:space="preserve"> 75</w:t>
      </w:r>
      <w:r w:rsidR="00DE7310">
        <w:rPr>
          <w:rFonts w:ascii="Arial" w:hAnsi="Arial" w:cs="Arial"/>
          <w:sz w:val="22"/>
          <w:szCs w:val="22"/>
        </w:rPr>
        <w:noBreakHyphen/>
      </w:r>
      <w:r w:rsidR="00DE188C" w:rsidRPr="00AF447C">
        <w:rPr>
          <w:rFonts w:ascii="Arial" w:hAnsi="Arial" w:cs="Arial"/>
          <w:sz w:val="22"/>
          <w:szCs w:val="22"/>
        </w:rPr>
        <w:t xml:space="preserve">35(1) of the </w:t>
      </w:r>
      <w:r w:rsidR="00DE188C" w:rsidRPr="0045552B">
        <w:rPr>
          <w:rFonts w:ascii="Arial" w:hAnsi="Arial" w:cs="Arial"/>
          <w:i/>
          <w:sz w:val="22"/>
          <w:szCs w:val="22"/>
        </w:rPr>
        <w:t>A New Tax System (Goods and Services Tax) Act 1999</w:t>
      </w:r>
      <w:r w:rsidR="00AF447C">
        <w:rPr>
          <w:rFonts w:ascii="Arial" w:hAnsi="Arial" w:cs="Arial"/>
          <w:sz w:val="22"/>
          <w:szCs w:val="22"/>
        </w:rPr>
        <w:t>.</w:t>
      </w:r>
    </w:p>
    <w:p w14:paraId="71225D73" w14:textId="7B5F5627" w:rsidR="00B813C3" w:rsidRPr="00AF447C" w:rsidRDefault="00B813C3" w:rsidP="00ED467E">
      <w:pPr>
        <w:rPr>
          <w:rFonts w:ascii="Arial" w:hAnsi="Arial" w:cs="Arial"/>
          <w:sz w:val="22"/>
          <w:szCs w:val="22"/>
        </w:rPr>
      </w:pPr>
    </w:p>
    <w:p w14:paraId="4E67F1B9" w14:textId="77777777" w:rsidR="00B813C3" w:rsidRPr="00AF447C" w:rsidRDefault="00B813C3" w:rsidP="00ED467E">
      <w:pPr>
        <w:rPr>
          <w:rFonts w:ascii="Arial" w:hAnsi="Arial" w:cs="Arial"/>
          <w:sz w:val="22"/>
          <w:szCs w:val="22"/>
        </w:rPr>
      </w:pPr>
    </w:p>
    <w:p w14:paraId="04B12419" w14:textId="77777777" w:rsidR="00B813C3" w:rsidRPr="00AF447C" w:rsidRDefault="00B813C3" w:rsidP="00ED467E">
      <w:pPr>
        <w:rPr>
          <w:rFonts w:ascii="Arial" w:hAnsi="Arial" w:cs="Arial"/>
          <w:b/>
          <w:sz w:val="22"/>
          <w:szCs w:val="22"/>
        </w:rPr>
      </w:pPr>
      <w:r w:rsidRPr="00AF447C">
        <w:rPr>
          <w:rFonts w:ascii="Arial" w:hAnsi="Arial" w:cs="Arial"/>
          <w:b/>
          <w:sz w:val="22"/>
          <w:szCs w:val="22"/>
        </w:rPr>
        <w:t>Louise Clarke</w:t>
      </w:r>
    </w:p>
    <w:p w14:paraId="039805C2" w14:textId="77777777" w:rsidR="0088249E" w:rsidRDefault="0088249E" w:rsidP="0088249E">
      <w:pPr>
        <w:rPr>
          <w:rFonts w:ascii="Arial" w:hAnsi="Arial" w:cs="Arial"/>
          <w:sz w:val="22"/>
          <w:szCs w:val="22"/>
        </w:rPr>
      </w:pPr>
      <w:r w:rsidRPr="00543981">
        <w:rPr>
          <w:rFonts w:ascii="Arial" w:hAnsi="Arial" w:cs="Arial"/>
          <w:sz w:val="22"/>
          <w:szCs w:val="22"/>
        </w:rPr>
        <w:t>Deputy Commissioner of Taxation</w:t>
      </w:r>
    </w:p>
    <w:p w14:paraId="7A2185B7" w14:textId="77777777" w:rsidR="0088249E" w:rsidRDefault="0088249E" w:rsidP="0088249E">
      <w:pPr>
        <w:rPr>
          <w:rFonts w:ascii="Arial" w:hAnsi="Arial" w:cs="Arial"/>
          <w:sz w:val="22"/>
          <w:szCs w:val="22"/>
        </w:rPr>
      </w:pPr>
      <w:r w:rsidRPr="00543981">
        <w:rPr>
          <w:rFonts w:ascii="Arial" w:hAnsi="Arial" w:cs="Arial"/>
          <w:sz w:val="22"/>
          <w:szCs w:val="22"/>
        </w:rPr>
        <w:t>Policy, Analysis and Legislation</w:t>
      </w:r>
    </w:p>
    <w:p w14:paraId="3833D1E1" w14:textId="6C642A63" w:rsidR="001F15B2" w:rsidRDefault="0088249E" w:rsidP="0088249E">
      <w:pPr>
        <w:rPr>
          <w:rFonts w:ascii="Arial" w:hAnsi="Arial" w:cs="Arial"/>
          <w:sz w:val="22"/>
          <w:szCs w:val="22"/>
        </w:rPr>
      </w:pPr>
      <w:r w:rsidRPr="002869D0">
        <w:rPr>
          <w:rFonts w:ascii="Arial" w:hAnsi="Arial" w:cs="Arial"/>
          <w:sz w:val="22"/>
          <w:szCs w:val="22"/>
        </w:rPr>
        <w:t>Law Design and Practice</w:t>
      </w:r>
    </w:p>
    <w:p w14:paraId="59BB0D60" w14:textId="40BDCD75" w:rsidR="001F15B2" w:rsidRPr="00543981" w:rsidRDefault="001F15B2" w:rsidP="0088249E">
      <w:pPr>
        <w:rPr>
          <w:rFonts w:ascii="Arial" w:hAnsi="Arial" w:cs="Arial"/>
          <w:sz w:val="22"/>
          <w:szCs w:val="22"/>
        </w:rPr>
      </w:pPr>
      <w:r>
        <w:rPr>
          <w:rFonts w:ascii="Arial" w:hAnsi="Arial" w:cs="Arial"/>
          <w:sz w:val="22"/>
          <w:szCs w:val="22"/>
        </w:rPr>
        <w:t>Dated: 16/03/2020</w:t>
      </w:r>
      <w:bookmarkStart w:id="0" w:name="_GoBack"/>
      <w:bookmarkEnd w:id="0"/>
    </w:p>
    <w:p w14:paraId="7AA926C8" w14:textId="77777777" w:rsidR="00B813C3" w:rsidRPr="00AF447C" w:rsidRDefault="00B813C3" w:rsidP="00ED467E">
      <w:pPr>
        <w:pBdr>
          <w:bottom w:val="double" w:sz="4" w:space="1" w:color="auto"/>
        </w:pBdr>
        <w:rPr>
          <w:rFonts w:ascii="Arial" w:hAnsi="Arial" w:cs="Arial"/>
          <w:sz w:val="22"/>
          <w:szCs w:val="22"/>
        </w:rPr>
      </w:pPr>
    </w:p>
    <w:p w14:paraId="4641BA6C" w14:textId="77777777" w:rsidR="00B813C3" w:rsidRPr="00AF447C" w:rsidRDefault="00B813C3" w:rsidP="00ED467E">
      <w:pPr>
        <w:spacing w:after="120"/>
        <w:rPr>
          <w:rFonts w:ascii="Arial" w:hAnsi="Arial" w:cs="Arial"/>
          <w:sz w:val="22"/>
          <w:szCs w:val="22"/>
        </w:rPr>
      </w:pPr>
    </w:p>
    <w:p w14:paraId="62998D23" w14:textId="77777777" w:rsidR="00B813C3" w:rsidRPr="00AF447C" w:rsidRDefault="00B813C3" w:rsidP="00ED467E">
      <w:pPr>
        <w:pStyle w:val="Heading2"/>
        <w:numPr>
          <w:ilvl w:val="0"/>
          <w:numId w:val="2"/>
        </w:numPr>
        <w:tabs>
          <w:tab w:val="clear" w:pos="720"/>
        </w:tabs>
        <w:ind w:left="709" w:hanging="709"/>
        <w:rPr>
          <w:rFonts w:cs="Arial"/>
          <w:szCs w:val="22"/>
        </w:rPr>
      </w:pPr>
      <w:r w:rsidRPr="00AF447C">
        <w:rPr>
          <w:rFonts w:cs="Arial"/>
          <w:szCs w:val="22"/>
        </w:rPr>
        <w:t>Name of instrument</w:t>
      </w:r>
    </w:p>
    <w:p w14:paraId="2B89822F" w14:textId="5F43BA47" w:rsidR="00624504" w:rsidRPr="00AF447C" w:rsidRDefault="00B813C3" w:rsidP="00ED467E">
      <w:pPr>
        <w:spacing w:after="120"/>
        <w:rPr>
          <w:rFonts w:ascii="Arial" w:hAnsi="Arial" w:cs="Arial"/>
          <w:sz w:val="22"/>
          <w:szCs w:val="22"/>
        </w:rPr>
      </w:pPr>
      <w:r w:rsidRPr="00AF447C">
        <w:rPr>
          <w:rFonts w:ascii="Arial" w:hAnsi="Arial" w:cs="Arial"/>
          <w:sz w:val="22"/>
          <w:szCs w:val="22"/>
        </w:rPr>
        <w:t xml:space="preserve">This determination is the </w:t>
      </w:r>
      <w:r w:rsidR="00DE188C" w:rsidRPr="00AF447C">
        <w:rPr>
          <w:rFonts w:ascii="Arial" w:hAnsi="Arial" w:cs="Arial"/>
          <w:i/>
          <w:sz w:val="22"/>
          <w:szCs w:val="22"/>
        </w:rPr>
        <w:t>A New Tax System (Goods and Services Tax) Margin Scheme Valuation Requirements Determination 2020</w:t>
      </w:r>
      <w:r w:rsidR="001D460D" w:rsidRPr="00AF447C">
        <w:rPr>
          <w:rFonts w:ascii="Arial" w:hAnsi="Arial" w:cs="Arial"/>
          <w:sz w:val="22"/>
          <w:szCs w:val="22"/>
        </w:rPr>
        <w:t>.</w:t>
      </w:r>
    </w:p>
    <w:p w14:paraId="1AF06622" w14:textId="77777777" w:rsidR="00B813C3" w:rsidRPr="00AF447C" w:rsidRDefault="00B813C3" w:rsidP="00ED467E">
      <w:pPr>
        <w:spacing w:after="120"/>
        <w:rPr>
          <w:rFonts w:ascii="Arial" w:hAnsi="Arial" w:cs="Arial"/>
          <w:sz w:val="22"/>
          <w:szCs w:val="22"/>
        </w:rPr>
      </w:pPr>
    </w:p>
    <w:p w14:paraId="138AD542" w14:textId="77777777" w:rsidR="00B813C3" w:rsidRPr="00AF447C" w:rsidRDefault="00B813C3" w:rsidP="00ED467E">
      <w:pPr>
        <w:pStyle w:val="Heading2"/>
        <w:numPr>
          <w:ilvl w:val="0"/>
          <w:numId w:val="2"/>
        </w:numPr>
        <w:tabs>
          <w:tab w:val="clear" w:pos="720"/>
        </w:tabs>
        <w:ind w:left="709" w:hanging="709"/>
        <w:rPr>
          <w:rFonts w:cs="Arial"/>
          <w:szCs w:val="22"/>
        </w:rPr>
      </w:pPr>
      <w:r w:rsidRPr="00AF447C">
        <w:rPr>
          <w:rFonts w:cs="Arial"/>
          <w:szCs w:val="22"/>
        </w:rPr>
        <w:t>Commencement</w:t>
      </w:r>
    </w:p>
    <w:p w14:paraId="50241393" w14:textId="444E19BF" w:rsidR="00B813C3" w:rsidRPr="00AF447C" w:rsidRDefault="00B813C3" w:rsidP="00ED467E">
      <w:pPr>
        <w:spacing w:after="120"/>
        <w:rPr>
          <w:rFonts w:ascii="Arial" w:hAnsi="Arial" w:cs="Arial"/>
          <w:sz w:val="22"/>
          <w:szCs w:val="22"/>
        </w:rPr>
      </w:pPr>
      <w:r w:rsidRPr="00AF447C">
        <w:rPr>
          <w:rFonts w:ascii="Arial" w:hAnsi="Arial" w:cs="Arial"/>
          <w:sz w:val="22"/>
          <w:szCs w:val="22"/>
        </w:rPr>
        <w:t xml:space="preserve">This instrument commences on </w:t>
      </w:r>
      <w:r w:rsidR="00125A6B" w:rsidRPr="00AF447C">
        <w:rPr>
          <w:rFonts w:ascii="Arial" w:hAnsi="Arial" w:cs="Arial"/>
          <w:sz w:val="22"/>
          <w:szCs w:val="22"/>
        </w:rPr>
        <w:t xml:space="preserve">the day after it is registered </w:t>
      </w:r>
      <w:r w:rsidR="00C43CCB" w:rsidRPr="00AF447C">
        <w:rPr>
          <w:rFonts w:ascii="Arial" w:hAnsi="Arial" w:cs="Arial"/>
          <w:sz w:val="22"/>
          <w:szCs w:val="22"/>
        </w:rPr>
        <w:t>on the Federal Register of Legislation</w:t>
      </w:r>
      <w:r w:rsidR="00DE188C" w:rsidRPr="00AF447C">
        <w:rPr>
          <w:rFonts w:ascii="Arial" w:hAnsi="Arial" w:cs="Arial"/>
          <w:sz w:val="22"/>
          <w:szCs w:val="22"/>
        </w:rPr>
        <w:t>.</w:t>
      </w:r>
    </w:p>
    <w:p w14:paraId="130FDD00" w14:textId="77777777" w:rsidR="00B813C3" w:rsidRPr="00AF447C" w:rsidRDefault="00B813C3" w:rsidP="00ED467E">
      <w:pPr>
        <w:spacing w:after="120"/>
        <w:rPr>
          <w:rFonts w:ascii="Arial" w:hAnsi="Arial" w:cs="Arial"/>
          <w:sz w:val="22"/>
          <w:szCs w:val="22"/>
        </w:rPr>
      </w:pPr>
    </w:p>
    <w:p w14:paraId="629E005F" w14:textId="77777777" w:rsidR="00B813C3" w:rsidRPr="00AF447C" w:rsidRDefault="00B813C3" w:rsidP="00ED467E">
      <w:pPr>
        <w:pStyle w:val="Heading2"/>
        <w:numPr>
          <w:ilvl w:val="0"/>
          <w:numId w:val="2"/>
        </w:numPr>
        <w:tabs>
          <w:tab w:val="clear" w:pos="720"/>
        </w:tabs>
        <w:ind w:left="709" w:hanging="709"/>
        <w:rPr>
          <w:rFonts w:cs="Arial"/>
          <w:szCs w:val="22"/>
        </w:rPr>
      </w:pPr>
      <w:r w:rsidRPr="00AF447C">
        <w:rPr>
          <w:rFonts w:cs="Arial"/>
          <w:szCs w:val="22"/>
        </w:rPr>
        <w:t>Application</w:t>
      </w:r>
    </w:p>
    <w:p w14:paraId="2C90C487" w14:textId="4A0338A2" w:rsidR="00B813C3" w:rsidRPr="00AF447C" w:rsidRDefault="00DE188C" w:rsidP="00ED467E">
      <w:pPr>
        <w:spacing w:after="120"/>
        <w:rPr>
          <w:rFonts w:ascii="Arial" w:hAnsi="Arial" w:cs="Arial"/>
          <w:sz w:val="22"/>
          <w:szCs w:val="22"/>
        </w:rPr>
      </w:pPr>
      <w:r w:rsidRPr="00AF447C">
        <w:rPr>
          <w:rFonts w:ascii="Arial" w:hAnsi="Arial" w:cs="Arial"/>
          <w:sz w:val="22"/>
          <w:szCs w:val="22"/>
        </w:rPr>
        <w:t>This determination specifies the requirements for making valuations for the purposes of applying the margin scheme in Division 75</w:t>
      </w:r>
      <w:r w:rsidR="00CA79F6">
        <w:rPr>
          <w:rFonts w:ascii="Arial" w:hAnsi="Arial" w:cs="Arial"/>
          <w:sz w:val="22"/>
          <w:szCs w:val="22"/>
        </w:rPr>
        <w:t xml:space="preserve"> of the GST Act</w:t>
      </w:r>
      <w:r w:rsidRPr="00AF447C">
        <w:rPr>
          <w:rFonts w:ascii="Arial" w:hAnsi="Arial" w:cs="Arial"/>
          <w:sz w:val="22"/>
          <w:szCs w:val="22"/>
        </w:rPr>
        <w:t>. The requirements apply to valuations for taxable supplies of real property made on or after 1 March 2010.</w:t>
      </w:r>
    </w:p>
    <w:p w14:paraId="6A95999B" w14:textId="0F918472" w:rsidR="00DE188C" w:rsidRPr="00AF447C" w:rsidRDefault="00DE188C" w:rsidP="00ED467E">
      <w:pPr>
        <w:spacing w:after="120"/>
        <w:rPr>
          <w:rFonts w:ascii="Arial" w:hAnsi="Arial" w:cs="Arial"/>
          <w:sz w:val="22"/>
          <w:szCs w:val="22"/>
        </w:rPr>
      </w:pPr>
      <w:r w:rsidRPr="00AF447C">
        <w:rPr>
          <w:rFonts w:ascii="Arial" w:hAnsi="Arial" w:cs="Arial"/>
          <w:sz w:val="22"/>
          <w:szCs w:val="22"/>
        </w:rPr>
        <w:t>This determination also specifies requirements for making valuations obtained by the Commissioner for the purposes of applying the margin scheme</w:t>
      </w:r>
      <w:r w:rsidR="00807626" w:rsidRPr="00AF447C">
        <w:rPr>
          <w:rFonts w:ascii="Arial" w:hAnsi="Arial" w:cs="Arial"/>
          <w:sz w:val="22"/>
          <w:szCs w:val="22"/>
        </w:rPr>
        <w:t xml:space="preserve"> in specified circumstances. The requirements apply to valuations for taxable supplies of property made before and on or after 1 March 2010.</w:t>
      </w:r>
    </w:p>
    <w:p w14:paraId="48D0437D" w14:textId="77777777" w:rsidR="00B813C3" w:rsidRPr="00AF447C" w:rsidRDefault="00B813C3" w:rsidP="00ED467E">
      <w:pPr>
        <w:spacing w:after="120"/>
        <w:rPr>
          <w:rFonts w:ascii="Arial" w:hAnsi="Arial" w:cs="Arial"/>
          <w:sz w:val="22"/>
          <w:szCs w:val="22"/>
        </w:rPr>
      </w:pPr>
    </w:p>
    <w:p w14:paraId="7E553C96" w14:textId="77777777" w:rsidR="00543981" w:rsidRPr="00AF447C" w:rsidRDefault="00B813C3" w:rsidP="00ED467E">
      <w:pPr>
        <w:pStyle w:val="Heading2"/>
        <w:numPr>
          <w:ilvl w:val="0"/>
          <w:numId w:val="2"/>
        </w:numPr>
        <w:tabs>
          <w:tab w:val="clear" w:pos="720"/>
        </w:tabs>
        <w:ind w:left="709" w:hanging="709"/>
        <w:rPr>
          <w:rFonts w:cs="Arial"/>
          <w:szCs w:val="22"/>
        </w:rPr>
      </w:pPr>
      <w:r w:rsidRPr="00AF447C">
        <w:rPr>
          <w:rFonts w:cs="Arial"/>
          <w:szCs w:val="22"/>
        </w:rPr>
        <w:t>Determination</w:t>
      </w:r>
    </w:p>
    <w:p w14:paraId="68E466BA" w14:textId="1C221239" w:rsidR="00CA110E" w:rsidRPr="00AF447C" w:rsidRDefault="00B813C3" w:rsidP="00ED467E">
      <w:pPr>
        <w:spacing w:after="120"/>
        <w:rPr>
          <w:rFonts w:ascii="Arial" w:hAnsi="Arial" w:cs="Arial"/>
          <w:sz w:val="22"/>
          <w:szCs w:val="22"/>
        </w:rPr>
      </w:pPr>
      <w:r w:rsidRPr="00AF447C">
        <w:rPr>
          <w:rFonts w:ascii="Arial" w:hAnsi="Arial" w:cs="Arial"/>
          <w:sz w:val="22"/>
          <w:szCs w:val="22"/>
        </w:rPr>
        <w:t>This determination appl</w:t>
      </w:r>
      <w:r w:rsidR="000D5D38" w:rsidRPr="00AF447C">
        <w:rPr>
          <w:rFonts w:ascii="Arial" w:hAnsi="Arial" w:cs="Arial"/>
          <w:sz w:val="22"/>
          <w:szCs w:val="22"/>
        </w:rPr>
        <w:t xml:space="preserve">ies to entities </w:t>
      </w:r>
      <w:r w:rsidR="008E7B94" w:rsidRPr="00AF447C">
        <w:rPr>
          <w:rFonts w:ascii="Arial" w:hAnsi="Arial" w:cs="Arial"/>
          <w:sz w:val="22"/>
          <w:szCs w:val="22"/>
        </w:rPr>
        <w:t>that</w:t>
      </w:r>
      <w:r w:rsidR="000D5D38" w:rsidRPr="00AF447C">
        <w:rPr>
          <w:rFonts w:ascii="Arial" w:hAnsi="Arial" w:cs="Arial"/>
          <w:sz w:val="22"/>
          <w:szCs w:val="22"/>
        </w:rPr>
        <w:t xml:space="preserve"> make taxable supplies of real property and want to apply the margin scheme to calculate their GST liability</w:t>
      </w:r>
      <w:r w:rsidRPr="00AF447C">
        <w:rPr>
          <w:rFonts w:ascii="Arial" w:hAnsi="Arial" w:cs="Arial"/>
          <w:sz w:val="22"/>
          <w:szCs w:val="22"/>
        </w:rPr>
        <w:t>.</w:t>
      </w:r>
    </w:p>
    <w:p w14:paraId="368436F7" w14:textId="77777777" w:rsidR="008E7B94" w:rsidRPr="00AF447C" w:rsidRDefault="008E7B94" w:rsidP="00ED467E">
      <w:pPr>
        <w:spacing w:after="120"/>
        <w:rPr>
          <w:rFonts w:ascii="Arial" w:hAnsi="Arial" w:cs="Arial"/>
          <w:sz w:val="22"/>
          <w:szCs w:val="22"/>
        </w:rPr>
      </w:pPr>
    </w:p>
    <w:p w14:paraId="36EC8171" w14:textId="77777777" w:rsidR="000D5D38" w:rsidRPr="00AF447C" w:rsidRDefault="000D5D38" w:rsidP="00ED467E">
      <w:pPr>
        <w:pStyle w:val="Heading3"/>
        <w:spacing w:before="0" w:after="120"/>
        <w:rPr>
          <w:rFonts w:ascii="Arial" w:hAnsi="Arial" w:cs="Arial"/>
          <w:i/>
          <w:color w:val="auto"/>
          <w:sz w:val="22"/>
        </w:rPr>
      </w:pPr>
      <w:r w:rsidRPr="00AF447C">
        <w:rPr>
          <w:rFonts w:ascii="Arial" w:hAnsi="Arial" w:cs="Arial"/>
          <w:i/>
          <w:color w:val="auto"/>
          <w:sz w:val="22"/>
        </w:rPr>
        <w:lastRenderedPageBreak/>
        <w:t>What is the freehold interest in land, stratum unit or long-term lease that you value?</w:t>
      </w:r>
    </w:p>
    <w:p w14:paraId="52FD0A3F" w14:textId="77777777" w:rsidR="00AF447C" w:rsidRPr="00AF447C" w:rsidRDefault="000D5D38" w:rsidP="00ED467E">
      <w:pPr>
        <w:spacing w:after="120"/>
        <w:rPr>
          <w:rFonts w:ascii="Arial" w:hAnsi="Arial" w:cs="Arial"/>
          <w:color w:val="000000"/>
          <w:sz w:val="22"/>
          <w:szCs w:val="22"/>
        </w:rPr>
      </w:pPr>
      <w:r w:rsidRPr="00AF447C">
        <w:rPr>
          <w:rFonts w:ascii="Arial" w:hAnsi="Arial" w:cs="Arial"/>
          <w:color w:val="000000"/>
          <w:sz w:val="22"/>
          <w:szCs w:val="22"/>
        </w:rPr>
        <w:t>If the real property that you supply by selling a freehold interest in land or selling a stratum unit or granting or selling a long-term lease is the same interest, unit or lease that existed at the valuation date, the valuation must be of that interest, unit or lease.</w:t>
      </w:r>
    </w:p>
    <w:p w14:paraId="1E4E0F69" w14:textId="749D561A" w:rsidR="00AF447C" w:rsidRPr="00AF447C" w:rsidRDefault="000D5D38" w:rsidP="00ED467E">
      <w:pPr>
        <w:spacing w:after="120"/>
        <w:rPr>
          <w:rFonts w:ascii="Arial" w:hAnsi="Arial" w:cs="Arial"/>
          <w:color w:val="000000"/>
          <w:sz w:val="22"/>
          <w:szCs w:val="22"/>
        </w:rPr>
      </w:pPr>
      <w:r w:rsidRPr="00AF447C">
        <w:rPr>
          <w:rFonts w:ascii="Arial" w:hAnsi="Arial" w:cs="Arial"/>
          <w:color w:val="000000"/>
          <w:sz w:val="22"/>
          <w:szCs w:val="22"/>
        </w:rPr>
        <w:t>If the real property that you supply is not the same interest, unit or lease that existed at the valuation date, but was derived from an interest, unit or lease that was in existence at that date, the valuation must be made as follows:</w:t>
      </w:r>
    </w:p>
    <w:p w14:paraId="71339D75" w14:textId="40B9430D" w:rsidR="000D5D38" w:rsidRPr="00AF447C" w:rsidRDefault="000D5D38" w:rsidP="00ED467E">
      <w:pPr>
        <w:numPr>
          <w:ilvl w:val="5"/>
          <w:numId w:val="13"/>
        </w:numPr>
        <w:tabs>
          <w:tab w:val="clear" w:pos="1077"/>
        </w:tabs>
        <w:spacing w:after="120"/>
        <w:ind w:left="1418" w:hanging="709"/>
        <w:rPr>
          <w:rFonts w:ascii="Arial" w:hAnsi="Arial" w:cs="Arial"/>
          <w:color w:val="000000"/>
          <w:sz w:val="22"/>
          <w:szCs w:val="22"/>
        </w:rPr>
      </w:pPr>
      <w:r w:rsidRPr="00AF447C">
        <w:rPr>
          <w:rFonts w:ascii="Arial" w:hAnsi="Arial" w:cs="Arial"/>
          <w:color w:val="000000"/>
          <w:sz w:val="22"/>
          <w:szCs w:val="22"/>
        </w:rPr>
        <w:t>a valuation of the interest, unit or lease in existence at the valuation date must be made; and</w:t>
      </w:r>
    </w:p>
    <w:p w14:paraId="09A5FEBA" w14:textId="77777777" w:rsidR="00AF447C" w:rsidRPr="00AF447C" w:rsidRDefault="000D5D38" w:rsidP="00ED467E">
      <w:pPr>
        <w:numPr>
          <w:ilvl w:val="5"/>
          <w:numId w:val="13"/>
        </w:numPr>
        <w:tabs>
          <w:tab w:val="clear" w:pos="1077"/>
        </w:tabs>
        <w:spacing w:after="120"/>
        <w:ind w:left="1418" w:hanging="709"/>
        <w:rPr>
          <w:rFonts w:ascii="Arial" w:hAnsi="Arial" w:cs="Arial"/>
          <w:color w:val="000000"/>
          <w:sz w:val="22"/>
          <w:szCs w:val="22"/>
        </w:rPr>
      </w:pPr>
      <w:r w:rsidRPr="00AF447C">
        <w:rPr>
          <w:rFonts w:ascii="Arial" w:hAnsi="Arial" w:cs="Arial"/>
          <w:color w:val="000000"/>
          <w:sz w:val="22"/>
          <w:szCs w:val="22"/>
        </w:rPr>
        <w:t>the valuation of that interest, unit or lease must be apportioned on a fair and reasonable basis, to ascertain the part of the valuation that relates to the interest, unit or lease that you supply.</w:t>
      </w:r>
    </w:p>
    <w:p w14:paraId="18FC0B40" w14:textId="6C22AF25" w:rsidR="000D5D38" w:rsidRPr="00AF447C" w:rsidRDefault="000D5D38" w:rsidP="00ED467E">
      <w:pPr>
        <w:spacing w:after="120"/>
        <w:rPr>
          <w:rFonts w:ascii="Arial" w:hAnsi="Arial" w:cs="Arial"/>
          <w:sz w:val="22"/>
          <w:szCs w:val="22"/>
        </w:rPr>
      </w:pPr>
    </w:p>
    <w:p w14:paraId="184856B1" w14:textId="77777777" w:rsidR="000D5D38" w:rsidRPr="00AF447C" w:rsidRDefault="000D5D38" w:rsidP="00ED467E">
      <w:pPr>
        <w:pStyle w:val="Heading3"/>
        <w:spacing w:before="0" w:after="120"/>
        <w:rPr>
          <w:rFonts w:ascii="Arial" w:hAnsi="Arial" w:cs="Arial"/>
          <w:i/>
          <w:color w:val="auto"/>
          <w:sz w:val="22"/>
        </w:rPr>
      </w:pPr>
      <w:r w:rsidRPr="00AF447C">
        <w:rPr>
          <w:rFonts w:ascii="Arial" w:hAnsi="Arial" w:cs="Arial"/>
          <w:i/>
          <w:color w:val="auto"/>
          <w:sz w:val="22"/>
        </w:rPr>
        <w:t>Mixed supplies</w:t>
      </w:r>
    </w:p>
    <w:p w14:paraId="2A327FDF" w14:textId="77777777" w:rsidR="000D5D38" w:rsidRPr="00AF447C" w:rsidRDefault="000D5D38" w:rsidP="00ED467E">
      <w:pPr>
        <w:spacing w:after="120"/>
        <w:rPr>
          <w:rFonts w:ascii="Arial" w:hAnsi="Arial" w:cs="Arial"/>
          <w:color w:val="000000"/>
          <w:sz w:val="22"/>
          <w:szCs w:val="22"/>
        </w:rPr>
      </w:pPr>
      <w:r w:rsidRPr="00AF447C">
        <w:rPr>
          <w:rFonts w:ascii="Arial" w:hAnsi="Arial" w:cs="Arial"/>
          <w:color w:val="000000"/>
          <w:sz w:val="22"/>
          <w:szCs w:val="22"/>
        </w:rPr>
        <w:t>If you make a supply of an interest, unit or lease that has separately identifiable taxable and non-taxable (that is, GST-free or input taxed) parts, the valuation of that ‘mixed supply’ must be made as follows:</w:t>
      </w:r>
    </w:p>
    <w:p w14:paraId="6E6050FF" w14:textId="77777777" w:rsidR="000D5D38" w:rsidRPr="00AF447C" w:rsidRDefault="000D5D38" w:rsidP="00ED467E">
      <w:pPr>
        <w:numPr>
          <w:ilvl w:val="5"/>
          <w:numId w:val="13"/>
        </w:numPr>
        <w:tabs>
          <w:tab w:val="clear" w:pos="1077"/>
        </w:tabs>
        <w:spacing w:after="120"/>
        <w:ind w:left="1418" w:hanging="709"/>
        <w:rPr>
          <w:rFonts w:ascii="Arial" w:hAnsi="Arial" w:cs="Arial"/>
          <w:color w:val="000000"/>
          <w:sz w:val="22"/>
          <w:szCs w:val="22"/>
        </w:rPr>
      </w:pPr>
      <w:r w:rsidRPr="00AF447C">
        <w:rPr>
          <w:rFonts w:ascii="Arial" w:hAnsi="Arial" w:cs="Arial"/>
          <w:color w:val="000000"/>
          <w:sz w:val="22"/>
          <w:szCs w:val="22"/>
        </w:rPr>
        <w:t>a valuation of the entire interest, unit or lease in existence at the valuation date must be made; and</w:t>
      </w:r>
    </w:p>
    <w:p w14:paraId="49E28459" w14:textId="77777777" w:rsidR="00AF447C" w:rsidRPr="00AF447C" w:rsidRDefault="000D5D38" w:rsidP="00ED467E">
      <w:pPr>
        <w:numPr>
          <w:ilvl w:val="5"/>
          <w:numId w:val="13"/>
        </w:numPr>
        <w:tabs>
          <w:tab w:val="clear" w:pos="1077"/>
        </w:tabs>
        <w:spacing w:after="120"/>
        <w:ind w:left="1418" w:hanging="709"/>
        <w:rPr>
          <w:rFonts w:ascii="Arial" w:hAnsi="Arial" w:cs="Arial"/>
          <w:color w:val="000000"/>
          <w:sz w:val="22"/>
          <w:szCs w:val="22"/>
        </w:rPr>
      </w:pPr>
      <w:r w:rsidRPr="00AF447C">
        <w:rPr>
          <w:rFonts w:ascii="Arial" w:hAnsi="Arial" w:cs="Arial"/>
          <w:color w:val="000000"/>
          <w:sz w:val="22"/>
          <w:szCs w:val="22"/>
        </w:rPr>
        <w:t>the valuation of that interest, unit or lease must be apportioned on a fair and reasonable basis, to ascertain the part of the valuation that relates to that part of the interest, unit or lease that you supply under the margin scheme (that is, the taxable part of the supply).</w:t>
      </w:r>
    </w:p>
    <w:p w14:paraId="07F3E077" w14:textId="33B1DFC6" w:rsidR="000D5D38" w:rsidRPr="00AF447C" w:rsidRDefault="000D5D38" w:rsidP="00ED467E">
      <w:pPr>
        <w:spacing w:after="120"/>
        <w:rPr>
          <w:rFonts w:ascii="Arial" w:hAnsi="Arial" w:cs="Arial"/>
          <w:i/>
          <w:color w:val="000000"/>
          <w:sz w:val="22"/>
          <w:szCs w:val="22"/>
        </w:rPr>
      </w:pPr>
    </w:p>
    <w:p w14:paraId="720DA36A" w14:textId="77777777" w:rsidR="00AF447C" w:rsidRPr="00AF447C" w:rsidRDefault="000D5D38" w:rsidP="00ED467E">
      <w:pPr>
        <w:pStyle w:val="Heading2"/>
        <w:numPr>
          <w:ilvl w:val="0"/>
          <w:numId w:val="2"/>
        </w:numPr>
        <w:tabs>
          <w:tab w:val="clear" w:pos="720"/>
        </w:tabs>
        <w:ind w:left="709" w:hanging="709"/>
        <w:rPr>
          <w:rFonts w:cs="Arial"/>
          <w:color w:val="000000"/>
          <w:szCs w:val="22"/>
        </w:rPr>
      </w:pPr>
      <w:r w:rsidRPr="00AF447C">
        <w:rPr>
          <w:rFonts w:cs="Arial"/>
          <w:color w:val="000000"/>
          <w:szCs w:val="22"/>
        </w:rPr>
        <w:t>The requirements for making valuations as determined by the Commissioner for the purposes of Division 75</w:t>
      </w:r>
    </w:p>
    <w:p w14:paraId="67B7ADAD" w14:textId="3DA4B056" w:rsidR="000D5D38" w:rsidRPr="00AF447C" w:rsidRDefault="000D5D38" w:rsidP="00ED467E">
      <w:pPr>
        <w:spacing w:after="120"/>
        <w:rPr>
          <w:rFonts w:ascii="Arial" w:hAnsi="Arial" w:cs="Arial"/>
          <w:color w:val="000000"/>
          <w:sz w:val="22"/>
          <w:szCs w:val="22"/>
        </w:rPr>
      </w:pPr>
      <w:r w:rsidRPr="00AF447C">
        <w:rPr>
          <w:rFonts w:ascii="Arial" w:hAnsi="Arial" w:cs="Arial"/>
          <w:color w:val="000000"/>
          <w:sz w:val="22"/>
          <w:szCs w:val="22"/>
        </w:rPr>
        <w:t>A valuation of the interest, unit or lease made in accordance with the requirements set out by the Commissioner in this determination is an approved valuation of that interest, unit or lease.</w:t>
      </w:r>
    </w:p>
    <w:p w14:paraId="6D676C25" w14:textId="77777777" w:rsidR="008E7B94" w:rsidRDefault="000D5D38" w:rsidP="00ED467E">
      <w:pPr>
        <w:spacing w:after="120"/>
        <w:rPr>
          <w:rFonts w:ascii="Arial" w:hAnsi="Arial" w:cs="Arial"/>
          <w:color w:val="000000"/>
          <w:sz w:val="22"/>
          <w:szCs w:val="22"/>
        </w:rPr>
      </w:pPr>
      <w:r w:rsidRPr="00AF447C">
        <w:rPr>
          <w:rFonts w:ascii="Arial" w:hAnsi="Arial" w:cs="Arial"/>
          <w:color w:val="000000"/>
          <w:sz w:val="22"/>
          <w:szCs w:val="22"/>
        </w:rPr>
        <w:t>The Commissioner has determined the following requirements for making valuations for the purposes of Division 75.</w:t>
      </w:r>
    </w:p>
    <w:p w14:paraId="77CB4CFF" w14:textId="77777777" w:rsidR="00AF447C" w:rsidRPr="00AF447C" w:rsidRDefault="00AF447C" w:rsidP="00ED467E">
      <w:pPr>
        <w:spacing w:after="120"/>
        <w:rPr>
          <w:rFonts w:ascii="Arial" w:hAnsi="Arial" w:cs="Arial"/>
          <w:color w:val="000000"/>
          <w:sz w:val="22"/>
          <w:szCs w:val="22"/>
        </w:rPr>
      </w:pPr>
    </w:p>
    <w:p w14:paraId="3720B422" w14:textId="33ACC71F" w:rsidR="000D5D38" w:rsidRPr="00AF447C" w:rsidRDefault="000D5D38" w:rsidP="00ED467E">
      <w:pPr>
        <w:pStyle w:val="Heading2"/>
        <w:numPr>
          <w:ilvl w:val="0"/>
          <w:numId w:val="2"/>
        </w:numPr>
        <w:tabs>
          <w:tab w:val="clear" w:pos="720"/>
        </w:tabs>
        <w:ind w:left="709" w:hanging="709"/>
        <w:rPr>
          <w:rFonts w:cs="Arial"/>
          <w:color w:val="000000"/>
          <w:szCs w:val="22"/>
        </w:rPr>
      </w:pPr>
      <w:r w:rsidRPr="00AF447C">
        <w:rPr>
          <w:rFonts w:cs="Arial"/>
          <w:i/>
          <w:color w:val="000000"/>
          <w:szCs w:val="22"/>
        </w:rPr>
        <w:t>Method 1:</w:t>
      </w:r>
      <w:r w:rsidRPr="00AF447C">
        <w:rPr>
          <w:rFonts w:cs="Arial"/>
          <w:i/>
          <w:color w:val="000000"/>
          <w:szCs w:val="22"/>
        </w:rPr>
        <w:tab/>
        <w:t xml:space="preserve">valuation by a </w:t>
      </w:r>
      <w:r w:rsidRPr="00AF447C">
        <w:rPr>
          <w:rStyle w:val="FootnoteReference"/>
          <w:rFonts w:cs="Arial"/>
          <w:i/>
          <w:color w:val="000000"/>
          <w:szCs w:val="22"/>
        </w:rPr>
        <w:footnoteReference w:customMarkFollows="1" w:id="1"/>
        <w:t>*</w:t>
      </w:r>
      <w:r w:rsidRPr="00AF447C">
        <w:rPr>
          <w:rFonts w:cs="Arial"/>
          <w:i/>
          <w:color w:val="000000"/>
          <w:szCs w:val="22"/>
        </w:rPr>
        <w:t>professional valuer</w:t>
      </w:r>
    </w:p>
    <w:p w14:paraId="7CAB3B4A" w14:textId="77777777" w:rsidR="000D5D38" w:rsidRPr="00AF447C" w:rsidRDefault="000D5D38" w:rsidP="00ED467E">
      <w:pPr>
        <w:spacing w:after="120"/>
        <w:rPr>
          <w:rFonts w:ascii="Arial" w:hAnsi="Arial" w:cs="Arial"/>
          <w:color w:val="000000"/>
          <w:sz w:val="22"/>
          <w:szCs w:val="22"/>
        </w:rPr>
      </w:pPr>
      <w:r w:rsidRPr="00AF447C">
        <w:rPr>
          <w:rFonts w:ascii="Arial" w:hAnsi="Arial" w:cs="Arial"/>
          <w:color w:val="000000"/>
          <w:sz w:val="22"/>
          <w:szCs w:val="22"/>
        </w:rPr>
        <w:t>For a valuation by a valuer to be an approved valuation for the purposes of Division 75 that valuation must be made in accordance with the following requirements:</w:t>
      </w:r>
    </w:p>
    <w:p w14:paraId="500E75E6" w14:textId="77275252" w:rsidR="000D5D38" w:rsidRPr="00AF447C" w:rsidRDefault="000D5D38" w:rsidP="00ED467E">
      <w:pPr>
        <w:numPr>
          <w:ilvl w:val="0"/>
          <w:numId w:val="24"/>
        </w:numPr>
        <w:tabs>
          <w:tab w:val="clear" w:pos="1077"/>
        </w:tabs>
        <w:spacing w:after="120"/>
        <w:ind w:left="1418" w:hanging="709"/>
        <w:rPr>
          <w:rFonts w:ascii="Arial" w:hAnsi="Arial" w:cs="Arial"/>
          <w:color w:val="000000"/>
          <w:sz w:val="22"/>
          <w:szCs w:val="22"/>
        </w:rPr>
      </w:pPr>
      <w:r w:rsidRPr="00AF447C">
        <w:rPr>
          <w:rFonts w:ascii="Arial" w:hAnsi="Arial" w:cs="Arial"/>
          <w:color w:val="000000"/>
          <w:sz w:val="22"/>
          <w:szCs w:val="22"/>
        </w:rPr>
        <w:t>the valuer must be a *</w:t>
      </w:r>
      <w:r w:rsidRPr="00AF447C">
        <w:rPr>
          <w:rFonts w:ascii="Arial" w:hAnsi="Arial" w:cs="Arial"/>
          <w:i/>
          <w:color w:val="000000"/>
          <w:sz w:val="22"/>
          <w:szCs w:val="22"/>
        </w:rPr>
        <w:t>professional valuer</w:t>
      </w:r>
      <w:r w:rsidR="007A6532">
        <w:rPr>
          <w:rFonts w:ascii="Arial" w:hAnsi="Arial" w:cs="Arial"/>
          <w:color w:val="000000"/>
          <w:sz w:val="22"/>
          <w:szCs w:val="22"/>
        </w:rPr>
        <w:t>;</w:t>
      </w:r>
    </w:p>
    <w:p w14:paraId="55CDE7AC" w14:textId="77777777" w:rsidR="000D5D38" w:rsidRPr="00AF447C" w:rsidRDefault="000D5D38" w:rsidP="00ED467E">
      <w:pPr>
        <w:numPr>
          <w:ilvl w:val="0"/>
          <w:numId w:val="24"/>
        </w:numPr>
        <w:tabs>
          <w:tab w:val="clear" w:pos="1077"/>
        </w:tabs>
        <w:spacing w:after="120"/>
        <w:ind w:left="1418" w:hanging="709"/>
        <w:rPr>
          <w:rFonts w:ascii="Arial" w:hAnsi="Arial" w:cs="Arial"/>
          <w:color w:val="000000"/>
          <w:sz w:val="22"/>
          <w:szCs w:val="22"/>
        </w:rPr>
      </w:pPr>
      <w:r w:rsidRPr="00AF447C">
        <w:rPr>
          <w:rFonts w:ascii="Arial" w:hAnsi="Arial" w:cs="Arial"/>
          <w:color w:val="000000"/>
          <w:sz w:val="22"/>
          <w:szCs w:val="22"/>
        </w:rPr>
        <w:t>the valuation must be in writing;</w:t>
      </w:r>
    </w:p>
    <w:p w14:paraId="47EBF301" w14:textId="77777777" w:rsidR="00AF447C" w:rsidRPr="00AF447C" w:rsidRDefault="000D5D38" w:rsidP="00ED467E">
      <w:pPr>
        <w:numPr>
          <w:ilvl w:val="0"/>
          <w:numId w:val="24"/>
        </w:numPr>
        <w:tabs>
          <w:tab w:val="clear" w:pos="1077"/>
        </w:tabs>
        <w:spacing w:after="120"/>
        <w:ind w:left="1418" w:hanging="709"/>
        <w:rPr>
          <w:rFonts w:ascii="Arial" w:hAnsi="Arial" w:cs="Arial"/>
          <w:color w:val="000000"/>
          <w:sz w:val="22"/>
          <w:szCs w:val="22"/>
        </w:rPr>
      </w:pPr>
      <w:r w:rsidRPr="00AF447C">
        <w:rPr>
          <w:rFonts w:ascii="Arial" w:hAnsi="Arial" w:cs="Arial"/>
          <w:color w:val="000000"/>
          <w:sz w:val="22"/>
          <w:szCs w:val="22"/>
        </w:rPr>
        <w:t>the valuation must determine the market value of the interest, unit or lease at the valuation date;</w:t>
      </w:r>
    </w:p>
    <w:p w14:paraId="116BF901" w14:textId="77777777" w:rsidR="00AF447C" w:rsidRPr="00AF447C" w:rsidRDefault="000D5D38" w:rsidP="00ED467E">
      <w:pPr>
        <w:numPr>
          <w:ilvl w:val="0"/>
          <w:numId w:val="24"/>
        </w:numPr>
        <w:tabs>
          <w:tab w:val="clear" w:pos="1077"/>
        </w:tabs>
        <w:spacing w:after="120"/>
        <w:ind w:left="1418" w:hanging="709"/>
        <w:rPr>
          <w:rFonts w:ascii="Arial" w:hAnsi="Arial" w:cs="Arial"/>
          <w:color w:val="000000"/>
          <w:sz w:val="22"/>
          <w:szCs w:val="22"/>
        </w:rPr>
      </w:pPr>
      <w:r w:rsidRPr="00AF447C">
        <w:rPr>
          <w:rFonts w:ascii="Arial" w:hAnsi="Arial" w:cs="Arial"/>
          <w:color w:val="000000"/>
          <w:sz w:val="22"/>
          <w:szCs w:val="22"/>
        </w:rPr>
        <w:t>the valuation must be made in a manner that is not contrary to the professional standards recognised in Australia for the making of real property valuations;</w:t>
      </w:r>
    </w:p>
    <w:p w14:paraId="1D793929" w14:textId="11FC26DF" w:rsidR="000D5D38" w:rsidRPr="00AF447C" w:rsidRDefault="000D5D38" w:rsidP="00ED467E">
      <w:pPr>
        <w:numPr>
          <w:ilvl w:val="0"/>
          <w:numId w:val="24"/>
        </w:numPr>
        <w:tabs>
          <w:tab w:val="clear" w:pos="1077"/>
        </w:tabs>
        <w:spacing w:after="120"/>
        <w:ind w:left="1418" w:hanging="709"/>
        <w:rPr>
          <w:rFonts w:ascii="Arial" w:hAnsi="Arial" w:cs="Arial"/>
          <w:color w:val="000000"/>
          <w:sz w:val="22"/>
          <w:szCs w:val="22"/>
        </w:rPr>
      </w:pPr>
      <w:r w:rsidRPr="00AF447C">
        <w:rPr>
          <w:rFonts w:ascii="Arial" w:hAnsi="Arial" w:cs="Arial"/>
          <w:color w:val="000000"/>
          <w:sz w:val="22"/>
          <w:szCs w:val="22"/>
        </w:rPr>
        <w:lastRenderedPageBreak/>
        <w:t>the valuation must include a signed certificate which specifies:</w:t>
      </w:r>
    </w:p>
    <w:p w14:paraId="1090B422" w14:textId="77777777" w:rsidR="00AF447C" w:rsidRPr="00AF447C" w:rsidRDefault="000D5D38" w:rsidP="00ED467E">
      <w:pPr>
        <w:spacing w:after="120"/>
        <w:ind w:left="2127" w:hanging="709"/>
        <w:rPr>
          <w:rFonts w:ascii="Arial" w:hAnsi="Arial" w:cs="Arial"/>
          <w:color w:val="000000"/>
          <w:sz w:val="22"/>
          <w:szCs w:val="22"/>
        </w:rPr>
      </w:pPr>
      <w:r w:rsidRPr="00AF447C">
        <w:rPr>
          <w:rFonts w:ascii="Arial" w:hAnsi="Arial" w:cs="Arial"/>
          <w:color w:val="000000"/>
          <w:sz w:val="22"/>
          <w:szCs w:val="22"/>
        </w:rPr>
        <w:t>(a)</w:t>
      </w:r>
      <w:r w:rsidRPr="00AF447C">
        <w:rPr>
          <w:rFonts w:ascii="Arial" w:hAnsi="Arial" w:cs="Arial"/>
          <w:color w:val="000000"/>
          <w:sz w:val="22"/>
          <w:szCs w:val="22"/>
        </w:rPr>
        <w:tab/>
        <w:t>a full description of the property being valued;</w:t>
      </w:r>
    </w:p>
    <w:p w14:paraId="6A8221EF" w14:textId="754C70CF" w:rsidR="000D5D38" w:rsidRPr="00AF447C" w:rsidRDefault="000D5D38" w:rsidP="00ED467E">
      <w:pPr>
        <w:spacing w:after="120"/>
        <w:ind w:left="2127" w:hanging="709"/>
        <w:rPr>
          <w:rFonts w:ascii="Arial" w:hAnsi="Arial" w:cs="Arial"/>
          <w:color w:val="000000"/>
          <w:sz w:val="22"/>
          <w:szCs w:val="22"/>
        </w:rPr>
      </w:pPr>
      <w:r w:rsidRPr="00AF447C">
        <w:rPr>
          <w:rFonts w:ascii="Arial" w:hAnsi="Arial" w:cs="Arial"/>
          <w:color w:val="000000"/>
          <w:sz w:val="22"/>
          <w:szCs w:val="22"/>
        </w:rPr>
        <w:t>(b)</w:t>
      </w:r>
      <w:r w:rsidRPr="00AF447C">
        <w:rPr>
          <w:rFonts w:ascii="Arial" w:hAnsi="Arial" w:cs="Arial"/>
          <w:color w:val="000000"/>
          <w:sz w:val="22"/>
          <w:szCs w:val="22"/>
        </w:rPr>
        <w:tab/>
        <w:t>the applicable valuation date;</w:t>
      </w:r>
    </w:p>
    <w:p w14:paraId="358BFD9B" w14:textId="77777777" w:rsidR="00AF447C" w:rsidRPr="00AF447C" w:rsidRDefault="000D5D38" w:rsidP="00ED467E">
      <w:pPr>
        <w:spacing w:after="120"/>
        <w:ind w:left="2127" w:hanging="709"/>
        <w:rPr>
          <w:rFonts w:ascii="Arial" w:hAnsi="Arial" w:cs="Arial"/>
          <w:color w:val="000000"/>
          <w:sz w:val="22"/>
          <w:szCs w:val="22"/>
        </w:rPr>
      </w:pPr>
      <w:r w:rsidRPr="00AF447C">
        <w:rPr>
          <w:rFonts w:ascii="Arial" w:hAnsi="Arial" w:cs="Arial"/>
          <w:color w:val="000000"/>
          <w:sz w:val="22"/>
          <w:szCs w:val="22"/>
        </w:rPr>
        <w:t>(c)</w:t>
      </w:r>
      <w:r w:rsidRPr="00AF447C">
        <w:rPr>
          <w:rFonts w:ascii="Arial" w:hAnsi="Arial" w:cs="Arial"/>
          <w:color w:val="000000"/>
          <w:sz w:val="22"/>
          <w:szCs w:val="22"/>
        </w:rPr>
        <w:tab/>
        <w:t>the date the valuer provides the valuation to the supplier;</w:t>
      </w:r>
    </w:p>
    <w:p w14:paraId="0CA370DB" w14:textId="1A5B244A" w:rsidR="000D5D38" w:rsidRPr="00AF447C" w:rsidRDefault="000D5D38" w:rsidP="00ED467E">
      <w:pPr>
        <w:spacing w:after="120"/>
        <w:ind w:left="2127" w:hanging="709"/>
        <w:rPr>
          <w:rFonts w:ascii="Arial" w:hAnsi="Arial" w:cs="Arial"/>
          <w:color w:val="000000"/>
          <w:sz w:val="22"/>
          <w:szCs w:val="22"/>
        </w:rPr>
      </w:pPr>
      <w:r w:rsidRPr="00AF447C">
        <w:rPr>
          <w:rFonts w:ascii="Arial" w:hAnsi="Arial" w:cs="Arial"/>
          <w:color w:val="000000"/>
          <w:sz w:val="22"/>
          <w:szCs w:val="22"/>
        </w:rPr>
        <w:t>(d)</w:t>
      </w:r>
      <w:r w:rsidRPr="00AF447C">
        <w:rPr>
          <w:rFonts w:ascii="Arial" w:hAnsi="Arial" w:cs="Arial"/>
          <w:color w:val="000000"/>
          <w:sz w:val="22"/>
          <w:szCs w:val="22"/>
        </w:rPr>
        <w:tab/>
        <w:t>the market value of the property at the valuation date;</w:t>
      </w:r>
    </w:p>
    <w:p w14:paraId="77268B83" w14:textId="77777777" w:rsidR="00AF447C" w:rsidRPr="00AF447C" w:rsidRDefault="000D5D38" w:rsidP="00ED467E">
      <w:pPr>
        <w:spacing w:after="120"/>
        <w:ind w:left="2127" w:hanging="709"/>
        <w:rPr>
          <w:rFonts w:ascii="Arial" w:hAnsi="Arial" w:cs="Arial"/>
          <w:color w:val="000000"/>
          <w:sz w:val="22"/>
          <w:szCs w:val="22"/>
        </w:rPr>
      </w:pPr>
      <w:r w:rsidRPr="00AF447C">
        <w:rPr>
          <w:rFonts w:ascii="Arial" w:hAnsi="Arial" w:cs="Arial"/>
          <w:color w:val="000000"/>
          <w:sz w:val="22"/>
          <w:szCs w:val="22"/>
        </w:rPr>
        <w:t>(e)</w:t>
      </w:r>
      <w:r w:rsidRPr="00AF447C">
        <w:rPr>
          <w:rFonts w:ascii="Arial" w:hAnsi="Arial" w:cs="Arial"/>
          <w:color w:val="000000"/>
          <w:sz w:val="22"/>
          <w:szCs w:val="22"/>
        </w:rPr>
        <w:tab/>
        <w:t>the valuation approach and the valuation calculation; and</w:t>
      </w:r>
    </w:p>
    <w:p w14:paraId="037AACC2" w14:textId="77777777" w:rsidR="00AF447C" w:rsidRPr="00AF447C" w:rsidRDefault="000D5D38" w:rsidP="00ED467E">
      <w:pPr>
        <w:spacing w:after="120"/>
        <w:ind w:left="2127" w:hanging="709"/>
        <w:rPr>
          <w:rFonts w:ascii="Arial" w:hAnsi="Arial" w:cs="Arial"/>
          <w:color w:val="000000"/>
          <w:sz w:val="22"/>
          <w:szCs w:val="22"/>
        </w:rPr>
      </w:pPr>
      <w:r w:rsidRPr="00AF447C">
        <w:rPr>
          <w:rFonts w:ascii="Arial" w:hAnsi="Arial" w:cs="Arial"/>
          <w:color w:val="000000"/>
          <w:sz w:val="22"/>
          <w:szCs w:val="22"/>
        </w:rPr>
        <w:t>(f)</w:t>
      </w:r>
      <w:r w:rsidRPr="00AF447C">
        <w:rPr>
          <w:rFonts w:ascii="Arial" w:hAnsi="Arial" w:cs="Arial"/>
          <w:color w:val="000000"/>
          <w:sz w:val="22"/>
          <w:szCs w:val="22"/>
        </w:rPr>
        <w:tab/>
        <w:t>the name and qualifications of the valuer;</w:t>
      </w:r>
    </w:p>
    <w:p w14:paraId="08B33329" w14:textId="1CC317F4" w:rsidR="000D5D38" w:rsidRPr="00AF447C" w:rsidRDefault="000D5D38" w:rsidP="00ED467E">
      <w:pPr>
        <w:numPr>
          <w:ilvl w:val="0"/>
          <w:numId w:val="24"/>
        </w:numPr>
        <w:tabs>
          <w:tab w:val="clear" w:pos="1077"/>
        </w:tabs>
        <w:spacing w:after="120"/>
        <w:ind w:left="1418" w:hanging="709"/>
        <w:rPr>
          <w:rFonts w:ascii="Arial" w:hAnsi="Arial" w:cs="Arial"/>
          <w:color w:val="000000"/>
          <w:sz w:val="22"/>
          <w:szCs w:val="22"/>
        </w:rPr>
      </w:pPr>
      <w:r w:rsidRPr="00AF447C">
        <w:rPr>
          <w:rFonts w:ascii="Arial" w:hAnsi="Arial" w:cs="Arial"/>
          <w:color w:val="000000"/>
          <w:sz w:val="22"/>
          <w:szCs w:val="22"/>
        </w:rPr>
        <w:t>if the interest, unit or lease has been supplied by the Commonwealth, a State or a Territory; and</w:t>
      </w:r>
    </w:p>
    <w:p w14:paraId="4C05E987" w14:textId="77777777" w:rsidR="00AF447C" w:rsidRPr="00AF447C" w:rsidRDefault="000D5D38" w:rsidP="00ED467E">
      <w:pPr>
        <w:spacing w:after="120"/>
        <w:ind w:left="2127" w:hanging="709"/>
        <w:rPr>
          <w:rFonts w:ascii="Arial" w:hAnsi="Arial" w:cs="Arial"/>
          <w:color w:val="000000"/>
          <w:sz w:val="22"/>
          <w:szCs w:val="22"/>
        </w:rPr>
      </w:pPr>
      <w:r w:rsidRPr="00AF447C">
        <w:rPr>
          <w:rFonts w:ascii="Arial" w:hAnsi="Arial" w:cs="Arial"/>
          <w:color w:val="000000"/>
          <w:sz w:val="22"/>
          <w:szCs w:val="22"/>
        </w:rPr>
        <w:t>(a)</w:t>
      </w:r>
      <w:r w:rsidRPr="00AF447C">
        <w:rPr>
          <w:rFonts w:ascii="Arial" w:hAnsi="Arial" w:cs="Arial"/>
          <w:color w:val="000000"/>
          <w:sz w:val="22"/>
          <w:szCs w:val="22"/>
        </w:rPr>
        <w:tab/>
        <w:t>the supplier has held the interest, unit or lease since before 1 July 2000;</w:t>
      </w:r>
    </w:p>
    <w:p w14:paraId="6B942EB9" w14:textId="14423C09" w:rsidR="000D5D38" w:rsidRPr="00AF447C" w:rsidRDefault="000D5D38" w:rsidP="00ED467E">
      <w:pPr>
        <w:spacing w:after="120"/>
        <w:ind w:left="2127" w:hanging="709"/>
        <w:rPr>
          <w:rFonts w:ascii="Arial" w:hAnsi="Arial" w:cs="Arial"/>
          <w:color w:val="000000"/>
          <w:sz w:val="22"/>
          <w:szCs w:val="22"/>
        </w:rPr>
      </w:pPr>
      <w:r w:rsidRPr="00AF447C">
        <w:rPr>
          <w:rFonts w:ascii="Arial" w:hAnsi="Arial" w:cs="Arial"/>
          <w:color w:val="000000"/>
          <w:sz w:val="22"/>
          <w:szCs w:val="22"/>
        </w:rPr>
        <w:t>(b)</w:t>
      </w:r>
      <w:r w:rsidRPr="00AF447C">
        <w:rPr>
          <w:rFonts w:ascii="Arial" w:hAnsi="Arial" w:cs="Arial"/>
          <w:color w:val="000000"/>
          <w:sz w:val="22"/>
          <w:szCs w:val="22"/>
        </w:rPr>
        <w:tab/>
        <w:t>there were no improvements on the land or premises in question as at 1 July 2000; and</w:t>
      </w:r>
    </w:p>
    <w:p w14:paraId="2ED16D63" w14:textId="77777777" w:rsidR="000D5D38" w:rsidRPr="00AF447C" w:rsidRDefault="000D5D38" w:rsidP="00ED467E">
      <w:pPr>
        <w:spacing w:after="120"/>
        <w:ind w:left="2127" w:hanging="709"/>
        <w:rPr>
          <w:rFonts w:ascii="Arial" w:hAnsi="Arial" w:cs="Arial"/>
          <w:color w:val="000000"/>
          <w:sz w:val="22"/>
          <w:szCs w:val="22"/>
        </w:rPr>
      </w:pPr>
      <w:r w:rsidRPr="00AF447C">
        <w:rPr>
          <w:rFonts w:ascii="Arial" w:hAnsi="Arial" w:cs="Arial"/>
          <w:color w:val="000000"/>
          <w:sz w:val="22"/>
          <w:szCs w:val="22"/>
        </w:rPr>
        <w:t>(c)</w:t>
      </w:r>
      <w:r w:rsidRPr="00AF447C">
        <w:rPr>
          <w:rFonts w:ascii="Arial" w:hAnsi="Arial" w:cs="Arial"/>
          <w:color w:val="000000"/>
          <w:sz w:val="22"/>
          <w:szCs w:val="22"/>
        </w:rPr>
        <w:tab/>
        <w:t>there are improvements on the land or premises in question on the day on which the taxable supply takes place,</w:t>
      </w:r>
    </w:p>
    <w:p w14:paraId="035B97C3" w14:textId="77777777" w:rsidR="00AF447C" w:rsidRPr="00AF447C" w:rsidRDefault="000D5D38" w:rsidP="00ED467E">
      <w:pPr>
        <w:spacing w:after="120"/>
        <w:ind w:left="709"/>
        <w:rPr>
          <w:rFonts w:ascii="Arial" w:hAnsi="Arial" w:cs="Arial"/>
          <w:color w:val="000000"/>
          <w:sz w:val="22"/>
          <w:szCs w:val="22"/>
        </w:rPr>
      </w:pPr>
      <w:r w:rsidRPr="00AF447C">
        <w:rPr>
          <w:rFonts w:ascii="Arial" w:hAnsi="Arial" w:cs="Arial"/>
          <w:color w:val="000000"/>
          <w:sz w:val="22"/>
          <w:szCs w:val="22"/>
        </w:rPr>
        <w:t>the valuation must be made as if no improvements had been made at the date of the taxable supply; and</w:t>
      </w:r>
    </w:p>
    <w:p w14:paraId="426F6044" w14:textId="472F6A53" w:rsidR="000D5D38" w:rsidRPr="00AF447C" w:rsidRDefault="000D5D38" w:rsidP="00ED467E">
      <w:pPr>
        <w:numPr>
          <w:ilvl w:val="0"/>
          <w:numId w:val="24"/>
        </w:numPr>
        <w:tabs>
          <w:tab w:val="clear" w:pos="1077"/>
        </w:tabs>
        <w:spacing w:after="120"/>
        <w:ind w:left="1418" w:hanging="709"/>
        <w:rPr>
          <w:rFonts w:ascii="Arial" w:hAnsi="Arial" w:cs="Arial"/>
          <w:color w:val="000000"/>
          <w:sz w:val="22"/>
          <w:szCs w:val="22"/>
        </w:rPr>
      </w:pPr>
      <w:r w:rsidRPr="00AF447C">
        <w:rPr>
          <w:rFonts w:ascii="Arial" w:hAnsi="Arial" w:cs="Arial"/>
          <w:color w:val="000000"/>
          <w:sz w:val="22"/>
          <w:szCs w:val="22"/>
        </w:rPr>
        <w:t xml:space="preserve">the valuation must be made by the time specified in </w:t>
      </w:r>
      <w:r w:rsidR="00A920BA" w:rsidRPr="00AF447C">
        <w:rPr>
          <w:rFonts w:ascii="Arial" w:hAnsi="Arial" w:cs="Arial"/>
          <w:color w:val="000000"/>
          <w:sz w:val="22"/>
          <w:szCs w:val="22"/>
        </w:rPr>
        <w:t xml:space="preserve">section </w:t>
      </w:r>
      <w:r w:rsidR="00ED467E">
        <w:rPr>
          <w:rFonts w:ascii="Arial" w:hAnsi="Arial" w:cs="Arial"/>
          <w:color w:val="000000"/>
          <w:sz w:val="22"/>
          <w:szCs w:val="22"/>
        </w:rPr>
        <w:t>10</w:t>
      </w:r>
      <w:r w:rsidRPr="00AF447C">
        <w:rPr>
          <w:rFonts w:ascii="Arial" w:hAnsi="Arial" w:cs="Arial"/>
          <w:color w:val="000000"/>
          <w:sz w:val="22"/>
          <w:szCs w:val="22"/>
        </w:rPr>
        <w:t xml:space="preserve"> below.</w:t>
      </w:r>
    </w:p>
    <w:p w14:paraId="63CCCB75" w14:textId="77777777" w:rsidR="000D5D38" w:rsidRPr="00AF447C" w:rsidRDefault="000D5D38" w:rsidP="00ED467E">
      <w:pPr>
        <w:spacing w:after="120"/>
        <w:rPr>
          <w:rFonts w:ascii="Arial" w:hAnsi="Arial" w:cs="Arial"/>
          <w:color w:val="000000"/>
          <w:sz w:val="22"/>
          <w:szCs w:val="22"/>
        </w:rPr>
      </w:pPr>
    </w:p>
    <w:p w14:paraId="376B8E4A" w14:textId="77777777" w:rsidR="00AF447C" w:rsidRPr="00AF447C" w:rsidRDefault="000D5D38" w:rsidP="00ED467E">
      <w:pPr>
        <w:pStyle w:val="Heading2"/>
        <w:numPr>
          <w:ilvl w:val="0"/>
          <w:numId w:val="2"/>
        </w:numPr>
        <w:tabs>
          <w:tab w:val="clear" w:pos="720"/>
        </w:tabs>
        <w:ind w:left="709" w:hanging="709"/>
        <w:rPr>
          <w:rFonts w:cs="Arial"/>
          <w:i/>
          <w:color w:val="000000"/>
          <w:szCs w:val="22"/>
        </w:rPr>
      </w:pPr>
      <w:r w:rsidRPr="00AF447C">
        <w:rPr>
          <w:rFonts w:cs="Arial"/>
          <w:i/>
          <w:color w:val="000000"/>
          <w:szCs w:val="22"/>
        </w:rPr>
        <w:t>Method 2:</w:t>
      </w:r>
      <w:r w:rsidRPr="00AF447C">
        <w:rPr>
          <w:rFonts w:cs="Arial"/>
          <w:i/>
          <w:color w:val="000000"/>
          <w:szCs w:val="22"/>
        </w:rPr>
        <w:tab/>
        <w:t>valuation based on the consideration received by the supplier under the contract of sale</w:t>
      </w:r>
    </w:p>
    <w:p w14:paraId="7B28F553" w14:textId="5FD2DCC0" w:rsidR="000D5D38" w:rsidRPr="00AF447C" w:rsidRDefault="000D5D38" w:rsidP="00ED467E">
      <w:pPr>
        <w:spacing w:after="120"/>
        <w:rPr>
          <w:rFonts w:ascii="Arial" w:hAnsi="Arial" w:cs="Arial"/>
          <w:color w:val="000000"/>
          <w:sz w:val="22"/>
          <w:szCs w:val="22"/>
        </w:rPr>
      </w:pPr>
      <w:r w:rsidRPr="00AF447C">
        <w:rPr>
          <w:rFonts w:ascii="Arial" w:hAnsi="Arial" w:cs="Arial"/>
          <w:color w:val="000000"/>
          <w:sz w:val="22"/>
          <w:szCs w:val="22"/>
        </w:rPr>
        <w:t>For a valuation based on the sale contract price to be an approved valuation for the purposes of Division 75, that valuation must be made in accordance with the following requirements:</w:t>
      </w:r>
    </w:p>
    <w:p w14:paraId="59E3857F" w14:textId="77777777" w:rsidR="00AF447C" w:rsidRPr="00AF447C" w:rsidRDefault="000D5D38" w:rsidP="00ED467E">
      <w:pPr>
        <w:numPr>
          <w:ilvl w:val="0"/>
          <w:numId w:val="21"/>
        </w:numPr>
        <w:tabs>
          <w:tab w:val="clear" w:pos="1076"/>
        </w:tabs>
        <w:spacing w:after="120"/>
        <w:ind w:left="1418" w:hanging="709"/>
        <w:rPr>
          <w:rFonts w:ascii="Arial" w:hAnsi="Arial" w:cs="Arial"/>
          <w:color w:val="000000"/>
          <w:sz w:val="22"/>
          <w:szCs w:val="22"/>
        </w:rPr>
      </w:pPr>
      <w:r w:rsidRPr="00AF447C">
        <w:rPr>
          <w:rFonts w:ascii="Arial" w:hAnsi="Arial" w:cs="Arial"/>
          <w:color w:val="000000"/>
          <w:sz w:val="22"/>
          <w:szCs w:val="22"/>
        </w:rPr>
        <w:t>the valuation must be made by adopting as the valuation the consideration received under the contract for the sale of the real property that has been executed or exchanged before the valuation date;</w:t>
      </w:r>
    </w:p>
    <w:p w14:paraId="767730FD" w14:textId="343E6CDF" w:rsidR="000D5D38" w:rsidRPr="00AF447C" w:rsidRDefault="000D5D38" w:rsidP="00ED467E">
      <w:pPr>
        <w:numPr>
          <w:ilvl w:val="0"/>
          <w:numId w:val="21"/>
        </w:numPr>
        <w:tabs>
          <w:tab w:val="clear" w:pos="1076"/>
        </w:tabs>
        <w:spacing w:after="120"/>
        <w:ind w:left="1418" w:hanging="709"/>
        <w:rPr>
          <w:rFonts w:ascii="Arial" w:hAnsi="Arial" w:cs="Arial"/>
          <w:color w:val="000000"/>
          <w:sz w:val="22"/>
          <w:szCs w:val="22"/>
        </w:rPr>
      </w:pPr>
      <w:r w:rsidRPr="00AF447C">
        <w:rPr>
          <w:rFonts w:ascii="Arial" w:hAnsi="Arial" w:cs="Arial"/>
          <w:color w:val="000000"/>
          <w:sz w:val="22"/>
          <w:szCs w:val="22"/>
        </w:rPr>
        <w:t>the parties to the contract must be dealing at arm’s length; and</w:t>
      </w:r>
    </w:p>
    <w:p w14:paraId="559F620E" w14:textId="5B289F0E" w:rsidR="000D5D38" w:rsidRPr="00AF447C" w:rsidRDefault="000D5D38" w:rsidP="00ED467E">
      <w:pPr>
        <w:numPr>
          <w:ilvl w:val="0"/>
          <w:numId w:val="21"/>
        </w:numPr>
        <w:tabs>
          <w:tab w:val="clear" w:pos="1076"/>
        </w:tabs>
        <w:spacing w:after="120"/>
        <w:ind w:left="1418" w:hanging="709"/>
        <w:rPr>
          <w:rFonts w:ascii="Arial" w:hAnsi="Arial" w:cs="Arial"/>
          <w:color w:val="000000"/>
          <w:sz w:val="22"/>
          <w:szCs w:val="22"/>
        </w:rPr>
      </w:pPr>
      <w:r w:rsidRPr="00AF447C">
        <w:rPr>
          <w:rFonts w:ascii="Arial" w:hAnsi="Arial" w:cs="Arial"/>
          <w:color w:val="000000"/>
          <w:sz w:val="22"/>
          <w:szCs w:val="22"/>
        </w:rPr>
        <w:t xml:space="preserve">the valuation must be made by the time specified in </w:t>
      </w:r>
      <w:r w:rsidR="00A920BA" w:rsidRPr="00AF447C">
        <w:rPr>
          <w:rFonts w:ascii="Arial" w:hAnsi="Arial" w:cs="Arial"/>
          <w:color w:val="000000"/>
          <w:sz w:val="22"/>
          <w:szCs w:val="22"/>
        </w:rPr>
        <w:t xml:space="preserve">section </w:t>
      </w:r>
      <w:r w:rsidR="00ED467E">
        <w:rPr>
          <w:rFonts w:ascii="Arial" w:hAnsi="Arial" w:cs="Arial"/>
          <w:color w:val="000000"/>
          <w:sz w:val="22"/>
          <w:szCs w:val="22"/>
        </w:rPr>
        <w:t>10</w:t>
      </w:r>
      <w:r w:rsidRPr="00AF447C">
        <w:rPr>
          <w:rFonts w:ascii="Arial" w:hAnsi="Arial" w:cs="Arial"/>
          <w:color w:val="000000"/>
          <w:sz w:val="22"/>
          <w:szCs w:val="22"/>
        </w:rPr>
        <w:t xml:space="preserve"> below.</w:t>
      </w:r>
    </w:p>
    <w:p w14:paraId="2B476EED" w14:textId="77777777" w:rsidR="000D5D38" w:rsidRPr="00AF447C" w:rsidRDefault="000D5D38" w:rsidP="00ED467E">
      <w:pPr>
        <w:spacing w:after="120"/>
        <w:rPr>
          <w:rFonts w:ascii="Arial" w:hAnsi="Arial" w:cs="Arial"/>
          <w:color w:val="000000"/>
          <w:sz w:val="22"/>
          <w:szCs w:val="22"/>
        </w:rPr>
      </w:pPr>
      <w:r w:rsidRPr="00AF447C">
        <w:rPr>
          <w:rFonts w:ascii="Arial" w:hAnsi="Arial" w:cs="Arial"/>
          <w:color w:val="000000"/>
          <w:sz w:val="22"/>
          <w:szCs w:val="22"/>
        </w:rPr>
        <w:t>Method 2 is not available if:</w:t>
      </w:r>
    </w:p>
    <w:p w14:paraId="6E77458C" w14:textId="77777777" w:rsidR="000D5D38" w:rsidRPr="00AF447C" w:rsidRDefault="000D5D38" w:rsidP="00ED467E">
      <w:pPr>
        <w:numPr>
          <w:ilvl w:val="0"/>
          <w:numId w:val="21"/>
        </w:numPr>
        <w:tabs>
          <w:tab w:val="clear" w:pos="1076"/>
        </w:tabs>
        <w:spacing w:after="120"/>
        <w:ind w:left="1418" w:hanging="709"/>
        <w:rPr>
          <w:rFonts w:ascii="Arial" w:hAnsi="Arial" w:cs="Arial"/>
          <w:color w:val="000000"/>
          <w:sz w:val="22"/>
          <w:szCs w:val="22"/>
        </w:rPr>
      </w:pPr>
      <w:r w:rsidRPr="00AF447C">
        <w:rPr>
          <w:rFonts w:ascii="Arial" w:hAnsi="Arial" w:cs="Arial"/>
          <w:color w:val="000000"/>
          <w:sz w:val="22"/>
          <w:szCs w:val="22"/>
        </w:rPr>
        <w:t>the interest, unit or lease has been supplied by the Commonwealth, a State or a Territory;</w:t>
      </w:r>
    </w:p>
    <w:p w14:paraId="79494F41" w14:textId="77777777" w:rsidR="00AF447C" w:rsidRPr="00AF447C" w:rsidRDefault="000D5D38" w:rsidP="00ED467E">
      <w:pPr>
        <w:numPr>
          <w:ilvl w:val="0"/>
          <w:numId w:val="21"/>
        </w:numPr>
        <w:tabs>
          <w:tab w:val="clear" w:pos="1076"/>
        </w:tabs>
        <w:spacing w:after="120"/>
        <w:ind w:left="1418" w:hanging="709"/>
        <w:rPr>
          <w:rFonts w:ascii="Arial" w:hAnsi="Arial" w:cs="Arial"/>
          <w:color w:val="000000"/>
          <w:sz w:val="22"/>
          <w:szCs w:val="22"/>
        </w:rPr>
      </w:pPr>
      <w:r w:rsidRPr="00AF447C">
        <w:rPr>
          <w:rFonts w:ascii="Arial" w:hAnsi="Arial" w:cs="Arial"/>
          <w:color w:val="000000"/>
          <w:sz w:val="22"/>
          <w:szCs w:val="22"/>
        </w:rPr>
        <w:t>the supplier has held the interest, unit or lease since before 1 July 2000;</w:t>
      </w:r>
    </w:p>
    <w:p w14:paraId="45BE3974" w14:textId="088534DA" w:rsidR="000D5D38" w:rsidRPr="00AF447C" w:rsidRDefault="000D5D38" w:rsidP="00ED467E">
      <w:pPr>
        <w:numPr>
          <w:ilvl w:val="0"/>
          <w:numId w:val="21"/>
        </w:numPr>
        <w:tabs>
          <w:tab w:val="clear" w:pos="1076"/>
        </w:tabs>
        <w:spacing w:after="120"/>
        <w:ind w:left="1418" w:hanging="709"/>
        <w:rPr>
          <w:rFonts w:ascii="Arial" w:hAnsi="Arial" w:cs="Arial"/>
          <w:color w:val="000000"/>
          <w:sz w:val="22"/>
          <w:szCs w:val="22"/>
        </w:rPr>
      </w:pPr>
      <w:r w:rsidRPr="00AF447C">
        <w:rPr>
          <w:rFonts w:ascii="Arial" w:hAnsi="Arial" w:cs="Arial"/>
          <w:color w:val="000000"/>
          <w:sz w:val="22"/>
          <w:szCs w:val="22"/>
        </w:rPr>
        <w:t>there were no improvements on the land or premises in question as at 1 July 2000; and</w:t>
      </w:r>
    </w:p>
    <w:p w14:paraId="2DAEF82D" w14:textId="77777777" w:rsidR="000D5D38" w:rsidRPr="00AF447C" w:rsidRDefault="000D5D38" w:rsidP="00ED467E">
      <w:pPr>
        <w:numPr>
          <w:ilvl w:val="0"/>
          <w:numId w:val="21"/>
        </w:numPr>
        <w:tabs>
          <w:tab w:val="clear" w:pos="1076"/>
        </w:tabs>
        <w:spacing w:after="120"/>
        <w:ind w:left="1418" w:hanging="709"/>
        <w:rPr>
          <w:rFonts w:ascii="Arial" w:hAnsi="Arial" w:cs="Arial"/>
          <w:color w:val="000000"/>
          <w:sz w:val="22"/>
          <w:szCs w:val="22"/>
        </w:rPr>
      </w:pPr>
      <w:r w:rsidRPr="00AF447C">
        <w:rPr>
          <w:rFonts w:ascii="Arial" w:hAnsi="Arial" w:cs="Arial"/>
          <w:color w:val="000000"/>
          <w:sz w:val="22"/>
          <w:szCs w:val="22"/>
        </w:rPr>
        <w:t>there are improvements on the land or premises in question on the day on which the taxable supply takes place.</w:t>
      </w:r>
    </w:p>
    <w:p w14:paraId="2C739271" w14:textId="77777777" w:rsidR="000D5D38" w:rsidRPr="00AF447C" w:rsidRDefault="000D5D38" w:rsidP="00ED467E">
      <w:pPr>
        <w:spacing w:after="120"/>
        <w:ind w:left="539"/>
        <w:rPr>
          <w:rFonts w:ascii="Arial" w:hAnsi="Arial" w:cs="Arial"/>
          <w:sz w:val="22"/>
          <w:szCs w:val="22"/>
        </w:rPr>
      </w:pPr>
    </w:p>
    <w:p w14:paraId="1F1C5F8E" w14:textId="77777777" w:rsidR="00AF447C" w:rsidRPr="00AF447C" w:rsidRDefault="000D5D38" w:rsidP="00ED467E">
      <w:pPr>
        <w:pStyle w:val="Heading2"/>
        <w:numPr>
          <w:ilvl w:val="0"/>
          <w:numId w:val="2"/>
        </w:numPr>
        <w:tabs>
          <w:tab w:val="clear" w:pos="720"/>
        </w:tabs>
        <w:ind w:left="709" w:hanging="709"/>
        <w:rPr>
          <w:rFonts w:cs="Arial"/>
          <w:i/>
          <w:color w:val="000000"/>
          <w:szCs w:val="22"/>
        </w:rPr>
      </w:pPr>
      <w:r w:rsidRPr="00AF447C">
        <w:rPr>
          <w:rFonts w:cs="Arial"/>
          <w:i/>
          <w:color w:val="000000"/>
          <w:szCs w:val="22"/>
        </w:rPr>
        <w:t>Method 3:</w:t>
      </w:r>
      <w:r w:rsidRPr="00AF447C">
        <w:rPr>
          <w:rFonts w:cs="Arial"/>
          <w:i/>
          <w:color w:val="000000"/>
          <w:szCs w:val="22"/>
        </w:rPr>
        <w:tab/>
        <w:t xml:space="preserve"> State Government or Territory Government department valuation</w:t>
      </w:r>
    </w:p>
    <w:p w14:paraId="065B1BF9" w14:textId="0C727C6F" w:rsidR="000D5D38" w:rsidRPr="007A6532" w:rsidRDefault="000D5D38" w:rsidP="00ED467E">
      <w:pPr>
        <w:spacing w:after="120"/>
        <w:rPr>
          <w:rFonts w:ascii="Arial" w:hAnsi="Arial" w:cs="Arial"/>
          <w:i/>
          <w:color w:val="000000"/>
          <w:sz w:val="22"/>
          <w:szCs w:val="22"/>
        </w:rPr>
      </w:pPr>
      <w:r w:rsidRPr="007A6532">
        <w:rPr>
          <w:rFonts w:ascii="Arial" w:hAnsi="Arial" w:cs="Arial"/>
          <w:color w:val="000000"/>
          <w:sz w:val="22"/>
          <w:szCs w:val="22"/>
        </w:rPr>
        <w:t>For a valuation based on a valuation made by or on behalf of a State Government or a Territory Government to be an approved valuation for the purposes of Division 75, that valuation must be made in accordance with the following requirements:</w:t>
      </w:r>
    </w:p>
    <w:p w14:paraId="704CCC09" w14:textId="77777777" w:rsidR="000D5D38" w:rsidRPr="007A6532" w:rsidRDefault="000D5D38" w:rsidP="00ED467E">
      <w:pPr>
        <w:numPr>
          <w:ilvl w:val="0"/>
          <w:numId w:val="22"/>
        </w:numPr>
        <w:tabs>
          <w:tab w:val="clear" w:pos="1076"/>
        </w:tabs>
        <w:spacing w:after="120"/>
        <w:ind w:left="1418" w:hanging="709"/>
        <w:rPr>
          <w:rFonts w:ascii="Arial" w:hAnsi="Arial" w:cs="Arial"/>
          <w:color w:val="000000"/>
          <w:sz w:val="22"/>
          <w:szCs w:val="22"/>
        </w:rPr>
      </w:pPr>
      <w:r w:rsidRPr="007A6532">
        <w:rPr>
          <w:rFonts w:ascii="Arial" w:hAnsi="Arial" w:cs="Arial"/>
          <w:color w:val="000000"/>
          <w:sz w:val="22"/>
          <w:szCs w:val="22"/>
        </w:rPr>
        <w:lastRenderedPageBreak/>
        <w:t>the valuation must be made by adopting as the valuation the most recent valuation of the interest, unit or lease made before the valuation date by or on behalf of a State Government or a Territory Government department for rating or land tax purposes; and</w:t>
      </w:r>
    </w:p>
    <w:p w14:paraId="4D3C7865" w14:textId="735716CD" w:rsidR="000D5D38" w:rsidRPr="00AF447C" w:rsidRDefault="000D5D38" w:rsidP="00ED467E">
      <w:pPr>
        <w:numPr>
          <w:ilvl w:val="0"/>
          <w:numId w:val="22"/>
        </w:numPr>
        <w:tabs>
          <w:tab w:val="clear" w:pos="1076"/>
        </w:tabs>
        <w:spacing w:after="120"/>
        <w:ind w:left="1418" w:hanging="709"/>
        <w:rPr>
          <w:rFonts w:ascii="Arial" w:hAnsi="Arial" w:cs="Arial"/>
          <w:color w:val="000000"/>
          <w:sz w:val="22"/>
          <w:szCs w:val="22"/>
        </w:rPr>
      </w:pPr>
      <w:r w:rsidRPr="00AF447C">
        <w:rPr>
          <w:rFonts w:ascii="Arial" w:hAnsi="Arial" w:cs="Arial"/>
          <w:color w:val="000000"/>
          <w:sz w:val="22"/>
          <w:szCs w:val="22"/>
        </w:rPr>
        <w:t xml:space="preserve">the valuation must be made by the time specified in </w:t>
      </w:r>
      <w:r w:rsidR="00A920BA" w:rsidRPr="00AF447C">
        <w:rPr>
          <w:rFonts w:ascii="Arial" w:hAnsi="Arial" w:cs="Arial"/>
          <w:color w:val="000000"/>
          <w:sz w:val="22"/>
          <w:szCs w:val="22"/>
        </w:rPr>
        <w:t xml:space="preserve">section </w:t>
      </w:r>
      <w:r w:rsidR="00ED467E">
        <w:rPr>
          <w:rFonts w:ascii="Arial" w:hAnsi="Arial" w:cs="Arial"/>
          <w:color w:val="000000"/>
          <w:sz w:val="22"/>
          <w:szCs w:val="22"/>
        </w:rPr>
        <w:t>10</w:t>
      </w:r>
      <w:r w:rsidRPr="00AF447C">
        <w:rPr>
          <w:rFonts w:ascii="Arial" w:hAnsi="Arial" w:cs="Arial"/>
          <w:color w:val="000000"/>
          <w:sz w:val="22"/>
          <w:szCs w:val="22"/>
        </w:rPr>
        <w:t xml:space="preserve"> below.</w:t>
      </w:r>
    </w:p>
    <w:p w14:paraId="6C0DFF5A" w14:textId="77777777" w:rsidR="000D5D38" w:rsidRPr="00AF447C" w:rsidRDefault="000D5D38" w:rsidP="00ED467E">
      <w:pPr>
        <w:spacing w:after="120"/>
        <w:rPr>
          <w:rFonts w:ascii="Arial" w:hAnsi="Arial" w:cs="Arial"/>
          <w:color w:val="000000"/>
          <w:sz w:val="22"/>
          <w:szCs w:val="22"/>
        </w:rPr>
      </w:pPr>
    </w:p>
    <w:p w14:paraId="700A1AA6" w14:textId="77777777" w:rsidR="000D5D38" w:rsidRPr="00AF447C" w:rsidRDefault="000D5D38" w:rsidP="00ED467E">
      <w:pPr>
        <w:pStyle w:val="Heading2"/>
        <w:numPr>
          <w:ilvl w:val="0"/>
          <w:numId w:val="2"/>
        </w:numPr>
        <w:tabs>
          <w:tab w:val="clear" w:pos="720"/>
        </w:tabs>
        <w:ind w:left="709" w:hanging="709"/>
        <w:rPr>
          <w:rFonts w:cs="Arial"/>
          <w:b w:val="0"/>
          <w:i/>
          <w:color w:val="000000"/>
          <w:szCs w:val="22"/>
        </w:rPr>
      </w:pPr>
      <w:r w:rsidRPr="00AF447C">
        <w:rPr>
          <w:rFonts w:cs="Arial"/>
          <w:i/>
          <w:color w:val="000000"/>
          <w:szCs w:val="22"/>
        </w:rPr>
        <w:t>Method 4:</w:t>
      </w:r>
      <w:r w:rsidRPr="00AF447C">
        <w:rPr>
          <w:rFonts w:cs="Arial"/>
          <w:i/>
          <w:color w:val="000000"/>
          <w:szCs w:val="22"/>
        </w:rPr>
        <w:tab/>
        <w:t>valuation obtained by the Commissioner in certain circumstances</w:t>
      </w:r>
    </w:p>
    <w:p w14:paraId="4EAD555B" w14:textId="77777777" w:rsidR="000D5D38" w:rsidRPr="00AF447C" w:rsidRDefault="000D5D38" w:rsidP="00ED467E">
      <w:pPr>
        <w:spacing w:after="120"/>
        <w:rPr>
          <w:rFonts w:ascii="Arial" w:hAnsi="Arial" w:cs="Arial"/>
          <w:color w:val="000000"/>
          <w:sz w:val="22"/>
          <w:szCs w:val="22"/>
        </w:rPr>
      </w:pPr>
      <w:r w:rsidRPr="00AF447C">
        <w:rPr>
          <w:rFonts w:ascii="Arial" w:hAnsi="Arial" w:cs="Arial"/>
          <w:color w:val="000000"/>
          <w:sz w:val="22"/>
          <w:szCs w:val="22"/>
        </w:rPr>
        <w:t>Method 4 is only applicable if all of the following circumstances apply:</w:t>
      </w:r>
    </w:p>
    <w:p w14:paraId="4404471C" w14:textId="626DD0D6" w:rsidR="00AF447C" w:rsidRPr="00AF447C" w:rsidRDefault="000D5D38" w:rsidP="00ED467E">
      <w:pPr>
        <w:numPr>
          <w:ilvl w:val="0"/>
          <w:numId w:val="23"/>
        </w:numPr>
        <w:tabs>
          <w:tab w:val="clear" w:pos="1247"/>
        </w:tabs>
        <w:spacing w:after="120"/>
        <w:ind w:left="1418" w:hanging="709"/>
        <w:rPr>
          <w:rFonts w:ascii="Arial" w:hAnsi="Arial" w:cs="Arial"/>
          <w:color w:val="000000"/>
          <w:sz w:val="22"/>
          <w:szCs w:val="22"/>
        </w:rPr>
      </w:pPr>
      <w:r w:rsidRPr="00AF447C">
        <w:rPr>
          <w:rFonts w:ascii="Arial" w:hAnsi="Arial" w:cs="Arial"/>
          <w:color w:val="000000"/>
          <w:sz w:val="22"/>
          <w:szCs w:val="22"/>
        </w:rPr>
        <w:t>for the purposes of calculating the margin under subsection 75</w:t>
      </w:r>
      <w:r w:rsidR="003B7611">
        <w:rPr>
          <w:rFonts w:ascii="Arial" w:hAnsi="Arial" w:cs="Arial"/>
          <w:color w:val="000000"/>
          <w:sz w:val="22"/>
          <w:szCs w:val="22"/>
        </w:rPr>
        <w:noBreakHyphen/>
      </w:r>
      <w:r w:rsidRPr="00AF447C">
        <w:rPr>
          <w:rFonts w:ascii="Arial" w:hAnsi="Arial" w:cs="Arial"/>
          <w:color w:val="000000"/>
          <w:sz w:val="22"/>
          <w:szCs w:val="22"/>
        </w:rPr>
        <w:t>10(3), a valuation has not been produced to the Commissioner or the valuation produced is not an approved valuation;</w:t>
      </w:r>
    </w:p>
    <w:p w14:paraId="032064FF" w14:textId="77777777" w:rsidR="00AF447C" w:rsidRPr="00AF447C" w:rsidRDefault="000D5D38" w:rsidP="00ED467E">
      <w:pPr>
        <w:numPr>
          <w:ilvl w:val="0"/>
          <w:numId w:val="23"/>
        </w:numPr>
        <w:tabs>
          <w:tab w:val="clear" w:pos="1247"/>
        </w:tabs>
        <w:spacing w:after="120"/>
        <w:ind w:left="1418" w:hanging="709"/>
        <w:rPr>
          <w:rFonts w:ascii="Arial" w:hAnsi="Arial" w:cs="Arial"/>
          <w:color w:val="000000"/>
          <w:sz w:val="22"/>
          <w:szCs w:val="22"/>
        </w:rPr>
      </w:pPr>
      <w:r w:rsidRPr="00AF447C">
        <w:rPr>
          <w:rFonts w:ascii="Arial" w:hAnsi="Arial" w:cs="Arial"/>
          <w:color w:val="000000"/>
          <w:sz w:val="22"/>
          <w:szCs w:val="22"/>
        </w:rPr>
        <w:t>the Commissioner has provided a notification in writing to the supplier that a valuation or an approved valuation has not been produced (incorporating, where applicable, the reasons for not accepting the valuation produced as an approved valuation) and advised that the supplier must produce an approved valuation to the Commissioner within 8 weeks;</w:t>
      </w:r>
    </w:p>
    <w:p w14:paraId="04248082" w14:textId="77777777" w:rsidR="00AF447C" w:rsidRPr="00AF447C" w:rsidRDefault="000D5D38" w:rsidP="00ED467E">
      <w:pPr>
        <w:numPr>
          <w:ilvl w:val="0"/>
          <w:numId w:val="23"/>
        </w:numPr>
        <w:tabs>
          <w:tab w:val="clear" w:pos="1247"/>
        </w:tabs>
        <w:spacing w:after="120"/>
        <w:ind w:left="1418" w:hanging="709"/>
        <w:rPr>
          <w:rFonts w:ascii="Arial" w:hAnsi="Arial" w:cs="Arial"/>
          <w:color w:val="000000"/>
          <w:sz w:val="22"/>
          <w:szCs w:val="22"/>
        </w:rPr>
      </w:pPr>
      <w:r w:rsidRPr="00AF447C">
        <w:rPr>
          <w:rFonts w:ascii="Arial" w:hAnsi="Arial" w:cs="Arial"/>
          <w:color w:val="000000"/>
          <w:sz w:val="22"/>
          <w:szCs w:val="22"/>
        </w:rPr>
        <w:t>the supplier does not produce an approved valuation to the Commissioner within the 8 weeks or any extended time which the Commissioner may for good reason</w:t>
      </w:r>
      <w:r w:rsidRPr="00AF447C" w:rsidDel="00275E5E">
        <w:rPr>
          <w:rFonts w:ascii="Arial" w:hAnsi="Arial" w:cs="Arial"/>
          <w:color w:val="000000"/>
          <w:sz w:val="22"/>
          <w:szCs w:val="22"/>
        </w:rPr>
        <w:t xml:space="preserve"> </w:t>
      </w:r>
      <w:r w:rsidRPr="00AF447C">
        <w:rPr>
          <w:rFonts w:ascii="Arial" w:hAnsi="Arial" w:cs="Arial"/>
          <w:color w:val="000000"/>
          <w:sz w:val="22"/>
          <w:szCs w:val="22"/>
        </w:rPr>
        <w:t>allow;</w:t>
      </w:r>
    </w:p>
    <w:p w14:paraId="7089BCEE" w14:textId="56FA78E9" w:rsidR="00AF447C" w:rsidRPr="00AF447C" w:rsidRDefault="000D5D38" w:rsidP="00ED467E">
      <w:pPr>
        <w:numPr>
          <w:ilvl w:val="0"/>
          <w:numId w:val="23"/>
        </w:numPr>
        <w:tabs>
          <w:tab w:val="clear" w:pos="1247"/>
        </w:tabs>
        <w:spacing w:after="120"/>
        <w:ind w:left="1418" w:hanging="709"/>
        <w:rPr>
          <w:rFonts w:ascii="Arial" w:hAnsi="Arial" w:cs="Arial"/>
          <w:color w:val="000000"/>
          <w:sz w:val="22"/>
          <w:szCs w:val="22"/>
        </w:rPr>
      </w:pPr>
      <w:r w:rsidRPr="00AF447C">
        <w:rPr>
          <w:rFonts w:ascii="Arial" w:hAnsi="Arial" w:cs="Arial"/>
          <w:color w:val="000000"/>
          <w:sz w:val="22"/>
          <w:szCs w:val="22"/>
        </w:rPr>
        <w:t>the margin, in the absence of an approved valuation being produced by the supplier, would be calculated under subsection 75</w:t>
      </w:r>
      <w:r w:rsidR="003B7611">
        <w:rPr>
          <w:rFonts w:ascii="Arial" w:hAnsi="Arial" w:cs="Arial"/>
          <w:color w:val="000000"/>
          <w:sz w:val="22"/>
          <w:szCs w:val="22"/>
        </w:rPr>
        <w:noBreakHyphen/>
      </w:r>
      <w:r w:rsidRPr="00AF447C">
        <w:rPr>
          <w:rFonts w:ascii="Arial" w:hAnsi="Arial" w:cs="Arial"/>
          <w:color w:val="000000"/>
          <w:sz w:val="22"/>
          <w:szCs w:val="22"/>
        </w:rPr>
        <w:t>10(2);</w:t>
      </w:r>
    </w:p>
    <w:p w14:paraId="5893952B" w14:textId="53DF8408" w:rsidR="000D5D38" w:rsidRPr="00AF447C" w:rsidRDefault="000D5D38" w:rsidP="00ED467E">
      <w:pPr>
        <w:numPr>
          <w:ilvl w:val="0"/>
          <w:numId w:val="23"/>
        </w:numPr>
        <w:tabs>
          <w:tab w:val="clear" w:pos="1247"/>
        </w:tabs>
        <w:spacing w:after="120"/>
        <w:ind w:left="1418" w:hanging="709"/>
        <w:rPr>
          <w:rFonts w:ascii="Arial" w:hAnsi="Arial" w:cs="Arial"/>
          <w:sz w:val="22"/>
          <w:szCs w:val="22"/>
        </w:rPr>
      </w:pPr>
      <w:r w:rsidRPr="00AF447C">
        <w:rPr>
          <w:rFonts w:ascii="Arial" w:hAnsi="Arial" w:cs="Arial"/>
          <w:sz w:val="22"/>
          <w:szCs w:val="22"/>
        </w:rPr>
        <w:t xml:space="preserve">the </w:t>
      </w:r>
      <w:r w:rsidRPr="00AF447C">
        <w:rPr>
          <w:rFonts w:ascii="Arial" w:hAnsi="Arial" w:cs="Arial"/>
          <w:color w:val="000000"/>
          <w:sz w:val="22"/>
          <w:szCs w:val="22"/>
        </w:rPr>
        <w:t>margin,</w:t>
      </w:r>
      <w:r w:rsidRPr="00AF447C">
        <w:rPr>
          <w:rFonts w:ascii="Arial" w:hAnsi="Arial" w:cs="Arial"/>
          <w:sz w:val="22"/>
          <w:szCs w:val="22"/>
        </w:rPr>
        <w:t xml:space="preserve"> if calculated under subsection 75</w:t>
      </w:r>
      <w:r w:rsidR="003B7611">
        <w:rPr>
          <w:rFonts w:ascii="Arial" w:hAnsi="Arial" w:cs="Arial"/>
          <w:color w:val="000000"/>
          <w:sz w:val="22"/>
          <w:szCs w:val="22"/>
        </w:rPr>
        <w:noBreakHyphen/>
      </w:r>
      <w:r w:rsidRPr="00AF447C">
        <w:rPr>
          <w:rFonts w:ascii="Arial" w:hAnsi="Arial" w:cs="Arial"/>
          <w:sz w:val="22"/>
          <w:szCs w:val="22"/>
        </w:rPr>
        <w:t>10(2), would result in GST payable on value added to the real property prior to the commencement of, or entry into, the GST system; and</w:t>
      </w:r>
    </w:p>
    <w:p w14:paraId="015177EA" w14:textId="61320338" w:rsidR="00AF447C" w:rsidRPr="00AF447C" w:rsidRDefault="000D5D38" w:rsidP="00ED467E">
      <w:pPr>
        <w:numPr>
          <w:ilvl w:val="0"/>
          <w:numId w:val="23"/>
        </w:numPr>
        <w:tabs>
          <w:tab w:val="clear" w:pos="1247"/>
        </w:tabs>
        <w:spacing w:after="120"/>
        <w:ind w:left="1418" w:hanging="709"/>
        <w:rPr>
          <w:rFonts w:ascii="Arial" w:hAnsi="Arial" w:cs="Arial"/>
          <w:color w:val="000000"/>
          <w:sz w:val="22"/>
          <w:szCs w:val="22"/>
        </w:rPr>
      </w:pPr>
      <w:r w:rsidRPr="00AF447C">
        <w:rPr>
          <w:rFonts w:ascii="Arial" w:hAnsi="Arial" w:cs="Arial"/>
          <w:color w:val="000000"/>
          <w:sz w:val="22"/>
          <w:szCs w:val="22"/>
        </w:rPr>
        <w:t>the margin, if calculated using a valuation obtained by the Commissioner, would be less than the margin calculated under subsection 75</w:t>
      </w:r>
      <w:r w:rsidR="003B7611">
        <w:rPr>
          <w:rFonts w:ascii="Arial" w:hAnsi="Arial" w:cs="Arial"/>
          <w:color w:val="000000"/>
          <w:sz w:val="22"/>
          <w:szCs w:val="22"/>
        </w:rPr>
        <w:noBreakHyphen/>
      </w:r>
      <w:r w:rsidRPr="00AF447C">
        <w:rPr>
          <w:rFonts w:ascii="Arial" w:hAnsi="Arial" w:cs="Arial"/>
          <w:color w:val="000000"/>
          <w:sz w:val="22"/>
          <w:szCs w:val="22"/>
        </w:rPr>
        <w:t>10(2).</w:t>
      </w:r>
    </w:p>
    <w:p w14:paraId="7CB5216B" w14:textId="77777777" w:rsidR="000D5D38" w:rsidRPr="00AF447C" w:rsidRDefault="000D5D38" w:rsidP="00ED467E">
      <w:pPr>
        <w:spacing w:after="120"/>
        <w:rPr>
          <w:rFonts w:ascii="Arial" w:hAnsi="Arial" w:cs="Arial"/>
          <w:color w:val="000000"/>
          <w:sz w:val="22"/>
          <w:szCs w:val="22"/>
        </w:rPr>
      </w:pPr>
      <w:r w:rsidRPr="00AF447C">
        <w:rPr>
          <w:rFonts w:ascii="Arial" w:hAnsi="Arial" w:cs="Arial"/>
          <w:color w:val="000000"/>
          <w:sz w:val="22"/>
          <w:szCs w:val="22"/>
        </w:rPr>
        <w:t>For taxable supplies of real property made on or after 1 March 2010, any one of the following valuations, if obtained by the Commissioner, is an approved valuation for the purposes of subsection 75-10(3):</w:t>
      </w:r>
    </w:p>
    <w:p w14:paraId="4BD00E2A" w14:textId="6AD84FDA" w:rsidR="000D5D38" w:rsidRPr="00AF447C" w:rsidRDefault="000D5D38" w:rsidP="00ED467E">
      <w:pPr>
        <w:numPr>
          <w:ilvl w:val="0"/>
          <w:numId w:val="23"/>
        </w:numPr>
        <w:tabs>
          <w:tab w:val="clear" w:pos="1247"/>
        </w:tabs>
        <w:spacing w:after="120"/>
        <w:rPr>
          <w:rFonts w:ascii="Arial" w:hAnsi="Arial" w:cs="Arial"/>
          <w:color w:val="000000"/>
          <w:sz w:val="22"/>
          <w:szCs w:val="22"/>
        </w:rPr>
      </w:pPr>
      <w:r w:rsidRPr="00AF447C">
        <w:rPr>
          <w:rFonts w:ascii="Arial" w:hAnsi="Arial" w:cs="Arial"/>
          <w:color w:val="000000"/>
          <w:sz w:val="22"/>
          <w:szCs w:val="22"/>
        </w:rPr>
        <w:t xml:space="preserve">a valuation by a valuer which meets the requirements set out in </w:t>
      </w:r>
      <w:r w:rsidR="00E14D86" w:rsidRPr="00AF447C">
        <w:rPr>
          <w:rFonts w:ascii="Arial" w:hAnsi="Arial" w:cs="Arial"/>
          <w:color w:val="000000"/>
          <w:sz w:val="22"/>
          <w:szCs w:val="22"/>
        </w:rPr>
        <w:t xml:space="preserve">subsections </w:t>
      </w:r>
      <w:r w:rsidR="007C609C">
        <w:rPr>
          <w:rFonts w:ascii="Arial" w:hAnsi="Arial" w:cs="Arial"/>
          <w:color w:val="000000"/>
          <w:sz w:val="22"/>
          <w:szCs w:val="22"/>
        </w:rPr>
        <w:t>6</w:t>
      </w:r>
      <w:r w:rsidRPr="00AF447C">
        <w:rPr>
          <w:rFonts w:ascii="Arial" w:hAnsi="Arial" w:cs="Arial"/>
          <w:color w:val="000000"/>
          <w:sz w:val="22"/>
          <w:szCs w:val="22"/>
        </w:rPr>
        <w:t>(1) to (6)</w:t>
      </w:r>
      <w:r w:rsidR="00ED467E" w:rsidRPr="00ED467E">
        <w:t xml:space="preserve"> </w:t>
      </w:r>
      <w:r w:rsidR="00ED467E" w:rsidRPr="00ED467E">
        <w:rPr>
          <w:rFonts w:ascii="Arial" w:hAnsi="Arial" w:cs="Arial"/>
          <w:color w:val="000000"/>
          <w:sz w:val="22"/>
          <w:szCs w:val="22"/>
        </w:rPr>
        <w:t>of this instrument</w:t>
      </w:r>
      <w:r w:rsidRPr="00AF447C">
        <w:rPr>
          <w:rFonts w:ascii="Arial" w:hAnsi="Arial" w:cs="Arial"/>
          <w:color w:val="000000"/>
          <w:sz w:val="22"/>
          <w:szCs w:val="22"/>
        </w:rPr>
        <w:t xml:space="preserve"> under method 1 other than the requirement in </w:t>
      </w:r>
      <w:r w:rsidR="00A16DB1" w:rsidRPr="00AF447C">
        <w:rPr>
          <w:rFonts w:ascii="Arial" w:hAnsi="Arial" w:cs="Arial"/>
          <w:color w:val="000000"/>
          <w:sz w:val="22"/>
          <w:szCs w:val="22"/>
        </w:rPr>
        <w:t>paragraph</w:t>
      </w:r>
      <w:r w:rsidR="00ED467E">
        <w:rPr>
          <w:rFonts w:ascii="Arial" w:hAnsi="Arial" w:cs="Arial"/>
          <w:color w:val="000000"/>
          <w:sz w:val="22"/>
          <w:szCs w:val="22"/>
        </w:rPr>
        <w:t> </w:t>
      </w:r>
      <w:r w:rsidR="007C609C">
        <w:rPr>
          <w:rFonts w:ascii="Arial" w:hAnsi="Arial" w:cs="Arial"/>
          <w:color w:val="000000"/>
          <w:sz w:val="22"/>
          <w:szCs w:val="22"/>
        </w:rPr>
        <w:t>6</w:t>
      </w:r>
      <w:r w:rsidRPr="00AF447C">
        <w:rPr>
          <w:rFonts w:ascii="Arial" w:hAnsi="Arial" w:cs="Arial"/>
          <w:color w:val="000000"/>
          <w:sz w:val="22"/>
          <w:szCs w:val="22"/>
        </w:rPr>
        <w:t>(</w:t>
      </w:r>
      <w:r w:rsidR="00A16DB1" w:rsidRPr="00AF447C">
        <w:rPr>
          <w:rFonts w:ascii="Arial" w:hAnsi="Arial" w:cs="Arial"/>
          <w:color w:val="000000"/>
          <w:sz w:val="22"/>
          <w:szCs w:val="22"/>
        </w:rPr>
        <w:t>5</w:t>
      </w:r>
      <w:r w:rsidRPr="00AF447C">
        <w:rPr>
          <w:rFonts w:ascii="Arial" w:hAnsi="Arial" w:cs="Arial"/>
          <w:color w:val="000000"/>
          <w:sz w:val="22"/>
          <w:szCs w:val="22"/>
        </w:rPr>
        <w:t>)(c)</w:t>
      </w:r>
      <w:r w:rsidR="00ED467E" w:rsidRPr="00ED467E">
        <w:t xml:space="preserve"> </w:t>
      </w:r>
      <w:r w:rsidR="00ED467E" w:rsidRPr="00ED467E">
        <w:rPr>
          <w:rFonts w:ascii="Arial" w:hAnsi="Arial" w:cs="Arial"/>
          <w:color w:val="000000"/>
          <w:sz w:val="22"/>
          <w:szCs w:val="22"/>
        </w:rPr>
        <w:t>of this instrument</w:t>
      </w:r>
      <w:r w:rsidRPr="00AF447C">
        <w:rPr>
          <w:rFonts w:ascii="Arial" w:hAnsi="Arial" w:cs="Arial"/>
          <w:color w:val="000000"/>
          <w:sz w:val="22"/>
          <w:szCs w:val="22"/>
        </w:rPr>
        <w:t>;</w:t>
      </w:r>
    </w:p>
    <w:p w14:paraId="07BC4AB0" w14:textId="4C533F11" w:rsidR="000D5D38" w:rsidRPr="00AF447C" w:rsidRDefault="000D5D38" w:rsidP="00ED467E">
      <w:pPr>
        <w:numPr>
          <w:ilvl w:val="0"/>
          <w:numId w:val="23"/>
        </w:numPr>
        <w:tabs>
          <w:tab w:val="clear" w:pos="1247"/>
        </w:tabs>
        <w:spacing w:after="120"/>
        <w:ind w:left="1418" w:hanging="709"/>
        <w:rPr>
          <w:rFonts w:ascii="Arial" w:hAnsi="Arial" w:cs="Arial"/>
          <w:color w:val="000000"/>
          <w:sz w:val="22"/>
          <w:szCs w:val="22"/>
        </w:rPr>
      </w:pPr>
      <w:r w:rsidRPr="00AF447C">
        <w:rPr>
          <w:rFonts w:ascii="Arial" w:hAnsi="Arial" w:cs="Arial"/>
          <w:color w:val="000000"/>
          <w:sz w:val="22"/>
          <w:szCs w:val="22"/>
        </w:rPr>
        <w:t>a valuation based on the consideration received by the supplier under a contract of sale</w:t>
      </w:r>
      <w:r w:rsidRPr="00AF447C">
        <w:rPr>
          <w:rFonts w:ascii="Arial" w:hAnsi="Arial" w:cs="Arial"/>
          <w:b/>
          <w:color w:val="000000"/>
          <w:sz w:val="22"/>
          <w:szCs w:val="22"/>
        </w:rPr>
        <w:t xml:space="preserve"> </w:t>
      </w:r>
      <w:r w:rsidRPr="00AF447C">
        <w:rPr>
          <w:rFonts w:ascii="Arial" w:hAnsi="Arial" w:cs="Arial"/>
          <w:color w:val="000000"/>
          <w:sz w:val="22"/>
          <w:szCs w:val="22"/>
        </w:rPr>
        <w:t>which meets the requirements set out in sub</w:t>
      </w:r>
      <w:r w:rsidR="001D7B88" w:rsidRPr="00AF447C">
        <w:rPr>
          <w:rFonts w:ascii="Arial" w:hAnsi="Arial" w:cs="Arial"/>
          <w:color w:val="000000"/>
          <w:sz w:val="22"/>
          <w:szCs w:val="22"/>
        </w:rPr>
        <w:t>sections</w:t>
      </w:r>
      <w:r w:rsidRPr="00AF447C">
        <w:rPr>
          <w:rFonts w:ascii="Arial" w:hAnsi="Arial" w:cs="Arial"/>
          <w:color w:val="000000"/>
          <w:sz w:val="22"/>
          <w:szCs w:val="22"/>
        </w:rPr>
        <w:t xml:space="preserve"> </w:t>
      </w:r>
      <w:r w:rsidR="001D7B88" w:rsidRPr="00AF447C">
        <w:rPr>
          <w:rFonts w:ascii="Arial" w:hAnsi="Arial" w:cs="Arial"/>
          <w:color w:val="000000"/>
          <w:sz w:val="22"/>
          <w:szCs w:val="22"/>
        </w:rPr>
        <w:t>7</w:t>
      </w:r>
      <w:r w:rsidR="00ED467E">
        <w:rPr>
          <w:rFonts w:ascii="Arial" w:hAnsi="Arial" w:cs="Arial"/>
          <w:color w:val="000000"/>
          <w:sz w:val="22"/>
          <w:szCs w:val="22"/>
        </w:rPr>
        <w:t>(1) and </w:t>
      </w:r>
      <w:r w:rsidRPr="00AF447C">
        <w:rPr>
          <w:rFonts w:ascii="Arial" w:hAnsi="Arial" w:cs="Arial"/>
          <w:color w:val="000000"/>
          <w:sz w:val="22"/>
          <w:szCs w:val="22"/>
        </w:rPr>
        <w:t>(2)</w:t>
      </w:r>
      <w:r w:rsidR="00ED467E" w:rsidRPr="00ED467E">
        <w:t xml:space="preserve"> </w:t>
      </w:r>
      <w:r w:rsidR="00ED467E" w:rsidRPr="00ED467E">
        <w:rPr>
          <w:rFonts w:ascii="Arial" w:hAnsi="Arial" w:cs="Arial"/>
          <w:color w:val="000000"/>
          <w:sz w:val="22"/>
          <w:szCs w:val="22"/>
        </w:rPr>
        <w:t>of this instrument</w:t>
      </w:r>
      <w:r w:rsidRPr="00AF447C">
        <w:rPr>
          <w:rFonts w:ascii="Arial" w:hAnsi="Arial" w:cs="Arial"/>
          <w:color w:val="000000"/>
          <w:sz w:val="22"/>
          <w:szCs w:val="22"/>
        </w:rPr>
        <w:t xml:space="preserve">; and where </w:t>
      </w:r>
      <w:r w:rsidR="001D7B88" w:rsidRPr="00AF447C">
        <w:rPr>
          <w:rFonts w:ascii="Arial" w:hAnsi="Arial" w:cs="Arial"/>
          <w:color w:val="000000"/>
          <w:sz w:val="22"/>
          <w:szCs w:val="22"/>
        </w:rPr>
        <w:t>subsections 7(4) to (7)</w:t>
      </w:r>
      <w:r w:rsidR="00ED467E" w:rsidRPr="00ED467E">
        <w:t xml:space="preserve"> </w:t>
      </w:r>
      <w:r w:rsidR="00ED467E" w:rsidRPr="00ED467E">
        <w:rPr>
          <w:rFonts w:ascii="Arial" w:hAnsi="Arial" w:cs="Arial"/>
          <w:color w:val="000000"/>
          <w:sz w:val="22"/>
          <w:szCs w:val="22"/>
        </w:rPr>
        <w:t>of this instrument</w:t>
      </w:r>
      <w:r w:rsidRPr="00AF447C">
        <w:rPr>
          <w:rFonts w:ascii="Arial" w:hAnsi="Arial" w:cs="Arial"/>
          <w:color w:val="000000"/>
          <w:sz w:val="22"/>
          <w:szCs w:val="22"/>
        </w:rPr>
        <w:t xml:space="preserve"> do not apply; or</w:t>
      </w:r>
    </w:p>
    <w:p w14:paraId="0B687272" w14:textId="30A75933" w:rsidR="00AF447C" w:rsidRPr="00AF447C" w:rsidRDefault="000D5D38" w:rsidP="00ED467E">
      <w:pPr>
        <w:numPr>
          <w:ilvl w:val="0"/>
          <w:numId w:val="23"/>
        </w:numPr>
        <w:tabs>
          <w:tab w:val="clear" w:pos="1247"/>
        </w:tabs>
        <w:spacing w:after="120"/>
        <w:ind w:left="1418" w:hanging="709"/>
        <w:rPr>
          <w:rFonts w:ascii="Arial" w:hAnsi="Arial" w:cs="Arial"/>
          <w:color w:val="000000"/>
          <w:sz w:val="22"/>
          <w:szCs w:val="22"/>
        </w:rPr>
      </w:pPr>
      <w:r w:rsidRPr="00AF447C">
        <w:rPr>
          <w:rFonts w:ascii="Arial" w:hAnsi="Arial" w:cs="Arial"/>
          <w:color w:val="000000"/>
          <w:sz w:val="22"/>
          <w:szCs w:val="22"/>
        </w:rPr>
        <w:t>a valuation based on a valuation made by or on behalf of a State Government or a Territory Government which meets the requirements set out in sub</w:t>
      </w:r>
      <w:r w:rsidR="001D7B88" w:rsidRPr="00AF447C">
        <w:rPr>
          <w:rFonts w:ascii="Arial" w:hAnsi="Arial" w:cs="Arial"/>
          <w:color w:val="000000"/>
          <w:sz w:val="22"/>
          <w:szCs w:val="22"/>
        </w:rPr>
        <w:t>section</w:t>
      </w:r>
      <w:r w:rsidRPr="00AF447C">
        <w:rPr>
          <w:rFonts w:ascii="Arial" w:hAnsi="Arial" w:cs="Arial"/>
          <w:color w:val="000000"/>
          <w:sz w:val="22"/>
          <w:szCs w:val="22"/>
        </w:rPr>
        <w:t> </w:t>
      </w:r>
      <w:r w:rsidR="001D7B88" w:rsidRPr="00AF447C">
        <w:rPr>
          <w:rFonts w:ascii="Arial" w:hAnsi="Arial" w:cs="Arial"/>
          <w:color w:val="000000"/>
          <w:sz w:val="22"/>
          <w:szCs w:val="22"/>
        </w:rPr>
        <w:t>8</w:t>
      </w:r>
      <w:r w:rsidRPr="00AF447C">
        <w:rPr>
          <w:rFonts w:ascii="Arial" w:hAnsi="Arial" w:cs="Arial"/>
          <w:color w:val="000000"/>
          <w:sz w:val="22"/>
          <w:szCs w:val="22"/>
        </w:rPr>
        <w:t>(1)</w:t>
      </w:r>
      <w:r w:rsidR="00ED467E" w:rsidRPr="00ED467E">
        <w:t xml:space="preserve"> </w:t>
      </w:r>
      <w:r w:rsidR="00ED467E" w:rsidRPr="00ED467E">
        <w:rPr>
          <w:rFonts w:ascii="Arial" w:hAnsi="Arial" w:cs="Arial"/>
          <w:color w:val="000000"/>
          <w:sz w:val="22"/>
          <w:szCs w:val="22"/>
        </w:rPr>
        <w:t>of this instrument</w:t>
      </w:r>
      <w:r w:rsidRPr="00AF447C">
        <w:rPr>
          <w:rFonts w:ascii="Arial" w:hAnsi="Arial" w:cs="Arial"/>
          <w:color w:val="000000"/>
          <w:sz w:val="22"/>
          <w:szCs w:val="22"/>
        </w:rPr>
        <w:t>.</w:t>
      </w:r>
    </w:p>
    <w:p w14:paraId="0E1D71C4" w14:textId="1551FD08" w:rsidR="000D5D38" w:rsidRPr="00AF447C" w:rsidRDefault="000D5D38" w:rsidP="00ED467E">
      <w:pPr>
        <w:spacing w:after="120"/>
        <w:rPr>
          <w:rFonts w:ascii="Arial" w:hAnsi="Arial" w:cs="Arial"/>
          <w:color w:val="000000"/>
          <w:sz w:val="22"/>
          <w:szCs w:val="22"/>
        </w:rPr>
      </w:pPr>
      <w:r w:rsidRPr="00AF447C">
        <w:rPr>
          <w:rFonts w:ascii="Arial" w:hAnsi="Arial" w:cs="Arial"/>
          <w:color w:val="000000"/>
          <w:sz w:val="22"/>
          <w:szCs w:val="22"/>
        </w:rPr>
        <w:t>For taxable supplies of real property made before 1 March 2010, a valuation, if obtained by the Commissioner, is an approved valuation for the purposes of subsection 75</w:t>
      </w:r>
      <w:r w:rsidR="003B7611">
        <w:rPr>
          <w:rFonts w:ascii="Arial" w:hAnsi="Arial" w:cs="Arial"/>
          <w:color w:val="000000"/>
          <w:sz w:val="22"/>
          <w:szCs w:val="22"/>
        </w:rPr>
        <w:noBreakHyphen/>
      </w:r>
      <w:r w:rsidRPr="00AF447C">
        <w:rPr>
          <w:rFonts w:ascii="Arial" w:hAnsi="Arial" w:cs="Arial"/>
          <w:color w:val="000000"/>
          <w:sz w:val="22"/>
          <w:szCs w:val="22"/>
        </w:rPr>
        <w:t>10(3) if the valuation is:</w:t>
      </w:r>
    </w:p>
    <w:p w14:paraId="7F95B9AA" w14:textId="77777777" w:rsidR="00AF447C" w:rsidRPr="00AF447C" w:rsidRDefault="000D5D38" w:rsidP="00ED467E">
      <w:pPr>
        <w:numPr>
          <w:ilvl w:val="0"/>
          <w:numId w:val="23"/>
        </w:numPr>
        <w:tabs>
          <w:tab w:val="clear" w:pos="1247"/>
        </w:tabs>
        <w:spacing w:after="120"/>
        <w:ind w:left="1418" w:hanging="709"/>
        <w:rPr>
          <w:rFonts w:ascii="Arial" w:hAnsi="Arial" w:cs="Arial"/>
          <w:sz w:val="22"/>
          <w:szCs w:val="22"/>
        </w:rPr>
      </w:pPr>
      <w:r w:rsidRPr="00AF447C">
        <w:rPr>
          <w:rFonts w:ascii="Arial" w:hAnsi="Arial" w:cs="Arial"/>
          <w:sz w:val="22"/>
          <w:szCs w:val="22"/>
        </w:rPr>
        <w:t xml:space="preserve">based on one of the same valuation methods available to the taxpayer under the </w:t>
      </w:r>
      <w:r w:rsidRPr="00AF447C">
        <w:rPr>
          <w:rFonts w:ascii="Arial" w:hAnsi="Arial" w:cs="Arial"/>
          <w:color w:val="000000"/>
          <w:sz w:val="22"/>
          <w:szCs w:val="22"/>
        </w:rPr>
        <w:t xml:space="preserve">margin scheme valuation </w:t>
      </w:r>
      <w:r w:rsidRPr="00AF447C">
        <w:rPr>
          <w:rFonts w:ascii="Arial" w:hAnsi="Arial" w:cs="Arial"/>
          <w:sz w:val="22"/>
          <w:szCs w:val="22"/>
        </w:rPr>
        <w:t xml:space="preserve">requirements </w:t>
      </w:r>
      <w:r w:rsidRPr="00AF447C">
        <w:rPr>
          <w:rFonts w:ascii="Arial" w:hAnsi="Arial" w:cs="Arial"/>
          <w:color w:val="000000"/>
          <w:sz w:val="22"/>
          <w:szCs w:val="22"/>
        </w:rPr>
        <w:t>determination</w:t>
      </w:r>
      <w:r w:rsidRPr="00AF447C">
        <w:rPr>
          <w:rFonts w:ascii="Arial" w:hAnsi="Arial" w:cs="Arial"/>
          <w:sz w:val="22"/>
          <w:szCs w:val="22"/>
        </w:rPr>
        <w:t xml:space="preserve"> in force when the supply was made; and</w:t>
      </w:r>
    </w:p>
    <w:p w14:paraId="571699DC" w14:textId="40FB310E" w:rsidR="000D5D38" w:rsidRPr="00AF447C" w:rsidRDefault="000D5D38" w:rsidP="00ED467E">
      <w:pPr>
        <w:numPr>
          <w:ilvl w:val="0"/>
          <w:numId w:val="23"/>
        </w:numPr>
        <w:tabs>
          <w:tab w:val="clear" w:pos="1247"/>
        </w:tabs>
        <w:spacing w:after="120"/>
        <w:ind w:left="1418" w:hanging="709"/>
        <w:rPr>
          <w:rFonts w:ascii="Arial" w:hAnsi="Arial" w:cs="Arial"/>
          <w:sz w:val="22"/>
          <w:szCs w:val="22"/>
        </w:rPr>
      </w:pPr>
      <w:r w:rsidRPr="00AF447C">
        <w:rPr>
          <w:rFonts w:ascii="Arial" w:hAnsi="Arial" w:cs="Arial"/>
          <w:sz w:val="22"/>
          <w:szCs w:val="22"/>
        </w:rPr>
        <w:t xml:space="preserve">made in accordance with the requirements determined in the </w:t>
      </w:r>
      <w:r w:rsidRPr="00AF447C">
        <w:rPr>
          <w:rFonts w:ascii="Arial" w:hAnsi="Arial" w:cs="Arial"/>
          <w:color w:val="000000"/>
          <w:sz w:val="22"/>
          <w:szCs w:val="22"/>
        </w:rPr>
        <w:t xml:space="preserve">margin scheme valuation </w:t>
      </w:r>
      <w:r w:rsidRPr="00AF447C">
        <w:rPr>
          <w:rFonts w:ascii="Arial" w:hAnsi="Arial" w:cs="Arial"/>
          <w:sz w:val="22"/>
          <w:szCs w:val="22"/>
        </w:rPr>
        <w:t xml:space="preserve">requirements </w:t>
      </w:r>
      <w:r w:rsidRPr="00AF447C">
        <w:rPr>
          <w:rFonts w:ascii="Arial" w:hAnsi="Arial" w:cs="Arial"/>
          <w:color w:val="000000"/>
          <w:sz w:val="22"/>
          <w:szCs w:val="22"/>
        </w:rPr>
        <w:t>determination</w:t>
      </w:r>
      <w:r w:rsidRPr="00AF447C">
        <w:rPr>
          <w:rFonts w:ascii="Arial" w:hAnsi="Arial" w:cs="Arial"/>
          <w:sz w:val="22"/>
          <w:szCs w:val="22"/>
        </w:rPr>
        <w:t xml:space="preserve"> in force when the supply was made</w:t>
      </w:r>
      <w:r w:rsidRPr="00AF447C">
        <w:rPr>
          <w:rFonts w:ascii="Arial" w:hAnsi="Arial" w:cs="Arial"/>
          <w:color w:val="000000"/>
          <w:sz w:val="22"/>
          <w:szCs w:val="22"/>
        </w:rPr>
        <w:t xml:space="preserve"> </w:t>
      </w:r>
      <w:r w:rsidRPr="00AF447C">
        <w:rPr>
          <w:rFonts w:ascii="Arial" w:hAnsi="Arial" w:cs="Arial"/>
          <w:color w:val="000000"/>
          <w:sz w:val="22"/>
          <w:szCs w:val="22"/>
        </w:rPr>
        <w:lastRenderedPageBreak/>
        <w:t>(other than the requirements as to when the valuation must be made and the date the valuation was provided to the supplier).</w:t>
      </w:r>
    </w:p>
    <w:p w14:paraId="6BF71D18" w14:textId="77777777" w:rsidR="00AF447C" w:rsidRPr="00AF447C" w:rsidRDefault="000D5D38" w:rsidP="00ED467E">
      <w:pPr>
        <w:spacing w:after="120"/>
        <w:rPr>
          <w:rFonts w:ascii="Arial" w:hAnsi="Arial" w:cs="Arial"/>
          <w:color w:val="000000"/>
          <w:sz w:val="22"/>
          <w:szCs w:val="22"/>
        </w:rPr>
      </w:pPr>
      <w:r w:rsidRPr="00AF447C">
        <w:rPr>
          <w:rFonts w:ascii="Arial" w:hAnsi="Arial" w:cs="Arial"/>
          <w:color w:val="000000"/>
          <w:sz w:val="22"/>
          <w:szCs w:val="22"/>
        </w:rPr>
        <w:t>A copy of any approved valuation obtained by the Commissioner and used to calculate the margin is to be provided to the supplier.</w:t>
      </w:r>
    </w:p>
    <w:p w14:paraId="1CDA3D77" w14:textId="2E00B39B" w:rsidR="000D5D38" w:rsidRPr="00AF447C" w:rsidRDefault="000D5D38" w:rsidP="00ED467E">
      <w:pPr>
        <w:spacing w:after="120"/>
        <w:rPr>
          <w:rFonts w:ascii="Arial" w:hAnsi="Arial" w:cs="Arial"/>
          <w:color w:val="000000"/>
          <w:sz w:val="22"/>
          <w:szCs w:val="22"/>
        </w:rPr>
      </w:pPr>
    </w:p>
    <w:p w14:paraId="7B74BD18" w14:textId="77777777" w:rsidR="000D5D38" w:rsidRPr="002027C1" w:rsidRDefault="000D5D38" w:rsidP="00ED467E">
      <w:pPr>
        <w:pStyle w:val="Heading2"/>
        <w:numPr>
          <w:ilvl w:val="0"/>
          <w:numId w:val="2"/>
        </w:numPr>
        <w:tabs>
          <w:tab w:val="clear" w:pos="720"/>
        </w:tabs>
        <w:ind w:left="709" w:hanging="709"/>
        <w:rPr>
          <w:rFonts w:cs="Arial"/>
          <w:szCs w:val="22"/>
        </w:rPr>
      </w:pPr>
      <w:r w:rsidRPr="002027C1">
        <w:rPr>
          <w:rFonts w:cs="Arial"/>
          <w:szCs w:val="22"/>
        </w:rPr>
        <w:t>When must the valuation under methods 1 to 3 be made?</w:t>
      </w:r>
    </w:p>
    <w:p w14:paraId="48872AC5" w14:textId="77777777" w:rsidR="000D5D38" w:rsidRPr="00AF447C" w:rsidRDefault="000D5D38" w:rsidP="00ED467E">
      <w:pPr>
        <w:spacing w:after="120"/>
        <w:rPr>
          <w:rFonts w:ascii="Arial" w:hAnsi="Arial" w:cs="Arial"/>
          <w:color w:val="000000"/>
          <w:sz w:val="22"/>
          <w:szCs w:val="22"/>
        </w:rPr>
      </w:pPr>
      <w:r w:rsidRPr="00AF447C">
        <w:rPr>
          <w:rFonts w:ascii="Arial" w:hAnsi="Arial" w:cs="Arial"/>
          <w:color w:val="000000"/>
          <w:sz w:val="22"/>
          <w:szCs w:val="22"/>
        </w:rPr>
        <w:t>The valuation under methods 1 to 3 must be made by the due date for lodgement of the Business Activity Statement for the tax period to which the GST payable on the taxable supply of the real property is attributable.</w:t>
      </w:r>
    </w:p>
    <w:p w14:paraId="04809486" w14:textId="065DE0D2" w:rsidR="000D5D38" w:rsidRPr="00AF447C" w:rsidRDefault="000D5D38" w:rsidP="00ED467E">
      <w:pPr>
        <w:spacing w:after="120"/>
        <w:rPr>
          <w:rFonts w:ascii="Arial" w:hAnsi="Arial" w:cs="Arial"/>
          <w:color w:val="000000"/>
          <w:sz w:val="22"/>
          <w:szCs w:val="22"/>
        </w:rPr>
      </w:pPr>
      <w:r w:rsidRPr="00AF447C">
        <w:rPr>
          <w:rFonts w:ascii="Arial" w:hAnsi="Arial" w:cs="Arial"/>
          <w:color w:val="000000"/>
          <w:sz w:val="22"/>
          <w:szCs w:val="22"/>
        </w:rPr>
        <w:t>However, if the Commissioner has allowed a further period under paragraph 75</w:t>
      </w:r>
      <w:r w:rsidR="003B7611">
        <w:rPr>
          <w:rFonts w:ascii="Arial" w:hAnsi="Arial" w:cs="Arial"/>
          <w:color w:val="000000"/>
          <w:sz w:val="22"/>
          <w:szCs w:val="22"/>
        </w:rPr>
        <w:noBreakHyphen/>
      </w:r>
      <w:r w:rsidRPr="00AF447C">
        <w:rPr>
          <w:rFonts w:ascii="Arial" w:hAnsi="Arial" w:cs="Arial"/>
          <w:color w:val="000000"/>
          <w:sz w:val="22"/>
          <w:szCs w:val="22"/>
        </w:rPr>
        <w:t>5(1A)(b) of the GST Act for the supplier and recipient to agree in writing that the margin scheme is to apply in working out the GST on the supply, the valuation must be made by the later of:</w:t>
      </w:r>
    </w:p>
    <w:p w14:paraId="53CE7AB2" w14:textId="790574D8" w:rsidR="000D5D38" w:rsidRPr="00AF447C" w:rsidRDefault="000D5D38" w:rsidP="00ED467E">
      <w:pPr>
        <w:numPr>
          <w:ilvl w:val="0"/>
          <w:numId w:val="18"/>
        </w:numPr>
        <w:tabs>
          <w:tab w:val="clear" w:pos="1077"/>
        </w:tabs>
        <w:spacing w:after="120"/>
        <w:ind w:left="1418" w:hanging="709"/>
        <w:rPr>
          <w:rFonts w:ascii="Arial" w:hAnsi="Arial" w:cs="Arial"/>
          <w:color w:val="000000"/>
          <w:sz w:val="22"/>
          <w:szCs w:val="22"/>
        </w:rPr>
      </w:pPr>
      <w:r w:rsidRPr="00AF447C">
        <w:rPr>
          <w:rFonts w:ascii="Arial" w:hAnsi="Arial" w:cs="Arial"/>
          <w:color w:val="000000"/>
          <w:sz w:val="22"/>
          <w:szCs w:val="22"/>
        </w:rPr>
        <w:t>8 weeks from the end of the further period that the Commissioner has allowed under paragraph 75</w:t>
      </w:r>
      <w:r w:rsidR="003B7611">
        <w:rPr>
          <w:rFonts w:ascii="Arial" w:hAnsi="Arial" w:cs="Arial"/>
          <w:color w:val="000000"/>
          <w:sz w:val="22"/>
          <w:szCs w:val="22"/>
        </w:rPr>
        <w:noBreakHyphen/>
      </w:r>
      <w:r w:rsidRPr="00AF447C">
        <w:rPr>
          <w:rFonts w:ascii="Arial" w:hAnsi="Arial" w:cs="Arial"/>
          <w:color w:val="000000"/>
          <w:sz w:val="22"/>
          <w:szCs w:val="22"/>
        </w:rPr>
        <w:t>5(1A)(b); or</w:t>
      </w:r>
    </w:p>
    <w:p w14:paraId="1EA32A60" w14:textId="4BD890CE" w:rsidR="00AF447C" w:rsidRPr="00AF447C" w:rsidRDefault="000D5D38" w:rsidP="00ED467E">
      <w:pPr>
        <w:numPr>
          <w:ilvl w:val="0"/>
          <w:numId w:val="18"/>
        </w:numPr>
        <w:tabs>
          <w:tab w:val="clear" w:pos="1077"/>
        </w:tabs>
        <w:spacing w:after="120"/>
        <w:ind w:left="1418" w:hanging="709"/>
        <w:rPr>
          <w:rFonts w:ascii="Arial" w:hAnsi="Arial" w:cs="Arial"/>
          <w:color w:val="000000"/>
          <w:sz w:val="22"/>
          <w:szCs w:val="22"/>
        </w:rPr>
      </w:pPr>
      <w:r w:rsidRPr="00AF447C">
        <w:rPr>
          <w:rFonts w:ascii="Arial" w:hAnsi="Arial" w:cs="Arial"/>
          <w:color w:val="000000"/>
          <w:sz w:val="22"/>
          <w:szCs w:val="22"/>
        </w:rPr>
        <w:t>8 weeks from the date of the Commissioner’s decision to extend the further period under paragraph 75</w:t>
      </w:r>
      <w:r w:rsidR="003B7611">
        <w:rPr>
          <w:rFonts w:ascii="Arial" w:hAnsi="Arial" w:cs="Arial"/>
          <w:color w:val="000000"/>
          <w:sz w:val="22"/>
          <w:szCs w:val="22"/>
        </w:rPr>
        <w:noBreakHyphen/>
      </w:r>
      <w:r w:rsidRPr="00AF447C">
        <w:rPr>
          <w:rFonts w:ascii="Arial" w:hAnsi="Arial" w:cs="Arial"/>
          <w:color w:val="000000"/>
          <w:sz w:val="22"/>
          <w:szCs w:val="22"/>
        </w:rPr>
        <w:t>5(1A)(b).</w:t>
      </w:r>
    </w:p>
    <w:p w14:paraId="1C3BBFC2" w14:textId="212C747A" w:rsidR="000D5D38" w:rsidRPr="00AF447C" w:rsidRDefault="000D5D38" w:rsidP="00ED467E">
      <w:pPr>
        <w:spacing w:after="120"/>
        <w:rPr>
          <w:rFonts w:ascii="Arial" w:hAnsi="Arial" w:cs="Arial"/>
          <w:color w:val="000000"/>
          <w:sz w:val="22"/>
          <w:szCs w:val="22"/>
        </w:rPr>
      </w:pPr>
      <w:r w:rsidRPr="00AF447C">
        <w:rPr>
          <w:rFonts w:ascii="Arial" w:hAnsi="Arial" w:cs="Arial"/>
          <w:color w:val="000000"/>
          <w:sz w:val="22"/>
          <w:szCs w:val="22"/>
        </w:rPr>
        <w:t xml:space="preserve">If the valuation is not made within the time periods specified in </w:t>
      </w:r>
      <w:r w:rsidR="00ED467E" w:rsidRPr="00ED467E">
        <w:rPr>
          <w:rFonts w:ascii="Arial" w:hAnsi="Arial" w:cs="Arial"/>
          <w:color w:val="000000"/>
          <w:sz w:val="22"/>
          <w:szCs w:val="22"/>
        </w:rPr>
        <w:t>this instrument</w:t>
      </w:r>
      <w:r w:rsidRPr="00AF447C">
        <w:rPr>
          <w:rFonts w:ascii="Arial" w:hAnsi="Arial" w:cs="Arial"/>
          <w:color w:val="000000"/>
          <w:sz w:val="22"/>
          <w:szCs w:val="22"/>
        </w:rPr>
        <w:t>, the Commissioner may for good reason allow an additional period within which a valuation may be made.</w:t>
      </w:r>
    </w:p>
    <w:p w14:paraId="37FEA97E" w14:textId="77777777" w:rsidR="00B813C3" w:rsidRPr="00AF447C" w:rsidRDefault="00B813C3" w:rsidP="00ED467E">
      <w:pPr>
        <w:spacing w:after="120"/>
        <w:rPr>
          <w:rFonts w:ascii="Arial" w:hAnsi="Arial" w:cs="Arial"/>
          <w:sz w:val="22"/>
          <w:szCs w:val="22"/>
        </w:rPr>
      </w:pPr>
    </w:p>
    <w:p w14:paraId="1EEB9A91" w14:textId="77777777" w:rsidR="00543981" w:rsidRPr="00AF447C" w:rsidRDefault="00B813C3" w:rsidP="00ED467E">
      <w:pPr>
        <w:pStyle w:val="Heading2"/>
        <w:numPr>
          <w:ilvl w:val="0"/>
          <w:numId w:val="2"/>
        </w:numPr>
        <w:tabs>
          <w:tab w:val="clear" w:pos="720"/>
        </w:tabs>
        <w:ind w:left="709" w:hanging="709"/>
        <w:rPr>
          <w:rFonts w:cs="Arial"/>
          <w:szCs w:val="22"/>
        </w:rPr>
      </w:pPr>
      <w:r w:rsidRPr="00AF447C">
        <w:rPr>
          <w:rFonts w:cs="Arial"/>
          <w:szCs w:val="22"/>
        </w:rPr>
        <w:t>Definitions</w:t>
      </w:r>
    </w:p>
    <w:p w14:paraId="7F34C17C" w14:textId="77777777" w:rsidR="002842A4" w:rsidRPr="00AF447C" w:rsidRDefault="002842A4" w:rsidP="00ED467E">
      <w:pPr>
        <w:spacing w:after="120"/>
        <w:rPr>
          <w:rFonts w:ascii="Arial" w:hAnsi="Arial" w:cs="Arial"/>
          <w:color w:val="000000"/>
          <w:sz w:val="22"/>
          <w:szCs w:val="22"/>
        </w:rPr>
      </w:pPr>
      <w:r w:rsidRPr="00AF447C">
        <w:rPr>
          <w:rFonts w:ascii="Arial" w:hAnsi="Arial" w:cs="Arial"/>
          <w:b/>
          <w:i/>
          <w:color w:val="000000"/>
          <w:sz w:val="22"/>
          <w:szCs w:val="22"/>
        </w:rPr>
        <w:t>Professional valuer</w:t>
      </w:r>
      <w:r w:rsidRPr="00AF447C">
        <w:rPr>
          <w:rFonts w:ascii="Arial" w:hAnsi="Arial" w:cs="Arial"/>
          <w:color w:val="000000"/>
          <w:sz w:val="22"/>
          <w:szCs w:val="22"/>
        </w:rPr>
        <w:t xml:space="preserve"> means:</w:t>
      </w:r>
    </w:p>
    <w:p w14:paraId="25EFBE04" w14:textId="77777777" w:rsidR="002842A4" w:rsidRPr="00AF447C" w:rsidRDefault="002842A4" w:rsidP="00ED467E">
      <w:pPr>
        <w:numPr>
          <w:ilvl w:val="0"/>
          <w:numId w:val="14"/>
        </w:numPr>
        <w:tabs>
          <w:tab w:val="clear" w:pos="1077"/>
        </w:tabs>
        <w:spacing w:after="120"/>
        <w:ind w:left="1418" w:hanging="709"/>
        <w:rPr>
          <w:rFonts w:ascii="Arial" w:hAnsi="Arial" w:cs="Arial"/>
          <w:sz w:val="22"/>
          <w:szCs w:val="22"/>
        </w:rPr>
      </w:pPr>
      <w:r w:rsidRPr="00AF447C">
        <w:rPr>
          <w:rFonts w:ascii="Arial" w:hAnsi="Arial" w:cs="Arial"/>
          <w:sz w:val="22"/>
          <w:szCs w:val="22"/>
        </w:rPr>
        <w:t>a person registered or licensed to carry out real property valuations under a Commonwealth, a State or a Territory law; or</w:t>
      </w:r>
    </w:p>
    <w:p w14:paraId="79595E9D" w14:textId="77777777" w:rsidR="002842A4" w:rsidRPr="00AF447C" w:rsidRDefault="002842A4" w:rsidP="00ED467E">
      <w:pPr>
        <w:numPr>
          <w:ilvl w:val="0"/>
          <w:numId w:val="14"/>
        </w:numPr>
        <w:tabs>
          <w:tab w:val="clear" w:pos="1077"/>
        </w:tabs>
        <w:spacing w:after="120"/>
        <w:ind w:left="1418" w:hanging="709"/>
        <w:rPr>
          <w:rFonts w:ascii="Arial" w:hAnsi="Arial" w:cs="Arial"/>
          <w:sz w:val="22"/>
          <w:szCs w:val="22"/>
        </w:rPr>
      </w:pPr>
      <w:r w:rsidRPr="00AF447C">
        <w:rPr>
          <w:rFonts w:ascii="Arial" w:hAnsi="Arial" w:cs="Arial"/>
          <w:sz w:val="22"/>
          <w:szCs w:val="22"/>
        </w:rPr>
        <w:t>a person who carries on a business as a valuer in a State or a Territory where that person is not required to be licensed or registered to carry on a business as a valuer; or</w:t>
      </w:r>
    </w:p>
    <w:p w14:paraId="748FB1F4" w14:textId="77777777" w:rsidR="002842A4" w:rsidRPr="00AF447C" w:rsidRDefault="002842A4" w:rsidP="00ED467E">
      <w:pPr>
        <w:numPr>
          <w:ilvl w:val="0"/>
          <w:numId w:val="14"/>
        </w:numPr>
        <w:tabs>
          <w:tab w:val="clear" w:pos="1077"/>
        </w:tabs>
        <w:spacing w:after="120"/>
        <w:ind w:left="1418" w:hanging="709"/>
        <w:rPr>
          <w:rFonts w:ascii="Arial" w:hAnsi="Arial" w:cs="Arial"/>
          <w:sz w:val="22"/>
          <w:szCs w:val="22"/>
        </w:rPr>
      </w:pPr>
      <w:r w:rsidRPr="00AF447C">
        <w:rPr>
          <w:rFonts w:ascii="Arial" w:hAnsi="Arial" w:cs="Arial"/>
          <w:sz w:val="22"/>
          <w:szCs w:val="22"/>
        </w:rPr>
        <w:t>a person who is:</w:t>
      </w:r>
    </w:p>
    <w:p w14:paraId="47AAE6D6" w14:textId="77777777" w:rsidR="002842A4" w:rsidRPr="00AF447C" w:rsidRDefault="002842A4" w:rsidP="00ED467E">
      <w:pPr>
        <w:numPr>
          <w:ilvl w:val="1"/>
          <w:numId w:val="14"/>
        </w:numPr>
        <w:tabs>
          <w:tab w:val="clear" w:pos="1619"/>
        </w:tabs>
        <w:spacing w:after="120"/>
        <w:ind w:left="2127" w:hanging="709"/>
        <w:rPr>
          <w:rFonts w:ascii="Arial" w:hAnsi="Arial" w:cs="Arial"/>
          <w:sz w:val="22"/>
          <w:szCs w:val="22"/>
        </w:rPr>
      </w:pPr>
      <w:r w:rsidRPr="00AF447C">
        <w:rPr>
          <w:rFonts w:ascii="Arial" w:hAnsi="Arial" w:cs="Arial"/>
          <w:sz w:val="22"/>
          <w:szCs w:val="22"/>
        </w:rPr>
        <w:t>a member of the Australian Property Institute and accredited as a Certified Practicing Valuer; or</w:t>
      </w:r>
    </w:p>
    <w:p w14:paraId="026669B3" w14:textId="77777777" w:rsidR="002842A4" w:rsidRPr="00AF447C" w:rsidRDefault="002842A4" w:rsidP="00ED467E">
      <w:pPr>
        <w:numPr>
          <w:ilvl w:val="1"/>
          <w:numId w:val="14"/>
        </w:numPr>
        <w:tabs>
          <w:tab w:val="clear" w:pos="1619"/>
        </w:tabs>
        <w:spacing w:after="120"/>
        <w:ind w:left="2127" w:hanging="709"/>
        <w:rPr>
          <w:rFonts w:ascii="Arial" w:hAnsi="Arial" w:cs="Arial"/>
          <w:sz w:val="22"/>
          <w:szCs w:val="22"/>
        </w:rPr>
      </w:pPr>
      <w:r w:rsidRPr="00AF447C">
        <w:rPr>
          <w:rFonts w:ascii="Arial" w:hAnsi="Arial" w:cs="Arial"/>
          <w:sz w:val="22"/>
          <w:szCs w:val="22"/>
        </w:rPr>
        <w:t>a member of the Royal Institution of Chartered Surveyors and accredited as a Chartered Valuation Surveyor; or</w:t>
      </w:r>
    </w:p>
    <w:p w14:paraId="18B8B49D" w14:textId="77777777" w:rsidR="008E7B94" w:rsidRPr="00AF447C" w:rsidRDefault="002842A4" w:rsidP="00ED467E">
      <w:pPr>
        <w:numPr>
          <w:ilvl w:val="1"/>
          <w:numId w:val="14"/>
        </w:numPr>
        <w:tabs>
          <w:tab w:val="clear" w:pos="1619"/>
        </w:tabs>
        <w:spacing w:after="120"/>
        <w:ind w:left="2127" w:hanging="709"/>
        <w:rPr>
          <w:rFonts w:ascii="Arial" w:hAnsi="Arial" w:cs="Arial"/>
          <w:sz w:val="22"/>
          <w:szCs w:val="22"/>
        </w:rPr>
      </w:pPr>
      <w:r w:rsidRPr="00AF447C">
        <w:rPr>
          <w:rFonts w:ascii="Arial" w:hAnsi="Arial" w:cs="Arial"/>
          <w:sz w:val="22"/>
          <w:szCs w:val="22"/>
        </w:rPr>
        <w:t>a member of the Australian Valuers Institute and accredited as a Certified Practicing Valuer.</w:t>
      </w:r>
    </w:p>
    <w:p w14:paraId="2CE8530C" w14:textId="00F5A628" w:rsidR="002842A4" w:rsidRPr="00AF447C" w:rsidRDefault="002842A4" w:rsidP="00ED467E">
      <w:pPr>
        <w:spacing w:after="120"/>
        <w:rPr>
          <w:rFonts w:ascii="Arial" w:hAnsi="Arial" w:cs="Arial"/>
          <w:sz w:val="22"/>
          <w:szCs w:val="22"/>
        </w:rPr>
      </w:pPr>
      <w:r w:rsidRPr="00AF447C">
        <w:rPr>
          <w:rFonts w:ascii="Arial" w:hAnsi="Arial" w:cs="Arial"/>
          <w:color w:val="000000"/>
          <w:sz w:val="22"/>
          <w:szCs w:val="22"/>
        </w:rPr>
        <w:t>Other expressions in this determination have the same meaning as in the GST Act.</w:t>
      </w:r>
    </w:p>
    <w:p w14:paraId="5E420B65" w14:textId="4F956D6A" w:rsidR="00B813C3" w:rsidRPr="00AF447C" w:rsidRDefault="00B813C3" w:rsidP="00ED467E">
      <w:pPr>
        <w:spacing w:after="120"/>
        <w:rPr>
          <w:rFonts w:ascii="Arial" w:hAnsi="Arial" w:cs="Arial"/>
          <w:sz w:val="22"/>
          <w:szCs w:val="22"/>
        </w:rPr>
      </w:pPr>
    </w:p>
    <w:p w14:paraId="731F0840" w14:textId="77777777" w:rsidR="00543981" w:rsidRPr="00AF447C" w:rsidRDefault="00B813C3" w:rsidP="00ED467E">
      <w:pPr>
        <w:pStyle w:val="Heading2"/>
        <w:numPr>
          <w:ilvl w:val="0"/>
          <w:numId w:val="2"/>
        </w:numPr>
        <w:tabs>
          <w:tab w:val="clear" w:pos="720"/>
        </w:tabs>
        <w:ind w:left="709" w:hanging="709"/>
        <w:rPr>
          <w:rFonts w:cs="Arial"/>
          <w:szCs w:val="22"/>
        </w:rPr>
      </w:pPr>
      <w:r w:rsidRPr="00AF447C">
        <w:rPr>
          <w:rFonts w:cs="Arial"/>
          <w:szCs w:val="22"/>
        </w:rPr>
        <w:t>Repeals</w:t>
      </w:r>
    </w:p>
    <w:p w14:paraId="1A6A000F" w14:textId="76FC208C" w:rsidR="00705F72" w:rsidRPr="00AF447C" w:rsidRDefault="00705F72" w:rsidP="00ED467E">
      <w:pPr>
        <w:spacing w:after="120"/>
        <w:rPr>
          <w:rFonts w:ascii="Arial" w:hAnsi="Arial" w:cs="Arial"/>
          <w:sz w:val="22"/>
          <w:szCs w:val="22"/>
          <w:lang w:eastAsia="en-US"/>
        </w:rPr>
      </w:pPr>
      <w:r w:rsidRPr="00AF447C">
        <w:rPr>
          <w:rFonts w:ascii="Arial" w:hAnsi="Arial" w:cs="Arial"/>
          <w:sz w:val="22"/>
          <w:szCs w:val="22"/>
          <w:lang w:eastAsia="en-US"/>
        </w:rPr>
        <w:t xml:space="preserve">This determination repeals </w:t>
      </w:r>
      <w:r w:rsidRPr="00AF447C">
        <w:rPr>
          <w:rFonts w:ascii="Arial" w:hAnsi="Arial" w:cs="Arial"/>
          <w:i/>
          <w:sz w:val="22"/>
          <w:szCs w:val="22"/>
          <w:lang w:eastAsia="en-US"/>
        </w:rPr>
        <w:t>A New Tax System (Goods and Services Tax) Margin Scheme Valuation Requirements Determination MSV 2009/1</w:t>
      </w:r>
      <w:r w:rsidRPr="00AF447C">
        <w:rPr>
          <w:rFonts w:ascii="Arial" w:hAnsi="Arial" w:cs="Arial"/>
          <w:sz w:val="22"/>
          <w:szCs w:val="22"/>
          <w:lang w:eastAsia="en-US"/>
        </w:rPr>
        <w:t xml:space="preserve"> </w:t>
      </w:r>
      <w:r w:rsidR="00B04202" w:rsidRPr="00AF447C">
        <w:rPr>
          <w:rFonts w:ascii="Arial" w:hAnsi="Arial" w:cs="Arial"/>
          <w:sz w:val="22"/>
          <w:szCs w:val="22"/>
          <w:lang w:eastAsia="en-US"/>
        </w:rPr>
        <w:t xml:space="preserve">(F2009L03954) </w:t>
      </w:r>
      <w:r w:rsidRPr="00AF447C">
        <w:rPr>
          <w:rFonts w:ascii="Arial" w:hAnsi="Arial" w:cs="Arial"/>
          <w:sz w:val="22"/>
          <w:szCs w:val="22"/>
          <w:lang w:eastAsia="en-US"/>
        </w:rPr>
        <w:t>which was registered on 20 October 2009.</w:t>
      </w:r>
    </w:p>
    <w:sectPr w:rsidR="00705F72" w:rsidRPr="00AF447C" w:rsidSect="0070670E">
      <w:headerReference w:type="first" r:id="rId14"/>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81DC9" w14:textId="77777777" w:rsidR="00B80549" w:rsidRDefault="00B80549">
      <w:r>
        <w:separator/>
      </w:r>
    </w:p>
  </w:endnote>
  <w:endnote w:type="continuationSeparator" w:id="0">
    <w:p w14:paraId="0A16BE73" w14:textId="77777777" w:rsidR="00B80549" w:rsidRDefault="00B8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6439A" w14:textId="77777777" w:rsidR="00B80549" w:rsidRDefault="00B80549">
      <w:r>
        <w:separator/>
      </w:r>
    </w:p>
  </w:footnote>
  <w:footnote w:type="continuationSeparator" w:id="0">
    <w:p w14:paraId="1F66C0D1" w14:textId="77777777" w:rsidR="00B80549" w:rsidRDefault="00B80549">
      <w:r>
        <w:continuationSeparator/>
      </w:r>
    </w:p>
  </w:footnote>
  <w:footnote w:id="1">
    <w:p w14:paraId="3B383923" w14:textId="51268168" w:rsidR="000D5D38" w:rsidRPr="00DF4BDB" w:rsidRDefault="000D5D38" w:rsidP="000D5D38">
      <w:pPr>
        <w:spacing w:before="120"/>
        <w:rPr>
          <w:rFonts w:ascii="Arial" w:hAnsi="Arial" w:cs="Arial"/>
          <w:color w:val="000000"/>
          <w:sz w:val="18"/>
          <w:szCs w:val="18"/>
        </w:rPr>
      </w:pPr>
      <w:r>
        <w:rPr>
          <w:rStyle w:val="FootnoteReference"/>
        </w:rPr>
        <w:t>*</w:t>
      </w:r>
      <w:r>
        <w:t xml:space="preserve"> </w:t>
      </w:r>
      <w:r w:rsidRPr="00DF4BDB">
        <w:rPr>
          <w:rFonts w:ascii="Arial" w:hAnsi="Arial" w:cs="Arial"/>
          <w:color w:val="000000"/>
          <w:sz w:val="18"/>
          <w:szCs w:val="18"/>
        </w:rPr>
        <w:t xml:space="preserve">Defined term, see the </w:t>
      </w:r>
      <w:r w:rsidR="00A16DB1">
        <w:rPr>
          <w:rFonts w:ascii="Arial" w:hAnsi="Arial" w:cs="Arial"/>
          <w:color w:val="000000"/>
          <w:sz w:val="18"/>
          <w:szCs w:val="18"/>
        </w:rPr>
        <w:t xml:space="preserve">definitions in Section </w:t>
      </w:r>
      <w:r w:rsidR="00DE7310">
        <w:rPr>
          <w:rFonts w:ascii="Arial" w:hAnsi="Arial" w:cs="Arial"/>
          <w:color w:val="000000"/>
          <w:sz w:val="18"/>
          <w:szCs w:val="18"/>
        </w:rPr>
        <w:t xml:space="preserve">11 </w:t>
      </w:r>
      <w:r w:rsidR="00A16DB1">
        <w:rPr>
          <w:rFonts w:ascii="Arial" w:hAnsi="Arial" w:cs="Arial"/>
          <w:color w:val="000000"/>
          <w:sz w:val="18"/>
          <w:szCs w:val="18"/>
        </w:rPr>
        <w:t>of this instrument</w:t>
      </w:r>
      <w:r w:rsidRPr="00DF4BDB">
        <w:rPr>
          <w:rFonts w:ascii="Arial" w:hAnsi="Arial" w:cs="Arial"/>
          <w:color w:val="000000"/>
          <w:sz w:val="18"/>
          <w:szCs w:val="18"/>
        </w:rPr>
        <w:t>.</w:t>
      </w:r>
    </w:p>
    <w:p w14:paraId="76F4CE60" w14:textId="77777777" w:rsidR="000D5D38" w:rsidRDefault="000D5D38" w:rsidP="000D5D3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36E58" w14:textId="0BD9680A" w:rsidR="00F652F9" w:rsidRPr="00767CE8" w:rsidRDefault="00F652F9" w:rsidP="00F652F9">
    <w:pPr>
      <w:framePr w:w="3241" w:h="526" w:hSpace="180" w:wrap="around" w:vAnchor="page" w:hAnchor="page" w:x="7711" w:y="1141"/>
      <w:pBdr>
        <w:top w:val="single" w:sz="12" w:space="1" w:color="auto"/>
        <w:left w:val="single" w:sz="12" w:space="1" w:color="auto"/>
        <w:bottom w:val="single" w:sz="12" w:space="1" w:color="auto"/>
        <w:right w:val="single" w:sz="12" w:space="1" w:color="auto"/>
      </w:pBdr>
      <w:rPr>
        <w:rFonts w:ascii="Arial" w:hAnsi="Arial" w:cs="Arial"/>
        <w:sz w:val="22"/>
        <w:szCs w:val="22"/>
      </w:rPr>
    </w:pPr>
    <w:r w:rsidRPr="00767CE8">
      <w:rPr>
        <w:rFonts w:ascii="Arial" w:hAnsi="Arial" w:cs="Arial"/>
        <w:b/>
        <w:sz w:val="22"/>
        <w:szCs w:val="22"/>
      </w:rPr>
      <w:t xml:space="preserve">Instrument ID: </w:t>
    </w:r>
    <w:r w:rsidR="001D460D">
      <w:rPr>
        <w:rFonts w:ascii="Arial" w:hAnsi="Arial" w:cs="Arial"/>
        <w:b/>
        <w:sz w:val="22"/>
        <w:szCs w:val="22"/>
      </w:rPr>
      <w:t>2020</w:t>
    </w:r>
    <w:r w:rsidRPr="00767CE8">
      <w:rPr>
        <w:rFonts w:ascii="Arial" w:hAnsi="Arial" w:cs="Arial"/>
        <w:b/>
        <w:sz w:val="22"/>
        <w:szCs w:val="22"/>
      </w:rPr>
      <w:t>/</w:t>
    </w:r>
    <w:r w:rsidR="001D460D">
      <w:rPr>
        <w:rFonts w:ascii="Arial" w:hAnsi="Arial" w:cs="Arial"/>
        <w:b/>
        <w:sz w:val="22"/>
        <w:szCs w:val="22"/>
      </w:rPr>
      <w:t>SB</w:t>
    </w:r>
    <w:r w:rsidRPr="00767CE8">
      <w:rPr>
        <w:rFonts w:ascii="Arial" w:hAnsi="Arial" w:cs="Arial"/>
        <w:b/>
        <w:sz w:val="22"/>
        <w:szCs w:val="22"/>
      </w:rPr>
      <w:t>/</w:t>
    </w:r>
    <w:r w:rsidR="001D460D">
      <w:rPr>
        <w:rFonts w:ascii="Arial" w:hAnsi="Arial" w:cs="Arial"/>
        <w:b/>
        <w:sz w:val="22"/>
        <w:szCs w:val="22"/>
      </w:rPr>
      <w:t>0013</w:t>
    </w:r>
  </w:p>
  <w:p w14:paraId="3BF95098" w14:textId="77777777" w:rsidR="00F233B1" w:rsidRPr="00001B90" w:rsidRDefault="00001B90">
    <w:pPr>
      <w:pStyle w:val="Header"/>
      <w:rPr>
        <w:sz w:val="20"/>
        <w:szCs w:val="20"/>
      </w:rPr>
    </w:pPr>
    <w:r w:rsidRPr="00001B90">
      <w:rPr>
        <w:noProof/>
        <w:sz w:val="20"/>
        <w:szCs w:val="20"/>
      </w:rPr>
      <w:drawing>
        <wp:inline distT="0" distB="0" distL="0" distR="0" wp14:anchorId="3BF9509A" wp14:editId="3BF9509B">
          <wp:extent cx="2413635" cy="701675"/>
          <wp:effectExtent l="0" t="0" r="5715" b="3175"/>
          <wp:docPr id="1" name="Picture 1"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O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635" cy="701675"/>
                  </a:xfrm>
                  <a:prstGeom prst="rect">
                    <a:avLst/>
                  </a:prstGeom>
                  <a:noFill/>
                  <a:ln>
                    <a:noFill/>
                  </a:ln>
                </pic:spPr>
              </pic:pic>
            </a:graphicData>
          </a:graphic>
        </wp:inline>
      </w:drawing>
    </w:r>
  </w:p>
  <w:p w14:paraId="3BF95099" w14:textId="77777777" w:rsidR="00001B90" w:rsidRPr="00001B90" w:rsidRDefault="00001B90">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7AD4"/>
    <w:multiLevelType w:val="hybridMultilevel"/>
    <w:tmpl w:val="B024C51C"/>
    <w:lvl w:ilvl="0" w:tplc="0D828F8E">
      <w:start w:val="1"/>
      <w:numFmt w:val="decimal"/>
      <w:lvlText w:val="(%1)"/>
      <w:lvlJc w:val="left"/>
      <w:pPr>
        <w:tabs>
          <w:tab w:val="num" w:pos="1077"/>
        </w:tabs>
        <w:ind w:left="1077" w:hanging="538"/>
      </w:pPr>
      <w:rPr>
        <w:rFonts w:ascii="Arial" w:eastAsia="Times New Roman" w:hAnsi="Arial"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A715B0"/>
    <w:multiLevelType w:val="hybridMultilevel"/>
    <w:tmpl w:val="3FC24FBA"/>
    <w:lvl w:ilvl="0" w:tplc="1732425C">
      <w:start w:val="1"/>
      <w:numFmt w:val="decimal"/>
      <w:lvlText w:val="(%1)"/>
      <w:lvlJc w:val="left"/>
      <w:pPr>
        <w:tabs>
          <w:tab w:val="num" w:pos="720"/>
        </w:tabs>
        <w:ind w:left="720" w:hanging="360"/>
      </w:pPr>
      <w:rPr>
        <w:rFonts w:ascii="Arial" w:eastAsia="Times New Roman" w:hAnsi="Arial"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5F210F"/>
    <w:multiLevelType w:val="hybridMultilevel"/>
    <w:tmpl w:val="5664BBC4"/>
    <w:lvl w:ilvl="0" w:tplc="0D828F8E">
      <w:start w:val="1"/>
      <w:numFmt w:val="decimal"/>
      <w:lvlText w:val="(%1)"/>
      <w:lvlJc w:val="left"/>
      <w:pPr>
        <w:tabs>
          <w:tab w:val="num" w:pos="1076"/>
        </w:tabs>
        <w:ind w:left="1076" w:hanging="538"/>
      </w:pPr>
      <w:rPr>
        <w:rFonts w:ascii="Arial" w:eastAsia="Times New Roman" w:hAnsi="Arial" w:cs="Times New Roman" w:hint="default"/>
      </w:rPr>
    </w:lvl>
    <w:lvl w:ilvl="1" w:tplc="0C090019" w:tentative="1">
      <w:start w:val="1"/>
      <w:numFmt w:val="lowerLetter"/>
      <w:lvlText w:val="%2."/>
      <w:lvlJc w:val="left"/>
      <w:pPr>
        <w:ind w:left="1439" w:hanging="360"/>
      </w:pPr>
    </w:lvl>
    <w:lvl w:ilvl="2" w:tplc="0C09001B" w:tentative="1">
      <w:start w:val="1"/>
      <w:numFmt w:val="lowerRoman"/>
      <w:lvlText w:val="%3."/>
      <w:lvlJc w:val="right"/>
      <w:pPr>
        <w:ind w:left="2159" w:hanging="180"/>
      </w:pPr>
    </w:lvl>
    <w:lvl w:ilvl="3" w:tplc="0C09000F" w:tentative="1">
      <w:start w:val="1"/>
      <w:numFmt w:val="decimal"/>
      <w:lvlText w:val="%4."/>
      <w:lvlJc w:val="left"/>
      <w:pPr>
        <w:ind w:left="2879" w:hanging="360"/>
      </w:pPr>
    </w:lvl>
    <w:lvl w:ilvl="4" w:tplc="0C090019" w:tentative="1">
      <w:start w:val="1"/>
      <w:numFmt w:val="lowerLetter"/>
      <w:lvlText w:val="%5."/>
      <w:lvlJc w:val="left"/>
      <w:pPr>
        <w:ind w:left="3599" w:hanging="360"/>
      </w:pPr>
    </w:lvl>
    <w:lvl w:ilvl="5" w:tplc="0C09001B" w:tentative="1">
      <w:start w:val="1"/>
      <w:numFmt w:val="lowerRoman"/>
      <w:lvlText w:val="%6."/>
      <w:lvlJc w:val="right"/>
      <w:pPr>
        <w:ind w:left="4319" w:hanging="180"/>
      </w:pPr>
    </w:lvl>
    <w:lvl w:ilvl="6" w:tplc="0C09000F" w:tentative="1">
      <w:start w:val="1"/>
      <w:numFmt w:val="decimal"/>
      <w:lvlText w:val="%7."/>
      <w:lvlJc w:val="left"/>
      <w:pPr>
        <w:ind w:left="5039" w:hanging="360"/>
      </w:pPr>
    </w:lvl>
    <w:lvl w:ilvl="7" w:tplc="0C090019" w:tentative="1">
      <w:start w:val="1"/>
      <w:numFmt w:val="lowerLetter"/>
      <w:lvlText w:val="%8."/>
      <w:lvlJc w:val="left"/>
      <w:pPr>
        <w:ind w:left="5759" w:hanging="360"/>
      </w:pPr>
    </w:lvl>
    <w:lvl w:ilvl="8" w:tplc="0C09001B" w:tentative="1">
      <w:start w:val="1"/>
      <w:numFmt w:val="lowerRoman"/>
      <w:lvlText w:val="%9."/>
      <w:lvlJc w:val="right"/>
      <w:pPr>
        <w:ind w:left="6479" w:hanging="180"/>
      </w:pPr>
    </w:lvl>
  </w:abstractNum>
  <w:abstractNum w:abstractNumId="3" w15:restartNumberingAfterBreak="0">
    <w:nsid w:val="0B851FB9"/>
    <w:multiLevelType w:val="hybridMultilevel"/>
    <w:tmpl w:val="6F0803C6"/>
    <w:lvl w:ilvl="0" w:tplc="B75838D0">
      <w:start w:val="1"/>
      <w:numFmt w:val="decimal"/>
      <w:lvlText w:val="%1."/>
      <w:lvlJc w:val="left"/>
      <w:pPr>
        <w:tabs>
          <w:tab w:val="num" w:pos="1080"/>
        </w:tabs>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BD52CBE"/>
    <w:multiLevelType w:val="hybridMultilevel"/>
    <w:tmpl w:val="52A4C4B2"/>
    <w:lvl w:ilvl="0" w:tplc="E942412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D88540E"/>
    <w:multiLevelType w:val="hybridMultilevel"/>
    <w:tmpl w:val="C6368ED2"/>
    <w:lvl w:ilvl="0" w:tplc="0C09000F">
      <w:start w:val="1"/>
      <w:numFmt w:val="decimal"/>
      <w:lvlText w:val="%1."/>
      <w:lvlJc w:val="left"/>
      <w:pPr>
        <w:tabs>
          <w:tab w:val="num" w:pos="8370"/>
        </w:tabs>
        <w:ind w:left="8370" w:hanging="360"/>
      </w:pPr>
    </w:lvl>
    <w:lvl w:ilvl="1" w:tplc="0C090019" w:tentative="1">
      <w:start w:val="1"/>
      <w:numFmt w:val="lowerLetter"/>
      <w:lvlText w:val="%2."/>
      <w:lvlJc w:val="left"/>
      <w:pPr>
        <w:tabs>
          <w:tab w:val="num" w:pos="9090"/>
        </w:tabs>
        <w:ind w:left="9090" w:hanging="360"/>
      </w:pPr>
    </w:lvl>
    <w:lvl w:ilvl="2" w:tplc="0C09001B" w:tentative="1">
      <w:start w:val="1"/>
      <w:numFmt w:val="lowerRoman"/>
      <w:lvlText w:val="%3."/>
      <w:lvlJc w:val="right"/>
      <w:pPr>
        <w:tabs>
          <w:tab w:val="num" w:pos="9810"/>
        </w:tabs>
        <w:ind w:left="9810" w:hanging="180"/>
      </w:pPr>
    </w:lvl>
    <w:lvl w:ilvl="3" w:tplc="0C09000F" w:tentative="1">
      <w:start w:val="1"/>
      <w:numFmt w:val="decimal"/>
      <w:lvlText w:val="%4."/>
      <w:lvlJc w:val="left"/>
      <w:pPr>
        <w:tabs>
          <w:tab w:val="num" w:pos="10530"/>
        </w:tabs>
        <w:ind w:left="10530" w:hanging="360"/>
      </w:pPr>
    </w:lvl>
    <w:lvl w:ilvl="4" w:tplc="0C090019" w:tentative="1">
      <w:start w:val="1"/>
      <w:numFmt w:val="lowerLetter"/>
      <w:lvlText w:val="%5."/>
      <w:lvlJc w:val="left"/>
      <w:pPr>
        <w:tabs>
          <w:tab w:val="num" w:pos="11250"/>
        </w:tabs>
        <w:ind w:left="11250" w:hanging="360"/>
      </w:pPr>
    </w:lvl>
    <w:lvl w:ilvl="5" w:tplc="0C09001B" w:tentative="1">
      <w:start w:val="1"/>
      <w:numFmt w:val="lowerRoman"/>
      <w:lvlText w:val="%6."/>
      <w:lvlJc w:val="right"/>
      <w:pPr>
        <w:tabs>
          <w:tab w:val="num" w:pos="11970"/>
        </w:tabs>
        <w:ind w:left="11970" w:hanging="180"/>
      </w:pPr>
    </w:lvl>
    <w:lvl w:ilvl="6" w:tplc="0C09000F" w:tentative="1">
      <w:start w:val="1"/>
      <w:numFmt w:val="decimal"/>
      <w:lvlText w:val="%7."/>
      <w:lvlJc w:val="left"/>
      <w:pPr>
        <w:tabs>
          <w:tab w:val="num" w:pos="12690"/>
        </w:tabs>
        <w:ind w:left="12690" w:hanging="360"/>
      </w:pPr>
    </w:lvl>
    <w:lvl w:ilvl="7" w:tplc="0C090019" w:tentative="1">
      <w:start w:val="1"/>
      <w:numFmt w:val="lowerLetter"/>
      <w:lvlText w:val="%8."/>
      <w:lvlJc w:val="left"/>
      <w:pPr>
        <w:tabs>
          <w:tab w:val="num" w:pos="13410"/>
        </w:tabs>
        <w:ind w:left="13410" w:hanging="360"/>
      </w:pPr>
    </w:lvl>
    <w:lvl w:ilvl="8" w:tplc="0C09001B" w:tentative="1">
      <w:start w:val="1"/>
      <w:numFmt w:val="lowerRoman"/>
      <w:lvlText w:val="%9."/>
      <w:lvlJc w:val="right"/>
      <w:pPr>
        <w:tabs>
          <w:tab w:val="num" w:pos="14130"/>
        </w:tabs>
        <w:ind w:left="14130" w:hanging="180"/>
      </w:pPr>
    </w:lvl>
  </w:abstractNum>
  <w:abstractNum w:abstractNumId="6" w15:restartNumberingAfterBreak="0">
    <w:nsid w:val="10DE5980"/>
    <w:multiLevelType w:val="hybridMultilevel"/>
    <w:tmpl w:val="97A28ED0"/>
    <w:lvl w:ilvl="0" w:tplc="EFAE824C">
      <w:start w:val="1"/>
      <w:numFmt w:val="decimal"/>
      <w:lvlText w:val="%1."/>
      <w:lvlJc w:val="left"/>
      <w:pPr>
        <w:tabs>
          <w:tab w:val="num" w:pos="360"/>
        </w:tabs>
        <w:ind w:left="360" w:hanging="360"/>
      </w:pPr>
      <w:rPr>
        <w:rFonts w:cs="Times New Roman" w:hint="default"/>
      </w:rPr>
    </w:lvl>
    <w:lvl w:ilvl="1" w:tplc="749ACF7A">
      <w:start w:val="1"/>
      <w:numFmt w:val="bullet"/>
      <w:lvlText w:val=""/>
      <w:lvlJc w:val="left"/>
      <w:pPr>
        <w:tabs>
          <w:tab w:val="num" w:pos="1440"/>
        </w:tabs>
        <w:ind w:left="1440" w:hanging="360"/>
      </w:pPr>
      <w:rPr>
        <w:rFonts w:ascii="Symbol" w:hAnsi="Symbol" w:hint="default"/>
        <w:color w:val="auto"/>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hint="default"/>
      </w:rPr>
    </w:lvl>
    <w:lvl w:ilvl="4" w:tplc="D3B07CFC">
      <w:start w:val="1"/>
      <w:numFmt w:val="decimal"/>
      <w:lvlText w:val="(%5)"/>
      <w:lvlJc w:val="left"/>
      <w:pPr>
        <w:tabs>
          <w:tab w:val="num" w:pos="3600"/>
        </w:tabs>
        <w:ind w:left="3600" w:hanging="360"/>
      </w:pPr>
      <w:rPr>
        <w:rFonts w:hint="default"/>
      </w:rPr>
    </w:lvl>
    <w:lvl w:ilvl="5" w:tplc="0D828F8E">
      <w:start w:val="1"/>
      <w:numFmt w:val="decimal"/>
      <w:lvlText w:val="(%6)"/>
      <w:lvlJc w:val="left"/>
      <w:pPr>
        <w:tabs>
          <w:tab w:val="num" w:pos="1077"/>
        </w:tabs>
        <w:ind w:left="1077" w:hanging="538"/>
      </w:pPr>
      <w:rPr>
        <w:rFonts w:ascii="Arial" w:eastAsia="Times New Roman" w:hAnsi="Arial" w:cs="Times New Roman" w:hint="default"/>
      </w:rPr>
    </w:lvl>
    <w:lvl w:ilvl="6" w:tplc="0C09000F">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1FC14CF"/>
    <w:multiLevelType w:val="hybridMultilevel"/>
    <w:tmpl w:val="6C927CF4"/>
    <w:lvl w:ilvl="0" w:tplc="71CC38A8">
      <w:start w:val="1"/>
      <w:numFmt w:val="decimal"/>
      <w:lvlText w:val="(%1)"/>
      <w:lvlJc w:val="left"/>
      <w:pPr>
        <w:tabs>
          <w:tab w:val="num" w:pos="1077"/>
        </w:tabs>
        <w:ind w:left="1077" w:hanging="538"/>
      </w:pPr>
      <w:rPr>
        <w:rFonts w:ascii="Arial" w:eastAsia="Times New Roman" w:hAnsi="Arial" w:cs="Arial" w:hint="default"/>
      </w:rPr>
    </w:lvl>
    <w:lvl w:ilvl="1" w:tplc="8E92E2C2">
      <w:start w:val="1"/>
      <w:numFmt w:val="lowerLetter"/>
      <w:lvlText w:val="(%2)"/>
      <w:lvlJc w:val="left"/>
      <w:pPr>
        <w:tabs>
          <w:tab w:val="num" w:pos="1619"/>
        </w:tabs>
        <w:ind w:left="1619" w:hanging="360"/>
      </w:pPr>
      <w:rPr>
        <w:rFonts w:cs="Times New Roman" w:hint="default"/>
      </w:rPr>
    </w:lvl>
    <w:lvl w:ilvl="2" w:tplc="0C09001B" w:tentative="1">
      <w:start w:val="1"/>
      <w:numFmt w:val="lowerRoman"/>
      <w:lvlText w:val="%3."/>
      <w:lvlJc w:val="right"/>
      <w:pPr>
        <w:tabs>
          <w:tab w:val="num" w:pos="2339"/>
        </w:tabs>
        <w:ind w:left="2339" w:hanging="180"/>
      </w:pPr>
      <w:rPr>
        <w:rFonts w:cs="Times New Roman"/>
      </w:rPr>
    </w:lvl>
    <w:lvl w:ilvl="3" w:tplc="0C09000F" w:tentative="1">
      <w:start w:val="1"/>
      <w:numFmt w:val="decimal"/>
      <w:lvlText w:val="%4."/>
      <w:lvlJc w:val="left"/>
      <w:pPr>
        <w:tabs>
          <w:tab w:val="num" w:pos="3059"/>
        </w:tabs>
        <w:ind w:left="3059" w:hanging="360"/>
      </w:pPr>
      <w:rPr>
        <w:rFonts w:cs="Times New Roman"/>
      </w:rPr>
    </w:lvl>
    <w:lvl w:ilvl="4" w:tplc="0C090019" w:tentative="1">
      <w:start w:val="1"/>
      <w:numFmt w:val="lowerLetter"/>
      <w:lvlText w:val="%5."/>
      <w:lvlJc w:val="left"/>
      <w:pPr>
        <w:tabs>
          <w:tab w:val="num" w:pos="3779"/>
        </w:tabs>
        <w:ind w:left="3779" w:hanging="360"/>
      </w:pPr>
      <w:rPr>
        <w:rFonts w:cs="Times New Roman"/>
      </w:rPr>
    </w:lvl>
    <w:lvl w:ilvl="5" w:tplc="0C09001B" w:tentative="1">
      <w:start w:val="1"/>
      <w:numFmt w:val="lowerRoman"/>
      <w:lvlText w:val="%6."/>
      <w:lvlJc w:val="right"/>
      <w:pPr>
        <w:tabs>
          <w:tab w:val="num" w:pos="4499"/>
        </w:tabs>
        <w:ind w:left="4499" w:hanging="180"/>
      </w:pPr>
      <w:rPr>
        <w:rFonts w:cs="Times New Roman"/>
      </w:rPr>
    </w:lvl>
    <w:lvl w:ilvl="6" w:tplc="0C09000F" w:tentative="1">
      <w:start w:val="1"/>
      <w:numFmt w:val="decimal"/>
      <w:lvlText w:val="%7."/>
      <w:lvlJc w:val="left"/>
      <w:pPr>
        <w:tabs>
          <w:tab w:val="num" w:pos="5219"/>
        </w:tabs>
        <w:ind w:left="5219" w:hanging="360"/>
      </w:pPr>
      <w:rPr>
        <w:rFonts w:cs="Times New Roman"/>
      </w:rPr>
    </w:lvl>
    <w:lvl w:ilvl="7" w:tplc="0C090019" w:tentative="1">
      <w:start w:val="1"/>
      <w:numFmt w:val="lowerLetter"/>
      <w:lvlText w:val="%8."/>
      <w:lvlJc w:val="left"/>
      <w:pPr>
        <w:tabs>
          <w:tab w:val="num" w:pos="5939"/>
        </w:tabs>
        <w:ind w:left="5939" w:hanging="360"/>
      </w:pPr>
      <w:rPr>
        <w:rFonts w:cs="Times New Roman"/>
      </w:rPr>
    </w:lvl>
    <w:lvl w:ilvl="8" w:tplc="0C09001B" w:tentative="1">
      <w:start w:val="1"/>
      <w:numFmt w:val="lowerRoman"/>
      <w:lvlText w:val="%9."/>
      <w:lvlJc w:val="right"/>
      <w:pPr>
        <w:tabs>
          <w:tab w:val="num" w:pos="6659"/>
        </w:tabs>
        <w:ind w:left="6659" w:hanging="180"/>
      </w:pPr>
      <w:rPr>
        <w:rFonts w:cs="Times New Roman"/>
      </w:rPr>
    </w:lvl>
  </w:abstractNum>
  <w:abstractNum w:abstractNumId="8" w15:restartNumberingAfterBreak="0">
    <w:nsid w:val="15311D84"/>
    <w:multiLevelType w:val="hybridMultilevel"/>
    <w:tmpl w:val="1536F832"/>
    <w:lvl w:ilvl="0" w:tplc="DF3EDEA2">
      <w:start w:val="1"/>
      <w:numFmt w:val="decimal"/>
      <w:lvlText w:val="%1."/>
      <w:lvlJc w:val="left"/>
      <w:pPr>
        <w:tabs>
          <w:tab w:val="num" w:pos="720"/>
        </w:tabs>
        <w:ind w:left="720" w:hanging="360"/>
      </w:pPr>
      <w:rPr>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15F03BBF"/>
    <w:multiLevelType w:val="hybridMultilevel"/>
    <w:tmpl w:val="8960914C"/>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C657EBE"/>
    <w:multiLevelType w:val="hybridMultilevel"/>
    <w:tmpl w:val="4AA89E10"/>
    <w:lvl w:ilvl="0" w:tplc="0C09000F">
      <w:start w:val="6"/>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1CCD1B91"/>
    <w:multiLevelType w:val="hybridMultilevel"/>
    <w:tmpl w:val="7804B5CC"/>
    <w:lvl w:ilvl="0" w:tplc="0C09000F">
      <w:start w:val="1"/>
      <w:numFmt w:val="decimal"/>
      <w:lvlText w:val="%1."/>
      <w:lvlJc w:val="left"/>
      <w:pPr>
        <w:tabs>
          <w:tab w:val="num" w:pos="1440"/>
        </w:tabs>
        <w:ind w:left="1440" w:hanging="360"/>
      </w:p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2" w15:restartNumberingAfterBreak="0">
    <w:nsid w:val="1CE6655E"/>
    <w:multiLevelType w:val="hybridMultilevel"/>
    <w:tmpl w:val="A34C329E"/>
    <w:lvl w:ilvl="0" w:tplc="F576438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1F0709AD"/>
    <w:multiLevelType w:val="hybridMultilevel"/>
    <w:tmpl w:val="A75875D2"/>
    <w:lvl w:ilvl="0" w:tplc="0D828F8E">
      <w:start w:val="1"/>
      <w:numFmt w:val="decimal"/>
      <w:lvlText w:val="(%1)"/>
      <w:lvlJc w:val="left"/>
      <w:pPr>
        <w:tabs>
          <w:tab w:val="num" w:pos="1247"/>
        </w:tabs>
        <w:ind w:left="1247" w:hanging="538"/>
      </w:pPr>
      <w:rPr>
        <w:rFonts w:ascii="Arial" w:eastAsia="Times New Roman" w:hAnsi="Arial" w:cs="Times New Roman" w:hint="default"/>
      </w:rPr>
    </w:lvl>
    <w:lvl w:ilvl="1" w:tplc="0C090019" w:tentative="1">
      <w:start w:val="1"/>
      <w:numFmt w:val="lowerLetter"/>
      <w:lvlText w:val="%2."/>
      <w:lvlJc w:val="left"/>
      <w:pPr>
        <w:ind w:left="1610" w:hanging="360"/>
      </w:pPr>
    </w:lvl>
    <w:lvl w:ilvl="2" w:tplc="0C09001B" w:tentative="1">
      <w:start w:val="1"/>
      <w:numFmt w:val="lowerRoman"/>
      <w:lvlText w:val="%3."/>
      <w:lvlJc w:val="right"/>
      <w:pPr>
        <w:ind w:left="2330" w:hanging="180"/>
      </w:pPr>
    </w:lvl>
    <w:lvl w:ilvl="3" w:tplc="0C09000F" w:tentative="1">
      <w:start w:val="1"/>
      <w:numFmt w:val="decimal"/>
      <w:lvlText w:val="%4."/>
      <w:lvlJc w:val="left"/>
      <w:pPr>
        <w:ind w:left="3050" w:hanging="360"/>
      </w:pPr>
    </w:lvl>
    <w:lvl w:ilvl="4" w:tplc="0C090019" w:tentative="1">
      <w:start w:val="1"/>
      <w:numFmt w:val="lowerLetter"/>
      <w:lvlText w:val="%5."/>
      <w:lvlJc w:val="left"/>
      <w:pPr>
        <w:ind w:left="3770" w:hanging="360"/>
      </w:pPr>
    </w:lvl>
    <w:lvl w:ilvl="5" w:tplc="0C09001B" w:tentative="1">
      <w:start w:val="1"/>
      <w:numFmt w:val="lowerRoman"/>
      <w:lvlText w:val="%6."/>
      <w:lvlJc w:val="right"/>
      <w:pPr>
        <w:ind w:left="4490" w:hanging="180"/>
      </w:pPr>
    </w:lvl>
    <w:lvl w:ilvl="6" w:tplc="0C09000F" w:tentative="1">
      <w:start w:val="1"/>
      <w:numFmt w:val="decimal"/>
      <w:lvlText w:val="%7."/>
      <w:lvlJc w:val="left"/>
      <w:pPr>
        <w:ind w:left="5210" w:hanging="360"/>
      </w:pPr>
    </w:lvl>
    <w:lvl w:ilvl="7" w:tplc="0C090019" w:tentative="1">
      <w:start w:val="1"/>
      <w:numFmt w:val="lowerLetter"/>
      <w:lvlText w:val="%8."/>
      <w:lvlJc w:val="left"/>
      <w:pPr>
        <w:ind w:left="5930" w:hanging="360"/>
      </w:pPr>
    </w:lvl>
    <w:lvl w:ilvl="8" w:tplc="0C09001B" w:tentative="1">
      <w:start w:val="1"/>
      <w:numFmt w:val="lowerRoman"/>
      <w:lvlText w:val="%9."/>
      <w:lvlJc w:val="right"/>
      <w:pPr>
        <w:ind w:left="6650" w:hanging="180"/>
      </w:pPr>
    </w:lvl>
  </w:abstractNum>
  <w:abstractNum w:abstractNumId="14" w15:restartNumberingAfterBreak="0">
    <w:nsid w:val="24656772"/>
    <w:multiLevelType w:val="hybridMultilevel"/>
    <w:tmpl w:val="17744212"/>
    <w:lvl w:ilvl="0" w:tplc="2E386C40">
      <w:start w:val="1"/>
      <w:numFmt w:val="decimal"/>
      <w:lvlText w:val="(%1)"/>
      <w:lvlJc w:val="left"/>
      <w:pPr>
        <w:tabs>
          <w:tab w:val="num" w:pos="1077"/>
        </w:tabs>
        <w:ind w:left="1077" w:hanging="538"/>
      </w:pPr>
      <w:rPr>
        <w:rFonts w:ascii="Arial" w:eastAsia="Times New Roman" w:hAnsi="Arial" w:cs="Times New Roman" w:hint="default"/>
      </w:rPr>
    </w:lvl>
    <w:lvl w:ilvl="1" w:tplc="0C090019" w:tentative="1">
      <w:start w:val="1"/>
      <w:numFmt w:val="lowerLetter"/>
      <w:lvlText w:val="%2."/>
      <w:lvlJc w:val="left"/>
      <w:pPr>
        <w:tabs>
          <w:tab w:val="num" w:pos="717"/>
        </w:tabs>
        <w:ind w:left="717" w:hanging="360"/>
      </w:pPr>
      <w:rPr>
        <w:rFonts w:cs="Times New Roman"/>
      </w:rPr>
    </w:lvl>
    <w:lvl w:ilvl="2" w:tplc="0C09001B" w:tentative="1">
      <w:start w:val="1"/>
      <w:numFmt w:val="lowerRoman"/>
      <w:lvlText w:val="%3."/>
      <w:lvlJc w:val="right"/>
      <w:pPr>
        <w:tabs>
          <w:tab w:val="num" w:pos="1437"/>
        </w:tabs>
        <w:ind w:left="1437" w:hanging="180"/>
      </w:pPr>
      <w:rPr>
        <w:rFonts w:cs="Times New Roman"/>
      </w:rPr>
    </w:lvl>
    <w:lvl w:ilvl="3" w:tplc="0C09000F" w:tentative="1">
      <w:start w:val="1"/>
      <w:numFmt w:val="decimal"/>
      <w:lvlText w:val="%4."/>
      <w:lvlJc w:val="left"/>
      <w:pPr>
        <w:tabs>
          <w:tab w:val="num" w:pos="2157"/>
        </w:tabs>
        <w:ind w:left="2157" w:hanging="360"/>
      </w:pPr>
      <w:rPr>
        <w:rFonts w:cs="Times New Roman"/>
      </w:rPr>
    </w:lvl>
    <w:lvl w:ilvl="4" w:tplc="0C090019" w:tentative="1">
      <w:start w:val="1"/>
      <w:numFmt w:val="lowerLetter"/>
      <w:lvlText w:val="%5."/>
      <w:lvlJc w:val="left"/>
      <w:pPr>
        <w:tabs>
          <w:tab w:val="num" w:pos="2877"/>
        </w:tabs>
        <w:ind w:left="2877" w:hanging="360"/>
      </w:pPr>
      <w:rPr>
        <w:rFonts w:cs="Times New Roman"/>
      </w:rPr>
    </w:lvl>
    <w:lvl w:ilvl="5" w:tplc="0C09001B" w:tentative="1">
      <w:start w:val="1"/>
      <w:numFmt w:val="lowerRoman"/>
      <w:lvlText w:val="%6."/>
      <w:lvlJc w:val="right"/>
      <w:pPr>
        <w:tabs>
          <w:tab w:val="num" w:pos="3597"/>
        </w:tabs>
        <w:ind w:left="3597" w:hanging="180"/>
      </w:pPr>
      <w:rPr>
        <w:rFonts w:cs="Times New Roman"/>
      </w:rPr>
    </w:lvl>
    <w:lvl w:ilvl="6" w:tplc="0C09000F" w:tentative="1">
      <w:start w:val="1"/>
      <w:numFmt w:val="decimal"/>
      <w:lvlText w:val="%7."/>
      <w:lvlJc w:val="left"/>
      <w:pPr>
        <w:tabs>
          <w:tab w:val="num" w:pos="4317"/>
        </w:tabs>
        <w:ind w:left="4317" w:hanging="360"/>
      </w:pPr>
      <w:rPr>
        <w:rFonts w:cs="Times New Roman"/>
      </w:rPr>
    </w:lvl>
    <w:lvl w:ilvl="7" w:tplc="0C090019" w:tentative="1">
      <w:start w:val="1"/>
      <w:numFmt w:val="lowerLetter"/>
      <w:lvlText w:val="%8."/>
      <w:lvlJc w:val="left"/>
      <w:pPr>
        <w:tabs>
          <w:tab w:val="num" w:pos="5037"/>
        </w:tabs>
        <w:ind w:left="5037" w:hanging="360"/>
      </w:pPr>
      <w:rPr>
        <w:rFonts w:cs="Times New Roman"/>
      </w:rPr>
    </w:lvl>
    <w:lvl w:ilvl="8" w:tplc="0C09001B" w:tentative="1">
      <w:start w:val="1"/>
      <w:numFmt w:val="lowerRoman"/>
      <w:lvlText w:val="%9."/>
      <w:lvlJc w:val="right"/>
      <w:pPr>
        <w:tabs>
          <w:tab w:val="num" w:pos="5757"/>
        </w:tabs>
        <w:ind w:left="5757" w:hanging="180"/>
      </w:pPr>
      <w:rPr>
        <w:rFonts w:cs="Times New Roman"/>
      </w:rPr>
    </w:lvl>
  </w:abstractNum>
  <w:abstractNum w:abstractNumId="15" w15:restartNumberingAfterBreak="0">
    <w:nsid w:val="30877A55"/>
    <w:multiLevelType w:val="hybridMultilevel"/>
    <w:tmpl w:val="9D789F4C"/>
    <w:lvl w:ilvl="0" w:tplc="B7EC8BD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5C12E4B"/>
    <w:multiLevelType w:val="hybridMultilevel"/>
    <w:tmpl w:val="39A4B410"/>
    <w:lvl w:ilvl="0" w:tplc="0D828F8E">
      <w:start w:val="1"/>
      <w:numFmt w:val="decimal"/>
      <w:lvlText w:val="(%1)"/>
      <w:lvlJc w:val="left"/>
      <w:pPr>
        <w:tabs>
          <w:tab w:val="num" w:pos="1077"/>
        </w:tabs>
        <w:ind w:left="1077" w:hanging="538"/>
      </w:pPr>
      <w:rPr>
        <w:rFonts w:ascii="Arial" w:eastAsia="Times New Roman" w:hAnsi="Arial"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A462B4A"/>
    <w:multiLevelType w:val="hybridMultilevel"/>
    <w:tmpl w:val="D182E0FE"/>
    <w:lvl w:ilvl="0" w:tplc="0826E2B8">
      <w:start w:val="1"/>
      <w:numFmt w:val="decimal"/>
      <w:lvlText w:val="%1."/>
      <w:lvlJc w:val="left"/>
      <w:pPr>
        <w:tabs>
          <w:tab w:val="num" w:pos="720"/>
        </w:tabs>
        <w:ind w:left="720" w:hanging="360"/>
      </w:pPr>
      <w:rPr>
        <w:b/>
        <w:i w:val="0"/>
      </w:rPr>
    </w:lvl>
    <w:lvl w:ilvl="1" w:tplc="0C090005">
      <w:start w:val="1"/>
      <w:numFmt w:val="bullet"/>
      <w:lvlText w:val=""/>
      <w:lvlJc w:val="left"/>
      <w:pPr>
        <w:tabs>
          <w:tab w:val="num" w:pos="1440"/>
        </w:tabs>
        <w:ind w:left="1440" w:hanging="360"/>
      </w:pPr>
      <w:rPr>
        <w:rFonts w:ascii="Wingdings" w:hAnsi="Wingding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4C022120"/>
    <w:multiLevelType w:val="hybridMultilevel"/>
    <w:tmpl w:val="1422C112"/>
    <w:lvl w:ilvl="0" w:tplc="2E386C40">
      <w:start w:val="1"/>
      <w:numFmt w:val="decimal"/>
      <w:lvlText w:val="(%1)"/>
      <w:lvlJc w:val="left"/>
      <w:pPr>
        <w:tabs>
          <w:tab w:val="num" w:pos="1077"/>
        </w:tabs>
        <w:ind w:left="1077" w:hanging="538"/>
      </w:pPr>
      <w:rPr>
        <w:rFonts w:ascii="Arial" w:eastAsia="Times New Roman" w:hAnsi="Arial" w:cs="Times New Roman"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66BF7EFA"/>
    <w:multiLevelType w:val="hybridMultilevel"/>
    <w:tmpl w:val="DDD0F130"/>
    <w:lvl w:ilvl="0" w:tplc="F8905EC4">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6AEA52AA"/>
    <w:multiLevelType w:val="hybridMultilevel"/>
    <w:tmpl w:val="11B6C960"/>
    <w:lvl w:ilvl="0" w:tplc="2E386C40">
      <w:start w:val="1"/>
      <w:numFmt w:val="decimal"/>
      <w:lvlText w:val="(%1)"/>
      <w:lvlJc w:val="left"/>
      <w:pPr>
        <w:tabs>
          <w:tab w:val="num" w:pos="1077"/>
        </w:tabs>
        <w:ind w:left="1077" w:hanging="538"/>
      </w:pPr>
      <w:rPr>
        <w:rFonts w:ascii="Arial" w:eastAsia="Times New Roman" w:hAnsi="Arial" w:cs="Times New Roman"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6EF911DC"/>
    <w:multiLevelType w:val="hybridMultilevel"/>
    <w:tmpl w:val="D1B00B82"/>
    <w:lvl w:ilvl="0" w:tplc="0D828F8E">
      <w:start w:val="1"/>
      <w:numFmt w:val="decimal"/>
      <w:lvlText w:val="(%1)"/>
      <w:lvlJc w:val="left"/>
      <w:pPr>
        <w:tabs>
          <w:tab w:val="num" w:pos="1076"/>
        </w:tabs>
        <w:ind w:left="1076" w:hanging="538"/>
      </w:pPr>
      <w:rPr>
        <w:rFonts w:ascii="Arial" w:eastAsia="Times New Roman" w:hAnsi="Arial" w:cs="Times New Roman" w:hint="default"/>
      </w:rPr>
    </w:lvl>
    <w:lvl w:ilvl="1" w:tplc="0C090019" w:tentative="1">
      <w:start w:val="1"/>
      <w:numFmt w:val="lowerLetter"/>
      <w:lvlText w:val="%2."/>
      <w:lvlJc w:val="left"/>
      <w:pPr>
        <w:ind w:left="1439" w:hanging="360"/>
      </w:pPr>
    </w:lvl>
    <w:lvl w:ilvl="2" w:tplc="0C09001B" w:tentative="1">
      <w:start w:val="1"/>
      <w:numFmt w:val="lowerRoman"/>
      <w:lvlText w:val="%3."/>
      <w:lvlJc w:val="right"/>
      <w:pPr>
        <w:ind w:left="2159" w:hanging="180"/>
      </w:pPr>
    </w:lvl>
    <w:lvl w:ilvl="3" w:tplc="0C09000F" w:tentative="1">
      <w:start w:val="1"/>
      <w:numFmt w:val="decimal"/>
      <w:lvlText w:val="%4."/>
      <w:lvlJc w:val="left"/>
      <w:pPr>
        <w:ind w:left="2879" w:hanging="360"/>
      </w:pPr>
    </w:lvl>
    <w:lvl w:ilvl="4" w:tplc="0C090019" w:tentative="1">
      <w:start w:val="1"/>
      <w:numFmt w:val="lowerLetter"/>
      <w:lvlText w:val="%5."/>
      <w:lvlJc w:val="left"/>
      <w:pPr>
        <w:ind w:left="3599" w:hanging="360"/>
      </w:pPr>
    </w:lvl>
    <w:lvl w:ilvl="5" w:tplc="0C09001B" w:tentative="1">
      <w:start w:val="1"/>
      <w:numFmt w:val="lowerRoman"/>
      <w:lvlText w:val="%6."/>
      <w:lvlJc w:val="right"/>
      <w:pPr>
        <w:ind w:left="4319" w:hanging="180"/>
      </w:pPr>
    </w:lvl>
    <w:lvl w:ilvl="6" w:tplc="0C09000F" w:tentative="1">
      <w:start w:val="1"/>
      <w:numFmt w:val="decimal"/>
      <w:lvlText w:val="%7."/>
      <w:lvlJc w:val="left"/>
      <w:pPr>
        <w:ind w:left="5039" w:hanging="360"/>
      </w:pPr>
    </w:lvl>
    <w:lvl w:ilvl="7" w:tplc="0C090019" w:tentative="1">
      <w:start w:val="1"/>
      <w:numFmt w:val="lowerLetter"/>
      <w:lvlText w:val="%8."/>
      <w:lvlJc w:val="left"/>
      <w:pPr>
        <w:ind w:left="5759" w:hanging="360"/>
      </w:pPr>
    </w:lvl>
    <w:lvl w:ilvl="8" w:tplc="0C09001B" w:tentative="1">
      <w:start w:val="1"/>
      <w:numFmt w:val="lowerRoman"/>
      <w:lvlText w:val="%9."/>
      <w:lvlJc w:val="right"/>
      <w:pPr>
        <w:ind w:left="6479" w:hanging="180"/>
      </w:pPr>
    </w:lvl>
  </w:abstractNum>
  <w:abstractNum w:abstractNumId="22" w15:restartNumberingAfterBreak="0">
    <w:nsid w:val="7B275CB9"/>
    <w:multiLevelType w:val="hybridMultilevel"/>
    <w:tmpl w:val="D7DE0C02"/>
    <w:lvl w:ilvl="0" w:tplc="0C090005">
      <w:start w:val="1"/>
      <w:numFmt w:val="bullet"/>
      <w:lvlText w:val=""/>
      <w:lvlJc w:val="left"/>
      <w:pPr>
        <w:tabs>
          <w:tab w:val="num" w:pos="780"/>
        </w:tabs>
        <w:ind w:left="780" w:hanging="360"/>
      </w:pPr>
      <w:rPr>
        <w:rFonts w:ascii="Wingdings" w:hAnsi="Wingdings"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7CC022B7"/>
    <w:multiLevelType w:val="hybridMultilevel"/>
    <w:tmpl w:val="91F6016E"/>
    <w:lvl w:ilvl="0" w:tplc="0D828F8E">
      <w:start w:val="1"/>
      <w:numFmt w:val="decimal"/>
      <w:lvlText w:val="(%1)"/>
      <w:lvlJc w:val="left"/>
      <w:pPr>
        <w:tabs>
          <w:tab w:val="num" w:pos="1247"/>
        </w:tabs>
        <w:ind w:left="1247" w:hanging="538"/>
      </w:pPr>
      <w:rPr>
        <w:rFonts w:ascii="Arial" w:eastAsia="Times New Roman" w:hAnsi="Arial" w:cs="Times New Roman" w:hint="default"/>
      </w:rPr>
    </w:lvl>
    <w:lvl w:ilvl="1" w:tplc="0C090019" w:tentative="1">
      <w:start w:val="1"/>
      <w:numFmt w:val="lowerLetter"/>
      <w:lvlText w:val="%2."/>
      <w:lvlJc w:val="left"/>
      <w:pPr>
        <w:ind w:left="1610" w:hanging="360"/>
      </w:pPr>
    </w:lvl>
    <w:lvl w:ilvl="2" w:tplc="0C09001B" w:tentative="1">
      <w:start w:val="1"/>
      <w:numFmt w:val="lowerRoman"/>
      <w:lvlText w:val="%3."/>
      <w:lvlJc w:val="right"/>
      <w:pPr>
        <w:ind w:left="2330" w:hanging="180"/>
      </w:pPr>
    </w:lvl>
    <w:lvl w:ilvl="3" w:tplc="0C09000F" w:tentative="1">
      <w:start w:val="1"/>
      <w:numFmt w:val="decimal"/>
      <w:lvlText w:val="%4."/>
      <w:lvlJc w:val="left"/>
      <w:pPr>
        <w:ind w:left="3050" w:hanging="360"/>
      </w:pPr>
    </w:lvl>
    <w:lvl w:ilvl="4" w:tplc="0C090019" w:tentative="1">
      <w:start w:val="1"/>
      <w:numFmt w:val="lowerLetter"/>
      <w:lvlText w:val="%5."/>
      <w:lvlJc w:val="left"/>
      <w:pPr>
        <w:ind w:left="3770" w:hanging="360"/>
      </w:pPr>
    </w:lvl>
    <w:lvl w:ilvl="5" w:tplc="0C09001B" w:tentative="1">
      <w:start w:val="1"/>
      <w:numFmt w:val="lowerRoman"/>
      <w:lvlText w:val="%6."/>
      <w:lvlJc w:val="right"/>
      <w:pPr>
        <w:ind w:left="4490" w:hanging="180"/>
      </w:pPr>
    </w:lvl>
    <w:lvl w:ilvl="6" w:tplc="0C09000F" w:tentative="1">
      <w:start w:val="1"/>
      <w:numFmt w:val="decimal"/>
      <w:lvlText w:val="%7."/>
      <w:lvlJc w:val="left"/>
      <w:pPr>
        <w:ind w:left="5210" w:hanging="360"/>
      </w:pPr>
    </w:lvl>
    <w:lvl w:ilvl="7" w:tplc="0C090019" w:tentative="1">
      <w:start w:val="1"/>
      <w:numFmt w:val="lowerLetter"/>
      <w:lvlText w:val="%8."/>
      <w:lvlJc w:val="left"/>
      <w:pPr>
        <w:ind w:left="5930" w:hanging="360"/>
      </w:pPr>
    </w:lvl>
    <w:lvl w:ilvl="8" w:tplc="0C09001B" w:tentative="1">
      <w:start w:val="1"/>
      <w:numFmt w:val="lowerRoman"/>
      <w:lvlText w:val="%9."/>
      <w:lvlJc w:val="right"/>
      <w:pPr>
        <w:ind w:left="6650" w:hanging="180"/>
      </w:pPr>
    </w:lvl>
  </w:abstractNum>
  <w:num w:numId="1">
    <w:abstractNumId w:val="5"/>
  </w:num>
  <w:num w:numId="2">
    <w:abstractNumId w:val="17"/>
  </w:num>
  <w:num w:numId="3">
    <w:abstractNumId w:val="22"/>
  </w:num>
  <w:num w:numId="4">
    <w:abstractNumId w:val="10"/>
  </w:num>
  <w:num w:numId="5">
    <w:abstractNumId w:val="11"/>
  </w:num>
  <w:num w:numId="6">
    <w:abstractNumId w:val="8"/>
  </w:num>
  <w:num w:numId="7">
    <w:abstractNumId w:val="3"/>
  </w:num>
  <w:num w:numId="8">
    <w:abstractNumId w:val="19"/>
  </w:num>
  <w:num w:numId="9">
    <w:abstractNumId w:val="4"/>
  </w:num>
  <w:num w:numId="10">
    <w:abstractNumId w:val="12"/>
  </w:num>
  <w:num w:numId="11">
    <w:abstractNumId w:val="9"/>
  </w:num>
  <w:num w:numId="12">
    <w:abstractNumId w:val="15"/>
  </w:num>
  <w:num w:numId="13">
    <w:abstractNumId w:val="6"/>
  </w:num>
  <w:num w:numId="14">
    <w:abstractNumId w:val="7"/>
  </w:num>
  <w:num w:numId="15">
    <w:abstractNumId w:val="14"/>
  </w:num>
  <w:num w:numId="16">
    <w:abstractNumId w:val="1"/>
  </w:num>
  <w:num w:numId="17">
    <w:abstractNumId w:val="18"/>
  </w:num>
  <w:num w:numId="18">
    <w:abstractNumId w:val="20"/>
  </w:num>
  <w:num w:numId="19">
    <w:abstractNumId w:val="0"/>
  </w:num>
  <w:num w:numId="20">
    <w:abstractNumId w:val="13"/>
  </w:num>
  <w:num w:numId="21">
    <w:abstractNumId w:val="2"/>
  </w:num>
  <w:num w:numId="22">
    <w:abstractNumId w:val="21"/>
  </w:num>
  <w:num w:numId="23">
    <w:abstractNumId w:val="2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11F"/>
    <w:rsid w:val="00001B90"/>
    <w:rsid w:val="0000370C"/>
    <w:rsid w:val="00007304"/>
    <w:rsid w:val="0000743E"/>
    <w:rsid w:val="00013309"/>
    <w:rsid w:val="00013AD9"/>
    <w:rsid w:val="0001636B"/>
    <w:rsid w:val="000171F2"/>
    <w:rsid w:val="00017CD7"/>
    <w:rsid w:val="00022C8A"/>
    <w:rsid w:val="00022FA9"/>
    <w:rsid w:val="00026BC1"/>
    <w:rsid w:val="0003190D"/>
    <w:rsid w:val="0003261F"/>
    <w:rsid w:val="00034883"/>
    <w:rsid w:val="00035397"/>
    <w:rsid w:val="00036F54"/>
    <w:rsid w:val="00044893"/>
    <w:rsid w:val="00045F14"/>
    <w:rsid w:val="00053761"/>
    <w:rsid w:val="00053842"/>
    <w:rsid w:val="00061054"/>
    <w:rsid w:val="0006112D"/>
    <w:rsid w:val="00061910"/>
    <w:rsid w:val="00072E3D"/>
    <w:rsid w:val="000745A8"/>
    <w:rsid w:val="0007527F"/>
    <w:rsid w:val="000761BD"/>
    <w:rsid w:val="00082A4A"/>
    <w:rsid w:val="00083FAC"/>
    <w:rsid w:val="00085451"/>
    <w:rsid w:val="00087C21"/>
    <w:rsid w:val="00090B7A"/>
    <w:rsid w:val="0009111F"/>
    <w:rsid w:val="00096865"/>
    <w:rsid w:val="000A0909"/>
    <w:rsid w:val="000A0B93"/>
    <w:rsid w:val="000A1078"/>
    <w:rsid w:val="000A3297"/>
    <w:rsid w:val="000A6CE4"/>
    <w:rsid w:val="000A70C6"/>
    <w:rsid w:val="000B2C32"/>
    <w:rsid w:val="000B2DD7"/>
    <w:rsid w:val="000C0EF3"/>
    <w:rsid w:val="000D13BC"/>
    <w:rsid w:val="000D3CC6"/>
    <w:rsid w:val="000D40A4"/>
    <w:rsid w:val="000D5D38"/>
    <w:rsid w:val="000D6A3C"/>
    <w:rsid w:val="000D6E5B"/>
    <w:rsid w:val="000E0270"/>
    <w:rsid w:val="000E2EB8"/>
    <w:rsid w:val="000F3E93"/>
    <w:rsid w:val="000F52DE"/>
    <w:rsid w:val="001051FA"/>
    <w:rsid w:val="00106686"/>
    <w:rsid w:val="00110ACA"/>
    <w:rsid w:val="00110E46"/>
    <w:rsid w:val="00110F37"/>
    <w:rsid w:val="00114408"/>
    <w:rsid w:val="00115901"/>
    <w:rsid w:val="00116B15"/>
    <w:rsid w:val="001243A8"/>
    <w:rsid w:val="00125A6B"/>
    <w:rsid w:val="00126EED"/>
    <w:rsid w:val="00131447"/>
    <w:rsid w:val="00134D4D"/>
    <w:rsid w:val="001361C6"/>
    <w:rsid w:val="00147A49"/>
    <w:rsid w:val="00150830"/>
    <w:rsid w:val="00154159"/>
    <w:rsid w:val="00155E7A"/>
    <w:rsid w:val="00156D4B"/>
    <w:rsid w:val="001605B9"/>
    <w:rsid w:val="00163373"/>
    <w:rsid w:val="00165CC9"/>
    <w:rsid w:val="00165DC1"/>
    <w:rsid w:val="0017078D"/>
    <w:rsid w:val="00172075"/>
    <w:rsid w:val="00173050"/>
    <w:rsid w:val="00175FFF"/>
    <w:rsid w:val="00176815"/>
    <w:rsid w:val="00181212"/>
    <w:rsid w:val="00184795"/>
    <w:rsid w:val="00187C71"/>
    <w:rsid w:val="001958EE"/>
    <w:rsid w:val="00197136"/>
    <w:rsid w:val="001A09BD"/>
    <w:rsid w:val="001A271F"/>
    <w:rsid w:val="001A34E7"/>
    <w:rsid w:val="001A5431"/>
    <w:rsid w:val="001A67BD"/>
    <w:rsid w:val="001B0FC5"/>
    <w:rsid w:val="001B1C8D"/>
    <w:rsid w:val="001C0007"/>
    <w:rsid w:val="001C6316"/>
    <w:rsid w:val="001C6C9F"/>
    <w:rsid w:val="001C7B01"/>
    <w:rsid w:val="001D0C43"/>
    <w:rsid w:val="001D1628"/>
    <w:rsid w:val="001D460D"/>
    <w:rsid w:val="001D4C15"/>
    <w:rsid w:val="001D7B88"/>
    <w:rsid w:val="001E32EA"/>
    <w:rsid w:val="001E4F85"/>
    <w:rsid w:val="001E5A7D"/>
    <w:rsid w:val="001F15B2"/>
    <w:rsid w:val="001F30CF"/>
    <w:rsid w:val="001F4720"/>
    <w:rsid w:val="00200593"/>
    <w:rsid w:val="00200CD4"/>
    <w:rsid w:val="002025B9"/>
    <w:rsid w:val="002027C1"/>
    <w:rsid w:val="00203F0E"/>
    <w:rsid w:val="00204EFB"/>
    <w:rsid w:val="002112A9"/>
    <w:rsid w:val="0021318A"/>
    <w:rsid w:val="00215A42"/>
    <w:rsid w:val="00216C38"/>
    <w:rsid w:val="002213F3"/>
    <w:rsid w:val="00222180"/>
    <w:rsid w:val="00223D79"/>
    <w:rsid w:val="00224B20"/>
    <w:rsid w:val="00225B5B"/>
    <w:rsid w:val="002309BC"/>
    <w:rsid w:val="00234388"/>
    <w:rsid w:val="00237D14"/>
    <w:rsid w:val="00242CCE"/>
    <w:rsid w:val="002449E3"/>
    <w:rsid w:val="00246081"/>
    <w:rsid w:val="002476E9"/>
    <w:rsid w:val="002504EE"/>
    <w:rsid w:val="00255AB5"/>
    <w:rsid w:val="00256024"/>
    <w:rsid w:val="00270137"/>
    <w:rsid w:val="00274BCD"/>
    <w:rsid w:val="002842A4"/>
    <w:rsid w:val="002863FF"/>
    <w:rsid w:val="00286620"/>
    <w:rsid w:val="00292E75"/>
    <w:rsid w:val="002944AD"/>
    <w:rsid w:val="002A1515"/>
    <w:rsid w:val="002A2CD1"/>
    <w:rsid w:val="002A6D63"/>
    <w:rsid w:val="002A7FB3"/>
    <w:rsid w:val="002B014D"/>
    <w:rsid w:val="002B0B63"/>
    <w:rsid w:val="002B5B41"/>
    <w:rsid w:val="002C1214"/>
    <w:rsid w:val="002C1E82"/>
    <w:rsid w:val="002C5784"/>
    <w:rsid w:val="002C7A81"/>
    <w:rsid w:val="002D066A"/>
    <w:rsid w:val="002D144F"/>
    <w:rsid w:val="002D6902"/>
    <w:rsid w:val="002D7B6D"/>
    <w:rsid w:val="002D7DD0"/>
    <w:rsid w:val="002F18CB"/>
    <w:rsid w:val="002F3447"/>
    <w:rsid w:val="00303F72"/>
    <w:rsid w:val="00306D30"/>
    <w:rsid w:val="003107EF"/>
    <w:rsid w:val="00312725"/>
    <w:rsid w:val="00314A4E"/>
    <w:rsid w:val="003150E0"/>
    <w:rsid w:val="0032158A"/>
    <w:rsid w:val="003229FB"/>
    <w:rsid w:val="00322E62"/>
    <w:rsid w:val="0033478D"/>
    <w:rsid w:val="0033482D"/>
    <w:rsid w:val="00337DA3"/>
    <w:rsid w:val="00340433"/>
    <w:rsid w:val="00342135"/>
    <w:rsid w:val="0034580A"/>
    <w:rsid w:val="003462FD"/>
    <w:rsid w:val="00347B2A"/>
    <w:rsid w:val="00354C19"/>
    <w:rsid w:val="00361A02"/>
    <w:rsid w:val="003651A6"/>
    <w:rsid w:val="00367704"/>
    <w:rsid w:val="00367E7D"/>
    <w:rsid w:val="00372F98"/>
    <w:rsid w:val="00372FF9"/>
    <w:rsid w:val="00373E8D"/>
    <w:rsid w:val="0037526B"/>
    <w:rsid w:val="00377BCC"/>
    <w:rsid w:val="00380717"/>
    <w:rsid w:val="00381779"/>
    <w:rsid w:val="003819B3"/>
    <w:rsid w:val="00391A9C"/>
    <w:rsid w:val="00397383"/>
    <w:rsid w:val="003A067D"/>
    <w:rsid w:val="003A1C6C"/>
    <w:rsid w:val="003A58BC"/>
    <w:rsid w:val="003A5A04"/>
    <w:rsid w:val="003A64FC"/>
    <w:rsid w:val="003B123A"/>
    <w:rsid w:val="003B5EDB"/>
    <w:rsid w:val="003B6971"/>
    <w:rsid w:val="003B6B0B"/>
    <w:rsid w:val="003B7611"/>
    <w:rsid w:val="003C0157"/>
    <w:rsid w:val="003C564E"/>
    <w:rsid w:val="003C7C74"/>
    <w:rsid w:val="003D3335"/>
    <w:rsid w:val="003D354B"/>
    <w:rsid w:val="003D5A34"/>
    <w:rsid w:val="003E3E74"/>
    <w:rsid w:val="003E52ED"/>
    <w:rsid w:val="003F71AF"/>
    <w:rsid w:val="004007F2"/>
    <w:rsid w:val="00410152"/>
    <w:rsid w:val="00411530"/>
    <w:rsid w:val="00412B77"/>
    <w:rsid w:val="00414405"/>
    <w:rsid w:val="0042007E"/>
    <w:rsid w:val="00424F2B"/>
    <w:rsid w:val="00426390"/>
    <w:rsid w:val="0043366F"/>
    <w:rsid w:val="004369A7"/>
    <w:rsid w:val="00436E40"/>
    <w:rsid w:val="00441AC4"/>
    <w:rsid w:val="00446E2A"/>
    <w:rsid w:val="00447D82"/>
    <w:rsid w:val="00451EE1"/>
    <w:rsid w:val="00452C78"/>
    <w:rsid w:val="00453A50"/>
    <w:rsid w:val="00453FB4"/>
    <w:rsid w:val="0045428E"/>
    <w:rsid w:val="0045552B"/>
    <w:rsid w:val="00461FBC"/>
    <w:rsid w:val="00466FCB"/>
    <w:rsid w:val="004745E2"/>
    <w:rsid w:val="00475A2F"/>
    <w:rsid w:val="00480A1F"/>
    <w:rsid w:val="00484715"/>
    <w:rsid w:val="004870DE"/>
    <w:rsid w:val="00490C14"/>
    <w:rsid w:val="004975A9"/>
    <w:rsid w:val="004A30EE"/>
    <w:rsid w:val="004A3AB0"/>
    <w:rsid w:val="004B0651"/>
    <w:rsid w:val="004B1977"/>
    <w:rsid w:val="004B4F84"/>
    <w:rsid w:val="004B7906"/>
    <w:rsid w:val="004C1BDB"/>
    <w:rsid w:val="004C3B01"/>
    <w:rsid w:val="004C68AA"/>
    <w:rsid w:val="004D0B9D"/>
    <w:rsid w:val="004D22B9"/>
    <w:rsid w:val="004E04F8"/>
    <w:rsid w:val="004E2A09"/>
    <w:rsid w:val="004E3A27"/>
    <w:rsid w:val="004E4117"/>
    <w:rsid w:val="004E660F"/>
    <w:rsid w:val="004F6872"/>
    <w:rsid w:val="0050473D"/>
    <w:rsid w:val="00506840"/>
    <w:rsid w:val="00507465"/>
    <w:rsid w:val="00507C1E"/>
    <w:rsid w:val="00510446"/>
    <w:rsid w:val="00510B32"/>
    <w:rsid w:val="00510E8B"/>
    <w:rsid w:val="00513891"/>
    <w:rsid w:val="00513A8B"/>
    <w:rsid w:val="00513F8C"/>
    <w:rsid w:val="00515786"/>
    <w:rsid w:val="005251FD"/>
    <w:rsid w:val="005272E2"/>
    <w:rsid w:val="00527EC7"/>
    <w:rsid w:val="005312F5"/>
    <w:rsid w:val="00532AC5"/>
    <w:rsid w:val="005361C9"/>
    <w:rsid w:val="005364C0"/>
    <w:rsid w:val="00537D5D"/>
    <w:rsid w:val="00543981"/>
    <w:rsid w:val="00545171"/>
    <w:rsid w:val="00545A71"/>
    <w:rsid w:val="0055072D"/>
    <w:rsid w:val="00552490"/>
    <w:rsid w:val="00554CFA"/>
    <w:rsid w:val="0056163C"/>
    <w:rsid w:val="00564D84"/>
    <w:rsid w:val="00567854"/>
    <w:rsid w:val="00570631"/>
    <w:rsid w:val="0057609B"/>
    <w:rsid w:val="00582467"/>
    <w:rsid w:val="005848C1"/>
    <w:rsid w:val="005849D8"/>
    <w:rsid w:val="00585124"/>
    <w:rsid w:val="0058722D"/>
    <w:rsid w:val="005903F3"/>
    <w:rsid w:val="005A3791"/>
    <w:rsid w:val="005B0F08"/>
    <w:rsid w:val="005B110F"/>
    <w:rsid w:val="005B118C"/>
    <w:rsid w:val="005B331E"/>
    <w:rsid w:val="005B4F0F"/>
    <w:rsid w:val="005B51FF"/>
    <w:rsid w:val="005B556C"/>
    <w:rsid w:val="005B6BBF"/>
    <w:rsid w:val="005C13A2"/>
    <w:rsid w:val="005C5D9A"/>
    <w:rsid w:val="005D2382"/>
    <w:rsid w:val="005D55A1"/>
    <w:rsid w:val="005D7217"/>
    <w:rsid w:val="005E214D"/>
    <w:rsid w:val="005E49E3"/>
    <w:rsid w:val="005E6E25"/>
    <w:rsid w:val="005F0683"/>
    <w:rsid w:val="005F0688"/>
    <w:rsid w:val="005F1A16"/>
    <w:rsid w:val="005F2226"/>
    <w:rsid w:val="005F223B"/>
    <w:rsid w:val="005F26B6"/>
    <w:rsid w:val="005F5CFA"/>
    <w:rsid w:val="006001AD"/>
    <w:rsid w:val="006005F4"/>
    <w:rsid w:val="00600A5F"/>
    <w:rsid w:val="00612328"/>
    <w:rsid w:val="006127B8"/>
    <w:rsid w:val="00613DA2"/>
    <w:rsid w:val="00621779"/>
    <w:rsid w:val="00622FAC"/>
    <w:rsid w:val="006230F5"/>
    <w:rsid w:val="00624504"/>
    <w:rsid w:val="00627741"/>
    <w:rsid w:val="0063701F"/>
    <w:rsid w:val="00644EDE"/>
    <w:rsid w:val="0064758C"/>
    <w:rsid w:val="00650FDC"/>
    <w:rsid w:val="00657558"/>
    <w:rsid w:val="006577D8"/>
    <w:rsid w:val="00673BA4"/>
    <w:rsid w:val="00673C52"/>
    <w:rsid w:val="00682106"/>
    <w:rsid w:val="0068234C"/>
    <w:rsid w:val="006910C8"/>
    <w:rsid w:val="006919FF"/>
    <w:rsid w:val="0069258C"/>
    <w:rsid w:val="00696C29"/>
    <w:rsid w:val="006B38B0"/>
    <w:rsid w:val="006B76E1"/>
    <w:rsid w:val="006C008D"/>
    <w:rsid w:val="006C285A"/>
    <w:rsid w:val="006C344E"/>
    <w:rsid w:val="006E27F8"/>
    <w:rsid w:val="006E2B6D"/>
    <w:rsid w:val="006E3DDC"/>
    <w:rsid w:val="006E6EF2"/>
    <w:rsid w:val="006F00D4"/>
    <w:rsid w:val="006F0AC8"/>
    <w:rsid w:val="006F3F34"/>
    <w:rsid w:val="006F44E4"/>
    <w:rsid w:val="006F4E8C"/>
    <w:rsid w:val="00703C5E"/>
    <w:rsid w:val="007047B7"/>
    <w:rsid w:val="00704877"/>
    <w:rsid w:val="0070498F"/>
    <w:rsid w:val="00705A23"/>
    <w:rsid w:val="00705F72"/>
    <w:rsid w:val="0070670E"/>
    <w:rsid w:val="00706ACB"/>
    <w:rsid w:val="00711825"/>
    <w:rsid w:val="0071393F"/>
    <w:rsid w:val="00713A82"/>
    <w:rsid w:val="007153AD"/>
    <w:rsid w:val="007271D6"/>
    <w:rsid w:val="0072721F"/>
    <w:rsid w:val="00732F35"/>
    <w:rsid w:val="00740968"/>
    <w:rsid w:val="00741721"/>
    <w:rsid w:val="007478FC"/>
    <w:rsid w:val="00753596"/>
    <w:rsid w:val="0076476D"/>
    <w:rsid w:val="00766BC9"/>
    <w:rsid w:val="00771758"/>
    <w:rsid w:val="0077436F"/>
    <w:rsid w:val="00776EC3"/>
    <w:rsid w:val="00782943"/>
    <w:rsid w:val="007848AB"/>
    <w:rsid w:val="00784A59"/>
    <w:rsid w:val="007853B5"/>
    <w:rsid w:val="007966BF"/>
    <w:rsid w:val="00797788"/>
    <w:rsid w:val="007A010E"/>
    <w:rsid w:val="007A190A"/>
    <w:rsid w:val="007A5ABF"/>
    <w:rsid w:val="007A6532"/>
    <w:rsid w:val="007A6D51"/>
    <w:rsid w:val="007B0972"/>
    <w:rsid w:val="007B0DF6"/>
    <w:rsid w:val="007B2B77"/>
    <w:rsid w:val="007B6064"/>
    <w:rsid w:val="007C5463"/>
    <w:rsid w:val="007C609C"/>
    <w:rsid w:val="007C70AF"/>
    <w:rsid w:val="007D05B9"/>
    <w:rsid w:val="007D143D"/>
    <w:rsid w:val="007D3B7A"/>
    <w:rsid w:val="007D48ED"/>
    <w:rsid w:val="007D62A9"/>
    <w:rsid w:val="007E6004"/>
    <w:rsid w:val="007F04BE"/>
    <w:rsid w:val="007F2B91"/>
    <w:rsid w:val="007F6FDE"/>
    <w:rsid w:val="008036A3"/>
    <w:rsid w:val="00804728"/>
    <w:rsid w:val="00804E07"/>
    <w:rsid w:val="00805FB4"/>
    <w:rsid w:val="00805FCD"/>
    <w:rsid w:val="00807626"/>
    <w:rsid w:val="00807A75"/>
    <w:rsid w:val="00812B6D"/>
    <w:rsid w:val="00813040"/>
    <w:rsid w:val="008163F0"/>
    <w:rsid w:val="00816C72"/>
    <w:rsid w:val="00820311"/>
    <w:rsid w:val="0082246B"/>
    <w:rsid w:val="008256D3"/>
    <w:rsid w:val="00826833"/>
    <w:rsid w:val="008322A4"/>
    <w:rsid w:val="00841E3C"/>
    <w:rsid w:val="008430FE"/>
    <w:rsid w:val="00843877"/>
    <w:rsid w:val="00844FBE"/>
    <w:rsid w:val="00851389"/>
    <w:rsid w:val="008571FF"/>
    <w:rsid w:val="00857716"/>
    <w:rsid w:val="008615C0"/>
    <w:rsid w:val="00864E5E"/>
    <w:rsid w:val="008668E1"/>
    <w:rsid w:val="00866BB5"/>
    <w:rsid w:val="0086713F"/>
    <w:rsid w:val="00870155"/>
    <w:rsid w:val="00874B25"/>
    <w:rsid w:val="00876316"/>
    <w:rsid w:val="00877DC5"/>
    <w:rsid w:val="00880A93"/>
    <w:rsid w:val="0088249E"/>
    <w:rsid w:val="008906E9"/>
    <w:rsid w:val="0089182B"/>
    <w:rsid w:val="008962B4"/>
    <w:rsid w:val="00896CED"/>
    <w:rsid w:val="008B0F40"/>
    <w:rsid w:val="008B17C7"/>
    <w:rsid w:val="008B283D"/>
    <w:rsid w:val="008B32F6"/>
    <w:rsid w:val="008D27B9"/>
    <w:rsid w:val="008D2F8A"/>
    <w:rsid w:val="008E3581"/>
    <w:rsid w:val="008E6636"/>
    <w:rsid w:val="008E7713"/>
    <w:rsid w:val="008E7B94"/>
    <w:rsid w:val="008F6245"/>
    <w:rsid w:val="00906516"/>
    <w:rsid w:val="009079A5"/>
    <w:rsid w:val="009105C1"/>
    <w:rsid w:val="00911F3A"/>
    <w:rsid w:val="00912F99"/>
    <w:rsid w:val="0091304C"/>
    <w:rsid w:val="00915BA5"/>
    <w:rsid w:val="0093325B"/>
    <w:rsid w:val="00933619"/>
    <w:rsid w:val="00941A33"/>
    <w:rsid w:val="00941D54"/>
    <w:rsid w:val="00950E56"/>
    <w:rsid w:val="00951288"/>
    <w:rsid w:val="00954ADE"/>
    <w:rsid w:val="009568BA"/>
    <w:rsid w:val="00960417"/>
    <w:rsid w:val="00962392"/>
    <w:rsid w:val="009647D1"/>
    <w:rsid w:val="00964BBB"/>
    <w:rsid w:val="0096645F"/>
    <w:rsid w:val="009665E1"/>
    <w:rsid w:val="0097053C"/>
    <w:rsid w:val="0097157A"/>
    <w:rsid w:val="00976E43"/>
    <w:rsid w:val="00985810"/>
    <w:rsid w:val="00991819"/>
    <w:rsid w:val="009918FB"/>
    <w:rsid w:val="00992067"/>
    <w:rsid w:val="00994E47"/>
    <w:rsid w:val="0099547A"/>
    <w:rsid w:val="009A287E"/>
    <w:rsid w:val="009A423F"/>
    <w:rsid w:val="009A5297"/>
    <w:rsid w:val="009B01E8"/>
    <w:rsid w:val="009B1BA0"/>
    <w:rsid w:val="009C073F"/>
    <w:rsid w:val="009C1634"/>
    <w:rsid w:val="009C20DD"/>
    <w:rsid w:val="009C4448"/>
    <w:rsid w:val="009C547B"/>
    <w:rsid w:val="009C5AB4"/>
    <w:rsid w:val="009C5BD3"/>
    <w:rsid w:val="009C628D"/>
    <w:rsid w:val="009C7743"/>
    <w:rsid w:val="009D3BCB"/>
    <w:rsid w:val="009F1842"/>
    <w:rsid w:val="009F3B86"/>
    <w:rsid w:val="009F4AC1"/>
    <w:rsid w:val="00A00A3E"/>
    <w:rsid w:val="00A06441"/>
    <w:rsid w:val="00A07DDD"/>
    <w:rsid w:val="00A11638"/>
    <w:rsid w:val="00A12200"/>
    <w:rsid w:val="00A16341"/>
    <w:rsid w:val="00A16DB1"/>
    <w:rsid w:val="00A1744D"/>
    <w:rsid w:val="00A23A72"/>
    <w:rsid w:val="00A262DA"/>
    <w:rsid w:val="00A27A0F"/>
    <w:rsid w:val="00A45272"/>
    <w:rsid w:val="00A46445"/>
    <w:rsid w:val="00A46C70"/>
    <w:rsid w:val="00A47300"/>
    <w:rsid w:val="00A51360"/>
    <w:rsid w:val="00A5679B"/>
    <w:rsid w:val="00A71E14"/>
    <w:rsid w:val="00A72E01"/>
    <w:rsid w:val="00A73020"/>
    <w:rsid w:val="00A80B02"/>
    <w:rsid w:val="00A80D6E"/>
    <w:rsid w:val="00A83945"/>
    <w:rsid w:val="00A85D08"/>
    <w:rsid w:val="00A86204"/>
    <w:rsid w:val="00A90DDD"/>
    <w:rsid w:val="00A920BA"/>
    <w:rsid w:val="00A93940"/>
    <w:rsid w:val="00A95452"/>
    <w:rsid w:val="00A971F3"/>
    <w:rsid w:val="00A974AA"/>
    <w:rsid w:val="00A97580"/>
    <w:rsid w:val="00AA7AF9"/>
    <w:rsid w:val="00AA7B18"/>
    <w:rsid w:val="00AC449B"/>
    <w:rsid w:val="00AC5A7A"/>
    <w:rsid w:val="00AC5E42"/>
    <w:rsid w:val="00AC60C6"/>
    <w:rsid w:val="00AC7C1E"/>
    <w:rsid w:val="00AD1237"/>
    <w:rsid w:val="00AD7346"/>
    <w:rsid w:val="00AE12C7"/>
    <w:rsid w:val="00AE2B6B"/>
    <w:rsid w:val="00AE442E"/>
    <w:rsid w:val="00AE65E4"/>
    <w:rsid w:val="00AE66A4"/>
    <w:rsid w:val="00AE7FDD"/>
    <w:rsid w:val="00AF1F26"/>
    <w:rsid w:val="00AF447C"/>
    <w:rsid w:val="00AF5E7A"/>
    <w:rsid w:val="00AF64D8"/>
    <w:rsid w:val="00B012C9"/>
    <w:rsid w:val="00B04202"/>
    <w:rsid w:val="00B125A6"/>
    <w:rsid w:val="00B16DE2"/>
    <w:rsid w:val="00B17AF3"/>
    <w:rsid w:val="00B17EBE"/>
    <w:rsid w:val="00B2143E"/>
    <w:rsid w:val="00B2146A"/>
    <w:rsid w:val="00B2235F"/>
    <w:rsid w:val="00B239FE"/>
    <w:rsid w:val="00B24C21"/>
    <w:rsid w:val="00B262B2"/>
    <w:rsid w:val="00B31757"/>
    <w:rsid w:val="00B371C4"/>
    <w:rsid w:val="00B4057E"/>
    <w:rsid w:val="00B46090"/>
    <w:rsid w:val="00B501D6"/>
    <w:rsid w:val="00B518BE"/>
    <w:rsid w:val="00B62730"/>
    <w:rsid w:val="00B629B9"/>
    <w:rsid w:val="00B66C91"/>
    <w:rsid w:val="00B67050"/>
    <w:rsid w:val="00B734E6"/>
    <w:rsid w:val="00B73CFD"/>
    <w:rsid w:val="00B748C2"/>
    <w:rsid w:val="00B7511B"/>
    <w:rsid w:val="00B75411"/>
    <w:rsid w:val="00B76A2D"/>
    <w:rsid w:val="00B76BA4"/>
    <w:rsid w:val="00B80549"/>
    <w:rsid w:val="00B813C3"/>
    <w:rsid w:val="00B81B35"/>
    <w:rsid w:val="00B85DF9"/>
    <w:rsid w:val="00B85E2A"/>
    <w:rsid w:val="00B86322"/>
    <w:rsid w:val="00B93E7D"/>
    <w:rsid w:val="00BB0565"/>
    <w:rsid w:val="00BB49A2"/>
    <w:rsid w:val="00BB5AC2"/>
    <w:rsid w:val="00BB5BFA"/>
    <w:rsid w:val="00BB6DC3"/>
    <w:rsid w:val="00BB6FB8"/>
    <w:rsid w:val="00BC0F5E"/>
    <w:rsid w:val="00BC2526"/>
    <w:rsid w:val="00BC5CFD"/>
    <w:rsid w:val="00BC6E02"/>
    <w:rsid w:val="00BC7610"/>
    <w:rsid w:val="00BD2E15"/>
    <w:rsid w:val="00BE101F"/>
    <w:rsid w:val="00BF1798"/>
    <w:rsid w:val="00BF28F5"/>
    <w:rsid w:val="00BF2C4D"/>
    <w:rsid w:val="00BF3DB1"/>
    <w:rsid w:val="00BF6C55"/>
    <w:rsid w:val="00BF7305"/>
    <w:rsid w:val="00C00949"/>
    <w:rsid w:val="00C01C90"/>
    <w:rsid w:val="00C03732"/>
    <w:rsid w:val="00C0586C"/>
    <w:rsid w:val="00C05AF7"/>
    <w:rsid w:val="00C064D4"/>
    <w:rsid w:val="00C10277"/>
    <w:rsid w:val="00C11A89"/>
    <w:rsid w:val="00C12A1A"/>
    <w:rsid w:val="00C20B8E"/>
    <w:rsid w:val="00C22AC5"/>
    <w:rsid w:val="00C27BBB"/>
    <w:rsid w:val="00C339D8"/>
    <w:rsid w:val="00C376F7"/>
    <w:rsid w:val="00C37FDC"/>
    <w:rsid w:val="00C43CCB"/>
    <w:rsid w:val="00C44870"/>
    <w:rsid w:val="00C4546B"/>
    <w:rsid w:val="00C50AA2"/>
    <w:rsid w:val="00C52E83"/>
    <w:rsid w:val="00C5538B"/>
    <w:rsid w:val="00C70C26"/>
    <w:rsid w:val="00C717BF"/>
    <w:rsid w:val="00C7339E"/>
    <w:rsid w:val="00C770F6"/>
    <w:rsid w:val="00C80EF7"/>
    <w:rsid w:val="00C906B0"/>
    <w:rsid w:val="00C93DC7"/>
    <w:rsid w:val="00C94FA8"/>
    <w:rsid w:val="00CA110E"/>
    <w:rsid w:val="00CA247C"/>
    <w:rsid w:val="00CA79F6"/>
    <w:rsid w:val="00CC0732"/>
    <w:rsid w:val="00CC2EFC"/>
    <w:rsid w:val="00CC2F04"/>
    <w:rsid w:val="00CD3F00"/>
    <w:rsid w:val="00CD6869"/>
    <w:rsid w:val="00CD77B9"/>
    <w:rsid w:val="00CE0BB5"/>
    <w:rsid w:val="00CE6CFF"/>
    <w:rsid w:val="00CE6FE4"/>
    <w:rsid w:val="00CE7267"/>
    <w:rsid w:val="00CE7AC1"/>
    <w:rsid w:val="00CF17F8"/>
    <w:rsid w:val="00CF249D"/>
    <w:rsid w:val="00D05351"/>
    <w:rsid w:val="00D0547D"/>
    <w:rsid w:val="00D07216"/>
    <w:rsid w:val="00D11652"/>
    <w:rsid w:val="00D20C3F"/>
    <w:rsid w:val="00D25C53"/>
    <w:rsid w:val="00D30875"/>
    <w:rsid w:val="00D329F5"/>
    <w:rsid w:val="00D34E3D"/>
    <w:rsid w:val="00D45696"/>
    <w:rsid w:val="00D4641D"/>
    <w:rsid w:val="00D465D4"/>
    <w:rsid w:val="00D466F0"/>
    <w:rsid w:val="00D509DF"/>
    <w:rsid w:val="00D526CE"/>
    <w:rsid w:val="00D6391F"/>
    <w:rsid w:val="00D6438C"/>
    <w:rsid w:val="00D655A4"/>
    <w:rsid w:val="00D67554"/>
    <w:rsid w:val="00D675E1"/>
    <w:rsid w:val="00D709F0"/>
    <w:rsid w:val="00D720D2"/>
    <w:rsid w:val="00D734B3"/>
    <w:rsid w:val="00D87EA8"/>
    <w:rsid w:val="00D977E8"/>
    <w:rsid w:val="00DA141D"/>
    <w:rsid w:val="00DA1B8E"/>
    <w:rsid w:val="00DA48EF"/>
    <w:rsid w:val="00DA56F1"/>
    <w:rsid w:val="00DA60C0"/>
    <w:rsid w:val="00DB25FA"/>
    <w:rsid w:val="00DD3766"/>
    <w:rsid w:val="00DD3997"/>
    <w:rsid w:val="00DD3DBC"/>
    <w:rsid w:val="00DD6050"/>
    <w:rsid w:val="00DD7C37"/>
    <w:rsid w:val="00DE154B"/>
    <w:rsid w:val="00DE188C"/>
    <w:rsid w:val="00DE6889"/>
    <w:rsid w:val="00DE7310"/>
    <w:rsid w:val="00DE73D9"/>
    <w:rsid w:val="00DE7704"/>
    <w:rsid w:val="00DF03A8"/>
    <w:rsid w:val="00DF0AC8"/>
    <w:rsid w:val="00DF3A95"/>
    <w:rsid w:val="00DF4958"/>
    <w:rsid w:val="00DF4EC9"/>
    <w:rsid w:val="00DF663F"/>
    <w:rsid w:val="00E01F5A"/>
    <w:rsid w:val="00E0250D"/>
    <w:rsid w:val="00E0571A"/>
    <w:rsid w:val="00E05893"/>
    <w:rsid w:val="00E07DB3"/>
    <w:rsid w:val="00E119BD"/>
    <w:rsid w:val="00E124C3"/>
    <w:rsid w:val="00E12B7B"/>
    <w:rsid w:val="00E14D86"/>
    <w:rsid w:val="00E15B1B"/>
    <w:rsid w:val="00E27F1F"/>
    <w:rsid w:val="00E3200A"/>
    <w:rsid w:val="00E35F55"/>
    <w:rsid w:val="00E37101"/>
    <w:rsid w:val="00E4484F"/>
    <w:rsid w:val="00E45D2A"/>
    <w:rsid w:val="00E47037"/>
    <w:rsid w:val="00E50922"/>
    <w:rsid w:val="00E567BB"/>
    <w:rsid w:val="00E60F52"/>
    <w:rsid w:val="00E62BC8"/>
    <w:rsid w:val="00E726CD"/>
    <w:rsid w:val="00E7461B"/>
    <w:rsid w:val="00E77941"/>
    <w:rsid w:val="00E843CC"/>
    <w:rsid w:val="00E84870"/>
    <w:rsid w:val="00E85E06"/>
    <w:rsid w:val="00E86D82"/>
    <w:rsid w:val="00E9016A"/>
    <w:rsid w:val="00E9045E"/>
    <w:rsid w:val="00E92EFF"/>
    <w:rsid w:val="00E93607"/>
    <w:rsid w:val="00E94CEB"/>
    <w:rsid w:val="00EA450D"/>
    <w:rsid w:val="00EA61A2"/>
    <w:rsid w:val="00EA66CA"/>
    <w:rsid w:val="00EA6978"/>
    <w:rsid w:val="00EA7646"/>
    <w:rsid w:val="00EB16F9"/>
    <w:rsid w:val="00EB1AAB"/>
    <w:rsid w:val="00EB7AAF"/>
    <w:rsid w:val="00EC4311"/>
    <w:rsid w:val="00EC6129"/>
    <w:rsid w:val="00ED467E"/>
    <w:rsid w:val="00EE2AA7"/>
    <w:rsid w:val="00EE67AD"/>
    <w:rsid w:val="00EF0F5B"/>
    <w:rsid w:val="00EF18FD"/>
    <w:rsid w:val="00EF1F54"/>
    <w:rsid w:val="00EF2771"/>
    <w:rsid w:val="00EF6B56"/>
    <w:rsid w:val="00EF6E31"/>
    <w:rsid w:val="00EF74F9"/>
    <w:rsid w:val="00F233B1"/>
    <w:rsid w:val="00F23501"/>
    <w:rsid w:val="00F25005"/>
    <w:rsid w:val="00F252F6"/>
    <w:rsid w:val="00F25FA9"/>
    <w:rsid w:val="00F30A9A"/>
    <w:rsid w:val="00F443AD"/>
    <w:rsid w:val="00F44BAB"/>
    <w:rsid w:val="00F4596B"/>
    <w:rsid w:val="00F5040D"/>
    <w:rsid w:val="00F50DD0"/>
    <w:rsid w:val="00F52270"/>
    <w:rsid w:val="00F536A1"/>
    <w:rsid w:val="00F544CD"/>
    <w:rsid w:val="00F5726E"/>
    <w:rsid w:val="00F6226D"/>
    <w:rsid w:val="00F652F9"/>
    <w:rsid w:val="00F65AB3"/>
    <w:rsid w:val="00F74767"/>
    <w:rsid w:val="00F74AB0"/>
    <w:rsid w:val="00F75FD3"/>
    <w:rsid w:val="00F76254"/>
    <w:rsid w:val="00F816AE"/>
    <w:rsid w:val="00F85EE8"/>
    <w:rsid w:val="00F86555"/>
    <w:rsid w:val="00F97997"/>
    <w:rsid w:val="00F97FDF"/>
    <w:rsid w:val="00FA0610"/>
    <w:rsid w:val="00FA4F75"/>
    <w:rsid w:val="00FA59BF"/>
    <w:rsid w:val="00FA7A50"/>
    <w:rsid w:val="00FB0005"/>
    <w:rsid w:val="00FB1FB8"/>
    <w:rsid w:val="00FB7367"/>
    <w:rsid w:val="00FC1C66"/>
    <w:rsid w:val="00FC49BE"/>
    <w:rsid w:val="00FC5942"/>
    <w:rsid w:val="00FC6B03"/>
    <w:rsid w:val="00FC7296"/>
    <w:rsid w:val="00FD3DB8"/>
    <w:rsid w:val="00FD68E8"/>
    <w:rsid w:val="00FE0FE1"/>
    <w:rsid w:val="00FE24B1"/>
    <w:rsid w:val="00FE360E"/>
    <w:rsid w:val="00FE443B"/>
    <w:rsid w:val="00FE5A86"/>
    <w:rsid w:val="00FE7B6F"/>
    <w:rsid w:val="00FF1045"/>
    <w:rsid w:val="00FF11FB"/>
    <w:rsid w:val="00FF18EB"/>
    <w:rsid w:val="00FF6E32"/>
    <w:rsid w:val="00FF71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95077"/>
  <w15:docId w15:val="{76F85026-C53C-4994-837A-998E926E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nhideWhenUsed/>
    <w:qFormat/>
    <w:rsid w:val="00085451"/>
    <w:pPr>
      <w:keepNext/>
      <w:keepLines/>
      <w:spacing w:after="120"/>
      <w:ind w:left="709" w:hanging="709"/>
      <w:outlineLvl w:val="1"/>
    </w:pPr>
    <w:rPr>
      <w:rFonts w:ascii="Arial" w:eastAsiaTheme="majorEastAsia" w:hAnsi="Arial" w:cstheme="majorBidi"/>
      <w:b/>
      <w:bCs/>
      <w:sz w:val="22"/>
      <w:szCs w:val="26"/>
      <w:lang w:eastAsia="en-US"/>
    </w:rPr>
  </w:style>
  <w:style w:type="paragraph" w:styleId="Heading3">
    <w:name w:val="heading 3"/>
    <w:basedOn w:val="Normal"/>
    <w:next w:val="Normal"/>
    <w:link w:val="Heading3Char"/>
    <w:unhideWhenUsed/>
    <w:qFormat/>
    <w:rsid w:val="00AF447C"/>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qFormat/>
    <w:rsid w:val="000E0270"/>
    <w:pPr>
      <w:spacing w:before="100" w:beforeAutospacing="1" w:after="100" w:afterAutospacing="1"/>
      <w:outlineLvl w:val="4"/>
    </w:pPr>
    <w:rPr>
      <w:rFonts w:ascii="Arial" w:hAnsi="Arial" w:cs="Arial"/>
      <w:b/>
      <w:bCs/>
      <w:color w:val="0033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1078"/>
    <w:pPr>
      <w:tabs>
        <w:tab w:val="center" w:pos="4153"/>
        <w:tab w:val="right" w:pos="8306"/>
      </w:tabs>
    </w:pPr>
  </w:style>
  <w:style w:type="paragraph" w:styleId="Footer">
    <w:name w:val="footer"/>
    <w:basedOn w:val="Normal"/>
    <w:rsid w:val="000A1078"/>
    <w:pPr>
      <w:tabs>
        <w:tab w:val="center" w:pos="4153"/>
        <w:tab w:val="right" w:pos="8306"/>
      </w:tabs>
    </w:pPr>
  </w:style>
  <w:style w:type="table" w:styleId="TableGrid">
    <w:name w:val="Table Grid"/>
    <w:basedOn w:val="TableNormal"/>
    <w:rsid w:val="00184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E0270"/>
    <w:rPr>
      <w:color w:val="0000EE"/>
      <w:u w:val="single"/>
    </w:rPr>
  </w:style>
  <w:style w:type="paragraph" w:styleId="NormalWeb">
    <w:name w:val="Normal (Web)"/>
    <w:basedOn w:val="Normal"/>
    <w:rsid w:val="000E0270"/>
    <w:pPr>
      <w:spacing w:before="100" w:beforeAutospacing="1" w:after="100" w:afterAutospacing="1"/>
    </w:pPr>
    <w:rPr>
      <w:rFonts w:ascii="Arial" w:hAnsi="Arial" w:cs="Arial"/>
      <w:color w:val="000000"/>
      <w:sz w:val="20"/>
      <w:szCs w:val="20"/>
    </w:rPr>
  </w:style>
  <w:style w:type="paragraph" w:styleId="FootnoteText">
    <w:name w:val="footnote text"/>
    <w:basedOn w:val="Normal"/>
    <w:semiHidden/>
    <w:rsid w:val="00FF6E32"/>
    <w:rPr>
      <w:sz w:val="20"/>
      <w:szCs w:val="20"/>
    </w:rPr>
  </w:style>
  <w:style w:type="character" w:styleId="FootnoteReference">
    <w:name w:val="footnote reference"/>
    <w:basedOn w:val="DefaultParagraphFont"/>
    <w:semiHidden/>
    <w:rsid w:val="00FF6E32"/>
    <w:rPr>
      <w:vertAlign w:val="superscript"/>
    </w:rPr>
  </w:style>
  <w:style w:type="paragraph" w:styleId="BalloonText">
    <w:name w:val="Balloon Text"/>
    <w:basedOn w:val="Normal"/>
    <w:semiHidden/>
    <w:rsid w:val="00DD3997"/>
    <w:rPr>
      <w:rFonts w:ascii="Tahoma" w:hAnsi="Tahoma" w:cs="Tahoma"/>
      <w:sz w:val="16"/>
      <w:szCs w:val="16"/>
    </w:rPr>
  </w:style>
  <w:style w:type="character" w:styleId="CommentReference">
    <w:name w:val="annotation reference"/>
    <w:basedOn w:val="DefaultParagraphFont"/>
    <w:semiHidden/>
    <w:rsid w:val="000B2C32"/>
    <w:rPr>
      <w:sz w:val="16"/>
      <w:szCs w:val="16"/>
    </w:rPr>
  </w:style>
  <w:style w:type="paragraph" w:styleId="CommentText">
    <w:name w:val="annotation text"/>
    <w:basedOn w:val="Normal"/>
    <w:semiHidden/>
    <w:rsid w:val="000B2C32"/>
    <w:rPr>
      <w:sz w:val="20"/>
      <w:szCs w:val="20"/>
    </w:rPr>
  </w:style>
  <w:style w:type="paragraph" w:styleId="CommentSubject">
    <w:name w:val="annotation subject"/>
    <w:basedOn w:val="CommentText"/>
    <w:next w:val="CommentText"/>
    <w:semiHidden/>
    <w:rsid w:val="000B2C32"/>
    <w:rPr>
      <w:b/>
      <w:bCs/>
    </w:rPr>
  </w:style>
  <w:style w:type="paragraph" w:styleId="ListParagraph">
    <w:name w:val="List Paragraph"/>
    <w:basedOn w:val="Normal"/>
    <w:uiPriority w:val="34"/>
    <w:qFormat/>
    <w:rsid w:val="00B813C3"/>
    <w:pPr>
      <w:ind w:left="720"/>
      <w:contextualSpacing/>
    </w:pPr>
  </w:style>
  <w:style w:type="character" w:customStyle="1" w:styleId="Heading2Char">
    <w:name w:val="Heading 2 Char"/>
    <w:basedOn w:val="DefaultParagraphFont"/>
    <w:link w:val="Heading2"/>
    <w:rsid w:val="00085451"/>
    <w:rPr>
      <w:rFonts w:ascii="Arial" w:eastAsiaTheme="majorEastAsia" w:hAnsi="Arial" w:cstheme="majorBidi"/>
      <w:b/>
      <w:bCs/>
      <w:sz w:val="22"/>
      <w:szCs w:val="26"/>
      <w:lang w:eastAsia="en-US"/>
    </w:rPr>
  </w:style>
  <w:style w:type="character" w:customStyle="1" w:styleId="Heading3Char">
    <w:name w:val="Heading 3 Char"/>
    <w:basedOn w:val="DefaultParagraphFont"/>
    <w:link w:val="Heading3"/>
    <w:rsid w:val="00AF447C"/>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7A65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065044">
      <w:bodyDiv w:val="1"/>
      <w:marLeft w:val="75"/>
      <w:marRight w:val="75"/>
      <w:marTop w:val="75"/>
      <w:marBottom w:val="75"/>
      <w:divBdr>
        <w:top w:val="none" w:sz="0" w:space="0" w:color="auto"/>
        <w:left w:val="none" w:sz="0" w:space="0" w:color="auto"/>
        <w:bottom w:val="none" w:sz="0" w:space="0" w:color="auto"/>
        <w:right w:val="none" w:sz="0" w:space="0" w:color="auto"/>
      </w:divBdr>
      <w:divsChild>
        <w:div w:id="561600509">
          <w:blockQuote w:val="1"/>
          <w:marLeft w:val="750"/>
          <w:marRight w:val="750"/>
          <w:marTop w:val="100"/>
          <w:marBottom w:val="100"/>
          <w:divBdr>
            <w:top w:val="none" w:sz="0" w:space="0" w:color="auto"/>
            <w:left w:val="none" w:sz="0" w:space="0" w:color="auto"/>
            <w:bottom w:val="none" w:sz="0" w:space="0" w:color="auto"/>
            <w:right w:val="none" w:sz="0" w:space="0" w:color="auto"/>
          </w:divBdr>
        </w:div>
        <w:div w:id="1061295538">
          <w:blockQuote w:val="1"/>
          <w:marLeft w:val="750"/>
          <w:marRight w:val="750"/>
          <w:marTop w:val="100"/>
          <w:marBottom w:val="100"/>
          <w:divBdr>
            <w:top w:val="none" w:sz="0" w:space="0" w:color="auto"/>
            <w:left w:val="none" w:sz="0" w:space="0" w:color="auto"/>
            <w:bottom w:val="none" w:sz="0" w:space="0" w:color="auto"/>
            <w:right w:val="none" w:sz="0" w:space="0" w:color="auto"/>
          </w:divBdr>
        </w:div>
        <w:div w:id="1280334708">
          <w:blockQuote w:val="1"/>
          <w:marLeft w:val="750"/>
          <w:marRight w:val="750"/>
          <w:marTop w:val="100"/>
          <w:marBottom w:val="100"/>
          <w:divBdr>
            <w:top w:val="none" w:sz="0" w:space="0" w:color="auto"/>
            <w:left w:val="none" w:sz="0" w:space="0" w:color="auto"/>
            <w:bottom w:val="none" w:sz="0" w:space="0" w:color="auto"/>
            <w:right w:val="none" w:sz="0" w:space="0" w:color="auto"/>
          </w:divBdr>
        </w:div>
        <w:div w:id="1633555215">
          <w:blockQuote w:val="1"/>
          <w:marLeft w:val="750"/>
          <w:marRight w:val="750"/>
          <w:marTop w:val="100"/>
          <w:marBottom w:val="100"/>
          <w:divBdr>
            <w:top w:val="none" w:sz="0" w:space="0" w:color="auto"/>
            <w:left w:val="none" w:sz="0" w:space="0" w:color="auto"/>
            <w:bottom w:val="none" w:sz="0" w:space="0" w:color="auto"/>
            <w:right w:val="none" w:sz="0" w:space="0" w:color="auto"/>
          </w:divBdr>
        </w:div>
        <w:div w:id="1727409488">
          <w:blockQuote w:val="1"/>
          <w:marLeft w:val="750"/>
          <w:marRight w:val="750"/>
          <w:marTop w:val="100"/>
          <w:marBottom w:val="100"/>
          <w:divBdr>
            <w:top w:val="none" w:sz="0" w:space="0" w:color="auto"/>
            <w:left w:val="none" w:sz="0" w:space="0" w:color="auto"/>
            <w:bottom w:val="none" w:sz="0" w:space="0" w:color="auto"/>
            <w:right w:val="none" w:sz="0" w:space="0" w:color="auto"/>
          </w:divBdr>
        </w:div>
      </w:divsChild>
    </w:div>
    <w:div w:id="1043796840">
      <w:bodyDiv w:val="1"/>
      <w:marLeft w:val="75"/>
      <w:marRight w:val="75"/>
      <w:marTop w:val="75"/>
      <w:marBottom w:val="75"/>
      <w:divBdr>
        <w:top w:val="none" w:sz="0" w:space="0" w:color="auto"/>
        <w:left w:val="none" w:sz="0" w:space="0" w:color="auto"/>
        <w:bottom w:val="none" w:sz="0" w:space="0" w:color="auto"/>
        <w:right w:val="none" w:sz="0" w:space="0" w:color="auto"/>
      </w:divBdr>
      <w:divsChild>
        <w:div w:id="120657156">
          <w:blockQuote w:val="1"/>
          <w:marLeft w:val="750"/>
          <w:marRight w:val="750"/>
          <w:marTop w:val="100"/>
          <w:marBottom w:val="100"/>
          <w:divBdr>
            <w:top w:val="none" w:sz="0" w:space="0" w:color="auto"/>
            <w:left w:val="none" w:sz="0" w:space="0" w:color="auto"/>
            <w:bottom w:val="none" w:sz="0" w:space="0" w:color="auto"/>
            <w:right w:val="none" w:sz="0" w:space="0" w:color="auto"/>
          </w:divBdr>
        </w:div>
        <w:div w:id="1219437675">
          <w:blockQuote w:val="1"/>
          <w:marLeft w:val="750"/>
          <w:marRight w:val="750"/>
          <w:marTop w:val="100"/>
          <w:marBottom w:val="100"/>
          <w:divBdr>
            <w:top w:val="none" w:sz="0" w:space="0" w:color="auto"/>
            <w:left w:val="none" w:sz="0" w:space="0" w:color="auto"/>
            <w:bottom w:val="none" w:sz="0" w:space="0" w:color="auto"/>
            <w:right w:val="none" w:sz="0" w:space="0" w:color="auto"/>
          </w:divBdr>
        </w:div>
      </w:divsChild>
    </w:div>
    <w:div w:id="1570189766">
      <w:bodyDiv w:val="1"/>
      <w:marLeft w:val="75"/>
      <w:marRight w:val="75"/>
      <w:marTop w:val="75"/>
      <w:marBottom w:val="75"/>
      <w:divBdr>
        <w:top w:val="none" w:sz="0" w:space="0" w:color="auto"/>
        <w:left w:val="none" w:sz="0" w:space="0" w:color="auto"/>
        <w:bottom w:val="none" w:sz="0" w:space="0" w:color="auto"/>
        <w:right w:val="none" w:sz="0" w:space="0" w:color="auto"/>
      </w:divBdr>
      <w:divsChild>
        <w:div w:id="599607574">
          <w:blockQuote w:val="1"/>
          <w:marLeft w:val="750"/>
          <w:marRight w:val="750"/>
          <w:marTop w:val="100"/>
          <w:marBottom w:val="100"/>
          <w:divBdr>
            <w:top w:val="none" w:sz="0" w:space="0" w:color="auto"/>
            <w:left w:val="none" w:sz="0" w:space="0" w:color="auto"/>
            <w:bottom w:val="none" w:sz="0" w:space="0" w:color="auto"/>
            <w:right w:val="none" w:sz="0" w:space="0" w:color="auto"/>
          </w:divBdr>
        </w:div>
        <w:div w:id="868951037">
          <w:blockQuote w:val="1"/>
          <w:marLeft w:val="750"/>
          <w:marRight w:val="750"/>
          <w:marTop w:val="100"/>
          <w:marBottom w:val="100"/>
          <w:divBdr>
            <w:top w:val="none" w:sz="0" w:space="0" w:color="auto"/>
            <w:left w:val="none" w:sz="0" w:space="0" w:color="auto"/>
            <w:bottom w:val="none" w:sz="0" w:space="0" w:color="auto"/>
            <w:right w:val="none" w:sz="0" w:space="0" w:color="auto"/>
          </w:divBdr>
        </w:div>
      </w:divsChild>
    </w:div>
    <w:div w:id="1598053774">
      <w:bodyDiv w:val="1"/>
      <w:marLeft w:val="75"/>
      <w:marRight w:val="75"/>
      <w:marTop w:val="75"/>
      <w:marBottom w:val="75"/>
      <w:divBdr>
        <w:top w:val="none" w:sz="0" w:space="0" w:color="auto"/>
        <w:left w:val="none" w:sz="0" w:space="0" w:color="auto"/>
        <w:bottom w:val="none" w:sz="0" w:space="0" w:color="auto"/>
        <w:right w:val="none" w:sz="0" w:space="0" w:color="auto"/>
      </w:divBdr>
      <w:divsChild>
        <w:div w:id="1513493805">
          <w:blockQuote w:val="1"/>
          <w:marLeft w:val="750"/>
          <w:marRight w:val="750"/>
          <w:marTop w:val="100"/>
          <w:marBottom w:val="100"/>
          <w:divBdr>
            <w:top w:val="none" w:sz="0" w:space="0" w:color="auto"/>
            <w:left w:val="none" w:sz="0" w:space="0" w:color="auto"/>
            <w:bottom w:val="none" w:sz="0" w:space="0" w:color="auto"/>
            <w:right w:val="none" w:sz="0" w:space="0" w:color="auto"/>
          </w:divBdr>
        </w:div>
        <w:div w:id="1869563057">
          <w:blockQuote w:val="1"/>
          <w:marLeft w:val="750"/>
          <w:marRight w:val="750"/>
          <w:marTop w:val="100"/>
          <w:marBottom w:val="100"/>
          <w:divBdr>
            <w:top w:val="none" w:sz="0" w:space="0" w:color="auto"/>
            <w:left w:val="none" w:sz="0" w:space="0" w:color="auto"/>
            <w:bottom w:val="none" w:sz="0" w:space="0" w:color="auto"/>
            <w:right w:val="none" w:sz="0" w:space="0" w:color="auto"/>
          </w:divBdr>
        </w:div>
      </w:divsChild>
    </w:div>
    <w:div w:id="1788507813">
      <w:bodyDiv w:val="1"/>
      <w:marLeft w:val="75"/>
      <w:marRight w:val="75"/>
      <w:marTop w:val="75"/>
      <w:marBottom w:val="75"/>
      <w:divBdr>
        <w:top w:val="none" w:sz="0" w:space="0" w:color="auto"/>
        <w:left w:val="none" w:sz="0" w:space="0" w:color="auto"/>
        <w:bottom w:val="none" w:sz="0" w:space="0" w:color="auto"/>
        <w:right w:val="none" w:sz="0" w:space="0" w:color="auto"/>
      </w:divBdr>
      <w:divsChild>
        <w:div w:id="321586186">
          <w:blockQuote w:val="1"/>
          <w:marLeft w:val="750"/>
          <w:marRight w:val="750"/>
          <w:marTop w:val="100"/>
          <w:marBottom w:val="100"/>
          <w:divBdr>
            <w:top w:val="none" w:sz="0" w:space="0" w:color="auto"/>
            <w:left w:val="none" w:sz="0" w:space="0" w:color="auto"/>
            <w:bottom w:val="none" w:sz="0" w:space="0" w:color="auto"/>
            <w:right w:val="none" w:sz="0" w:space="0" w:color="auto"/>
          </w:divBdr>
        </w:div>
        <w:div w:id="1552962943">
          <w:blockQuote w:val="1"/>
          <w:marLeft w:val="750"/>
          <w:marRight w:val="75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n1a6d2b88979416cad2cc3ecb331e44a xmlns="5e039acd-daf0-4ba3-b421-e9b9ae1a362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1bbb598d-ed8e-4faa-b9b5-c952cc7313f8</TermId>
        </TermInfo>
      </Terms>
    </n1a6d2b88979416cad2cc3ecb331e44a>
    <TaxCatchAll xmlns="5e039acd-daf0-4ba3-b421-e9b9ae1a3620">
      <Value>1</Value>
    </TaxCatchAll>
    <_dlc_ExpireDateSaved xmlns="http://schemas.microsoft.com/sharepoint/v3" xsi:nil="true"/>
    <_dlc_ExpireDate xmlns="http://schemas.microsoft.com/sharepoint/v3">2029-11-18T03:59:22+00:00</_dlc_ExpireDate>
    <_dlc_DocId xmlns="5e039acd-daf0-4ba3-b421-e9b9ae1a3620">5YHNKJZSV77T-4592-134</_dlc_DocId>
    <_dlc_DocIdUrl xmlns="5e039acd-daf0-4ba3-b421-e9b9ae1a3620">
      <Url>http://sharepoint/GASites/IntegratedTaxDesign/_layouts/DocIdRedir.aspx?ID=5YHNKJZSV77T-4592-134</Url>
      <Description>5YHNKJZSV77T-4592-134</Description>
    </_dlc_DocIdUrl>
    <IconOverlay xmlns="http://schemas.microsoft.com/sharepoint/v4" xsi:nil="true"/>
  </documentManagement>
</p:properties>
</file>

<file path=customXml/item2.xml><?xml version="1.0" encoding="utf-8"?>
<?mso-contentType ?>
<customXsn xmlns="http://schemas.microsoft.com/office/2006/metadata/customXsn">
  <xsnLocation/>
  <cached>True</cached>
  <openByDefault>False</openByDefault>
  <xsnScope>http://sharepoint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Word" ma:contentTypeID="0x010100A64679C44DADA04984EEB770C4791873007BD0EFB1C6747B4B9EC02DDEC29D0594" ma:contentTypeVersion="26" ma:contentTypeDescription="" ma:contentTypeScope="" ma:versionID="f3f6701e7a232edbe75d36f5a87a4b0b">
  <xsd:schema xmlns:xsd="http://www.w3.org/2001/XMLSchema" xmlns:xs="http://www.w3.org/2001/XMLSchema" xmlns:p="http://schemas.microsoft.com/office/2006/metadata/properties" xmlns:ns1="http://schemas.microsoft.com/sharepoint/v3" xmlns:ns2="5e039acd-daf0-4ba3-b421-e9b9ae1a3620" xmlns:ns3="http://schemas.microsoft.com/sharepoint/v4" targetNamespace="http://schemas.microsoft.com/office/2006/metadata/properties" ma:root="true" ma:fieldsID="a5c15c44f7af975d1a23793aad575c29" ns1:_="" ns2:_="" ns3:_="">
    <xsd:import namespace="http://schemas.microsoft.com/sharepoint/v3"/>
    <xsd:import namespace="5e039acd-daf0-4ba3-b421-e9b9ae1a362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n1a6d2b88979416cad2cc3ecb331e44a" minOccurs="0"/>
                <xsd:element ref="ns2:TaxCatchAll" minOccurs="0"/>
                <xsd:element ref="ns2:TaxCatchAllLabel" minOccurs="0"/>
                <xsd:element ref="ns1:_dlc_Exempt" minOccurs="0"/>
                <xsd:element ref="ns1:_dlc_ExpireDateSaved" minOccurs="0"/>
                <xsd:element ref="ns1:_dlc_ExpireDate"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element name="_dlc_ExpireDateSaved" ma:index="16" nillable="true" ma:displayName="Original Expiration Date" ma:hidden="true" ma:internalName="_dlc_ExpireDateSaved" ma:readOnly="true">
      <xsd:simpleType>
        <xsd:restriction base="dms:DateTime"/>
      </xsd:simpleType>
    </xsd:element>
    <xsd:element name="_dlc_ExpireDate" ma:index="1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039acd-daf0-4ba3-b421-e9b9ae1a36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1a6d2b88979416cad2cc3ecb331e44a" ma:index="11" ma:taxonomy="true" ma:internalName="n1a6d2b88979416cad2cc3ecb331e44a" ma:taxonomyFieldName="Security_x0020_Classification" ma:displayName="Security Classification" ma:readOnly="false" ma:default="1;#UNCLASSIFIED|1bbb598d-ed8e-4faa-b9b5-c952cc7313f8" ma:fieldId="{71a6d2b8-8979-416c-ad2c-c3ecb331e44a}" ma:sspId="552124a6-5639-4054-9398-f49b47b0070b" ma:termSetId="01e0d8d2-6959-4708-b4cf-d9f24a977c8f"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ec2003f9-3252-44e8-804f-d5d14dd81ab1}" ma:internalName="TaxCatchAll" ma:showField="CatchAllData" ma:web="5e039acd-daf0-4ba3-b421-e9b9ae1a362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ec2003f9-3252-44e8-804f-d5d14dd81ab1}" ma:internalName="TaxCatchAllLabel" ma:readOnly="true" ma:showField="CatchAllDataLabel" ma:web="5e039acd-daf0-4ba3-b421-e9b9ae1a36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Word</p:Name>
  <p:Description/>
  <p:Statement/>
  <p:PolicyItems>
    <p:PolicyItem featureId="Microsoft.Office.RecordsManagement.PolicyFeatures.Expiration" staticId="0x010100A64679C44DADA04984EEB770C4791873|1060299444" UniqueId="4cb30c36-7391-4ddd-ab56-a47c5a5217a7">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10</number>
                  <property>Modified</property>
                  <propertyId>28cf69c5-fa48-462a-b5cd-27b6f9d2bd5f</propertyId>
                  <period>years</period>
                </formula>
                <action type="action" id="Microsoft.Office.RecordsManagement.PolicyFeatures.Expiration.Action.Delete"/>
              </data>
            </stages>
          </Schedule>
        </Schedules>
      </p:CustomData>
    </p:PolicyItem>
  </p:PolicyItems>
</p:Policy>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81C95-3F46-4952-92B3-0BA2FA1D6B70}">
  <ds:schemaRefs>
    <ds:schemaRef ds:uri="http://purl.org/dc/terms/"/>
    <ds:schemaRef ds:uri="http://schemas.microsoft.com/sharepoint/v4"/>
    <ds:schemaRef ds:uri="http://purl.org/dc/elements/1.1/"/>
    <ds:schemaRef ds:uri="http://schemas.microsoft.com/sharepoint/v3"/>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5e039acd-daf0-4ba3-b421-e9b9ae1a3620"/>
    <ds:schemaRef ds:uri="http://purl.org/dc/dcmitype/"/>
  </ds:schemaRefs>
</ds:datastoreItem>
</file>

<file path=customXml/itemProps2.xml><?xml version="1.0" encoding="utf-8"?>
<ds:datastoreItem xmlns:ds="http://schemas.openxmlformats.org/officeDocument/2006/customXml" ds:itemID="{D9DB4F9E-335A-4DF4-BB68-89D895A5AE71}">
  <ds:schemaRefs>
    <ds:schemaRef ds:uri="http://schemas.microsoft.com/office/2006/metadata/customXsn"/>
  </ds:schemaRefs>
</ds:datastoreItem>
</file>

<file path=customXml/itemProps3.xml><?xml version="1.0" encoding="utf-8"?>
<ds:datastoreItem xmlns:ds="http://schemas.openxmlformats.org/officeDocument/2006/customXml" ds:itemID="{163F110F-FA99-4237-9A4A-99196E18015A}">
  <ds:schemaRefs>
    <ds:schemaRef ds:uri="http://schemas.microsoft.com/sharepoint/events"/>
  </ds:schemaRefs>
</ds:datastoreItem>
</file>

<file path=customXml/itemProps4.xml><?xml version="1.0" encoding="utf-8"?>
<ds:datastoreItem xmlns:ds="http://schemas.openxmlformats.org/officeDocument/2006/customXml" ds:itemID="{C1C75D97-9B04-4C12-B614-6A89CF432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039acd-daf0-4ba3-b421-e9b9ae1a362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0B1822-6B19-467B-841B-2A287328ADEF}">
  <ds:schemaRefs>
    <ds:schemaRef ds:uri="http://schemas.microsoft.com/sharepoint/v3/contenttype/forms"/>
  </ds:schemaRefs>
</ds:datastoreItem>
</file>

<file path=customXml/itemProps6.xml><?xml version="1.0" encoding="utf-8"?>
<ds:datastoreItem xmlns:ds="http://schemas.openxmlformats.org/officeDocument/2006/customXml" ds:itemID="{0E5324EE-A4EA-4803-87EC-7781638E8A55}">
  <ds:schemaRefs>
    <ds:schemaRef ds:uri="office.server.policy"/>
  </ds:schemaRefs>
</ds:datastoreItem>
</file>

<file path=customXml/itemProps7.xml><?xml version="1.0" encoding="utf-8"?>
<ds:datastoreItem xmlns:ds="http://schemas.openxmlformats.org/officeDocument/2006/customXml" ds:itemID="{6D403212-FCF3-4AB4-9E06-82530A171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1678</Words>
  <Characters>9570</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Legislative Instruments Template</vt:lpstr>
    </vt:vector>
  </TitlesOfParts>
  <Company>Australian Taxation Office</Company>
  <LinksUpToDate>false</LinksUpToDate>
  <CharactersWithSpaces>11226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Instruments Template</dc:title>
  <dc:creator>ubafu</dc:creator>
  <cp:lastModifiedBy>Ashlee Spears</cp:lastModifiedBy>
  <cp:revision>2</cp:revision>
  <cp:lastPrinted>2020-02-17T01:07:00Z</cp:lastPrinted>
  <dcterms:created xsi:type="dcterms:W3CDTF">2020-03-27T04:49:00Z</dcterms:created>
  <dcterms:modified xsi:type="dcterms:W3CDTF">2020-03-27T04:49:00Z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0x010100A64679C44DADA04984EEB770C4791873007BD0EFB1C6747B4B9EC02DDEC29D0594</vt:lpwstr>
  </property>
  <property fmtid="{D5CDD505-2E9C-101B-9397-08002B2CF9AE}" pid="3" name="_dlc_policyId">
    <vt:lpwstr>0x010100A64679C44DADA04984EEB770C4791873|1060299444</vt:lpwstr>
  </property>
  <property fmtid="{D5CDD505-2E9C-101B-9397-08002B2CF9AE}" pid="4"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5" name="_dlc_DocIdItemGuid">
    <vt:lpwstr>c2d79cde-f8f6-4769-a35a-9808d80311c8</vt:lpwstr>
  </property>
  <property fmtid="{D5CDD505-2E9C-101B-9397-08002B2CF9AE}" pid="6" name="TaxKeyword">
    <vt:lpwstr/>
  </property>
  <property fmtid="{D5CDD505-2E9C-101B-9397-08002B2CF9AE}" pid="7" name="Security Classification">
    <vt:lpwstr>1;#UNCLASSIFIED|1bbb598d-ed8e-4faa-b9b5-c952cc7313f8</vt:lpwstr>
  </property>
</Properties>
</file>