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B2" w:rsidRPr="00625284" w:rsidRDefault="007231B2" w:rsidP="00625284">
      <w:pPr>
        <w:jc w:val="center"/>
        <w:rPr>
          <w:rFonts w:ascii="Times New Roman" w:hAnsi="Times New Roman"/>
          <w:b/>
          <w:bCs/>
          <w:szCs w:val="24"/>
          <w:u w:val="single"/>
        </w:rPr>
      </w:pPr>
      <w:r w:rsidRPr="00625284">
        <w:rPr>
          <w:rFonts w:ascii="Times New Roman" w:hAnsi="Times New Roman"/>
          <w:b/>
          <w:bCs/>
          <w:szCs w:val="24"/>
          <w:u w:val="single"/>
        </w:rPr>
        <w:t>EXPLANATORY STATEMENT</w:t>
      </w:r>
    </w:p>
    <w:p w:rsidR="007231B2" w:rsidRPr="00A35596" w:rsidRDefault="007231B2" w:rsidP="00625284">
      <w:pPr>
        <w:jc w:val="center"/>
        <w:rPr>
          <w:b/>
          <w:sz w:val="22"/>
          <w:szCs w:val="22"/>
        </w:rPr>
      </w:pPr>
    </w:p>
    <w:p w:rsidR="007231B2" w:rsidRPr="00D54152" w:rsidRDefault="007231B2" w:rsidP="00625284">
      <w:pPr>
        <w:jc w:val="center"/>
        <w:rPr>
          <w:rFonts w:ascii="Times New Roman" w:hAnsi="Times New Roman"/>
          <w:bCs/>
          <w:i/>
          <w:iCs/>
          <w:sz w:val="22"/>
          <w:szCs w:val="22"/>
        </w:rPr>
      </w:pPr>
      <w:r w:rsidRPr="00D54152">
        <w:rPr>
          <w:rFonts w:ascii="Times New Roman" w:hAnsi="Times New Roman"/>
          <w:bCs/>
          <w:i/>
          <w:iCs/>
          <w:sz w:val="22"/>
          <w:szCs w:val="22"/>
        </w:rPr>
        <w:t>Therapeutic Goods Act 1989</w:t>
      </w:r>
    </w:p>
    <w:p w:rsidR="007231B2" w:rsidRPr="00D54152" w:rsidRDefault="007231B2" w:rsidP="00625284">
      <w:pPr>
        <w:jc w:val="center"/>
        <w:rPr>
          <w:sz w:val="22"/>
          <w:szCs w:val="22"/>
          <w:u w:val="single"/>
        </w:rPr>
      </w:pPr>
    </w:p>
    <w:p w:rsidR="007231B2" w:rsidRPr="00D54152" w:rsidRDefault="00064CC7" w:rsidP="007231B2">
      <w:pPr>
        <w:jc w:val="center"/>
        <w:rPr>
          <w:rFonts w:ascii="Times New Roman" w:hAnsi="Times New Roman"/>
          <w:i/>
          <w:sz w:val="22"/>
          <w:szCs w:val="22"/>
        </w:rPr>
      </w:pPr>
      <w:r w:rsidRPr="00D54152">
        <w:rPr>
          <w:rFonts w:ascii="Times New Roman" w:hAnsi="Times New Roman"/>
          <w:i/>
          <w:sz w:val="22"/>
          <w:szCs w:val="22"/>
        </w:rPr>
        <w:t>The</w:t>
      </w:r>
      <w:r w:rsidR="00276035" w:rsidRPr="00D54152">
        <w:rPr>
          <w:rFonts w:ascii="Times New Roman" w:hAnsi="Times New Roman"/>
          <w:i/>
          <w:sz w:val="22"/>
          <w:szCs w:val="22"/>
        </w:rPr>
        <w:t>rapeutic Goods (Excluded Goods</w:t>
      </w:r>
      <w:r w:rsidR="003630C0" w:rsidRPr="00D54152">
        <w:rPr>
          <w:rFonts w:ascii="Times New Roman" w:hAnsi="Times New Roman"/>
          <w:i/>
          <w:sz w:val="22"/>
          <w:szCs w:val="22"/>
        </w:rPr>
        <w:t>—</w:t>
      </w:r>
      <w:r w:rsidR="003034AB" w:rsidRPr="00D54152">
        <w:rPr>
          <w:rFonts w:ascii="Times New Roman" w:hAnsi="Times New Roman"/>
          <w:i/>
          <w:sz w:val="22"/>
          <w:szCs w:val="22"/>
        </w:rPr>
        <w:t>Hand Sanitiser</w:t>
      </w:r>
      <w:r w:rsidR="003630C0" w:rsidRPr="00D54152">
        <w:rPr>
          <w:rFonts w:ascii="Times New Roman" w:hAnsi="Times New Roman"/>
          <w:i/>
          <w:sz w:val="22"/>
          <w:szCs w:val="22"/>
        </w:rPr>
        <w:t>s</w:t>
      </w:r>
      <w:r w:rsidR="003034AB" w:rsidRPr="00D54152">
        <w:rPr>
          <w:rFonts w:ascii="Times New Roman" w:hAnsi="Times New Roman"/>
          <w:i/>
          <w:sz w:val="22"/>
          <w:szCs w:val="22"/>
        </w:rPr>
        <w:t xml:space="preserve">) </w:t>
      </w:r>
      <w:r w:rsidR="00276035" w:rsidRPr="00D54152">
        <w:rPr>
          <w:rFonts w:ascii="Times New Roman" w:hAnsi="Times New Roman"/>
          <w:i/>
          <w:sz w:val="22"/>
          <w:szCs w:val="22"/>
        </w:rPr>
        <w:t>Determination</w:t>
      </w:r>
      <w:r w:rsidRPr="00D54152">
        <w:rPr>
          <w:rFonts w:ascii="Times New Roman" w:hAnsi="Times New Roman"/>
          <w:i/>
          <w:sz w:val="22"/>
          <w:szCs w:val="22"/>
        </w:rPr>
        <w:t xml:space="preserve"> </w:t>
      </w:r>
      <w:r w:rsidR="003034AB" w:rsidRPr="00D54152">
        <w:rPr>
          <w:rFonts w:ascii="Times New Roman" w:hAnsi="Times New Roman"/>
          <w:i/>
          <w:sz w:val="22"/>
          <w:szCs w:val="22"/>
        </w:rPr>
        <w:t>2020</w:t>
      </w:r>
    </w:p>
    <w:p w:rsidR="002757A6" w:rsidRPr="00A35596" w:rsidRDefault="002757A6" w:rsidP="007231B2">
      <w:pPr>
        <w:jc w:val="center"/>
        <w:rPr>
          <w:b/>
          <w:sz w:val="22"/>
          <w:szCs w:val="22"/>
        </w:rPr>
      </w:pPr>
    </w:p>
    <w:p w:rsidR="007231B2" w:rsidRPr="00CF219B" w:rsidRDefault="007231B2" w:rsidP="007231B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w:t>
      </w:r>
      <w:r w:rsidR="009F042D" w:rsidRPr="00CF219B">
        <w:rPr>
          <w:rFonts w:ascii="Times New Roman" w:hAnsi="Times New Roman"/>
          <w:sz w:val="22"/>
          <w:szCs w:val="22"/>
        </w:rPr>
        <w:t>“</w:t>
      </w:r>
      <w:r w:rsidR="008C3004" w:rsidRPr="00CF219B">
        <w:rPr>
          <w:rFonts w:ascii="Times New Roman" w:hAnsi="Times New Roman"/>
          <w:sz w:val="22"/>
          <w:szCs w:val="22"/>
        </w:rPr>
        <w:t xml:space="preserve">the </w:t>
      </w:r>
      <w:r w:rsidRPr="00CF219B">
        <w:rPr>
          <w:rFonts w:ascii="Times New Roman" w:hAnsi="Times New Roman"/>
          <w:sz w:val="22"/>
          <w:szCs w:val="22"/>
        </w:rPr>
        <w:t>Act</w:t>
      </w:r>
      <w:r w:rsidR="009F042D" w:rsidRPr="00CF219B">
        <w:rPr>
          <w:rFonts w:ascii="Times New Roman" w:hAnsi="Times New Roman"/>
          <w:sz w:val="22"/>
          <w:szCs w:val="22"/>
        </w:rPr>
        <w:t>”</w:t>
      </w:r>
      <w:r w:rsidRPr="00CF219B">
        <w:rPr>
          <w:rFonts w:ascii="Times New Roman" w:hAnsi="Times New Roman"/>
          <w:sz w:val="22"/>
          <w:szCs w:val="22"/>
        </w:rPr>
        <w:t>) provides for the e</w:t>
      </w:r>
      <w:r w:rsidR="002757A6" w:rsidRPr="00CF219B">
        <w:rPr>
          <w:rFonts w:ascii="Times New Roman" w:hAnsi="Times New Roman"/>
          <w:sz w:val="22"/>
          <w:szCs w:val="22"/>
        </w:rPr>
        <w:t>stablishment and maintenance of</w:t>
      </w:r>
      <w:r w:rsidR="0046497F" w:rsidRPr="00CF219B">
        <w:rPr>
          <w:rFonts w:ascii="Times New Roman" w:hAnsi="Times New Roman"/>
          <w:sz w:val="22"/>
          <w:szCs w:val="22"/>
        </w:rPr>
        <w:t xml:space="preserve"> </w:t>
      </w:r>
      <w:r w:rsidRPr="00CF219B">
        <w:rPr>
          <w:rFonts w:ascii="Times New Roman" w:hAnsi="Times New Roman"/>
          <w:sz w:val="22"/>
          <w:szCs w:val="22"/>
        </w:rPr>
        <w:t xml:space="preserve">a national system of controls for the quality, safety, efficacy and timely availability of therapeutic goods that are </w:t>
      </w:r>
      <w:r w:rsidR="000257B7" w:rsidRPr="00CF219B">
        <w:rPr>
          <w:rFonts w:ascii="Times New Roman" w:hAnsi="Times New Roman"/>
          <w:sz w:val="22"/>
          <w:szCs w:val="22"/>
        </w:rPr>
        <w:t>used</w:t>
      </w:r>
      <w:r w:rsidR="00CB48F8" w:rsidRPr="00CF219B">
        <w:rPr>
          <w:rFonts w:ascii="Times New Roman" w:hAnsi="Times New Roman"/>
          <w:sz w:val="22"/>
          <w:szCs w:val="22"/>
        </w:rPr>
        <w:t xml:space="preserve"> in</w:t>
      </w:r>
      <w:r w:rsidRPr="00CF219B">
        <w:rPr>
          <w:rFonts w:ascii="Times New Roman" w:hAnsi="Times New Roman"/>
          <w:sz w:val="22"/>
          <w:szCs w:val="22"/>
        </w:rPr>
        <w:t xml:space="preserve"> or exported from Australia.</w:t>
      </w:r>
      <w:r w:rsidR="005E1975">
        <w:rPr>
          <w:rFonts w:ascii="Times New Roman" w:hAnsi="Times New Roman"/>
          <w:sz w:val="22"/>
          <w:szCs w:val="22"/>
        </w:rPr>
        <w:t xml:space="preserve"> </w:t>
      </w:r>
      <w:r w:rsidR="00556311" w:rsidRPr="00CF219B">
        <w:rPr>
          <w:rFonts w:ascii="Times New Roman" w:hAnsi="Times New Roman"/>
          <w:sz w:val="22"/>
          <w:szCs w:val="22"/>
        </w:rPr>
        <w:t xml:space="preserve">The </w:t>
      </w:r>
      <w:proofErr w:type="gramStart"/>
      <w:r w:rsidR="00556311" w:rsidRPr="00CF219B">
        <w:rPr>
          <w:rFonts w:ascii="Times New Roman" w:hAnsi="Times New Roman"/>
          <w:sz w:val="22"/>
          <w:szCs w:val="22"/>
        </w:rPr>
        <w:t>Act is administered by the Therapeutic Goods Administration (“the TGA”) within the Department of Health</w:t>
      </w:r>
      <w:proofErr w:type="gramEnd"/>
      <w:r w:rsidR="00556311" w:rsidRPr="00CF219B">
        <w:rPr>
          <w:rFonts w:ascii="Times New Roman" w:hAnsi="Times New Roman"/>
          <w:sz w:val="22"/>
          <w:szCs w:val="22"/>
        </w:rPr>
        <w:t>.</w:t>
      </w:r>
    </w:p>
    <w:p w:rsidR="007231B2" w:rsidRPr="00CF219B" w:rsidRDefault="007231B2" w:rsidP="007231B2">
      <w:pPr>
        <w:autoSpaceDE w:val="0"/>
        <w:autoSpaceDN w:val="0"/>
        <w:adjustRightInd w:val="0"/>
        <w:rPr>
          <w:rFonts w:ascii="Times New Roman" w:hAnsi="Times New Roman"/>
          <w:sz w:val="22"/>
          <w:szCs w:val="22"/>
        </w:rPr>
      </w:pPr>
    </w:p>
    <w:p w:rsidR="00861D4C" w:rsidRDefault="00276035" w:rsidP="00E90759">
      <w:pPr>
        <w:autoSpaceDE w:val="0"/>
        <w:autoSpaceDN w:val="0"/>
        <w:adjustRightInd w:val="0"/>
        <w:rPr>
          <w:rFonts w:ascii="Times New Roman" w:hAnsi="Times New Roman"/>
          <w:sz w:val="22"/>
          <w:szCs w:val="22"/>
        </w:rPr>
      </w:pPr>
      <w:proofErr w:type="gramStart"/>
      <w:r>
        <w:rPr>
          <w:rFonts w:ascii="Times New Roman" w:hAnsi="Times New Roman"/>
          <w:sz w:val="22"/>
          <w:szCs w:val="22"/>
        </w:rPr>
        <w:t>Section 7AA</w:t>
      </w:r>
      <w:r w:rsidR="00861D4C">
        <w:rPr>
          <w:rFonts w:ascii="Times New Roman" w:hAnsi="Times New Roman"/>
          <w:sz w:val="22"/>
          <w:szCs w:val="22"/>
        </w:rPr>
        <w:t xml:space="preserve"> of the Act provides that the Minister may, by legislative instrument</w:t>
      </w:r>
      <w:r>
        <w:rPr>
          <w:rFonts w:ascii="Times New Roman" w:hAnsi="Times New Roman"/>
          <w:sz w:val="22"/>
          <w:szCs w:val="22"/>
        </w:rPr>
        <w:t>,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w:t>
      </w:r>
      <w:r w:rsidR="00861D4C">
        <w:rPr>
          <w:rFonts w:ascii="Times New Roman" w:hAnsi="Times New Roman"/>
          <w:sz w:val="22"/>
          <w:szCs w:val="22"/>
        </w:rPr>
        <w:t>.</w:t>
      </w:r>
      <w:proofErr w:type="gramEnd"/>
      <w:r w:rsidR="003034AB">
        <w:rPr>
          <w:rFonts w:ascii="Times New Roman" w:hAnsi="Times New Roman"/>
          <w:sz w:val="22"/>
          <w:szCs w:val="22"/>
        </w:rPr>
        <w:t xml:space="preserve"> </w:t>
      </w:r>
      <w:r w:rsidR="003034AB" w:rsidRPr="003034AB">
        <w:rPr>
          <w:rFonts w:ascii="Times New Roman" w:hAnsi="Times New Roman"/>
          <w:sz w:val="22"/>
          <w:szCs w:val="22"/>
        </w:rPr>
        <w:t>The effect of a legislative instrument made under section 7AA of the Act is to exclude specified goods from the operation</w:t>
      </w:r>
      <w:r w:rsidR="005321F7">
        <w:rPr>
          <w:rFonts w:ascii="Times New Roman" w:hAnsi="Times New Roman"/>
          <w:sz w:val="22"/>
          <w:szCs w:val="22"/>
        </w:rPr>
        <w:t xml:space="preserve"> of the Act, including the requirement for those goods to be included in the Australian Register </w:t>
      </w:r>
      <w:r w:rsidR="005321F7" w:rsidRPr="003A5344">
        <w:rPr>
          <w:rFonts w:ascii="Times New Roman" w:hAnsi="Times New Roman"/>
          <w:sz w:val="22"/>
          <w:szCs w:val="22"/>
        </w:rPr>
        <w:t xml:space="preserve">of Therapeutic Goods, or </w:t>
      </w:r>
      <w:proofErr w:type="gramStart"/>
      <w:r w:rsidR="005321F7" w:rsidRPr="003A5344">
        <w:rPr>
          <w:rFonts w:ascii="Times New Roman" w:hAnsi="Times New Roman"/>
          <w:sz w:val="22"/>
          <w:szCs w:val="22"/>
        </w:rPr>
        <w:t>manufactured</w:t>
      </w:r>
      <w:proofErr w:type="gramEnd"/>
      <w:r w:rsidR="005321F7" w:rsidRPr="003A5344">
        <w:rPr>
          <w:rFonts w:ascii="Times New Roman" w:hAnsi="Times New Roman"/>
          <w:sz w:val="22"/>
          <w:szCs w:val="22"/>
        </w:rPr>
        <w:t xml:space="preserve"> pursuant to a licence issued under Part 3-3 of the Act.</w:t>
      </w:r>
    </w:p>
    <w:p w:rsidR="00861D4C" w:rsidRDefault="00861D4C" w:rsidP="00E90759">
      <w:pPr>
        <w:autoSpaceDE w:val="0"/>
        <w:autoSpaceDN w:val="0"/>
        <w:adjustRightInd w:val="0"/>
        <w:rPr>
          <w:rFonts w:ascii="Times New Roman" w:hAnsi="Times New Roman"/>
          <w:sz w:val="22"/>
          <w:szCs w:val="22"/>
        </w:rPr>
      </w:pPr>
    </w:p>
    <w:p w:rsidR="002E2179" w:rsidRDefault="00861D4C" w:rsidP="000267C7">
      <w:pPr>
        <w:autoSpaceDE w:val="0"/>
        <w:autoSpaceDN w:val="0"/>
        <w:adjustRightInd w:val="0"/>
        <w:rPr>
          <w:rFonts w:ascii="Times New Roman" w:hAnsi="Times New Roman"/>
          <w:sz w:val="22"/>
          <w:szCs w:val="22"/>
        </w:rPr>
      </w:pPr>
      <w:r w:rsidRPr="003630C0">
        <w:rPr>
          <w:rFonts w:ascii="Times New Roman" w:hAnsi="Times New Roman"/>
          <w:sz w:val="22"/>
          <w:szCs w:val="22"/>
        </w:rPr>
        <w:t xml:space="preserve">The </w:t>
      </w:r>
      <w:r w:rsidR="00276035" w:rsidRPr="003630C0">
        <w:rPr>
          <w:rFonts w:ascii="Times New Roman" w:hAnsi="Times New Roman"/>
          <w:i/>
          <w:sz w:val="22"/>
          <w:szCs w:val="22"/>
        </w:rPr>
        <w:t>Therapeutic Goods (Excluded Goods</w:t>
      </w:r>
      <w:r w:rsidR="003630C0" w:rsidRPr="003630C0">
        <w:rPr>
          <w:rFonts w:ascii="Times New Roman" w:hAnsi="Times New Roman"/>
          <w:i/>
          <w:szCs w:val="24"/>
        </w:rPr>
        <w:t>—</w:t>
      </w:r>
      <w:r w:rsidR="003630C0" w:rsidRPr="003630C0">
        <w:rPr>
          <w:rFonts w:ascii="Times New Roman" w:hAnsi="Times New Roman"/>
          <w:i/>
          <w:sz w:val="22"/>
          <w:szCs w:val="22"/>
        </w:rPr>
        <w:t>Hand Sanitisers</w:t>
      </w:r>
      <w:r w:rsidR="00276035" w:rsidRPr="003630C0">
        <w:rPr>
          <w:rFonts w:ascii="Times New Roman" w:hAnsi="Times New Roman"/>
          <w:i/>
          <w:sz w:val="22"/>
          <w:szCs w:val="22"/>
        </w:rPr>
        <w:t>) Determination</w:t>
      </w:r>
      <w:r w:rsidRPr="003630C0">
        <w:rPr>
          <w:rFonts w:ascii="Times New Roman" w:hAnsi="Times New Roman"/>
          <w:i/>
          <w:sz w:val="22"/>
          <w:szCs w:val="22"/>
        </w:rPr>
        <w:t xml:space="preserve"> </w:t>
      </w:r>
      <w:r w:rsidR="003630C0" w:rsidRPr="003630C0">
        <w:rPr>
          <w:rFonts w:ascii="Times New Roman" w:hAnsi="Times New Roman"/>
          <w:i/>
          <w:sz w:val="22"/>
          <w:szCs w:val="22"/>
        </w:rPr>
        <w:t>2020</w:t>
      </w:r>
      <w:r w:rsidRPr="003630C0">
        <w:rPr>
          <w:rFonts w:ascii="Times New Roman" w:hAnsi="Times New Roman"/>
          <w:i/>
          <w:sz w:val="22"/>
          <w:szCs w:val="22"/>
        </w:rPr>
        <w:t xml:space="preserve"> </w:t>
      </w:r>
      <w:r w:rsidR="00F93DF3" w:rsidRPr="003630C0">
        <w:rPr>
          <w:rFonts w:ascii="Times New Roman" w:hAnsi="Times New Roman"/>
          <w:sz w:val="22"/>
          <w:szCs w:val="22"/>
        </w:rPr>
        <w:t>(“the</w:t>
      </w:r>
      <w:r w:rsidR="00F93DF3">
        <w:rPr>
          <w:rFonts w:ascii="Times New Roman" w:hAnsi="Times New Roman"/>
          <w:sz w:val="22"/>
          <w:szCs w:val="22"/>
        </w:rPr>
        <w:t xml:space="preserve"> </w:t>
      </w:r>
      <w:r w:rsidR="00276035">
        <w:rPr>
          <w:rFonts w:ascii="Times New Roman" w:hAnsi="Times New Roman"/>
          <w:sz w:val="22"/>
          <w:szCs w:val="22"/>
        </w:rPr>
        <w:t>Determination</w:t>
      </w:r>
      <w:r w:rsidR="00F93DF3">
        <w:rPr>
          <w:rFonts w:ascii="Times New Roman" w:hAnsi="Times New Roman"/>
          <w:sz w:val="22"/>
          <w:szCs w:val="22"/>
        </w:rPr>
        <w:t xml:space="preserve">”) </w:t>
      </w:r>
      <w:r>
        <w:rPr>
          <w:rFonts w:ascii="Times New Roman" w:hAnsi="Times New Roman"/>
          <w:sz w:val="22"/>
          <w:szCs w:val="22"/>
        </w:rPr>
        <w:t xml:space="preserve">is made </w:t>
      </w:r>
      <w:r w:rsidR="00276035">
        <w:rPr>
          <w:rFonts w:ascii="Times New Roman" w:hAnsi="Times New Roman"/>
          <w:sz w:val="22"/>
          <w:szCs w:val="22"/>
        </w:rPr>
        <w:t>under section 7</w:t>
      </w:r>
      <w:r w:rsidR="007662F8">
        <w:rPr>
          <w:rFonts w:ascii="Times New Roman" w:hAnsi="Times New Roman"/>
          <w:sz w:val="22"/>
          <w:szCs w:val="22"/>
        </w:rPr>
        <w:t>AA of the Act. The purpose</w:t>
      </w:r>
      <w:r w:rsidR="00276035">
        <w:rPr>
          <w:rFonts w:ascii="Times New Roman" w:hAnsi="Times New Roman"/>
          <w:sz w:val="22"/>
          <w:szCs w:val="22"/>
        </w:rPr>
        <w:t xml:space="preserve"> of the Determination is to </w:t>
      </w:r>
      <w:r w:rsidR="003034AB">
        <w:rPr>
          <w:rFonts w:ascii="Times New Roman" w:hAnsi="Times New Roman"/>
          <w:sz w:val="22"/>
          <w:szCs w:val="22"/>
        </w:rPr>
        <w:t xml:space="preserve">exclude </w:t>
      </w:r>
      <w:r w:rsidR="00D54152">
        <w:rPr>
          <w:rFonts w:ascii="Times New Roman" w:hAnsi="Times New Roman"/>
          <w:sz w:val="22"/>
          <w:szCs w:val="22"/>
        </w:rPr>
        <w:t xml:space="preserve">specified </w:t>
      </w:r>
      <w:r w:rsidR="00DE058D">
        <w:rPr>
          <w:rFonts w:ascii="Times New Roman" w:hAnsi="Times New Roman"/>
          <w:sz w:val="22"/>
          <w:szCs w:val="22"/>
        </w:rPr>
        <w:t xml:space="preserve">hand sanitisers </w:t>
      </w:r>
      <w:r w:rsidR="00DD65C2">
        <w:rPr>
          <w:rFonts w:ascii="Times New Roman" w:hAnsi="Times New Roman"/>
          <w:sz w:val="22"/>
          <w:szCs w:val="22"/>
        </w:rPr>
        <w:t>from the operation of the Act</w:t>
      </w:r>
      <w:r w:rsidR="005360B5">
        <w:rPr>
          <w:rFonts w:ascii="Times New Roman" w:hAnsi="Times New Roman"/>
          <w:sz w:val="22"/>
          <w:szCs w:val="22"/>
        </w:rPr>
        <w:t xml:space="preserve">. </w:t>
      </w:r>
      <w:r w:rsidR="00D54152">
        <w:rPr>
          <w:rFonts w:ascii="Times New Roman" w:hAnsi="Times New Roman"/>
          <w:sz w:val="22"/>
          <w:szCs w:val="22"/>
        </w:rPr>
        <w:t xml:space="preserve">The </w:t>
      </w:r>
      <w:r w:rsidR="005A7924">
        <w:rPr>
          <w:rFonts w:ascii="Times New Roman" w:hAnsi="Times New Roman"/>
          <w:sz w:val="22"/>
          <w:szCs w:val="22"/>
        </w:rPr>
        <w:t xml:space="preserve">exclusion </w:t>
      </w:r>
      <w:proofErr w:type="gramStart"/>
      <w:r w:rsidR="005A7924">
        <w:rPr>
          <w:rFonts w:ascii="Times New Roman" w:hAnsi="Times New Roman"/>
          <w:sz w:val="22"/>
          <w:szCs w:val="22"/>
        </w:rPr>
        <w:t xml:space="preserve">is </w:t>
      </w:r>
      <w:r w:rsidR="00D54152">
        <w:rPr>
          <w:rFonts w:ascii="Times New Roman" w:hAnsi="Times New Roman"/>
          <w:sz w:val="22"/>
          <w:szCs w:val="22"/>
        </w:rPr>
        <w:t>specified</w:t>
      </w:r>
      <w:proofErr w:type="gramEnd"/>
      <w:r w:rsidR="00D54152">
        <w:rPr>
          <w:rFonts w:ascii="Times New Roman" w:hAnsi="Times New Roman"/>
          <w:sz w:val="22"/>
          <w:szCs w:val="22"/>
        </w:rPr>
        <w:t xml:space="preserve"> with reference to </w:t>
      </w:r>
      <w:r w:rsidR="005A7924">
        <w:rPr>
          <w:rFonts w:ascii="Times New Roman" w:hAnsi="Times New Roman"/>
          <w:sz w:val="22"/>
          <w:szCs w:val="22"/>
        </w:rPr>
        <w:t xml:space="preserve">the </w:t>
      </w:r>
      <w:r w:rsidR="00D54152">
        <w:rPr>
          <w:rFonts w:ascii="Times New Roman" w:hAnsi="Times New Roman"/>
          <w:sz w:val="22"/>
          <w:szCs w:val="22"/>
        </w:rPr>
        <w:t xml:space="preserve">ingredients in the final formulation, </w:t>
      </w:r>
      <w:r w:rsidR="005A7924">
        <w:rPr>
          <w:rFonts w:ascii="Times New Roman" w:hAnsi="Times New Roman"/>
          <w:sz w:val="22"/>
          <w:szCs w:val="22"/>
        </w:rPr>
        <w:t xml:space="preserve">the </w:t>
      </w:r>
      <w:r w:rsidR="00D54152">
        <w:rPr>
          <w:rFonts w:ascii="Times New Roman" w:hAnsi="Times New Roman"/>
          <w:sz w:val="22"/>
          <w:szCs w:val="22"/>
        </w:rPr>
        <w:t>manufacturing practices, advertise</w:t>
      </w:r>
      <w:r w:rsidR="005A7924">
        <w:rPr>
          <w:rFonts w:ascii="Times New Roman" w:hAnsi="Times New Roman"/>
          <w:sz w:val="22"/>
          <w:szCs w:val="22"/>
        </w:rPr>
        <w:t xml:space="preserve">ment </w:t>
      </w:r>
      <w:r w:rsidR="00D54152">
        <w:rPr>
          <w:rFonts w:ascii="Times New Roman" w:hAnsi="Times New Roman"/>
          <w:sz w:val="22"/>
          <w:szCs w:val="22"/>
        </w:rPr>
        <w:t>and present</w:t>
      </w:r>
      <w:r w:rsidR="005A7924">
        <w:rPr>
          <w:rFonts w:ascii="Times New Roman" w:hAnsi="Times New Roman"/>
          <w:sz w:val="22"/>
          <w:szCs w:val="22"/>
        </w:rPr>
        <w:t xml:space="preserve">ation of the goods </w:t>
      </w:r>
      <w:r w:rsidR="00D54152">
        <w:rPr>
          <w:rFonts w:ascii="Times New Roman" w:hAnsi="Times New Roman"/>
          <w:sz w:val="22"/>
          <w:szCs w:val="22"/>
        </w:rPr>
        <w:t>for supply</w:t>
      </w:r>
      <w:r w:rsidR="007C1AA7">
        <w:rPr>
          <w:rFonts w:ascii="Times New Roman" w:hAnsi="Times New Roman"/>
          <w:sz w:val="22"/>
          <w:szCs w:val="22"/>
        </w:rPr>
        <w:t>.</w:t>
      </w:r>
    </w:p>
    <w:p w:rsidR="002E2179" w:rsidRDefault="002E2179" w:rsidP="000267C7">
      <w:pPr>
        <w:autoSpaceDE w:val="0"/>
        <w:autoSpaceDN w:val="0"/>
        <w:adjustRightInd w:val="0"/>
        <w:rPr>
          <w:rFonts w:ascii="Times New Roman" w:hAnsi="Times New Roman"/>
          <w:sz w:val="22"/>
          <w:szCs w:val="22"/>
        </w:rPr>
      </w:pPr>
    </w:p>
    <w:p w:rsidR="00F77D8E" w:rsidRPr="00F77D8E" w:rsidRDefault="003034AB" w:rsidP="00F77D8E">
      <w:pPr>
        <w:autoSpaceDE w:val="0"/>
        <w:autoSpaceDN w:val="0"/>
        <w:adjustRightInd w:val="0"/>
        <w:rPr>
          <w:rFonts w:ascii="Times New Roman" w:hAnsi="Times New Roman"/>
          <w:sz w:val="22"/>
          <w:szCs w:val="22"/>
        </w:rPr>
      </w:pPr>
      <w:r w:rsidRPr="003630C0">
        <w:rPr>
          <w:rFonts w:ascii="Times New Roman" w:hAnsi="Times New Roman"/>
          <w:sz w:val="22"/>
          <w:szCs w:val="22"/>
        </w:rPr>
        <w:t xml:space="preserve">The exclusion is </w:t>
      </w:r>
      <w:r w:rsidR="005321F7">
        <w:rPr>
          <w:rFonts w:ascii="Times New Roman" w:hAnsi="Times New Roman"/>
          <w:sz w:val="22"/>
          <w:szCs w:val="22"/>
        </w:rPr>
        <w:t xml:space="preserve">necessary </w:t>
      </w:r>
      <w:r w:rsidRPr="003630C0">
        <w:rPr>
          <w:rFonts w:ascii="Times New Roman" w:hAnsi="Times New Roman"/>
          <w:sz w:val="22"/>
          <w:szCs w:val="22"/>
        </w:rPr>
        <w:t xml:space="preserve">to </w:t>
      </w:r>
      <w:r w:rsidR="003630C0" w:rsidRPr="003630C0">
        <w:rPr>
          <w:rFonts w:ascii="Times New Roman" w:hAnsi="Times New Roman"/>
          <w:sz w:val="22"/>
          <w:szCs w:val="22"/>
        </w:rPr>
        <w:t>facilitate</w:t>
      </w:r>
      <w:r w:rsidR="00B06319" w:rsidRPr="003630C0">
        <w:rPr>
          <w:rFonts w:ascii="Times New Roman" w:hAnsi="Times New Roman"/>
          <w:sz w:val="22"/>
          <w:szCs w:val="22"/>
        </w:rPr>
        <w:t xml:space="preserve"> the urgent </w:t>
      </w:r>
      <w:r w:rsidR="00485D95">
        <w:rPr>
          <w:rFonts w:ascii="Times New Roman" w:hAnsi="Times New Roman"/>
          <w:sz w:val="22"/>
          <w:szCs w:val="22"/>
        </w:rPr>
        <w:t>and</w:t>
      </w:r>
      <w:r w:rsidR="000952C2">
        <w:rPr>
          <w:rFonts w:ascii="Times New Roman" w:hAnsi="Times New Roman"/>
          <w:sz w:val="22"/>
          <w:szCs w:val="22"/>
        </w:rPr>
        <w:t xml:space="preserve"> </w:t>
      </w:r>
      <w:r w:rsidR="00B06319" w:rsidRPr="003630C0">
        <w:rPr>
          <w:rFonts w:ascii="Times New Roman" w:hAnsi="Times New Roman"/>
          <w:sz w:val="22"/>
          <w:szCs w:val="22"/>
        </w:rPr>
        <w:t>continue</w:t>
      </w:r>
      <w:r w:rsidR="00DE058D">
        <w:rPr>
          <w:rFonts w:ascii="Times New Roman" w:hAnsi="Times New Roman"/>
          <w:sz w:val="22"/>
          <w:szCs w:val="22"/>
        </w:rPr>
        <w:t xml:space="preserve">d </w:t>
      </w:r>
      <w:r w:rsidR="000952C2">
        <w:rPr>
          <w:rFonts w:ascii="Times New Roman" w:hAnsi="Times New Roman"/>
          <w:sz w:val="22"/>
          <w:szCs w:val="22"/>
        </w:rPr>
        <w:t>supply</w:t>
      </w:r>
      <w:r w:rsidR="00DE058D">
        <w:rPr>
          <w:rFonts w:ascii="Times New Roman" w:hAnsi="Times New Roman"/>
          <w:sz w:val="22"/>
          <w:szCs w:val="22"/>
        </w:rPr>
        <w:t xml:space="preserve"> of </w:t>
      </w:r>
      <w:r w:rsidR="000952C2">
        <w:rPr>
          <w:rFonts w:ascii="Times New Roman" w:hAnsi="Times New Roman"/>
          <w:sz w:val="22"/>
          <w:szCs w:val="22"/>
        </w:rPr>
        <w:t xml:space="preserve">large volumes </w:t>
      </w:r>
      <w:r w:rsidR="00DE058D">
        <w:rPr>
          <w:rFonts w:ascii="Times New Roman" w:hAnsi="Times New Roman"/>
          <w:sz w:val="22"/>
          <w:szCs w:val="22"/>
        </w:rPr>
        <w:t xml:space="preserve">hand sanitisers </w:t>
      </w:r>
      <w:r w:rsidR="003630C0" w:rsidRPr="003630C0">
        <w:rPr>
          <w:rFonts w:ascii="Times New Roman" w:hAnsi="Times New Roman"/>
          <w:sz w:val="22"/>
          <w:szCs w:val="22"/>
        </w:rPr>
        <w:t>in Australia</w:t>
      </w:r>
      <w:r w:rsidR="00485D95">
        <w:rPr>
          <w:rFonts w:ascii="Times New Roman" w:hAnsi="Times New Roman"/>
          <w:sz w:val="22"/>
          <w:szCs w:val="22"/>
        </w:rPr>
        <w:t xml:space="preserve"> </w:t>
      </w:r>
      <w:r w:rsidR="00B06319" w:rsidRPr="003630C0">
        <w:rPr>
          <w:rFonts w:ascii="Times New Roman" w:hAnsi="Times New Roman"/>
          <w:sz w:val="22"/>
          <w:szCs w:val="22"/>
        </w:rPr>
        <w:t xml:space="preserve">during the </w:t>
      </w:r>
      <w:r w:rsidR="003630C0" w:rsidRPr="003630C0">
        <w:rPr>
          <w:rFonts w:ascii="Times New Roman" w:hAnsi="Times New Roman"/>
          <w:sz w:val="22"/>
          <w:szCs w:val="22"/>
        </w:rPr>
        <w:t xml:space="preserve">current </w:t>
      </w:r>
      <w:r w:rsidRPr="003630C0">
        <w:rPr>
          <w:rFonts w:ascii="Times New Roman" w:hAnsi="Times New Roman"/>
          <w:sz w:val="22"/>
          <w:szCs w:val="22"/>
        </w:rPr>
        <w:t xml:space="preserve">outbreak of </w:t>
      </w:r>
      <w:r w:rsidR="003630C0" w:rsidRPr="003630C0">
        <w:rPr>
          <w:rFonts w:ascii="Times New Roman" w:hAnsi="Times New Roman"/>
          <w:sz w:val="22"/>
          <w:szCs w:val="22"/>
        </w:rPr>
        <w:t>the disease known as coronavirus disease (</w:t>
      </w:r>
      <w:r w:rsidRPr="003630C0">
        <w:rPr>
          <w:rFonts w:ascii="Times New Roman" w:hAnsi="Times New Roman"/>
          <w:sz w:val="22"/>
          <w:szCs w:val="22"/>
        </w:rPr>
        <w:t>COVID-19</w:t>
      </w:r>
      <w:r w:rsidR="003630C0" w:rsidRPr="003630C0">
        <w:rPr>
          <w:rFonts w:ascii="Times New Roman" w:hAnsi="Times New Roman"/>
          <w:sz w:val="22"/>
          <w:szCs w:val="22"/>
        </w:rPr>
        <w:t>)</w:t>
      </w:r>
      <w:r w:rsidR="00607872">
        <w:rPr>
          <w:rFonts w:ascii="Times New Roman" w:hAnsi="Times New Roman"/>
          <w:sz w:val="22"/>
          <w:szCs w:val="22"/>
        </w:rPr>
        <w:t>.</w:t>
      </w:r>
      <w:r w:rsidR="00F77D8E">
        <w:rPr>
          <w:rFonts w:ascii="Times New Roman" w:hAnsi="Times New Roman"/>
          <w:sz w:val="22"/>
          <w:szCs w:val="22"/>
        </w:rPr>
        <w:t xml:space="preserve"> </w:t>
      </w:r>
      <w:r w:rsidR="00F77D8E" w:rsidRPr="00F77D8E">
        <w:rPr>
          <w:rFonts w:ascii="Times New Roman" w:hAnsi="Times New Roman"/>
          <w:sz w:val="22"/>
          <w:szCs w:val="22"/>
        </w:rPr>
        <w:t xml:space="preserve">The </w:t>
      </w:r>
      <w:r w:rsidR="00F77D8E">
        <w:rPr>
          <w:rFonts w:ascii="Times New Roman" w:hAnsi="Times New Roman"/>
          <w:sz w:val="22"/>
          <w:szCs w:val="22"/>
        </w:rPr>
        <w:t xml:space="preserve">Determination </w:t>
      </w:r>
      <w:r w:rsidR="00F77D8E" w:rsidRPr="00F77D8E">
        <w:rPr>
          <w:rFonts w:ascii="Times New Roman" w:hAnsi="Times New Roman"/>
          <w:sz w:val="22"/>
          <w:szCs w:val="22"/>
        </w:rPr>
        <w:t xml:space="preserve">supports the </w:t>
      </w:r>
      <w:r w:rsidR="005A7924">
        <w:rPr>
          <w:rFonts w:ascii="Times New Roman" w:hAnsi="Times New Roman"/>
          <w:sz w:val="22"/>
          <w:szCs w:val="22"/>
        </w:rPr>
        <w:t xml:space="preserve">Australian Government’s </w:t>
      </w:r>
      <w:r w:rsidR="00F77D8E" w:rsidRPr="00F77D8E">
        <w:rPr>
          <w:rFonts w:ascii="Times New Roman" w:hAnsi="Times New Roman"/>
          <w:sz w:val="22"/>
          <w:szCs w:val="22"/>
        </w:rPr>
        <w:t xml:space="preserve">response to the COVID-19 emergency by ensuring the </w:t>
      </w:r>
      <w:r w:rsidR="005A7924">
        <w:rPr>
          <w:rFonts w:ascii="Times New Roman" w:hAnsi="Times New Roman"/>
          <w:sz w:val="22"/>
          <w:szCs w:val="22"/>
        </w:rPr>
        <w:t xml:space="preserve">continued </w:t>
      </w:r>
      <w:r w:rsidR="00F77D8E" w:rsidRPr="00F77D8E">
        <w:rPr>
          <w:rFonts w:ascii="Times New Roman" w:hAnsi="Times New Roman"/>
          <w:sz w:val="22"/>
          <w:szCs w:val="22"/>
        </w:rPr>
        <w:t>supply of hand sanitiser in Australia, particularly in medical and health services.</w:t>
      </w:r>
    </w:p>
    <w:p w:rsidR="000267C7" w:rsidRDefault="000267C7" w:rsidP="000267C7">
      <w:pPr>
        <w:autoSpaceDE w:val="0"/>
        <w:autoSpaceDN w:val="0"/>
        <w:adjustRightInd w:val="0"/>
        <w:rPr>
          <w:rFonts w:ascii="Times New Roman" w:hAnsi="Times New Roman"/>
          <w:sz w:val="22"/>
          <w:szCs w:val="22"/>
        </w:rPr>
      </w:pPr>
    </w:p>
    <w:p w:rsidR="004F21EE" w:rsidRDefault="007231B2" w:rsidP="004F21EE">
      <w:pPr>
        <w:autoSpaceDE w:val="0"/>
        <w:autoSpaceDN w:val="0"/>
        <w:adjustRightInd w:val="0"/>
        <w:rPr>
          <w:rFonts w:ascii="Times New Roman" w:hAnsi="Times New Roman"/>
          <w:sz w:val="22"/>
          <w:szCs w:val="22"/>
        </w:rPr>
      </w:pPr>
      <w:r w:rsidRPr="00CF219B">
        <w:rPr>
          <w:rFonts w:ascii="Times New Roman" w:hAnsi="Times New Roman"/>
          <w:b/>
          <w:sz w:val="22"/>
          <w:szCs w:val="22"/>
        </w:rPr>
        <w:t>B</w:t>
      </w:r>
      <w:r w:rsidR="00294A49" w:rsidRPr="00CF219B">
        <w:rPr>
          <w:rFonts w:ascii="Times New Roman" w:hAnsi="Times New Roman"/>
          <w:b/>
          <w:sz w:val="22"/>
          <w:szCs w:val="22"/>
        </w:rPr>
        <w:t>ackground</w:t>
      </w:r>
    </w:p>
    <w:p w:rsidR="004F21EE" w:rsidRDefault="004F21EE" w:rsidP="004F21EE">
      <w:pPr>
        <w:autoSpaceDE w:val="0"/>
        <w:autoSpaceDN w:val="0"/>
        <w:adjustRightInd w:val="0"/>
        <w:rPr>
          <w:rFonts w:ascii="Times New Roman" w:hAnsi="Times New Roman"/>
          <w:sz w:val="22"/>
          <w:szCs w:val="22"/>
        </w:rPr>
      </w:pPr>
    </w:p>
    <w:p w:rsidR="009C137A" w:rsidRPr="00CB3EFF" w:rsidRDefault="005321F7" w:rsidP="009C137A">
      <w:pPr>
        <w:autoSpaceDE w:val="0"/>
        <w:autoSpaceDN w:val="0"/>
        <w:adjustRightInd w:val="0"/>
        <w:rPr>
          <w:rFonts w:ascii="Times New Roman" w:hAnsi="Times New Roman"/>
          <w:sz w:val="22"/>
          <w:szCs w:val="22"/>
        </w:rPr>
      </w:pPr>
      <w:r>
        <w:rPr>
          <w:rFonts w:ascii="Times New Roman" w:hAnsi="Times New Roman"/>
          <w:sz w:val="22"/>
          <w:szCs w:val="22"/>
        </w:rPr>
        <w:t>S</w:t>
      </w:r>
      <w:r w:rsidR="009C137A" w:rsidRPr="00CB3EFF">
        <w:rPr>
          <w:rFonts w:ascii="Times New Roman" w:hAnsi="Times New Roman"/>
          <w:sz w:val="22"/>
          <w:szCs w:val="22"/>
        </w:rPr>
        <w:t xml:space="preserve">ubsection </w:t>
      </w:r>
      <w:proofErr w:type="gramStart"/>
      <w:r w:rsidR="009C137A" w:rsidRPr="00CB3EFF">
        <w:rPr>
          <w:rFonts w:ascii="Times New Roman" w:hAnsi="Times New Roman"/>
          <w:sz w:val="22"/>
          <w:szCs w:val="22"/>
        </w:rPr>
        <w:t>7AA(</w:t>
      </w:r>
      <w:proofErr w:type="gramEnd"/>
      <w:r w:rsidR="009C137A" w:rsidRPr="00CB3EFF">
        <w:rPr>
          <w:rFonts w:ascii="Times New Roman" w:hAnsi="Times New Roman"/>
          <w:sz w:val="22"/>
          <w:szCs w:val="22"/>
        </w:rPr>
        <w:t xml:space="preserve">1) provides that the Minister may determine that specified goods are excluded goods for the purposes of the Act. </w:t>
      </w:r>
      <w:r w:rsidR="00B0768C">
        <w:rPr>
          <w:rFonts w:ascii="Times New Roman" w:hAnsi="Times New Roman"/>
          <w:sz w:val="22"/>
          <w:szCs w:val="22"/>
        </w:rPr>
        <w:t>Further, s</w:t>
      </w:r>
      <w:r w:rsidR="009C137A" w:rsidRPr="00CB3EFF">
        <w:rPr>
          <w:rFonts w:ascii="Times New Roman" w:hAnsi="Times New Roman"/>
          <w:sz w:val="22"/>
          <w:szCs w:val="22"/>
        </w:rPr>
        <w:t>ubsection 7AA(2) provides that the Minister may determine that specified goods are excluded goods for the purposes of the Act when used, advertised or presented for supply in a specified way.</w:t>
      </w:r>
    </w:p>
    <w:p w:rsidR="009C137A" w:rsidRPr="00CB3EFF" w:rsidRDefault="009C137A" w:rsidP="009C137A">
      <w:pPr>
        <w:autoSpaceDE w:val="0"/>
        <w:autoSpaceDN w:val="0"/>
        <w:adjustRightInd w:val="0"/>
        <w:rPr>
          <w:rFonts w:ascii="Times New Roman" w:hAnsi="Times New Roman"/>
          <w:sz w:val="22"/>
          <w:szCs w:val="22"/>
        </w:rPr>
      </w:pPr>
    </w:p>
    <w:p w:rsidR="009C137A" w:rsidRPr="00CB3EFF" w:rsidRDefault="009C137A" w:rsidP="009C137A">
      <w:pPr>
        <w:autoSpaceDE w:val="0"/>
        <w:autoSpaceDN w:val="0"/>
        <w:adjustRightInd w:val="0"/>
        <w:rPr>
          <w:rFonts w:ascii="Times New Roman" w:hAnsi="Times New Roman"/>
          <w:sz w:val="22"/>
          <w:szCs w:val="22"/>
        </w:rPr>
      </w:pPr>
      <w:r w:rsidRPr="00CB3EFF">
        <w:rPr>
          <w:rFonts w:ascii="Times New Roman" w:hAnsi="Times New Roman"/>
          <w:sz w:val="22"/>
          <w:szCs w:val="22"/>
        </w:rPr>
        <w:t xml:space="preserve">A determination made </w:t>
      </w:r>
      <w:r w:rsidR="00F74971">
        <w:rPr>
          <w:rFonts w:ascii="Times New Roman" w:hAnsi="Times New Roman"/>
          <w:sz w:val="22"/>
          <w:szCs w:val="22"/>
        </w:rPr>
        <w:t xml:space="preserve">under subsections 7AA(1) or </w:t>
      </w:r>
      <w:r w:rsidR="009B689C">
        <w:rPr>
          <w:rFonts w:ascii="Times New Roman" w:hAnsi="Times New Roman"/>
          <w:sz w:val="22"/>
          <w:szCs w:val="22"/>
        </w:rPr>
        <w:t>7AA</w:t>
      </w:r>
      <w:r w:rsidRPr="00CB3EFF">
        <w:rPr>
          <w:rFonts w:ascii="Times New Roman" w:hAnsi="Times New Roman"/>
          <w:sz w:val="22"/>
          <w:szCs w:val="22"/>
        </w:rPr>
        <w:t>(2) must be made by legislative instrument</w:t>
      </w:r>
      <w:r w:rsidR="009B689C">
        <w:rPr>
          <w:rFonts w:ascii="Times New Roman" w:hAnsi="Times New Roman"/>
          <w:sz w:val="22"/>
          <w:szCs w:val="22"/>
        </w:rPr>
        <w:t>;</w:t>
      </w:r>
      <w:r w:rsidRPr="00CB3EFF">
        <w:rPr>
          <w:rFonts w:ascii="Times New Roman" w:hAnsi="Times New Roman"/>
          <w:sz w:val="22"/>
          <w:szCs w:val="22"/>
        </w:rPr>
        <w:t xml:space="preserve"> and, in accordance with subsection 13(3) of the </w:t>
      </w:r>
      <w:r w:rsidRPr="00CB3EFF">
        <w:rPr>
          <w:rFonts w:ascii="Times New Roman" w:hAnsi="Times New Roman"/>
          <w:i/>
          <w:sz w:val="22"/>
          <w:szCs w:val="22"/>
        </w:rPr>
        <w:t>Legislation Act 2003</w:t>
      </w:r>
      <w:r w:rsidRPr="00CB3EFF">
        <w:rPr>
          <w:rFonts w:ascii="Times New Roman" w:hAnsi="Times New Roman"/>
          <w:sz w:val="22"/>
          <w:szCs w:val="22"/>
        </w:rPr>
        <w:t xml:space="preserve">, </w:t>
      </w:r>
      <w:r w:rsidR="003A5344">
        <w:rPr>
          <w:rFonts w:ascii="Times New Roman" w:hAnsi="Times New Roman"/>
          <w:sz w:val="22"/>
          <w:szCs w:val="22"/>
        </w:rPr>
        <w:t xml:space="preserve">that determination </w:t>
      </w:r>
      <w:r w:rsidRPr="00CB3EFF">
        <w:rPr>
          <w:rFonts w:ascii="Times New Roman" w:hAnsi="Times New Roman"/>
          <w:sz w:val="22"/>
          <w:szCs w:val="22"/>
        </w:rPr>
        <w:t>may be made with reference to a class or classes of goods.</w:t>
      </w:r>
    </w:p>
    <w:p w:rsidR="009C137A" w:rsidRPr="00CB3EFF" w:rsidRDefault="009C137A" w:rsidP="009C137A">
      <w:pPr>
        <w:autoSpaceDE w:val="0"/>
        <w:autoSpaceDN w:val="0"/>
        <w:adjustRightInd w:val="0"/>
        <w:rPr>
          <w:rFonts w:ascii="Times New Roman" w:hAnsi="Times New Roman"/>
          <w:sz w:val="22"/>
          <w:szCs w:val="22"/>
        </w:rPr>
      </w:pPr>
    </w:p>
    <w:p w:rsidR="009C137A" w:rsidRPr="00CB3EFF" w:rsidRDefault="009C137A" w:rsidP="009C137A">
      <w:pPr>
        <w:autoSpaceDE w:val="0"/>
        <w:autoSpaceDN w:val="0"/>
        <w:adjustRightInd w:val="0"/>
        <w:rPr>
          <w:rFonts w:ascii="Times New Roman" w:hAnsi="Times New Roman"/>
          <w:sz w:val="22"/>
          <w:szCs w:val="22"/>
        </w:rPr>
      </w:pPr>
      <w:r w:rsidRPr="00CB3EFF">
        <w:rPr>
          <w:rFonts w:ascii="Times New Roman" w:hAnsi="Times New Roman"/>
          <w:sz w:val="22"/>
          <w:szCs w:val="22"/>
        </w:rPr>
        <w:t xml:space="preserve">Before making a determination under section 7AA, the Minister is required to have regard to certain matters specified in subsection </w:t>
      </w:r>
      <w:proofErr w:type="gramStart"/>
      <w:r w:rsidRPr="00CB3EFF">
        <w:rPr>
          <w:rFonts w:ascii="Times New Roman" w:hAnsi="Times New Roman"/>
          <w:sz w:val="22"/>
          <w:szCs w:val="22"/>
        </w:rPr>
        <w:t>7AA(</w:t>
      </w:r>
      <w:proofErr w:type="gramEnd"/>
      <w:r w:rsidRPr="00CB3EFF">
        <w:rPr>
          <w:rFonts w:ascii="Times New Roman" w:hAnsi="Times New Roman"/>
          <w:sz w:val="22"/>
          <w:szCs w:val="22"/>
        </w:rPr>
        <w:t xml:space="preserve">3). In addition, the Minister may have regard to any other matter that the Minister considers relevant (subsection </w:t>
      </w:r>
      <w:proofErr w:type="gramStart"/>
      <w:r w:rsidRPr="00CB3EFF">
        <w:rPr>
          <w:rFonts w:ascii="Times New Roman" w:hAnsi="Times New Roman"/>
          <w:sz w:val="22"/>
          <w:szCs w:val="22"/>
        </w:rPr>
        <w:t>7AA(</w:t>
      </w:r>
      <w:proofErr w:type="gramEnd"/>
      <w:r w:rsidRPr="00CB3EFF">
        <w:rPr>
          <w:rFonts w:ascii="Times New Roman" w:hAnsi="Times New Roman"/>
          <w:sz w:val="22"/>
          <w:szCs w:val="22"/>
        </w:rPr>
        <w:t>4) refers).</w:t>
      </w:r>
    </w:p>
    <w:p w:rsidR="009C137A" w:rsidRPr="00CB3EFF" w:rsidRDefault="009C137A" w:rsidP="009C137A">
      <w:pPr>
        <w:autoSpaceDE w:val="0"/>
        <w:autoSpaceDN w:val="0"/>
        <w:adjustRightInd w:val="0"/>
        <w:rPr>
          <w:rFonts w:ascii="Times New Roman" w:hAnsi="Times New Roman"/>
          <w:sz w:val="22"/>
          <w:szCs w:val="22"/>
        </w:rPr>
      </w:pPr>
    </w:p>
    <w:p w:rsidR="009C137A" w:rsidRPr="00CB3EFF" w:rsidRDefault="009C137A" w:rsidP="009C137A">
      <w:pPr>
        <w:autoSpaceDE w:val="0"/>
        <w:autoSpaceDN w:val="0"/>
        <w:adjustRightInd w:val="0"/>
        <w:rPr>
          <w:rFonts w:ascii="Times New Roman" w:hAnsi="Times New Roman"/>
          <w:sz w:val="22"/>
          <w:szCs w:val="22"/>
        </w:rPr>
      </w:pPr>
      <w:r w:rsidRPr="00CB3EFF">
        <w:rPr>
          <w:rFonts w:ascii="Times New Roman" w:hAnsi="Times New Roman"/>
          <w:sz w:val="22"/>
          <w:szCs w:val="22"/>
        </w:rPr>
        <w:t>The matters that the Minister must have regard to before makin</w:t>
      </w:r>
      <w:r w:rsidR="00F74971">
        <w:rPr>
          <w:rFonts w:ascii="Times New Roman" w:hAnsi="Times New Roman"/>
          <w:sz w:val="22"/>
          <w:szCs w:val="22"/>
        </w:rPr>
        <w:t>g a determination are</w:t>
      </w:r>
      <w:r w:rsidRPr="00CB3EFF">
        <w:rPr>
          <w:rFonts w:ascii="Times New Roman" w:hAnsi="Times New Roman"/>
          <w:sz w:val="22"/>
          <w:szCs w:val="22"/>
        </w:rPr>
        <w:t>:</w:t>
      </w:r>
    </w:p>
    <w:p w:rsidR="009C137A" w:rsidRPr="00CB3EFF" w:rsidRDefault="009C137A" w:rsidP="009C137A">
      <w:pPr>
        <w:pStyle w:val="ListParagraph"/>
        <w:numPr>
          <w:ilvl w:val="0"/>
          <w:numId w:val="18"/>
        </w:numPr>
        <w:spacing w:before="120"/>
        <w:contextualSpacing w:val="0"/>
        <w:rPr>
          <w:rFonts w:ascii="Times New Roman" w:hAnsi="Times New Roman"/>
          <w:sz w:val="22"/>
          <w:szCs w:val="22"/>
        </w:rPr>
      </w:pPr>
      <w:r w:rsidRPr="00CB3EFF">
        <w:rPr>
          <w:rFonts w:ascii="Times New Roman" w:hAnsi="Times New Roman"/>
          <w:sz w:val="22"/>
          <w:szCs w:val="22"/>
        </w:rPr>
        <w:t>whether it is likely that the specified goods might harm the health of members of the public if not regulated under the Act;</w:t>
      </w:r>
    </w:p>
    <w:p w:rsidR="009C137A" w:rsidRPr="00CB3EFF" w:rsidRDefault="009C137A" w:rsidP="009C137A">
      <w:pPr>
        <w:pStyle w:val="ListParagraph"/>
        <w:numPr>
          <w:ilvl w:val="0"/>
          <w:numId w:val="18"/>
        </w:numPr>
        <w:spacing w:before="120"/>
        <w:contextualSpacing w:val="0"/>
        <w:rPr>
          <w:rFonts w:ascii="Times New Roman" w:hAnsi="Times New Roman"/>
          <w:sz w:val="22"/>
          <w:szCs w:val="22"/>
        </w:rPr>
      </w:pPr>
      <w:r w:rsidRPr="00CB3EFF">
        <w:rPr>
          <w:rFonts w:ascii="Times New Roman" w:hAnsi="Times New Roman"/>
          <w:sz w:val="22"/>
          <w:szCs w:val="22"/>
        </w:rPr>
        <w:t>whether it is appropriate in all the circumstances to apply the national system of controls established by the Act (as mentioned above) to regulate the specified goods; and</w:t>
      </w:r>
    </w:p>
    <w:p w:rsidR="009C137A" w:rsidRPr="00CB3EFF" w:rsidRDefault="009C137A" w:rsidP="009C137A">
      <w:pPr>
        <w:pStyle w:val="ListParagraph"/>
        <w:numPr>
          <w:ilvl w:val="0"/>
          <w:numId w:val="18"/>
        </w:numPr>
        <w:spacing w:before="120"/>
        <w:contextualSpacing w:val="0"/>
        <w:rPr>
          <w:rFonts w:ascii="Times New Roman" w:hAnsi="Times New Roman"/>
          <w:sz w:val="22"/>
          <w:szCs w:val="22"/>
        </w:rPr>
      </w:pPr>
      <w:proofErr w:type="gramStart"/>
      <w:r w:rsidRPr="00CB3EFF">
        <w:rPr>
          <w:rFonts w:ascii="Times New Roman" w:hAnsi="Times New Roman"/>
          <w:sz w:val="22"/>
          <w:szCs w:val="22"/>
        </w:rPr>
        <w:t>whether</w:t>
      </w:r>
      <w:proofErr w:type="gramEnd"/>
      <w:r w:rsidRPr="00CB3EFF">
        <w:rPr>
          <w:rFonts w:ascii="Times New Roman" w:hAnsi="Times New Roman"/>
          <w:sz w:val="22"/>
          <w:szCs w:val="22"/>
        </w:rPr>
        <w:t xml:space="preserve"> the kinds of risks that members of the public might be exposed to from the specified goods could be more appropriately dealt with under another regulatory scheme.</w:t>
      </w:r>
    </w:p>
    <w:p w:rsidR="00195187" w:rsidRDefault="00195187" w:rsidP="004F21EE">
      <w:pPr>
        <w:autoSpaceDE w:val="0"/>
        <w:autoSpaceDN w:val="0"/>
        <w:adjustRightInd w:val="0"/>
        <w:rPr>
          <w:rFonts w:ascii="Times New Roman" w:hAnsi="Times New Roman"/>
          <w:sz w:val="22"/>
          <w:szCs w:val="22"/>
        </w:rPr>
      </w:pPr>
    </w:p>
    <w:p w:rsidR="003630C0" w:rsidRDefault="00DD65C2" w:rsidP="004F21EE">
      <w:pPr>
        <w:autoSpaceDE w:val="0"/>
        <w:autoSpaceDN w:val="0"/>
        <w:adjustRightInd w:val="0"/>
        <w:rPr>
          <w:rFonts w:ascii="Times New Roman" w:hAnsi="Times New Roman"/>
          <w:sz w:val="22"/>
          <w:szCs w:val="22"/>
        </w:rPr>
      </w:pPr>
      <w:r>
        <w:rPr>
          <w:rFonts w:ascii="Times New Roman" w:hAnsi="Times New Roman"/>
          <w:sz w:val="22"/>
          <w:szCs w:val="22"/>
        </w:rPr>
        <w:t>The</w:t>
      </w:r>
      <w:r w:rsidR="003A5344">
        <w:rPr>
          <w:rFonts w:ascii="Times New Roman" w:hAnsi="Times New Roman"/>
          <w:sz w:val="22"/>
          <w:szCs w:val="22"/>
        </w:rPr>
        <w:t xml:space="preserve"> World Health Organisation </w:t>
      </w:r>
      <w:r w:rsidR="003A5344" w:rsidRPr="003A5344">
        <w:rPr>
          <w:rFonts w:ascii="Times New Roman" w:hAnsi="Times New Roman"/>
          <w:sz w:val="22"/>
          <w:szCs w:val="22"/>
        </w:rPr>
        <w:t xml:space="preserve">declared the outbreak of COVID-19 </w:t>
      </w:r>
      <w:r w:rsidR="003A5344">
        <w:rPr>
          <w:rFonts w:ascii="Times New Roman" w:hAnsi="Times New Roman"/>
          <w:sz w:val="22"/>
          <w:szCs w:val="22"/>
        </w:rPr>
        <w:t xml:space="preserve">to be </w:t>
      </w:r>
      <w:r w:rsidR="003A5344" w:rsidRPr="003A5344">
        <w:rPr>
          <w:rFonts w:ascii="Times New Roman" w:hAnsi="Times New Roman"/>
          <w:sz w:val="22"/>
          <w:szCs w:val="22"/>
        </w:rPr>
        <w:t xml:space="preserve">a Public Health Emergency of International Concern on 30 January </w:t>
      </w:r>
      <w:r w:rsidR="003A5344">
        <w:rPr>
          <w:rFonts w:ascii="Times New Roman" w:hAnsi="Times New Roman"/>
          <w:sz w:val="22"/>
          <w:szCs w:val="22"/>
        </w:rPr>
        <w:t>2020</w:t>
      </w:r>
      <w:r w:rsidR="003A5344" w:rsidRPr="003A5344">
        <w:rPr>
          <w:rFonts w:ascii="Times New Roman" w:hAnsi="Times New Roman"/>
          <w:sz w:val="22"/>
          <w:szCs w:val="22"/>
        </w:rPr>
        <w:t xml:space="preserve">, and subsequently characterised the outbreak as a pandemic on 11 March </w:t>
      </w:r>
      <w:r w:rsidR="003A5344">
        <w:rPr>
          <w:rFonts w:ascii="Times New Roman" w:hAnsi="Times New Roman"/>
          <w:sz w:val="22"/>
          <w:szCs w:val="22"/>
        </w:rPr>
        <w:t xml:space="preserve">2020. Since then, the </w:t>
      </w:r>
      <w:r w:rsidR="00601570">
        <w:rPr>
          <w:rFonts w:ascii="Times New Roman" w:hAnsi="Times New Roman"/>
          <w:sz w:val="22"/>
          <w:szCs w:val="22"/>
        </w:rPr>
        <w:t xml:space="preserve">Australian Government </w:t>
      </w:r>
      <w:r w:rsidR="005A7924">
        <w:rPr>
          <w:rFonts w:ascii="Times New Roman" w:hAnsi="Times New Roman"/>
          <w:sz w:val="22"/>
          <w:szCs w:val="22"/>
        </w:rPr>
        <w:t xml:space="preserve">has </w:t>
      </w:r>
      <w:r w:rsidR="00601570">
        <w:rPr>
          <w:rFonts w:ascii="Times New Roman" w:hAnsi="Times New Roman"/>
          <w:sz w:val="22"/>
          <w:szCs w:val="22"/>
        </w:rPr>
        <w:t>declared a human biosecurity emergency in Australia</w:t>
      </w:r>
      <w:r w:rsidR="003A5344">
        <w:rPr>
          <w:rFonts w:ascii="Times New Roman" w:hAnsi="Times New Roman"/>
          <w:sz w:val="22"/>
          <w:szCs w:val="22"/>
        </w:rPr>
        <w:t>.</w:t>
      </w:r>
    </w:p>
    <w:p w:rsidR="00601570" w:rsidRDefault="00601570" w:rsidP="004F21EE">
      <w:pPr>
        <w:autoSpaceDE w:val="0"/>
        <w:autoSpaceDN w:val="0"/>
        <w:adjustRightInd w:val="0"/>
        <w:rPr>
          <w:rFonts w:ascii="Times New Roman" w:hAnsi="Times New Roman"/>
          <w:sz w:val="22"/>
          <w:szCs w:val="22"/>
        </w:rPr>
      </w:pPr>
    </w:p>
    <w:p w:rsidR="00AE0F1A" w:rsidRDefault="00FF7761" w:rsidP="00AE0F1A">
      <w:pPr>
        <w:autoSpaceDE w:val="0"/>
        <w:autoSpaceDN w:val="0"/>
        <w:adjustRightInd w:val="0"/>
        <w:rPr>
          <w:rFonts w:ascii="Times New Roman" w:hAnsi="Times New Roman"/>
          <w:sz w:val="22"/>
          <w:szCs w:val="22"/>
        </w:rPr>
      </w:pPr>
      <w:r>
        <w:rPr>
          <w:rFonts w:ascii="Times New Roman" w:hAnsi="Times New Roman"/>
          <w:sz w:val="22"/>
          <w:szCs w:val="22"/>
        </w:rPr>
        <w:t>G</w:t>
      </w:r>
      <w:r w:rsidR="00274159">
        <w:rPr>
          <w:rFonts w:ascii="Times New Roman" w:hAnsi="Times New Roman"/>
          <w:sz w:val="22"/>
          <w:szCs w:val="22"/>
        </w:rPr>
        <w:t>ood hand hygiene</w:t>
      </w:r>
      <w:r>
        <w:rPr>
          <w:rFonts w:ascii="Times New Roman" w:hAnsi="Times New Roman"/>
          <w:sz w:val="22"/>
          <w:szCs w:val="22"/>
        </w:rPr>
        <w:t xml:space="preserve"> </w:t>
      </w:r>
      <w:r w:rsidR="00274159">
        <w:rPr>
          <w:rFonts w:ascii="Times New Roman" w:hAnsi="Times New Roman"/>
          <w:sz w:val="22"/>
          <w:szCs w:val="22"/>
        </w:rPr>
        <w:t xml:space="preserve">is </w:t>
      </w:r>
      <w:r>
        <w:rPr>
          <w:rFonts w:ascii="Times New Roman" w:hAnsi="Times New Roman"/>
          <w:sz w:val="22"/>
          <w:szCs w:val="22"/>
        </w:rPr>
        <w:t xml:space="preserve">a critical </w:t>
      </w:r>
      <w:r w:rsidR="00274159">
        <w:rPr>
          <w:rFonts w:ascii="Times New Roman" w:hAnsi="Times New Roman"/>
          <w:sz w:val="22"/>
          <w:szCs w:val="22"/>
        </w:rPr>
        <w:t xml:space="preserve">part </w:t>
      </w:r>
      <w:r w:rsidR="00601570">
        <w:rPr>
          <w:rFonts w:ascii="Times New Roman" w:hAnsi="Times New Roman"/>
          <w:sz w:val="22"/>
          <w:szCs w:val="22"/>
        </w:rPr>
        <w:t xml:space="preserve">of </w:t>
      </w:r>
      <w:r w:rsidR="00274159">
        <w:rPr>
          <w:rFonts w:ascii="Times New Roman" w:hAnsi="Times New Roman"/>
          <w:sz w:val="22"/>
          <w:szCs w:val="22"/>
        </w:rPr>
        <w:t xml:space="preserve">Australia’s </w:t>
      </w:r>
      <w:r w:rsidR="00601570">
        <w:rPr>
          <w:rFonts w:ascii="Times New Roman" w:hAnsi="Times New Roman"/>
          <w:sz w:val="22"/>
          <w:szCs w:val="22"/>
        </w:rPr>
        <w:t xml:space="preserve">response to </w:t>
      </w:r>
      <w:r w:rsidR="002E2179">
        <w:rPr>
          <w:rFonts w:ascii="Times New Roman" w:hAnsi="Times New Roman"/>
          <w:sz w:val="22"/>
          <w:szCs w:val="22"/>
        </w:rPr>
        <w:t xml:space="preserve">the </w:t>
      </w:r>
      <w:r w:rsidR="00274159">
        <w:rPr>
          <w:rFonts w:ascii="Times New Roman" w:hAnsi="Times New Roman"/>
          <w:sz w:val="22"/>
          <w:szCs w:val="22"/>
        </w:rPr>
        <w:t xml:space="preserve">COVID-19 </w:t>
      </w:r>
      <w:r w:rsidR="003A5344">
        <w:rPr>
          <w:rFonts w:ascii="Times New Roman" w:hAnsi="Times New Roman"/>
          <w:sz w:val="22"/>
          <w:szCs w:val="22"/>
        </w:rPr>
        <w:t>emergency</w:t>
      </w:r>
      <w:r w:rsidR="00601570">
        <w:rPr>
          <w:rFonts w:ascii="Times New Roman" w:hAnsi="Times New Roman"/>
          <w:sz w:val="22"/>
          <w:szCs w:val="22"/>
        </w:rPr>
        <w:t xml:space="preserve">. </w:t>
      </w:r>
      <w:r>
        <w:rPr>
          <w:rFonts w:ascii="Times New Roman" w:hAnsi="Times New Roman"/>
          <w:sz w:val="22"/>
          <w:szCs w:val="22"/>
        </w:rPr>
        <w:t xml:space="preserve">While washing hands with soap is considered </w:t>
      </w:r>
      <w:proofErr w:type="gramStart"/>
      <w:r>
        <w:rPr>
          <w:rFonts w:ascii="Times New Roman" w:hAnsi="Times New Roman"/>
          <w:sz w:val="22"/>
          <w:szCs w:val="22"/>
        </w:rPr>
        <w:t>to be the</w:t>
      </w:r>
      <w:proofErr w:type="gramEnd"/>
      <w:r>
        <w:rPr>
          <w:rFonts w:ascii="Times New Roman" w:hAnsi="Times New Roman"/>
          <w:sz w:val="22"/>
          <w:szCs w:val="22"/>
        </w:rPr>
        <w:t xml:space="preserve"> most effective way to practice good hand hygiene, hand sanitisers also play an important role in attempting to reduce the spread of microorganisms. </w:t>
      </w:r>
      <w:r w:rsidR="00AE0F1A">
        <w:rPr>
          <w:rFonts w:ascii="Times New Roman" w:hAnsi="Times New Roman"/>
          <w:sz w:val="22"/>
          <w:szCs w:val="22"/>
        </w:rPr>
        <w:t xml:space="preserve">This has led to increased demand </w:t>
      </w:r>
      <w:r w:rsidR="00AC46F0">
        <w:rPr>
          <w:rFonts w:ascii="Times New Roman" w:hAnsi="Times New Roman"/>
          <w:sz w:val="22"/>
          <w:szCs w:val="22"/>
        </w:rPr>
        <w:t>for</w:t>
      </w:r>
      <w:r w:rsidR="00274159">
        <w:rPr>
          <w:rFonts w:ascii="Times New Roman" w:hAnsi="Times New Roman"/>
          <w:sz w:val="22"/>
          <w:szCs w:val="22"/>
        </w:rPr>
        <w:t xml:space="preserve"> </w:t>
      </w:r>
      <w:r w:rsidR="00AE0F1A">
        <w:rPr>
          <w:rFonts w:ascii="Times New Roman" w:hAnsi="Times New Roman"/>
          <w:sz w:val="22"/>
          <w:szCs w:val="22"/>
        </w:rPr>
        <w:t>hand sanitiser</w:t>
      </w:r>
      <w:r w:rsidR="00DE058D">
        <w:rPr>
          <w:rFonts w:ascii="Times New Roman" w:hAnsi="Times New Roman"/>
          <w:sz w:val="22"/>
          <w:szCs w:val="22"/>
        </w:rPr>
        <w:t xml:space="preserve">s </w:t>
      </w:r>
      <w:r w:rsidR="00AE0F1A">
        <w:rPr>
          <w:rFonts w:ascii="Times New Roman" w:hAnsi="Times New Roman"/>
          <w:sz w:val="22"/>
          <w:szCs w:val="22"/>
        </w:rPr>
        <w:t>in Australia</w:t>
      </w:r>
      <w:r w:rsidR="00274159">
        <w:rPr>
          <w:rFonts w:ascii="Times New Roman" w:hAnsi="Times New Roman"/>
          <w:sz w:val="22"/>
          <w:szCs w:val="22"/>
        </w:rPr>
        <w:t xml:space="preserve"> and subsequent shortages</w:t>
      </w:r>
      <w:r>
        <w:rPr>
          <w:rFonts w:ascii="Times New Roman" w:hAnsi="Times New Roman"/>
          <w:sz w:val="22"/>
          <w:szCs w:val="22"/>
        </w:rPr>
        <w:t xml:space="preserve"> in medical and health care settings.</w:t>
      </w:r>
    </w:p>
    <w:p w:rsidR="00FF7761" w:rsidRDefault="00FF7761" w:rsidP="00AE0F1A">
      <w:pPr>
        <w:autoSpaceDE w:val="0"/>
        <w:autoSpaceDN w:val="0"/>
        <w:adjustRightInd w:val="0"/>
        <w:rPr>
          <w:rFonts w:ascii="Times New Roman" w:hAnsi="Times New Roman"/>
          <w:sz w:val="22"/>
          <w:szCs w:val="22"/>
        </w:rPr>
      </w:pPr>
    </w:p>
    <w:p w:rsidR="007F6846" w:rsidRPr="007F6846" w:rsidRDefault="00195187" w:rsidP="007F6846">
      <w:pPr>
        <w:autoSpaceDE w:val="0"/>
        <w:autoSpaceDN w:val="0"/>
        <w:adjustRightInd w:val="0"/>
        <w:rPr>
          <w:rFonts w:ascii="Times New Roman" w:hAnsi="Times New Roman"/>
          <w:sz w:val="22"/>
          <w:szCs w:val="22"/>
        </w:rPr>
      </w:pPr>
      <w:r>
        <w:rPr>
          <w:rFonts w:ascii="Times New Roman" w:hAnsi="Times New Roman"/>
          <w:sz w:val="22"/>
          <w:szCs w:val="22"/>
        </w:rPr>
        <w:t>Th</w:t>
      </w:r>
      <w:r w:rsidR="007B0F1E">
        <w:rPr>
          <w:rFonts w:ascii="Times New Roman" w:hAnsi="Times New Roman"/>
          <w:sz w:val="22"/>
          <w:szCs w:val="22"/>
        </w:rPr>
        <w:t>e</w:t>
      </w:r>
      <w:r w:rsidR="00AE0F1A">
        <w:rPr>
          <w:rFonts w:ascii="Times New Roman" w:hAnsi="Times New Roman"/>
          <w:sz w:val="22"/>
          <w:szCs w:val="22"/>
        </w:rPr>
        <w:t xml:space="preserve"> Determination </w:t>
      </w:r>
      <w:r>
        <w:rPr>
          <w:rFonts w:ascii="Times New Roman" w:hAnsi="Times New Roman"/>
          <w:sz w:val="22"/>
          <w:szCs w:val="22"/>
        </w:rPr>
        <w:t>excludes</w:t>
      </w:r>
      <w:r w:rsidR="00DE058D">
        <w:rPr>
          <w:rFonts w:ascii="Times New Roman" w:hAnsi="Times New Roman"/>
          <w:sz w:val="22"/>
          <w:szCs w:val="22"/>
        </w:rPr>
        <w:t xml:space="preserve"> </w:t>
      </w:r>
      <w:r w:rsidR="00FF7761">
        <w:rPr>
          <w:rFonts w:ascii="Times New Roman" w:hAnsi="Times New Roman"/>
          <w:sz w:val="22"/>
          <w:szCs w:val="22"/>
        </w:rPr>
        <w:t xml:space="preserve">specified </w:t>
      </w:r>
      <w:r w:rsidR="00DE058D">
        <w:rPr>
          <w:rFonts w:ascii="Times New Roman" w:hAnsi="Times New Roman"/>
          <w:sz w:val="22"/>
          <w:szCs w:val="22"/>
        </w:rPr>
        <w:t xml:space="preserve">hand sanitisers </w:t>
      </w:r>
      <w:r w:rsidR="00AE0F1A">
        <w:rPr>
          <w:rFonts w:ascii="Times New Roman" w:hAnsi="Times New Roman"/>
          <w:sz w:val="22"/>
          <w:szCs w:val="22"/>
        </w:rPr>
        <w:t>from the</w:t>
      </w:r>
      <w:r w:rsidR="00572F61">
        <w:rPr>
          <w:rFonts w:ascii="Times New Roman" w:hAnsi="Times New Roman"/>
          <w:sz w:val="22"/>
          <w:szCs w:val="22"/>
        </w:rPr>
        <w:t xml:space="preserve"> operation of the</w:t>
      </w:r>
      <w:r w:rsidR="00AE0F1A">
        <w:rPr>
          <w:rFonts w:ascii="Times New Roman" w:hAnsi="Times New Roman"/>
          <w:sz w:val="22"/>
          <w:szCs w:val="22"/>
        </w:rPr>
        <w:t xml:space="preserve"> Act so </w:t>
      </w:r>
      <w:r w:rsidR="00FF7761">
        <w:rPr>
          <w:rFonts w:ascii="Times New Roman" w:hAnsi="Times New Roman"/>
          <w:sz w:val="22"/>
          <w:szCs w:val="22"/>
        </w:rPr>
        <w:t xml:space="preserve">that these goods </w:t>
      </w:r>
      <w:proofErr w:type="gramStart"/>
      <w:r w:rsidR="00AA6BBF">
        <w:rPr>
          <w:rFonts w:ascii="Times New Roman" w:hAnsi="Times New Roman"/>
          <w:sz w:val="22"/>
          <w:szCs w:val="22"/>
        </w:rPr>
        <w:t xml:space="preserve">may </w:t>
      </w:r>
      <w:r w:rsidR="00AE0F1A">
        <w:rPr>
          <w:rFonts w:ascii="Times New Roman" w:hAnsi="Times New Roman"/>
          <w:sz w:val="22"/>
          <w:szCs w:val="22"/>
        </w:rPr>
        <w:t xml:space="preserve">be </w:t>
      </w:r>
      <w:r w:rsidR="00FF7761">
        <w:rPr>
          <w:rFonts w:ascii="Times New Roman" w:hAnsi="Times New Roman"/>
          <w:sz w:val="22"/>
          <w:szCs w:val="22"/>
        </w:rPr>
        <w:t xml:space="preserve">manufactured and supplied </w:t>
      </w:r>
      <w:r w:rsidR="00AE0F1A">
        <w:rPr>
          <w:rFonts w:ascii="Times New Roman" w:hAnsi="Times New Roman"/>
          <w:sz w:val="22"/>
          <w:szCs w:val="22"/>
        </w:rPr>
        <w:t>urgently</w:t>
      </w:r>
      <w:r w:rsidR="00DE058D">
        <w:rPr>
          <w:rFonts w:ascii="Times New Roman" w:hAnsi="Times New Roman"/>
          <w:sz w:val="22"/>
          <w:szCs w:val="22"/>
        </w:rPr>
        <w:t xml:space="preserve"> </w:t>
      </w:r>
      <w:r w:rsidR="00FF7761">
        <w:rPr>
          <w:rFonts w:ascii="Times New Roman" w:hAnsi="Times New Roman"/>
          <w:sz w:val="22"/>
          <w:szCs w:val="22"/>
        </w:rPr>
        <w:t>within Australia</w:t>
      </w:r>
      <w:proofErr w:type="gramEnd"/>
      <w:r w:rsidR="00AE0F1A">
        <w:rPr>
          <w:rFonts w:ascii="Times New Roman" w:hAnsi="Times New Roman"/>
          <w:sz w:val="22"/>
          <w:szCs w:val="22"/>
        </w:rPr>
        <w:t xml:space="preserve">. </w:t>
      </w:r>
      <w:r w:rsidR="007F6846">
        <w:rPr>
          <w:rFonts w:ascii="Times New Roman" w:hAnsi="Times New Roman"/>
          <w:sz w:val="22"/>
          <w:szCs w:val="22"/>
        </w:rPr>
        <w:t>The exclusion accords with the</w:t>
      </w:r>
      <w:r w:rsidR="00995D35">
        <w:rPr>
          <w:rFonts w:ascii="Times New Roman" w:hAnsi="Times New Roman"/>
          <w:sz w:val="22"/>
          <w:szCs w:val="22"/>
        </w:rPr>
        <w:t> </w:t>
      </w:r>
      <w:r w:rsidR="007F6846">
        <w:rPr>
          <w:rFonts w:ascii="Times New Roman" w:hAnsi="Times New Roman"/>
          <w:sz w:val="22"/>
          <w:szCs w:val="22"/>
        </w:rPr>
        <w:t xml:space="preserve">recent policy position taken by the United States Food and Drug Administration (“USFDA”), </w:t>
      </w:r>
      <w:r w:rsidR="007B0F1E">
        <w:rPr>
          <w:rFonts w:ascii="Times New Roman" w:hAnsi="Times New Roman"/>
          <w:sz w:val="22"/>
          <w:szCs w:val="22"/>
        </w:rPr>
        <w:t xml:space="preserve">communicated in the </w:t>
      </w:r>
      <w:r w:rsidR="007F6846" w:rsidRPr="007B0F1E">
        <w:rPr>
          <w:rFonts w:ascii="Times New Roman" w:hAnsi="Times New Roman"/>
          <w:i/>
          <w:sz w:val="22"/>
          <w:szCs w:val="22"/>
        </w:rPr>
        <w:t>Temporary Policy for Preparation of Certain Alcohol-Based Hand Sanitizer Products During the Public Health Emergency (COVID-19)</w:t>
      </w:r>
      <w:r w:rsidR="007F6846">
        <w:rPr>
          <w:rFonts w:ascii="Times New Roman" w:hAnsi="Times New Roman"/>
          <w:sz w:val="22"/>
          <w:szCs w:val="22"/>
        </w:rPr>
        <w:t xml:space="preserve"> published March 2020. Th</w:t>
      </w:r>
      <w:r w:rsidR="007B0F1E">
        <w:rPr>
          <w:rFonts w:ascii="Times New Roman" w:hAnsi="Times New Roman"/>
          <w:sz w:val="22"/>
          <w:szCs w:val="22"/>
        </w:rPr>
        <w:t>e</w:t>
      </w:r>
      <w:r w:rsidR="007F6846">
        <w:rPr>
          <w:rFonts w:ascii="Times New Roman" w:hAnsi="Times New Roman"/>
          <w:sz w:val="22"/>
          <w:szCs w:val="22"/>
        </w:rPr>
        <w:t xml:space="preserve"> </w:t>
      </w:r>
      <w:r w:rsidR="007B0F1E">
        <w:rPr>
          <w:rFonts w:ascii="Times New Roman" w:hAnsi="Times New Roman"/>
          <w:sz w:val="22"/>
          <w:szCs w:val="22"/>
        </w:rPr>
        <w:t xml:space="preserve">policy </w:t>
      </w:r>
      <w:r w:rsidR="007F6846">
        <w:rPr>
          <w:rFonts w:ascii="Times New Roman" w:hAnsi="Times New Roman"/>
          <w:sz w:val="22"/>
          <w:szCs w:val="22"/>
        </w:rPr>
        <w:t>allow</w:t>
      </w:r>
      <w:r w:rsidR="007B0F1E">
        <w:rPr>
          <w:rFonts w:ascii="Times New Roman" w:hAnsi="Times New Roman"/>
          <w:sz w:val="22"/>
          <w:szCs w:val="22"/>
        </w:rPr>
        <w:t>s</w:t>
      </w:r>
      <w:r w:rsidR="007F6846">
        <w:rPr>
          <w:rFonts w:ascii="Times New Roman" w:hAnsi="Times New Roman"/>
          <w:sz w:val="22"/>
          <w:szCs w:val="22"/>
        </w:rPr>
        <w:t xml:space="preserve"> certain entities that </w:t>
      </w:r>
      <w:proofErr w:type="gramStart"/>
      <w:r w:rsidR="007F6846">
        <w:rPr>
          <w:rFonts w:ascii="Times New Roman" w:hAnsi="Times New Roman"/>
          <w:sz w:val="22"/>
          <w:szCs w:val="22"/>
        </w:rPr>
        <w:t>are not presently regulated</w:t>
      </w:r>
      <w:proofErr w:type="gramEnd"/>
      <w:r w:rsidR="007F6846">
        <w:rPr>
          <w:rFonts w:ascii="Times New Roman" w:hAnsi="Times New Roman"/>
          <w:sz w:val="22"/>
          <w:szCs w:val="22"/>
        </w:rPr>
        <w:t xml:space="preserve"> by the USFDA to </w:t>
      </w:r>
      <w:r w:rsidR="007B0F1E">
        <w:rPr>
          <w:rFonts w:ascii="Times New Roman" w:hAnsi="Times New Roman"/>
          <w:sz w:val="22"/>
          <w:szCs w:val="22"/>
        </w:rPr>
        <w:t xml:space="preserve">manufacture </w:t>
      </w:r>
      <w:r w:rsidR="007F6846">
        <w:rPr>
          <w:rFonts w:ascii="Times New Roman" w:hAnsi="Times New Roman"/>
          <w:sz w:val="22"/>
          <w:szCs w:val="22"/>
        </w:rPr>
        <w:t xml:space="preserve">and distribute </w:t>
      </w:r>
      <w:r w:rsidR="007F6846" w:rsidRPr="007F6846">
        <w:rPr>
          <w:rFonts w:ascii="Times New Roman" w:hAnsi="Times New Roman"/>
          <w:sz w:val="22"/>
          <w:szCs w:val="22"/>
        </w:rPr>
        <w:t>hand saniti</w:t>
      </w:r>
      <w:r w:rsidR="007F6846">
        <w:rPr>
          <w:rFonts w:ascii="Times New Roman" w:hAnsi="Times New Roman"/>
          <w:sz w:val="22"/>
          <w:szCs w:val="22"/>
        </w:rPr>
        <w:t>s</w:t>
      </w:r>
      <w:r w:rsidR="007F6846" w:rsidRPr="007F6846">
        <w:rPr>
          <w:rFonts w:ascii="Times New Roman" w:hAnsi="Times New Roman"/>
          <w:sz w:val="22"/>
          <w:szCs w:val="22"/>
        </w:rPr>
        <w:t>er</w:t>
      </w:r>
      <w:r w:rsidR="007F6846">
        <w:rPr>
          <w:rFonts w:ascii="Times New Roman" w:hAnsi="Times New Roman"/>
          <w:sz w:val="22"/>
          <w:szCs w:val="22"/>
        </w:rPr>
        <w:t>s</w:t>
      </w:r>
      <w:r w:rsidR="007F6846" w:rsidRPr="007F6846">
        <w:rPr>
          <w:rFonts w:ascii="Times New Roman" w:hAnsi="Times New Roman"/>
          <w:sz w:val="22"/>
          <w:szCs w:val="22"/>
        </w:rPr>
        <w:t xml:space="preserve"> </w:t>
      </w:r>
      <w:r w:rsidR="007B0F1E">
        <w:rPr>
          <w:rFonts w:ascii="Times New Roman" w:hAnsi="Times New Roman"/>
          <w:sz w:val="22"/>
          <w:szCs w:val="22"/>
        </w:rPr>
        <w:t xml:space="preserve">during </w:t>
      </w:r>
      <w:r w:rsidR="007F6846">
        <w:rPr>
          <w:rFonts w:ascii="Times New Roman" w:hAnsi="Times New Roman"/>
          <w:sz w:val="22"/>
          <w:szCs w:val="22"/>
        </w:rPr>
        <w:t>the COVID-19 emergency.</w:t>
      </w:r>
      <w:r w:rsidR="007B0F1E">
        <w:rPr>
          <w:rFonts w:ascii="Times New Roman" w:hAnsi="Times New Roman"/>
          <w:sz w:val="22"/>
          <w:szCs w:val="22"/>
        </w:rPr>
        <w:t xml:space="preserve"> The policy </w:t>
      </w:r>
      <w:proofErr w:type="gramStart"/>
      <w:r w:rsidR="007B0F1E">
        <w:rPr>
          <w:rFonts w:ascii="Times New Roman" w:hAnsi="Times New Roman"/>
          <w:sz w:val="22"/>
          <w:szCs w:val="22"/>
        </w:rPr>
        <w:t>was informed</w:t>
      </w:r>
      <w:proofErr w:type="gramEnd"/>
      <w:r w:rsidR="007B0F1E">
        <w:rPr>
          <w:rFonts w:ascii="Times New Roman" w:hAnsi="Times New Roman"/>
          <w:sz w:val="22"/>
          <w:szCs w:val="22"/>
        </w:rPr>
        <w:t xml:space="preserve"> by recommendations of the World Health Organisation for local production of hand sanitisers published in April 2010.</w:t>
      </w:r>
    </w:p>
    <w:p w:rsidR="007B0F1E" w:rsidRDefault="007B0F1E" w:rsidP="00C603D5">
      <w:pPr>
        <w:autoSpaceDE w:val="0"/>
        <w:autoSpaceDN w:val="0"/>
        <w:adjustRightInd w:val="0"/>
        <w:rPr>
          <w:rFonts w:ascii="Times New Roman" w:hAnsi="Times New Roman"/>
          <w:sz w:val="22"/>
          <w:szCs w:val="22"/>
        </w:rPr>
      </w:pPr>
    </w:p>
    <w:p w:rsidR="002624CA" w:rsidRDefault="002624CA" w:rsidP="002624CA">
      <w:pPr>
        <w:autoSpaceDE w:val="0"/>
        <w:autoSpaceDN w:val="0"/>
        <w:adjustRightInd w:val="0"/>
        <w:rPr>
          <w:rFonts w:ascii="Times New Roman" w:hAnsi="Times New Roman"/>
          <w:sz w:val="22"/>
          <w:szCs w:val="22"/>
        </w:rPr>
      </w:pPr>
      <w:r>
        <w:rPr>
          <w:rFonts w:ascii="Times New Roman" w:hAnsi="Times New Roman"/>
          <w:sz w:val="22"/>
          <w:szCs w:val="22"/>
        </w:rPr>
        <w:t>In accordance with the matters to be taken into account under subsection 7AA(3) of the Act, the</w:t>
      </w:r>
      <w:r w:rsidR="00995D35">
        <w:rPr>
          <w:rFonts w:ascii="Times New Roman" w:hAnsi="Times New Roman"/>
          <w:sz w:val="22"/>
          <w:szCs w:val="22"/>
        </w:rPr>
        <w:t> </w:t>
      </w:r>
      <w:r>
        <w:rPr>
          <w:rFonts w:ascii="Times New Roman" w:hAnsi="Times New Roman"/>
          <w:sz w:val="22"/>
          <w:szCs w:val="22"/>
        </w:rPr>
        <w:t xml:space="preserve">goods specified in the </w:t>
      </w:r>
      <w:r w:rsidR="008E350C">
        <w:rPr>
          <w:rFonts w:ascii="Times New Roman" w:hAnsi="Times New Roman"/>
          <w:sz w:val="22"/>
          <w:szCs w:val="22"/>
        </w:rPr>
        <w:t xml:space="preserve">Determination </w:t>
      </w:r>
      <w:r>
        <w:rPr>
          <w:rFonts w:ascii="Times New Roman" w:hAnsi="Times New Roman"/>
          <w:sz w:val="22"/>
          <w:szCs w:val="22"/>
        </w:rPr>
        <w:t xml:space="preserve">are not likely to harm public health when manufactured, advertised or presented for supply in the manner described in the </w:t>
      </w:r>
      <w:r w:rsidR="008E350C">
        <w:rPr>
          <w:rFonts w:ascii="Times New Roman" w:hAnsi="Times New Roman"/>
          <w:sz w:val="22"/>
          <w:szCs w:val="22"/>
        </w:rPr>
        <w:t>Determination</w:t>
      </w:r>
      <w:r>
        <w:rPr>
          <w:rFonts w:ascii="Times New Roman" w:hAnsi="Times New Roman"/>
          <w:sz w:val="22"/>
          <w:szCs w:val="22"/>
        </w:rPr>
        <w:t xml:space="preserve">. Further, it </w:t>
      </w:r>
      <w:r w:rsidRPr="002F5749">
        <w:rPr>
          <w:rFonts w:ascii="Times New Roman" w:hAnsi="Times New Roman"/>
          <w:sz w:val="22"/>
          <w:szCs w:val="22"/>
        </w:rPr>
        <w:t>is not appropriate to apply the national system of con</w:t>
      </w:r>
      <w:r>
        <w:rPr>
          <w:rFonts w:ascii="Times New Roman" w:hAnsi="Times New Roman"/>
          <w:sz w:val="22"/>
          <w:szCs w:val="22"/>
        </w:rPr>
        <w:t xml:space="preserve">trols established by the Act </w:t>
      </w:r>
      <w:r w:rsidRPr="002F5749">
        <w:rPr>
          <w:rFonts w:ascii="Times New Roman" w:hAnsi="Times New Roman"/>
          <w:sz w:val="22"/>
          <w:szCs w:val="22"/>
        </w:rPr>
        <w:t xml:space="preserve">in the </w:t>
      </w:r>
      <w:r>
        <w:rPr>
          <w:rFonts w:ascii="Times New Roman" w:hAnsi="Times New Roman"/>
          <w:sz w:val="22"/>
          <w:szCs w:val="22"/>
        </w:rPr>
        <w:t xml:space="preserve">context of a national emergency, where there is an immediate and pressing need for </w:t>
      </w:r>
      <w:r w:rsidR="00995D35">
        <w:rPr>
          <w:rFonts w:ascii="Times New Roman" w:hAnsi="Times New Roman"/>
          <w:sz w:val="22"/>
          <w:szCs w:val="22"/>
        </w:rPr>
        <w:t xml:space="preserve">the </w:t>
      </w:r>
      <w:r>
        <w:rPr>
          <w:rFonts w:ascii="Times New Roman" w:hAnsi="Times New Roman"/>
          <w:sz w:val="22"/>
          <w:szCs w:val="22"/>
        </w:rPr>
        <w:t>manufacture and supply of these goods in Australia.</w:t>
      </w:r>
    </w:p>
    <w:p w:rsidR="006E403B" w:rsidRDefault="006E403B" w:rsidP="00517DAD">
      <w:pPr>
        <w:autoSpaceDE w:val="0"/>
        <w:autoSpaceDN w:val="0"/>
        <w:adjustRightInd w:val="0"/>
        <w:rPr>
          <w:rFonts w:ascii="Times New Roman" w:hAnsi="Times New Roman"/>
          <w:sz w:val="22"/>
          <w:szCs w:val="22"/>
        </w:rPr>
      </w:pPr>
    </w:p>
    <w:p w:rsidR="002624CA" w:rsidRPr="002624CA" w:rsidRDefault="006E403B" w:rsidP="002624CA">
      <w:pPr>
        <w:autoSpaceDE w:val="0"/>
        <w:autoSpaceDN w:val="0"/>
        <w:adjustRightInd w:val="0"/>
        <w:rPr>
          <w:rFonts w:ascii="Times New Roman" w:hAnsi="Times New Roman"/>
          <w:sz w:val="22"/>
          <w:szCs w:val="22"/>
        </w:rPr>
      </w:pPr>
      <w:r w:rsidRPr="006E403B">
        <w:rPr>
          <w:rFonts w:ascii="Times New Roman" w:hAnsi="Times New Roman"/>
          <w:sz w:val="22"/>
          <w:szCs w:val="22"/>
        </w:rPr>
        <w:t xml:space="preserve">While the goods </w:t>
      </w:r>
      <w:r>
        <w:rPr>
          <w:rFonts w:ascii="Times New Roman" w:hAnsi="Times New Roman"/>
          <w:sz w:val="22"/>
          <w:szCs w:val="22"/>
        </w:rPr>
        <w:t xml:space="preserve">specified in </w:t>
      </w:r>
      <w:r w:rsidRPr="006E403B">
        <w:rPr>
          <w:rFonts w:ascii="Times New Roman" w:hAnsi="Times New Roman"/>
          <w:sz w:val="22"/>
          <w:szCs w:val="22"/>
        </w:rPr>
        <w:t xml:space="preserve">this Determination </w:t>
      </w:r>
      <w:r>
        <w:rPr>
          <w:rFonts w:ascii="Times New Roman" w:hAnsi="Times New Roman"/>
          <w:sz w:val="22"/>
          <w:szCs w:val="22"/>
        </w:rPr>
        <w:t xml:space="preserve">are excluded goods for the purposes of the </w:t>
      </w:r>
      <w:r w:rsidRPr="006E403B">
        <w:rPr>
          <w:rFonts w:ascii="Times New Roman" w:hAnsi="Times New Roman"/>
          <w:sz w:val="22"/>
          <w:szCs w:val="22"/>
        </w:rPr>
        <w:t>Act, th</w:t>
      </w:r>
      <w:r w:rsidR="0089401A">
        <w:rPr>
          <w:rFonts w:ascii="Times New Roman" w:hAnsi="Times New Roman"/>
          <w:sz w:val="22"/>
          <w:szCs w:val="22"/>
        </w:rPr>
        <w:t>e</w:t>
      </w:r>
      <w:r>
        <w:rPr>
          <w:rFonts w:ascii="Times New Roman" w:hAnsi="Times New Roman"/>
          <w:sz w:val="22"/>
          <w:szCs w:val="22"/>
        </w:rPr>
        <w:t>s</w:t>
      </w:r>
      <w:r w:rsidRPr="006E403B">
        <w:rPr>
          <w:rFonts w:ascii="Times New Roman" w:hAnsi="Times New Roman"/>
          <w:sz w:val="22"/>
          <w:szCs w:val="22"/>
        </w:rPr>
        <w:t xml:space="preserve">e goods will continue to </w:t>
      </w:r>
      <w:proofErr w:type="gramStart"/>
      <w:r w:rsidRPr="006E403B">
        <w:rPr>
          <w:rFonts w:ascii="Times New Roman" w:hAnsi="Times New Roman"/>
          <w:sz w:val="22"/>
          <w:szCs w:val="22"/>
        </w:rPr>
        <w:t>be regulated</w:t>
      </w:r>
      <w:proofErr w:type="gramEnd"/>
      <w:r w:rsidRPr="006E403B">
        <w:rPr>
          <w:rFonts w:ascii="Times New Roman" w:hAnsi="Times New Roman"/>
          <w:sz w:val="22"/>
          <w:szCs w:val="22"/>
        </w:rPr>
        <w:t xml:space="preserve"> as consumer goods by the Australian Competition and Consumer Commission</w:t>
      </w:r>
      <w:r>
        <w:rPr>
          <w:rFonts w:ascii="Times New Roman" w:hAnsi="Times New Roman"/>
          <w:sz w:val="22"/>
          <w:szCs w:val="22"/>
        </w:rPr>
        <w:t xml:space="preserve"> under Australian Consumer Law.</w:t>
      </w:r>
      <w:r w:rsidR="002624CA" w:rsidRPr="002624CA">
        <w:rPr>
          <w:rFonts w:ascii="Times New Roman" w:hAnsi="Times New Roman"/>
          <w:sz w:val="22"/>
          <w:szCs w:val="22"/>
        </w:rPr>
        <w:t xml:space="preserve"> The ongoing need for the exclusion </w:t>
      </w:r>
      <w:proofErr w:type="gramStart"/>
      <w:r w:rsidR="002624CA">
        <w:rPr>
          <w:rFonts w:ascii="Times New Roman" w:hAnsi="Times New Roman"/>
          <w:sz w:val="22"/>
          <w:szCs w:val="22"/>
        </w:rPr>
        <w:t xml:space="preserve">may </w:t>
      </w:r>
      <w:r w:rsidR="002624CA" w:rsidRPr="002624CA">
        <w:rPr>
          <w:rFonts w:ascii="Times New Roman" w:hAnsi="Times New Roman"/>
          <w:sz w:val="22"/>
          <w:szCs w:val="22"/>
        </w:rPr>
        <w:t>be revisited</w:t>
      </w:r>
      <w:proofErr w:type="gramEnd"/>
      <w:r w:rsidR="002624CA" w:rsidRPr="002624CA">
        <w:rPr>
          <w:rFonts w:ascii="Times New Roman" w:hAnsi="Times New Roman"/>
          <w:sz w:val="22"/>
          <w:szCs w:val="22"/>
        </w:rPr>
        <w:t xml:space="preserve"> in the future as circumstances change.</w:t>
      </w:r>
    </w:p>
    <w:p w:rsidR="004F21EE" w:rsidRPr="00982459" w:rsidRDefault="004F21EE" w:rsidP="004F21EE">
      <w:pPr>
        <w:autoSpaceDE w:val="0"/>
        <w:autoSpaceDN w:val="0"/>
        <w:adjustRightInd w:val="0"/>
        <w:rPr>
          <w:rFonts w:ascii="Times New Roman" w:hAnsi="Times New Roman"/>
          <w:sz w:val="22"/>
          <w:szCs w:val="22"/>
        </w:rPr>
      </w:pPr>
    </w:p>
    <w:p w:rsidR="00982459" w:rsidRPr="00982459" w:rsidRDefault="00982459" w:rsidP="00982459">
      <w:pPr>
        <w:rPr>
          <w:rFonts w:ascii="Times New Roman" w:hAnsi="Times New Roman"/>
          <w:b/>
          <w:sz w:val="22"/>
          <w:szCs w:val="22"/>
        </w:rPr>
      </w:pPr>
      <w:r w:rsidRPr="00982459">
        <w:rPr>
          <w:rFonts w:ascii="Times New Roman" w:hAnsi="Times New Roman"/>
          <w:b/>
          <w:sz w:val="22"/>
          <w:szCs w:val="22"/>
        </w:rPr>
        <w:t>Incorporation by reference</w:t>
      </w:r>
    </w:p>
    <w:p w:rsidR="00982459" w:rsidRDefault="00982459" w:rsidP="00982459">
      <w:pPr>
        <w:rPr>
          <w:rFonts w:ascii="Times New Roman" w:hAnsi="Times New Roman"/>
          <w:sz w:val="22"/>
          <w:szCs w:val="22"/>
        </w:rPr>
      </w:pPr>
    </w:p>
    <w:p w:rsidR="00982459" w:rsidRDefault="00982459" w:rsidP="00982459">
      <w:pPr>
        <w:rPr>
          <w:rFonts w:ascii="Times New Roman" w:hAnsi="Times New Roman"/>
          <w:sz w:val="22"/>
          <w:szCs w:val="22"/>
        </w:rPr>
      </w:pPr>
      <w:r w:rsidRPr="00982459">
        <w:rPr>
          <w:rFonts w:ascii="Times New Roman" w:hAnsi="Times New Roman"/>
          <w:sz w:val="22"/>
          <w:szCs w:val="22"/>
        </w:rPr>
        <w:t xml:space="preserve">The Determination </w:t>
      </w:r>
      <w:r w:rsidR="00CF12D4">
        <w:rPr>
          <w:rFonts w:ascii="Times New Roman" w:hAnsi="Times New Roman"/>
          <w:sz w:val="22"/>
          <w:szCs w:val="22"/>
        </w:rPr>
        <w:t xml:space="preserve">incorporates by </w:t>
      </w:r>
      <w:r w:rsidRPr="00982459">
        <w:rPr>
          <w:rFonts w:ascii="Times New Roman" w:hAnsi="Times New Roman"/>
          <w:sz w:val="22"/>
          <w:szCs w:val="22"/>
        </w:rPr>
        <w:t>reference</w:t>
      </w:r>
      <w:bookmarkStart w:id="0" w:name="_GoBack"/>
      <w:bookmarkEnd w:id="0"/>
      <w:r w:rsidRPr="00982459">
        <w:rPr>
          <w:rFonts w:ascii="Times New Roman" w:hAnsi="Times New Roman"/>
          <w:sz w:val="22"/>
          <w:szCs w:val="22"/>
        </w:rPr>
        <w:t xml:space="preserve"> the British Pharmacopoeia, </w:t>
      </w:r>
      <w:r>
        <w:rPr>
          <w:rFonts w:ascii="Times New Roman" w:hAnsi="Times New Roman"/>
          <w:sz w:val="22"/>
          <w:szCs w:val="22"/>
        </w:rPr>
        <w:t xml:space="preserve">the </w:t>
      </w:r>
      <w:r w:rsidRPr="00982459">
        <w:rPr>
          <w:rFonts w:ascii="Times New Roman" w:hAnsi="Times New Roman"/>
          <w:sz w:val="22"/>
          <w:szCs w:val="22"/>
        </w:rPr>
        <w:t xml:space="preserve">European Pharmacopoeia and </w:t>
      </w:r>
      <w:r>
        <w:rPr>
          <w:rFonts w:ascii="Times New Roman" w:hAnsi="Times New Roman"/>
          <w:sz w:val="22"/>
          <w:szCs w:val="22"/>
        </w:rPr>
        <w:t xml:space="preserve">the </w:t>
      </w:r>
      <w:r w:rsidRPr="00982459">
        <w:rPr>
          <w:rFonts w:ascii="Times New Roman" w:hAnsi="Times New Roman"/>
          <w:sz w:val="22"/>
          <w:szCs w:val="22"/>
        </w:rPr>
        <w:t>United States Pharmacopeia-National Formulary</w:t>
      </w:r>
      <w:r>
        <w:rPr>
          <w:rFonts w:ascii="Times New Roman" w:hAnsi="Times New Roman"/>
          <w:sz w:val="22"/>
          <w:szCs w:val="22"/>
        </w:rPr>
        <w:t xml:space="preserve">. The </w:t>
      </w:r>
      <w:r w:rsidRPr="00982459">
        <w:rPr>
          <w:rFonts w:ascii="Times New Roman" w:hAnsi="Times New Roman"/>
          <w:sz w:val="22"/>
          <w:szCs w:val="22"/>
        </w:rPr>
        <w:t>note in section 4 of the Determination makes it clear that each of these pharmacopoeia are those as defined</w:t>
      </w:r>
      <w:r>
        <w:rPr>
          <w:rFonts w:ascii="Times New Roman" w:hAnsi="Times New Roman"/>
          <w:sz w:val="22"/>
          <w:szCs w:val="22"/>
        </w:rPr>
        <w:t xml:space="preserve"> in subsection 3(1) of the Act.</w:t>
      </w:r>
    </w:p>
    <w:p w:rsidR="00982459" w:rsidRDefault="00982459" w:rsidP="00982459">
      <w:pPr>
        <w:rPr>
          <w:rFonts w:ascii="Times New Roman" w:hAnsi="Times New Roman"/>
          <w:sz w:val="22"/>
          <w:szCs w:val="22"/>
        </w:rPr>
      </w:pPr>
    </w:p>
    <w:p w:rsidR="00982459" w:rsidRDefault="00982459" w:rsidP="00982459">
      <w:pPr>
        <w:rPr>
          <w:rFonts w:ascii="Times New Roman" w:hAnsi="Times New Roman"/>
          <w:sz w:val="22"/>
          <w:szCs w:val="22"/>
        </w:rPr>
      </w:pPr>
      <w:r w:rsidRPr="00982459">
        <w:rPr>
          <w:rFonts w:ascii="Times New Roman" w:hAnsi="Times New Roman"/>
          <w:sz w:val="22"/>
          <w:szCs w:val="22"/>
        </w:rPr>
        <w:t xml:space="preserve">The definitions of the pharmacopoeia in subsection 3(1) of the Act refer to the publications of each as in effect immediately before the commencement of the relevant definition in the Act, and to any subsequent amendments or editions. The intention in this Determination is therefore to adopt the defined meaning of the pharmacopoeia as set out in subsection 3(1) of the Act (an approach permitted by subsection 10(4) of the Act). </w:t>
      </w:r>
      <w:r w:rsidRPr="00982459">
        <w:rPr>
          <w:rFonts w:ascii="Times New Roman" w:hAnsi="Times New Roman"/>
          <w:sz w:val="22"/>
          <w:szCs w:val="22"/>
        </w:rPr>
        <w:t>Th</w:t>
      </w:r>
      <w:r>
        <w:rPr>
          <w:rFonts w:ascii="Times New Roman" w:hAnsi="Times New Roman"/>
          <w:sz w:val="22"/>
          <w:szCs w:val="22"/>
        </w:rPr>
        <w:t>ose</w:t>
      </w:r>
      <w:r w:rsidRPr="00982459">
        <w:rPr>
          <w:rFonts w:ascii="Times New Roman" w:hAnsi="Times New Roman"/>
          <w:sz w:val="22"/>
          <w:szCs w:val="22"/>
        </w:rPr>
        <w:t xml:space="preserve"> pharmacopoeias</w:t>
      </w:r>
      <w:r w:rsidRPr="00982459">
        <w:rPr>
          <w:rFonts w:ascii="Times New Roman" w:hAnsi="Times New Roman"/>
          <w:sz w:val="22"/>
          <w:szCs w:val="22"/>
        </w:rPr>
        <w:t xml:space="preserve"> </w:t>
      </w:r>
      <w:proofErr w:type="gramStart"/>
      <w:r w:rsidRPr="00982459">
        <w:rPr>
          <w:rFonts w:ascii="Times New Roman" w:hAnsi="Times New Roman"/>
          <w:sz w:val="22"/>
          <w:szCs w:val="22"/>
        </w:rPr>
        <w:t>may be accessed</w:t>
      </w:r>
      <w:proofErr w:type="gramEnd"/>
      <w:r w:rsidRPr="00982459">
        <w:rPr>
          <w:rFonts w:ascii="Times New Roman" w:hAnsi="Times New Roman"/>
          <w:sz w:val="22"/>
          <w:szCs w:val="22"/>
        </w:rPr>
        <w:t xml:space="preserve"> from www.pharmacopoeia.com, </w:t>
      </w:r>
      <w:r w:rsidRPr="00982459">
        <w:rPr>
          <w:rFonts w:ascii="Times New Roman" w:hAnsi="Times New Roman"/>
          <w:sz w:val="22"/>
          <w:szCs w:val="22"/>
        </w:rPr>
        <w:t>https://www.edqm.eu/en/european_pharmacopoeia_10th_edition</w:t>
      </w:r>
      <w:r w:rsidRPr="00982459">
        <w:rPr>
          <w:rFonts w:ascii="Times New Roman" w:hAnsi="Times New Roman"/>
          <w:sz w:val="22"/>
          <w:szCs w:val="22"/>
        </w:rPr>
        <w:t xml:space="preserve"> and </w:t>
      </w:r>
      <w:r>
        <w:rPr>
          <w:rFonts w:ascii="Times New Roman" w:hAnsi="Times New Roman"/>
          <w:sz w:val="22"/>
          <w:szCs w:val="22"/>
        </w:rPr>
        <w:t>www.uspnf.com</w:t>
      </w:r>
      <w:r w:rsidRPr="00982459">
        <w:rPr>
          <w:rFonts w:ascii="Times New Roman" w:hAnsi="Times New Roman"/>
          <w:sz w:val="22"/>
          <w:szCs w:val="22"/>
        </w:rPr>
        <w:t>.</w:t>
      </w:r>
    </w:p>
    <w:p w:rsidR="00982459" w:rsidRPr="00982459" w:rsidRDefault="00982459" w:rsidP="00982459">
      <w:pPr>
        <w:rPr>
          <w:rFonts w:ascii="Times New Roman" w:hAnsi="Times New Roman"/>
          <w:sz w:val="22"/>
          <w:szCs w:val="22"/>
        </w:rPr>
      </w:pPr>
    </w:p>
    <w:p w:rsidR="00982459" w:rsidRDefault="00982459" w:rsidP="006B539F">
      <w:pPr>
        <w:rPr>
          <w:rFonts w:ascii="Times New Roman" w:hAnsi="Times New Roman"/>
          <w:b/>
          <w:sz w:val="22"/>
          <w:szCs w:val="22"/>
        </w:rPr>
      </w:pPr>
      <w:r w:rsidRPr="00982459">
        <w:rPr>
          <w:rFonts w:ascii="Times New Roman" w:hAnsi="Times New Roman"/>
          <w:sz w:val="22"/>
          <w:szCs w:val="22"/>
        </w:rPr>
        <w:t xml:space="preserve">The Determination also adopts the Food Chemicals Codex (“the FCC”) published by the United States </w:t>
      </w:r>
      <w:proofErr w:type="spellStart"/>
      <w:r w:rsidRPr="00982459">
        <w:rPr>
          <w:rFonts w:ascii="Times New Roman" w:hAnsi="Times New Roman"/>
          <w:sz w:val="22"/>
          <w:szCs w:val="22"/>
        </w:rPr>
        <w:t>Pharmacopeial</w:t>
      </w:r>
      <w:proofErr w:type="spellEnd"/>
      <w:r w:rsidRPr="00982459">
        <w:rPr>
          <w:rFonts w:ascii="Times New Roman" w:hAnsi="Times New Roman"/>
          <w:sz w:val="22"/>
          <w:szCs w:val="22"/>
        </w:rPr>
        <w:t xml:space="preserve"> Convention (available at </w:t>
      </w:r>
      <w:hyperlink r:id="rId8" w:history="1">
        <w:r w:rsidRPr="00E3118C">
          <w:rPr>
            <w:rStyle w:val="Hyperlink"/>
            <w:rFonts w:ascii="Times New Roman" w:hAnsi="Times New Roman"/>
            <w:sz w:val="22"/>
            <w:szCs w:val="22"/>
          </w:rPr>
          <w:t>www.foodchemicalscodex.org</w:t>
        </w:r>
      </w:hyperlink>
      <w:r w:rsidRPr="00982459">
        <w:rPr>
          <w:rFonts w:ascii="Times New Roman" w:hAnsi="Times New Roman"/>
          <w:sz w:val="22"/>
          <w:szCs w:val="22"/>
        </w:rPr>
        <w:t>)</w:t>
      </w:r>
      <w:r>
        <w:rPr>
          <w:rFonts w:ascii="Times New Roman" w:hAnsi="Times New Roman"/>
          <w:sz w:val="22"/>
          <w:szCs w:val="22"/>
        </w:rPr>
        <w:t xml:space="preserve"> as in force as at the commencement of the Determination. M</w:t>
      </w:r>
      <w:r w:rsidRPr="00982459">
        <w:rPr>
          <w:rFonts w:ascii="Times New Roman" w:hAnsi="Times New Roman"/>
          <w:sz w:val="22"/>
          <w:szCs w:val="22"/>
        </w:rPr>
        <w:t>embers of the public may request to view the</w:t>
      </w:r>
      <w:r w:rsidR="000C5E08">
        <w:rPr>
          <w:rFonts w:ascii="Times New Roman" w:hAnsi="Times New Roman"/>
          <w:sz w:val="22"/>
          <w:szCs w:val="22"/>
        </w:rPr>
        <w:t xml:space="preserve"> FCC and the</w:t>
      </w:r>
      <w:r w:rsidRPr="00982459">
        <w:rPr>
          <w:rFonts w:ascii="Times New Roman" w:hAnsi="Times New Roman"/>
          <w:sz w:val="22"/>
          <w:szCs w:val="22"/>
        </w:rPr>
        <w:t xml:space="preserve"> pharmacopoeia</w:t>
      </w:r>
      <w:r w:rsidR="000C5E08">
        <w:rPr>
          <w:rFonts w:ascii="Times New Roman" w:hAnsi="Times New Roman"/>
          <w:sz w:val="22"/>
          <w:szCs w:val="22"/>
        </w:rPr>
        <w:t>s</w:t>
      </w:r>
      <w:r w:rsidRPr="00982459">
        <w:rPr>
          <w:rFonts w:ascii="Times New Roman" w:hAnsi="Times New Roman"/>
          <w:sz w:val="22"/>
          <w:szCs w:val="22"/>
        </w:rPr>
        <w:t xml:space="preserve"> without charge at </w:t>
      </w:r>
      <w:r w:rsidR="000C5E08">
        <w:rPr>
          <w:rFonts w:ascii="Times New Roman" w:hAnsi="Times New Roman"/>
          <w:sz w:val="22"/>
          <w:szCs w:val="22"/>
        </w:rPr>
        <w:t>TGA offices in Australia, or local, state and university libraries.</w:t>
      </w:r>
    </w:p>
    <w:p w:rsidR="00982459" w:rsidRDefault="00982459" w:rsidP="006B539F">
      <w:pPr>
        <w:rPr>
          <w:rFonts w:ascii="Times New Roman" w:hAnsi="Times New Roman"/>
          <w:b/>
          <w:sz w:val="22"/>
          <w:szCs w:val="22"/>
        </w:rPr>
      </w:pPr>
    </w:p>
    <w:p w:rsidR="00982459" w:rsidRDefault="00982459">
      <w:pPr>
        <w:spacing w:after="200" w:line="276" w:lineRule="auto"/>
        <w:rPr>
          <w:rFonts w:ascii="Times New Roman" w:hAnsi="Times New Roman"/>
          <w:b/>
          <w:sz w:val="22"/>
          <w:szCs w:val="22"/>
        </w:rPr>
      </w:pPr>
      <w:r>
        <w:rPr>
          <w:rFonts w:ascii="Times New Roman" w:hAnsi="Times New Roman"/>
          <w:b/>
          <w:sz w:val="22"/>
          <w:szCs w:val="22"/>
        </w:rPr>
        <w:br w:type="page"/>
      </w:r>
    </w:p>
    <w:p w:rsidR="007231B2" w:rsidRPr="00CF219B" w:rsidRDefault="007231B2" w:rsidP="006B539F">
      <w:pPr>
        <w:rPr>
          <w:rFonts w:ascii="Times New Roman" w:hAnsi="Times New Roman"/>
          <w:b/>
          <w:sz w:val="22"/>
          <w:szCs w:val="22"/>
        </w:rPr>
      </w:pPr>
      <w:r w:rsidRPr="00CF219B">
        <w:rPr>
          <w:rFonts w:ascii="Times New Roman" w:hAnsi="Times New Roman"/>
          <w:b/>
          <w:sz w:val="22"/>
          <w:szCs w:val="22"/>
        </w:rPr>
        <w:lastRenderedPageBreak/>
        <w:t>C</w:t>
      </w:r>
      <w:r w:rsidR="00294A49" w:rsidRPr="00CF219B">
        <w:rPr>
          <w:rFonts w:ascii="Times New Roman" w:hAnsi="Times New Roman"/>
          <w:b/>
          <w:sz w:val="22"/>
          <w:szCs w:val="22"/>
        </w:rPr>
        <w:t>onsultation</w:t>
      </w:r>
    </w:p>
    <w:p w:rsidR="0030123E" w:rsidRPr="00CF219B" w:rsidRDefault="0030123E" w:rsidP="006B539F">
      <w:pPr>
        <w:rPr>
          <w:rFonts w:ascii="Times New Roman" w:hAnsi="Times New Roman"/>
          <w:sz w:val="22"/>
          <w:szCs w:val="22"/>
        </w:rPr>
      </w:pPr>
    </w:p>
    <w:p w:rsidR="005321F7" w:rsidRDefault="009D239C" w:rsidP="002F5749">
      <w:pPr>
        <w:autoSpaceDE w:val="0"/>
        <w:autoSpaceDN w:val="0"/>
        <w:adjustRightInd w:val="0"/>
        <w:rPr>
          <w:rFonts w:ascii="Times New Roman" w:hAnsi="Times New Roman"/>
          <w:sz w:val="22"/>
          <w:szCs w:val="22"/>
        </w:rPr>
      </w:pPr>
      <w:r>
        <w:rPr>
          <w:rFonts w:ascii="Times New Roman" w:hAnsi="Times New Roman"/>
          <w:sz w:val="22"/>
          <w:szCs w:val="22"/>
        </w:rPr>
        <w:t>The Australia Competition and Consumer Commission (</w:t>
      </w:r>
      <w:r w:rsidR="002F5749">
        <w:rPr>
          <w:rFonts w:ascii="Times New Roman" w:hAnsi="Times New Roman"/>
          <w:sz w:val="22"/>
          <w:szCs w:val="22"/>
        </w:rPr>
        <w:t>“</w:t>
      </w:r>
      <w:r>
        <w:rPr>
          <w:rFonts w:ascii="Times New Roman" w:hAnsi="Times New Roman"/>
          <w:sz w:val="22"/>
          <w:szCs w:val="22"/>
        </w:rPr>
        <w:t>ACCC</w:t>
      </w:r>
      <w:r w:rsidR="002F5749">
        <w:rPr>
          <w:rFonts w:ascii="Times New Roman" w:hAnsi="Times New Roman"/>
          <w:sz w:val="22"/>
          <w:szCs w:val="22"/>
        </w:rPr>
        <w:t>”</w:t>
      </w:r>
      <w:r>
        <w:rPr>
          <w:rFonts w:ascii="Times New Roman" w:hAnsi="Times New Roman"/>
          <w:sz w:val="22"/>
          <w:szCs w:val="22"/>
        </w:rPr>
        <w:t>)</w:t>
      </w:r>
      <w:r w:rsidR="002F5749">
        <w:rPr>
          <w:rFonts w:ascii="Times New Roman" w:hAnsi="Times New Roman"/>
          <w:sz w:val="22"/>
          <w:szCs w:val="22"/>
        </w:rPr>
        <w:t xml:space="preserve">, </w:t>
      </w:r>
      <w:r w:rsidR="002F5749" w:rsidRPr="0089401A">
        <w:rPr>
          <w:rFonts w:ascii="Times New Roman" w:hAnsi="Times New Roman"/>
          <w:sz w:val="22"/>
          <w:szCs w:val="22"/>
        </w:rPr>
        <w:t>the National Industrial Chemicals Notification and Assessment Scheme (“NICNAS”) and the Office of Best Practice Regulation (</w:t>
      </w:r>
      <w:r w:rsidR="00E339D1" w:rsidRPr="0089401A">
        <w:rPr>
          <w:rFonts w:ascii="Times New Roman" w:hAnsi="Times New Roman"/>
          <w:sz w:val="22"/>
          <w:szCs w:val="22"/>
        </w:rPr>
        <w:t>“</w:t>
      </w:r>
      <w:r w:rsidR="002F5749" w:rsidRPr="0089401A">
        <w:rPr>
          <w:rFonts w:ascii="Times New Roman" w:hAnsi="Times New Roman"/>
          <w:sz w:val="22"/>
          <w:szCs w:val="22"/>
        </w:rPr>
        <w:t>OBPR</w:t>
      </w:r>
      <w:r w:rsidR="00E339D1" w:rsidRPr="0089401A">
        <w:rPr>
          <w:rFonts w:ascii="Times New Roman" w:hAnsi="Times New Roman"/>
          <w:sz w:val="22"/>
          <w:szCs w:val="22"/>
        </w:rPr>
        <w:t>”</w:t>
      </w:r>
      <w:r w:rsidR="002F5749" w:rsidRPr="0089401A">
        <w:rPr>
          <w:rFonts w:ascii="Times New Roman" w:hAnsi="Times New Roman"/>
          <w:sz w:val="22"/>
          <w:szCs w:val="22"/>
        </w:rPr>
        <w:t xml:space="preserve">) </w:t>
      </w:r>
      <w:r w:rsidR="00195187" w:rsidRPr="0089401A">
        <w:rPr>
          <w:rFonts w:ascii="Times New Roman" w:hAnsi="Times New Roman"/>
          <w:sz w:val="22"/>
          <w:szCs w:val="22"/>
        </w:rPr>
        <w:t xml:space="preserve">was </w:t>
      </w:r>
      <w:r w:rsidR="002F5749" w:rsidRPr="0089401A">
        <w:rPr>
          <w:rFonts w:ascii="Times New Roman" w:hAnsi="Times New Roman"/>
          <w:sz w:val="22"/>
          <w:szCs w:val="22"/>
        </w:rPr>
        <w:t xml:space="preserve">consulted in the preparation of </w:t>
      </w:r>
      <w:r w:rsidR="00195187" w:rsidRPr="0089401A">
        <w:rPr>
          <w:rFonts w:ascii="Times New Roman" w:hAnsi="Times New Roman"/>
          <w:sz w:val="22"/>
          <w:szCs w:val="22"/>
        </w:rPr>
        <w:t>this Determination</w:t>
      </w:r>
      <w:r w:rsidRPr="0089401A">
        <w:rPr>
          <w:rFonts w:ascii="Times New Roman" w:hAnsi="Times New Roman"/>
          <w:sz w:val="22"/>
          <w:szCs w:val="22"/>
        </w:rPr>
        <w:t>.</w:t>
      </w:r>
    </w:p>
    <w:p w:rsidR="005321F7" w:rsidRDefault="005321F7" w:rsidP="002F5749">
      <w:pPr>
        <w:autoSpaceDE w:val="0"/>
        <w:autoSpaceDN w:val="0"/>
        <w:adjustRightInd w:val="0"/>
        <w:rPr>
          <w:rFonts w:ascii="Times New Roman" w:hAnsi="Times New Roman"/>
          <w:sz w:val="22"/>
          <w:szCs w:val="22"/>
        </w:rPr>
      </w:pPr>
    </w:p>
    <w:p w:rsidR="00370C90" w:rsidRDefault="002F5749" w:rsidP="002F5749">
      <w:pPr>
        <w:autoSpaceDE w:val="0"/>
        <w:autoSpaceDN w:val="0"/>
        <w:adjustRightInd w:val="0"/>
        <w:rPr>
          <w:rFonts w:ascii="Times New Roman" w:hAnsi="Times New Roman"/>
          <w:sz w:val="22"/>
          <w:szCs w:val="22"/>
        </w:rPr>
      </w:pPr>
      <w:r w:rsidRPr="0089401A">
        <w:rPr>
          <w:rFonts w:ascii="Times New Roman" w:hAnsi="Times New Roman"/>
          <w:sz w:val="22"/>
          <w:szCs w:val="22"/>
        </w:rPr>
        <w:t xml:space="preserve">OBPR confirmed </w:t>
      </w:r>
      <w:r w:rsidR="005321F7">
        <w:rPr>
          <w:rFonts w:ascii="Times New Roman" w:hAnsi="Times New Roman"/>
          <w:sz w:val="22"/>
          <w:szCs w:val="22"/>
        </w:rPr>
        <w:t xml:space="preserve">that, due to the </w:t>
      </w:r>
      <w:r w:rsidR="005321F7" w:rsidRPr="005321F7">
        <w:rPr>
          <w:rFonts w:ascii="Times New Roman" w:hAnsi="Times New Roman"/>
          <w:sz w:val="22"/>
          <w:szCs w:val="22"/>
        </w:rPr>
        <w:t>truly urgent and unforeseen events related to the spread of COVID-19</w:t>
      </w:r>
      <w:r w:rsidR="005321F7">
        <w:rPr>
          <w:rFonts w:ascii="Times New Roman" w:hAnsi="Times New Roman"/>
          <w:sz w:val="22"/>
          <w:szCs w:val="22"/>
        </w:rPr>
        <w:t xml:space="preserve">, the </w:t>
      </w:r>
      <w:r w:rsidR="00E339D1">
        <w:rPr>
          <w:rFonts w:ascii="Times New Roman" w:hAnsi="Times New Roman"/>
          <w:sz w:val="22"/>
          <w:szCs w:val="22"/>
        </w:rPr>
        <w:t xml:space="preserve">Prime Minister </w:t>
      </w:r>
      <w:r w:rsidR="005321F7">
        <w:rPr>
          <w:rFonts w:ascii="Times New Roman" w:hAnsi="Times New Roman"/>
          <w:sz w:val="22"/>
          <w:szCs w:val="22"/>
        </w:rPr>
        <w:t>has granted an exemption</w:t>
      </w:r>
      <w:r w:rsidR="005321F7" w:rsidRPr="005321F7">
        <w:rPr>
          <w:rFonts w:ascii="Calibri" w:eastAsiaTheme="minorHAnsi" w:hAnsi="Calibri" w:cs="Calibri"/>
          <w:color w:val="1F497D"/>
          <w:sz w:val="22"/>
          <w:szCs w:val="22"/>
          <w:lang w:eastAsia="en-US"/>
        </w:rPr>
        <w:t xml:space="preserve"> </w:t>
      </w:r>
      <w:r w:rsidR="005321F7" w:rsidRPr="005321F7">
        <w:rPr>
          <w:rFonts w:ascii="Times New Roman" w:hAnsi="Times New Roman"/>
          <w:sz w:val="22"/>
          <w:szCs w:val="22"/>
        </w:rPr>
        <w:t xml:space="preserve">from the </w:t>
      </w:r>
      <w:r w:rsidR="005321F7">
        <w:rPr>
          <w:rFonts w:ascii="Times New Roman" w:hAnsi="Times New Roman"/>
          <w:sz w:val="22"/>
          <w:szCs w:val="22"/>
        </w:rPr>
        <w:t xml:space="preserve">requirement to </w:t>
      </w:r>
      <w:r w:rsidR="005321F7" w:rsidRPr="005321F7">
        <w:rPr>
          <w:rFonts w:ascii="Times New Roman" w:hAnsi="Times New Roman"/>
          <w:sz w:val="22"/>
          <w:szCs w:val="22"/>
        </w:rPr>
        <w:t xml:space="preserve">complete regulatory impact analysis in the form of </w:t>
      </w:r>
      <w:r w:rsidR="005321F7">
        <w:rPr>
          <w:rFonts w:ascii="Times New Roman" w:hAnsi="Times New Roman"/>
          <w:sz w:val="22"/>
          <w:szCs w:val="22"/>
        </w:rPr>
        <w:t xml:space="preserve">a </w:t>
      </w:r>
      <w:r w:rsidR="005321F7" w:rsidRPr="005321F7">
        <w:rPr>
          <w:rFonts w:ascii="Times New Roman" w:hAnsi="Times New Roman"/>
          <w:sz w:val="22"/>
          <w:szCs w:val="22"/>
        </w:rPr>
        <w:t>Regulation Impact Statement for all Australian Government measures made in response to COVID-19</w:t>
      </w:r>
      <w:r w:rsidR="00DE058D" w:rsidRPr="00DE058D">
        <w:rPr>
          <w:rFonts w:ascii="Times New Roman" w:hAnsi="Times New Roman"/>
          <w:sz w:val="22"/>
          <w:szCs w:val="22"/>
        </w:rPr>
        <w:t xml:space="preserve"> </w:t>
      </w:r>
      <w:r w:rsidR="00D70C16" w:rsidRPr="00DE058D">
        <w:rPr>
          <w:rFonts w:ascii="Times New Roman" w:hAnsi="Times New Roman"/>
          <w:sz w:val="22"/>
          <w:szCs w:val="22"/>
        </w:rPr>
        <w:t>(OBPR reference:</w:t>
      </w:r>
      <w:r w:rsidR="00473C2E" w:rsidRPr="00DE058D">
        <w:rPr>
          <w:rFonts w:ascii="Times New Roman" w:hAnsi="Times New Roman"/>
          <w:sz w:val="22"/>
          <w:szCs w:val="22"/>
        </w:rPr>
        <w:t xml:space="preserve"> </w:t>
      </w:r>
      <w:r w:rsidR="00DE058D" w:rsidRPr="00DE058D">
        <w:rPr>
          <w:rFonts w:ascii="Times New Roman" w:hAnsi="Times New Roman"/>
          <w:sz w:val="22"/>
          <w:szCs w:val="22"/>
        </w:rPr>
        <w:t>26445</w:t>
      </w:r>
      <w:r w:rsidR="00D70C16" w:rsidRPr="00DE058D">
        <w:rPr>
          <w:rFonts w:ascii="Times New Roman" w:hAnsi="Times New Roman"/>
          <w:sz w:val="22"/>
          <w:szCs w:val="22"/>
        </w:rPr>
        <w:t>).</w:t>
      </w:r>
    </w:p>
    <w:p w:rsidR="00370C90" w:rsidRDefault="00370C90" w:rsidP="006B539F">
      <w:pPr>
        <w:rPr>
          <w:rFonts w:ascii="Times New Roman" w:hAnsi="Times New Roman"/>
          <w:sz w:val="22"/>
          <w:szCs w:val="22"/>
        </w:rPr>
      </w:pPr>
    </w:p>
    <w:p w:rsidR="00294A49" w:rsidRPr="00CF219B" w:rsidRDefault="00294A49" w:rsidP="007231B2">
      <w:pPr>
        <w:rPr>
          <w:rFonts w:ascii="Times New Roman" w:hAnsi="Times New Roman"/>
          <w:sz w:val="22"/>
          <w:szCs w:val="22"/>
        </w:rPr>
      </w:pPr>
      <w:r w:rsidRPr="00CF219B">
        <w:rPr>
          <w:rFonts w:ascii="Times New Roman" w:hAnsi="Times New Roman"/>
          <w:sz w:val="22"/>
          <w:szCs w:val="22"/>
        </w:rPr>
        <w:t xml:space="preserve">Details of the </w:t>
      </w:r>
      <w:r w:rsidR="00E92259">
        <w:rPr>
          <w:rFonts w:ascii="Times New Roman" w:hAnsi="Times New Roman"/>
          <w:sz w:val="22"/>
          <w:szCs w:val="22"/>
        </w:rPr>
        <w:t>Determination</w:t>
      </w:r>
      <w:r w:rsidR="00FB154A" w:rsidRPr="00CF219B">
        <w:rPr>
          <w:rFonts w:ascii="Times New Roman" w:hAnsi="Times New Roman"/>
          <w:sz w:val="22"/>
          <w:szCs w:val="22"/>
        </w:rPr>
        <w:t xml:space="preserve"> </w:t>
      </w:r>
      <w:r w:rsidRPr="00CF219B">
        <w:rPr>
          <w:rFonts w:ascii="Times New Roman" w:hAnsi="Times New Roman"/>
          <w:sz w:val="22"/>
          <w:szCs w:val="22"/>
        </w:rPr>
        <w:t xml:space="preserve">are set out in </w:t>
      </w:r>
      <w:r w:rsidRPr="000810B4">
        <w:rPr>
          <w:rFonts w:ascii="Times New Roman" w:hAnsi="Times New Roman"/>
          <w:b/>
          <w:sz w:val="22"/>
          <w:szCs w:val="22"/>
        </w:rPr>
        <w:t>Attachment A.</w:t>
      </w:r>
    </w:p>
    <w:p w:rsidR="00294A49" w:rsidRPr="00CF219B" w:rsidRDefault="00294A49" w:rsidP="007231B2">
      <w:pPr>
        <w:rPr>
          <w:rFonts w:ascii="Times New Roman" w:hAnsi="Times New Roman"/>
          <w:sz w:val="22"/>
          <w:szCs w:val="22"/>
        </w:rPr>
      </w:pPr>
    </w:p>
    <w:p w:rsidR="00294A49" w:rsidRPr="00CF219B" w:rsidRDefault="00294A49" w:rsidP="00294A49">
      <w:pPr>
        <w:rPr>
          <w:rFonts w:ascii="Times New Roman" w:hAnsi="Times New Roman"/>
          <w:sz w:val="22"/>
          <w:szCs w:val="22"/>
        </w:rPr>
      </w:pPr>
      <w:r w:rsidRPr="00CF219B">
        <w:rPr>
          <w:rFonts w:ascii="Times New Roman" w:hAnsi="Times New Roman"/>
          <w:sz w:val="22"/>
          <w:szCs w:val="22"/>
        </w:rPr>
        <w:t xml:space="preserve">The </w:t>
      </w:r>
      <w:r w:rsidR="00E92259">
        <w:rPr>
          <w:rFonts w:ascii="Times New Roman" w:hAnsi="Times New Roman"/>
          <w:sz w:val="22"/>
          <w:szCs w:val="22"/>
        </w:rPr>
        <w:t>Determination</w:t>
      </w:r>
      <w:r w:rsidR="00FB154A" w:rsidRPr="00CF219B">
        <w:rPr>
          <w:rFonts w:ascii="Times New Roman" w:hAnsi="Times New Roman"/>
          <w:sz w:val="22"/>
          <w:szCs w:val="22"/>
        </w:rPr>
        <w:t xml:space="preserve"> </w:t>
      </w:r>
      <w:r w:rsidRPr="00CF219B">
        <w:rPr>
          <w:rFonts w:ascii="Times New Roman" w:hAnsi="Times New Roman"/>
          <w:sz w:val="22"/>
          <w:szCs w:val="22"/>
        </w:rPr>
        <w:t xml:space="preserve">is 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A full statement of compatibility is set out in </w:t>
      </w:r>
      <w:r w:rsidRPr="000810B4">
        <w:rPr>
          <w:rFonts w:ascii="Times New Roman" w:hAnsi="Times New Roman"/>
          <w:b/>
          <w:sz w:val="22"/>
          <w:szCs w:val="22"/>
        </w:rPr>
        <w:t>Attachment B.</w:t>
      </w:r>
    </w:p>
    <w:p w:rsidR="00294A49" w:rsidRPr="00CF219B" w:rsidRDefault="00294A49" w:rsidP="007231B2">
      <w:pPr>
        <w:rPr>
          <w:rFonts w:ascii="Times New Roman" w:hAnsi="Times New Roman"/>
          <w:sz w:val="22"/>
          <w:szCs w:val="22"/>
        </w:rPr>
      </w:pPr>
    </w:p>
    <w:p w:rsidR="002B5CF0" w:rsidRPr="00CF219B" w:rsidRDefault="00CC7CE5" w:rsidP="005C30F9">
      <w:pPr>
        <w:rPr>
          <w:rFonts w:ascii="Times New Roman" w:hAnsi="Times New Roman"/>
          <w:sz w:val="22"/>
          <w:szCs w:val="22"/>
        </w:rPr>
      </w:pPr>
      <w:r w:rsidRPr="00CF219B">
        <w:rPr>
          <w:rFonts w:ascii="Times New Roman" w:hAnsi="Times New Roman"/>
          <w:sz w:val="22"/>
          <w:szCs w:val="22"/>
        </w:rPr>
        <w:t xml:space="preserve">The </w:t>
      </w:r>
      <w:r w:rsidR="00E92259">
        <w:rPr>
          <w:rFonts w:ascii="Times New Roman" w:hAnsi="Times New Roman"/>
          <w:sz w:val="22"/>
          <w:szCs w:val="22"/>
        </w:rPr>
        <w:t>Determination</w:t>
      </w:r>
      <w:r w:rsidR="00FB154A" w:rsidRPr="00CF219B">
        <w:rPr>
          <w:rFonts w:ascii="Times New Roman" w:hAnsi="Times New Roman"/>
          <w:sz w:val="22"/>
          <w:szCs w:val="22"/>
        </w:rPr>
        <w:t xml:space="preserve"> </w:t>
      </w:r>
      <w:r w:rsidRPr="00CF219B">
        <w:rPr>
          <w:rFonts w:ascii="Times New Roman" w:hAnsi="Times New Roman"/>
          <w:sz w:val="22"/>
          <w:szCs w:val="22"/>
        </w:rPr>
        <w:t>is a disallowable legislative instrument</w:t>
      </w:r>
      <w:r w:rsidRPr="00CF219B">
        <w:rPr>
          <w:rFonts w:ascii="Times New Roman" w:hAnsi="Times New Roman"/>
          <w:i/>
          <w:sz w:val="22"/>
          <w:szCs w:val="22"/>
        </w:rPr>
        <w:t xml:space="preserve"> </w:t>
      </w:r>
      <w:r w:rsidR="00FB154A" w:rsidRPr="00CF219B">
        <w:rPr>
          <w:rFonts w:ascii="Times New Roman" w:hAnsi="Times New Roman"/>
          <w:sz w:val="22"/>
          <w:szCs w:val="22"/>
        </w:rPr>
        <w:t xml:space="preserve">for the purposes of the </w:t>
      </w:r>
      <w:r w:rsidR="00FB154A" w:rsidRPr="00CF219B">
        <w:rPr>
          <w:rFonts w:ascii="Times New Roman" w:hAnsi="Times New Roman"/>
          <w:i/>
          <w:sz w:val="22"/>
          <w:szCs w:val="22"/>
        </w:rPr>
        <w:t xml:space="preserve">Legislation Act 2003 </w:t>
      </w:r>
      <w:r w:rsidRPr="00CF219B">
        <w:rPr>
          <w:rFonts w:ascii="Times New Roman" w:hAnsi="Times New Roman"/>
          <w:sz w:val="22"/>
          <w:szCs w:val="22"/>
        </w:rPr>
        <w:t xml:space="preserve">and commences on the day after </w:t>
      </w:r>
      <w:r w:rsidR="00285684">
        <w:rPr>
          <w:rFonts w:ascii="Times New Roman" w:hAnsi="Times New Roman"/>
          <w:sz w:val="22"/>
          <w:szCs w:val="22"/>
        </w:rPr>
        <w:t xml:space="preserve">it </w:t>
      </w:r>
      <w:proofErr w:type="gramStart"/>
      <w:r w:rsidR="00285684">
        <w:rPr>
          <w:rFonts w:ascii="Times New Roman" w:hAnsi="Times New Roman"/>
          <w:sz w:val="22"/>
          <w:szCs w:val="22"/>
        </w:rPr>
        <w:t>is registered</w:t>
      </w:r>
      <w:proofErr w:type="gramEnd"/>
      <w:r w:rsidR="00285684" w:rsidRPr="00CF219B">
        <w:rPr>
          <w:rFonts w:ascii="Times New Roman" w:hAnsi="Times New Roman"/>
          <w:sz w:val="22"/>
          <w:szCs w:val="22"/>
        </w:rPr>
        <w:t xml:space="preserve"> </w:t>
      </w:r>
      <w:r w:rsidRPr="00CF219B">
        <w:rPr>
          <w:rFonts w:ascii="Times New Roman" w:hAnsi="Times New Roman"/>
          <w:sz w:val="22"/>
          <w:szCs w:val="22"/>
        </w:rPr>
        <w:t>on the Federal Register of Legislation</w:t>
      </w:r>
      <w:r w:rsidR="006B539F" w:rsidRPr="00CF219B">
        <w:rPr>
          <w:rFonts w:ascii="Times New Roman" w:hAnsi="Times New Roman"/>
          <w:sz w:val="22"/>
          <w:szCs w:val="22"/>
        </w:rPr>
        <w:t>.</w:t>
      </w:r>
    </w:p>
    <w:p w:rsidR="00420786" w:rsidRPr="00CF219B" w:rsidRDefault="00420786" w:rsidP="005C30F9">
      <w:pPr>
        <w:rPr>
          <w:rFonts w:ascii="Times New Roman" w:hAnsi="Times New Roman"/>
          <w:sz w:val="22"/>
          <w:szCs w:val="22"/>
        </w:rPr>
      </w:pPr>
      <w:r w:rsidRPr="00CF219B">
        <w:rPr>
          <w:rFonts w:ascii="Times New Roman" w:hAnsi="Times New Roman"/>
          <w:b/>
          <w:bCs/>
          <w:sz w:val="22"/>
          <w:szCs w:val="22"/>
        </w:rPr>
        <w:br w:type="page"/>
      </w:r>
    </w:p>
    <w:p w:rsidR="00294A49" w:rsidRPr="00CF219B" w:rsidRDefault="00294A49" w:rsidP="00294A49">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rsidR="00294A49" w:rsidRPr="00CF219B" w:rsidRDefault="00294A49" w:rsidP="00294A49">
      <w:pPr>
        <w:rPr>
          <w:rFonts w:ascii="Times New Roman" w:hAnsi="Times New Roman"/>
          <w:b/>
          <w:bCs/>
          <w:sz w:val="22"/>
          <w:szCs w:val="22"/>
        </w:rPr>
      </w:pPr>
    </w:p>
    <w:p w:rsidR="00294A49" w:rsidRPr="00805651" w:rsidRDefault="00294A49" w:rsidP="00294A49">
      <w:pPr>
        <w:rPr>
          <w:rFonts w:ascii="Times New Roman" w:hAnsi="Times New Roman"/>
          <w:szCs w:val="24"/>
        </w:rPr>
      </w:pPr>
      <w:r w:rsidRPr="00CF219B">
        <w:rPr>
          <w:rFonts w:ascii="Times New Roman" w:hAnsi="Times New Roman"/>
          <w:b/>
          <w:bCs/>
          <w:sz w:val="22"/>
          <w:szCs w:val="22"/>
        </w:rPr>
        <w:t xml:space="preserve">Details of the </w:t>
      </w:r>
      <w:r w:rsidR="00195187" w:rsidRPr="00195187">
        <w:rPr>
          <w:rFonts w:ascii="Times New Roman" w:hAnsi="Times New Roman"/>
          <w:b/>
          <w:i/>
          <w:sz w:val="22"/>
          <w:szCs w:val="22"/>
        </w:rPr>
        <w:t>Therapeutic Goods (Excluded Goods</w:t>
      </w:r>
      <w:r w:rsidR="00195187" w:rsidRPr="00195187">
        <w:rPr>
          <w:rFonts w:ascii="Times New Roman" w:hAnsi="Times New Roman"/>
          <w:b/>
          <w:i/>
          <w:szCs w:val="24"/>
        </w:rPr>
        <w:t>—</w:t>
      </w:r>
      <w:r w:rsidR="00195187" w:rsidRPr="00195187">
        <w:rPr>
          <w:rFonts w:ascii="Times New Roman" w:hAnsi="Times New Roman"/>
          <w:b/>
          <w:i/>
          <w:sz w:val="22"/>
          <w:szCs w:val="22"/>
        </w:rPr>
        <w:t>Hand Sanitisers) Determination 2020</w:t>
      </w:r>
    </w:p>
    <w:p w:rsidR="00294A49" w:rsidRPr="00CF219B" w:rsidRDefault="00294A49" w:rsidP="00294A49">
      <w:pPr>
        <w:rPr>
          <w:rFonts w:ascii="Times New Roman" w:hAnsi="Times New Roman"/>
          <w:b/>
          <w:bCs/>
          <w:i/>
          <w:sz w:val="22"/>
          <w:szCs w:val="22"/>
        </w:rPr>
      </w:pPr>
    </w:p>
    <w:p w:rsidR="00294A49"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1 – Name</w:t>
      </w:r>
    </w:p>
    <w:p w:rsidR="00B279BF" w:rsidRPr="00CF219B" w:rsidRDefault="00B279BF" w:rsidP="00294A49">
      <w:pPr>
        <w:rPr>
          <w:rFonts w:ascii="Times New Roman" w:hAnsi="Times New Roman"/>
          <w:b/>
          <w:bCs/>
          <w:sz w:val="22"/>
          <w:szCs w:val="22"/>
        </w:rPr>
      </w:pPr>
    </w:p>
    <w:p w:rsidR="00B279BF" w:rsidRPr="00CF219B" w:rsidRDefault="00B279BF" w:rsidP="00294A49">
      <w:pPr>
        <w:rPr>
          <w:rFonts w:ascii="Times New Roman" w:hAnsi="Times New Roman"/>
          <w:sz w:val="22"/>
          <w:szCs w:val="22"/>
        </w:rPr>
      </w:pPr>
      <w:r w:rsidRPr="00CF219B">
        <w:rPr>
          <w:rFonts w:ascii="Times New Roman" w:hAnsi="Times New Roman"/>
          <w:sz w:val="22"/>
          <w:szCs w:val="22"/>
        </w:rPr>
        <w:t>This section provides that the name of th</w:t>
      </w:r>
      <w:r w:rsidR="00846A95" w:rsidRPr="00CF219B">
        <w:rPr>
          <w:rFonts w:ascii="Times New Roman" w:hAnsi="Times New Roman"/>
          <w:sz w:val="22"/>
          <w:szCs w:val="22"/>
        </w:rPr>
        <w:t>e</w:t>
      </w:r>
      <w:r w:rsidRPr="00CF219B">
        <w:rPr>
          <w:rFonts w:ascii="Times New Roman" w:hAnsi="Times New Roman"/>
          <w:sz w:val="22"/>
          <w:szCs w:val="22"/>
        </w:rPr>
        <w:t xml:space="preserve"> </w:t>
      </w:r>
      <w:r w:rsidR="006B539F" w:rsidRPr="00CF219B">
        <w:rPr>
          <w:rFonts w:ascii="Times New Roman" w:hAnsi="Times New Roman"/>
          <w:sz w:val="22"/>
          <w:szCs w:val="22"/>
        </w:rPr>
        <w:t xml:space="preserve">instrument </w:t>
      </w:r>
      <w:r w:rsidRPr="00CF219B">
        <w:rPr>
          <w:rFonts w:ascii="Times New Roman" w:hAnsi="Times New Roman"/>
          <w:sz w:val="22"/>
          <w:szCs w:val="22"/>
        </w:rPr>
        <w:t xml:space="preserve">is the </w:t>
      </w:r>
      <w:r w:rsidR="00567F49" w:rsidRPr="00075585">
        <w:rPr>
          <w:rFonts w:ascii="Times New Roman" w:hAnsi="Times New Roman"/>
          <w:i/>
          <w:sz w:val="22"/>
          <w:szCs w:val="22"/>
        </w:rPr>
        <w:t>Therapeutic Goods (Excluded Goods</w:t>
      </w:r>
      <w:r w:rsidR="00075585" w:rsidRPr="00075585">
        <w:rPr>
          <w:rFonts w:ascii="Times New Roman" w:hAnsi="Times New Roman"/>
          <w:i/>
          <w:szCs w:val="24"/>
        </w:rPr>
        <w:t>—</w:t>
      </w:r>
      <w:r w:rsidR="00075585" w:rsidRPr="00075585">
        <w:rPr>
          <w:rFonts w:ascii="Times New Roman" w:hAnsi="Times New Roman"/>
          <w:i/>
          <w:sz w:val="22"/>
          <w:szCs w:val="22"/>
        </w:rPr>
        <w:t>Hand Sanitisers</w:t>
      </w:r>
      <w:r w:rsidR="00567F49" w:rsidRPr="00075585">
        <w:rPr>
          <w:rFonts w:ascii="Times New Roman" w:hAnsi="Times New Roman"/>
          <w:i/>
          <w:sz w:val="22"/>
          <w:szCs w:val="22"/>
        </w:rPr>
        <w:t xml:space="preserve">) Determination </w:t>
      </w:r>
      <w:r w:rsidR="00075585">
        <w:rPr>
          <w:rFonts w:ascii="Times New Roman" w:hAnsi="Times New Roman"/>
          <w:i/>
          <w:sz w:val="22"/>
          <w:szCs w:val="22"/>
        </w:rPr>
        <w:t>2020</w:t>
      </w:r>
      <w:r w:rsidR="00567F49" w:rsidRPr="00F93DF3">
        <w:rPr>
          <w:rFonts w:ascii="Times New Roman" w:hAnsi="Times New Roman"/>
          <w:i/>
          <w:sz w:val="22"/>
          <w:szCs w:val="22"/>
        </w:rPr>
        <w:t xml:space="preserve"> </w:t>
      </w:r>
      <w:r w:rsidR="00453115">
        <w:t xml:space="preserve">(“the </w:t>
      </w:r>
      <w:r w:rsidR="00567F49">
        <w:t>Determination</w:t>
      </w:r>
      <w:r w:rsidR="00453115">
        <w:t>”)</w:t>
      </w:r>
      <w:r w:rsidRPr="00CF219B">
        <w:rPr>
          <w:rFonts w:ascii="Times New Roman" w:hAnsi="Times New Roman"/>
          <w:sz w:val="22"/>
          <w:szCs w:val="22"/>
        </w:rPr>
        <w:t>.</w:t>
      </w:r>
    </w:p>
    <w:p w:rsidR="00B279BF" w:rsidRPr="00CF219B" w:rsidRDefault="00B279BF" w:rsidP="00882AED">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2 – Commencement</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Cs/>
          <w:sz w:val="22"/>
          <w:szCs w:val="22"/>
        </w:rPr>
      </w:pPr>
      <w:r w:rsidRPr="00CF219B">
        <w:rPr>
          <w:rFonts w:ascii="Times New Roman" w:hAnsi="Times New Roman"/>
          <w:bCs/>
          <w:sz w:val="22"/>
          <w:szCs w:val="22"/>
        </w:rPr>
        <w:t xml:space="preserve">This section provides that </w:t>
      </w:r>
      <w:r w:rsidR="00846A95" w:rsidRPr="00CF219B">
        <w:rPr>
          <w:rFonts w:ascii="Times New Roman" w:hAnsi="Times New Roman"/>
          <w:bCs/>
          <w:sz w:val="22"/>
          <w:szCs w:val="22"/>
        </w:rPr>
        <w:t xml:space="preserve">the </w:t>
      </w:r>
      <w:r w:rsidR="00567F49">
        <w:rPr>
          <w:rFonts w:ascii="Times New Roman" w:hAnsi="Times New Roman"/>
          <w:bCs/>
          <w:sz w:val="22"/>
          <w:szCs w:val="22"/>
        </w:rPr>
        <w:t>Determination</w:t>
      </w:r>
      <w:r w:rsidR="00CF4A5D" w:rsidRPr="00CF219B">
        <w:rPr>
          <w:rFonts w:ascii="Times New Roman" w:hAnsi="Times New Roman"/>
          <w:bCs/>
          <w:sz w:val="22"/>
          <w:szCs w:val="22"/>
        </w:rPr>
        <w:t xml:space="preserve"> </w:t>
      </w:r>
      <w:proofErr w:type="gramStart"/>
      <w:r w:rsidR="00846A95" w:rsidRPr="00CF219B">
        <w:rPr>
          <w:rFonts w:ascii="Times New Roman" w:hAnsi="Times New Roman"/>
          <w:bCs/>
          <w:sz w:val="22"/>
          <w:szCs w:val="22"/>
        </w:rPr>
        <w:t>commences</w:t>
      </w:r>
      <w:proofErr w:type="gramEnd"/>
      <w:r w:rsidR="007727E7">
        <w:rPr>
          <w:rFonts w:ascii="Times New Roman" w:hAnsi="Times New Roman"/>
          <w:bCs/>
          <w:sz w:val="22"/>
          <w:szCs w:val="22"/>
        </w:rPr>
        <w:t xml:space="preserve"> on</w:t>
      </w:r>
      <w:r w:rsidR="00846A95" w:rsidRPr="00CF219B">
        <w:rPr>
          <w:rFonts w:ascii="Times New Roman" w:hAnsi="Times New Roman"/>
          <w:bCs/>
          <w:sz w:val="22"/>
          <w:szCs w:val="22"/>
        </w:rPr>
        <w:t xml:space="preserve"> the day after </w:t>
      </w:r>
      <w:r w:rsidR="00650907" w:rsidRPr="00CF219B">
        <w:rPr>
          <w:rFonts w:ascii="Times New Roman" w:hAnsi="Times New Roman"/>
          <w:bCs/>
          <w:sz w:val="22"/>
          <w:szCs w:val="22"/>
        </w:rPr>
        <w:t xml:space="preserve">it is </w:t>
      </w:r>
      <w:r w:rsidR="00846A95" w:rsidRPr="00CF219B">
        <w:rPr>
          <w:rFonts w:ascii="Times New Roman" w:hAnsi="Times New Roman"/>
          <w:bCs/>
          <w:sz w:val="22"/>
          <w:szCs w:val="22"/>
        </w:rPr>
        <w:t>regist</w:t>
      </w:r>
      <w:r w:rsidR="00650907" w:rsidRPr="00CF219B">
        <w:rPr>
          <w:rFonts w:ascii="Times New Roman" w:hAnsi="Times New Roman"/>
          <w:bCs/>
          <w:sz w:val="22"/>
          <w:szCs w:val="22"/>
        </w:rPr>
        <w:t xml:space="preserve">ered </w:t>
      </w:r>
      <w:r w:rsidR="001F73A0" w:rsidRPr="00CF219B">
        <w:rPr>
          <w:rFonts w:ascii="Times New Roman" w:hAnsi="Times New Roman"/>
          <w:bCs/>
          <w:sz w:val="22"/>
          <w:szCs w:val="22"/>
        </w:rPr>
        <w:t>o</w:t>
      </w:r>
      <w:r w:rsidR="00846A95" w:rsidRPr="00CF219B">
        <w:rPr>
          <w:rFonts w:ascii="Times New Roman" w:hAnsi="Times New Roman"/>
          <w:bCs/>
          <w:sz w:val="22"/>
          <w:szCs w:val="22"/>
        </w:rPr>
        <w:t>n the Federal Register of Legislation.</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3 – Authority</w:t>
      </w:r>
    </w:p>
    <w:p w:rsidR="00B279BF" w:rsidRPr="00CF219B" w:rsidRDefault="00B279BF" w:rsidP="00294A49">
      <w:pPr>
        <w:rPr>
          <w:rFonts w:ascii="Times New Roman" w:hAnsi="Times New Roman"/>
          <w:b/>
          <w:bCs/>
          <w:sz w:val="22"/>
          <w:szCs w:val="22"/>
        </w:rPr>
      </w:pPr>
    </w:p>
    <w:p w:rsidR="00B279BF" w:rsidRPr="00C27868" w:rsidRDefault="00B279BF" w:rsidP="00B279BF">
      <w:pPr>
        <w:rPr>
          <w:rFonts w:ascii="Times New Roman" w:hAnsi="Times New Roman"/>
          <w:bCs/>
          <w:sz w:val="22"/>
          <w:szCs w:val="22"/>
        </w:rPr>
      </w:pPr>
      <w:r w:rsidRPr="00CF219B">
        <w:rPr>
          <w:rFonts w:ascii="Times New Roman" w:hAnsi="Times New Roman"/>
          <w:bCs/>
          <w:sz w:val="22"/>
          <w:szCs w:val="22"/>
        </w:rPr>
        <w:t xml:space="preserve">This section </w:t>
      </w:r>
      <w:r w:rsidR="00B07040" w:rsidRPr="00CF219B">
        <w:rPr>
          <w:rFonts w:ascii="Times New Roman" w:hAnsi="Times New Roman"/>
          <w:bCs/>
          <w:sz w:val="22"/>
          <w:szCs w:val="22"/>
        </w:rPr>
        <w:t xml:space="preserve">provides that </w:t>
      </w:r>
      <w:r w:rsidR="00846A95" w:rsidRPr="00CF219B">
        <w:rPr>
          <w:rFonts w:ascii="Times New Roman" w:hAnsi="Times New Roman"/>
          <w:bCs/>
          <w:sz w:val="22"/>
          <w:szCs w:val="22"/>
        </w:rPr>
        <w:t xml:space="preserve">the legislative authority for making the </w:t>
      </w:r>
      <w:r w:rsidR="00567F49">
        <w:rPr>
          <w:rFonts w:ascii="Times New Roman" w:hAnsi="Times New Roman"/>
          <w:bCs/>
          <w:sz w:val="22"/>
          <w:szCs w:val="22"/>
        </w:rPr>
        <w:t>Determination</w:t>
      </w:r>
      <w:r w:rsidR="00CF4A5D" w:rsidRPr="00CF219B">
        <w:rPr>
          <w:rFonts w:ascii="Times New Roman" w:hAnsi="Times New Roman"/>
          <w:bCs/>
          <w:sz w:val="22"/>
          <w:szCs w:val="22"/>
        </w:rPr>
        <w:t xml:space="preserve"> </w:t>
      </w:r>
      <w:r w:rsidR="00D43D58">
        <w:rPr>
          <w:rFonts w:ascii="Times New Roman" w:hAnsi="Times New Roman"/>
          <w:bCs/>
          <w:sz w:val="22"/>
          <w:szCs w:val="22"/>
        </w:rPr>
        <w:t xml:space="preserve">is </w:t>
      </w:r>
      <w:r w:rsidR="00846A95" w:rsidRPr="00CF219B">
        <w:rPr>
          <w:rFonts w:ascii="Times New Roman" w:hAnsi="Times New Roman"/>
          <w:bCs/>
          <w:sz w:val="22"/>
          <w:szCs w:val="22"/>
        </w:rPr>
        <w:t xml:space="preserve">section </w:t>
      </w:r>
      <w:r w:rsidR="00567F49">
        <w:rPr>
          <w:rFonts w:ascii="Times New Roman" w:hAnsi="Times New Roman"/>
          <w:bCs/>
          <w:sz w:val="22"/>
          <w:szCs w:val="22"/>
        </w:rPr>
        <w:t>7</w:t>
      </w:r>
      <w:r w:rsidR="00D43D58">
        <w:rPr>
          <w:rFonts w:ascii="Times New Roman" w:hAnsi="Times New Roman"/>
          <w:bCs/>
          <w:sz w:val="22"/>
          <w:szCs w:val="22"/>
        </w:rPr>
        <w:t>AA</w:t>
      </w:r>
      <w:r w:rsidR="00846A95" w:rsidRPr="00CF219B">
        <w:rPr>
          <w:rFonts w:ascii="Times New Roman" w:hAnsi="Times New Roman"/>
          <w:bCs/>
          <w:sz w:val="22"/>
          <w:szCs w:val="22"/>
        </w:rPr>
        <w:t xml:space="preserve"> of the </w:t>
      </w:r>
      <w:r w:rsidR="00846A95" w:rsidRPr="00CF219B">
        <w:rPr>
          <w:rFonts w:ascii="Times New Roman" w:hAnsi="Times New Roman"/>
          <w:bCs/>
          <w:i/>
          <w:sz w:val="22"/>
          <w:szCs w:val="22"/>
        </w:rPr>
        <w:t>Therapeutic Goods Act 1989</w:t>
      </w:r>
      <w:r w:rsidR="00F6558B" w:rsidRPr="00CF219B">
        <w:rPr>
          <w:rFonts w:ascii="Times New Roman" w:hAnsi="Times New Roman"/>
          <w:bCs/>
          <w:i/>
          <w:sz w:val="22"/>
          <w:szCs w:val="22"/>
        </w:rPr>
        <w:t xml:space="preserve"> </w:t>
      </w:r>
      <w:r w:rsidR="00F6558B" w:rsidRPr="00CF219B">
        <w:rPr>
          <w:rFonts w:ascii="Times New Roman" w:hAnsi="Times New Roman"/>
          <w:bCs/>
          <w:sz w:val="22"/>
          <w:szCs w:val="22"/>
        </w:rPr>
        <w:t>(“the Act</w:t>
      </w:r>
      <w:r w:rsidR="00F6558B" w:rsidRPr="00C27868">
        <w:rPr>
          <w:rFonts w:ascii="Times New Roman" w:hAnsi="Times New Roman"/>
          <w:bCs/>
          <w:sz w:val="22"/>
          <w:szCs w:val="22"/>
        </w:rPr>
        <w:t>”)</w:t>
      </w:r>
      <w:r w:rsidR="00846A95" w:rsidRPr="00C27868">
        <w:rPr>
          <w:rFonts w:ascii="Times New Roman" w:hAnsi="Times New Roman"/>
          <w:bCs/>
          <w:sz w:val="22"/>
          <w:szCs w:val="22"/>
        </w:rPr>
        <w:t>.</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 xml:space="preserve">Section 4 – </w:t>
      </w:r>
      <w:r w:rsidR="000952C2">
        <w:rPr>
          <w:rFonts w:ascii="Times New Roman" w:hAnsi="Times New Roman"/>
          <w:b/>
          <w:bCs/>
          <w:sz w:val="22"/>
          <w:szCs w:val="22"/>
        </w:rPr>
        <w:t xml:space="preserve">Definitions </w:t>
      </w:r>
    </w:p>
    <w:p w:rsidR="00B279BF" w:rsidRDefault="00B279BF" w:rsidP="00294A49">
      <w:pPr>
        <w:rPr>
          <w:rFonts w:ascii="Times New Roman" w:hAnsi="Times New Roman"/>
          <w:bCs/>
          <w:sz w:val="22"/>
          <w:szCs w:val="22"/>
        </w:rPr>
      </w:pPr>
    </w:p>
    <w:p w:rsidR="000952C2" w:rsidRDefault="000952C2" w:rsidP="00294A49">
      <w:pPr>
        <w:rPr>
          <w:rFonts w:ascii="Times New Roman" w:hAnsi="Times New Roman"/>
          <w:bCs/>
          <w:sz w:val="22"/>
          <w:szCs w:val="22"/>
        </w:rPr>
      </w:pPr>
      <w:r>
        <w:rPr>
          <w:rFonts w:ascii="Times New Roman" w:hAnsi="Times New Roman"/>
          <w:bCs/>
          <w:sz w:val="22"/>
          <w:szCs w:val="22"/>
        </w:rPr>
        <w:t xml:space="preserve">This section provides </w:t>
      </w:r>
      <w:r w:rsidR="00863E6A">
        <w:rPr>
          <w:rFonts w:ascii="Times New Roman" w:hAnsi="Times New Roman"/>
          <w:bCs/>
          <w:sz w:val="22"/>
          <w:szCs w:val="22"/>
        </w:rPr>
        <w:t xml:space="preserve">the definitions of </w:t>
      </w:r>
      <w:r w:rsidR="00E339D1">
        <w:rPr>
          <w:rFonts w:ascii="Times New Roman" w:hAnsi="Times New Roman"/>
          <w:bCs/>
          <w:sz w:val="22"/>
          <w:szCs w:val="22"/>
        </w:rPr>
        <w:t xml:space="preserve">certain </w:t>
      </w:r>
      <w:r w:rsidR="00863E6A">
        <w:rPr>
          <w:rFonts w:ascii="Times New Roman" w:hAnsi="Times New Roman"/>
          <w:bCs/>
          <w:sz w:val="22"/>
          <w:szCs w:val="22"/>
        </w:rPr>
        <w:t>terms used in the Determination. Th</w:t>
      </w:r>
      <w:r w:rsidR="00E339D1">
        <w:rPr>
          <w:rFonts w:ascii="Times New Roman" w:hAnsi="Times New Roman"/>
          <w:bCs/>
          <w:sz w:val="22"/>
          <w:szCs w:val="22"/>
        </w:rPr>
        <w:t>e</w:t>
      </w:r>
      <w:r w:rsidR="00863E6A">
        <w:rPr>
          <w:rFonts w:ascii="Times New Roman" w:hAnsi="Times New Roman"/>
          <w:bCs/>
          <w:sz w:val="22"/>
          <w:szCs w:val="22"/>
        </w:rPr>
        <w:t xml:space="preserve"> section </w:t>
      </w:r>
      <w:r w:rsidR="00E339D1">
        <w:rPr>
          <w:rFonts w:ascii="Times New Roman" w:hAnsi="Times New Roman"/>
          <w:bCs/>
          <w:sz w:val="22"/>
          <w:szCs w:val="22"/>
        </w:rPr>
        <w:t xml:space="preserve">includes a note </w:t>
      </w:r>
      <w:r w:rsidR="00863E6A">
        <w:rPr>
          <w:rFonts w:ascii="Times New Roman" w:hAnsi="Times New Roman"/>
          <w:bCs/>
          <w:sz w:val="22"/>
          <w:szCs w:val="22"/>
        </w:rPr>
        <w:t>that a number of expressions</w:t>
      </w:r>
      <w:r>
        <w:rPr>
          <w:rFonts w:ascii="Times New Roman" w:hAnsi="Times New Roman"/>
          <w:bCs/>
          <w:sz w:val="22"/>
          <w:szCs w:val="22"/>
        </w:rPr>
        <w:t xml:space="preserve"> used in the Determination</w:t>
      </w:r>
      <w:r w:rsidR="00E339D1">
        <w:rPr>
          <w:rFonts w:ascii="Times New Roman" w:hAnsi="Times New Roman"/>
          <w:bCs/>
          <w:sz w:val="22"/>
          <w:szCs w:val="22"/>
        </w:rPr>
        <w:t xml:space="preserve"> </w:t>
      </w:r>
      <w:proofErr w:type="gramStart"/>
      <w:r>
        <w:rPr>
          <w:rFonts w:ascii="Times New Roman" w:hAnsi="Times New Roman"/>
          <w:bCs/>
          <w:sz w:val="22"/>
          <w:szCs w:val="22"/>
        </w:rPr>
        <w:t>are defined</w:t>
      </w:r>
      <w:proofErr w:type="gramEnd"/>
      <w:r>
        <w:rPr>
          <w:rFonts w:ascii="Times New Roman" w:hAnsi="Times New Roman"/>
          <w:bCs/>
          <w:sz w:val="22"/>
          <w:szCs w:val="22"/>
        </w:rPr>
        <w:t xml:space="preserve"> in </w:t>
      </w:r>
      <w:r w:rsidR="00E339D1">
        <w:rPr>
          <w:rFonts w:ascii="Times New Roman" w:hAnsi="Times New Roman"/>
          <w:bCs/>
          <w:sz w:val="22"/>
          <w:szCs w:val="22"/>
        </w:rPr>
        <w:t>section 3 of the Act.</w:t>
      </w:r>
    </w:p>
    <w:p w:rsidR="000952C2" w:rsidRDefault="000952C2" w:rsidP="00294A49">
      <w:pPr>
        <w:rPr>
          <w:rFonts w:ascii="Times New Roman" w:hAnsi="Times New Roman"/>
          <w:bCs/>
          <w:sz w:val="22"/>
          <w:szCs w:val="22"/>
        </w:rPr>
      </w:pPr>
    </w:p>
    <w:p w:rsidR="000952C2" w:rsidRPr="000952C2" w:rsidRDefault="000952C2" w:rsidP="00294A49">
      <w:pPr>
        <w:rPr>
          <w:rFonts w:ascii="Times New Roman" w:hAnsi="Times New Roman"/>
          <w:b/>
          <w:bCs/>
          <w:sz w:val="22"/>
          <w:szCs w:val="22"/>
        </w:rPr>
      </w:pPr>
      <w:r w:rsidRPr="000952C2">
        <w:rPr>
          <w:rFonts w:ascii="Times New Roman" w:hAnsi="Times New Roman"/>
          <w:b/>
          <w:bCs/>
          <w:sz w:val="22"/>
          <w:szCs w:val="22"/>
        </w:rPr>
        <w:t xml:space="preserve">Section 5 – Excluded Goods </w:t>
      </w:r>
    </w:p>
    <w:p w:rsidR="000952C2" w:rsidRDefault="000952C2" w:rsidP="00294A49">
      <w:pPr>
        <w:rPr>
          <w:rFonts w:ascii="Times New Roman" w:hAnsi="Times New Roman"/>
          <w:bCs/>
          <w:sz w:val="22"/>
          <w:szCs w:val="22"/>
        </w:rPr>
      </w:pPr>
    </w:p>
    <w:p w:rsidR="000952C2" w:rsidRDefault="000952C2" w:rsidP="00294A49">
      <w:pPr>
        <w:rPr>
          <w:rFonts w:ascii="Times New Roman" w:hAnsi="Times New Roman"/>
          <w:bCs/>
          <w:sz w:val="22"/>
          <w:szCs w:val="22"/>
        </w:rPr>
      </w:pPr>
      <w:r>
        <w:rPr>
          <w:rFonts w:ascii="Times New Roman" w:hAnsi="Times New Roman"/>
          <w:bCs/>
          <w:sz w:val="22"/>
          <w:szCs w:val="22"/>
        </w:rPr>
        <w:t xml:space="preserve">This section </w:t>
      </w:r>
      <w:r w:rsidR="00863E6A">
        <w:rPr>
          <w:rFonts w:ascii="Times New Roman" w:hAnsi="Times New Roman"/>
          <w:bCs/>
          <w:sz w:val="22"/>
          <w:szCs w:val="22"/>
        </w:rPr>
        <w:t>is made pursuant to subsection 7AA(2) of the Act and provides that</w:t>
      </w:r>
      <w:r>
        <w:rPr>
          <w:rFonts w:ascii="Times New Roman" w:hAnsi="Times New Roman"/>
          <w:bCs/>
          <w:sz w:val="22"/>
          <w:szCs w:val="22"/>
        </w:rPr>
        <w:t xml:space="preserve"> the goods specified in column 2 of an item in Schedule 1, when used, advertised, or presented for supply in a way specified in column 3 of that item, are excluded goods for the purposes of the Act. </w:t>
      </w:r>
    </w:p>
    <w:p w:rsidR="000952C2" w:rsidRDefault="000952C2" w:rsidP="00294A49">
      <w:pPr>
        <w:rPr>
          <w:rFonts w:ascii="Times New Roman" w:hAnsi="Times New Roman"/>
          <w:bCs/>
          <w:sz w:val="22"/>
          <w:szCs w:val="22"/>
        </w:rPr>
      </w:pPr>
    </w:p>
    <w:p w:rsidR="000952C2" w:rsidRPr="000952C2" w:rsidRDefault="00F76F51" w:rsidP="00294A49">
      <w:pPr>
        <w:rPr>
          <w:rFonts w:ascii="Times New Roman" w:hAnsi="Times New Roman"/>
          <w:b/>
          <w:bCs/>
          <w:sz w:val="22"/>
          <w:szCs w:val="22"/>
        </w:rPr>
      </w:pPr>
      <w:r>
        <w:rPr>
          <w:rFonts w:ascii="Times New Roman" w:hAnsi="Times New Roman"/>
          <w:b/>
          <w:bCs/>
          <w:sz w:val="22"/>
          <w:szCs w:val="22"/>
        </w:rPr>
        <w:t>S</w:t>
      </w:r>
      <w:r w:rsidR="007F2E30">
        <w:rPr>
          <w:rFonts w:ascii="Times New Roman" w:hAnsi="Times New Roman"/>
          <w:b/>
          <w:bCs/>
          <w:sz w:val="22"/>
          <w:szCs w:val="22"/>
        </w:rPr>
        <w:t xml:space="preserve">chedule </w:t>
      </w:r>
      <w:proofErr w:type="gramStart"/>
      <w:r w:rsidR="007F2E30">
        <w:rPr>
          <w:rFonts w:ascii="Times New Roman" w:hAnsi="Times New Roman"/>
          <w:b/>
          <w:bCs/>
          <w:sz w:val="22"/>
          <w:szCs w:val="22"/>
        </w:rPr>
        <w:t>1</w:t>
      </w:r>
      <w:proofErr w:type="gramEnd"/>
      <w:r w:rsidR="00E339D1">
        <w:rPr>
          <w:rFonts w:ascii="Times New Roman" w:hAnsi="Times New Roman"/>
          <w:b/>
          <w:bCs/>
          <w:sz w:val="22"/>
          <w:szCs w:val="22"/>
        </w:rPr>
        <w:t xml:space="preserve"> – Specified goods used, advertised, or presented for supply in a particular way</w:t>
      </w:r>
    </w:p>
    <w:p w:rsidR="000952C2" w:rsidRDefault="000952C2" w:rsidP="00F76F51">
      <w:pPr>
        <w:rPr>
          <w:rFonts w:ascii="Times New Roman" w:hAnsi="Times New Roman"/>
          <w:bCs/>
          <w:sz w:val="22"/>
          <w:szCs w:val="22"/>
        </w:rPr>
      </w:pPr>
    </w:p>
    <w:p w:rsidR="00F76F51" w:rsidRDefault="00E339D1" w:rsidP="00F76F51">
      <w:pPr>
        <w:rPr>
          <w:rFonts w:ascii="Times New Roman" w:hAnsi="Times New Roman"/>
          <w:bCs/>
          <w:sz w:val="22"/>
          <w:szCs w:val="22"/>
        </w:rPr>
      </w:pPr>
      <w:r>
        <w:rPr>
          <w:rFonts w:ascii="Times New Roman" w:hAnsi="Times New Roman"/>
          <w:bCs/>
          <w:sz w:val="22"/>
          <w:szCs w:val="22"/>
        </w:rPr>
        <w:t xml:space="preserve">Items 1 and 2 of Schedule 1 specify </w:t>
      </w:r>
      <w:r w:rsidR="00863E6A">
        <w:rPr>
          <w:rFonts w:ascii="Times New Roman" w:hAnsi="Times New Roman"/>
          <w:bCs/>
          <w:sz w:val="22"/>
          <w:szCs w:val="22"/>
        </w:rPr>
        <w:t>goods that are excluded goods for the purposes of the Act, when used advertised or presented</w:t>
      </w:r>
      <w:r>
        <w:rPr>
          <w:rFonts w:ascii="Times New Roman" w:hAnsi="Times New Roman"/>
          <w:bCs/>
          <w:sz w:val="22"/>
          <w:szCs w:val="22"/>
        </w:rPr>
        <w:t xml:space="preserve"> for supply in a particular way. </w:t>
      </w:r>
      <w:r w:rsidR="007F2E30">
        <w:rPr>
          <w:rFonts w:ascii="Times New Roman" w:hAnsi="Times New Roman"/>
          <w:bCs/>
          <w:sz w:val="22"/>
          <w:szCs w:val="22"/>
        </w:rPr>
        <w:t>Specifically, item 1 excludes certain hand sanitisers containing ethanol 80% v/v in the final formulation; and item 2 excludes certain hand sanitisers containing isopropyl alcohol 75% v/v in the final formulation.</w:t>
      </w:r>
    </w:p>
    <w:p w:rsidR="00F76F51" w:rsidRDefault="00F76F51" w:rsidP="00F76F51">
      <w:pPr>
        <w:rPr>
          <w:rFonts w:ascii="Times New Roman" w:hAnsi="Times New Roman"/>
          <w:bCs/>
          <w:sz w:val="22"/>
          <w:szCs w:val="22"/>
        </w:rPr>
      </w:pPr>
    </w:p>
    <w:p w:rsidR="00F76F51" w:rsidRPr="000952C2" w:rsidRDefault="00F76F51" w:rsidP="00F76F51">
      <w:pPr>
        <w:rPr>
          <w:rFonts w:ascii="Times New Roman" w:hAnsi="Times New Roman"/>
          <w:b/>
          <w:bCs/>
          <w:sz w:val="22"/>
          <w:szCs w:val="22"/>
        </w:rPr>
      </w:pPr>
      <w:r>
        <w:rPr>
          <w:rFonts w:ascii="Times New Roman" w:hAnsi="Times New Roman"/>
          <w:b/>
          <w:bCs/>
          <w:sz w:val="22"/>
          <w:szCs w:val="22"/>
        </w:rPr>
        <w:t>S</w:t>
      </w:r>
      <w:r w:rsidR="007F2E30">
        <w:rPr>
          <w:rFonts w:ascii="Times New Roman" w:hAnsi="Times New Roman"/>
          <w:b/>
          <w:bCs/>
          <w:sz w:val="22"/>
          <w:szCs w:val="22"/>
        </w:rPr>
        <w:t xml:space="preserve">chedule </w:t>
      </w:r>
      <w:r>
        <w:rPr>
          <w:rFonts w:ascii="Times New Roman" w:hAnsi="Times New Roman"/>
          <w:b/>
          <w:bCs/>
          <w:sz w:val="22"/>
          <w:szCs w:val="22"/>
        </w:rPr>
        <w:t>2</w:t>
      </w:r>
      <w:r w:rsidRPr="000952C2">
        <w:rPr>
          <w:rFonts w:ascii="Times New Roman" w:hAnsi="Times New Roman"/>
          <w:b/>
          <w:bCs/>
          <w:sz w:val="22"/>
          <w:szCs w:val="22"/>
        </w:rPr>
        <w:t xml:space="preserve"> – </w:t>
      </w:r>
      <w:r>
        <w:rPr>
          <w:rFonts w:ascii="Times New Roman" w:hAnsi="Times New Roman"/>
          <w:b/>
          <w:bCs/>
          <w:sz w:val="22"/>
          <w:szCs w:val="22"/>
        </w:rPr>
        <w:t>L</w:t>
      </w:r>
      <w:r w:rsidR="007F2E30">
        <w:rPr>
          <w:rFonts w:ascii="Times New Roman" w:hAnsi="Times New Roman"/>
          <w:b/>
          <w:bCs/>
          <w:sz w:val="22"/>
          <w:szCs w:val="22"/>
        </w:rPr>
        <w:t>abels</w:t>
      </w:r>
    </w:p>
    <w:p w:rsidR="00F76F51" w:rsidRPr="007F2E30" w:rsidRDefault="00F76F51" w:rsidP="00F76F51">
      <w:pPr>
        <w:rPr>
          <w:rFonts w:ascii="Times New Roman" w:hAnsi="Times New Roman"/>
          <w:bCs/>
          <w:sz w:val="22"/>
          <w:szCs w:val="22"/>
        </w:rPr>
      </w:pPr>
    </w:p>
    <w:p w:rsidR="00D6031C" w:rsidRPr="00D6031C" w:rsidRDefault="00F76F51" w:rsidP="00D6031C">
      <w:pPr>
        <w:rPr>
          <w:rFonts w:ascii="Times New Roman" w:hAnsi="Times New Roman"/>
          <w:b/>
          <w:bCs/>
          <w:sz w:val="22"/>
          <w:szCs w:val="22"/>
        </w:rPr>
      </w:pPr>
      <w:r w:rsidRPr="007F2E30">
        <w:rPr>
          <w:rFonts w:ascii="Times New Roman" w:hAnsi="Times New Roman"/>
          <w:bCs/>
          <w:sz w:val="22"/>
          <w:szCs w:val="22"/>
        </w:rPr>
        <w:t>Part</w:t>
      </w:r>
      <w:r w:rsidR="007F2E30">
        <w:rPr>
          <w:rFonts w:ascii="Times New Roman" w:hAnsi="Times New Roman"/>
          <w:bCs/>
          <w:sz w:val="22"/>
          <w:szCs w:val="22"/>
        </w:rPr>
        <w:t>s</w:t>
      </w:r>
      <w:r w:rsidRPr="007F2E30">
        <w:rPr>
          <w:rFonts w:ascii="Times New Roman" w:hAnsi="Times New Roman"/>
          <w:bCs/>
          <w:sz w:val="22"/>
          <w:szCs w:val="22"/>
        </w:rPr>
        <w:t xml:space="preserve"> 1</w:t>
      </w:r>
      <w:r w:rsidR="00D6031C" w:rsidRPr="007F2E30">
        <w:rPr>
          <w:rFonts w:ascii="Times New Roman" w:hAnsi="Times New Roman"/>
          <w:bCs/>
          <w:sz w:val="22"/>
          <w:szCs w:val="22"/>
        </w:rPr>
        <w:t xml:space="preserve"> </w:t>
      </w:r>
      <w:r w:rsidR="007F2E30" w:rsidRPr="007F2E30">
        <w:rPr>
          <w:rFonts w:ascii="Times New Roman" w:hAnsi="Times New Roman"/>
          <w:bCs/>
          <w:sz w:val="22"/>
          <w:szCs w:val="22"/>
        </w:rPr>
        <w:t>and 2 of Schedule 2 specif</w:t>
      </w:r>
      <w:r w:rsidR="007F2E30">
        <w:rPr>
          <w:rFonts w:ascii="Times New Roman" w:hAnsi="Times New Roman"/>
          <w:bCs/>
          <w:sz w:val="22"/>
          <w:szCs w:val="22"/>
        </w:rPr>
        <w:t xml:space="preserve">y </w:t>
      </w:r>
      <w:r w:rsidR="007F2E30" w:rsidRPr="007F2E30">
        <w:rPr>
          <w:rFonts w:ascii="Times New Roman" w:hAnsi="Times New Roman"/>
          <w:bCs/>
          <w:sz w:val="22"/>
          <w:szCs w:val="22"/>
        </w:rPr>
        <w:t xml:space="preserve">the labels to </w:t>
      </w:r>
      <w:proofErr w:type="gramStart"/>
      <w:r w:rsidR="007F2E30" w:rsidRPr="007F2E30">
        <w:rPr>
          <w:rFonts w:ascii="Times New Roman" w:hAnsi="Times New Roman"/>
          <w:bCs/>
          <w:sz w:val="22"/>
          <w:szCs w:val="22"/>
        </w:rPr>
        <w:t>be used</w:t>
      </w:r>
      <w:proofErr w:type="gramEnd"/>
      <w:r w:rsidR="007F2E30" w:rsidRPr="007F2E30">
        <w:rPr>
          <w:rFonts w:ascii="Times New Roman" w:hAnsi="Times New Roman"/>
          <w:bCs/>
          <w:sz w:val="22"/>
          <w:szCs w:val="22"/>
        </w:rPr>
        <w:t xml:space="preserve"> when advertising or presenting </w:t>
      </w:r>
      <w:r w:rsidR="007F2E30">
        <w:rPr>
          <w:rFonts w:ascii="Times New Roman" w:hAnsi="Times New Roman"/>
          <w:bCs/>
          <w:sz w:val="22"/>
          <w:szCs w:val="22"/>
        </w:rPr>
        <w:t xml:space="preserve">the excluded goods </w:t>
      </w:r>
      <w:r w:rsidR="007F2E30" w:rsidRPr="007F2E30">
        <w:rPr>
          <w:rFonts w:ascii="Times New Roman" w:hAnsi="Times New Roman"/>
          <w:bCs/>
          <w:sz w:val="22"/>
          <w:szCs w:val="22"/>
        </w:rPr>
        <w:t>for supply</w:t>
      </w:r>
      <w:r w:rsidR="007F2E30">
        <w:rPr>
          <w:rFonts w:ascii="Times New Roman" w:hAnsi="Times New Roman"/>
          <w:bCs/>
          <w:sz w:val="22"/>
          <w:szCs w:val="22"/>
        </w:rPr>
        <w:t>.</w:t>
      </w:r>
    </w:p>
    <w:p w:rsidR="00C65863" w:rsidRDefault="00C65863" w:rsidP="00F76F51">
      <w:pPr>
        <w:rPr>
          <w:rFonts w:ascii="Times New Roman" w:hAnsi="Times New Roman"/>
          <w:bCs/>
          <w:sz w:val="22"/>
          <w:szCs w:val="22"/>
        </w:rPr>
      </w:pPr>
    </w:p>
    <w:p w:rsidR="00294A49" w:rsidRPr="00CF219B" w:rsidRDefault="00294A49" w:rsidP="00DD73CB">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rsidR="000C21C4" w:rsidRPr="00064CC7" w:rsidRDefault="000C21C4" w:rsidP="00064CC7">
      <w:pPr>
        <w:shd w:val="clear" w:color="auto" w:fill="FFFFFF"/>
        <w:spacing w:before="100" w:beforeAutospacing="1" w:after="120"/>
        <w:jc w:val="center"/>
        <w:rPr>
          <w:rFonts w:ascii="Times New Roman" w:hAnsi="Times New Roman"/>
          <w:b/>
          <w:bCs/>
          <w:szCs w:val="24"/>
        </w:rPr>
      </w:pPr>
      <w:r w:rsidRPr="00064CC7">
        <w:rPr>
          <w:rFonts w:ascii="Times New Roman" w:hAnsi="Times New Roman"/>
          <w:b/>
          <w:bCs/>
          <w:szCs w:val="24"/>
        </w:rPr>
        <w:t>Statement of Compatibility with Human Rights</w:t>
      </w:r>
    </w:p>
    <w:p w:rsidR="00064CC7" w:rsidRPr="008860FC" w:rsidRDefault="00064CC7" w:rsidP="002D01F8">
      <w:pPr>
        <w:shd w:val="clear" w:color="auto" w:fill="FFFFFF"/>
        <w:spacing w:before="100" w:beforeAutospacing="1"/>
        <w:ind w:right="-142"/>
      </w:pPr>
      <w:r w:rsidRPr="008860FC">
        <w:t>Prepared in accordance with Part 3 of the</w:t>
      </w:r>
      <w:r w:rsidRPr="008860FC">
        <w:rPr>
          <w:iCs/>
        </w:rPr>
        <w:t xml:space="preserve"> </w:t>
      </w:r>
      <w:r w:rsidRPr="008860FC">
        <w:rPr>
          <w:i/>
          <w:iCs/>
        </w:rPr>
        <w:t>Human Rights (Parliamentary Scrutiny) Act 2011</w:t>
      </w:r>
      <w:r w:rsidRPr="008860FC">
        <w:t>.</w:t>
      </w:r>
    </w:p>
    <w:p w:rsidR="002D01F8" w:rsidRDefault="002D01F8" w:rsidP="002D01F8">
      <w:pPr>
        <w:spacing w:before="60"/>
        <w:jc w:val="center"/>
        <w:rPr>
          <w:rFonts w:ascii="Times New Roman" w:hAnsi="Times New Roman"/>
          <w:b/>
          <w:i/>
          <w:sz w:val="22"/>
          <w:szCs w:val="22"/>
        </w:rPr>
      </w:pPr>
    </w:p>
    <w:p w:rsidR="008860FC" w:rsidRPr="00C65863" w:rsidRDefault="00C65863" w:rsidP="00C65863">
      <w:pPr>
        <w:jc w:val="center"/>
        <w:rPr>
          <w:rFonts w:ascii="Times New Roman" w:hAnsi="Times New Roman"/>
          <w:b/>
          <w:i/>
          <w:sz w:val="22"/>
          <w:szCs w:val="22"/>
        </w:rPr>
      </w:pPr>
      <w:r w:rsidRPr="00C65863">
        <w:rPr>
          <w:rFonts w:ascii="Times New Roman" w:hAnsi="Times New Roman"/>
          <w:b/>
          <w:i/>
          <w:sz w:val="22"/>
          <w:szCs w:val="22"/>
        </w:rPr>
        <w:t>Therapeutic Goods (Excluded Goods</w:t>
      </w:r>
      <w:r w:rsidRPr="00C65863">
        <w:rPr>
          <w:rFonts w:ascii="Times New Roman" w:hAnsi="Times New Roman"/>
          <w:b/>
          <w:i/>
          <w:szCs w:val="24"/>
        </w:rPr>
        <w:t>—</w:t>
      </w:r>
      <w:r w:rsidRPr="00C65863">
        <w:rPr>
          <w:rFonts w:ascii="Times New Roman" w:hAnsi="Times New Roman"/>
          <w:b/>
          <w:i/>
          <w:sz w:val="22"/>
          <w:szCs w:val="22"/>
        </w:rPr>
        <w:t>Hand Sanitisers) Determination 2020</w:t>
      </w:r>
    </w:p>
    <w:p w:rsidR="00C65863" w:rsidRDefault="00C65863" w:rsidP="0030123E">
      <w:pPr>
        <w:rPr>
          <w:rFonts w:ascii="Times New Roman" w:hAnsi="Times New Roman"/>
          <w:sz w:val="22"/>
          <w:szCs w:val="22"/>
        </w:rPr>
      </w:pPr>
    </w:p>
    <w:p w:rsidR="0030123E" w:rsidRPr="00CF219B" w:rsidRDefault="0030123E" w:rsidP="0030123E">
      <w:pPr>
        <w:rPr>
          <w:rFonts w:ascii="Times New Roman" w:hAnsi="Times New Roman"/>
          <w:sz w:val="22"/>
          <w:szCs w:val="22"/>
        </w:rPr>
      </w:pPr>
      <w:r w:rsidRPr="00CF219B">
        <w:rPr>
          <w:rFonts w:ascii="Times New Roman" w:hAnsi="Times New Roman"/>
          <w:sz w:val="22"/>
          <w:szCs w:val="22"/>
        </w:rPr>
        <w:t>Th</w:t>
      </w:r>
      <w:r w:rsidR="00396F63" w:rsidRPr="00CF219B">
        <w:rPr>
          <w:rFonts w:ascii="Times New Roman" w:hAnsi="Times New Roman"/>
          <w:sz w:val="22"/>
          <w:szCs w:val="22"/>
        </w:rPr>
        <w:t>is disallowable legislative instrument</w:t>
      </w:r>
      <w:r w:rsidRPr="00CF219B">
        <w:rPr>
          <w:rFonts w:ascii="Times New Roman" w:hAnsi="Times New Roman"/>
          <w:sz w:val="22"/>
          <w:szCs w:val="22"/>
        </w:rPr>
        <w:t xml:space="preserve"> </w:t>
      </w:r>
      <w:r w:rsidR="00462DFB" w:rsidRPr="00CF219B">
        <w:rPr>
          <w:rFonts w:ascii="Times New Roman" w:hAnsi="Times New Roman"/>
          <w:sz w:val="22"/>
          <w:szCs w:val="22"/>
        </w:rPr>
        <w:t xml:space="preserve">is </w:t>
      </w:r>
      <w:r w:rsidR="00CF4A5D" w:rsidRPr="00CF219B">
        <w:rPr>
          <w:rFonts w:ascii="Times New Roman" w:hAnsi="Times New Roman"/>
          <w:sz w:val="22"/>
          <w:szCs w:val="22"/>
        </w:rPr>
        <w:t>compatible with the </w:t>
      </w:r>
      <w:r w:rsidR="007231B2" w:rsidRPr="00CF219B">
        <w:rPr>
          <w:rFonts w:ascii="Times New Roman" w:hAnsi="Times New Roman"/>
          <w:sz w:val="22"/>
          <w:szCs w:val="22"/>
        </w:rPr>
        <w:t xml:space="preserve">human rights and freedoms recognised or declared in the international instruments listed in section 3 of the </w:t>
      </w:r>
      <w:r w:rsidR="007231B2" w:rsidRPr="00CF219B">
        <w:rPr>
          <w:rFonts w:ascii="Times New Roman" w:hAnsi="Times New Roman"/>
          <w:i/>
          <w:sz w:val="22"/>
          <w:szCs w:val="22"/>
        </w:rPr>
        <w:t>Human Rights (Parliamentary Scrutiny) Act 2011</w:t>
      </w:r>
      <w:r w:rsidR="007231B2" w:rsidRPr="00CF219B">
        <w:rPr>
          <w:rFonts w:ascii="Times New Roman" w:hAnsi="Times New Roman"/>
          <w:sz w:val="22"/>
          <w:szCs w:val="22"/>
        </w:rPr>
        <w:t>.</w:t>
      </w:r>
    </w:p>
    <w:p w:rsidR="0030123E" w:rsidRPr="00CF219B" w:rsidRDefault="0030123E" w:rsidP="0030123E">
      <w:pPr>
        <w:rPr>
          <w:rFonts w:ascii="Times New Roman" w:hAnsi="Times New Roman"/>
          <w:sz w:val="22"/>
          <w:szCs w:val="22"/>
        </w:rPr>
      </w:pPr>
    </w:p>
    <w:p w:rsidR="000A5AE3" w:rsidRPr="00CF219B" w:rsidRDefault="00862B50" w:rsidP="0030123E">
      <w:pPr>
        <w:rPr>
          <w:rFonts w:ascii="Times New Roman" w:hAnsi="Times New Roman"/>
          <w:b/>
          <w:sz w:val="22"/>
          <w:szCs w:val="22"/>
        </w:rPr>
      </w:pPr>
      <w:r w:rsidRPr="00CF219B">
        <w:rPr>
          <w:rFonts w:ascii="Times New Roman" w:hAnsi="Times New Roman"/>
          <w:b/>
          <w:sz w:val="22"/>
          <w:szCs w:val="22"/>
        </w:rPr>
        <w:t>Overview of legislative instrument</w:t>
      </w:r>
    </w:p>
    <w:p w:rsidR="000A5AE3" w:rsidRPr="00CF219B" w:rsidRDefault="000A5AE3" w:rsidP="0030123E">
      <w:pPr>
        <w:rPr>
          <w:rFonts w:ascii="Times New Roman" w:hAnsi="Times New Roman"/>
          <w:sz w:val="22"/>
          <w:szCs w:val="22"/>
        </w:rPr>
      </w:pPr>
    </w:p>
    <w:p w:rsidR="007F2E30" w:rsidRPr="0088440F" w:rsidRDefault="007F2E30" w:rsidP="007F2E30">
      <w:pPr>
        <w:autoSpaceDE w:val="0"/>
        <w:autoSpaceDN w:val="0"/>
        <w:adjustRightInd w:val="0"/>
        <w:rPr>
          <w:rFonts w:ascii="Times New Roman" w:hAnsi="Times New Roman"/>
          <w:sz w:val="22"/>
          <w:szCs w:val="22"/>
        </w:rPr>
      </w:pPr>
      <w:r w:rsidRPr="0088440F">
        <w:rPr>
          <w:rFonts w:ascii="Times New Roman" w:hAnsi="Times New Roman"/>
          <w:sz w:val="22"/>
          <w:szCs w:val="22"/>
        </w:rPr>
        <w:t xml:space="preserve">The </w:t>
      </w:r>
      <w:r w:rsidRPr="0088440F">
        <w:rPr>
          <w:rFonts w:ascii="Times New Roman" w:hAnsi="Times New Roman"/>
          <w:i/>
          <w:sz w:val="22"/>
          <w:szCs w:val="22"/>
        </w:rPr>
        <w:t>Therapeutic Goods Act 1989</w:t>
      </w:r>
      <w:r w:rsidRPr="0088440F">
        <w:rPr>
          <w:rFonts w:ascii="Times New Roman" w:hAnsi="Times New Roman"/>
          <w:sz w:val="22"/>
          <w:szCs w:val="22"/>
        </w:rPr>
        <w:t xml:space="preserve"> (“Act”) provides for the establishment and maintenance of a national system of controls for the quality, safety, efficacy and timely availability of therapeutic goods that are used in, or exported from, Australia.</w:t>
      </w:r>
    </w:p>
    <w:p w:rsidR="007F2E30" w:rsidRDefault="007F2E30" w:rsidP="007F2E30">
      <w:pPr>
        <w:autoSpaceDE w:val="0"/>
        <w:autoSpaceDN w:val="0"/>
        <w:adjustRightInd w:val="0"/>
        <w:rPr>
          <w:rFonts w:ascii="Times New Roman" w:hAnsi="Times New Roman"/>
          <w:sz w:val="22"/>
          <w:szCs w:val="22"/>
        </w:rPr>
      </w:pPr>
    </w:p>
    <w:p w:rsidR="007F2E30" w:rsidRDefault="007F2E30" w:rsidP="007F2E30">
      <w:pPr>
        <w:autoSpaceDE w:val="0"/>
        <w:autoSpaceDN w:val="0"/>
        <w:adjustRightInd w:val="0"/>
        <w:rPr>
          <w:rFonts w:ascii="Times New Roman" w:hAnsi="Times New Roman"/>
          <w:sz w:val="22"/>
          <w:szCs w:val="22"/>
        </w:rPr>
      </w:pPr>
      <w:proofErr w:type="gramStart"/>
      <w:r>
        <w:rPr>
          <w:rFonts w:ascii="Times New Roman" w:hAnsi="Times New Roman"/>
          <w:sz w:val="22"/>
          <w:szCs w:val="22"/>
        </w:rPr>
        <w:t>Section 7AA of the Act provides that the Minister may, by legislative instrument,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w:t>
      </w:r>
      <w:proofErr w:type="gramEnd"/>
      <w:r>
        <w:rPr>
          <w:rFonts w:ascii="Times New Roman" w:hAnsi="Times New Roman"/>
          <w:sz w:val="22"/>
          <w:szCs w:val="22"/>
        </w:rPr>
        <w:t xml:space="preserve"> </w:t>
      </w:r>
      <w:r w:rsidRPr="003034AB">
        <w:rPr>
          <w:rFonts w:ascii="Times New Roman" w:hAnsi="Times New Roman"/>
          <w:sz w:val="22"/>
          <w:szCs w:val="22"/>
        </w:rPr>
        <w:t>The effect of a legislative instrument made under section 7AA of the Act is to exclude specified goods from the operation of the Act.</w:t>
      </w:r>
    </w:p>
    <w:p w:rsidR="007F2E30" w:rsidRDefault="007F2E30" w:rsidP="007F2E30">
      <w:pPr>
        <w:autoSpaceDE w:val="0"/>
        <w:autoSpaceDN w:val="0"/>
        <w:adjustRightInd w:val="0"/>
        <w:rPr>
          <w:rFonts w:ascii="Times New Roman" w:hAnsi="Times New Roman"/>
          <w:sz w:val="22"/>
          <w:szCs w:val="22"/>
        </w:rPr>
      </w:pPr>
    </w:p>
    <w:p w:rsidR="005A7924" w:rsidRDefault="007F2E30" w:rsidP="005A7924">
      <w:pPr>
        <w:autoSpaceDE w:val="0"/>
        <w:autoSpaceDN w:val="0"/>
        <w:adjustRightInd w:val="0"/>
        <w:rPr>
          <w:rFonts w:ascii="Times New Roman" w:hAnsi="Times New Roman"/>
          <w:sz w:val="22"/>
          <w:szCs w:val="22"/>
        </w:rPr>
      </w:pPr>
      <w:r w:rsidRPr="003630C0">
        <w:rPr>
          <w:rFonts w:ascii="Times New Roman" w:hAnsi="Times New Roman"/>
          <w:sz w:val="22"/>
          <w:szCs w:val="22"/>
        </w:rPr>
        <w:t xml:space="preserve">The </w:t>
      </w:r>
      <w:r w:rsidRPr="003630C0">
        <w:rPr>
          <w:rFonts w:ascii="Times New Roman" w:hAnsi="Times New Roman"/>
          <w:i/>
          <w:sz w:val="22"/>
          <w:szCs w:val="22"/>
        </w:rPr>
        <w:t>Therapeutic Goods (Excluded Goods</w:t>
      </w:r>
      <w:r w:rsidRPr="003630C0">
        <w:rPr>
          <w:rFonts w:ascii="Times New Roman" w:hAnsi="Times New Roman"/>
          <w:i/>
          <w:szCs w:val="24"/>
        </w:rPr>
        <w:t>—</w:t>
      </w:r>
      <w:r w:rsidRPr="003630C0">
        <w:rPr>
          <w:rFonts w:ascii="Times New Roman" w:hAnsi="Times New Roman"/>
          <w:i/>
          <w:sz w:val="22"/>
          <w:szCs w:val="22"/>
        </w:rPr>
        <w:t xml:space="preserve">Hand Sanitisers) Determination 2020 </w:t>
      </w:r>
      <w:r w:rsidRPr="003630C0">
        <w:rPr>
          <w:rFonts w:ascii="Times New Roman" w:hAnsi="Times New Roman"/>
          <w:sz w:val="22"/>
          <w:szCs w:val="22"/>
        </w:rPr>
        <w:t>(“the</w:t>
      </w:r>
      <w:r>
        <w:rPr>
          <w:rFonts w:ascii="Times New Roman" w:hAnsi="Times New Roman"/>
          <w:sz w:val="22"/>
          <w:szCs w:val="22"/>
        </w:rPr>
        <w:t xml:space="preserve"> instrument”) is made under section 7AA of the Act. The purpose of the instrument is to exclude specified hand sanitisers from the operation of the Act. </w:t>
      </w:r>
      <w:r w:rsidR="005A7924">
        <w:rPr>
          <w:rFonts w:ascii="Times New Roman" w:hAnsi="Times New Roman"/>
          <w:sz w:val="22"/>
          <w:szCs w:val="22"/>
        </w:rPr>
        <w:t xml:space="preserve">The exclusion </w:t>
      </w:r>
      <w:proofErr w:type="gramStart"/>
      <w:r w:rsidR="005A7924">
        <w:rPr>
          <w:rFonts w:ascii="Times New Roman" w:hAnsi="Times New Roman"/>
          <w:sz w:val="22"/>
          <w:szCs w:val="22"/>
        </w:rPr>
        <w:t>is specified</w:t>
      </w:r>
      <w:proofErr w:type="gramEnd"/>
      <w:r w:rsidR="005A7924">
        <w:rPr>
          <w:rFonts w:ascii="Times New Roman" w:hAnsi="Times New Roman"/>
          <w:sz w:val="22"/>
          <w:szCs w:val="22"/>
        </w:rPr>
        <w:t xml:space="preserve"> with reference to the ingredients in the final formulation, the manufacturing practices, advertisement and presentation of the goods for supply.</w:t>
      </w:r>
    </w:p>
    <w:p w:rsidR="007F2E30" w:rsidRDefault="007F2E30" w:rsidP="007F2E30">
      <w:pPr>
        <w:autoSpaceDE w:val="0"/>
        <w:autoSpaceDN w:val="0"/>
        <w:adjustRightInd w:val="0"/>
        <w:rPr>
          <w:rFonts w:ascii="Times New Roman" w:hAnsi="Times New Roman"/>
          <w:sz w:val="22"/>
          <w:szCs w:val="22"/>
        </w:rPr>
      </w:pPr>
    </w:p>
    <w:p w:rsidR="005A7924" w:rsidRPr="00F77D8E" w:rsidRDefault="005A7924" w:rsidP="005A7924">
      <w:pPr>
        <w:autoSpaceDE w:val="0"/>
        <w:autoSpaceDN w:val="0"/>
        <w:adjustRightInd w:val="0"/>
        <w:rPr>
          <w:rFonts w:ascii="Times New Roman" w:hAnsi="Times New Roman"/>
          <w:sz w:val="22"/>
          <w:szCs w:val="22"/>
        </w:rPr>
      </w:pPr>
      <w:r w:rsidRPr="003630C0">
        <w:rPr>
          <w:rFonts w:ascii="Times New Roman" w:hAnsi="Times New Roman"/>
          <w:sz w:val="22"/>
          <w:szCs w:val="22"/>
        </w:rPr>
        <w:t xml:space="preserve">The exclusion is </w:t>
      </w:r>
      <w:r>
        <w:rPr>
          <w:rFonts w:ascii="Times New Roman" w:hAnsi="Times New Roman"/>
          <w:sz w:val="22"/>
          <w:szCs w:val="22"/>
        </w:rPr>
        <w:t xml:space="preserve">necessary </w:t>
      </w:r>
      <w:r w:rsidRPr="003630C0">
        <w:rPr>
          <w:rFonts w:ascii="Times New Roman" w:hAnsi="Times New Roman"/>
          <w:sz w:val="22"/>
          <w:szCs w:val="22"/>
        </w:rPr>
        <w:t xml:space="preserve">to facilitate the urgent </w:t>
      </w:r>
      <w:r>
        <w:rPr>
          <w:rFonts w:ascii="Times New Roman" w:hAnsi="Times New Roman"/>
          <w:sz w:val="22"/>
          <w:szCs w:val="22"/>
        </w:rPr>
        <w:t xml:space="preserve">and </w:t>
      </w:r>
      <w:r w:rsidRPr="003630C0">
        <w:rPr>
          <w:rFonts w:ascii="Times New Roman" w:hAnsi="Times New Roman"/>
          <w:sz w:val="22"/>
          <w:szCs w:val="22"/>
        </w:rPr>
        <w:t>continue</w:t>
      </w:r>
      <w:r>
        <w:rPr>
          <w:rFonts w:ascii="Times New Roman" w:hAnsi="Times New Roman"/>
          <w:sz w:val="22"/>
          <w:szCs w:val="22"/>
        </w:rPr>
        <w:t xml:space="preserve">d supply of large volumes hand sanitisers </w:t>
      </w:r>
      <w:r w:rsidRPr="003630C0">
        <w:rPr>
          <w:rFonts w:ascii="Times New Roman" w:hAnsi="Times New Roman"/>
          <w:sz w:val="22"/>
          <w:szCs w:val="22"/>
        </w:rPr>
        <w:t>in Australia</w:t>
      </w:r>
      <w:r>
        <w:rPr>
          <w:rFonts w:ascii="Times New Roman" w:hAnsi="Times New Roman"/>
          <w:sz w:val="22"/>
          <w:szCs w:val="22"/>
        </w:rPr>
        <w:t xml:space="preserve"> </w:t>
      </w:r>
      <w:r w:rsidRPr="003630C0">
        <w:rPr>
          <w:rFonts w:ascii="Times New Roman" w:hAnsi="Times New Roman"/>
          <w:sz w:val="22"/>
          <w:szCs w:val="22"/>
        </w:rPr>
        <w:t>during the current outbreak of the disease known as coronavirus disease (COVID-19)</w:t>
      </w:r>
      <w:r>
        <w:rPr>
          <w:rFonts w:ascii="Times New Roman" w:hAnsi="Times New Roman"/>
          <w:sz w:val="22"/>
          <w:szCs w:val="22"/>
        </w:rPr>
        <w:t xml:space="preserve">. </w:t>
      </w:r>
      <w:r w:rsidRPr="00F77D8E">
        <w:rPr>
          <w:rFonts w:ascii="Times New Roman" w:hAnsi="Times New Roman"/>
          <w:sz w:val="22"/>
          <w:szCs w:val="22"/>
        </w:rPr>
        <w:t xml:space="preserve">The </w:t>
      </w:r>
      <w:r w:rsidR="008E350C">
        <w:rPr>
          <w:rFonts w:ascii="Times New Roman" w:hAnsi="Times New Roman"/>
          <w:sz w:val="22"/>
          <w:szCs w:val="22"/>
        </w:rPr>
        <w:t xml:space="preserve">instrument </w:t>
      </w:r>
      <w:r w:rsidRPr="00F77D8E">
        <w:rPr>
          <w:rFonts w:ascii="Times New Roman" w:hAnsi="Times New Roman"/>
          <w:sz w:val="22"/>
          <w:szCs w:val="22"/>
        </w:rPr>
        <w:t xml:space="preserve">supports the </w:t>
      </w:r>
      <w:r>
        <w:rPr>
          <w:rFonts w:ascii="Times New Roman" w:hAnsi="Times New Roman"/>
          <w:sz w:val="22"/>
          <w:szCs w:val="22"/>
        </w:rPr>
        <w:t xml:space="preserve">Australian Government’s </w:t>
      </w:r>
      <w:r w:rsidRPr="00F77D8E">
        <w:rPr>
          <w:rFonts w:ascii="Times New Roman" w:hAnsi="Times New Roman"/>
          <w:sz w:val="22"/>
          <w:szCs w:val="22"/>
        </w:rPr>
        <w:t xml:space="preserve">response to the COVID-19 emergency by ensuring the </w:t>
      </w:r>
      <w:r>
        <w:rPr>
          <w:rFonts w:ascii="Times New Roman" w:hAnsi="Times New Roman"/>
          <w:sz w:val="22"/>
          <w:szCs w:val="22"/>
        </w:rPr>
        <w:t xml:space="preserve">continued </w:t>
      </w:r>
      <w:r w:rsidRPr="00F77D8E">
        <w:rPr>
          <w:rFonts w:ascii="Times New Roman" w:hAnsi="Times New Roman"/>
          <w:sz w:val="22"/>
          <w:szCs w:val="22"/>
        </w:rPr>
        <w:t>supply of hand sanitiser in Australia, particularly in medical and health services.</w:t>
      </w:r>
    </w:p>
    <w:p w:rsidR="00F77D8E" w:rsidRDefault="00F77D8E" w:rsidP="00F77D8E">
      <w:pPr>
        <w:shd w:val="clear" w:color="auto" w:fill="FFFFFF"/>
        <w:rPr>
          <w:rFonts w:ascii="Times New Roman" w:hAnsi="Times New Roman"/>
          <w:sz w:val="22"/>
          <w:szCs w:val="22"/>
        </w:rPr>
      </w:pPr>
    </w:p>
    <w:p w:rsidR="007231B2" w:rsidRPr="00CF219B" w:rsidRDefault="007231B2" w:rsidP="006A65CF">
      <w:pPr>
        <w:keepNext/>
        <w:rPr>
          <w:rFonts w:ascii="Times New Roman" w:hAnsi="Times New Roman"/>
          <w:b/>
          <w:sz w:val="22"/>
          <w:szCs w:val="22"/>
        </w:rPr>
      </w:pPr>
      <w:r w:rsidRPr="00CF219B">
        <w:rPr>
          <w:rFonts w:ascii="Times New Roman" w:hAnsi="Times New Roman"/>
          <w:b/>
          <w:sz w:val="22"/>
          <w:szCs w:val="22"/>
        </w:rPr>
        <w:t>Human rights implications</w:t>
      </w:r>
    </w:p>
    <w:p w:rsidR="0030123E" w:rsidRDefault="0030123E" w:rsidP="006223AA">
      <w:pPr>
        <w:keepNext/>
        <w:rPr>
          <w:rFonts w:ascii="Times New Roman" w:hAnsi="Times New Roman"/>
          <w:sz w:val="22"/>
          <w:szCs w:val="22"/>
        </w:rPr>
      </w:pPr>
    </w:p>
    <w:p w:rsidR="0089401A" w:rsidRDefault="006223AA" w:rsidP="006223AA">
      <w:pPr>
        <w:shd w:val="clear" w:color="auto" w:fill="FFFFFF"/>
        <w:rPr>
          <w:rFonts w:ascii="Times New Roman" w:hAnsi="Times New Roman"/>
          <w:sz w:val="22"/>
          <w:szCs w:val="22"/>
        </w:rPr>
      </w:pPr>
      <w:r w:rsidRPr="006223AA">
        <w:rPr>
          <w:rFonts w:ascii="Times New Roman" w:hAnsi="Times New Roman"/>
          <w:sz w:val="22"/>
          <w:szCs w:val="22"/>
        </w:rPr>
        <w:t xml:space="preserve">The </w:t>
      </w:r>
      <w:r w:rsidR="006E403B">
        <w:rPr>
          <w:rFonts w:ascii="Times New Roman" w:hAnsi="Times New Roman"/>
          <w:sz w:val="22"/>
          <w:szCs w:val="22"/>
        </w:rPr>
        <w:t xml:space="preserve">instrument </w:t>
      </w:r>
      <w:r w:rsidRPr="006223AA">
        <w:rPr>
          <w:rFonts w:ascii="Times New Roman" w:hAnsi="Times New Roman"/>
          <w:sz w:val="22"/>
          <w:szCs w:val="22"/>
        </w:rPr>
        <w:t xml:space="preserve">engages the right to health in Article 12 of the </w:t>
      </w:r>
      <w:r w:rsidRPr="006223AA">
        <w:rPr>
          <w:rFonts w:ascii="Times New Roman" w:hAnsi="Times New Roman"/>
          <w:i/>
          <w:iCs/>
          <w:sz w:val="22"/>
          <w:szCs w:val="22"/>
        </w:rPr>
        <w:t>International Covenant on Economic, Social and Cultural Rights</w:t>
      </w:r>
      <w:r w:rsidRPr="006223AA">
        <w:rPr>
          <w:rFonts w:ascii="Times New Roman" w:hAnsi="Times New Roman"/>
          <w:sz w:val="22"/>
          <w:szCs w:val="22"/>
        </w:rPr>
        <w:t xml:space="preserve"> (“ICESCR”).</w:t>
      </w:r>
      <w:r w:rsidR="0089401A">
        <w:rPr>
          <w:rFonts w:ascii="Times New Roman" w:hAnsi="Times New Roman"/>
          <w:sz w:val="22"/>
          <w:szCs w:val="22"/>
        </w:rPr>
        <w:t xml:space="preserve"> </w:t>
      </w:r>
      <w:r w:rsidRPr="006223AA">
        <w:rPr>
          <w:rFonts w:ascii="Times New Roman" w:hAnsi="Times New Roman"/>
          <w:sz w:val="22"/>
          <w:szCs w:val="22"/>
        </w:rPr>
        <w:t>Article 12 of the ICESCR promotes the right of all individuals to enjoy the highest attainable standards</w:t>
      </w:r>
      <w:r w:rsidR="0089401A">
        <w:rPr>
          <w:rFonts w:ascii="Times New Roman" w:hAnsi="Times New Roman"/>
          <w:sz w:val="22"/>
          <w:szCs w:val="22"/>
        </w:rPr>
        <w:t xml:space="preserve"> of physical and mental health.</w:t>
      </w:r>
    </w:p>
    <w:p w:rsidR="0089401A" w:rsidRDefault="0089401A" w:rsidP="006223AA">
      <w:pPr>
        <w:shd w:val="clear" w:color="auto" w:fill="FFFFFF"/>
        <w:rPr>
          <w:rFonts w:ascii="Times New Roman" w:hAnsi="Times New Roman"/>
          <w:sz w:val="22"/>
          <w:szCs w:val="22"/>
        </w:rPr>
      </w:pPr>
    </w:p>
    <w:p w:rsidR="006223AA" w:rsidRPr="006223AA" w:rsidRDefault="006223AA" w:rsidP="006223AA">
      <w:pPr>
        <w:shd w:val="clear" w:color="auto" w:fill="FFFFFF"/>
        <w:rPr>
          <w:rFonts w:ascii="Arial" w:hAnsi="Arial" w:cs="Arial"/>
          <w:sz w:val="19"/>
          <w:szCs w:val="19"/>
          <w:lang w:val="en-US"/>
        </w:rPr>
      </w:pPr>
      <w:proofErr w:type="gramStart"/>
      <w:r w:rsidRPr="006223AA">
        <w:rPr>
          <w:rFonts w:ascii="Times New Roman" w:hAnsi="Times New Roman"/>
          <w:sz w:val="22"/>
          <w:szCs w:val="22"/>
        </w:rPr>
        <w:t xml:space="preserve">In </w:t>
      </w:r>
      <w:r w:rsidRPr="006223AA">
        <w:rPr>
          <w:rFonts w:ascii="Times New Roman" w:hAnsi="Times New Roman"/>
          <w:i/>
          <w:iCs/>
          <w:sz w:val="22"/>
          <w:szCs w:val="22"/>
        </w:rPr>
        <w:t xml:space="preserve">General Comment No. 14: The Right to the Highest Attainable Standard of Health (Art. 12) </w:t>
      </w:r>
      <w:r w:rsidRPr="006223AA">
        <w:rPr>
          <w:rFonts w:ascii="Times New Roman" w:hAnsi="Times New Roman"/>
          <w:sz w:val="22"/>
          <w:szCs w:val="22"/>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roofErr w:type="gramEnd"/>
    </w:p>
    <w:p w:rsidR="006223AA" w:rsidRDefault="006223AA" w:rsidP="006223AA">
      <w:pPr>
        <w:shd w:val="clear" w:color="auto" w:fill="FFFFFF"/>
        <w:rPr>
          <w:rFonts w:ascii="Times New Roman" w:hAnsi="Times New Roman"/>
          <w:sz w:val="22"/>
          <w:szCs w:val="22"/>
        </w:rPr>
      </w:pPr>
      <w:r w:rsidRPr="006223AA">
        <w:rPr>
          <w:rFonts w:ascii="Times New Roman" w:hAnsi="Times New Roman"/>
          <w:sz w:val="22"/>
          <w:szCs w:val="22"/>
        </w:rPr>
        <w:t> </w:t>
      </w:r>
    </w:p>
    <w:p w:rsidR="005A7924" w:rsidRDefault="005A7924" w:rsidP="005A7924">
      <w:pPr>
        <w:autoSpaceDE w:val="0"/>
        <w:autoSpaceDN w:val="0"/>
        <w:adjustRightInd w:val="0"/>
        <w:rPr>
          <w:rFonts w:ascii="Times New Roman" w:hAnsi="Times New Roman"/>
          <w:sz w:val="22"/>
          <w:szCs w:val="22"/>
        </w:rPr>
      </w:pPr>
      <w:r>
        <w:rPr>
          <w:rFonts w:ascii="Times New Roman" w:hAnsi="Times New Roman"/>
          <w:sz w:val="22"/>
          <w:szCs w:val="22"/>
        </w:rPr>
        <w:t xml:space="preserve">The World Health Organisation </w:t>
      </w:r>
      <w:r w:rsidRPr="003A5344">
        <w:rPr>
          <w:rFonts w:ascii="Times New Roman" w:hAnsi="Times New Roman"/>
          <w:sz w:val="22"/>
          <w:szCs w:val="22"/>
        </w:rPr>
        <w:t xml:space="preserve">declared the outbreak of COVID-19 </w:t>
      </w:r>
      <w:r>
        <w:rPr>
          <w:rFonts w:ascii="Times New Roman" w:hAnsi="Times New Roman"/>
          <w:sz w:val="22"/>
          <w:szCs w:val="22"/>
        </w:rPr>
        <w:t xml:space="preserve">to be </w:t>
      </w:r>
      <w:r w:rsidRPr="003A5344">
        <w:rPr>
          <w:rFonts w:ascii="Times New Roman" w:hAnsi="Times New Roman"/>
          <w:sz w:val="22"/>
          <w:szCs w:val="22"/>
        </w:rPr>
        <w:t xml:space="preserve">a Public Health Emergency of International Concern on 30 January </w:t>
      </w:r>
      <w:r>
        <w:rPr>
          <w:rFonts w:ascii="Times New Roman" w:hAnsi="Times New Roman"/>
          <w:sz w:val="22"/>
          <w:szCs w:val="22"/>
        </w:rPr>
        <w:t>2020</w:t>
      </w:r>
      <w:r w:rsidRPr="003A5344">
        <w:rPr>
          <w:rFonts w:ascii="Times New Roman" w:hAnsi="Times New Roman"/>
          <w:sz w:val="22"/>
          <w:szCs w:val="22"/>
        </w:rPr>
        <w:t xml:space="preserve">, and subsequently characterised the outbreak as a pandemic on 11 March </w:t>
      </w:r>
      <w:r>
        <w:rPr>
          <w:rFonts w:ascii="Times New Roman" w:hAnsi="Times New Roman"/>
          <w:sz w:val="22"/>
          <w:szCs w:val="22"/>
        </w:rPr>
        <w:t>2020. Since then, the Australian Government has declared a human biosecurity emergency in Australia.</w:t>
      </w:r>
    </w:p>
    <w:p w:rsidR="006E403B" w:rsidRPr="006E403B" w:rsidRDefault="006E403B" w:rsidP="006E403B">
      <w:pPr>
        <w:shd w:val="clear" w:color="auto" w:fill="FFFFFF"/>
        <w:rPr>
          <w:rFonts w:ascii="Times New Roman" w:hAnsi="Times New Roman"/>
          <w:sz w:val="22"/>
          <w:szCs w:val="22"/>
        </w:rPr>
      </w:pPr>
    </w:p>
    <w:p w:rsidR="006E403B" w:rsidRPr="006E403B" w:rsidRDefault="006E403B" w:rsidP="006E403B">
      <w:pPr>
        <w:shd w:val="clear" w:color="auto" w:fill="FFFFFF"/>
        <w:rPr>
          <w:rFonts w:ascii="Times New Roman" w:hAnsi="Times New Roman"/>
          <w:sz w:val="22"/>
          <w:szCs w:val="22"/>
        </w:rPr>
      </w:pPr>
      <w:r w:rsidRPr="006E403B">
        <w:rPr>
          <w:rFonts w:ascii="Times New Roman" w:hAnsi="Times New Roman"/>
          <w:sz w:val="22"/>
          <w:szCs w:val="22"/>
        </w:rPr>
        <w:lastRenderedPageBreak/>
        <w:t xml:space="preserve">Good hand hygiene is a critical part of Australia’s response to the COVID-19 emergency. While washing hands with soap is considered </w:t>
      </w:r>
      <w:proofErr w:type="gramStart"/>
      <w:r w:rsidRPr="006E403B">
        <w:rPr>
          <w:rFonts w:ascii="Times New Roman" w:hAnsi="Times New Roman"/>
          <w:sz w:val="22"/>
          <w:szCs w:val="22"/>
        </w:rPr>
        <w:t>to be the</w:t>
      </w:r>
      <w:proofErr w:type="gramEnd"/>
      <w:r w:rsidRPr="006E403B">
        <w:rPr>
          <w:rFonts w:ascii="Times New Roman" w:hAnsi="Times New Roman"/>
          <w:sz w:val="22"/>
          <w:szCs w:val="22"/>
        </w:rPr>
        <w:t xml:space="preserve"> most effective way to practice good hand hygiene, hand sanitisers also play an important role in attempting to reduce the spread of microorganisms. This has led to increased demand for hand sanitisers in Australia and subsequent shortages in medical and health care settings.</w:t>
      </w:r>
    </w:p>
    <w:p w:rsidR="006E403B" w:rsidRPr="006E403B" w:rsidRDefault="006E403B" w:rsidP="006E403B">
      <w:pPr>
        <w:shd w:val="clear" w:color="auto" w:fill="FFFFFF"/>
        <w:rPr>
          <w:rFonts w:ascii="Times New Roman" w:hAnsi="Times New Roman"/>
          <w:sz w:val="22"/>
          <w:szCs w:val="22"/>
        </w:rPr>
      </w:pPr>
    </w:p>
    <w:p w:rsidR="006E403B" w:rsidRPr="006E403B" w:rsidRDefault="006E403B" w:rsidP="006E403B">
      <w:pPr>
        <w:shd w:val="clear" w:color="auto" w:fill="FFFFFF"/>
        <w:rPr>
          <w:rFonts w:ascii="Times New Roman" w:hAnsi="Times New Roman"/>
          <w:sz w:val="22"/>
          <w:szCs w:val="22"/>
        </w:rPr>
      </w:pPr>
      <w:r w:rsidRPr="006E403B">
        <w:rPr>
          <w:rFonts w:ascii="Times New Roman" w:hAnsi="Times New Roman"/>
          <w:sz w:val="22"/>
          <w:szCs w:val="22"/>
        </w:rPr>
        <w:t xml:space="preserve">The </w:t>
      </w:r>
      <w:r w:rsidR="0089401A">
        <w:rPr>
          <w:rFonts w:ascii="Times New Roman" w:hAnsi="Times New Roman"/>
          <w:sz w:val="22"/>
          <w:szCs w:val="22"/>
        </w:rPr>
        <w:t xml:space="preserve">instrument </w:t>
      </w:r>
      <w:r w:rsidRPr="006E403B">
        <w:rPr>
          <w:rFonts w:ascii="Times New Roman" w:hAnsi="Times New Roman"/>
          <w:sz w:val="22"/>
          <w:szCs w:val="22"/>
        </w:rPr>
        <w:t xml:space="preserve">excludes specified hand sanitisers from the operation of the Act so that these goods </w:t>
      </w:r>
      <w:proofErr w:type="gramStart"/>
      <w:r w:rsidR="00AA6BBF">
        <w:rPr>
          <w:rFonts w:ascii="Times New Roman" w:hAnsi="Times New Roman"/>
          <w:sz w:val="22"/>
          <w:szCs w:val="22"/>
        </w:rPr>
        <w:t xml:space="preserve">may </w:t>
      </w:r>
      <w:r w:rsidRPr="006E403B">
        <w:rPr>
          <w:rFonts w:ascii="Times New Roman" w:hAnsi="Times New Roman"/>
          <w:sz w:val="22"/>
          <w:szCs w:val="22"/>
        </w:rPr>
        <w:t>be manufactured and supplied urgently within Australia</w:t>
      </w:r>
      <w:proofErr w:type="gramEnd"/>
      <w:r w:rsidRPr="006E403B">
        <w:rPr>
          <w:rFonts w:ascii="Times New Roman" w:hAnsi="Times New Roman"/>
          <w:sz w:val="22"/>
          <w:szCs w:val="22"/>
        </w:rPr>
        <w:t xml:space="preserve">. The exclusion accords with the recent policy position taken by the United States Food and Drug Administration (“USFDA”), communicated in the </w:t>
      </w:r>
      <w:r w:rsidRPr="006E403B">
        <w:rPr>
          <w:rFonts w:ascii="Times New Roman" w:hAnsi="Times New Roman"/>
          <w:i/>
          <w:sz w:val="22"/>
          <w:szCs w:val="22"/>
        </w:rPr>
        <w:t>Temporary Policy for Preparation of Certain Alcohol-Based Hand Sanitizer Products During the Public Health Emergency (COVID-19)</w:t>
      </w:r>
      <w:r w:rsidRPr="006E403B">
        <w:rPr>
          <w:rFonts w:ascii="Times New Roman" w:hAnsi="Times New Roman"/>
          <w:sz w:val="22"/>
          <w:szCs w:val="22"/>
        </w:rPr>
        <w:t xml:space="preserve"> published March 2020. The policy allows certain entities that </w:t>
      </w:r>
      <w:proofErr w:type="gramStart"/>
      <w:r w:rsidRPr="006E403B">
        <w:rPr>
          <w:rFonts w:ascii="Times New Roman" w:hAnsi="Times New Roman"/>
          <w:sz w:val="22"/>
          <w:szCs w:val="22"/>
        </w:rPr>
        <w:t>are not presently regulated</w:t>
      </w:r>
      <w:proofErr w:type="gramEnd"/>
      <w:r w:rsidRPr="006E403B">
        <w:rPr>
          <w:rFonts w:ascii="Times New Roman" w:hAnsi="Times New Roman"/>
          <w:sz w:val="22"/>
          <w:szCs w:val="22"/>
        </w:rPr>
        <w:t xml:space="preserve"> by the USFDA to manufacture and distribute hand sanitisers during the COVID-19 emergency. The policy </w:t>
      </w:r>
      <w:proofErr w:type="gramStart"/>
      <w:r w:rsidRPr="006E403B">
        <w:rPr>
          <w:rFonts w:ascii="Times New Roman" w:hAnsi="Times New Roman"/>
          <w:sz w:val="22"/>
          <w:szCs w:val="22"/>
        </w:rPr>
        <w:t>was informed</w:t>
      </w:r>
      <w:proofErr w:type="gramEnd"/>
      <w:r w:rsidRPr="006E403B">
        <w:rPr>
          <w:rFonts w:ascii="Times New Roman" w:hAnsi="Times New Roman"/>
          <w:sz w:val="22"/>
          <w:szCs w:val="22"/>
        </w:rPr>
        <w:t xml:space="preserve"> by the World Health Organisation</w:t>
      </w:r>
      <w:r w:rsidR="00AA6BBF">
        <w:rPr>
          <w:rFonts w:ascii="Times New Roman" w:hAnsi="Times New Roman"/>
          <w:sz w:val="22"/>
          <w:szCs w:val="22"/>
        </w:rPr>
        <w:t xml:space="preserve"> recommendations</w:t>
      </w:r>
      <w:r w:rsidRPr="006E403B">
        <w:rPr>
          <w:rFonts w:ascii="Times New Roman" w:hAnsi="Times New Roman"/>
          <w:sz w:val="22"/>
          <w:szCs w:val="22"/>
        </w:rPr>
        <w:t xml:space="preserve"> for local production of hand sanitisers published in April 2010.</w:t>
      </w:r>
    </w:p>
    <w:p w:rsidR="006E403B" w:rsidRPr="006E403B" w:rsidRDefault="006E403B" w:rsidP="006E403B">
      <w:pPr>
        <w:shd w:val="clear" w:color="auto" w:fill="FFFFFF"/>
        <w:rPr>
          <w:rFonts w:ascii="Times New Roman" w:hAnsi="Times New Roman"/>
          <w:sz w:val="22"/>
          <w:szCs w:val="22"/>
        </w:rPr>
      </w:pPr>
    </w:p>
    <w:p w:rsidR="0089401A" w:rsidRDefault="002624CA" w:rsidP="0089401A">
      <w:pPr>
        <w:autoSpaceDE w:val="0"/>
        <w:autoSpaceDN w:val="0"/>
        <w:adjustRightInd w:val="0"/>
        <w:rPr>
          <w:rFonts w:ascii="Times New Roman" w:hAnsi="Times New Roman"/>
          <w:sz w:val="22"/>
          <w:szCs w:val="22"/>
        </w:rPr>
      </w:pPr>
      <w:r>
        <w:rPr>
          <w:rFonts w:ascii="Times New Roman" w:hAnsi="Times New Roman"/>
          <w:sz w:val="22"/>
          <w:szCs w:val="22"/>
        </w:rPr>
        <w:t>In accordance with the matters to be taken into account under subsection 7AA(3) of the Act, t</w:t>
      </w:r>
      <w:r w:rsidR="0089401A">
        <w:rPr>
          <w:rFonts w:ascii="Times New Roman" w:hAnsi="Times New Roman"/>
          <w:sz w:val="22"/>
          <w:szCs w:val="22"/>
        </w:rPr>
        <w:t>he</w:t>
      </w:r>
      <w:r w:rsidR="00995D35">
        <w:rPr>
          <w:rFonts w:ascii="Times New Roman" w:hAnsi="Times New Roman"/>
          <w:sz w:val="22"/>
          <w:szCs w:val="22"/>
        </w:rPr>
        <w:t> </w:t>
      </w:r>
      <w:r w:rsidR="0089401A">
        <w:rPr>
          <w:rFonts w:ascii="Times New Roman" w:hAnsi="Times New Roman"/>
          <w:sz w:val="22"/>
          <w:szCs w:val="22"/>
        </w:rPr>
        <w:t xml:space="preserve">goods specified in the instrument are not likely to harm </w:t>
      </w:r>
      <w:r>
        <w:rPr>
          <w:rFonts w:ascii="Times New Roman" w:hAnsi="Times New Roman"/>
          <w:sz w:val="22"/>
          <w:szCs w:val="22"/>
        </w:rPr>
        <w:t xml:space="preserve">public </w:t>
      </w:r>
      <w:r w:rsidR="0089401A">
        <w:rPr>
          <w:rFonts w:ascii="Times New Roman" w:hAnsi="Times New Roman"/>
          <w:sz w:val="22"/>
          <w:szCs w:val="22"/>
        </w:rPr>
        <w:t xml:space="preserve">health </w:t>
      </w:r>
      <w:r>
        <w:rPr>
          <w:rFonts w:ascii="Times New Roman" w:hAnsi="Times New Roman"/>
          <w:sz w:val="22"/>
          <w:szCs w:val="22"/>
        </w:rPr>
        <w:t>when manufactured, advertised or presented for supply in the manner described in the instrument</w:t>
      </w:r>
      <w:r w:rsidR="0089401A">
        <w:rPr>
          <w:rFonts w:ascii="Times New Roman" w:hAnsi="Times New Roman"/>
          <w:sz w:val="22"/>
          <w:szCs w:val="22"/>
        </w:rPr>
        <w:t xml:space="preserve">. Further, it </w:t>
      </w:r>
      <w:r w:rsidR="0089401A" w:rsidRPr="002F5749">
        <w:rPr>
          <w:rFonts w:ascii="Times New Roman" w:hAnsi="Times New Roman"/>
          <w:sz w:val="22"/>
          <w:szCs w:val="22"/>
        </w:rPr>
        <w:t>is not appropriate to apply the national system of con</w:t>
      </w:r>
      <w:r w:rsidR="0089401A">
        <w:rPr>
          <w:rFonts w:ascii="Times New Roman" w:hAnsi="Times New Roman"/>
          <w:sz w:val="22"/>
          <w:szCs w:val="22"/>
        </w:rPr>
        <w:t xml:space="preserve">trols established by the Act </w:t>
      </w:r>
      <w:r w:rsidR="0089401A" w:rsidRPr="002F5749">
        <w:rPr>
          <w:rFonts w:ascii="Times New Roman" w:hAnsi="Times New Roman"/>
          <w:sz w:val="22"/>
          <w:szCs w:val="22"/>
        </w:rPr>
        <w:t xml:space="preserve">in the </w:t>
      </w:r>
      <w:r>
        <w:rPr>
          <w:rFonts w:ascii="Times New Roman" w:hAnsi="Times New Roman"/>
          <w:sz w:val="22"/>
          <w:szCs w:val="22"/>
        </w:rPr>
        <w:t xml:space="preserve">context of a national emergency, where there is an </w:t>
      </w:r>
      <w:r w:rsidR="0089401A">
        <w:rPr>
          <w:rFonts w:ascii="Times New Roman" w:hAnsi="Times New Roman"/>
          <w:sz w:val="22"/>
          <w:szCs w:val="22"/>
        </w:rPr>
        <w:t xml:space="preserve">immediate and pressing need for </w:t>
      </w:r>
      <w:r w:rsidR="00995D35">
        <w:rPr>
          <w:rFonts w:ascii="Times New Roman" w:hAnsi="Times New Roman"/>
          <w:sz w:val="22"/>
          <w:szCs w:val="22"/>
        </w:rPr>
        <w:t xml:space="preserve">the </w:t>
      </w:r>
      <w:r w:rsidR="0089401A">
        <w:rPr>
          <w:rFonts w:ascii="Times New Roman" w:hAnsi="Times New Roman"/>
          <w:sz w:val="22"/>
          <w:szCs w:val="22"/>
        </w:rPr>
        <w:t xml:space="preserve">manufacture and supply of these goods in Australia. </w:t>
      </w:r>
    </w:p>
    <w:p w:rsidR="0089401A" w:rsidRDefault="0089401A" w:rsidP="0089401A">
      <w:pPr>
        <w:autoSpaceDE w:val="0"/>
        <w:autoSpaceDN w:val="0"/>
        <w:adjustRightInd w:val="0"/>
        <w:rPr>
          <w:rFonts w:ascii="Times New Roman" w:hAnsi="Times New Roman"/>
          <w:sz w:val="22"/>
          <w:szCs w:val="22"/>
        </w:rPr>
      </w:pPr>
    </w:p>
    <w:p w:rsidR="0089401A" w:rsidRDefault="0089401A" w:rsidP="0089401A">
      <w:pPr>
        <w:autoSpaceDE w:val="0"/>
        <w:autoSpaceDN w:val="0"/>
        <w:adjustRightInd w:val="0"/>
        <w:rPr>
          <w:rFonts w:ascii="Times New Roman" w:hAnsi="Times New Roman"/>
          <w:sz w:val="22"/>
          <w:szCs w:val="22"/>
        </w:rPr>
      </w:pPr>
      <w:r w:rsidRPr="006E403B">
        <w:rPr>
          <w:rFonts w:ascii="Times New Roman" w:hAnsi="Times New Roman"/>
          <w:sz w:val="22"/>
          <w:szCs w:val="22"/>
        </w:rPr>
        <w:t xml:space="preserve">While the goods </w:t>
      </w:r>
      <w:r>
        <w:rPr>
          <w:rFonts w:ascii="Times New Roman" w:hAnsi="Times New Roman"/>
          <w:sz w:val="22"/>
          <w:szCs w:val="22"/>
        </w:rPr>
        <w:t xml:space="preserve">specified in </w:t>
      </w:r>
      <w:r w:rsidRPr="006E403B">
        <w:rPr>
          <w:rFonts w:ascii="Times New Roman" w:hAnsi="Times New Roman"/>
          <w:sz w:val="22"/>
          <w:szCs w:val="22"/>
        </w:rPr>
        <w:t xml:space="preserve">this </w:t>
      </w:r>
      <w:r>
        <w:rPr>
          <w:rFonts w:ascii="Times New Roman" w:hAnsi="Times New Roman"/>
          <w:sz w:val="22"/>
          <w:szCs w:val="22"/>
        </w:rPr>
        <w:t>instrument</w:t>
      </w:r>
      <w:r w:rsidRPr="006E403B">
        <w:rPr>
          <w:rFonts w:ascii="Times New Roman" w:hAnsi="Times New Roman"/>
          <w:sz w:val="22"/>
          <w:szCs w:val="22"/>
        </w:rPr>
        <w:t xml:space="preserve"> </w:t>
      </w:r>
      <w:r>
        <w:rPr>
          <w:rFonts w:ascii="Times New Roman" w:hAnsi="Times New Roman"/>
          <w:sz w:val="22"/>
          <w:szCs w:val="22"/>
        </w:rPr>
        <w:t xml:space="preserve">are excluded goods for the purposes of the </w:t>
      </w:r>
      <w:r w:rsidRPr="006E403B">
        <w:rPr>
          <w:rFonts w:ascii="Times New Roman" w:hAnsi="Times New Roman"/>
          <w:sz w:val="22"/>
          <w:szCs w:val="22"/>
        </w:rPr>
        <w:t>Act, th</w:t>
      </w:r>
      <w:r>
        <w:rPr>
          <w:rFonts w:ascii="Times New Roman" w:hAnsi="Times New Roman"/>
          <w:sz w:val="22"/>
          <w:szCs w:val="22"/>
        </w:rPr>
        <w:t>es</w:t>
      </w:r>
      <w:r w:rsidR="00995D35">
        <w:rPr>
          <w:rFonts w:ascii="Times New Roman" w:hAnsi="Times New Roman"/>
          <w:sz w:val="22"/>
          <w:szCs w:val="22"/>
        </w:rPr>
        <w:t>e </w:t>
      </w:r>
      <w:r w:rsidRPr="006E403B">
        <w:rPr>
          <w:rFonts w:ascii="Times New Roman" w:hAnsi="Times New Roman"/>
          <w:sz w:val="22"/>
          <w:szCs w:val="22"/>
        </w:rPr>
        <w:t xml:space="preserve">goods will continue to </w:t>
      </w:r>
      <w:proofErr w:type="gramStart"/>
      <w:r w:rsidRPr="006E403B">
        <w:rPr>
          <w:rFonts w:ascii="Times New Roman" w:hAnsi="Times New Roman"/>
          <w:sz w:val="22"/>
          <w:szCs w:val="22"/>
        </w:rPr>
        <w:t>be regulated</w:t>
      </w:r>
      <w:proofErr w:type="gramEnd"/>
      <w:r w:rsidRPr="006E403B">
        <w:rPr>
          <w:rFonts w:ascii="Times New Roman" w:hAnsi="Times New Roman"/>
          <w:sz w:val="22"/>
          <w:szCs w:val="22"/>
        </w:rPr>
        <w:t xml:space="preserve"> as consumer goods by the Australian Competition and Consumer Commission</w:t>
      </w:r>
      <w:r>
        <w:rPr>
          <w:rFonts w:ascii="Times New Roman" w:hAnsi="Times New Roman"/>
          <w:sz w:val="22"/>
          <w:szCs w:val="22"/>
        </w:rPr>
        <w:t xml:space="preserve"> under Australian Consumer Law.</w:t>
      </w:r>
      <w:r w:rsidR="002624CA" w:rsidRPr="002624CA">
        <w:rPr>
          <w:rFonts w:ascii="Times New Roman" w:hAnsi="Times New Roman"/>
          <w:sz w:val="22"/>
          <w:szCs w:val="22"/>
        </w:rPr>
        <w:t xml:space="preserve"> </w:t>
      </w:r>
      <w:r w:rsidR="002624CA">
        <w:rPr>
          <w:rFonts w:ascii="Times New Roman" w:hAnsi="Times New Roman"/>
          <w:sz w:val="22"/>
          <w:szCs w:val="22"/>
        </w:rPr>
        <w:t xml:space="preserve">The ongoing need for the exclusion </w:t>
      </w:r>
      <w:proofErr w:type="gramStart"/>
      <w:r w:rsidR="002624CA">
        <w:rPr>
          <w:rFonts w:ascii="Times New Roman" w:hAnsi="Times New Roman"/>
          <w:sz w:val="22"/>
          <w:szCs w:val="22"/>
        </w:rPr>
        <w:t>may be revisited</w:t>
      </w:r>
      <w:proofErr w:type="gramEnd"/>
      <w:r w:rsidR="002624CA">
        <w:rPr>
          <w:rFonts w:ascii="Times New Roman" w:hAnsi="Times New Roman"/>
          <w:sz w:val="22"/>
          <w:szCs w:val="22"/>
        </w:rPr>
        <w:t xml:space="preserve"> in the future as circumstances change.</w:t>
      </w:r>
    </w:p>
    <w:p w:rsidR="0089401A" w:rsidRDefault="0089401A" w:rsidP="0089401A">
      <w:pPr>
        <w:autoSpaceDE w:val="0"/>
        <w:autoSpaceDN w:val="0"/>
        <w:adjustRightInd w:val="0"/>
        <w:rPr>
          <w:rFonts w:ascii="Times New Roman" w:hAnsi="Times New Roman"/>
          <w:sz w:val="22"/>
          <w:szCs w:val="22"/>
        </w:rPr>
      </w:pPr>
    </w:p>
    <w:p w:rsidR="0030123E" w:rsidRPr="00CF219B" w:rsidRDefault="0030123E" w:rsidP="006223AA">
      <w:pPr>
        <w:rPr>
          <w:rFonts w:ascii="Times New Roman" w:hAnsi="Times New Roman"/>
          <w:b/>
          <w:sz w:val="22"/>
          <w:szCs w:val="22"/>
        </w:rPr>
      </w:pPr>
      <w:r w:rsidRPr="00CF219B">
        <w:rPr>
          <w:rFonts w:ascii="Times New Roman" w:hAnsi="Times New Roman"/>
          <w:b/>
          <w:sz w:val="22"/>
          <w:szCs w:val="22"/>
        </w:rPr>
        <w:t>Conclusion</w:t>
      </w:r>
    </w:p>
    <w:p w:rsidR="0089401A" w:rsidRDefault="0089401A" w:rsidP="0089401A">
      <w:pPr>
        <w:shd w:val="clear" w:color="auto" w:fill="FFFFFF"/>
        <w:rPr>
          <w:rFonts w:ascii="Times New Roman" w:hAnsi="Times New Roman"/>
          <w:sz w:val="22"/>
          <w:szCs w:val="22"/>
        </w:rPr>
      </w:pPr>
    </w:p>
    <w:p w:rsidR="004C52DB" w:rsidRPr="00CF219B" w:rsidRDefault="0089401A" w:rsidP="0089401A">
      <w:pPr>
        <w:shd w:val="clear" w:color="auto" w:fill="FFFFFF"/>
        <w:rPr>
          <w:rFonts w:ascii="Times New Roman" w:hAnsi="Times New Roman"/>
          <w:sz w:val="22"/>
          <w:szCs w:val="22"/>
        </w:rPr>
      </w:pPr>
      <w:r>
        <w:rPr>
          <w:rFonts w:ascii="Times New Roman" w:hAnsi="Times New Roman"/>
          <w:sz w:val="22"/>
          <w:szCs w:val="22"/>
        </w:rPr>
        <w:t xml:space="preserve">In summary, the instrument promotes and supports the right to health by facilitating access to hand sanitisers. </w:t>
      </w:r>
      <w:r w:rsidR="00D270C7">
        <w:rPr>
          <w:rFonts w:ascii="Times New Roman" w:hAnsi="Times New Roman"/>
          <w:sz w:val="22"/>
          <w:szCs w:val="22"/>
        </w:rPr>
        <w:t xml:space="preserve">The </w:t>
      </w:r>
      <w:r w:rsidR="000C21C4" w:rsidRPr="00CF219B">
        <w:rPr>
          <w:rFonts w:ascii="Times New Roman" w:hAnsi="Times New Roman"/>
          <w:sz w:val="22"/>
          <w:szCs w:val="22"/>
        </w:rPr>
        <w:t xml:space="preserve">instrument is compatible with human rights because it </w:t>
      </w:r>
      <w:r>
        <w:rPr>
          <w:rFonts w:ascii="Times New Roman" w:hAnsi="Times New Roman"/>
          <w:sz w:val="22"/>
          <w:szCs w:val="22"/>
        </w:rPr>
        <w:t>promotes the right to health</w:t>
      </w:r>
      <w:r w:rsidRPr="00A35596">
        <w:rPr>
          <w:rFonts w:ascii="Times New Roman" w:hAnsi="Times New Roman"/>
          <w:sz w:val="22"/>
          <w:szCs w:val="22"/>
        </w:rPr>
        <w:t xml:space="preserve"> </w:t>
      </w:r>
      <w:r>
        <w:rPr>
          <w:rFonts w:ascii="Times New Roman" w:hAnsi="Times New Roman"/>
          <w:sz w:val="22"/>
          <w:szCs w:val="22"/>
        </w:rPr>
        <w:t xml:space="preserve">in Article 12 of the ICESCR and otherwise does </w:t>
      </w:r>
      <w:r w:rsidRPr="00A35596">
        <w:rPr>
          <w:rFonts w:ascii="Times New Roman" w:hAnsi="Times New Roman"/>
          <w:sz w:val="22"/>
          <w:szCs w:val="22"/>
        </w:rPr>
        <w:t xml:space="preserve">not raise any </w:t>
      </w:r>
      <w:r>
        <w:rPr>
          <w:rFonts w:ascii="Times New Roman" w:hAnsi="Times New Roman"/>
          <w:sz w:val="22"/>
          <w:szCs w:val="22"/>
        </w:rPr>
        <w:t xml:space="preserve">other </w:t>
      </w:r>
      <w:r w:rsidRPr="00A35596">
        <w:rPr>
          <w:rFonts w:ascii="Times New Roman" w:hAnsi="Times New Roman"/>
          <w:sz w:val="22"/>
          <w:szCs w:val="22"/>
        </w:rPr>
        <w:t>human rights issues.</w:t>
      </w:r>
    </w:p>
    <w:p w:rsidR="004C52DB" w:rsidRDefault="004C52DB" w:rsidP="0089401A">
      <w:pPr>
        <w:rPr>
          <w:rFonts w:ascii="Times New Roman" w:hAnsi="Times New Roman"/>
          <w:b/>
          <w:sz w:val="22"/>
          <w:szCs w:val="22"/>
        </w:rPr>
      </w:pPr>
    </w:p>
    <w:p w:rsidR="007231B2" w:rsidRPr="00CF219B" w:rsidRDefault="00231048" w:rsidP="0089401A">
      <w:pPr>
        <w:rPr>
          <w:rFonts w:ascii="Times New Roman" w:hAnsi="Times New Roman"/>
          <w:b/>
          <w:sz w:val="22"/>
          <w:szCs w:val="22"/>
        </w:rPr>
      </w:pPr>
      <w:r w:rsidRPr="00572F61">
        <w:rPr>
          <w:rFonts w:ascii="Times New Roman" w:hAnsi="Times New Roman"/>
          <w:b/>
          <w:sz w:val="22"/>
          <w:szCs w:val="22"/>
        </w:rPr>
        <w:t>Jane Cook</w:t>
      </w:r>
      <w:r w:rsidR="007231B2" w:rsidRPr="00572F61">
        <w:rPr>
          <w:rFonts w:ascii="Times New Roman" w:hAnsi="Times New Roman"/>
          <w:b/>
          <w:sz w:val="22"/>
          <w:szCs w:val="22"/>
        </w:rPr>
        <w:t xml:space="preserve">, delegate of the </w:t>
      </w:r>
      <w:r w:rsidR="002757A6" w:rsidRPr="00572F61">
        <w:rPr>
          <w:rFonts w:ascii="Times New Roman" w:hAnsi="Times New Roman"/>
          <w:b/>
          <w:sz w:val="22"/>
          <w:szCs w:val="22"/>
        </w:rPr>
        <w:t xml:space="preserve">Minister for </w:t>
      </w:r>
      <w:r w:rsidR="007231B2" w:rsidRPr="00572F61">
        <w:rPr>
          <w:rFonts w:ascii="Times New Roman" w:hAnsi="Times New Roman"/>
          <w:b/>
          <w:sz w:val="22"/>
          <w:szCs w:val="22"/>
        </w:rPr>
        <w:t>Health</w:t>
      </w:r>
    </w:p>
    <w:sectPr w:rsidR="007231B2" w:rsidRPr="00CF219B" w:rsidSect="000675AB">
      <w:headerReference w:type="even" r:id="rId9"/>
      <w:headerReference w:type="default" r:id="rId10"/>
      <w:footerReference w:type="even" r:id="rId11"/>
      <w:footerReference w:type="default" r:id="rId12"/>
      <w:headerReference w:type="first" r:id="rId13"/>
      <w:footerReference w:type="first" r:id="rId14"/>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1A8" w:rsidRDefault="002531A8">
      <w:r>
        <w:separator/>
      </w:r>
    </w:p>
  </w:endnote>
  <w:endnote w:type="continuationSeparator" w:id="0">
    <w:p w:rsidR="002531A8" w:rsidRDefault="0025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48" w:rsidRDefault="00595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rFonts w:ascii="Times New Roman" w:hAnsi="Times New Roman"/>
        <w:noProof/>
        <w:sz w:val="22"/>
        <w:szCs w:val="22"/>
      </w:rPr>
    </w:sdtEndPr>
    <w:sdtContent>
      <w:p w:rsidR="00C65863" w:rsidRPr="00595448" w:rsidRDefault="00C65863">
        <w:pPr>
          <w:pStyle w:val="Footer"/>
          <w:jc w:val="right"/>
          <w:rPr>
            <w:rFonts w:ascii="Times New Roman" w:hAnsi="Times New Roman"/>
            <w:sz w:val="22"/>
            <w:szCs w:val="22"/>
          </w:rPr>
        </w:pPr>
        <w:r w:rsidRPr="00595448">
          <w:rPr>
            <w:rFonts w:ascii="Times New Roman" w:hAnsi="Times New Roman"/>
            <w:sz w:val="22"/>
            <w:szCs w:val="22"/>
          </w:rPr>
          <w:fldChar w:fldCharType="begin"/>
        </w:r>
        <w:r w:rsidRPr="00595448">
          <w:rPr>
            <w:rFonts w:ascii="Times New Roman" w:hAnsi="Times New Roman"/>
            <w:sz w:val="22"/>
            <w:szCs w:val="22"/>
          </w:rPr>
          <w:instrText xml:space="preserve"> PAGE   \* MERGEFORMAT </w:instrText>
        </w:r>
        <w:r w:rsidRPr="00595448">
          <w:rPr>
            <w:rFonts w:ascii="Times New Roman" w:hAnsi="Times New Roman"/>
            <w:sz w:val="22"/>
            <w:szCs w:val="22"/>
          </w:rPr>
          <w:fldChar w:fldCharType="separate"/>
        </w:r>
        <w:r w:rsidR="00CF12D4">
          <w:rPr>
            <w:rFonts w:ascii="Times New Roman" w:hAnsi="Times New Roman"/>
            <w:noProof/>
            <w:sz w:val="22"/>
            <w:szCs w:val="22"/>
          </w:rPr>
          <w:t>3</w:t>
        </w:r>
        <w:r w:rsidRPr="00595448">
          <w:rPr>
            <w:rFonts w:ascii="Times New Roman" w:hAnsi="Times New Roman"/>
            <w:noProof/>
            <w:sz w:val="22"/>
            <w:szCs w:val="22"/>
          </w:rPr>
          <w:fldChar w:fldCharType="end"/>
        </w:r>
      </w:p>
    </w:sdtContent>
  </w:sdt>
  <w:p w:rsidR="00C65863" w:rsidRPr="00877529" w:rsidRDefault="00C65863" w:rsidP="00877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63" w:rsidRDefault="00C65863"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1A8" w:rsidRDefault="002531A8">
      <w:r>
        <w:separator/>
      </w:r>
    </w:p>
  </w:footnote>
  <w:footnote w:type="continuationSeparator" w:id="0">
    <w:p w:rsidR="002531A8" w:rsidRDefault="0025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63" w:rsidRDefault="00C65863"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5863" w:rsidRDefault="00C65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63" w:rsidRDefault="00C65863" w:rsidP="00AD1943">
    <w:pPr>
      <w:pStyle w:val="Header"/>
      <w:tabs>
        <w:tab w:val="clear" w:pos="4153"/>
        <w:tab w:val="clear" w:pos="8306"/>
        <w:tab w:val="left" w:pos="0"/>
      </w:tabs>
    </w:pPr>
  </w:p>
  <w:p w:rsidR="00C65863" w:rsidRDefault="00C65863" w:rsidP="00AD1943">
    <w:pPr>
      <w:pStyle w:val="Header"/>
      <w:tabs>
        <w:tab w:val="clear" w:pos="4153"/>
        <w:tab w:val="clear" w:pos="8306"/>
        <w:tab w:val="left" w:pos="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48" w:rsidRDefault="0059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51"/>
    <w:multiLevelType w:val="hybridMultilevel"/>
    <w:tmpl w:val="17F67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12C38"/>
    <w:multiLevelType w:val="hybridMultilevel"/>
    <w:tmpl w:val="CB12F6CC"/>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93A0B"/>
    <w:multiLevelType w:val="hybridMultilevel"/>
    <w:tmpl w:val="1F7890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4"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6"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8"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1"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065036"/>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2F69B2"/>
    <w:multiLevelType w:val="hybridMultilevel"/>
    <w:tmpl w:val="4CD4E9F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37C62DA"/>
    <w:multiLevelType w:val="hybridMultilevel"/>
    <w:tmpl w:val="4288B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3"/>
  </w:num>
  <w:num w:numId="4">
    <w:abstractNumId w:val="6"/>
  </w:num>
  <w:num w:numId="5">
    <w:abstractNumId w:val="7"/>
  </w:num>
  <w:num w:numId="6">
    <w:abstractNumId w:val="5"/>
  </w:num>
  <w:num w:numId="7">
    <w:abstractNumId w:val="3"/>
  </w:num>
  <w:num w:numId="8">
    <w:abstractNumId w:val="11"/>
  </w:num>
  <w:num w:numId="9">
    <w:abstractNumId w:val="24"/>
  </w:num>
  <w:num w:numId="10">
    <w:abstractNumId w:val="10"/>
  </w:num>
  <w:num w:numId="11">
    <w:abstractNumId w:val="17"/>
  </w:num>
  <w:num w:numId="12">
    <w:abstractNumId w:val="9"/>
  </w:num>
  <w:num w:numId="13">
    <w:abstractNumId w:val="19"/>
  </w:num>
  <w:num w:numId="14">
    <w:abstractNumId w:val="13"/>
  </w:num>
  <w:num w:numId="15">
    <w:abstractNumId w:val="12"/>
  </w:num>
  <w:num w:numId="16">
    <w:abstractNumId w:val="8"/>
  </w:num>
  <w:num w:numId="17">
    <w:abstractNumId w:val="15"/>
  </w:num>
  <w:num w:numId="18">
    <w:abstractNumId w:val="20"/>
  </w:num>
  <w:num w:numId="19">
    <w:abstractNumId w:val="21"/>
  </w:num>
  <w:num w:numId="20">
    <w:abstractNumId w:val="2"/>
  </w:num>
  <w:num w:numId="21">
    <w:abstractNumId w:val="0"/>
  </w:num>
  <w:num w:numId="22">
    <w:abstractNumId w:val="14"/>
  </w:num>
  <w:num w:numId="23">
    <w:abstractNumId w:val="18"/>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12656"/>
    <w:rsid w:val="00013323"/>
    <w:rsid w:val="000257B7"/>
    <w:rsid w:val="00025B0F"/>
    <w:rsid w:val="000267C7"/>
    <w:rsid w:val="000372AF"/>
    <w:rsid w:val="00037439"/>
    <w:rsid w:val="00037CA7"/>
    <w:rsid w:val="000405EE"/>
    <w:rsid w:val="00042068"/>
    <w:rsid w:val="00045BDF"/>
    <w:rsid w:val="000614D9"/>
    <w:rsid w:val="00064CC7"/>
    <w:rsid w:val="0006546D"/>
    <w:rsid w:val="000675AB"/>
    <w:rsid w:val="00072CA3"/>
    <w:rsid w:val="00075585"/>
    <w:rsid w:val="00075839"/>
    <w:rsid w:val="000810B4"/>
    <w:rsid w:val="00081E09"/>
    <w:rsid w:val="00085CCF"/>
    <w:rsid w:val="00090CC5"/>
    <w:rsid w:val="000917B7"/>
    <w:rsid w:val="00093E11"/>
    <w:rsid w:val="00094B6D"/>
    <w:rsid w:val="000952C2"/>
    <w:rsid w:val="000A5AE3"/>
    <w:rsid w:val="000B005F"/>
    <w:rsid w:val="000B37FD"/>
    <w:rsid w:val="000B58AA"/>
    <w:rsid w:val="000B58FD"/>
    <w:rsid w:val="000B6B42"/>
    <w:rsid w:val="000B7645"/>
    <w:rsid w:val="000C01CF"/>
    <w:rsid w:val="000C21C4"/>
    <w:rsid w:val="000C5E08"/>
    <w:rsid w:val="000D0F32"/>
    <w:rsid w:val="000D73D0"/>
    <w:rsid w:val="000E36A7"/>
    <w:rsid w:val="000E60DC"/>
    <w:rsid w:val="000F04F8"/>
    <w:rsid w:val="00104E72"/>
    <w:rsid w:val="00113D3A"/>
    <w:rsid w:val="00117450"/>
    <w:rsid w:val="00132FF7"/>
    <w:rsid w:val="00141D8C"/>
    <w:rsid w:val="00143670"/>
    <w:rsid w:val="00146B03"/>
    <w:rsid w:val="00147ACA"/>
    <w:rsid w:val="001543C7"/>
    <w:rsid w:val="00157EAD"/>
    <w:rsid w:val="00175953"/>
    <w:rsid w:val="001760FA"/>
    <w:rsid w:val="001811A6"/>
    <w:rsid w:val="00190467"/>
    <w:rsid w:val="00190FC6"/>
    <w:rsid w:val="00195047"/>
    <w:rsid w:val="00195187"/>
    <w:rsid w:val="00195BB6"/>
    <w:rsid w:val="00197BB2"/>
    <w:rsid w:val="001A0568"/>
    <w:rsid w:val="001A19D7"/>
    <w:rsid w:val="001A214C"/>
    <w:rsid w:val="001A4C5C"/>
    <w:rsid w:val="001C602E"/>
    <w:rsid w:val="001D19ED"/>
    <w:rsid w:val="001D3026"/>
    <w:rsid w:val="001D7CA1"/>
    <w:rsid w:val="001E6D11"/>
    <w:rsid w:val="001F0239"/>
    <w:rsid w:val="001F2642"/>
    <w:rsid w:val="001F3922"/>
    <w:rsid w:val="001F73A0"/>
    <w:rsid w:val="00200B42"/>
    <w:rsid w:val="00201305"/>
    <w:rsid w:val="00203B05"/>
    <w:rsid w:val="00204B5E"/>
    <w:rsid w:val="002058BF"/>
    <w:rsid w:val="00206AF2"/>
    <w:rsid w:val="002163B6"/>
    <w:rsid w:val="00231048"/>
    <w:rsid w:val="002404DB"/>
    <w:rsid w:val="00242E07"/>
    <w:rsid w:val="002531A8"/>
    <w:rsid w:val="002624CA"/>
    <w:rsid w:val="00262999"/>
    <w:rsid w:val="0026607F"/>
    <w:rsid w:val="002707DC"/>
    <w:rsid w:val="00274159"/>
    <w:rsid w:val="002757A6"/>
    <w:rsid w:val="00276035"/>
    <w:rsid w:val="002808F1"/>
    <w:rsid w:val="00283E00"/>
    <w:rsid w:val="00285684"/>
    <w:rsid w:val="00290960"/>
    <w:rsid w:val="00292B07"/>
    <w:rsid w:val="00293CB9"/>
    <w:rsid w:val="00294A49"/>
    <w:rsid w:val="00294DFA"/>
    <w:rsid w:val="00297750"/>
    <w:rsid w:val="002A0ADB"/>
    <w:rsid w:val="002A4D2F"/>
    <w:rsid w:val="002B5A0B"/>
    <w:rsid w:val="002B5CF0"/>
    <w:rsid w:val="002B7945"/>
    <w:rsid w:val="002C10C0"/>
    <w:rsid w:val="002D01F8"/>
    <w:rsid w:val="002D37B0"/>
    <w:rsid w:val="002D391F"/>
    <w:rsid w:val="002D3EA1"/>
    <w:rsid w:val="002E0A39"/>
    <w:rsid w:val="002E1F59"/>
    <w:rsid w:val="002E2179"/>
    <w:rsid w:val="002E3566"/>
    <w:rsid w:val="002E77F0"/>
    <w:rsid w:val="002F5749"/>
    <w:rsid w:val="0030123E"/>
    <w:rsid w:val="003034AB"/>
    <w:rsid w:val="003047A0"/>
    <w:rsid w:val="00314200"/>
    <w:rsid w:val="00315186"/>
    <w:rsid w:val="00327C89"/>
    <w:rsid w:val="00335801"/>
    <w:rsid w:val="00336E08"/>
    <w:rsid w:val="00344233"/>
    <w:rsid w:val="003473D3"/>
    <w:rsid w:val="0034742D"/>
    <w:rsid w:val="00350252"/>
    <w:rsid w:val="003533D3"/>
    <w:rsid w:val="003630C0"/>
    <w:rsid w:val="00370C90"/>
    <w:rsid w:val="00370D84"/>
    <w:rsid w:val="003749B3"/>
    <w:rsid w:val="00376D83"/>
    <w:rsid w:val="00382439"/>
    <w:rsid w:val="003839E9"/>
    <w:rsid w:val="00386F17"/>
    <w:rsid w:val="00395FAE"/>
    <w:rsid w:val="00396601"/>
    <w:rsid w:val="00396E73"/>
    <w:rsid w:val="00396F63"/>
    <w:rsid w:val="003A4499"/>
    <w:rsid w:val="003A5344"/>
    <w:rsid w:val="003B2462"/>
    <w:rsid w:val="003C04A2"/>
    <w:rsid w:val="003C191C"/>
    <w:rsid w:val="003C223D"/>
    <w:rsid w:val="003C2A3E"/>
    <w:rsid w:val="003C52E5"/>
    <w:rsid w:val="003C5DE1"/>
    <w:rsid w:val="003C5E24"/>
    <w:rsid w:val="003C635E"/>
    <w:rsid w:val="003C6C30"/>
    <w:rsid w:val="003D187B"/>
    <w:rsid w:val="003D2315"/>
    <w:rsid w:val="003D6C16"/>
    <w:rsid w:val="003E0599"/>
    <w:rsid w:val="003F381E"/>
    <w:rsid w:val="003F53E1"/>
    <w:rsid w:val="003F64DA"/>
    <w:rsid w:val="00413B76"/>
    <w:rsid w:val="00420786"/>
    <w:rsid w:val="00422B41"/>
    <w:rsid w:val="004324BB"/>
    <w:rsid w:val="0043463F"/>
    <w:rsid w:val="004366EB"/>
    <w:rsid w:val="0044018D"/>
    <w:rsid w:val="00442059"/>
    <w:rsid w:val="00451CCD"/>
    <w:rsid w:val="00453115"/>
    <w:rsid w:val="00453338"/>
    <w:rsid w:val="0046020B"/>
    <w:rsid w:val="00462B57"/>
    <w:rsid w:val="00462DFB"/>
    <w:rsid w:val="0046497F"/>
    <w:rsid w:val="00464E36"/>
    <w:rsid w:val="00473C2E"/>
    <w:rsid w:val="00473CD2"/>
    <w:rsid w:val="00476489"/>
    <w:rsid w:val="00476887"/>
    <w:rsid w:val="00480D1D"/>
    <w:rsid w:val="004829AD"/>
    <w:rsid w:val="004833CC"/>
    <w:rsid w:val="00485D95"/>
    <w:rsid w:val="00486040"/>
    <w:rsid w:val="00486AE4"/>
    <w:rsid w:val="00490CE7"/>
    <w:rsid w:val="00494C2E"/>
    <w:rsid w:val="00497396"/>
    <w:rsid w:val="004A1F72"/>
    <w:rsid w:val="004B2AAC"/>
    <w:rsid w:val="004B5134"/>
    <w:rsid w:val="004C29D8"/>
    <w:rsid w:val="004C52DB"/>
    <w:rsid w:val="004C7FEE"/>
    <w:rsid w:val="004D28B7"/>
    <w:rsid w:val="004E1773"/>
    <w:rsid w:val="004E2798"/>
    <w:rsid w:val="004E32CA"/>
    <w:rsid w:val="004E668D"/>
    <w:rsid w:val="004F21EE"/>
    <w:rsid w:val="004F2CA3"/>
    <w:rsid w:val="004F2F51"/>
    <w:rsid w:val="004F47A6"/>
    <w:rsid w:val="005000FF"/>
    <w:rsid w:val="00503CB0"/>
    <w:rsid w:val="00504A03"/>
    <w:rsid w:val="00514F45"/>
    <w:rsid w:val="00515937"/>
    <w:rsid w:val="00515FF8"/>
    <w:rsid w:val="00517DAD"/>
    <w:rsid w:val="005231B0"/>
    <w:rsid w:val="00526543"/>
    <w:rsid w:val="005321F7"/>
    <w:rsid w:val="0053604F"/>
    <w:rsid w:val="005360B5"/>
    <w:rsid w:val="00536D79"/>
    <w:rsid w:val="0054576E"/>
    <w:rsid w:val="0054626F"/>
    <w:rsid w:val="00546B3E"/>
    <w:rsid w:val="00547C0F"/>
    <w:rsid w:val="00556311"/>
    <w:rsid w:val="00561F82"/>
    <w:rsid w:val="005623D6"/>
    <w:rsid w:val="00567F49"/>
    <w:rsid w:val="0057215F"/>
    <w:rsid w:val="00572F61"/>
    <w:rsid w:val="00576296"/>
    <w:rsid w:val="00593609"/>
    <w:rsid w:val="00595448"/>
    <w:rsid w:val="00595B06"/>
    <w:rsid w:val="0059755B"/>
    <w:rsid w:val="005A408B"/>
    <w:rsid w:val="005A7924"/>
    <w:rsid w:val="005C02D8"/>
    <w:rsid w:val="005C235E"/>
    <w:rsid w:val="005C30F9"/>
    <w:rsid w:val="005C5FB4"/>
    <w:rsid w:val="005C7100"/>
    <w:rsid w:val="005E1975"/>
    <w:rsid w:val="005E1BCC"/>
    <w:rsid w:val="005E26CD"/>
    <w:rsid w:val="005E563B"/>
    <w:rsid w:val="005E778D"/>
    <w:rsid w:val="005F0859"/>
    <w:rsid w:val="005F3070"/>
    <w:rsid w:val="005F6518"/>
    <w:rsid w:val="00601570"/>
    <w:rsid w:val="006060E2"/>
    <w:rsid w:val="00606DFF"/>
    <w:rsid w:val="00607872"/>
    <w:rsid w:val="00611E64"/>
    <w:rsid w:val="00616634"/>
    <w:rsid w:val="00621156"/>
    <w:rsid w:val="006217AB"/>
    <w:rsid w:val="006223AA"/>
    <w:rsid w:val="0062448C"/>
    <w:rsid w:val="00624BA3"/>
    <w:rsid w:val="00625284"/>
    <w:rsid w:val="006264E3"/>
    <w:rsid w:val="00634C8C"/>
    <w:rsid w:val="006351A7"/>
    <w:rsid w:val="00635C35"/>
    <w:rsid w:val="00636FD2"/>
    <w:rsid w:val="00650907"/>
    <w:rsid w:val="00655AC7"/>
    <w:rsid w:val="00656611"/>
    <w:rsid w:val="00665ACA"/>
    <w:rsid w:val="006709C9"/>
    <w:rsid w:val="0067291A"/>
    <w:rsid w:val="00672DDA"/>
    <w:rsid w:val="006878CE"/>
    <w:rsid w:val="00691739"/>
    <w:rsid w:val="00695811"/>
    <w:rsid w:val="006A65CF"/>
    <w:rsid w:val="006B0291"/>
    <w:rsid w:val="006B0944"/>
    <w:rsid w:val="006B539F"/>
    <w:rsid w:val="006B6451"/>
    <w:rsid w:val="006D502A"/>
    <w:rsid w:val="006D6D0C"/>
    <w:rsid w:val="006E16FA"/>
    <w:rsid w:val="006E3506"/>
    <w:rsid w:val="006E403B"/>
    <w:rsid w:val="006E545B"/>
    <w:rsid w:val="006E5735"/>
    <w:rsid w:val="006E5DA8"/>
    <w:rsid w:val="006F22BA"/>
    <w:rsid w:val="006F372C"/>
    <w:rsid w:val="006F536B"/>
    <w:rsid w:val="00700FE9"/>
    <w:rsid w:val="00703BF0"/>
    <w:rsid w:val="00712716"/>
    <w:rsid w:val="00716896"/>
    <w:rsid w:val="007231B2"/>
    <w:rsid w:val="00723277"/>
    <w:rsid w:val="00730B87"/>
    <w:rsid w:val="007343BD"/>
    <w:rsid w:val="00735A9C"/>
    <w:rsid w:val="007363D6"/>
    <w:rsid w:val="007529F8"/>
    <w:rsid w:val="00761E76"/>
    <w:rsid w:val="007662F8"/>
    <w:rsid w:val="007727E7"/>
    <w:rsid w:val="00777711"/>
    <w:rsid w:val="00777722"/>
    <w:rsid w:val="00796B07"/>
    <w:rsid w:val="007A51D6"/>
    <w:rsid w:val="007B0F1E"/>
    <w:rsid w:val="007B18F6"/>
    <w:rsid w:val="007B5413"/>
    <w:rsid w:val="007C1AA7"/>
    <w:rsid w:val="007C1CEC"/>
    <w:rsid w:val="007C438D"/>
    <w:rsid w:val="007D3909"/>
    <w:rsid w:val="007D42A8"/>
    <w:rsid w:val="007D454B"/>
    <w:rsid w:val="007D4695"/>
    <w:rsid w:val="007D6F63"/>
    <w:rsid w:val="007F2E30"/>
    <w:rsid w:val="007F3046"/>
    <w:rsid w:val="007F5E46"/>
    <w:rsid w:val="007F6846"/>
    <w:rsid w:val="007F6C79"/>
    <w:rsid w:val="00805651"/>
    <w:rsid w:val="00816CBD"/>
    <w:rsid w:val="008220E2"/>
    <w:rsid w:val="00824C87"/>
    <w:rsid w:val="00824FDB"/>
    <w:rsid w:val="00826B69"/>
    <w:rsid w:val="00835618"/>
    <w:rsid w:val="00837533"/>
    <w:rsid w:val="00845A06"/>
    <w:rsid w:val="00846A95"/>
    <w:rsid w:val="00846DA5"/>
    <w:rsid w:val="008553EC"/>
    <w:rsid w:val="008566DA"/>
    <w:rsid w:val="00861D4C"/>
    <w:rsid w:val="00862B50"/>
    <w:rsid w:val="00863009"/>
    <w:rsid w:val="00863E6A"/>
    <w:rsid w:val="008663C1"/>
    <w:rsid w:val="00867E6D"/>
    <w:rsid w:val="00871EDA"/>
    <w:rsid w:val="00877529"/>
    <w:rsid w:val="00880A79"/>
    <w:rsid w:val="00882AED"/>
    <w:rsid w:val="00882F76"/>
    <w:rsid w:val="008860FC"/>
    <w:rsid w:val="00887CFB"/>
    <w:rsid w:val="00891CD0"/>
    <w:rsid w:val="0089273D"/>
    <w:rsid w:val="0089401A"/>
    <w:rsid w:val="008A4504"/>
    <w:rsid w:val="008A5667"/>
    <w:rsid w:val="008B3EDF"/>
    <w:rsid w:val="008B6B9F"/>
    <w:rsid w:val="008C1DCA"/>
    <w:rsid w:val="008C2DFA"/>
    <w:rsid w:val="008C3004"/>
    <w:rsid w:val="008D0491"/>
    <w:rsid w:val="008D1520"/>
    <w:rsid w:val="008D487A"/>
    <w:rsid w:val="008D59E6"/>
    <w:rsid w:val="008E350C"/>
    <w:rsid w:val="008E4061"/>
    <w:rsid w:val="008E4262"/>
    <w:rsid w:val="008E7CA0"/>
    <w:rsid w:val="008F0DE7"/>
    <w:rsid w:val="008F7C91"/>
    <w:rsid w:val="008F7FF8"/>
    <w:rsid w:val="009050A9"/>
    <w:rsid w:val="00924BE6"/>
    <w:rsid w:val="009330BC"/>
    <w:rsid w:val="009377D2"/>
    <w:rsid w:val="00937AC2"/>
    <w:rsid w:val="00943A52"/>
    <w:rsid w:val="00945190"/>
    <w:rsid w:val="00946A18"/>
    <w:rsid w:val="00946D6F"/>
    <w:rsid w:val="00950602"/>
    <w:rsid w:val="00954C8A"/>
    <w:rsid w:val="00957D1D"/>
    <w:rsid w:val="00961336"/>
    <w:rsid w:val="00963FEE"/>
    <w:rsid w:val="009719E6"/>
    <w:rsid w:val="00975B6C"/>
    <w:rsid w:val="00982459"/>
    <w:rsid w:val="00982F94"/>
    <w:rsid w:val="00995D35"/>
    <w:rsid w:val="009A0670"/>
    <w:rsid w:val="009A0948"/>
    <w:rsid w:val="009B084B"/>
    <w:rsid w:val="009B229A"/>
    <w:rsid w:val="009B2729"/>
    <w:rsid w:val="009B4481"/>
    <w:rsid w:val="009B689C"/>
    <w:rsid w:val="009C137A"/>
    <w:rsid w:val="009C183A"/>
    <w:rsid w:val="009C1C06"/>
    <w:rsid w:val="009D0166"/>
    <w:rsid w:val="009D239C"/>
    <w:rsid w:val="009D24B6"/>
    <w:rsid w:val="009D4433"/>
    <w:rsid w:val="009D621F"/>
    <w:rsid w:val="009E0A93"/>
    <w:rsid w:val="009E4235"/>
    <w:rsid w:val="009E4F0B"/>
    <w:rsid w:val="009E6B80"/>
    <w:rsid w:val="009F042D"/>
    <w:rsid w:val="009F079E"/>
    <w:rsid w:val="009F309F"/>
    <w:rsid w:val="009F4F4C"/>
    <w:rsid w:val="00A0659F"/>
    <w:rsid w:val="00A1397B"/>
    <w:rsid w:val="00A23F76"/>
    <w:rsid w:val="00A26261"/>
    <w:rsid w:val="00A27874"/>
    <w:rsid w:val="00A309AD"/>
    <w:rsid w:val="00A33510"/>
    <w:rsid w:val="00A35596"/>
    <w:rsid w:val="00A42AB8"/>
    <w:rsid w:val="00A47444"/>
    <w:rsid w:val="00A6223E"/>
    <w:rsid w:val="00A72D79"/>
    <w:rsid w:val="00A74B02"/>
    <w:rsid w:val="00A81139"/>
    <w:rsid w:val="00A91FA6"/>
    <w:rsid w:val="00A97107"/>
    <w:rsid w:val="00AA6BBF"/>
    <w:rsid w:val="00AA6C67"/>
    <w:rsid w:val="00AB49B2"/>
    <w:rsid w:val="00AC0C99"/>
    <w:rsid w:val="00AC2B6B"/>
    <w:rsid w:val="00AC46F0"/>
    <w:rsid w:val="00AD060E"/>
    <w:rsid w:val="00AD1943"/>
    <w:rsid w:val="00AD75DC"/>
    <w:rsid w:val="00AE0F1A"/>
    <w:rsid w:val="00AE47C4"/>
    <w:rsid w:val="00AE4E2F"/>
    <w:rsid w:val="00AE7080"/>
    <w:rsid w:val="00AF1D10"/>
    <w:rsid w:val="00AF21F1"/>
    <w:rsid w:val="00AF3366"/>
    <w:rsid w:val="00AF61D6"/>
    <w:rsid w:val="00B04E0B"/>
    <w:rsid w:val="00B06319"/>
    <w:rsid w:val="00B07040"/>
    <w:rsid w:val="00B071F4"/>
    <w:rsid w:val="00B0768C"/>
    <w:rsid w:val="00B10B79"/>
    <w:rsid w:val="00B12D0E"/>
    <w:rsid w:val="00B14F42"/>
    <w:rsid w:val="00B24640"/>
    <w:rsid w:val="00B25C4A"/>
    <w:rsid w:val="00B25FBB"/>
    <w:rsid w:val="00B279BF"/>
    <w:rsid w:val="00B339C2"/>
    <w:rsid w:val="00B4475C"/>
    <w:rsid w:val="00B45B96"/>
    <w:rsid w:val="00B47EF5"/>
    <w:rsid w:val="00B620DF"/>
    <w:rsid w:val="00B64E73"/>
    <w:rsid w:val="00B7359A"/>
    <w:rsid w:val="00B74B77"/>
    <w:rsid w:val="00B761CB"/>
    <w:rsid w:val="00B76833"/>
    <w:rsid w:val="00B83100"/>
    <w:rsid w:val="00B8360C"/>
    <w:rsid w:val="00B8739B"/>
    <w:rsid w:val="00B93C7F"/>
    <w:rsid w:val="00BA30C2"/>
    <w:rsid w:val="00BB1578"/>
    <w:rsid w:val="00BB59D2"/>
    <w:rsid w:val="00BB5FE5"/>
    <w:rsid w:val="00BB708E"/>
    <w:rsid w:val="00BC4C90"/>
    <w:rsid w:val="00BC79EB"/>
    <w:rsid w:val="00BD342D"/>
    <w:rsid w:val="00BD5764"/>
    <w:rsid w:val="00BE3044"/>
    <w:rsid w:val="00BE7572"/>
    <w:rsid w:val="00BF2DB5"/>
    <w:rsid w:val="00C0721E"/>
    <w:rsid w:val="00C109D1"/>
    <w:rsid w:val="00C1354E"/>
    <w:rsid w:val="00C21B58"/>
    <w:rsid w:val="00C27868"/>
    <w:rsid w:val="00C318E5"/>
    <w:rsid w:val="00C32FDC"/>
    <w:rsid w:val="00C377F0"/>
    <w:rsid w:val="00C457E9"/>
    <w:rsid w:val="00C50314"/>
    <w:rsid w:val="00C50BEB"/>
    <w:rsid w:val="00C52D53"/>
    <w:rsid w:val="00C603D5"/>
    <w:rsid w:val="00C62ABA"/>
    <w:rsid w:val="00C62CD2"/>
    <w:rsid w:val="00C650E1"/>
    <w:rsid w:val="00C65863"/>
    <w:rsid w:val="00C65D06"/>
    <w:rsid w:val="00C66DC2"/>
    <w:rsid w:val="00C706CB"/>
    <w:rsid w:val="00C86C60"/>
    <w:rsid w:val="00C902D6"/>
    <w:rsid w:val="00C917EA"/>
    <w:rsid w:val="00C91B17"/>
    <w:rsid w:val="00C933AA"/>
    <w:rsid w:val="00C97065"/>
    <w:rsid w:val="00CA22E6"/>
    <w:rsid w:val="00CA5153"/>
    <w:rsid w:val="00CA59F4"/>
    <w:rsid w:val="00CB3006"/>
    <w:rsid w:val="00CB48F8"/>
    <w:rsid w:val="00CB6938"/>
    <w:rsid w:val="00CB7D8C"/>
    <w:rsid w:val="00CC233B"/>
    <w:rsid w:val="00CC4DA7"/>
    <w:rsid w:val="00CC588D"/>
    <w:rsid w:val="00CC7CE5"/>
    <w:rsid w:val="00CD1B69"/>
    <w:rsid w:val="00CD46EE"/>
    <w:rsid w:val="00CE72FB"/>
    <w:rsid w:val="00CF0B95"/>
    <w:rsid w:val="00CF12D4"/>
    <w:rsid w:val="00CF1662"/>
    <w:rsid w:val="00CF219B"/>
    <w:rsid w:val="00CF4463"/>
    <w:rsid w:val="00CF4A5D"/>
    <w:rsid w:val="00D00488"/>
    <w:rsid w:val="00D0411B"/>
    <w:rsid w:val="00D047FC"/>
    <w:rsid w:val="00D04D0F"/>
    <w:rsid w:val="00D0547B"/>
    <w:rsid w:val="00D12D5E"/>
    <w:rsid w:val="00D13416"/>
    <w:rsid w:val="00D1427F"/>
    <w:rsid w:val="00D16A53"/>
    <w:rsid w:val="00D201C8"/>
    <w:rsid w:val="00D270C7"/>
    <w:rsid w:val="00D27110"/>
    <w:rsid w:val="00D413DE"/>
    <w:rsid w:val="00D41D94"/>
    <w:rsid w:val="00D43D58"/>
    <w:rsid w:val="00D5210D"/>
    <w:rsid w:val="00D53194"/>
    <w:rsid w:val="00D54152"/>
    <w:rsid w:val="00D6031C"/>
    <w:rsid w:val="00D6783C"/>
    <w:rsid w:val="00D70C16"/>
    <w:rsid w:val="00D72545"/>
    <w:rsid w:val="00D74AC5"/>
    <w:rsid w:val="00D83EE7"/>
    <w:rsid w:val="00D916E1"/>
    <w:rsid w:val="00D938ED"/>
    <w:rsid w:val="00D97A39"/>
    <w:rsid w:val="00DA17E4"/>
    <w:rsid w:val="00DA1BE1"/>
    <w:rsid w:val="00DA2301"/>
    <w:rsid w:val="00DA231C"/>
    <w:rsid w:val="00DA4700"/>
    <w:rsid w:val="00DA5C1E"/>
    <w:rsid w:val="00DA735D"/>
    <w:rsid w:val="00DB4E3C"/>
    <w:rsid w:val="00DB766E"/>
    <w:rsid w:val="00DB76C7"/>
    <w:rsid w:val="00DC09E5"/>
    <w:rsid w:val="00DC0B9E"/>
    <w:rsid w:val="00DC19A9"/>
    <w:rsid w:val="00DC7829"/>
    <w:rsid w:val="00DD3DBC"/>
    <w:rsid w:val="00DD65C2"/>
    <w:rsid w:val="00DD73CB"/>
    <w:rsid w:val="00DD7F36"/>
    <w:rsid w:val="00DE0099"/>
    <w:rsid w:val="00DE058D"/>
    <w:rsid w:val="00DE1A9E"/>
    <w:rsid w:val="00DF0B72"/>
    <w:rsid w:val="00DF75F9"/>
    <w:rsid w:val="00E0415F"/>
    <w:rsid w:val="00E046D0"/>
    <w:rsid w:val="00E24AF1"/>
    <w:rsid w:val="00E339D1"/>
    <w:rsid w:val="00E43D84"/>
    <w:rsid w:val="00E52AC1"/>
    <w:rsid w:val="00E54856"/>
    <w:rsid w:val="00E62E77"/>
    <w:rsid w:val="00E84FA8"/>
    <w:rsid w:val="00E90759"/>
    <w:rsid w:val="00E92259"/>
    <w:rsid w:val="00E92FFE"/>
    <w:rsid w:val="00E956D7"/>
    <w:rsid w:val="00E961C1"/>
    <w:rsid w:val="00E97364"/>
    <w:rsid w:val="00EA060D"/>
    <w:rsid w:val="00EA6FC5"/>
    <w:rsid w:val="00EB4DA4"/>
    <w:rsid w:val="00EC14C9"/>
    <w:rsid w:val="00ED1D1B"/>
    <w:rsid w:val="00ED222C"/>
    <w:rsid w:val="00ED3829"/>
    <w:rsid w:val="00ED537B"/>
    <w:rsid w:val="00EE3E84"/>
    <w:rsid w:val="00EF2391"/>
    <w:rsid w:val="00EF5682"/>
    <w:rsid w:val="00F071D4"/>
    <w:rsid w:val="00F108E0"/>
    <w:rsid w:val="00F12CF7"/>
    <w:rsid w:val="00F26F50"/>
    <w:rsid w:val="00F31646"/>
    <w:rsid w:val="00F31B34"/>
    <w:rsid w:val="00F3293E"/>
    <w:rsid w:val="00F33958"/>
    <w:rsid w:val="00F348DA"/>
    <w:rsid w:val="00F41CB2"/>
    <w:rsid w:val="00F45F09"/>
    <w:rsid w:val="00F47A44"/>
    <w:rsid w:val="00F566D3"/>
    <w:rsid w:val="00F61011"/>
    <w:rsid w:val="00F6558B"/>
    <w:rsid w:val="00F74971"/>
    <w:rsid w:val="00F76F51"/>
    <w:rsid w:val="00F77D8E"/>
    <w:rsid w:val="00F84730"/>
    <w:rsid w:val="00F86F17"/>
    <w:rsid w:val="00F93DF3"/>
    <w:rsid w:val="00F94FB3"/>
    <w:rsid w:val="00FA47BE"/>
    <w:rsid w:val="00FA7E1B"/>
    <w:rsid w:val="00FA7FD6"/>
    <w:rsid w:val="00FB154A"/>
    <w:rsid w:val="00FB2407"/>
    <w:rsid w:val="00FB6877"/>
    <w:rsid w:val="00FC0F7B"/>
    <w:rsid w:val="00FC14E0"/>
    <w:rsid w:val="00FC3E91"/>
    <w:rsid w:val="00FC6707"/>
    <w:rsid w:val="00FD41F1"/>
    <w:rsid w:val="00FE471C"/>
    <w:rsid w:val="00FE7767"/>
    <w:rsid w:val="00FF4319"/>
    <w:rsid w:val="00FF7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A4E3"/>
  <w15:docId w15:val="{6C54C821-26B9-4BAB-A65F-35633AB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customStyle="1" w:styleId="Default">
    <w:name w:val="Default"/>
    <w:rsid w:val="00C603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4229">
      <w:bodyDiv w:val="1"/>
      <w:marLeft w:val="0"/>
      <w:marRight w:val="0"/>
      <w:marTop w:val="0"/>
      <w:marBottom w:val="0"/>
      <w:divBdr>
        <w:top w:val="none" w:sz="0" w:space="0" w:color="auto"/>
        <w:left w:val="none" w:sz="0" w:space="0" w:color="auto"/>
        <w:bottom w:val="none" w:sz="0" w:space="0" w:color="auto"/>
        <w:right w:val="none" w:sz="0" w:space="0" w:color="auto"/>
      </w:divBdr>
    </w:div>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610703158">
      <w:bodyDiv w:val="1"/>
      <w:marLeft w:val="0"/>
      <w:marRight w:val="0"/>
      <w:marTop w:val="0"/>
      <w:marBottom w:val="0"/>
      <w:divBdr>
        <w:top w:val="none" w:sz="0" w:space="0" w:color="auto"/>
        <w:left w:val="none" w:sz="0" w:space="0" w:color="auto"/>
        <w:bottom w:val="none" w:sz="0" w:space="0" w:color="auto"/>
        <w:right w:val="none" w:sz="0" w:space="0" w:color="auto"/>
      </w:divBdr>
      <w:divsChild>
        <w:div w:id="2062825472">
          <w:marLeft w:val="0"/>
          <w:marRight w:val="0"/>
          <w:marTop w:val="0"/>
          <w:marBottom w:val="0"/>
          <w:divBdr>
            <w:top w:val="none" w:sz="0" w:space="0" w:color="auto"/>
            <w:left w:val="none" w:sz="0" w:space="0" w:color="auto"/>
            <w:bottom w:val="none" w:sz="0" w:space="0" w:color="auto"/>
            <w:right w:val="none" w:sz="0" w:space="0" w:color="auto"/>
          </w:divBdr>
          <w:divsChild>
            <w:div w:id="1101535450">
              <w:marLeft w:val="0"/>
              <w:marRight w:val="0"/>
              <w:marTop w:val="0"/>
              <w:marBottom w:val="0"/>
              <w:divBdr>
                <w:top w:val="none" w:sz="0" w:space="0" w:color="auto"/>
                <w:left w:val="none" w:sz="0" w:space="0" w:color="auto"/>
                <w:bottom w:val="none" w:sz="0" w:space="0" w:color="auto"/>
                <w:right w:val="none" w:sz="0" w:space="0" w:color="auto"/>
              </w:divBdr>
              <w:divsChild>
                <w:div w:id="2134665365">
                  <w:marLeft w:val="0"/>
                  <w:marRight w:val="0"/>
                  <w:marTop w:val="0"/>
                  <w:marBottom w:val="0"/>
                  <w:divBdr>
                    <w:top w:val="none" w:sz="0" w:space="0" w:color="auto"/>
                    <w:left w:val="none" w:sz="0" w:space="0" w:color="auto"/>
                    <w:bottom w:val="none" w:sz="0" w:space="0" w:color="auto"/>
                    <w:right w:val="none" w:sz="0" w:space="0" w:color="auto"/>
                  </w:divBdr>
                  <w:divsChild>
                    <w:div w:id="337772651">
                      <w:marLeft w:val="0"/>
                      <w:marRight w:val="0"/>
                      <w:marTop w:val="0"/>
                      <w:marBottom w:val="0"/>
                      <w:divBdr>
                        <w:top w:val="none" w:sz="0" w:space="0" w:color="auto"/>
                        <w:left w:val="none" w:sz="0" w:space="0" w:color="auto"/>
                        <w:bottom w:val="none" w:sz="0" w:space="0" w:color="auto"/>
                        <w:right w:val="none" w:sz="0" w:space="0" w:color="auto"/>
                      </w:divBdr>
                      <w:divsChild>
                        <w:div w:id="1594243460">
                          <w:marLeft w:val="0"/>
                          <w:marRight w:val="0"/>
                          <w:marTop w:val="0"/>
                          <w:marBottom w:val="0"/>
                          <w:divBdr>
                            <w:top w:val="none" w:sz="0" w:space="0" w:color="auto"/>
                            <w:left w:val="none" w:sz="0" w:space="0" w:color="auto"/>
                            <w:bottom w:val="none" w:sz="0" w:space="0" w:color="auto"/>
                            <w:right w:val="none" w:sz="0" w:space="0" w:color="auto"/>
                          </w:divBdr>
                          <w:divsChild>
                            <w:div w:id="649944894">
                              <w:marLeft w:val="0"/>
                              <w:marRight w:val="0"/>
                              <w:marTop w:val="0"/>
                              <w:marBottom w:val="0"/>
                              <w:divBdr>
                                <w:top w:val="none" w:sz="0" w:space="0" w:color="auto"/>
                                <w:left w:val="none" w:sz="0" w:space="0" w:color="auto"/>
                                <w:bottom w:val="none" w:sz="0" w:space="0" w:color="auto"/>
                                <w:right w:val="none" w:sz="0" w:space="0" w:color="auto"/>
                              </w:divBdr>
                              <w:divsChild>
                                <w:div w:id="1442149141">
                                  <w:marLeft w:val="0"/>
                                  <w:marRight w:val="0"/>
                                  <w:marTop w:val="0"/>
                                  <w:marBottom w:val="0"/>
                                  <w:divBdr>
                                    <w:top w:val="none" w:sz="0" w:space="0" w:color="auto"/>
                                    <w:left w:val="none" w:sz="0" w:space="0" w:color="auto"/>
                                    <w:bottom w:val="none" w:sz="0" w:space="0" w:color="auto"/>
                                    <w:right w:val="none" w:sz="0" w:space="0" w:color="auto"/>
                                  </w:divBdr>
                                  <w:divsChild>
                                    <w:div w:id="1455714975">
                                      <w:marLeft w:val="0"/>
                                      <w:marRight w:val="0"/>
                                      <w:marTop w:val="0"/>
                                      <w:marBottom w:val="0"/>
                                      <w:divBdr>
                                        <w:top w:val="none" w:sz="0" w:space="0" w:color="auto"/>
                                        <w:left w:val="none" w:sz="0" w:space="0" w:color="auto"/>
                                        <w:bottom w:val="none" w:sz="0" w:space="0" w:color="auto"/>
                                        <w:right w:val="none" w:sz="0" w:space="0" w:color="auto"/>
                                      </w:divBdr>
                                      <w:divsChild>
                                        <w:div w:id="2109764929">
                                          <w:marLeft w:val="0"/>
                                          <w:marRight w:val="0"/>
                                          <w:marTop w:val="0"/>
                                          <w:marBottom w:val="0"/>
                                          <w:divBdr>
                                            <w:top w:val="none" w:sz="0" w:space="0" w:color="auto"/>
                                            <w:left w:val="none" w:sz="0" w:space="0" w:color="auto"/>
                                            <w:bottom w:val="none" w:sz="0" w:space="0" w:color="auto"/>
                                            <w:right w:val="none" w:sz="0" w:space="0" w:color="auto"/>
                                          </w:divBdr>
                                          <w:divsChild>
                                            <w:div w:id="1341854574">
                                              <w:marLeft w:val="0"/>
                                              <w:marRight w:val="0"/>
                                              <w:marTop w:val="0"/>
                                              <w:marBottom w:val="0"/>
                                              <w:divBdr>
                                                <w:top w:val="none" w:sz="0" w:space="0" w:color="auto"/>
                                                <w:left w:val="none" w:sz="0" w:space="0" w:color="auto"/>
                                                <w:bottom w:val="none" w:sz="0" w:space="0" w:color="auto"/>
                                                <w:right w:val="none" w:sz="0" w:space="0" w:color="auto"/>
                                              </w:divBdr>
                                              <w:divsChild>
                                                <w:div w:id="147938663">
                                                  <w:marLeft w:val="0"/>
                                                  <w:marRight w:val="0"/>
                                                  <w:marTop w:val="0"/>
                                                  <w:marBottom w:val="0"/>
                                                  <w:divBdr>
                                                    <w:top w:val="none" w:sz="0" w:space="0" w:color="auto"/>
                                                    <w:left w:val="none" w:sz="0" w:space="0" w:color="auto"/>
                                                    <w:bottom w:val="none" w:sz="0" w:space="0" w:color="auto"/>
                                                    <w:right w:val="none" w:sz="0" w:space="0" w:color="auto"/>
                                                  </w:divBdr>
                                                  <w:divsChild>
                                                    <w:div w:id="388190224">
                                                      <w:marLeft w:val="0"/>
                                                      <w:marRight w:val="0"/>
                                                      <w:marTop w:val="0"/>
                                                      <w:marBottom w:val="0"/>
                                                      <w:divBdr>
                                                        <w:top w:val="none" w:sz="0" w:space="0" w:color="auto"/>
                                                        <w:left w:val="none" w:sz="0" w:space="0" w:color="auto"/>
                                                        <w:bottom w:val="none" w:sz="0" w:space="0" w:color="auto"/>
                                                        <w:right w:val="none" w:sz="0" w:space="0" w:color="auto"/>
                                                      </w:divBdr>
                                                      <w:divsChild>
                                                        <w:div w:id="10972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42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chemicalscodex.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DA0A7-3319-4489-BE01-B7D5F4D1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Navreen.Kular@health.gov.au</dc:creator>
  <cp:lastModifiedBy>Edlington, Mandy</cp:lastModifiedBy>
  <cp:revision>6</cp:revision>
  <cp:lastPrinted>2020-03-27T09:31:00Z</cp:lastPrinted>
  <dcterms:created xsi:type="dcterms:W3CDTF">2020-03-27T10:10:00Z</dcterms:created>
  <dcterms:modified xsi:type="dcterms:W3CDTF">2020-03-27T10:27:00Z</dcterms:modified>
</cp:coreProperties>
</file>