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5E929" w14:textId="77777777" w:rsidR="00F53B31" w:rsidRDefault="00F53B31" w:rsidP="00FE7B05">
      <w:pPr>
        <w:pStyle w:val="BodyText"/>
        <w:kinsoku w:val="0"/>
        <w:overflowPunct w:val="0"/>
        <w:spacing w:after="0"/>
        <w:jc w:val="center"/>
        <w:rPr>
          <w:b/>
          <w:bCs/>
          <w:spacing w:val="-1"/>
          <w:u w:val="thick"/>
        </w:rPr>
      </w:pPr>
      <w:r>
        <w:rPr>
          <w:b/>
          <w:bCs/>
          <w:spacing w:val="-1"/>
          <w:u w:val="thick"/>
        </w:rPr>
        <w:t>EXPLANATORY</w:t>
      </w:r>
      <w:r>
        <w:rPr>
          <w:b/>
          <w:bCs/>
          <w:u w:val="thick"/>
        </w:rPr>
        <w:t xml:space="preserve"> </w:t>
      </w:r>
      <w:r>
        <w:rPr>
          <w:b/>
          <w:bCs/>
          <w:spacing w:val="-1"/>
          <w:u w:val="thick"/>
        </w:rPr>
        <w:t>STATEMENT</w:t>
      </w:r>
    </w:p>
    <w:p w14:paraId="056EBBF0" w14:textId="77777777" w:rsidR="00FE7B05" w:rsidRDefault="00FE7B05" w:rsidP="00FE7B05">
      <w:pPr>
        <w:pStyle w:val="BodyText"/>
        <w:kinsoku w:val="0"/>
        <w:overflowPunct w:val="0"/>
        <w:spacing w:after="0"/>
        <w:jc w:val="center"/>
      </w:pPr>
    </w:p>
    <w:p w14:paraId="042CAB5A" w14:textId="77777777" w:rsidR="00F53B31" w:rsidRDefault="00FE7B05" w:rsidP="00FE7B05">
      <w:pPr>
        <w:pStyle w:val="BodyText"/>
        <w:kinsoku w:val="0"/>
        <w:overflowPunct w:val="0"/>
        <w:spacing w:after="0"/>
        <w:jc w:val="center"/>
      </w:pPr>
      <w:r>
        <w:t>Issued by the authority of the Prime Minister</w:t>
      </w:r>
    </w:p>
    <w:p w14:paraId="40B641E9" w14:textId="77777777" w:rsidR="00FE7B05" w:rsidRDefault="00FE7B05" w:rsidP="00FE7B05">
      <w:pPr>
        <w:pStyle w:val="BodyText"/>
        <w:kinsoku w:val="0"/>
        <w:overflowPunct w:val="0"/>
        <w:spacing w:after="0"/>
        <w:jc w:val="center"/>
      </w:pPr>
    </w:p>
    <w:p w14:paraId="328E4403" w14:textId="538946B7" w:rsidR="005334DF" w:rsidRDefault="00F53B31" w:rsidP="00FE7B05">
      <w:pPr>
        <w:pStyle w:val="BodyText"/>
        <w:kinsoku w:val="0"/>
        <w:overflowPunct w:val="0"/>
        <w:spacing w:after="0"/>
        <w:ind w:right="165"/>
        <w:jc w:val="center"/>
        <w:rPr>
          <w:i/>
          <w:iCs/>
        </w:rPr>
      </w:pPr>
      <w:r>
        <w:rPr>
          <w:i/>
          <w:iCs/>
          <w:spacing w:val="-1"/>
        </w:rPr>
        <w:t>Direction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under</w:t>
      </w:r>
      <w:r>
        <w:rPr>
          <w:i/>
          <w:iCs/>
        </w:rPr>
        <w:t xml:space="preserve"> subsection </w:t>
      </w:r>
      <w:r>
        <w:rPr>
          <w:i/>
          <w:iCs/>
          <w:spacing w:val="-1"/>
        </w:rPr>
        <w:t xml:space="preserve">21(1) </w:t>
      </w:r>
      <w:r>
        <w:rPr>
          <w:i/>
          <w:iCs/>
        </w:rPr>
        <w:t>of the</w:t>
      </w:r>
      <w:r>
        <w:rPr>
          <w:i/>
          <w:iCs/>
          <w:spacing w:val="-1"/>
        </w:rPr>
        <w:t xml:space="preserve"> Public Service Act</w:t>
      </w:r>
      <w:r>
        <w:rPr>
          <w:i/>
          <w:iCs/>
        </w:rPr>
        <w:t xml:space="preserve"> 1999</w:t>
      </w:r>
      <w:r w:rsidR="005334DF">
        <w:rPr>
          <w:i/>
          <w:iCs/>
        </w:rPr>
        <w:t xml:space="preserve"> –</w:t>
      </w:r>
    </w:p>
    <w:p w14:paraId="2B0B538C" w14:textId="1E9CC80E" w:rsidR="00FE7B05" w:rsidRDefault="00F53B31" w:rsidP="00FE7B05">
      <w:pPr>
        <w:pStyle w:val="BodyText"/>
        <w:kinsoku w:val="0"/>
        <w:overflowPunct w:val="0"/>
        <w:spacing w:after="0"/>
        <w:ind w:right="165"/>
        <w:jc w:val="center"/>
        <w:rPr>
          <w:i/>
          <w:iCs/>
        </w:rPr>
      </w:pPr>
      <w:r>
        <w:rPr>
          <w:i/>
          <w:iCs/>
        </w:rPr>
        <w:t>COVID 19 –</w:t>
      </w:r>
      <w:r w:rsidR="004174E3">
        <w:rPr>
          <w:i/>
          <w:iCs/>
        </w:rPr>
        <w:t xml:space="preserve"> </w:t>
      </w:r>
      <w:r w:rsidR="00ED593C">
        <w:rPr>
          <w:i/>
          <w:iCs/>
        </w:rPr>
        <w:t>movement of APS employees to functions critical to the continued delivery of services to the Australian public</w:t>
      </w:r>
    </w:p>
    <w:p w14:paraId="6C90FBC5" w14:textId="77777777" w:rsidR="00FE7B05" w:rsidRPr="00FE7B05" w:rsidRDefault="00FE7B05" w:rsidP="00FE7B05">
      <w:pPr>
        <w:pStyle w:val="BodyText"/>
        <w:kinsoku w:val="0"/>
        <w:overflowPunct w:val="0"/>
        <w:spacing w:after="0"/>
        <w:ind w:right="165"/>
        <w:jc w:val="center"/>
        <w:rPr>
          <w:i/>
          <w:iCs/>
        </w:rPr>
      </w:pPr>
    </w:p>
    <w:p w14:paraId="1117B393" w14:textId="3B6C2500" w:rsidR="00FE7B05" w:rsidRDefault="00F53B31" w:rsidP="00FE7B05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  <w:r>
        <w:rPr>
          <w:spacing w:val="-1"/>
        </w:rPr>
        <w:t xml:space="preserve">The </w:t>
      </w:r>
      <w:r>
        <w:rPr>
          <w:i/>
          <w:iCs/>
          <w:spacing w:val="-1"/>
        </w:rPr>
        <w:t>Public Service Act</w:t>
      </w:r>
      <w:r>
        <w:rPr>
          <w:i/>
          <w:iCs/>
        </w:rPr>
        <w:t xml:space="preserve"> 1999 </w:t>
      </w:r>
      <w:r w:rsidR="00FE7B05">
        <w:rPr>
          <w:spacing w:val="-1"/>
        </w:rPr>
        <w:t>(‘the Act’</w:t>
      </w:r>
      <w:r>
        <w:rPr>
          <w:spacing w:val="-1"/>
        </w:rPr>
        <w:t>) provides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establishment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management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 w:rsidR="000F7D21">
        <w:rPr>
          <w:spacing w:val="87"/>
        </w:rPr>
        <w:t xml:space="preserve"> </w:t>
      </w:r>
      <w:r>
        <w:rPr>
          <w:spacing w:val="-1"/>
        </w:rPr>
        <w:t>Australian</w:t>
      </w:r>
      <w:r>
        <w:t xml:space="preserve"> Public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rPr>
          <w:spacing w:val="-1"/>
        </w:rPr>
        <w:t>(‘APS’).</w:t>
      </w:r>
      <w:r>
        <w:t xml:space="preserve"> </w:t>
      </w:r>
      <w:r>
        <w:rPr>
          <w:spacing w:val="-1"/>
        </w:rPr>
        <w:t>Subsection</w:t>
      </w:r>
      <w:r>
        <w:t xml:space="preserve"> 21(1)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provides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Prime</w:t>
      </w:r>
      <w:r w:rsidR="00FE7B05">
        <w:rPr>
          <w:spacing w:val="73"/>
        </w:rPr>
        <w:t xml:space="preserve"> </w:t>
      </w:r>
      <w:r>
        <w:rPr>
          <w:spacing w:val="-1"/>
        </w:rPr>
        <w:t xml:space="preserve">Minister </w:t>
      </w:r>
      <w:r>
        <w:t>may</w:t>
      </w:r>
      <w:r>
        <w:rPr>
          <w:spacing w:val="-5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directions</w:t>
      </w:r>
      <w:r>
        <w:t xml:space="preserve"> 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Heads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management</w:t>
      </w:r>
      <w:r>
        <w:rPr>
          <w:spacing w:val="7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leadership</w:t>
      </w:r>
      <w:r>
        <w:t xml:space="preserve"> of</w:t>
      </w:r>
      <w:r>
        <w:rPr>
          <w:spacing w:val="-1"/>
        </w:rPr>
        <w:t xml:space="preserve"> APS</w:t>
      </w:r>
      <w:r>
        <w:t xml:space="preserve"> </w:t>
      </w:r>
      <w:r>
        <w:rPr>
          <w:spacing w:val="-1"/>
        </w:rPr>
        <w:t>employees.</w:t>
      </w:r>
    </w:p>
    <w:p w14:paraId="5550BD62" w14:textId="77777777" w:rsidR="00FE7B05" w:rsidRDefault="00FE7B05" w:rsidP="005A7520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</w:p>
    <w:p w14:paraId="157E2E2C" w14:textId="25AD85E8" w:rsidR="000E3AA8" w:rsidRDefault="00F53B31" w:rsidP="005A7520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  <w:r>
        <w:rPr>
          <w:spacing w:val="-1"/>
        </w:rPr>
        <w:t>The</w:t>
      </w:r>
      <w:r w:rsidR="000E3AA8">
        <w:rPr>
          <w:spacing w:val="-1"/>
        </w:rPr>
        <w:t xml:space="preserve"> purpose of the</w:t>
      </w:r>
      <w:r>
        <w:rPr>
          <w:spacing w:val="-1"/>
        </w:rPr>
        <w:t xml:space="preserve"> </w:t>
      </w:r>
      <w:r>
        <w:rPr>
          <w:i/>
          <w:iCs/>
          <w:spacing w:val="-1"/>
        </w:rPr>
        <w:t>Direction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under</w:t>
      </w:r>
      <w:r>
        <w:rPr>
          <w:i/>
          <w:iCs/>
        </w:rPr>
        <w:t xml:space="preserve"> subsection 21(1)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of the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Public</w:t>
      </w:r>
      <w:r>
        <w:rPr>
          <w:i/>
          <w:iCs/>
          <w:spacing w:val="-1"/>
        </w:rPr>
        <w:t xml:space="preserve"> Service Act</w:t>
      </w:r>
      <w:r>
        <w:rPr>
          <w:i/>
          <w:iCs/>
        </w:rPr>
        <w:t xml:space="preserve"> 1999 –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COVID 19 –</w:t>
      </w:r>
      <w:r w:rsidR="004174E3">
        <w:rPr>
          <w:i/>
          <w:iCs/>
        </w:rPr>
        <w:t xml:space="preserve"> </w:t>
      </w:r>
      <w:r w:rsidR="00ED593C">
        <w:rPr>
          <w:i/>
          <w:iCs/>
        </w:rPr>
        <w:t>movement of APS employees to functions critical to the continued delivery of services to the Australian public</w:t>
      </w:r>
      <w:r>
        <w:rPr>
          <w:i/>
          <w:iCs/>
          <w:spacing w:val="1"/>
        </w:rPr>
        <w:t xml:space="preserve"> </w:t>
      </w:r>
      <w:r>
        <w:rPr>
          <w:spacing w:val="-1"/>
        </w:rPr>
        <w:t xml:space="preserve">(the </w:t>
      </w:r>
      <w:r>
        <w:t>Direction)</w:t>
      </w:r>
      <w:r>
        <w:rPr>
          <w:spacing w:val="-1"/>
        </w:rPr>
        <w:t xml:space="preserve"> </w:t>
      </w:r>
      <w:r w:rsidR="00FE7B05">
        <w:rPr>
          <w:spacing w:val="-1"/>
        </w:rPr>
        <w:t xml:space="preserve">is to facilitate the </w:t>
      </w:r>
      <w:r w:rsidR="000E3AA8">
        <w:rPr>
          <w:spacing w:val="-1"/>
        </w:rPr>
        <w:t>efficient and effective deployment of APS employees and expertise to meet the exceptional challenge posed by COVID 19 to Australian society.</w:t>
      </w:r>
    </w:p>
    <w:p w14:paraId="24BE1219" w14:textId="77777777" w:rsidR="00FE7B05" w:rsidRDefault="00FE7B05" w:rsidP="005A7520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</w:p>
    <w:p w14:paraId="67DA503E" w14:textId="20837E98" w:rsidR="00ED593C" w:rsidRPr="005C5320" w:rsidRDefault="000E3AA8" w:rsidP="00D1093D">
      <w:pPr>
        <w:pStyle w:val="BodyText"/>
        <w:kinsoku w:val="0"/>
        <w:overflowPunct w:val="0"/>
        <w:spacing w:after="0"/>
        <w:ind w:right="165"/>
        <w:jc w:val="both"/>
      </w:pPr>
      <w:r w:rsidRPr="00D1093D">
        <w:t xml:space="preserve">The Direction </w:t>
      </w:r>
      <w:r w:rsidR="004174E3" w:rsidRPr="00D1093D">
        <w:t>provides that each Agency Head</w:t>
      </w:r>
      <w:r w:rsidR="00ED593C">
        <w:t xml:space="preserve"> is required </w:t>
      </w:r>
      <w:r w:rsidR="00CA5BD5">
        <w:t xml:space="preserve">to urgently </w:t>
      </w:r>
      <w:r w:rsidR="00A410F7">
        <w:t>identify</w:t>
      </w:r>
      <w:r w:rsidR="00A410F7" w:rsidRPr="005C5320">
        <w:t xml:space="preserve"> functions</w:t>
      </w:r>
      <w:r w:rsidR="00ED593C" w:rsidRPr="005C5320">
        <w:t xml:space="preserve"> performed in the agency that, taking into account the consequences of the COVID 19 pandemic, are currently</w:t>
      </w:r>
      <w:r w:rsidR="00ED593C">
        <w:t xml:space="preserve"> critical to </w:t>
      </w:r>
      <w:r w:rsidR="00ED593C" w:rsidRPr="005C5320">
        <w:t>the continued delivery of servic</w:t>
      </w:r>
      <w:r w:rsidR="00ED593C">
        <w:t xml:space="preserve">es to the Australian public or </w:t>
      </w:r>
      <w:r w:rsidR="00ED593C" w:rsidRPr="005C5320">
        <w:t xml:space="preserve">the operation of the APS as a whole. </w:t>
      </w:r>
    </w:p>
    <w:p w14:paraId="29689C9C" w14:textId="14B7D97F" w:rsidR="00ED593C" w:rsidRDefault="00ED593C" w:rsidP="005A7520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</w:p>
    <w:p w14:paraId="6D456AD3" w14:textId="42625D35" w:rsidR="00CA5BD5" w:rsidRDefault="00ED593C" w:rsidP="005A7520">
      <w:pPr>
        <w:pStyle w:val="BodyText"/>
        <w:kinsoku w:val="0"/>
        <w:overflowPunct w:val="0"/>
        <w:spacing w:after="0"/>
        <w:ind w:right="165"/>
        <w:jc w:val="both"/>
      </w:pPr>
      <w:r>
        <w:rPr>
          <w:spacing w:val="-1"/>
        </w:rPr>
        <w:t xml:space="preserve">The Direction provides that each Agency Head is </w:t>
      </w:r>
      <w:r w:rsidR="005334DF">
        <w:rPr>
          <w:spacing w:val="-1"/>
        </w:rPr>
        <w:t>also</w:t>
      </w:r>
      <w:r>
        <w:rPr>
          <w:spacing w:val="-1"/>
        </w:rPr>
        <w:t xml:space="preserve"> required to </w:t>
      </w:r>
      <w:r w:rsidRPr="005C5320">
        <w:t xml:space="preserve">identify </w:t>
      </w:r>
      <w:r>
        <w:t>APS</w:t>
      </w:r>
      <w:r w:rsidRPr="005C5320">
        <w:t xml:space="preserve"> employees in their agency whose duties do not involve the performance of </w:t>
      </w:r>
      <w:r>
        <w:t>those critical functions</w:t>
      </w:r>
      <w:r w:rsidRPr="005C5320">
        <w:t>, and who are capable of undertaking work, as an employee of the agency</w:t>
      </w:r>
      <w:r>
        <w:t xml:space="preserve"> </w:t>
      </w:r>
      <w:r w:rsidRPr="005C5320">
        <w:t>on a temporary basis</w:t>
      </w:r>
      <w:r w:rsidR="00CA5BD5">
        <w:t>:</w:t>
      </w:r>
    </w:p>
    <w:p w14:paraId="35EA994F" w14:textId="77777777" w:rsidR="00CA5BD5" w:rsidRDefault="00CA5BD5" w:rsidP="005A7520">
      <w:pPr>
        <w:pStyle w:val="BodyText"/>
        <w:kinsoku w:val="0"/>
        <w:overflowPunct w:val="0"/>
        <w:spacing w:after="0"/>
        <w:ind w:right="165"/>
        <w:jc w:val="both"/>
      </w:pPr>
    </w:p>
    <w:p w14:paraId="4519A234" w14:textId="751CB577" w:rsidR="00CA5BD5" w:rsidRDefault="00ED593C" w:rsidP="00D1093D">
      <w:pPr>
        <w:pStyle w:val="BodyText"/>
        <w:numPr>
          <w:ilvl w:val="0"/>
          <w:numId w:val="6"/>
        </w:numPr>
        <w:kinsoku w:val="0"/>
        <w:overflowPunct w:val="0"/>
        <w:spacing w:after="0"/>
        <w:ind w:right="165"/>
        <w:jc w:val="both"/>
        <w:rPr>
          <w:spacing w:val="-1"/>
        </w:rPr>
      </w:pPr>
      <w:r w:rsidRPr="005C5320">
        <w:t xml:space="preserve">for other APS agencies </w:t>
      </w:r>
      <w:r w:rsidR="00CA5BD5">
        <w:t xml:space="preserve">where there is </w:t>
      </w:r>
      <w:r w:rsidR="007D3D12">
        <w:t>a</w:t>
      </w:r>
      <w:r w:rsidR="00CA5BD5">
        <w:t xml:space="preserve"> critical need</w:t>
      </w:r>
      <w:r w:rsidR="005A7831">
        <w:t xml:space="preserve"> to </w:t>
      </w:r>
      <w:r w:rsidR="005A7831" w:rsidRPr="005C5320">
        <w:t>the continued delivery of servic</w:t>
      </w:r>
      <w:r w:rsidR="005A7831">
        <w:t xml:space="preserve">es to the Australian public or </w:t>
      </w:r>
      <w:r w:rsidR="005A7831" w:rsidRPr="005C5320">
        <w:t>the operation of the APS as a whole</w:t>
      </w:r>
      <w:r w:rsidR="00CA5BD5">
        <w:t>;</w:t>
      </w:r>
      <w:r w:rsidRPr="005C5320">
        <w:t xml:space="preserve"> or</w:t>
      </w:r>
      <w:r>
        <w:rPr>
          <w:spacing w:val="-1"/>
        </w:rPr>
        <w:t xml:space="preserve"> </w:t>
      </w:r>
    </w:p>
    <w:p w14:paraId="09A3FB64" w14:textId="77777777" w:rsidR="005334DF" w:rsidRPr="00D1093D" w:rsidRDefault="005334DF" w:rsidP="00D1093D">
      <w:pPr>
        <w:pStyle w:val="BodyText"/>
        <w:kinsoku w:val="0"/>
        <w:overflowPunct w:val="0"/>
        <w:spacing w:after="0"/>
        <w:ind w:left="720" w:right="165"/>
        <w:jc w:val="both"/>
        <w:rPr>
          <w:spacing w:val="-1"/>
        </w:rPr>
      </w:pPr>
    </w:p>
    <w:p w14:paraId="2AC900D5" w14:textId="25929216" w:rsidR="00F53B31" w:rsidRDefault="00ED593C" w:rsidP="00D1093D">
      <w:pPr>
        <w:pStyle w:val="BodyText"/>
        <w:numPr>
          <w:ilvl w:val="0"/>
          <w:numId w:val="6"/>
        </w:numPr>
        <w:kinsoku w:val="0"/>
        <w:overflowPunct w:val="0"/>
        <w:spacing w:after="0"/>
        <w:ind w:right="165"/>
        <w:jc w:val="both"/>
        <w:rPr>
          <w:spacing w:val="-1"/>
        </w:rPr>
      </w:pPr>
      <w:r w:rsidRPr="005C5320">
        <w:t xml:space="preserve">to assist State or Territory government </w:t>
      </w:r>
      <w:r w:rsidR="005334DF">
        <w:t xml:space="preserve">agencies </w:t>
      </w:r>
      <w:r w:rsidR="005A7831">
        <w:t>or community organisations</w:t>
      </w:r>
      <w:r w:rsidRPr="005C5320">
        <w:t xml:space="preserve"> address the consequences of COVID </w:t>
      </w:r>
      <w:r w:rsidR="005A7831">
        <w:t xml:space="preserve">19, including to assist them </w:t>
      </w:r>
      <w:r w:rsidRPr="005C5320">
        <w:t>maintain the continued delivery of services to the Australian public</w:t>
      </w:r>
      <w:r w:rsidR="005A7831">
        <w:t>.</w:t>
      </w:r>
    </w:p>
    <w:p w14:paraId="7C31A43F" w14:textId="1FB88D49" w:rsidR="00494C36" w:rsidRDefault="00494C36" w:rsidP="005A7520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</w:p>
    <w:p w14:paraId="1DE8B043" w14:textId="0800C40E" w:rsidR="00604898" w:rsidRDefault="00ED593C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  <w:r>
        <w:rPr>
          <w:spacing w:val="-1"/>
        </w:rPr>
        <w:t>The Direction require</w:t>
      </w:r>
      <w:bookmarkStart w:id="0" w:name="_GoBack"/>
      <w:bookmarkEnd w:id="0"/>
      <w:r>
        <w:rPr>
          <w:spacing w:val="-1"/>
        </w:rPr>
        <w:t xml:space="preserve"> that each Agency Head is to provide details of </w:t>
      </w:r>
      <w:r w:rsidR="005A7520">
        <w:rPr>
          <w:spacing w:val="-1"/>
        </w:rPr>
        <w:t>the</w:t>
      </w:r>
      <w:r w:rsidR="005334DF">
        <w:rPr>
          <w:spacing w:val="-1"/>
        </w:rPr>
        <w:t xml:space="preserve"> critical functions of their agency and groups of employees whose duties do not involve the performance of those critical functions</w:t>
      </w:r>
      <w:r>
        <w:rPr>
          <w:spacing w:val="-1"/>
        </w:rPr>
        <w:t xml:space="preserve"> under th</w:t>
      </w:r>
      <w:r w:rsidR="00BD692F">
        <w:rPr>
          <w:spacing w:val="-1"/>
        </w:rPr>
        <w:t>e</w:t>
      </w:r>
      <w:r>
        <w:rPr>
          <w:spacing w:val="-1"/>
        </w:rPr>
        <w:t xml:space="preserve"> Direction to the Australian Public Service Commissioner </w:t>
      </w:r>
      <w:r w:rsidR="005A7520">
        <w:rPr>
          <w:spacing w:val="-1"/>
        </w:rPr>
        <w:t xml:space="preserve">(‘Commissioner’) </w:t>
      </w:r>
      <w:r>
        <w:rPr>
          <w:spacing w:val="-1"/>
        </w:rPr>
        <w:t xml:space="preserve">as soon as completed, but no later </w:t>
      </w:r>
      <w:r w:rsidRPr="005A7520">
        <w:rPr>
          <w:spacing w:val="-1"/>
        </w:rPr>
        <w:t xml:space="preserve">than </w:t>
      </w:r>
      <w:r w:rsidRPr="00D1093D">
        <w:rPr>
          <w:spacing w:val="-1"/>
        </w:rPr>
        <w:t>30 March 2020</w:t>
      </w:r>
      <w:r w:rsidRPr="005A7520">
        <w:rPr>
          <w:spacing w:val="-1"/>
        </w:rPr>
        <w:t>.</w:t>
      </w:r>
      <w:r w:rsidR="00BD692F">
        <w:rPr>
          <w:spacing w:val="-1"/>
        </w:rPr>
        <w:t xml:space="preserve"> </w:t>
      </w:r>
    </w:p>
    <w:p w14:paraId="6C970920" w14:textId="77777777" w:rsidR="00604898" w:rsidRDefault="00604898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</w:p>
    <w:p w14:paraId="1B700087" w14:textId="322A556E" w:rsidR="005A7520" w:rsidRDefault="005A7520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  <w:r>
        <w:rPr>
          <w:spacing w:val="-1"/>
        </w:rPr>
        <w:t xml:space="preserve">The Commissioner will then notify relevant Agency Heads which APS employees or groups of APS employees within their agency are to undertake </w:t>
      </w:r>
      <w:r w:rsidR="005A7831">
        <w:rPr>
          <w:spacing w:val="-1"/>
        </w:rPr>
        <w:t xml:space="preserve">critical </w:t>
      </w:r>
      <w:r>
        <w:rPr>
          <w:spacing w:val="-1"/>
        </w:rPr>
        <w:t xml:space="preserve">work </w:t>
      </w:r>
      <w:r w:rsidR="003574E0">
        <w:rPr>
          <w:spacing w:val="-1"/>
        </w:rPr>
        <w:t>elsewhere</w:t>
      </w:r>
      <w:r w:rsidR="005A7831">
        <w:rPr>
          <w:spacing w:val="-1"/>
        </w:rPr>
        <w:t>.</w:t>
      </w:r>
    </w:p>
    <w:p w14:paraId="187FE645" w14:textId="77777777" w:rsidR="005A7520" w:rsidRDefault="005A7520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</w:p>
    <w:p w14:paraId="27AD3788" w14:textId="5CBD1BAC" w:rsidR="00946681" w:rsidRDefault="005A7520" w:rsidP="00D1093D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  <w:r>
        <w:rPr>
          <w:spacing w:val="-1"/>
        </w:rPr>
        <w:t>The Direction requires that each Agency Head</w:t>
      </w:r>
      <w:r w:rsidR="005F500D">
        <w:rPr>
          <w:spacing w:val="-1"/>
        </w:rPr>
        <w:t xml:space="preserve"> </w:t>
      </w:r>
      <w:r>
        <w:rPr>
          <w:spacing w:val="-1"/>
        </w:rPr>
        <w:t xml:space="preserve">to, as quickly as possible, exercise all their available powers to make </w:t>
      </w:r>
      <w:r w:rsidR="005F500D">
        <w:rPr>
          <w:spacing w:val="-1"/>
        </w:rPr>
        <w:t xml:space="preserve">available </w:t>
      </w:r>
      <w:r>
        <w:rPr>
          <w:spacing w:val="-1"/>
        </w:rPr>
        <w:t>their APS employees</w:t>
      </w:r>
      <w:r w:rsidR="005F500D">
        <w:rPr>
          <w:spacing w:val="-1"/>
        </w:rPr>
        <w:t xml:space="preserve"> to</w:t>
      </w:r>
      <w:r>
        <w:rPr>
          <w:spacing w:val="-1"/>
        </w:rPr>
        <w:t xml:space="preserve"> undertake work in the APS agency specified by the Commissioner. </w:t>
      </w:r>
    </w:p>
    <w:p w14:paraId="725E5068" w14:textId="77777777" w:rsidR="00946681" w:rsidRDefault="00946681" w:rsidP="00D1093D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</w:p>
    <w:p w14:paraId="307A94EF" w14:textId="3B4619BD" w:rsidR="005A7520" w:rsidRPr="00D1093D" w:rsidRDefault="00946681" w:rsidP="00D1093D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  <w:r>
        <w:rPr>
          <w:spacing w:val="-1"/>
        </w:rPr>
        <w:lastRenderedPageBreak/>
        <w:t>More generally, e</w:t>
      </w:r>
      <w:r w:rsidR="005A7520" w:rsidRPr="00D1093D">
        <w:rPr>
          <w:spacing w:val="-1"/>
        </w:rPr>
        <w:t xml:space="preserve">ach Agency Head </w:t>
      </w:r>
      <w:r>
        <w:rPr>
          <w:spacing w:val="-1"/>
        </w:rPr>
        <w:t xml:space="preserve">is required </w:t>
      </w:r>
      <w:r w:rsidR="005A7520" w:rsidRPr="00D1093D">
        <w:rPr>
          <w:spacing w:val="-1"/>
        </w:rPr>
        <w:t>to cooperate with any requests or directions made by the Commissioner in relation to the provision of services by APS employe</w:t>
      </w:r>
      <w:r w:rsidR="005A7520" w:rsidRPr="005A7520">
        <w:rPr>
          <w:spacing w:val="-1"/>
        </w:rPr>
        <w:t>es to</w:t>
      </w:r>
      <w:r w:rsidR="005A7831">
        <w:rPr>
          <w:spacing w:val="-1"/>
        </w:rPr>
        <w:t xml:space="preserve"> </w:t>
      </w:r>
      <w:r w:rsidR="00507E11">
        <w:rPr>
          <w:spacing w:val="-1"/>
        </w:rPr>
        <w:t xml:space="preserve">sectors of </w:t>
      </w:r>
      <w:r w:rsidR="005A7831">
        <w:rPr>
          <w:spacing w:val="-1"/>
        </w:rPr>
        <w:t xml:space="preserve">critical </w:t>
      </w:r>
      <w:r w:rsidR="00507E11">
        <w:rPr>
          <w:spacing w:val="-1"/>
        </w:rPr>
        <w:t xml:space="preserve">need. Those areas of critical need may be </w:t>
      </w:r>
      <w:r w:rsidR="005A7831">
        <w:rPr>
          <w:spacing w:val="-1"/>
        </w:rPr>
        <w:t xml:space="preserve">in </w:t>
      </w:r>
      <w:r w:rsidR="005A7520" w:rsidRPr="00D1093D">
        <w:rPr>
          <w:spacing w:val="-1"/>
        </w:rPr>
        <w:t xml:space="preserve">State or Territory government sectors, or in community organisations.  </w:t>
      </w:r>
    </w:p>
    <w:p w14:paraId="066A82D8" w14:textId="77777777" w:rsidR="00494C36" w:rsidRDefault="00494C36" w:rsidP="005A7520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</w:p>
    <w:p w14:paraId="3F2A4B6C" w14:textId="198C02E8" w:rsidR="00494C36" w:rsidRDefault="00494C36" w:rsidP="005A7520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  <w:r>
        <w:rPr>
          <w:spacing w:val="-1"/>
        </w:rPr>
        <w:t>The Commissioner will issue further guidance to Agency Heads about the applicability of the Direction.</w:t>
      </w:r>
    </w:p>
    <w:p w14:paraId="4AF3CB01" w14:textId="05BFC906" w:rsidR="00F31528" w:rsidRDefault="00F31528" w:rsidP="005A7520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</w:p>
    <w:p w14:paraId="298F8E9F" w14:textId="65365417" w:rsidR="00F31528" w:rsidRDefault="00F31528" w:rsidP="005A7520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  <w:r>
        <w:rPr>
          <w:spacing w:val="-1"/>
        </w:rPr>
        <w:t xml:space="preserve">The Direction commences on the date it is made. </w:t>
      </w:r>
    </w:p>
    <w:p w14:paraId="549C357E" w14:textId="77777777" w:rsidR="00FE7B05" w:rsidRDefault="00FE7B05">
      <w:pPr>
        <w:pStyle w:val="BodyText"/>
        <w:kinsoku w:val="0"/>
        <w:overflowPunct w:val="0"/>
        <w:spacing w:after="0"/>
        <w:ind w:right="165"/>
        <w:jc w:val="both"/>
        <w:rPr>
          <w:spacing w:val="-1"/>
        </w:rPr>
      </w:pPr>
    </w:p>
    <w:p w14:paraId="07BCF2A7" w14:textId="7282253F" w:rsidR="00FE7B05" w:rsidRDefault="00D002EA">
      <w:pPr>
        <w:jc w:val="both"/>
      </w:pPr>
      <w:r>
        <w:t xml:space="preserve">The </w:t>
      </w:r>
      <w:r w:rsidRPr="00D002EA">
        <w:t xml:space="preserve">Prime Minister has granted an exemption from the need to complete regulatory impact analysis for all Australian Government measures made in response to </w:t>
      </w:r>
      <w:r>
        <w:br/>
      </w:r>
      <w:r w:rsidR="009E0B9B">
        <w:t xml:space="preserve">COVID </w:t>
      </w:r>
      <w:r w:rsidRPr="00D002EA">
        <w:t>19</w:t>
      </w:r>
      <w:r w:rsidR="00DD2B2B">
        <w:t>. N</w:t>
      </w:r>
      <w:r>
        <w:t xml:space="preserve">o regulatory impact statement is </w:t>
      </w:r>
      <w:r w:rsidR="00DD2B2B">
        <w:t xml:space="preserve">therefore </w:t>
      </w:r>
      <w:r>
        <w:t>required</w:t>
      </w:r>
      <w:r w:rsidRPr="00D002EA">
        <w:t xml:space="preserve">. </w:t>
      </w:r>
    </w:p>
    <w:p w14:paraId="76B595E8" w14:textId="77777777" w:rsidR="00FE7B05" w:rsidRPr="00E41A53" w:rsidRDefault="00FE7B05">
      <w:pPr>
        <w:jc w:val="both"/>
      </w:pPr>
    </w:p>
    <w:p w14:paraId="2F44C9B0" w14:textId="77777777" w:rsidR="00FE7B05" w:rsidRDefault="00FE7B05">
      <w:pPr>
        <w:jc w:val="both"/>
      </w:pPr>
      <w:r w:rsidRPr="00D1093D">
        <w:t>APS agencies have been consulted about the Direction.</w:t>
      </w:r>
    </w:p>
    <w:p w14:paraId="7CFA27B2" w14:textId="77777777" w:rsidR="00FE7B05" w:rsidRPr="00E41A53" w:rsidRDefault="00FE7B05">
      <w:pPr>
        <w:jc w:val="both"/>
      </w:pPr>
    </w:p>
    <w:p w14:paraId="23D1D1CD" w14:textId="77777777" w:rsidR="00FE7B05" w:rsidRDefault="00FE7B05">
      <w:pPr>
        <w:jc w:val="both"/>
      </w:pPr>
      <w:r>
        <w:t>The Direction</w:t>
      </w:r>
      <w:r w:rsidRPr="00E41A53">
        <w:t xml:space="preserve"> is a legislative instrument for the purposes of the </w:t>
      </w:r>
      <w:r w:rsidRPr="00E41A53">
        <w:rPr>
          <w:i/>
        </w:rPr>
        <w:t>Legislation Act 2003</w:t>
      </w:r>
      <w:r w:rsidRPr="00E41A53">
        <w:t>.</w:t>
      </w:r>
    </w:p>
    <w:p w14:paraId="1F4D564C" w14:textId="77777777" w:rsidR="00F53B31" w:rsidRDefault="00F53B31" w:rsidP="00FE7B05">
      <w:pPr>
        <w:pStyle w:val="BodyText"/>
        <w:kinsoku w:val="0"/>
        <w:overflowPunct w:val="0"/>
        <w:spacing w:after="0"/>
        <w:jc w:val="both"/>
      </w:pPr>
    </w:p>
    <w:p w14:paraId="74F45874" w14:textId="77777777" w:rsidR="00F53B31" w:rsidRDefault="00F53B31" w:rsidP="00FE7B05">
      <w:pPr>
        <w:pStyle w:val="BodyText"/>
        <w:kinsoku w:val="0"/>
        <w:overflowPunct w:val="0"/>
        <w:spacing w:after="0"/>
        <w:jc w:val="right"/>
      </w:pPr>
      <w:r>
        <w:rPr>
          <w:spacing w:val="-1"/>
          <w:u w:val="single"/>
        </w:rPr>
        <w:t>Authority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Subsection</w:t>
      </w:r>
      <w:r>
        <w:t xml:space="preserve"> 21(1)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  <w:iCs/>
          <w:spacing w:val="-1"/>
        </w:rPr>
        <w:t>Public Service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Act</w:t>
      </w:r>
      <w:r>
        <w:rPr>
          <w:i/>
          <w:iCs/>
        </w:rPr>
        <w:t xml:space="preserve"> 1999</w:t>
      </w:r>
    </w:p>
    <w:p w14:paraId="5CF258D8" w14:textId="77777777" w:rsidR="00F53B31" w:rsidRPr="009D3ACF" w:rsidRDefault="00F53B31" w:rsidP="00FE7B05">
      <w:pPr>
        <w:pStyle w:val="NumberLevel1"/>
        <w:numPr>
          <w:ilvl w:val="0"/>
          <w:numId w:val="0"/>
        </w:numPr>
        <w:tabs>
          <w:tab w:val="left" w:pos="720"/>
        </w:tabs>
        <w:jc w:val="both"/>
        <w:rPr>
          <w:sz w:val="24"/>
          <w:szCs w:val="24"/>
        </w:rPr>
      </w:pPr>
    </w:p>
    <w:p w14:paraId="5847364D" w14:textId="77777777" w:rsidR="00754C41" w:rsidRDefault="00754C41"/>
    <w:sectPr w:rsidR="00754C41" w:rsidSect="00E56F57">
      <w:footerReference w:type="even" r:id="rId8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70ED6" w14:textId="77777777" w:rsidR="00DC1A33" w:rsidRDefault="00DC1A33">
      <w:r>
        <w:separator/>
      </w:r>
    </w:p>
  </w:endnote>
  <w:endnote w:type="continuationSeparator" w:id="0">
    <w:p w14:paraId="5F7D1C17" w14:textId="77777777" w:rsidR="00DC1A33" w:rsidRDefault="00DC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13960" w14:textId="77777777" w:rsidR="00265904" w:rsidRPr="00F10D43" w:rsidRDefault="00DC1A33" w:rsidP="00256A7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265904" w:rsidRPr="008C43B2" w14:paraId="21AEC5E2" w14:textId="77777777">
      <w:tc>
        <w:tcPr>
          <w:tcW w:w="1701" w:type="dxa"/>
          <w:shd w:val="clear" w:color="auto" w:fill="auto"/>
        </w:tcPr>
        <w:p w14:paraId="4042F78F" w14:textId="77777777" w:rsidR="00265904" w:rsidRPr="008C43B2" w:rsidRDefault="000F6C95" w:rsidP="00256A7B">
          <w:pPr>
            <w:pStyle w:val="FooterPageEven"/>
          </w:pPr>
          <w:r w:rsidRPr="008C43B2">
            <w:fldChar w:fldCharType="begin"/>
          </w:r>
          <w:r w:rsidRPr="008C43B2">
            <w:instrText xml:space="preserve"> PAGE </w:instrText>
          </w:r>
          <w:r w:rsidRPr="008C43B2">
            <w:fldChar w:fldCharType="separate"/>
          </w:r>
          <w:r>
            <w:rPr>
              <w:noProof/>
            </w:rPr>
            <w:t>2</w:t>
          </w:r>
          <w:r w:rsidRPr="008C43B2">
            <w:fldChar w:fldCharType="end"/>
          </w:r>
        </w:p>
      </w:tc>
      <w:tc>
        <w:tcPr>
          <w:tcW w:w="4933" w:type="dxa"/>
          <w:shd w:val="clear" w:color="auto" w:fill="auto"/>
        </w:tcPr>
        <w:p w14:paraId="64200123" w14:textId="207DDD96" w:rsidR="00265904" w:rsidRPr="008C43B2" w:rsidRDefault="000F6C95" w:rsidP="00256A7B">
          <w:pPr>
            <w:pStyle w:val="FooterCitation"/>
          </w:pPr>
          <w:r w:rsidRPr="008C43B2">
            <w:fldChar w:fldCharType="begin"/>
          </w:r>
          <w:r w:rsidRPr="008C43B2">
            <w:instrText xml:space="preserve"> STYLEREF  Title </w:instrText>
          </w:r>
          <w:r w:rsidRPr="008C43B2">
            <w:fldChar w:fldCharType="separate"/>
          </w:r>
          <w:r w:rsidR="005A7520">
            <w:rPr>
              <w:b/>
              <w:bCs/>
              <w:noProof/>
              <w:lang w:val="en-US"/>
            </w:rPr>
            <w:t>Error! Use the Home tab to apply Title to the text that you want to appear here.</w:t>
          </w:r>
          <w:r w:rsidRPr="008C43B2">
            <w:fldChar w:fldCharType="end"/>
          </w:r>
        </w:p>
      </w:tc>
      <w:tc>
        <w:tcPr>
          <w:tcW w:w="1701" w:type="dxa"/>
          <w:shd w:val="clear" w:color="auto" w:fill="auto"/>
        </w:tcPr>
        <w:p w14:paraId="3AD893E7" w14:textId="77777777" w:rsidR="00265904" w:rsidRPr="008C43B2" w:rsidRDefault="00DC1A33" w:rsidP="00256A7B">
          <w:pPr>
            <w:pStyle w:val="FooterPageOdd"/>
          </w:pPr>
        </w:p>
      </w:tc>
    </w:tr>
  </w:tbl>
  <w:p w14:paraId="48EA3516" w14:textId="77777777" w:rsidR="00265904" w:rsidRPr="00F10D43" w:rsidRDefault="00DC1A33" w:rsidP="00256A7B">
    <w:pPr>
      <w:pStyle w:val="Footer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82DC9" w14:textId="77777777" w:rsidR="00DC1A33" w:rsidRDefault="00DC1A33">
      <w:r>
        <w:separator/>
      </w:r>
    </w:p>
  </w:footnote>
  <w:footnote w:type="continuationSeparator" w:id="0">
    <w:p w14:paraId="3CEB1042" w14:textId="77777777" w:rsidR="00DC1A33" w:rsidRDefault="00DC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b w:val="0"/>
        <w:i w:val="0"/>
      </w:rPr>
    </w:lvl>
  </w:abstractNum>
  <w:abstractNum w:abstractNumId="1" w15:restartNumberingAfterBreak="0">
    <w:nsid w:val="20C3166E"/>
    <w:multiLevelType w:val="hybridMultilevel"/>
    <w:tmpl w:val="37EEF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10FA"/>
    <w:multiLevelType w:val="hybridMultilevel"/>
    <w:tmpl w:val="E878F12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701E5"/>
    <w:multiLevelType w:val="hybridMultilevel"/>
    <w:tmpl w:val="CC8EF064"/>
    <w:lvl w:ilvl="0" w:tplc="E984F63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E82AE0"/>
    <w:multiLevelType w:val="hybridMultilevel"/>
    <w:tmpl w:val="B75E06FC"/>
    <w:lvl w:ilvl="0" w:tplc="28C2062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31"/>
    <w:rsid w:val="000E3AA8"/>
    <w:rsid w:val="000F6C95"/>
    <w:rsid w:val="000F7D21"/>
    <w:rsid w:val="00340554"/>
    <w:rsid w:val="00350082"/>
    <w:rsid w:val="003574E0"/>
    <w:rsid w:val="004174E3"/>
    <w:rsid w:val="0046685E"/>
    <w:rsid w:val="00494C36"/>
    <w:rsid w:val="00507E11"/>
    <w:rsid w:val="005334DF"/>
    <w:rsid w:val="005A7520"/>
    <w:rsid w:val="005A7831"/>
    <w:rsid w:val="005C0320"/>
    <w:rsid w:val="005F500D"/>
    <w:rsid w:val="00604898"/>
    <w:rsid w:val="00706F26"/>
    <w:rsid w:val="00754C41"/>
    <w:rsid w:val="007D3D12"/>
    <w:rsid w:val="00946681"/>
    <w:rsid w:val="009E0B9B"/>
    <w:rsid w:val="00A410F7"/>
    <w:rsid w:val="00BD692F"/>
    <w:rsid w:val="00C07FCA"/>
    <w:rsid w:val="00C508E1"/>
    <w:rsid w:val="00CA5BD5"/>
    <w:rsid w:val="00D002EA"/>
    <w:rsid w:val="00D1093D"/>
    <w:rsid w:val="00DC1A33"/>
    <w:rsid w:val="00DD2B2B"/>
    <w:rsid w:val="00EB56CD"/>
    <w:rsid w:val="00ED593C"/>
    <w:rsid w:val="00F31528"/>
    <w:rsid w:val="00F53B31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E1AB"/>
  <w15:chartTrackingRefBased/>
  <w15:docId w15:val="{A534099F-5759-432E-8BD1-65EAE02F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53B31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F53B31"/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Citation">
    <w:name w:val="FooterCitation"/>
    <w:basedOn w:val="Footer"/>
    <w:rsid w:val="00F53B31"/>
    <w:pPr>
      <w:spacing w:before="20" w:line="240" w:lineRule="exact"/>
      <w:jc w:val="center"/>
    </w:pPr>
    <w:rPr>
      <w:i/>
    </w:rPr>
  </w:style>
  <w:style w:type="paragraph" w:styleId="BodyText">
    <w:name w:val="Body Text"/>
    <w:basedOn w:val="Normal"/>
    <w:link w:val="BodyTextChar"/>
    <w:rsid w:val="00F53B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3B3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PageOdd">
    <w:name w:val="FooterPageOdd"/>
    <w:basedOn w:val="Footer"/>
    <w:rsid w:val="00F53B31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F53B31"/>
    <w:pPr>
      <w:jc w:val="left"/>
    </w:pPr>
  </w:style>
  <w:style w:type="paragraph" w:customStyle="1" w:styleId="Footerinfo">
    <w:name w:val="Footerinfo"/>
    <w:basedOn w:val="Footer"/>
    <w:rsid w:val="00F53B31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NumberLevel1">
    <w:name w:val="Number Level 1"/>
    <w:aliases w:val="N1"/>
    <w:basedOn w:val="Normal"/>
    <w:uiPriority w:val="1"/>
    <w:rsid w:val="00F53B31"/>
    <w:pPr>
      <w:numPr>
        <w:numId w:val="1"/>
      </w:numPr>
      <w:spacing w:before="140" w:after="140" w:line="280" w:lineRule="atLeast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NumberLevel2">
    <w:name w:val="Number Level 2"/>
    <w:aliases w:val="N2"/>
    <w:basedOn w:val="Normal"/>
    <w:uiPriority w:val="1"/>
    <w:rsid w:val="00F53B31"/>
    <w:pPr>
      <w:numPr>
        <w:ilvl w:val="1"/>
        <w:numId w:val="1"/>
      </w:numPr>
      <w:tabs>
        <w:tab w:val="clear" w:pos="709"/>
        <w:tab w:val="num" w:pos="792"/>
      </w:tabs>
      <w:spacing w:before="140" w:after="140" w:line="280" w:lineRule="atLeast"/>
      <w:ind w:left="792" w:firstLine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NumberLevel3">
    <w:name w:val="Number Level 3"/>
    <w:aliases w:val="N3"/>
    <w:basedOn w:val="Normal"/>
    <w:uiPriority w:val="1"/>
    <w:rsid w:val="00F53B31"/>
    <w:pPr>
      <w:numPr>
        <w:ilvl w:val="2"/>
        <w:numId w:val="1"/>
      </w:numPr>
      <w:tabs>
        <w:tab w:val="clear" w:pos="709"/>
        <w:tab w:val="num" w:pos="1440"/>
      </w:tabs>
      <w:spacing w:before="140" w:after="140" w:line="280" w:lineRule="atLeast"/>
      <w:ind w:left="1224" w:firstLine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NumberLevel4">
    <w:name w:val="Number Level 4"/>
    <w:aliases w:val="N4"/>
    <w:basedOn w:val="Normal"/>
    <w:uiPriority w:val="1"/>
    <w:rsid w:val="00F53B31"/>
    <w:pPr>
      <w:numPr>
        <w:ilvl w:val="3"/>
        <w:numId w:val="1"/>
      </w:numPr>
      <w:tabs>
        <w:tab w:val="clear" w:pos="709"/>
        <w:tab w:val="num" w:pos="1800"/>
      </w:tabs>
      <w:spacing w:after="140" w:line="280" w:lineRule="atLeast"/>
      <w:ind w:left="0" w:firstLine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NumberLevel5">
    <w:name w:val="Number Level 5"/>
    <w:aliases w:val="N5"/>
    <w:basedOn w:val="Normal"/>
    <w:uiPriority w:val="1"/>
    <w:rsid w:val="00F53B31"/>
    <w:pPr>
      <w:numPr>
        <w:ilvl w:val="4"/>
        <w:numId w:val="1"/>
      </w:numPr>
      <w:tabs>
        <w:tab w:val="clear" w:pos="709"/>
        <w:tab w:val="num" w:pos="2520"/>
      </w:tabs>
      <w:spacing w:after="140" w:line="280" w:lineRule="atLeast"/>
      <w:ind w:left="0" w:firstLine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NumberLevel6">
    <w:name w:val="Number Level 6"/>
    <w:basedOn w:val="Normal"/>
    <w:uiPriority w:val="1"/>
    <w:rsid w:val="00F53B31"/>
    <w:pPr>
      <w:numPr>
        <w:ilvl w:val="5"/>
        <w:numId w:val="1"/>
      </w:numPr>
      <w:tabs>
        <w:tab w:val="clear" w:pos="1418"/>
        <w:tab w:val="num" w:pos="2880"/>
      </w:tabs>
      <w:spacing w:after="140" w:line="280" w:lineRule="atLeast"/>
      <w:ind w:left="2736" w:hanging="936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NumberLevel7">
    <w:name w:val="Number Level 7"/>
    <w:basedOn w:val="Normal"/>
    <w:uiPriority w:val="1"/>
    <w:rsid w:val="00F53B31"/>
    <w:pPr>
      <w:numPr>
        <w:ilvl w:val="6"/>
        <w:numId w:val="1"/>
      </w:numPr>
      <w:tabs>
        <w:tab w:val="clear" w:pos="1843"/>
        <w:tab w:val="num" w:pos="3600"/>
      </w:tabs>
      <w:spacing w:after="140" w:line="280" w:lineRule="atLeast"/>
      <w:ind w:left="3240" w:hanging="108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NumberLevel8">
    <w:name w:val="Number Level 8"/>
    <w:basedOn w:val="Normal"/>
    <w:uiPriority w:val="1"/>
    <w:rsid w:val="00F53B31"/>
    <w:pPr>
      <w:numPr>
        <w:ilvl w:val="7"/>
        <w:numId w:val="1"/>
      </w:numPr>
      <w:tabs>
        <w:tab w:val="clear" w:pos="2410"/>
        <w:tab w:val="num" w:pos="3960"/>
      </w:tabs>
      <w:spacing w:after="140" w:line="280" w:lineRule="atLeast"/>
      <w:ind w:left="3744" w:hanging="1224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NumberLevel9">
    <w:name w:val="Number Level 9"/>
    <w:basedOn w:val="Normal"/>
    <w:uiPriority w:val="1"/>
    <w:rsid w:val="00F53B31"/>
    <w:pPr>
      <w:numPr>
        <w:ilvl w:val="8"/>
        <w:numId w:val="1"/>
      </w:numPr>
      <w:tabs>
        <w:tab w:val="clear" w:pos="2835"/>
        <w:tab w:val="num" w:pos="4680"/>
      </w:tabs>
      <w:spacing w:after="140" w:line="280" w:lineRule="atLeast"/>
      <w:ind w:left="4320" w:hanging="1440"/>
    </w:pPr>
    <w:rPr>
      <w:rFonts w:ascii="Arial" w:eastAsia="Calibri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36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F6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C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C9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C95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0F6C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8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D428-48EF-4612-B7AD-6551EA75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APSC Legal Services</dc:creator>
  <cp:keywords/>
  <dc:description/>
  <cp:lastModifiedBy>APSC Legal Services</cp:lastModifiedBy>
  <cp:revision>20</cp:revision>
  <cp:lastPrinted>2020-03-24T23:14:00Z</cp:lastPrinted>
  <dcterms:created xsi:type="dcterms:W3CDTF">2020-03-24T02:43:00Z</dcterms:created>
  <dcterms:modified xsi:type="dcterms:W3CDTF">2020-03-26T23:13:00Z</dcterms:modified>
</cp:coreProperties>
</file>