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96373B" wp14:editId="24D1A6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0A60CD" w:rsidP="00715914">
      <w:pPr>
        <w:pStyle w:val="ShortT"/>
      </w:pPr>
      <w:r w:rsidRPr="00152CF3">
        <w:t>Biosecurity (Human Biosecurity Emergency) (Human Coronavirus with Pandemic Potential) (</w:t>
      </w:r>
      <w:r>
        <w:t>Overseas Travel Ban Emergency Requirements</w:t>
      </w:r>
      <w:r w:rsidRPr="00152CF3">
        <w:t>) Determination 2020</w:t>
      </w:r>
    </w:p>
    <w:p w:rsidR="00AD4050" w:rsidRPr="00001A63" w:rsidRDefault="00AD4050" w:rsidP="00AD405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Greg Hunt</w:t>
      </w:r>
      <w:r w:rsidRPr="00001A63">
        <w:rPr>
          <w:szCs w:val="22"/>
        </w:rPr>
        <w:t xml:space="preserve">, </w:t>
      </w:r>
      <w:r>
        <w:rPr>
          <w:szCs w:val="22"/>
        </w:rPr>
        <w:t>Minister for H</w:t>
      </w:r>
      <w:bookmarkStart w:id="0" w:name="BK_S1P1L7C29"/>
      <w:bookmarkEnd w:id="0"/>
      <w:r>
        <w:rPr>
          <w:szCs w:val="22"/>
        </w:rPr>
        <w:t>ealth</w:t>
      </w:r>
      <w:r w:rsidRPr="00001A63">
        <w:rPr>
          <w:szCs w:val="22"/>
        </w:rPr>
        <w:t>, ma</w:t>
      </w:r>
      <w:bookmarkStart w:id="1" w:name="_GoBack"/>
      <w:bookmarkEnd w:id="1"/>
      <w:r w:rsidRPr="00001A63">
        <w:rPr>
          <w:szCs w:val="22"/>
        </w:rPr>
        <w:t xml:space="preserve">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AD4050" w:rsidRPr="00001A63" w:rsidRDefault="00AD4050" w:rsidP="00AD405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2" w:name="BKCheck15B_1"/>
      <w:bookmarkEnd w:id="2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147340">
        <w:rPr>
          <w:szCs w:val="22"/>
        </w:rPr>
        <w:t>25 March 2020</w:t>
      </w:r>
      <w:r w:rsidRPr="00001A63">
        <w:rPr>
          <w:szCs w:val="22"/>
        </w:rPr>
        <w:fldChar w:fldCharType="end"/>
      </w:r>
    </w:p>
    <w:p w:rsidR="00AD4050" w:rsidRPr="00001A63" w:rsidRDefault="00AD4050" w:rsidP="00AD405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AD4050" w:rsidRPr="001F2C7F" w:rsidRDefault="00AD4050" w:rsidP="00AD4050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AD4050" w:rsidRDefault="00AD4050" w:rsidP="00AD4050"/>
    <w:p w:rsidR="00715914" w:rsidRPr="00545555" w:rsidRDefault="00715914" w:rsidP="00715914">
      <w:pPr>
        <w:pStyle w:val="Header"/>
        <w:tabs>
          <w:tab w:val="clear" w:pos="4150"/>
          <w:tab w:val="clear" w:pos="8307"/>
        </w:tabs>
      </w:pPr>
      <w:r w:rsidRPr="00545555">
        <w:rPr>
          <w:rStyle w:val="CharChapNo"/>
        </w:rPr>
        <w:t xml:space="preserve"> </w:t>
      </w:r>
      <w:r w:rsidRPr="00545555">
        <w:rPr>
          <w:rStyle w:val="CharChapText"/>
        </w:rPr>
        <w:t xml:space="preserve"> </w:t>
      </w:r>
    </w:p>
    <w:p w:rsidR="00715914" w:rsidRPr="00545555" w:rsidRDefault="00715914" w:rsidP="00715914">
      <w:pPr>
        <w:pStyle w:val="Header"/>
        <w:tabs>
          <w:tab w:val="clear" w:pos="4150"/>
          <w:tab w:val="clear" w:pos="8307"/>
        </w:tabs>
      </w:pPr>
      <w:r w:rsidRPr="00545555">
        <w:rPr>
          <w:rStyle w:val="CharPartNo"/>
        </w:rPr>
        <w:t xml:space="preserve"> </w:t>
      </w:r>
      <w:r w:rsidRPr="00545555">
        <w:rPr>
          <w:rStyle w:val="CharPartText"/>
        </w:rPr>
        <w:t xml:space="preserve"> </w:t>
      </w:r>
    </w:p>
    <w:p w:rsidR="00715914" w:rsidRPr="00545555" w:rsidRDefault="00715914" w:rsidP="00715914">
      <w:pPr>
        <w:pStyle w:val="Header"/>
        <w:tabs>
          <w:tab w:val="clear" w:pos="4150"/>
          <w:tab w:val="clear" w:pos="8307"/>
        </w:tabs>
      </w:pPr>
      <w:r w:rsidRPr="00545555">
        <w:rPr>
          <w:rStyle w:val="CharDivNo"/>
        </w:rPr>
        <w:t xml:space="preserve"> </w:t>
      </w:r>
      <w:r w:rsidRPr="00545555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B805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:rsidR="005E72E5" w:rsidRDefault="005E72E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5E72E5">
        <w:rPr>
          <w:b w:val="0"/>
          <w:noProof/>
          <w:sz w:val="18"/>
        </w:rPr>
        <w:tab/>
      </w:r>
      <w:r w:rsidRPr="005E72E5">
        <w:rPr>
          <w:b w:val="0"/>
          <w:noProof/>
          <w:sz w:val="18"/>
        </w:rPr>
        <w:fldChar w:fldCharType="begin"/>
      </w:r>
      <w:r w:rsidRPr="005E72E5">
        <w:rPr>
          <w:b w:val="0"/>
          <w:noProof/>
          <w:sz w:val="18"/>
        </w:rPr>
        <w:instrText xml:space="preserve"> PAGEREF _Toc36027201 \h </w:instrText>
      </w:r>
      <w:r w:rsidRPr="005E72E5">
        <w:rPr>
          <w:b w:val="0"/>
          <w:noProof/>
          <w:sz w:val="18"/>
        </w:rPr>
      </w:r>
      <w:r w:rsidRPr="005E72E5">
        <w:rPr>
          <w:b w:val="0"/>
          <w:noProof/>
          <w:sz w:val="18"/>
        </w:rPr>
        <w:fldChar w:fldCharType="separate"/>
      </w:r>
      <w:r w:rsidR="00147340">
        <w:rPr>
          <w:b w:val="0"/>
          <w:noProof/>
          <w:sz w:val="18"/>
        </w:rPr>
        <w:t>1</w:t>
      </w:r>
      <w:r w:rsidRPr="005E72E5">
        <w:rPr>
          <w:b w:val="0"/>
          <w:noProof/>
          <w:sz w:val="18"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_Toc36027202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1</w:t>
      </w:r>
      <w:r w:rsidRPr="005E72E5">
        <w:rPr>
          <w:noProof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_Toc36027203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1</w:t>
      </w:r>
      <w:r w:rsidRPr="005E72E5">
        <w:rPr>
          <w:noProof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_Toc36027204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1</w:t>
      </w:r>
      <w:r w:rsidRPr="005E72E5">
        <w:rPr>
          <w:noProof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_Toc36027205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1</w:t>
      </w:r>
      <w:r w:rsidRPr="005E72E5">
        <w:rPr>
          <w:noProof/>
        </w:rPr>
        <w:fldChar w:fldCharType="end"/>
      </w:r>
    </w:p>
    <w:p w:rsidR="005E72E5" w:rsidRDefault="005E72E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2—Requirements</w:t>
      </w:r>
      <w:r w:rsidRPr="005E72E5">
        <w:rPr>
          <w:b w:val="0"/>
          <w:noProof/>
          <w:sz w:val="18"/>
        </w:rPr>
        <w:tab/>
      </w:r>
      <w:r w:rsidRPr="005E72E5">
        <w:rPr>
          <w:b w:val="0"/>
          <w:noProof/>
          <w:sz w:val="18"/>
        </w:rPr>
        <w:fldChar w:fldCharType="begin"/>
      </w:r>
      <w:r w:rsidRPr="005E72E5">
        <w:rPr>
          <w:b w:val="0"/>
          <w:noProof/>
          <w:sz w:val="18"/>
        </w:rPr>
        <w:instrText xml:space="preserve"> PAGEREF _Toc36027206 \h </w:instrText>
      </w:r>
      <w:r w:rsidRPr="005E72E5">
        <w:rPr>
          <w:b w:val="0"/>
          <w:noProof/>
          <w:sz w:val="18"/>
        </w:rPr>
      </w:r>
      <w:r w:rsidRPr="005E72E5">
        <w:rPr>
          <w:b w:val="0"/>
          <w:noProof/>
          <w:sz w:val="18"/>
        </w:rPr>
        <w:fldChar w:fldCharType="separate"/>
      </w:r>
      <w:r w:rsidR="00147340">
        <w:rPr>
          <w:b w:val="0"/>
          <w:noProof/>
          <w:sz w:val="18"/>
        </w:rPr>
        <w:t>3</w:t>
      </w:r>
      <w:r w:rsidRPr="005E72E5">
        <w:rPr>
          <w:b w:val="0"/>
          <w:noProof/>
          <w:sz w:val="18"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Persons not to travel outside Australian territory after 12 pm, 25 March 2020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_Toc36027207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3</w:t>
      </w:r>
      <w:r w:rsidRPr="005E72E5">
        <w:rPr>
          <w:noProof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Exemptions—general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_Toc36027208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3</w:t>
      </w:r>
      <w:r w:rsidRPr="005E72E5">
        <w:rPr>
          <w:noProof/>
        </w:rPr>
        <w:fldChar w:fldCharType="end"/>
      </w:r>
    </w:p>
    <w:p w:rsidR="005E72E5" w:rsidRDefault="005E72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Exemptions—granted by an APS employee in the Australian Border Force</w:t>
      </w:r>
      <w:r w:rsidRPr="005E72E5">
        <w:rPr>
          <w:noProof/>
        </w:rPr>
        <w:tab/>
      </w:r>
      <w:r w:rsidRPr="005E72E5">
        <w:rPr>
          <w:noProof/>
        </w:rPr>
        <w:fldChar w:fldCharType="begin"/>
      </w:r>
      <w:r w:rsidRPr="005E72E5">
        <w:rPr>
          <w:noProof/>
        </w:rPr>
        <w:instrText xml:space="preserve"> PAGEREF _Toc36027209 \h </w:instrText>
      </w:r>
      <w:r w:rsidRPr="005E72E5">
        <w:rPr>
          <w:noProof/>
        </w:rPr>
      </w:r>
      <w:r w:rsidRPr="005E72E5">
        <w:rPr>
          <w:noProof/>
        </w:rPr>
        <w:fldChar w:fldCharType="separate"/>
      </w:r>
      <w:r w:rsidR="00147340">
        <w:rPr>
          <w:noProof/>
        </w:rPr>
        <w:t>3</w:t>
      </w:r>
      <w:r w:rsidRPr="005E72E5">
        <w:rPr>
          <w:noProof/>
        </w:rPr>
        <w:fldChar w:fldCharType="end"/>
      </w:r>
    </w:p>
    <w:p w:rsidR="00670EA1" w:rsidRDefault="005E72E5" w:rsidP="00715914">
      <w:r>
        <w:fldChar w:fldCharType="end"/>
      </w:r>
    </w:p>
    <w:p w:rsidR="00670EA1" w:rsidRDefault="00670EA1" w:rsidP="00715914">
      <w:pPr>
        <w:sectPr w:rsidR="00670EA1" w:rsidSect="00B805F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2"/>
      </w:pPr>
      <w:bookmarkStart w:id="4" w:name="_Toc36027201"/>
      <w:r w:rsidRPr="00545555">
        <w:rPr>
          <w:rStyle w:val="CharPartNo"/>
        </w:rPr>
        <w:lastRenderedPageBreak/>
        <w:t>Part 1</w:t>
      </w:r>
      <w:r>
        <w:t>—</w:t>
      </w:r>
      <w:r w:rsidRPr="00545555">
        <w:rPr>
          <w:rStyle w:val="CharPartText"/>
        </w:rPr>
        <w:t>Preliminary</w:t>
      </w:r>
      <w:bookmarkEnd w:id="4"/>
    </w:p>
    <w:p w:rsidR="00715914" w:rsidRPr="00545555" w:rsidRDefault="00715914" w:rsidP="00715914">
      <w:pPr>
        <w:pStyle w:val="Header"/>
      </w:pPr>
      <w:r w:rsidRPr="00545555">
        <w:rPr>
          <w:rStyle w:val="CharDivNo"/>
        </w:rPr>
        <w:t xml:space="preserve"> </w:t>
      </w:r>
      <w:r w:rsidRPr="00545555">
        <w:rPr>
          <w:rStyle w:val="CharDivText"/>
        </w:rPr>
        <w:t xml:space="preserve"> </w:t>
      </w:r>
    </w:p>
    <w:p w:rsidR="00715914" w:rsidRDefault="00715914" w:rsidP="00715914">
      <w:pPr>
        <w:pStyle w:val="ActHead5"/>
      </w:pPr>
      <w:bookmarkStart w:id="5" w:name="_Toc36027202"/>
      <w:r w:rsidRPr="00545555">
        <w:rPr>
          <w:rStyle w:val="CharSectno"/>
        </w:rPr>
        <w:t>1</w:t>
      </w:r>
      <w:r>
        <w:t xml:space="preserve">  </w:t>
      </w:r>
      <w:r w:rsidR="00CE493D">
        <w:t>Name</w:t>
      </w:r>
      <w:bookmarkEnd w:id="5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0A60CD">
        <w:t>This instrument is</w:t>
      </w:r>
      <w:r w:rsidR="00CE493D">
        <w:t xml:space="preserve"> the </w:t>
      </w:r>
      <w:r w:rsidR="000A60CD" w:rsidRPr="000A60CD">
        <w:rPr>
          <w:i/>
        </w:rPr>
        <w:t>Biosecurity (Human Biosecurity Emergency) (Human Coronavirus with Pandemic Potential) (</w:t>
      </w:r>
      <w:r w:rsidR="001D491A" w:rsidRPr="001D491A">
        <w:rPr>
          <w:i/>
        </w:rPr>
        <w:t>Overseas Travel Ban Emergency Requirements</w:t>
      </w:r>
      <w:r w:rsidR="000A60CD" w:rsidRPr="000A60CD">
        <w:rPr>
          <w:i/>
        </w:rPr>
        <w:t>) Determination 2020</w:t>
      </w:r>
      <w:r w:rsidRPr="009A038B">
        <w:t>.</w:t>
      </w:r>
    </w:p>
    <w:p w:rsidR="00715914" w:rsidRDefault="00715914" w:rsidP="00715914">
      <w:pPr>
        <w:pStyle w:val="ActHead5"/>
      </w:pPr>
      <w:bookmarkStart w:id="6" w:name="_Toc36027203"/>
      <w:r w:rsidRPr="00545555">
        <w:rPr>
          <w:rStyle w:val="CharSectno"/>
        </w:rPr>
        <w:t>2</w:t>
      </w:r>
      <w:r w:rsidRPr="009A038B">
        <w:t xml:space="preserve">  Commencement</w:t>
      </w:r>
      <w:bookmarkEnd w:id="6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0A60CD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268"/>
      </w:tblGrid>
      <w:tr w:rsidR="00AE3652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:rsidTr="003E26A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3</w:t>
            </w:r>
          </w:p>
        </w:tc>
      </w:tr>
      <w:tr w:rsidR="00AE3652" w:rsidTr="003E26A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Provisions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Date/Details</w:t>
            </w:r>
          </w:p>
        </w:tc>
      </w:tr>
      <w:tr w:rsidR="00AE3652" w:rsidTr="003E26A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936F00">
            <w:pPr>
              <w:pStyle w:val="Tabletext"/>
            </w:pPr>
            <w:r>
              <w:t xml:space="preserve">1.  The whole of </w:t>
            </w:r>
            <w:r w:rsidR="000A60CD">
              <w:t>this instrument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0A60CD" w:rsidP="00411BED">
            <w:pPr>
              <w:pStyle w:val="Tabletext"/>
            </w:pPr>
            <w:r>
              <w:t>12 pm</w:t>
            </w:r>
            <w:r w:rsidRPr="000A60CD">
              <w:t xml:space="preserve"> on 2</w:t>
            </w:r>
            <w:r>
              <w:t>5</w:t>
            </w:r>
            <w:r w:rsidRPr="000A60CD">
              <w:t> March 202</w:t>
            </w:r>
            <w:r>
              <w:t>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3E26A7" w:rsidP="00936F00">
            <w:pPr>
              <w:pStyle w:val="Tabletext"/>
            </w:pPr>
            <w:r>
              <w:t>12 pm</w:t>
            </w:r>
            <w:r w:rsidRPr="000A60CD">
              <w:t xml:space="preserve"> on 2</w:t>
            </w:r>
            <w:r>
              <w:t>5</w:t>
            </w:r>
            <w:r w:rsidRPr="000A60CD">
              <w:t> March 202</w:t>
            </w:r>
            <w:r>
              <w:t>0</w:t>
            </w:r>
          </w:p>
        </w:tc>
      </w:tr>
    </w:tbl>
    <w:p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A60C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A60C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A60CD">
        <w:t>this instrument</w:t>
      </w:r>
      <w:r w:rsidRPr="005F477A">
        <w:t xml:space="preserve">. Information may be inserted in this column, or information in it may be edited, in any published version of </w:t>
      </w:r>
      <w:r w:rsidR="000A60CD">
        <w:t>this instrument</w:t>
      </w:r>
      <w:r w:rsidRPr="005F477A">
        <w:t>.</w:t>
      </w:r>
    </w:p>
    <w:p w:rsidR="007500C8" w:rsidRDefault="007500C8" w:rsidP="00AD0D8D">
      <w:pPr>
        <w:pStyle w:val="ActHead5"/>
      </w:pPr>
      <w:bookmarkStart w:id="7" w:name="_Toc36027204"/>
      <w:r w:rsidRPr="00545555">
        <w:rPr>
          <w:rStyle w:val="CharSectno"/>
        </w:rPr>
        <w:t>3</w:t>
      </w:r>
      <w:r>
        <w:t xml:space="preserve">  Authority</w:t>
      </w:r>
      <w:bookmarkEnd w:id="7"/>
    </w:p>
    <w:p w:rsidR="00157B8B" w:rsidRDefault="007500C8" w:rsidP="007E667A">
      <w:pPr>
        <w:pStyle w:val="subsection"/>
      </w:pPr>
      <w:r>
        <w:tab/>
      </w:r>
      <w:r>
        <w:tab/>
      </w:r>
      <w:r w:rsidR="000A60CD">
        <w:t xml:space="preserve">This instrument is made under subsection 477(1) of the </w:t>
      </w:r>
      <w:r w:rsidR="000A60CD">
        <w:rPr>
          <w:i/>
        </w:rPr>
        <w:t>Biosecurity Act 2015</w:t>
      </w:r>
      <w:r w:rsidR="00F4350D" w:rsidRPr="003C6231">
        <w:t>.</w:t>
      </w:r>
    </w:p>
    <w:p w:rsidR="000A60CD" w:rsidRDefault="000A60CD" w:rsidP="00AD0D8D">
      <w:pPr>
        <w:pStyle w:val="ActHead5"/>
      </w:pPr>
      <w:bookmarkStart w:id="8" w:name="_Toc36027205"/>
      <w:r w:rsidRPr="00545555">
        <w:rPr>
          <w:rStyle w:val="CharSectno"/>
        </w:rPr>
        <w:t>4</w:t>
      </w:r>
      <w:r>
        <w:t xml:space="preserve">  Definitions</w:t>
      </w:r>
      <w:bookmarkEnd w:id="8"/>
    </w:p>
    <w:p w:rsidR="000A60CD" w:rsidRDefault="000A60CD" w:rsidP="000A60CD">
      <w:pPr>
        <w:pStyle w:val="notetext"/>
      </w:pPr>
      <w:r>
        <w:t>Note:</w:t>
      </w:r>
      <w:r>
        <w:tab/>
        <w:t xml:space="preserve">A number of expressions used in this instrument are defined in the </w:t>
      </w:r>
      <w:r>
        <w:rPr>
          <w:i/>
        </w:rPr>
        <w:t>Biosecurity Act 2015</w:t>
      </w:r>
      <w:r>
        <w:t>, including the following:</w:t>
      </w:r>
    </w:p>
    <w:p w:rsidR="000A60CD" w:rsidRDefault="000A60CD" w:rsidP="000A60CD">
      <w:pPr>
        <w:pStyle w:val="notepara"/>
      </w:pPr>
      <w:r>
        <w:t>(a)</w:t>
      </w:r>
      <w:r>
        <w:tab/>
        <w:t>Australian territory;</w:t>
      </w:r>
    </w:p>
    <w:p w:rsidR="000A60CD" w:rsidRDefault="000A60CD" w:rsidP="000A60CD">
      <w:pPr>
        <w:pStyle w:val="notepara"/>
      </w:pPr>
      <w:r>
        <w:t>(</w:t>
      </w:r>
      <w:r w:rsidR="00A178B4">
        <w:t>b</w:t>
      </w:r>
      <w:r>
        <w:t>)</w:t>
      </w:r>
      <w:r>
        <w:tab/>
        <w:t>operator;</w:t>
      </w:r>
    </w:p>
    <w:p w:rsidR="000A60CD" w:rsidRPr="00F61C09" w:rsidRDefault="005C1524" w:rsidP="000A60CD">
      <w:pPr>
        <w:pStyle w:val="notepara"/>
      </w:pPr>
      <w:r>
        <w:t>(</w:t>
      </w:r>
      <w:r w:rsidR="00C95818">
        <w:t>c</w:t>
      </w:r>
      <w:r w:rsidR="000A60CD">
        <w:t>)</w:t>
      </w:r>
      <w:r w:rsidR="000A60CD">
        <w:tab/>
        <w:t>p</w:t>
      </w:r>
      <w:r w:rsidR="00A178B4">
        <w:t>assenger</w:t>
      </w:r>
      <w:r w:rsidR="000A60CD">
        <w:t>.</w:t>
      </w:r>
    </w:p>
    <w:p w:rsidR="000A60CD" w:rsidRDefault="000A60CD" w:rsidP="000A60CD">
      <w:pPr>
        <w:pStyle w:val="subsection"/>
      </w:pPr>
      <w:r>
        <w:tab/>
      </w:r>
      <w:r>
        <w:tab/>
        <w:t>In this instrument:</w:t>
      </w:r>
    </w:p>
    <w:p w:rsidR="00284601" w:rsidRPr="00284601" w:rsidRDefault="00284601" w:rsidP="000A60CD">
      <w:pPr>
        <w:pStyle w:val="Definition"/>
      </w:pPr>
      <w:r>
        <w:rPr>
          <w:b/>
          <w:i/>
        </w:rPr>
        <w:t xml:space="preserve">Australian Border Force </w:t>
      </w:r>
      <w:r>
        <w:t xml:space="preserve">has the same meaning as in the </w:t>
      </w:r>
      <w:r>
        <w:rPr>
          <w:i/>
        </w:rPr>
        <w:t>Australian Border Force Act 2015</w:t>
      </w:r>
      <w:r>
        <w:t>.</w:t>
      </w:r>
    </w:p>
    <w:p w:rsidR="000A60CD" w:rsidRPr="00723B3B" w:rsidRDefault="00AD0D8D" w:rsidP="000A60CD">
      <w:pPr>
        <w:pStyle w:val="Definition"/>
      </w:pPr>
      <w:r>
        <w:rPr>
          <w:b/>
          <w:i/>
        </w:rPr>
        <w:t>Australian citizen</w:t>
      </w:r>
      <w:r>
        <w:t xml:space="preserve"> has the same meaning as in the </w:t>
      </w:r>
      <w:r w:rsidR="003D36A2">
        <w:rPr>
          <w:i/>
        </w:rPr>
        <w:t xml:space="preserve">Australian </w:t>
      </w:r>
      <w:r>
        <w:rPr>
          <w:i/>
        </w:rPr>
        <w:t xml:space="preserve">Citizenship Act </w:t>
      </w:r>
      <w:r w:rsidR="00723B3B">
        <w:rPr>
          <w:i/>
        </w:rPr>
        <w:t>2007</w:t>
      </w:r>
      <w:bookmarkStart w:id="9" w:name="BK_S3P1L34C71"/>
      <w:bookmarkEnd w:id="9"/>
      <w:r w:rsidR="00723B3B">
        <w:t>.</w:t>
      </w:r>
    </w:p>
    <w:p w:rsidR="003D36A2" w:rsidRPr="003D36A2" w:rsidRDefault="003D36A2" w:rsidP="000A60CD">
      <w:pPr>
        <w:pStyle w:val="Definition"/>
      </w:pPr>
      <w:r>
        <w:rPr>
          <w:b/>
          <w:i/>
        </w:rPr>
        <w:t>Australian Defence Force</w:t>
      </w:r>
      <w:r>
        <w:t xml:space="preserve"> has the same meaning as in the </w:t>
      </w:r>
      <w:r w:rsidRPr="003D36A2">
        <w:rPr>
          <w:i/>
        </w:rPr>
        <w:t>Defence Act 1903</w:t>
      </w:r>
      <w:r>
        <w:t>.</w:t>
      </w:r>
    </w:p>
    <w:p w:rsidR="003D36A2" w:rsidRPr="003D36A2" w:rsidRDefault="001B6FC9" w:rsidP="000A60CD">
      <w:pPr>
        <w:pStyle w:val="Definition"/>
      </w:pPr>
      <w:r>
        <w:rPr>
          <w:b/>
          <w:i/>
        </w:rPr>
        <w:t>m</w:t>
      </w:r>
      <w:r w:rsidR="003D36A2">
        <w:rPr>
          <w:b/>
          <w:i/>
        </w:rPr>
        <w:t>ember</w:t>
      </w:r>
      <w:r w:rsidR="003D36A2">
        <w:t xml:space="preserve"> has the same meaning as in the </w:t>
      </w:r>
      <w:r w:rsidR="003D36A2" w:rsidRPr="001B6FC9">
        <w:rPr>
          <w:i/>
        </w:rPr>
        <w:t>Defence Act 1903</w:t>
      </w:r>
      <w:r w:rsidR="003D36A2">
        <w:t>.</w:t>
      </w:r>
    </w:p>
    <w:p w:rsidR="00AD0D8D" w:rsidRPr="00723B3B" w:rsidRDefault="00AD0D8D" w:rsidP="000A60CD">
      <w:pPr>
        <w:pStyle w:val="Definition"/>
      </w:pPr>
      <w:r w:rsidRPr="00AD0D8D">
        <w:rPr>
          <w:b/>
          <w:i/>
        </w:rPr>
        <w:lastRenderedPageBreak/>
        <w:t>permanent resident</w:t>
      </w:r>
      <w:r w:rsidRPr="00723B3B">
        <w:t xml:space="preserve"> has the same meaning as in the </w:t>
      </w:r>
      <w:r w:rsidR="003D36A2">
        <w:rPr>
          <w:i/>
        </w:rPr>
        <w:t xml:space="preserve">Australian </w:t>
      </w:r>
      <w:r>
        <w:rPr>
          <w:i/>
        </w:rPr>
        <w:t>Citizenship Act</w:t>
      </w:r>
      <w:r w:rsidR="00723B3B">
        <w:rPr>
          <w:i/>
        </w:rPr>
        <w:t xml:space="preserve"> 2007</w:t>
      </w:r>
      <w:r w:rsidR="00723B3B">
        <w:t>.</w:t>
      </w:r>
    </w:p>
    <w:p w:rsidR="000A60CD" w:rsidRPr="00ED77C3" w:rsidRDefault="000A60CD" w:rsidP="00AA42CA">
      <w:pPr>
        <w:pStyle w:val="ActHead2"/>
        <w:pageBreakBefore/>
      </w:pPr>
      <w:bookmarkStart w:id="10" w:name="BK_S3P1L36C1"/>
      <w:bookmarkStart w:id="11" w:name="_Toc36027206"/>
      <w:bookmarkEnd w:id="10"/>
      <w:r w:rsidRPr="00545555">
        <w:rPr>
          <w:rStyle w:val="CharPartNo"/>
        </w:rPr>
        <w:lastRenderedPageBreak/>
        <w:t>Part 2</w:t>
      </w:r>
      <w:r w:rsidRPr="00ED77C3">
        <w:t>—</w:t>
      </w:r>
      <w:r w:rsidRPr="00545555">
        <w:rPr>
          <w:rStyle w:val="CharPartText"/>
        </w:rPr>
        <w:t>Requirements</w:t>
      </w:r>
      <w:bookmarkEnd w:id="11"/>
    </w:p>
    <w:p w:rsidR="000A60CD" w:rsidRPr="00545555" w:rsidRDefault="000A60CD" w:rsidP="000A60CD">
      <w:pPr>
        <w:pStyle w:val="Header"/>
      </w:pPr>
      <w:r w:rsidRPr="00545555">
        <w:rPr>
          <w:rStyle w:val="CharDivNo"/>
        </w:rPr>
        <w:t xml:space="preserve"> </w:t>
      </w:r>
      <w:r w:rsidRPr="00545555">
        <w:rPr>
          <w:rStyle w:val="CharDivText"/>
        </w:rPr>
        <w:t xml:space="preserve"> </w:t>
      </w:r>
    </w:p>
    <w:p w:rsidR="000A60CD" w:rsidRDefault="000A60CD" w:rsidP="00AD0D8D">
      <w:pPr>
        <w:pStyle w:val="ActHead5"/>
      </w:pPr>
      <w:bookmarkStart w:id="12" w:name="_Toc36027207"/>
      <w:r w:rsidRPr="00545555">
        <w:rPr>
          <w:rStyle w:val="CharSectno"/>
        </w:rPr>
        <w:t>5</w:t>
      </w:r>
      <w:r w:rsidRPr="00ED77C3">
        <w:t xml:space="preserve">  </w:t>
      </w:r>
      <w:r w:rsidR="00284601">
        <w:t>Persons</w:t>
      </w:r>
      <w:r w:rsidRPr="00ED77C3">
        <w:t xml:space="preserve"> not to </w:t>
      </w:r>
      <w:r w:rsidR="00284601">
        <w:t>travel outside Australia</w:t>
      </w:r>
      <w:r w:rsidR="00A178B4">
        <w:t>n territory</w:t>
      </w:r>
      <w:r w:rsidR="00284601">
        <w:t xml:space="preserve"> after 12 pm, 25 March 2020</w:t>
      </w:r>
      <w:bookmarkEnd w:id="12"/>
    </w:p>
    <w:p w:rsidR="003D36A2" w:rsidRDefault="00284601" w:rsidP="00284601">
      <w:pPr>
        <w:pStyle w:val="subsection"/>
      </w:pPr>
      <w:r>
        <w:tab/>
        <w:t>(1)</w:t>
      </w:r>
      <w:r>
        <w:tab/>
        <w:t>An Australian citizen or permanent resident</w:t>
      </w:r>
      <w:r w:rsidR="00AA42CA">
        <w:t xml:space="preserve"> (the </w:t>
      </w:r>
      <w:r w:rsidR="00AA42CA">
        <w:rPr>
          <w:b/>
          <w:i/>
        </w:rPr>
        <w:t>person</w:t>
      </w:r>
      <w:r w:rsidR="00AA42CA">
        <w:rPr>
          <w:b/>
        </w:rPr>
        <w:t>)</w:t>
      </w:r>
      <w:r>
        <w:t xml:space="preserve"> must not leave Australian territory</w:t>
      </w:r>
      <w:r w:rsidR="00EB6005">
        <w:t xml:space="preserve"> as a passenger on an outgoing aircraft or vessel</w:t>
      </w:r>
      <w:r>
        <w:t xml:space="preserve"> on or after</w:t>
      </w:r>
      <w:r w:rsidR="00A178B4">
        <w:t xml:space="preserve"> the time this instrument commences</w:t>
      </w:r>
      <w:r>
        <w:t xml:space="preserve"> unless</w:t>
      </w:r>
      <w:r w:rsidR="003D36A2">
        <w:t>:</w:t>
      </w:r>
    </w:p>
    <w:p w:rsidR="003D36A2" w:rsidRDefault="003D36A2" w:rsidP="003D36A2">
      <w:pPr>
        <w:pStyle w:val="paragraph"/>
      </w:pPr>
      <w:r>
        <w:tab/>
        <w:t>(a)</w:t>
      </w:r>
      <w:r>
        <w:tab/>
        <w:t>a</w:t>
      </w:r>
      <w:r w:rsidR="005A6364">
        <w:t xml:space="preserve">n exemption set out in section </w:t>
      </w:r>
      <w:r>
        <w:t>6 applies</w:t>
      </w:r>
      <w:r w:rsidR="00AA42CA">
        <w:t xml:space="preserve"> to the person</w:t>
      </w:r>
      <w:r>
        <w:t xml:space="preserve">; or </w:t>
      </w:r>
    </w:p>
    <w:p w:rsidR="00284601" w:rsidRDefault="003D36A2" w:rsidP="003D36A2">
      <w:pPr>
        <w:pStyle w:val="paragraph"/>
      </w:pPr>
      <w:r>
        <w:tab/>
        <w:t>(b)</w:t>
      </w:r>
      <w:r>
        <w:tab/>
      </w:r>
      <w:r w:rsidR="00284601">
        <w:t>an exemption</w:t>
      </w:r>
      <w:r>
        <w:t xml:space="preserve"> is granted</w:t>
      </w:r>
      <w:r w:rsidR="001B6FC9">
        <w:t xml:space="preserve"> </w:t>
      </w:r>
      <w:r w:rsidR="00AA42CA">
        <w:t>to the</w:t>
      </w:r>
      <w:r w:rsidR="00EB6005">
        <w:t xml:space="preserve"> operator of the aircraft or vessel or the </w:t>
      </w:r>
      <w:r w:rsidR="00AA42CA">
        <w:t xml:space="preserve">person </w:t>
      </w:r>
      <w:r w:rsidR="001B6FC9">
        <w:t>by an APS employee in the</w:t>
      </w:r>
      <w:r w:rsidR="00284601">
        <w:t xml:space="preserve"> Australian Border Force </w:t>
      </w:r>
      <w:r w:rsidR="005A6364">
        <w:t xml:space="preserve">under section </w:t>
      </w:r>
      <w:r>
        <w:t>7</w:t>
      </w:r>
      <w:r w:rsidR="00284601">
        <w:t>.</w:t>
      </w:r>
    </w:p>
    <w:p w:rsidR="003D36A2" w:rsidRDefault="00284601" w:rsidP="00284601">
      <w:pPr>
        <w:pStyle w:val="subsection"/>
      </w:pPr>
      <w:r>
        <w:tab/>
        <w:t>(2)</w:t>
      </w:r>
      <w:r>
        <w:tab/>
      </w:r>
      <w:r w:rsidR="00A178B4">
        <w:t>An operator of an outgoing</w:t>
      </w:r>
      <w:r w:rsidR="00C95818">
        <w:t xml:space="preserve"> </w:t>
      </w:r>
      <w:r w:rsidR="00A178B4">
        <w:t>aircraft or</w:t>
      </w:r>
      <w:r w:rsidR="00C95818">
        <w:t xml:space="preserve"> </w:t>
      </w:r>
      <w:r w:rsidR="00A178B4">
        <w:t>vessel</w:t>
      </w:r>
      <w:r>
        <w:t xml:space="preserve"> </w:t>
      </w:r>
      <w:r w:rsidR="00A178B4">
        <w:t xml:space="preserve">must not leave Australian territory on or after the time this instrument commences with </w:t>
      </w:r>
      <w:r w:rsidR="003D36A2">
        <w:t xml:space="preserve">any </w:t>
      </w:r>
      <w:r w:rsidR="00A178B4">
        <w:t>passenger who</w:t>
      </w:r>
      <w:r w:rsidR="003D36A2">
        <w:t xml:space="preserve"> is an</w:t>
      </w:r>
      <w:r w:rsidR="00A178B4">
        <w:t xml:space="preserve"> Australian citizen</w:t>
      </w:r>
      <w:r w:rsidR="003D36A2">
        <w:t xml:space="preserve"> or permanent resident</w:t>
      </w:r>
      <w:r w:rsidR="00AA42CA">
        <w:t xml:space="preserve"> (the </w:t>
      </w:r>
      <w:r w:rsidR="00AA42CA">
        <w:rPr>
          <w:b/>
          <w:i/>
        </w:rPr>
        <w:t>person</w:t>
      </w:r>
      <w:r w:rsidR="00AA42CA">
        <w:t>)</w:t>
      </w:r>
      <w:r w:rsidR="00A178B4">
        <w:t xml:space="preserve"> on board the aircraft or vessel unless</w:t>
      </w:r>
      <w:r w:rsidR="003D36A2">
        <w:t>:</w:t>
      </w:r>
    </w:p>
    <w:p w:rsidR="003D36A2" w:rsidRDefault="003D36A2" w:rsidP="003D36A2">
      <w:pPr>
        <w:pStyle w:val="paragraph"/>
      </w:pPr>
      <w:r>
        <w:tab/>
        <w:t>(a)</w:t>
      </w:r>
      <w:r>
        <w:tab/>
        <w:t>a</w:t>
      </w:r>
      <w:r w:rsidR="005A6364">
        <w:t xml:space="preserve">n exemption set out in section </w:t>
      </w:r>
      <w:r>
        <w:t>6 applies</w:t>
      </w:r>
      <w:r w:rsidR="00AA42CA">
        <w:t xml:space="preserve"> to the person</w:t>
      </w:r>
      <w:r>
        <w:t xml:space="preserve">; or </w:t>
      </w:r>
    </w:p>
    <w:p w:rsidR="003D36A2" w:rsidRDefault="003D36A2" w:rsidP="003D36A2">
      <w:pPr>
        <w:pStyle w:val="paragraph"/>
      </w:pPr>
      <w:r>
        <w:tab/>
        <w:t>(b)</w:t>
      </w:r>
      <w:r>
        <w:tab/>
        <w:t xml:space="preserve">an exemption is granted </w:t>
      </w:r>
      <w:r w:rsidR="00AA42CA">
        <w:t xml:space="preserve">to the operator or person </w:t>
      </w:r>
      <w:r>
        <w:t xml:space="preserve">by </w:t>
      </w:r>
      <w:r w:rsidR="001B6FC9">
        <w:t>an APS employee in the</w:t>
      </w:r>
      <w:r>
        <w:t xml:space="preserve"> Australian Border Force under section 7.</w:t>
      </w:r>
    </w:p>
    <w:p w:rsidR="003D36A2" w:rsidRPr="00EF7AF2" w:rsidRDefault="003D36A2" w:rsidP="00A178B4">
      <w:pPr>
        <w:pStyle w:val="ActHead5"/>
      </w:pPr>
      <w:bookmarkStart w:id="13" w:name="_Toc36027208"/>
      <w:r w:rsidRPr="00545555">
        <w:rPr>
          <w:rStyle w:val="CharSectno"/>
        </w:rPr>
        <w:t>6</w:t>
      </w:r>
      <w:r w:rsidRPr="00EF7AF2">
        <w:t xml:space="preserve">  Exemptions—general</w:t>
      </w:r>
      <w:bookmarkEnd w:id="13"/>
    </w:p>
    <w:p w:rsidR="003D36A2" w:rsidRDefault="003D36A2" w:rsidP="003D36A2">
      <w:pPr>
        <w:pStyle w:val="subsection"/>
      </w:pPr>
      <w:r>
        <w:tab/>
      </w:r>
      <w:r>
        <w:tab/>
        <w:t>An exemption from the requirements of section 5 applies to the following persons:</w:t>
      </w:r>
    </w:p>
    <w:p w:rsidR="003D36A2" w:rsidRDefault="003D36A2" w:rsidP="003D36A2">
      <w:pPr>
        <w:pStyle w:val="paragraph"/>
      </w:pPr>
      <w:r>
        <w:tab/>
        <w:t>(a)</w:t>
      </w:r>
      <w:r>
        <w:tab/>
        <w:t>a person ordinarily resident in a country other than Australia;</w:t>
      </w:r>
    </w:p>
    <w:p w:rsidR="00C95818" w:rsidRDefault="00C95818" w:rsidP="003D36A2">
      <w:pPr>
        <w:pStyle w:val="paragraph"/>
      </w:pPr>
      <w:r>
        <w:tab/>
        <w:t>(b)</w:t>
      </w:r>
      <w:r>
        <w:tab/>
        <w:t>a person who is member of the crew of an a</w:t>
      </w:r>
      <w:r w:rsidR="00EB6005">
        <w:t>ircraft or vessel (other than the</w:t>
      </w:r>
      <w:r>
        <w:t xml:space="preserve"> outgoing aircraft or vessel) or is a worker associated with the safety or maintenance of </w:t>
      </w:r>
      <w:r w:rsidR="00411BED">
        <w:t>an</w:t>
      </w:r>
      <w:r>
        <w:t xml:space="preserve"> aircraft or vessel</w:t>
      </w:r>
      <w:r w:rsidR="00EB6005">
        <w:t xml:space="preserve"> (other than the outgoing aircraft or vessel)</w:t>
      </w:r>
      <w:r>
        <w:t>;</w:t>
      </w:r>
    </w:p>
    <w:p w:rsidR="003D36A2" w:rsidRDefault="003D36A2" w:rsidP="003D36A2">
      <w:pPr>
        <w:pStyle w:val="paragraph"/>
      </w:pPr>
      <w:r>
        <w:tab/>
        <w:t>(</w:t>
      </w:r>
      <w:r w:rsidR="00C95818">
        <w:t>c</w:t>
      </w:r>
      <w:r>
        <w:t>)</w:t>
      </w:r>
      <w:r>
        <w:tab/>
        <w:t>a person engaged in the day</w:t>
      </w:r>
      <w:r w:rsidR="00EB6005">
        <w:t>-</w:t>
      </w:r>
      <w:r>
        <w:t>to</w:t>
      </w:r>
      <w:r w:rsidR="00EB6005">
        <w:t>-</w:t>
      </w:r>
      <w:r>
        <w:t>day conduct of inbound and outbound freight;</w:t>
      </w:r>
    </w:p>
    <w:p w:rsidR="003D36A2" w:rsidRDefault="003D36A2" w:rsidP="003D36A2">
      <w:pPr>
        <w:pStyle w:val="paragraph"/>
      </w:pPr>
      <w:r>
        <w:tab/>
        <w:t>(</w:t>
      </w:r>
      <w:r w:rsidR="00C95818">
        <w:t>d)</w:t>
      </w:r>
      <w:r>
        <w:tab/>
        <w:t>a person whose travel is associated with essential work at an offshore facility;</w:t>
      </w:r>
    </w:p>
    <w:p w:rsidR="003D36A2" w:rsidRPr="003D36A2" w:rsidRDefault="00AA42CA" w:rsidP="003D36A2">
      <w:pPr>
        <w:pStyle w:val="paragraph"/>
      </w:pPr>
      <w:r>
        <w:tab/>
        <w:t>(</w:t>
      </w:r>
      <w:r w:rsidR="00C95818">
        <w:t>e</w:t>
      </w:r>
      <w:r w:rsidR="003D36A2">
        <w:t>)</w:t>
      </w:r>
      <w:r w:rsidR="003D36A2">
        <w:tab/>
        <w:t>a person who is travelling on official government business (including a member of the Australian Defence Force).</w:t>
      </w:r>
    </w:p>
    <w:p w:rsidR="00284601" w:rsidRDefault="003D36A2" w:rsidP="00A178B4">
      <w:pPr>
        <w:pStyle w:val="ActHead5"/>
      </w:pPr>
      <w:bookmarkStart w:id="14" w:name="_Toc36027209"/>
      <w:r w:rsidRPr="00545555">
        <w:rPr>
          <w:rStyle w:val="CharSectno"/>
        </w:rPr>
        <w:t>7</w:t>
      </w:r>
      <w:r w:rsidR="00A178B4">
        <w:t xml:space="preserve">  Exemptions</w:t>
      </w:r>
      <w:r>
        <w:t xml:space="preserve">—granted by </w:t>
      </w:r>
      <w:r w:rsidR="001B6FC9">
        <w:t xml:space="preserve">an APS employee </w:t>
      </w:r>
      <w:r w:rsidR="00C95818">
        <w:t>in</w:t>
      </w:r>
      <w:r w:rsidR="001B6FC9">
        <w:t xml:space="preserve"> the</w:t>
      </w:r>
      <w:r>
        <w:t xml:space="preserve"> Aust</w:t>
      </w:r>
      <w:r w:rsidR="001B6FC9">
        <w:t>ralian Border Force</w:t>
      </w:r>
      <w:bookmarkEnd w:id="14"/>
    </w:p>
    <w:p w:rsidR="00A178B4" w:rsidRDefault="00A178B4" w:rsidP="00A178B4">
      <w:pPr>
        <w:pStyle w:val="subsection"/>
      </w:pPr>
      <w:r>
        <w:tab/>
      </w:r>
      <w:r w:rsidR="000C4773">
        <w:t>(1)</w:t>
      </w:r>
      <w:r>
        <w:tab/>
      </w:r>
      <w:r w:rsidR="00BB7163">
        <w:t xml:space="preserve">In exceptional circumstances, </w:t>
      </w:r>
      <w:r w:rsidR="001B6FC9">
        <w:t xml:space="preserve">an APS employee </w:t>
      </w:r>
      <w:r w:rsidR="00C95818">
        <w:t>in</w:t>
      </w:r>
      <w:r w:rsidR="001B6FC9">
        <w:t xml:space="preserve"> the</w:t>
      </w:r>
      <w:r>
        <w:t xml:space="preserve"> Australian Border Force </w:t>
      </w:r>
      <w:r w:rsidR="001B6FC9">
        <w:t xml:space="preserve">may </w:t>
      </w:r>
      <w:r>
        <w:t>grant an exemption</w:t>
      </w:r>
      <w:r w:rsidR="000C4773">
        <w:t xml:space="preserve"> </w:t>
      </w:r>
      <w:r>
        <w:t>to:</w:t>
      </w:r>
    </w:p>
    <w:p w:rsidR="00A178B4" w:rsidRDefault="00A178B4" w:rsidP="00A178B4">
      <w:pPr>
        <w:pStyle w:val="paragraph"/>
      </w:pPr>
      <w:r>
        <w:tab/>
        <w:t>(a)</w:t>
      </w:r>
      <w:r>
        <w:tab/>
        <w:t>an Australian citizen; or</w:t>
      </w:r>
    </w:p>
    <w:p w:rsidR="00A178B4" w:rsidRDefault="00A178B4" w:rsidP="00A178B4">
      <w:pPr>
        <w:pStyle w:val="paragraph"/>
      </w:pPr>
      <w:r>
        <w:tab/>
        <w:t>(b)</w:t>
      </w:r>
      <w:r>
        <w:tab/>
        <w:t>a permanent resident</w:t>
      </w:r>
      <w:r w:rsidR="000C4773">
        <w:t>;</w:t>
      </w:r>
      <w:r>
        <w:t xml:space="preserve"> or</w:t>
      </w:r>
    </w:p>
    <w:p w:rsidR="00BB7163" w:rsidRDefault="00A178B4" w:rsidP="00A178B4">
      <w:pPr>
        <w:pStyle w:val="paragraph"/>
      </w:pPr>
      <w:r>
        <w:tab/>
        <w:t>(c)</w:t>
      </w:r>
      <w:r>
        <w:tab/>
        <w:t>an operator of an outgoing aircraft or vessel</w:t>
      </w:r>
      <w:r w:rsidR="00BB7163">
        <w:t>.</w:t>
      </w:r>
    </w:p>
    <w:p w:rsidR="00A178B4" w:rsidRDefault="00BB7163" w:rsidP="00BB7163">
      <w:pPr>
        <w:pStyle w:val="subsection"/>
      </w:pPr>
      <w:r>
        <w:tab/>
        <w:t>(2)</w:t>
      </w:r>
      <w:r>
        <w:tab/>
        <w:t xml:space="preserve">For the purposes of subsection (1), exceptional circumstances are demonstrated by </w:t>
      </w:r>
      <w:r w:rsidR="00A178B4">
        <w:t>the Australian citizen, permanent resident or operator</w:t>
      </w:r>
      <w:r>
        <w:t xml:space="preserve"> providing a</w:t>
      </w:r>
      <w:r w:rsidR="00A178B4">
        <w:t xml:space="preserve"> compelling reason</w:t>
      </w:r>
      <w:r>
        <w:t xml:space="preserve"> for needing to leave Australian territory</w:t>
      </w:r>
      <w:r w:rsidR="00A178B4">
        <w:t>.</w:t>
      </w:r>
    </w:p>
    <w:p w:rsidR="000C4773" w:rsidRDefault="00BB7163" w:rsidP="000C4773">
      <w:pPr>
        <w:pStyle w:val="subsection"/>
      </w:pPr>
      <w:r>
        <w:lastRenderedPageBreak/>
        <w:tab/>
        <w:t>(3</w:t>
      </w:r>
      <w:r w:rsidR="000C4773">
        <w:t>)</w:t>
      </w:r>
      <w:r w:rsidR="000C4773">
        <w:tab/>
        <w:t>An exemption made under subsection (1) must be in writing.</w:t>
      </w:r>
    </w:p>
    <w:p w:rsidR="000C4773" w:rsidRDefault="000C4773">
      <w:pPr>
        <w:pStyle w:val="subsection"/>
      </w:pPr>
      <w:r>
        <w:tab/>
        <w:t>(</w:t>
      </w:r>
      <w:r w:rsidR="00BB7163">
        <w:t>4</w:t>
      </w:r>
      <w:r>
        <w:t>)</w:t>
      </w:r>
      <w:r>
        <w:tab/>
        <w:t>An exemption made under subsection (1) is not a legislative instrument.</w:t>
      </w:r>
    </w:p>
    <w:sectPr w:rsidR="000C4773" w:rsidSect="00B805F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CD" w:rsidRDefault="000A60CD" w:rsidP="00715914">
      <w:pPr>
        <w:spacing w:line="240" w:lineRule="auto"/>
      </w:pPr>
      <w:r>
        <w:separator/>
      </w:r>
    </w:p>
  </w:endnote>
  <w:endnote w:type="continuationSeparator" w:id="0">
    <w:p w:rsidR="000A60CD" w:rsidRDefault="000A60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2" w:rsidRPr="00B805F2" w:rsidRDefault="00B805F2" w:rsidP="00B805F2">
    <w:pPr>
      <w:pStyle w:val="Footer"/>
      <w:rPr>
        <w:i/>
        <w:sz w:val="18"/>
      </w:rPr>
    </w:pPr>
    <w:r w:rsidRPr="00B805F2">
      <w:rPr>
        <w:i/>
        <w:sz w:val="18"/>
      </w:rPr>
      <w:t>OPC64532 -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B805F2" w:rsidRDefault="00B805F2" w:rsidP="00B805F2">
    <w:pPr>
      <w:pStyle w:val="Footer"/>
      <w:rPr>
        <w:i/>
        <w:sz w:val="18"/>
      </w:rPr>
    </w:pPr>
    <w:r w:rsidRPr="00B805F2">
      <w:rPr>
        <w:i/>
        <w:sz w:val="18"/>
      </w:rPr>
      <w:t>OPC64532 -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B805F2" w:rsidRDefault="00B805F2" w:rsidP="00B805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05F2">
      <w:rPr>
        <w:i/>
        <w:sz w:val="18"/>
      </w:rPr>
      <w:t>OPC64532 -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455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34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7340">
            <w:rPr>
              <w:i/>
              <w:sz w:val="18"/>
            </w:rPr>
            <w:t>Biosecurity (Human Biosecurity Emergency) (Human Coronavirus with Pandemic Potential) (Overseas Travel Ban 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805F2" w:rsidRDefault="00B805F2" w:rsidP="00B805F2">
    <w:pPr>
      <w:rPr>
        <w:rFonts w:cs="Times New Roman"/>
        <w:i/>
        <w:sz w:val="18"/>
      </w:rPr>
    </w:pPr>
    <w:r w:rsidRPr="00B805F2">
      <w:rPr>
        <w:rFonts w:cs="Times New Roman"/>
        <w:i/>
        <w:sz w:val="18"/>
      </w:rPr>
      <w:t>OPC64532 -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7340">
            <w:rPr>
              <w:i/>
              <w:sz w:val="18"/>
            </w:rPr>
            <w:t>Biosecurity (Human Biosecurity Emergency) (Human Coronavirus with Pandemic Potential) (Overseas Travel Ban 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3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805F2" w:rsidRDefault="00B805F2" w:rsidP="00B805F2">
    <w:pPr>
      <w:rPr>
        <w:rFonts w:cs="Times New Roman"/>
        <w:i/>
        <w:sz w:val="18"/>
      </w:rPr>
    </w:pPr>
    <w:r w:rsidRPr="00B805F2">
      <w:rPr>
        <w:rFonts w:cs="Times New Roman"/>
        <w:i/>
        <w:sz w:val="18"/>
      </w:rPr>
      <w:t>OPC64532 -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455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34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7340">
            <w:rPr>
              <w:i/>
              <w:sz w:val="18"/>
            </w:rPr>
            <w:t>Biosecurity (Human Biosecurity Emergency) (Human Coronavirus with Pandemic Potential) (Overseas Travel Ban 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805F2" w:rsidRDefault="00B805F2" w:rsidP="00B805F2">
    <w:pPr>
      <w:rPr>
        <w:rFonts w:cs="Times New Roman"/>
        <w:i/>
        <w:sz w:val="18"/>
      </w:rPr>
    </w:pPr>
    <w:r w:rsidRPr="00B805F2">
      <w:rPr>
        <w:rFonts w:cs="Times New Roman"/>
        <w:i/>
        <w:sz w:val="18"/>
      </w:rPr>
      <w:t>OPC64532 -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7340">
            <w:rPr>
              <w:i/>
              <w:sz w:val="18"/>
            </w:rPr>
            <w:t>Biosecurity (Human Biosecurity Emergency) (Human Coronavirus with Pandemic Potential) (Overseas Travel Ban 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3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B805F2" w:rsidRDefault="00B805F2" w:rsidP="00B805F2">
    <w:pPr>
      <w:rPr>
        <w:rFonts w:cs="Times New Roman"/>
        <w:i/>
        <w:sz w:val="18"/>
      </w:rPr>
    </w:pPr>
    <w:r w:rsidRPr="00B805F2">
      <w:rPr>
        <w:rFonts w:cs="Times New Roman"/>
        <w:i/>
        <w:sz w:val="18"/>
      </w:rPr>
      <w:t>OPC64532 -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7340">
            <w:rPr>
              <w:i/>
              <w:sz w:val="18"/>
            </w:rPr>
            <w:t>Biosecurity (Human Biosecurity Emergency) (Human Coronavirus with Pandemic Potential) (Overseas Travel Ban 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34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805F2" w:rsidRDefault="00B805F2" w:rsidP="00B805F2">
    <w:pPr>
      <w:rPr>
        <w:rFonts w:cs="Times New Roman"/>
        <w:i/>
        <w:sz w:val="18"/>
      </w:rPr>
    </w:pPr>
    <w:r w:rsidRPr="00B805F2">
      <w:rPr>
        <w:rFonts w:cs="Times New Roman"/>
        <w:i/>
        <w:sz w:val="18"/>
      </w:rPr>
      <w:t>OPC64532 -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CD" w:rsidRDefault="000A60CD" w:rsidP="00715914">
      <w:pPr>
        <w:spacing w:line="240" w:lineRule="auto"/>
      </w:pPr>
      <w:r>
        <w:separator/>
      </w:r>
    </w:p>
  </w:footnote>
  <w:footnote w:type="continuationSeparator" w:id="0">
    <w:p w:rsidR="000A60CD" w:rsidRDefault="000A60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147340">
      <w:rPr>
        <w:b/>
        <w:sz w:val="20"/>
      </w:rPr>
      <w:fldChar w:fldCharType="separate"/>
    </w:r>
    <w:r w:rsidR="0014734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147340">
      <w:rPr>
        <w:sz w:val="20"/>
      </w:rPr>
      <w:fldChar w:fldCharType="separate"/>
    </w:r>
    <w:r w:rsidR="00147340">
      <w:rPr>
        <w:noProof/>
        <w:sz w:val="20"/>
      </w:rPr>
      <w:t>Requirements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4734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47340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147340">
      <w:rPr>
        <w:sz w:val="20"/>
      </w:rPr>
      <w:fldChar w:fldCharType="separate"/>
    </w:r>
    <w:r w:rsidR="00147340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147340">
      <w:rPr>
        <w:b/>
        <w:sz w:val="20"/>
      </w:rPr>
      <w:fldChar w:fldCharType="separate"/>
    </w:r>
    <w:r w:rsidR="00147340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4734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4734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CD"/>
    <w:rsid w:val="00004470"/>
    <w:rsid w:val="000136AF"/>
    <w:rsid w:val="000437C1"/>
    <w:rsid w:val="00050161"/>
    <w:rsid w:val="0005365D"/>
    <w:rsid w:val="000614BF"/>
    <w:rsid w:val="000A2BDB"/>
    <w:rsid w:val="000A60CD"/>
    <w:rsid w:val="000B58FA"/>
    <w:rsid w:val="000B7E30"/>
    <w:rsid w:val="000C4773"/>
    <w:rsid w:val="000D05EF"/>
    <w:rsid w:val="000E2261"/>
    <w:rsid w:val="000F21C1"/>
    <w:rsid w:val="0010745C"/>
    <w:rsid w:val="00132CEB"/>
    <w:rsid w:val="00142B62"/>
    <w:rsid w:val="0014539C"/>
    <w:rsid w:val="00147340"/>
    <w:rsid w:val="00153893"/>
    <w:rsid w:val="00157B8B"/>
    <w:rsid w:val="00166C2F"/>
    <w:rsid w:val="001809D7"/>
    <w:rsid w:val="001939E1"/>
    <w:rsid w:val="00194C3E"/>
    <w:rsid w:val="00195382"/>
    <w:rsid w:val="001B6FC9"/>
    <w:rsid w:val="001C61C5"/>
    <w:rsid w:val="001C69C4"/>
    <w:rsid w:val="001D37EF"/>
    <w:rsid w:val="001D491A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601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36A2"/>
    <w:rsid w:val="003D5700"/>
    <w:rsid w:val="003E26A7"/>
    <w:rsid w:val="003E341B"/>
    <w:rsid w:val="004116CD"/>
    <w:rsid w:val="00411BE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5555"/>
    <w:rsid w:val="00554954"/>
    <w:rsid w:val="005574D1"/>
    <w:rsid w:val="00584811"/>
    <w:rsid w:val="00585784"/>
    <w:rsid w:val="00593AA6"/>
    <w:rsid w:val="00594161"/>
    <w:rsid w:val="00594749"/>
    <w:rsid w:val="005A6364"/>
    <w:rsid w:val="005B4067"/>
    <w:rsid w:val="005C1524"/>
    <w:rsid w:val="005C3F41"/>
    <w:rsid w:val="005D052C"/>
    <w:rsid w:val="005D2D09"/>
    <w:rsid w:val="005E72E5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B3B"/>
    <w:rsid w:val="00731E00"/>
    <w:rsid w:val="007440B7"/>
    <w:rsid w:val="007500C8"/>
    <w:rsid w:val="00751D0D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5685"/>
    <w:rsid w:val="00807626"/>
    <w:rsid w:val="008117E9"/>
    <w:rsid w:val="00824498"/>
    <w:rsid w:val="0083645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6B22"/>
    <w:rsid w:val="009D2674"/>
    <w:rsid w:val="009E5CFC"/>
    <w:rsid w:val="009E7C54"/>
    <w:rsid w:val="00A01D7A"/>
    <w:rsid w:val="00A079CB"/>
    <w:rsid w:val="00A12128"/>
    <w:rsid w:val="00A178B4"/>
    <w:rsid w:val="00A22C98"/>
    <w:rsid w:val="00A231E2"/>
    <w:rsid w:val="00A64912"/>
    <w:rsid w:val="00A70A74"/>
    <w:rsid w:val="00AA42CA"/>
    <w:rsid w:val="00AC770F"/>
    <w:rsid w:val="00AD0D8D"/>
    <w:rsid w:val="00AD4050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05F2"/>
    <w:rsid w:val="00B83204"/>
    <w:rsid w:val="00BA0C87"/>
    <w:rsid w:val="00BA220B"/>
    <w:rsid w:val="00BA3A57"/>
    <w:rsid w:val="00BA691F"/>
    <w:rsid w:val="00BB4E1A"/>
    <w:rsid w:val="00BB7163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95818"/>
    <w:rsid w:val="00CA6697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1212E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562D"/>
    <w:rsid w:val="00EB6005"/>
    <w:rsid w:val="00EB6AD0"/>
    <w:rsid w:val="00ED2BB6"/>
    <w:rsid w:val="00ED34E1"/>
    <w:rsid w:val="00ED3B8D"/>
    <w:rsid w:val="00ED659C"/>
    <w:rsid w:val="00EF2E3A"/>
    <w:rsid w:val="00EF7AF2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uiPriority w:val="1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uiPriority w:val="1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FCE2-3813-4A1A-A9E6-9EDF3E66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799</Words>
  <Characters>4070</Characters>
  <Application>Microsoft Office Word</Application>
  <DocSecurity>0</DocSecurity>
  <PresentationFormat/>
  <Lines>123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(Human Biosecurity Emergency) (Human Coronavirus with Pandemic Potential) (Overseas Travel Ban Emergency Requirements) Determination 2020</vt:lpstr>
    </vt:vector>
  </TitlesOfParts>
  <Manager/>
  <Company/>
  <LinksUpToDate>false</LinksUpToDate>
  <CharactersWithSpaces>4783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2020-03-25T00:48:00Z</dcterms:created>
  <dcterms:modified xsi:type="dcterms:W3CDTF">2020-03-25T00:48:00Z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(Overseas Travel Ban Emergency Requirements) Determination 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OPC64532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25 March 2020</vt:lpwstr>
  </property>
</Properties>
</file>