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1C818" w14:textId="77777777" w:rsidR="007C2D22" w:rsidRPr="0093176F" w:rsidRDefault="007C2D22" w:rsidP="0093176F">
      <w:pPr>
        <w:autoSpaceDE w:val="0"/>
        <w:autoSpaceDN w:val="0"/>
        <w:adjustRightInd w:val="0"/>
        <w:spacing w:before="240" w:after="240" w:line="276" w:lineRule="auto"/>
        <w:jc w:val="center"/>
        <w:rPr>
          <w:sz w:val="22"/>
          <w:szCs w:val="22"/>
          <w:u w:val="single"/>
        </w:rPr>
      </w:pPr>
      <w:bookmarkStart w:id="0" w:name="_GoBack"/>
      <w:bookmarkEnd w:id="0"/>
      <w:r w:rsidRPr="0093176F">
        <w:rPr>
          <w:sz w:val="22"/>
          <w:szCs w:val="22"/>
          <w:u w:val="single"/>
        </w:rPr>
        <w:t>EXPLANATORY STATEMENT</w:t>
      </w:r>
    </w:p>
    <w:p w14:paraId="7EC61C0E" w14:textId="77777777" w:rsidR="0093176F" w:rsidRPr="00EB6217" w:rsidRDefault="0093176F" w:rsidP="0093176F">
      <w:pPr>
        <w:autoSpaceDE w:val="0"/>
        <w:autoSpaceDN w:val="0"/>
        <w:adjustRightInd w:val="0"/>
        <w:spacing w:before="240" w:after="240" w:line="276" w:lineRule="auto"/>
        <w:jc w:val="center"/>
        <w:rPr>
          <w:i/>
          <w:sz w:val="22"/>
          <w:szCs w:val="22"/>
        </w:rPr>
      </w:pPr>
      <w:r w:rsidRPr="00EB6217">
        <w:rPr>
          <w:sz w:val="22"/>
          <w:szCs w:val="22"/>
        </w:rPr>
        <w:t>Issued by the Authority of the Australian Fisheries Management Authority</w:t>
      </w:r>
    </w:p>
    <w:p w14:paraId="112F2F0A" w14:textId="77777777" w:rsidR="0093176F" w:rsidRPr="00EB6217" w:rsidRDefault="0093176F" w:rsidP="0093176F">
      <w:pPr>
        <w:autoSpaceDE w:val="0"/>
        <w:autoSpaceDN w:val="0"/>
        <w:adjustRightInd w:val="0"/>
        <w:spacing w:before="240" w:after="240" w:line="276" w:lineRule="auto"/>
        <w:jc w:val="center"/>
        <w:rPr>
          <w:i/>
          <w:iCs/>
          <w:sz w:val="22"/>
          <w:szCs w:val="22"/>
        </w:rPr>
      </w:pPr>
      <w:r w:rsidRPr="00EB6217">
        <w:rPr>
          <w:i/>
          <w:iCs/>
          <w:sz w:val="22"/>
          <w:szCs w:val="22"/>
        </w:rPr>
        <w:t>Fisheries Management Act 1991</w:t>
      </w:r>
      <w:r>
        <w:rPr>
          <w:i/>
          <w:iCs/>
          <w:sz w:val="22"/>
          <w:szCs w:val="22"/>
        </w:rPr>
        <w:br/>
      </w:r>
      <w:r w:rsidRPr="00EB6217">
        <w:rPr>
          <w:i/>
          <w:iCs/>
          <w:sz w:val="22"/>
          <w:szCs w:val="22"/>
        </w:rPr>
        <w:t>Small Pelagic Fishery Management Plan 2009</w:t>
      </w:r>
    </w:p>
    <w:p w14:paraId="5A2C401D" w14:textId="147D88A3" w:rsidR="00EB6217" w:rsidRPr="0093176F" w:rsidRDefault="00EB6217" w:rsidP="0093176F">
      <w:pPr>
        <w:spacing w:before="360" w:after="480" w:line="276" w:lineRule="auto"/>
        <w:jc w:val="center"/>
        <w:rPr>
          <w:b/>
          <w:i/>
          <w:snapToGrid w:val="0"/>
          <w:kern w:val="20"/>
          <w:sz w:val="22"/>
          <w:szCs w:val="22"/>
          <w:lang w:val="en-AU"/>
        </w:rPr>
      </w:pPr>
      <w:r w:rsidRPr="0093176F">
        <w:rPr>
          <w:b/>
          <w:i/>
          <w:snapToGrid w:val="0"/>
          <w:kern w:val="20"/>
          <w:sz w:val="22"/>
          <w:szCs w:val="22"/>
          <w:lang w:val="en-AU"/>
        </w:rPr>
        <w:t>Small Pelagic Fishery (</w:t>
      </w:r>
      <w:proofErr w:type="spellStart"/>
      <w:r w:rsidRPr="0093176F">
        <w:rPr>
          <w:b/>
          <w:i/>
          <w:snapToGrid w:val="0"/>
          <w:kern w:val="20"/>
          <w:sz w:val="22"/>
          <w:szCs w:val="22"/>
          <w:lang w:val="en-AU"/>
        </w:rPr>
        <w:t>Overcatch</w:t>
      </w:r>
      <w:proofErr w:type="spellEnd"/>
      <w:r w:rsidRPr="0093176F">
        <w:rPr>
          <w:b/>
          <w:i/>
          <w:snapToGrid w:val="0"/>
          <w:kern w:val="20"/>
          <w:sz w:val="22"/>
          <w:szCs w:val="22"/>
          <w:lang w:val="en-AU"/>
        </w:rPr>
        <w:t xml:space="preserve"> and </w:t>
      </w:r>
      <w:proofErr w:type="spellStart"/>
      <w:r w:rsidRPr="0093176F">
        <w:rPr>
          <w:b/>
          <w:i/>
          <w:snapToGrid w:val="0"/>
          <w:kern w:val="20"/>
          <w:sz w:val="22"/>
          <w:szCs w:val="22"/>
          <w:lang w:val="en-AU"/>
        </w:rPr>
        <w:t>Undercatch</w:t>
      </w:r>
      <w:proofErr w:type="spellEnd"/>
      <w:r w:rsidRPr="0093176F">
        <w:rPr>
          <w:b/>
          <w:i/>
          <w:snapToGrid w:val="0"/>
          <w:kern w:val="20"/>
          <w:sz w:val="22"/>
          <w:szCs w:val="22"/>
          <w:lang w:val="en-AU"/>
        </w:rPr>
        <w:t>) Determination 20</w:t>
      </w:r>
      <w:r w:rsidR="00A31230">
        <w:rPr>
          <w:b/>
          <w:i/>
          <w:snapToGrid w:val="0"/>
          <w:kern w:val="20"/>
          <w:sz w:val="22"/>
          <w:szCs w:val="22"/>
          <w:lang w:val="en-AU"/>
        </w:rPr>
        <w:t>20</w:t>
      </w:r>
    </w:p>
    <w:p w14:paraId="6EA47C30" w14:textId="77777777" w:rsidR="00AD73BA" w:rsidRPr="00EB6217" w:rsidRDefault="00AD73BA" w:rsidP="0093176F">
      <w:pPr>
        <w:numPr>
          <w:ilvl w:val="12"/>
          <w:numId w:val="0"/>
        </w:numPr>
        <w:spacing w:before="240" w:after="240" w:line="276" w:lineRule="auto"/>
        <w:jc w:val="both"/>
        <w:rPr>
          <w:sz w:val="22"/>
          <w:szCs w:val="22"/>
          <w:lang w:val="en-AU"/>
        </w:rPr>
      </w:pPr>
      <w:r w:rsidRPr="00EB6217">
        <w:rPr>
          <w:sz w:val="22"/>
          <w:szCs w:val="22"/>
          <w:lang w:val="en-AU"/>
        </w:rPr>
        <w:t xml:space="preserve">Section 17 of the </w:t>
      </w:r>
      <w:r w:rsidRPr="00EB6217">
        <w:rPr>
          <w:i/>
          <w:sz w:val="22"/>
          <w:szCs w:val="22"/>
          <w:lang w:val="en-AU"/>
        </w:rPr>
        <w:t>Fisheries Management Act 1991</w:t>
      </w:r>
      <w:r w:rsidRPr="00EB6217">
        <w:rPr>
          <w:sz w:val="22"/>
          <w:szCs w:val="22"/>
          <w:lang w:val="en-AU"/>
        </w:rPr>
        <w:t xml:space="preserve"> (the Act) provides for the Australian Fisheries Management Authority (the Authority) to determine plans of management for a fishery.</w:t>
      </w:r>
    </w:p>
    <w:p w14:paraId="373D2D9B" w14:textId="77777777" w:rsidR="000A1256" w:rsidRPr="00EB6217" w:rsidRDefault="00AD73BA" w:rsidP="0093176F">
      <w:pPr>
        <w:numPr>
          <w:ilvl w:val="12"/>
          <w:numId w:val="0"/>
        </w:numPr>
        <w:spacing w:before="240" w:after="240" w:line="276" w:lineRule="auto"/>
        <w:jc w:val="both"/>
        <w:rPr>
          <w:sz w:val="22"/>
          <w:szCs w:val="22"/>
          <w:lang w:val="en-AU"/>
        </w:rPr>
      </w:pPr>
      <w:r w:rsidRPr="00EB6217">
        <w:rPr>
          <w:sz w:val="22"/>
          <w:szCs w:val="22"/>
          <w:lang w:val="en-AU"/>
        </w:rPr>
        <w:t>Paragraph 17(6)</w:t>
      </w:r>
      <w:r w:rsidR="0093176F">
        <w:rPr>
          <w:sz w:val="22"/>
          <w:szCs w:val="22"/>
          <w:lang w:val="en-AU"/>
        </w:rPr>
        <w:t>(aa)</w:t>
      </w:r>
      <w:r w:rsidRPr="00EB6217">
        <w:rPr>
          <w:sz w:val="22"/>
          <w:szCs w:val="22"/>
          <w:lang w:val="en-AU"/>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p>
    <w:p w14:paraId="410B6A00" w14:textId="2EEF8CE3"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29 of the </w:t>
      </w:r>
      <w:r w:rsidRPr="00EB6217">
        <w:rPr>
          <w:i/>
          <w:color w:val="000000"/>
          <w:sz w:val="22"/>
          <w:szCs w:val="22"/>
        </w:rPr>
        <w:t xml:space="preserve">Small Pelagic Fishery Management Plan 2009 </w:t>
      </w:r>
      <w:r w:rsidRPr="00EB6217">
        <w:rPr>
          <w:color w:val="000000"/>
          <w:sz w:val="22"/>
          <w:szCs w:val="22"/>
        </w:rPr>
        <w:t xml:space="preserve">(the </w:t>
      </w:r>
      <w:r w:rsidR="0093176F">
        <w:rPr>
          <w:color w:val="000000"/>
          <w:sz w:val="22"/>
          <w:szCs w:val="22"/>
        </w:rPr>
        <w:t xml:space="preserve">Management </w:t>
      </w:r>
      <w:r w:rsidRPr="00EB6217">
        <w:rPr>
          <w:color w:val="000000"/>
          <w:sz w:val="22"/>
          <w:szCs w:val="22"/>
        </w:rPr>
        <w:t xml:space="preserve">Plan) provides that the Authority may determine percentages and weights for a quota species, for a sub-area of the </w:t>
      </w:r>
      <w:r w:rsidR="002172DB">
        <w:rPr>
          <w:color w:val="000000"/>
          <w:sz w:val="22"/>
          <w:szCs w:val="22"/>
        </w:rPr>
        <w:t>Small Pelagic Fishery (the F</w:t>
      </w:r>
      <w:r w:rsidRPr="00EB6217">
        <w:rPr>
          <w:color w:val="000000"/>
          <w:sz w:val="22"/>
          <w:szCs w:val="22"/>
        </w:rPr>
        <w:t>ishery</w:t>
      </w:r>
      <w:r w:rsidR="002172DB">
        <w:rPr>
          <w:color w:val="000000"/>
          <w:sz w:val="22"/>
          <w:szCs w:val="22"/>
        </w:rPr>
        <w:t>)</w:t>
      </w:r>
      <w:r w:rsidRPr="00EB6217">
        <w:rPr>
          <w:color w:val="000000"/>
          <w:sz w:val="22"/>
          <w:szCs w:val="22"/>
        </w:rPr>
        <w:t xml:space="preserve"> for a fishing season. These provisions concern the calculation of </w:t>
      </w:r>
      <w:proofErr w:type="spellStart"/>
      <w:r w:rsidRPr="00EB6217">
        <w:rPr>
          <w:color w:val="000000"/>
          <w:sz w:val="22"/>
          <w:szCs w:val="22"/>
        </w:rPr>
        <w:t>overcatch</w:t>
      </w:r>
      <w:proofErr w:type="spellEnd"/>
      <w:r w:rsidR="00F12626" w:rsidRPr="00EB6217">
        <w:rPr>
          <w:color w:val="000000"/>
          <w:sz w:val="22"/>
          <w:szCs w:val="22"/>
        </w:rPr>
        <w:t>.</w:t>
      </w:r>
    </w:p>
    <w:p w14:paraId="6DEE61E8" w14:textId="77777777" w:rsidR="00EC0E21" w:rsidRPr="00EB6217" w:rsidRDefault="00EC0E21"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Section 30 of the </w:t>
      </w:r>
      <w:r w:rsidR="0093176F">
        <w:rPr>
          <w:color w:val="000000"/>
          <w:sz w:val="22"/>
          <w:szCs w:val="22"/>
        </w:rPr>
        <w:t xml:space="preserve">Management </w:t>
      </w:r>
      <w:r w:rsidRPr="00EB6217">
        <w:rPr>
          <w:color w:val="000000"/>
          <w:sz w:val="22"/>
          <w:szCs w:val="22"/>
        </w:rPr>
        <w:t xml:space="preserve">Plan provides that the Authority may determine percentages for a quota species for a fishing season. These provisions concern the calculation of </w:t>
      </w:r>
      <w:proofErr w:type="spellStart"/>
      <w:r w:rsidRPr="00EB6217">
        <w:rPr>
          <w:color w:val="000000"/>
          <w:sz w:val="22"/>
          <w:szCs w:val="22"/>
        </w:rPr>
        <w:t>undercatch</w:t>
      </w:r>
      <w:proofErr w:type="spellEnd"/>
      <w:r w:rsidRPr="00EB6217">
        <w:rPr>
          <w:color w:val="000000"/>
          <w:sz w:val="22"/>
          <w:szCs w:val="22"/>
        </w:rPr>
        <w:t>.</w:t>
      </w:r>
    </w:p>
    <w:p w14:paraId="6D2EEE4D" w14:textId="1847B6BA" w:rsidR="00EC0E21" w:rsidRPr="00EB6217" w:rsidRDefault="00EC0E21" w:rsidP="0093176F">
      <w:pPr>
        <w:pStyle w:val="AFMANormal"/>
        <w:spacing w:after="240" w:line="276" w:lineRule="auto"/>
        <w:rPr>
          <w:sz w:val="22"/>
          <w:szCs w:val="22"/>
        </w:rPr>
      </w:pPr>
      <w:r w:rsidRPr="00EB6217">
        <w:rPr>
          <w:sz w:val="22"/>
          <w:szCs w:val="22"/>
        </w:rPr>
        <w:t xml:space="preserve">The </w:t>
      </w:r>
      <w:r w:rsidRPr="00EB6217">
        <w:rPr>
          <w:i/>
          <w:sz w:val="22"/>
          <w:szCs w:val="22"/>
        </w:rPr>
        <w:t xml:space="preserve">Small Pelagic Fishery </w:t>
      </w:r>
      <w:proofErr w:type="spellStart"/>
      <w:r w:rsidRPr="00EB6217">
        <w:rPr>
          <w:i/>
          <w:sz w:val="22"/>
          <w:szCs w:val="22"/>
        </w:rPr>
        <w:t>Overcatch</w:t>
      </w:r>
      <w:proofErr w:type="spellEnd"/>
      <w:r w:rsidRPr="00EB6217">
        <w:rPr>
          <w:i/>
          <w:sz w:val="22"/>
          <w:szCs w:val="22"/>
        </w:rPr>
        <w:t xml:space="preserve"> and </w:t>
      </w:r>
      <w:proofErr w:type="spellStart"/>
      <w:r w:rsidRPr="00EB6217">
        <w:rPr>
          <w:i/>
          <w:sz w:val="22"/>
          <w:szCs w:val="22"/>
        </w:rPr>
        <w:t>Undercatch</w:t>
      </w:r>
      <w:proofErr w:type="spellEnd"/>
      <w:r w:rsidRPr="00EB6217">
        <w:rPr>
          <w:i/>
          <w:sz w:val="22"/>
          <w:szCs w:val="22"/>
        </w:rPr>
        <w:t xml:space="preserve"> Determination</w:t>
      </w:r>
      <w:r w:rsidRPr="00EB6217">
        <w:rPr>
          <w:sz w:val="22"/>
          <w:szCs w:val="22"/>
        </w:rPr>
        <w:t xml:space="preserve"> </w:t>
      </w:r>
      <w:r w:rsidRPr="00EB6217">
        <w:rPr>
          <w:i/>
          <w:sz w:val="22"/>
          <w:szCs w:val="22"/>
        </w:rPr>
        <w:t>20</w:t>
      </w:r>
      <w:r w:rsidR="00A31230">
        <w:rPr>
          <w:i/>
          <w:sz w:val="22"/>
          <w:szCs w:val="22"/>
        </w:rPr>
        <w:t>20</w:t>
      </w:r>
      <w:r w:rsidRPr="00EB6217">
        <w:rPr>
          <w:sz w:val="22"/>
          <w:szCs w:val="22"/>
        </w:rPr>
        <w:t xml:space="preserve"> (the Determination) is a legislative instrument for the purposes of the </w:t>
      </w:r>
      <w:r w:rsidR="009A06D3" w:rsidRPr="00EB6217">
        <w:rPr>
          <w:i/>
          <w:sz w:val="22"/>
          <w:szCs w:val="22"/>
        </w:rPr>
        <w:t>Legislation</w:t>
      </w:r>
      <w:r w:rsidRPr="00EB6217">
        <w:rPr>
          <w:i/>
          <w:sz w:val="22"/>
          <w:szCs w:val="22"/>
        </w:rPr>
        <w:t xml:space="preserve"> Act 2003</w:t>
      </w:r>
      <w:r w:rsidRPr="00EB6217">
        <w:rPr>
          <w:sz w:val="22"/>
          <w:szCs w:val="22"/>
        </w:rPr>
        <w:t>.</w:t>
      </w:r>
    </w:p>
    <w:p w14:paraId="07D5AC52" w14:textId="21DFA3EC" w:rsidR="00D65A15" w:rsidRDefault="00EC0E21" w:rsidP="00FD27F4">
      <w:pPr>
        <w:spacing w:before="240" w:after="240" w:line="276" w:lineRule="auto"/>
        <w:jc w:val="both"/>
        <w:rPr>
          <w:color w:val="000000"/>
          <w:sz w:val="22"/>
          <w:szCs w:val="22"/>
        </w:rPr>
      </w:pPr>
      <w:r w:rsidRPr="00EB6217">
        <w:rPr>
          <w:color w:val="000000"/>
          <w:sz w:val="22"/>
          <w:szCs w:val="22"/>
        </w:rPr>
        <w:t xml:space="preserve">The Determination determines the </w:t>
      </w:r>
      <w:r w:rsidR="008E5C67">
        <w:rPr>
          <w:color w:val="000000"/>
          <w:sz w:val="22"/>
          <w:szCs w:val="22"/>
        </w:rPr>
        <w:t xml:space="preserve">percentage for </w:t>
      </w:r>
      <w:proofErr w:type="spellStart"/>
      <w:r w:rsidR="008E5C67">
        <w:rPr>
          <w:color w:val="000000"/>
          <w:sz w:val="22"/>
          <w:szCs w:val="22"/>
        </w:rPr>
        <w:t>undercatch</w:t>
      </w:r>
      <w:proofErr w:type="spellEnd"/>
      <w:r w:rsidR="008E5C67">
        <w:rPr>
          <w:color w:val="000000"/>
          <w:sz w:val="22"/>
          <w:szCs w:val="22"/>
        </w:rPr>
        <w:t xml:space="preserve">; and the </w:t>
      </w:r>
      <w:r w:rsidR="001006B9">
        <w:rPr>
          <w:color w:val="000000"/>
          <w:sz w:val="22"/>
          <w:szCs w:val="22"/>
        </w:rPr>
        <w:t>weight</w:t>
      </w:r>
      <w:r w:rsidRPr="00EB6217">
        <w:rPr>
          <w:color w:val="000000"/>
          <w:sz w:val="22"/>
          <w:szCs w:val="22"/>
        </w:rPr>
        <w:t xml:space="preserve"> and percentage</w:t>
      </w:r>
      <w:r w:rsidR="001006B9">
        <w:rPr>
          <w:color w:val="000000"/>
          <w:sz w:val="22"/>
          <w:szCs w:val="22"/>
        </w:rPr>
        <w:t xml:space="preserve"> for </w:t>
      </w:r>
      <w:proofErr w:type="spellStart"/>
      <w:r w:rsidR="001006B9">
        <w:rPr>
          <w:color w:val="000000"/>
          <w:sz w:val="22"/>
          <w:szCs w:val="22"/>
        </w:rPr>
        <w:t>overcatch</w:t>
      </w:r>
      <w:proofErr w:type="spellEnd"/>
      <w:r w:rsidR="00AE1867">
        <w:rPr>
          <w:color w:val="000000"/>
          <w:sz w:val="22"/>
          <w:szCs w:val="22"/>
        </w:rPr>
        <w:t>,</w:t>
      </w:r>
      <w:r w:rsidRPr="00EB6217">
        <w:rPr>
          <w:color w:val="000000"/>
          <w:sz w:val="22"/>
          <w:szCs w:val="22"/>
        </w:rPr>
        <w:t xml:space="preserve"> for each quota species for a sub-area for the </w:t>
      </w:r>
      <w:r w:rsidR="00D13B80" w:rsidRPr="00EB6217">
        <w:rPr>
          <w:color w:val="000000"/>
          <w:sz w:val="22"/>
          <w:szCs w:val="22"/>
        </w:rPr>
        <w:t>20</w:t>
      </w:r>
      <w:r w:rsidR="00A31230">
        <w:rPr>
          <w:color w:val="000000"/>
          <w:sz w:val="22"/>
          <w:szCs w:val="22"/>
        </w:rPr>
        <w:t>20</w:t>
      </w:r>
      <w:r w:rsidR="00DA0F67">
        <w:rPr>
          <w:color w:val="000000"/>
          <w:sz w:val="22"/>
          <w:szCs w:val="22"/>
        </w:rPr>
        <w:t>-2021</w:t>
      </w:r>
      <w:r w:rsidRPr="00EB6217">
        <w:rPr>
          <w:color w:val="000000"/>
          <w:sz w:val="22"/>
          <w:szCs w:val="22"/>
        </w:rPr>
        <w:t xml:space="preserve"> fishing </w:t>
      </w:r>
      <w:r w:rsidR="003368AE" w:rsidRPr="00EB6217">
        <w:rPr>
          <w:color w:val="000000"/>
          <w:sz w:val="22"/>
          <w:szCs w:val="22"/>
        </w:rPr>
        <w:t>season</w:t>
      </w:r>
      <w:r w:rsidR="001006B9">
        <w:rPr>
          <w:color w:val="000000"/>
          <w:sz w:val="22"/>
          <w:szCs w:val="22"/>
        </w:rPr>
        <w:t>, commencing 1 May 2020 ending 30 April 2021</w:t>
      </w:r>
      <w:r w:rsidRPr="00EB6217">
        <w:rPr>
          <w:color w:val="000000"/>
          <w:sz w:val="22"/>
          <w:szCs w:val="22"/>
        </w:rPr>
        <w:t xml:space="preserve">. </w:t>
      </w:r>
      <w:proofErr w:type="spellStart"/>
      <w:r w:rsidRPr="00EB6217">
        <w:rPr>
          <w:color w:val="000000"/>
          <w:sz w:val="22"/>
          <w:szCs w:val="22"/>
        </w:rPr>
        <w:t>Undercatch</w:t>
      </w:r>
      <w:proofErr w:type="spellEnd"/>
      <w:r w:rsidRPr="00EB6217">
        <w:rPr>
          <w:color w:val="000000"/>
          <w:sz w:val="22"/>
          <w:szCs w:val="22"/>
        </w:rPr>
        <w:t xml:space="preserve"> and </w:t>
      </w:r>
      <w:proofErr w:type="spellStart"/>
      <w:r w:rsidRPr="00EB6217">
        <w:rPr>
          <w:color w:val="000000"/>
          <w:sz w:val="22"/>
          <w:szCs w:val="22"/>
        </w:rPr>
        <w:t>overcatch</w:t>
      </w:r>
      <w:proofErr w:type="spellEnd"/>
      <w:r w:rsidRPr="00EB6217">
        <w:rPr>
          <w:color w:val="000000"/>
          <w:sz w:val="22"/>
          <w:szCs w:val="22"/>
        </w:rPr>
        <w:t xml:space="preserve"> provide for ‘carry over’ or ‘carry under’ of quota between fishing seasons thereby allowing fishers the flexibility to catch a certain amount of fish over or under their quota, and debit or credit this from</w:t>
      </w:r>
      <w:r w:rsidR="00CA70AC">
        <w:rPr>
          <w:color w:val="000000"/>
          <w:sz w:val="22"/>
          <w:szCs w:val="22"/>
        </w:rPr>
        <w:t xml:space="preserve"> or to</w:t>
      </w:r>
      <w:r w:rsidRPr="00EB6217">
        <w:rPr>
          <w:color w:val="000000"/>
          <w:sz w:val="22"/>
          <w:szCs w:val="22"/>
        </w:rPr>
        <w:t xml:space="preserve"> their next season’s fishing quota</w:t>
      </w:r>
      <w:r w:rsidR="00A630AC">
        <w:rPr>
          <w:color w:val="000000"/>
          <w:sz w:val="22"/>
          <w:szCs w:val="22"/>
        </w:rPr>
        <w:t xml:space="preserve">. </w:t>
      </w:r>
      <w:r w:rsidR="00084B4B">
        <w:rPr>
          <w:color w:val="000000"/>
          <w:sz w:val="22"/>
          <w:szCs w:val="22"/>
        </w:rPr>
        <w:t xml:space="preserve">If the </w:t>
      </w:r>
      <w:r w:rsidR="00AE1867">
        <w:rPr>
          <w:color w:val="000000"/>
          <w:sz w:val="22"/>
          <w:szCs w:val="22"/>
        </w:rPr>
        <w:t xml:space="preserve">determined </w:t>
      </w:r>
      <w:proofErr w:type="spellStart"/>
      <w:r w:rsidR="00A743E7">
        <w:rPr>
          <w:color w:val="000000"/>
          <w:sz w:val="22"/>
          <w:szCs w:val="22"/>
        </w:rPr>
        <w:t>overcatch</w:t>
      </w:r>
      <w:proofErr w:type="spellEnd"/>
      <w:r w:rsidR="00A743E7">
        <w:rPr>
          <w:color w:val="000000"/>
          <w:sz w:val="22"/>
          <w:szCs w:val="22"/>
        </w:rPr>
        <w:t xml:space="preserve"> percentage </w:t>
      </w:r>
      <w:r w:rsidR="00084B4B">
        <w:rPr>
          <w:color w:val="000000"/>
          <w:sz w:val="22"/>
          <w:szCs w:val="22"/>
        </w:rPr>
        <w:t>is exceeded</w:t>
      </w:r>
      <w:r w:rsidR="00A743E7">
        <w:rPr>
          <w:color w:val="000000"/>
          <w:sz w:val="22"/>
          <w:szCs w:val="22"/>
        </w:rPr>
        <w:t xml:space="preserve">, the determined weight allows </w:t>
      </w:r>
      <w:r w:rsidR="00FD27F4">
        <w:rPr>
          <w:color w:val="000000"/>
          <w:sz w:val="22"/>
          <w:szCs w:val="22"/>
        </w:rPr>
        <w:t xml:space="preserve">for an additional amount of fish to be taken </w:t>
      </w:r>
      <w:r w:rsidR="00084B4B">
        <w:rPr>
          <w:color w:val="000000"/>
          <w:sz w:val="22"/>
          <w:szCs w:val="22"/>
        </w:rPr>
        <w:t xml:space="preserve">in excess of </w:t>
      </w:r>
      <w:r w:rsidR="007D24D6">
        <w:rPr>
          <w:color w:val="000000"/>
          <w:sz w:val="22"/>
          <w:szCs w:val="22"/>
        </w:rPr>
        <w:t>fisher’s quota holdings,</w:t>
      </w:r>
      <w:r w:rsidR="00FD27F4">
        <w:rPr>
          <w:color w:val="000000"/>
          <w:sz w:val="22"/>
          <w:szCs w:val="22"/>
        </w:rPr>
        <w:t xml:space="preserve"> up to the determined weight specified</w:t>
      </w:r>
      <w:r w:rsidR="00B35201">
        <w:rPr>
          <w:color w:val="000000"/>
          <w:sz w:val="22"/>
          <w:szCs w:val="22"/>
        </w:rPr>
        <w:t xml:space="preserve">. The amount </w:t>
      </w:r>
      <w:r w:rsidR="00821440">
        <w:rPr>
          <w:color w:val="000000"/>
          <w:sz w:val="22"/>
          <w:szCs w:val="22"/>
        </w:rPr>
        <w:t xml:space="preserve">that exceeds </w:t>
      </w:r>
      <w:r w:rsidR="00B35201">
        <w:rPr>
          <w:color w:val="000000"/>
          <w:sz w:val="22"/>
          <w:szCs w:val="22"/>
        </w:rPr>
        <w:t>the</w:t>
      </w:r>
      <w:r w:rsidR="00821440">
        <w:rPr>
          <w:color w:val="000000"/>
          <w:sz w:val="22"/>
          <w:szCs w:val="22"/>
        </w:rPr>
        <w:t xml:space="preserve"> determined</w:t>
      </w:r>
      <w:r w:rsidR="00B35201">
        <w:rPr>
          <w:color w:val="000000"/>
          <w:sz w:val="22"/>
          <w:szCs w:val="22"/>
        </w:rPr>
        <w:t xml:space="preserve"> </w:t>
      </w:r>
      <w:proofErr w:type="spellStart"/>
      <w:r w:rsidR="00B35201">
        <w:rPr>
          <w:color w:val="000000"/>
          <w:sz w:val="22"/>
          <w:szCs w:val="22"/>
        </w:rPr>
        <w:t>overcatch</w:t>
      </w:r>
      <w:proofErr w:type="spellEnd"/>
      <w:r w:rsidR="00B35201">
        <w:rPr>
          <w:color w:val="000000"/>
          <w:sz w:val="22"/>
          <w:szCs w:val="22"/>
        </w:rPr>
        <w:t xml:space="preserve"> percentage is </w:t>
      </w:r>
      <w:r w:rsidR="00A743E7">
        <w:rPr>
          <w:color w:val="000000"/>
          <w:sz w:val="22"/>
          <w:szCs w:val="22"/>
        </w:rPr>
        <w:t>de</w:t>
      </w:r>
      <w:r w:rsidR="00FD27F4">
        <w:rPr>
          <w:color w:val="000000"/>
          <w:sz w:val="22"/>
          <w:szCs w:val="22"/>
        </w:rPr>
        <w:t>c</w:t>
      </w:r>
      <w:r w:rsidR="00A743E7">
        <w:rPr>
          <w:color w:val="000000"/>
          <w:sz w:val="22"/>
          <w:szCs w:val="22"/>
        </w:rPr>
        <w:t xml:space="preserve">remented against </w:t>
      </w:r>
      <w:r w:rsidR="00B35201">
        <w:rPr>
          <w:color w:val="000000"/>
          <w:sz w:val="22"/>
          <w:szCs w:val="22"/>
        </w:rPr>
        <w:t>an individual’s</w:t>
      </w:r>
      <w:r w:rsidR="007D24D6">
        <w:rPr>
          <w:color w:val="000000"/>
          <w:sz w:val="22"/>
          <w:szCs w:val="22"/>
        </w:rPr>
        <w:t xml:space="preserve"> </w:t>
      </w:r>
      <w:r w:rsidR="00084B4B">
        <w:rPr>
          <w:color w:val="000000"/>
          <w:sz w:val="22"/>
          <w:szCs w:val="22"/>
        </w:rPr>
        <w:t xml:space="preserve">holdings the following season </w:t>
      </w:r>
      <w:r w:rsidR="008E5C67">
        <w:rPr>
          <w:color w:val="000000"/>
          <w:sz w:val="22"/>
          <w:szCs w:val="22"/>
        </w:rPr>
        <w:t>at twice that</w:t>
      </w:r>
      <w:r w:rsidR="00B35201">
        <w:rPr>
          <w:color w:val="000000"/>
          <w:sz w:val="22"/>
          <w:szCs w:val="22"/>
        </w:rPr>
        <w:t xml:space="preserve"> amount.</w:t>
      </w:r>
    </w:p>
    <w:p w14:paraId="04F23F2C" w14:textId="77777777" w:rsidR="001E1575" w:rsidRDefault="000A1256" w:rsidP="0093176F">
      <w:pPr>
        <w:autoSpaceDE w:val="0"/>
        <w:autoSpaceDN w:val="0"/>
        <w:adjustRightInd w:val="0"/>
        <w:spacing w:before="240" w:after="240" w:line="276" w:lineRule="auto"/>
        <w:jc w:val="both"/>
        <w:rPr>
          <w:b/>
          <w:bCs/>
          <w:sz w:val="22"/>
          <w:szCs w:val="22"/>
        </w:rPr>
      </w:pPr>
      <w:r w:rsidRPr="00EB6217">
        <w:rPr>
          <w:b/>
          <w:bCs/>
          <w:sz w:val="22"/>
          <w:szCs w:val="22"/>
        </w:rPr>
        <w:lastRenderedPageBreak/>
        <w:t xml:space="preserve">The </w:t>
      </w:r>
      <w:r w:rsidR="0021739B" w:rsidRPr="00EB6217">
        <w:rPr>
          <w:b/>
          <w:bCs/>
          <w:sz w:val="22"/>
          <w:szCs w:val="22"/>
        </w:rPr>
        <w:t>F</w:t>
      </w:r>
      <w:r w:rsidRPr="00EB6217">
        <w:rPr>
          <w:b/>
          <w:bCs/>
          <w:sz w:val="22"/>
          <w:szCs w:val="22"/>
        </w:rPr>
        <w:t>ishery</w:t>
      </w:r>
    </w:p>
    <w:p w14:paraId="5C6E38E0" w14:textId="58C2D2B7" w:rsidR="008C7D47" w:rsidRDefault="008C7D47" w:rsidP="0093176F">
      <w:pPr>
        <w:autoSpaceDE w:val="0"/>
        <w:autoSpaceDN w:val="0"/>
        <w:adjustRightInd w:val="0"/>
        <w:spacing w:before="240" w:after="240" w:line="276" w:lineRule="auto"/>
        <w:jc w:val="both"/>
        <w:rPr>
          <w:sz w:val="22"/>
          <w:szCs w:val="22"/>
        </w:rPr>
      </w:pPr>
      <w:r w:rsidRPr="00457259">
        <w:rPr>
          <w:sz w:val="22"/>
          <w:szCs w:val="22"/>
        </w:rPr>
        <w:t xml:space="preserve">The Fishery </w:t>
      </w:r>
      <w:r>
        <w:rPr>
          <w:sz w:val="22"/>
          <w:szCs w:val="22"/>
        </w:rPr>
        <w:t xml:space="preserve">is the area of waters, largely outside </w:t>
      </w:r>
      <w:r w:rsidR="0041195C">
        <w:rPr>
          <w:sz w:val="22"/>
          <w:szCs w:val="22"/>
        </w:rPr>
        <w:t>three</w:t>
      </w:r>
      <w:r>
        <w:rPr>
          <w:sz w:val="22"/>
          <w:szCs w:val="22"/>
        </w:rPr>
        <w:t xml:space="preserve"> nautical miles from the coastline, </w:t>
      </w:r>
      <w:r w:rsidRPr="00457259">
        <w:rPr>
          <w:sz w:val="22"/>
          <w:szCs w:val="22"/>
        </w:rPr>
        <w:t>extend</w:t>
      </w:r>
      <w:r>
        <w:rPr>
          <w:sz w:val="22"/>
          <w:szCs w:val="22"/>
        </w:rPr>
        <w:t>ing</w:t>
      </w:r>
      <w:r w:rsidRPr="00457259">
        <w:rPr>
          <w:sz w:val="22"/>
          <w:szCs w:val="22"/>
        </w:rPr>
        <w:t xml:space="preserve"> from the Queensland/New South Wales border </w:t>
      </w:r>
      <w:r>
        <w:rPr>
          <w:sz w:val="22"/>
          <w:szCs w:val="22"/>
        </w:rPr>
        <w:t>generally southerly, westerly and northerly</w:t>
      </w:r>
      <w:r w:rsidRPr="00457259">
        <w:rPr>
          <w:sz w:val="22"/>
          <w:szCs w:val="22"/>
        </w:rPr>
        <w:t xml:space="preserve"> </w:t>
      </w:r>
      <w:r>
        <w:rPr>
          <w:sz w:val="22"/>
          <w:szCs w:val="22"/>
        </w:rPr>
        <w:t>to</w:t>
      </w:r>
      <w:r w:rsidR="0041195C">
        <w:rPr>
          <w:sz w:val="22"/>
          <w:szCs w:val="22"/>
        </w:rPr>
        <w:t xml:space="preserve"> latitude 31° </w:t>
      </w:r>
      <w:r>
        <w:rPr>
          <w:sz w:val="22"/>
          <w:szCs w:val="22"/>
        </w:rPr>
        <w:t>South</w:t>
      </w:r>
      <w:r w:rsidRPr="00457259">
        <w:rPr>
          <w:sz w:val="22"/>
          <w:szCs w:val="22"/>
        </w:rPr>
        <w:t xml:space="preserve"> (near </w:t>
      </w:r>
      <w:proofErr w:type="spellStart"/>
      <w:r w:rsidRPr="00457259">
        <w:rPr>
          <w:sz w:val="22"/>
          <w:szCs w:val="22"/>
        </w:rPr>
        <w:t>Lancelin</w:t>
      </w:r>
      <w:proofErr w:type="spellEnd"/>
      <w:r w:rsidRPr="00457259">
        <w:rPr>
          <w:sz w:val="22"/>
          <w:szCs w:val="22"/>
        </w:rPr>
        <w:t xml:space="preserve">, north of Perth). </w:t>
      </w:r>
      <w:r>
        <w:rPr>
          <w:sz w:val="22"/>
          <w:szCs w:val="22"/>
        </w:rPr>
        <w:t xml:space="preserve">For quota species other than Australian sardine, the Management Plan divides the Fishery </w:t>
      </w:r>
      <w:r w:rsidRPr="00457259">
        <w:rPr>
          <w:sz w:val="22"/>
          <w:szCs w:val="22"/>
        </w:rPr>
        <w:t>into two sub areas</w:t>
      </w:r>
      <w:r>
        <w:rPr>
          <w:sz w:val="22"/>
          <w:szCs w:val="22"/>
        </w:rPr>
        <w:t xml:space="preserve"> (see Schedule 1 to the Management Plan). The eastern sub-area is the area of the Fishery east of </w:t>
      </w:r>
      <w:r w:rsidR="00CA70AC">
        <w:rPr>
          <w:sz w:val="22"/>
          <w:szCs w:val="22"/>
        </w:rPr>
        <w:t>longitude</w:t>
      </w:r>
      <w:r w:rsidRPr="00457259">
        <w:rPr>
          <w:sz w:val="22"/>
          <w:szCs w:val="22"/>
        </w:rPr>
        <w:t xml:space="preserve"> 146°30’00”</w:t>
      </w:r>
      <w:r>
        <w:rPr>
          <w:sz w:val="22"/>
          <w:szCs w:val="22"/>
        </w:rPr>
        <w:t xml:space="preserve"> E, and the western sub-area is the area of the Fishery west of that </w:t>
      </w:r>
      <w:r w:rsidR="00CA70AC">
        <w:rPr>
          <w:sz w:val="22"/>
          <w:szCs w:val="22"/>
        </w:rPr>
        <w:t>longitude</w:t>
      </w:r>
      <w:r>
        <w:rPr>
          <w:sz w:val="22"/>
          <w:szCs w:val="22"/>
        </w:rPr>
        <w:t xml:space="preserve">. The Australian sardine sub-area is an area of the Fishery </w:t>
      </w:r>
      <w:proofErr w:type="gramStart"/>
      <w:r>
        <w:rPr>
          <w:sz w:val="22"/>
          <w:szCs w:val="22"/>
        </w:rPr>
        <w:t>off</w:t>
      </w:r>
      <w:proofErr w:type="gramEnd"/>
      <w:r>
        <w:rPr>
          <w:sz w:val="22"/>
          <w:szCs w:val="22"/>
        </w:rPr>
        <w:t xml:space="preserve"> the coast of New South Wales (see clause 3 of Schedule 1 to the Management Plan)</w:t>
      </w:r>
      <w:r w:rsidRPr="00457259">
        <w:rPr>
          <w:sz w:val="22"/>
          <w:szCs w:val="22"/>
        </w:rPr>
        <w:t>.</w:t>
      </w:r>
    </w:p>
    <w:p w14:paraId="0B88C491" w14:textId="451A9F74" w:rsidR="00952F13" w:rsidRPr="00EB6217" w:rsidRDefault="008C7D47"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Pr>
          <w:color w:val="000000"/>
          <w:sz w:val="22"/>
          <w:szCs w:val="22"/>
        </w:rPr>
        <w:t>derived from the TAC</w:t>
      </w:r>
      <w:r w:rsidRPr="00457259">
        <w:rPr>
          <w:color w:val="000000"/>
          <w:sz w:val="22"/>
          <w:szCs w:val="22"/>
        </w:rPr>
        <w:t xml:space="preserve"> determined for each quota species for each fishing year. The </w:t>
      </w:r>
      <w:r>
        <w:rPr>
          <w:color w:val="000000"/>
          <w:sz w:val="22"/>
          <w:szCs w:val="22"/>
        </w:rPr>
        <w:t>quota</w:t>
      </w:r>
      <w:r w:rsidRPr="00457259">
        <w:rPr>
          <w:color w:val="000000"/>
          <w:sz w:val="22"/>
          <w:szCs w:val="22"/>
        </w:rPr>
        <w:t xml:space="preserve"> species in the Fishery are </w:t>
      </w:r>
      <w:r w:rsidR="00AA33D0">
        <w:rPr>
          <w:color w:val="000000"/>
          <w:sz w:val="22"/>
          <w:szCs w:val="22"/>
        </w:rPr>
        <w:t>j</w:t>
      </w:r>
      <w:r w:rsidRPr="00457259">
        <w:rPr>
          <w:color w:val="000000"/>
          <w:sz w:val="22"/>
          <w:szCs w:val="22"/>
        </w:rPr>
        <w:t>ack mackerel, blue mackerel, redbait and Australian sardine</w:t>
      </w:r>
      <w:r>
        <w:rPr>
          <w:color w:val="000000"/>
          <w:sz w:val="22"/>
          <w:szCs w:val="22"/>
        </w:rPr>
        <w:t xml:space="preserve"> (see Schedule 4 to the Management Plan)</w:t>
      </w:r>
      <w:r w:rsidRPr="00457259">
        <w:rPr>
          <w:color w:val="000000"/>
          <w:sz w:val="22"/>
          <w:szCs w:val="22"/>
        </w:rPr>
        <w:t>.</w:t>
      </w:r>
      <w:r w:rsidR="00032089" w:rsidRPr="00EB6217">
        <w:rPr>
          <w:color w:val="000000"/>
          <w:sz w:val="22"/>
          <w:szCs w:val="22"/>
        </w:rPr>
        <w:t xml:space="preserve"> </w:t>
      </w:r>
    </w:p>
    <w:p w14:paraId="18E9A454" w14:textId="77777777" w:rsidR="000A1256" w:rsidRPr="00EB6217" w:rsidRDefault="000A1256" w:rsidP="008C7D47">
      <w:pPr>
        <w:rPr>
          <w:b/>
          <w:bCs/>
          <w:sz w:val="22"/>
          <w:szCs w:val="22"/>
        </w:rPr>
      </w:pPr>
      <w:r w:rsidRPr="00EB6217">
        <w:rPr>
          <w:b/>
          <w:bCs/>
          <w:sz w:val="22"/>
          <w:szCs w:val="22"/>
        </w:rPr>
        <w:t>Consultation</w:t>
      </w:r>
    </w:p>
    <w:p w14:paraId="5651E017" w14:textId="29641157" w:rsidR="003C1B98" w:rsidRPr="0093176F" w:rsidRDefault="003C1B98" w:rsidP="0093176F">
      <w:pPr>
        <w:autoSpaceDE w:val="0"/>
        <w:autoSpaceDN w:val="0"/>
        <w:adjustRightInd w:val="0"/>
        <w:spacing w:before="240" w:after="240" w:line="276" w:lineRule="auto"/>
        <w:jc w:val="both"/>
        <w:rPr>
          <w:color w:val="000000"/>
          <w:sz w:val="22"/>
          <w:szCs w:val="22"/>
        </w:rPr>
      </w:pPr>
      <w:r w:rsidRPr="00EB6217">
        <w:rPr>
          <w:color w:val="000000"/>
          <w:sz w:val="22"/>
          <w:szCs w:val="22"/>
        </w:rPr>
        <w:t xml:space="preserve">The Small Pelagic Fishery </w:t>
      </w:r>
      <w:r w:rsidR="00240D5B">
        <w:rPr>
          <w:color w:val="000000"/>
          <w:sz w:val="22"/>
          <w:szCs w:val="22"/>
        </w:rPr>
        <w:t>Resource Assessment Group</w:t>
      </w:r>
      <w:r w:rsidRPr="00EB6217">
        <w:rPr>
          <w:color w:val="000000"/>
          <w:sz w:val="22"/>
          <w:szCs w:val="22"/>
        </w:rPr>
        <w:t xml:space="preserve"> (the </w:t>
      </w:r>
      <w:r w:rsidR="00240D5B">
        <w:rPr>
          <w:color w:val="000000"/>
          <w:sz w:val="22"/>
          <w:szCs w:val="22"/>
        </w:rPr>
        <w:t>RAG</w:t>
      </w:r>
      <w:r w:rsidRPr="00EB6217">
        <w:rPr>
          <w:color w:val="000000"/>
          <w:sz w:val="22"/>
          <w:szCs w:val="22"/>
        </w:rPr>
        <w:t xml:space="preserve">) provides advice to </w:t>
      </w:r>
      <w:r w:rsidR="00987EBD" w:rsidRPr="00EB6217">
        <w:rPr>
          <w:color w:val="000000"/>
          <w:sz w:val="22"/>
          <w:szCs w:val="22"/>
        </w:rPr>
        <w:t>the Authority</w:t>
      </w:r>
      <w:r w:rsidRPr="00EB6217">
        <w:rPr>
          <w:color w:val="000000"/>
          <w:sz w:val="22"/>
          <w:szCs w:val="22"/>
        </w:rPr>
        <w:t xml:space="preserve"> on the recommended biological catch (RBC) for each stock in the </w:t>
      </w:r>
      <w:r w:rsidR="00987EBD" w:rsidRPr="00EB6217">
        <w:rPr>
          <w:color w:val="000000"/>
          <w:sz w:val="22"/>
          <w:szCs w:val="22"/>
        </w:rPr>
        <w:t>fishery. T</w:t>
      </w:r>
      <w:r w:rsidRPr="00EB6217">
        <w:rPr>
          <w:color w:val="000000"/>
          <w:sz w:val="22"/>
          <w:szCs w:val="22"/>
        </w:rPr>
        <w:t>he South East Management Advisory Committee (SEMAC) provid</w:t>
      </w:r>
      <w:r w:rsidRPr="0093176F">
        <w:rPr>
          <w:color w:val="000000"/>
          <w:sz w:val="22"/>
          <w:szCs w:val="22"/>
        </w:rPr>
        <w:t xml:space="preserve">es advice to </w:t>
      </w:r>
      <w:r w:rsidR="00987EBD" w:rsidRPr="0093176F">
        <w:rPr>
          <w:color w:val="000000"/>
          <w:sz w:val="22"/>
          <w:szCs w:val="22"/>
        </w:rPr>
        <w:t>the Authority</w:t>
      </w:r>
      <w:r w:rsidRPr="0093176F">
        <w:rPr>
          <w:color w:val="000000"/>
          <w:sz w:val="22"/>
          <w:szCs w:val="22"/>
        </w:rPr>
        <w:t xml:space="preserve"> on the</w:t>
      </w:r>
      <w:r w:rsidR="00987EBD" w:rsidRPr="0093176F">
        <w:rPr>
          <w:color w:val="000000"/>
          <w:sz w:val="22"/>
          <w:szCs w:val="22"/>
        </w:rPr>
        <w:t xml:space="preserve"> </w:t>
      </w:r>
      <w:proofErr w:type="spellStart"/>
      <w:r w:rsidRPr="0093176F">
        <w:rPr>
          <w:color w:val="000000"/>
          <w:sz w:val="22"/>
          <w:szCs w:val="22"/>
        </w:rPr>
        <w:t>undercatch</w:t>
      </w:r>
      <w:proofErr w:type="spellEnd"/>
      <w:r w:rsidRPr="0093176F">
        <w:rPr>
          <w:color w:val="000000"/>
          <w:sz w:val="22"/>
          <w:szCs w:val="22"/>
        </w:rPr>
        <w:t xml:space="preserve"> and </w:t>
      </w:r>
      <w:proofErr w:type="spellStart"/>
      <w:r w:rsidRPr="0093176F">
        <w:rPr>
          <w:color w:val="000000"/>
          <w:sz w:val="22"/>
          <w:szCs w:val="22"/>
        </w:rPr>
        <w:t>overcatch</w:t>
      </w:r>
      <w:proofErr w:type="spellEnd"/>
      <w:r w:rsidRPr="0093176F">
        <w:rPr>
          <w:color w:val="000000"/>
          <w:sz w:val="22"/>
          <w:szCs w:val="22"/>
        </w:rPr>
        <w:t xml:space="preserve"> percentages and weights for each stock. Advice on </w:t>
      </w:r>
      <w:proofErr w:type="spellStart"/>
      <w:r w:rsidRPr="0093176F">
        <w:rPr>
          <w:color w:val="000000"/>
          <w:sz w:val="22"/>
          <w:szCs w:val="22"/>
        </w:rPr>
        <w:t>undercatch</w:t>
      </w:r>
      <w:proofErr w:type="spellEnd"/>
      <w:r w:rsidRPr="0093176F">
        <w:rPr>
          <w:color w:val="000000"/>
          <w:sz w:val="22"/>
          <w:szCs w:val="22"/>
        </w:rPr>
        <w:t xml:space="preserve"> and </w:t>
      </w:r>
      <w:proofErr w:type="spellStart"/>
      <w:r w:rsidRPr="0093176F">
        <w:rPr>
          <w:color w:val="000000"/>
          <w:sz w:val="22"/>
          <w:szCs w:val="22"/>
        </w:rPr>
        <w:t>overcatch</w:t>
      </w:r>
      <w:proofErr w:type="spellEnd"/>
      <w:r w:rsidRPr="0093176F">
        <w:rPr>
          <w:color w:val="000000"/>
          <w:sz w:val="22"/>
          <w:szCs w:val="22"/>
        </w:rPr>
        <w:t xml:space="preserve"> percentages and weights was sought fr</w:t>
      </w:r>
      <w:r w:rsidR="00987EBD" w:rsidRPr="0093176F">
        <w:rPr>
          <w:color w:val="000000"/>
          <w:sz w:val="22"/>
          <w:szCs w:val="22"/>
        </w:rPr>
        <w:t>o</w:t>
      </w:r>
      <w:r w:rsidRPr="0093176F">
        <w:rPr>
          <w:color w:val="000000"/>
          <w:sz w:val="22"/>
          <w:szCs w:val="22"/>
        </w:rPr>
        <w:t xml:space="preserve">m SEMAC on </w:t>
      </w:r>
      <w:r w:rsidR="00240D5B">
        <w:rPr>
          <w:color w:val="000000"/>
          <w:sz w:val="22"/>
          <w:szCs w:val="22"/>
        </w:rPr>
        <w:t>4</w:t>
      </w:r>
      <w:r w:rsidR="00FA434D" w:rsidRPr="0093176F">
        <w:rPr>
          <w:color w:val="000000"/>
          <w:sz w:val="22"/>
          <w:szCs w:val="22"/>
        </w:rPr>
        <w:t>-</w:t>
      </w:r>
      <w:r w:rsidR="00240D5B">
        <w:rPr>
          <w:color w:val="000000"/>
          <w:sz w:val="22"/>
          <w:szCs w:val="22"/>
        </w:rPr>
        <w:t>6</w:t>
      </w:r>
      <w:r w:rsidR="008E5E21" w:rsidRPr="0093176F">
        <w:rPr>
          <w:color w:val="000000"/>
          <w:sz w:val="22"/>
          <w:szCs w:val="22"/>
        </w:rPr>
        <w:t xml:space="preserve"> </w:t>
      </w:r>
      <w:r w:rsidRPr="0093176F">
        <w:rPr>
          <w:color w:val="000000"/>
          <w:sz w:val="22"/>
          <w:szCs w:val="22"/>
        </w:rPr>
        <w:t>February 20</w:t>
      </w:r>
      <w:r w:rsidR="00240D5B">
        <w:rPr>
          <w:color w:val="000000"/>
          <w:sz w:val="22"/>
          <w:szCs w:val="22"/>
        </w:rPr>
        <w:t>20</w:t>
      </w:r>
      <w:r w:rsidRPr="0093176F">
        <w:rPr>
          <w:color w:val="000000"/>
          <w:sz w:val="22"/>
          <w:szCs w:val="22"/>
        </w:rPr>
        <w:t xml:space="preserve">. </w:t>
      </w:r>
    </w:p>
    <w:p w14:paraId="1E0EA754" w14:textId="6602D6F0" w:rsidR="003C1B98" w:rsidRPr="00EB6217" w:rsidRDefault="003C1B98" w:rsidP="0093176F">
      <w:pPr>
        <w:autoSpaceDE w:val="0"/>
        <w:autoSpaceDN w:val="0"/>
        <w:adjustRightInd w:val="0"/>
        <w:spacing w:before="240" w:after="240" w:line="276" w:lineRule="auto"/>
        <w:jc w:val="both"/>
        <w:rPr>
          <w:color w:val="000000"/>
          <w:sz w:val="22"/>
          <w:szCs w:val="22"/>
        </w:rPr>
      </w:pPr>
      <w:r w:rsidRPr="0093176F">
        <w:rPr>
          <w:color w:val="000000"/>
          <w:sz w:val="22"/>
          <w:szCs w:val="22"/>
        </w:rPr>
        <w:t xml:space="preserve">The </w:t>
      </w:r>
      <w:r w:rsidR="00987EBD" w:rsidRPr="0093176F">
        <w:rPr>
          <w:color w:val="000000"/>
          <w:sz w:val="22"/>
          <w:szCs w:val="22"/>
        </w:rPr>
        <w:t>A</w:t>
      </w:r>
      <w:r w:rsidR="00DA0F67">
        <w:rPr>
          <w:color w:val="000000"/>
          <w:sz w:val="22"/>
          <w:szCs w:val="22"/>
        </w:rPr>
        <w:t>FMA</w:t>
      </w:r>
      <w:r w:rsidRPr="0093176F">
        <w:rPr>
          <w:color w:val="000000"/>
          <w:sz w:val="22"/>
          <w:szCs w:val="22"/>
        </w:rPr>
        <w:t xml:space="preserve"> Commission considered the advice from SEMAC when determining the </w:t>
      </w:r>
      <w:proofErr w:type="spellStart"/>
      <w:r w:rsidRPr="0093176F">
        <w:rPr>
          <w:color w:val="000000"/>
          <w:sz w:val="22"/>
          <w:szCs w:val="22"/>
        </w:rPr>
        <w:t>undercatch</w:t>
      </w:r>
      <w:proofErr w:type="spellEnd"/>
      <w:r w:rsidRPr="0093176F">
        <w:rPr>
          <w:color w:val="000000"/>
          <w:sz w:val="22"/>
          <w:szCs w:val="22"/>
        </w:rPr>
        <w:t xml:space="preserve"> and </w:t>
      </w:r>
      <w:proofErr w:type="spellStart"/>
      <w:r w:rsidRPr="0093176F">
        <w:rPr>
          <w:color w:val="000000"/>
          <w:sz w:val="22"/>
          <w:szCs w:val="22"/>
        </w:rPr>
        <w:t>overcatch</w:t>
      </w:r>
      <w:proofErr w:type="spellEnd"/>
      <w:r w:rsidRPr="0093176F">
        <w:rPr>
          <w:color w:val="000000"/>
          <w:sz w:val="22"/>
          <w:szCs w:val="22"/>
        </w:rPr>
        <w:t xml:space="preserve"> for each stock for the 20</w:t>
      </w:r>
      <w:r w:rsidR="00240D5B">
        <w:rPr>
          <w:color w:val="000000"/>
          <w:sz w:val="22"/>
          <w:szCs w:val="22"/>
        </w:rPr>
        <w:t>20</w:t>
      </w:r>
      <w:r w:rsidR="00FA434D" w:rsidRPr="0093176F">
        <w:rPr>
          <w:color w:val="000000"/>
          <w:sz w:val="22"/>
          <w:szCs w:val="22"/>
        </w:rPr>
        <w:t>-</w:t>
      </w:r>
      <w:r w:rsidR="00DA0F67">
        <w:rPr>
          <w:color w:val="000000"/>
          <w:sz w:val="22"/>
          <w:szCs w:val="22"/>
        </w:rPr>
        <w:t>20</w:t>
      </w:r>
      <w:r w:rsidR="00FA434D" w:rsidRPr="0093176F">
        <w:rPr>
          <w:color w:val="000000"/>
          <w:sz w:val="22"/>
          <w:szCs w:val="22"/>
        </w:rPr>
        <w:t>2</w:t>
      </w:r>
      <w:r w:rsidR="00240D5B">
        <w:rPr>
          <w:color w:val="000000"/>
          <w:sz w:val="22"/>
          <w:szCs w:val="22"/>
        </w:rPr>
        <w:t>1</w:t>
      </w:r>
      <w:r w:rsidRPr="0093176F">
        <w:rPr>
          <w:color w:val="000000"/>
          <w:sz w:val="22"/>
          <w:szCs w:val="22"/>
        </w:rPr>
        <w:t xml:space="preserve"> fishing season. </w:t>
      </w:r>
      <w:r w:rsidR="0093176F" w:rsidRPr="0093176F">
        <w:rPr>
          <w:color w:val="000000"/>
          <w:sz w:val="22"/>
          <w:szCs w:val="22"/>
        </w:rPr>
        <w:t>The Determination is made consistent with advice received from SEMAC.</w:t>
      </w:r>
      <w:r w:rsidR="0093176F">
        <w:rPr>
          <w:color w:val="000000"/>
          <w:sz w:val="22"/>
          <w:szCs w:val="22"/>
        </w:rPr>
        <w:t xml:space="preserve">  </w:t>
      </w:r>
      <w:r w:rsidRPr="00EB6217">
        <w:rPr>
          <w:color w:val="000000"/>
          <w:sz w:val="22"/>
          <w:szCs w:val="22"/>
        </w:rPr>
        <w:t xml:space="preserve"> </w:t>
      </w:r>
    </w:p>
    <w:p w14:paraId="3335F43E" w14:textId="77777777" w:rsidR="000A1256" w:rsidRPr="00EB6217" w:rsidRDefault="000A1256" w:rsidP="0093176F">
      <w:pPr>
        <w:autoSpaceDE w:val="0"/>
        <w:autoSpaceDN w:val="0"/>
        <w:adjustRightInd w:val="0"/>
        <w:spacing w:before="240" w:after="240" w:line="276" w:lineRule="auto"/>
        <w:jc w:val="both"/>
        <w:rPr>
          <w:b/>
          <w:bCs/>
          <w:sz w:val="22"/>
          <w:szCs w:val="22"/>
        </w:rPr>
      </w:pPr>
      <w:r w:rsidRPr="00EB6217">
        <w:rPr>
          <w:b/>
          <w:bCs/>
          <w:sz w:val="22"/>
          <w:szCs w:val="22"/>
        </w:rPr>
        <w:t>Regulation Impact Statement</w:t>
      </w:r>
    </w:p>
    <w:p w14:paraId="37E7C73D" w14:textId="1F0570CD" w:rsidR="00406595" w:rsidRDefault="00B62718" w:rsidP="0093176F">
      <w:pPr>
        <w:pStyle w:val="AFMANormal"/>
        <w:spacing w:after="240" w:line="276" w:lineRule="auto"/>
        <w:rPr>
          <w:sz w:val="22"/>
          <w:szCs w:val="22"/>
        </w:rPr>
      </w:pPr>
      <w:r w:rsidRPr="00EB6217">
        <w:rPr>
          <w:sz w:val="22"/>
          <w:szCs w:val="22"/>
        </w:rPr>
        <w:t>The Office of Best Practice Regulation does not require a Regulat</w:t>
      </w:r>
      <w:r w:rsidR="000E44A2">
        <w:rPr>
          <w:sz w:val="22"/>
          <w:szCs w:val="22"/>
        </w:rPr>
        <w:t>ion</w:t>
      </w:r>
      <w:r w:rsidRPr="00EB6217">
        <w:rPr>
          <w:sz w:val="22"/>
          <w:szCs w:val="22"/>
        </w:rPr>
        <w:t xml:space="preserve"> Impact Statement for this determination consistent with the carve out arrangement with AFMA (OBPR reference 14421) for instruments of a minor or machinery nature and which specifically refers to Total Allowable Catch Determinations for a fishery.</w:t>
      </w:r>
      <w:r w:rsidR="00634E92" w:rsidRPr="00EB6217">
        <w:rPr>
          <w:sz w:val="22"/>
          <w:szCs w:val="22"/>
        </w:rPr>
        <w:t xml:space="preserve">  </w:t>
      </w:r>
    </w:p>
    <w:p w14:paraId="7228C8C8" w14:textId="6441A969" w:rsidR="00547D04" w:rsidRDefault="00547D04" w:rsidP="0093176F">
      <w:pPr>
        <w:pStyle w:val="AFMANormal"/>
        <w:spacing w:after="240" w:line="276" w:lineRule="auto"/>
        <w:rPr>
          <w:b/>
          <w:sz w:val="22"/>
          <w:szCs w:val="22"/>
        </w:rPr>
      </w:pPr>
      <w:r w:rsidRPr="00EB6217">
        <w:rPr>
          <w:sz w:val="22"/>
          <w:szCs w:val="22"/>
        </w:rPr>
        <w:t xml:space="preserve">Details of the Determination are set out </w:t>
      </w:r>
      <w:r>
        <w:rPr>
          <w:sz w:val="22"/>
          <w:szCs w:val="22"/>
        </w:rPr>
        <w:t xml:space="preserve">in </w:t>
      </w:r>
      <w:r w:rsidRPr="002172DB">
        <w:rPr>
          <w:b/>
          <w:sz w:val="22"/>
          <w:szCs w:val="22"/>
        </w:rPr>
        <w:t>Attachment A</w:t>
      </w:r>
      <w:r w:rsidR="000E44A2" w:rsidRPr="009543CD">
        <w:rPr>
          <w:sz w:val="22"/>
          <w:szCs w:val="22"/>
        </w:rPr>
        <w:t>.</w:t>
      </w:r>
    </w:p>
    <w:p w14:paraId="0CB0D1BA" w14:textId="77777777" w:rsidR="00547D04" w:rsidRPr="00EB6217" w:rsidRDefault="00547D04" w:rsidP="0093176F">
      <w:pPr>
        <w:pStyle w:val="AFMANormal"/>
        <w:spacing w:after="240" w:line="276" w:lineRule="auto"/>
        <w:rPr>
          <w:sz w:val="22"/>
          <w:szCs w:val="22"/>
        </w:rPr>
      </w:pPr>
    </w:p>
    <w:p w14:paraId="51D34B65" w14:textId="77777777" w:rsidR="007C2D22" w:rsidRPr="00EB6217" w:rsidRDefault="007C2D22" w:rsidP="0093176F">
      <w:pPr>
        <w:spacing w:before="240" w:after="240" w:line="276" w:lineRule="auto"/>
        <w:jc w:val="both"/>
        <w:rPr>
          <w:b/>
          <w:sz w:val="22"/>
          <w:szCs w:val="22"/>
        </w:rPr>
      </w:pPr>
      <w:r w:rsidRPr="00EB6217">
        <w:rPr>
          <w:b/>
          <w:sz w:val="22"/>
          <w:szCs w:val="22"/>
        </w:rPr>
        <w:lastRenderedPageBreak/>
        <w:t xml:space="preserve">Statement of compatibility prepared in accordance with Part 3 of the </w:t>
      </w:r>
      <w:r w:rsidRPr="00EB6217">
        <w:rPr>
          <w:b/>
          <w:i/>
          <w:sz w:val="22"/>
          <w:szCs w:val="22"/>
        </w:rPr>
        <w:t xml:space="preserve">Human Rights (Parliamentary Scrutiny) Act 2011 </w:t>
      </w:r>
    </w:p>
    <w:p w14:paraId="32005289" w14:textId="15F9465B" w:rsidR="007C2D22" w:rsidRPr="00EB6217" w:rsidRDefault="00B16E22" w:rsidP="0093176F">
      <w:pPr>
        <w:keepNext/>
        <w:spacing w:before="240" w:after="240" w:line="276" w:lineRule="auto"/>
        <w:jc w:val="both"/>
        <w:rPr>
          <w:sz w:val="22"/>
          <w:szCs w:val="22"/>
          <w:lang w:val="en-AU" w:eastAsia="en-AU"/>
        </w:rPr>
      </w:pPr>
      <w:r w:rsidRPr="00EB6217">
        <w:rPr>
          <w:sz w:val="22"/>
          <w:szCs w:val="22"/>
          <w:lang w:val="en-AU" w:eastAsia="en-AU"/>
        </w:rPr>
        <w:t>The Authority</w:t>
      </w:r>
      <w:r w:rsidR="007C2D22" w:rsidRPr="00EB6217">
        <w:rPr>
          <w:sz w:val="22"/>
          <w:szCs w:val="22"/>
          <w:lang w:val="en-AU" w:eastAsia="en-AU"/>
        </w:rPr>
        <w:t xml:space="preserve"> assesses under section 3 of the </w:t>
      </w:r>
      <w:r w:rsidR="007C2D22" w:rsidRPr="00EB6217">
        <w:rPr>
          <w:i/>
          <w:iCs/>
          <w:sz w:val="22"/>
          <w:szCs w:val="22"/>
          <w:lang w:val="en-AU" w:eastAsia="en-AU"/>
        </w:rPr>
        <w:t xml:space="preserve">Human Rights (Parliamentary Scrutiny) Act 2011 </w:t>
      </w:r>
      <w:r w:rsidR="007C2D22" w:rsidRPr="00EB6217">
        <w:rPr>
          <w:iCs/>
          <w:sz w:val="22"/>
          <w:szCs w:val="22"/>
          <w:lang w:val="en-AU" w:eastAsia="en-AU"/>
        </w:rPr>
        <w:t>that this legislative instrument is compatible with human rights</w:t>
      </w:r>
      <w:r w:rsidR="007C2D22" w:rsidRPr="00EB6217">
        <w:rPr>
          <w:sz w:val="22"/>
          <w:szCs w:val="22"/>
          <w:lang w:val="en-AU" w:eastAsia="en-AU"/>
        </w:rPr>
        <w:t xml:space="preserve">. </w:t>
      </w:r>
      <w:r w:rsidRPr="00EB6217">
        <w:rPr>
          <w:sz w:val="22"/>
          <w:szCs w:val="22"/>
          <w:lang w:val="en-AU" w:eastAsia="en-AU"/>
        </w:rPr>
        <w:t>The Authority</w:t>
      </w:r>
      <w:r w:rsidR="007C2D22" w:rsidRPr="00EB6217">
        <w:rPr>
          <w:sz w:val="22"/>
          <w:szCs w:val="22"/>
          <w:lang w:val="en-AU" w:eastAsia="en-AU"/>
        </w:rPr>
        <w:t xml:space="preserve">’s Statement of Compatibility is </w:t>
      </w:r>
      <w:r w:rsidR="0093176F">
        <w:rPr>
          <w:sz w:val="22"/>
          <w:szCs w:val="22"/>
          <w:lang w:val="en-AU" w:eastAsia="en-AU"/>
        </w:rPr>
        <w:t xml:space="preserve">included </w:t>
      </w:r>
      <w:r w:rsidR="00547D04">
        <w:rPr>
          <w:sz w:val="22"/>
          <w:szCs w:val="22"/>
          <w:lang w:val="en-AU" w:eastAsia="en-AU"/>
        </w:rPr>
        <w:t xml:space="preserve">in </w:t>
      </w:r>
      <w:r w:rsidR="00547D04" w:rsidRPr="00547D04">
        <w:rPr>
          <w:b/>
          <w:sz w:val="22"/>
          <w:szCs w:val="22"/>
          <w:lang w:val="en-AU" w:eastAsia="en-AU"/>
        </w:rPr>
        <w:t>Attachment B</w:t>
      </w:r>
      <w:r w:rsidR="00547D04">
        <w:rPr>
          <w:sz w:val="22"/>
          <w:szCs w:val="22"/>
          <w:lang w:val="en-AU" w:eastAsia="en-AU"/>
        </w:rPr>
        <w:t xml:space="preserve">. </w:t>
      </w:r>
      <w:r w:rsidR="007C2D22" w:rsidRPr="00EB6217">
        <w:rPr>
          <w:sz w:val="22"/>
          <w:szCs w:val="22"/>
          <w:lang w:val="en-AU" w:eastAsia="en-AU"/>
        </w:rPr>
        <w:t xml:space="preserve">  </w:t>
      </w:r>
    </w:p>
    <w:p w14:paraId="47189D9F" w14:textId="708576A0" w:rsidR="00DA0F67" w:rsidRDefault="00DA0F67" w:rsidP="0093176F">
      <w:pPr>
        <w:autoSpaceDE w:val="0"/>
        <w:autoSpaceDN w:val="0"/>
        <w:adjustRightInd w:val="0"/>
        <w:spacing w:before="240" w:after="240" w:line="276" w:lineRule="auto"/>
        <w:jc w:val="both"/>
        <w:rPr>
          <w:sz w:val="22"/>
          <w:szCs w:val="22"/>
        </w:rPr>
      </w:pPr>
    </w:p>
    <w:p w14:paraId="0A91E16C" w14:textId="77777777" w:rsidR="00DA0F67" w:rsidRDefault="00DA0F67">
      <w:pPr>
        <w:rPr>
          <w:sz w:val="22"/>
          <w:szCs w:val="22"/>
        </w:rPr>
      </w:pPr>
      <w:r>
        <w:rPr>
          <w:sz w:val="22"/>
          <w:szCs w:val="22"/>
        </w:rPr>
        <w:br w:type="page"/>
      </w:r>
    </w:p>
    <w:p w14:paraId="516B1A60" w14:textId="2EA74BAE" w:rsidR="000A1256" w:rsidRDefault="00DA0F67" w:rsidP="002172DB">
      <w:pPr>
        <w:autoSpaceDE w:val="0"/>
        <w:autoSpaceDN w:val="0"/>
        <w:adjustRightInd w:val="0"/>
        <w:spacing w:before="240" w:after="240" w:line="276" w:lineRule="auto"/>
        <w:jc w:val="right"/>
        <w:rPr>
          <w:b/>
          <w:sz w:val="22"/>
          <w:szCs w:val="22"/>
        </w:rPr>
      </w:pPr>
      <w:r w:rsidRPr="00DA0F67">
        <w:rPr>
          <w:b/>
          <w:sz w:val="22"/>
          <w:szCs w:val="22"/>
        </w:rPr>
        <w:lastRenderedPageBreak/>
        <w:t>ATTACHMENT A</w:t>
      </w:r>
    </w:p>
    <w:p w14:paraId="630F1FFC" w14:textId="6560E857" w:rsidR="00DA0F67" w:rsidRPr="00DA0F67" w:rsidRDefault="00DA0F67" w:rsidP="00DA0F67">
      <w:pPr>
        <w:autoSpaceDE w:val="0"/>
        <w:autoSpaceDN w:val="0"/>
        <w:adjustRightInd w:val="0"/>
        <w:spacing w:before="240" w:after="240" w:line="276" w:lineRule="auto"/>
        <w:jc w:val="center"/>
        <w:rPr>
          <w:sz w:val="22"/>
          <w:szCs w:val="22"/>
        </w:rPr>
      </w:pPr>
      <w:r w:rsidRPr="00DA0F67">
        <w:rPr>
          <w:sz w:val="22"/>
          <w:szCs w:val="22"/>
        </w:rPr>
        <w:t>Details on provisions</w:t>
      </w:r>
    </w:p>
    <w:p w14:paraId="51BE43F2" w14:textId="17065F72" w:rsidR="00DA0F67" w:rsidRPr="00DA0F67" w:rsidRDefault="00DA0F67" w:rsidP="00DA0F67">
      <w:pPr>
        <w:autoSpaceDE w:val="0"/>
        <w:autoSpaceDN w:val="0"/>
        <w:adjustRightInd w:val="0"/>
        <w:spacing w:before="240" w:after="240" w:line="276" w:lineRule="auto"/>
        <w:jc w:val="center"/>
        <w:rPr>
          <w:b/>
          <w:i/>
          <w:sz w:val="22"/>
          <w:szCs w:val="22"/>
        </w:rPr>
      </w:pPr>
      <w:r w:rsidRPr="00DA0F67">
        <w:rPr>
          <w:b/>
          <w:i/>
          <w:sz w:val="22"/>
          <w:szCs w:val="22"/>
        </w:rPr>
        <w:t xml:space="preserve">Small Pelagic Fishery </w:t>
      </w:r>
      <w:r>
        <w:rPr>
          <w:b/>
          <w:i/>
          <w:sz w:val="22"/>
          <w:szCs w:val="22"/>
        </w:rPr>
        <w:t>(</w:t>
      </w:r>
      <w:proofErr w:type="spellStart"/>
      <w:r w:rsidRPr="00DA0F67">
        <w:rPr>
          <w:b/>
          <w:i/>
          <w:sz w:val="22"/>
          <w:szCs w:val="22"/>
        </w:rPr>
        <w:t>Overca</w:t>
      </w:r>
      <w:r w:rsidR="00AA33D0">
        <w:rPr>
          <w:b/>
          <w:i/>
          <w:sz w:val="22"/>
          <w:szCs w:val="22"/>
        </w:rPr>
        <w:t>t</w:t>
      </w:r>
      <w:r w:rsidRPr="00DA0F67">
        <w:rPr>
          <w:b/>
          <w:i/>
          <w:sz w:val="22"/>
          <w:szCs w:val="22"/>
        </w:rPr>
        <w:t>ch</w:t>
      </w:r>
      <w:proofErr w:type="spellEnd"/>
      <w:r w:rsidRPr="00DA0F67">
        <w:rPr>
          <w:b/>
          <w:i/>
          <w:sz w:val="22"/>
          <w:szCs w:val="22"/>
        </w:rPr>
        <w:t xml:space="preserve"> and </w:t>
      </w:r>
      <w:proofErr w:type="spellStart"/>
      <w:r w:rsidRPr="00DA0F67">
        <w:rPr>
          <w:b/>
          <w:i/>
          <w:sz w:val="22"/>
          <w:szCs w:val="22"/>
        </w:rPr>
        <w:t>Undercatch</w:t>
      </w:r>
      <w:proofErr w:type="spellEnd"/>
      <w:r>
        <w:rPr>
          <w:b/>
          <w:i/>
          <w:sz w:val="22"/>
          <w:szCs w:val="22"/>
        </w:rPr>
        <w:t>)</w:t>
      </w:r>
      <w:r w:rsidRPr="00DA0F67">
        <w:rPr>
          <w:b/>
          <w:i/>
          <w:sz w:val="22"/>
          <w:szCs w:val="22"/>
        </w:rPr>
        <w:t xml:space="preserve"> Determination 2020</w:t>
      </w:r>
    </w:p>
    <w:tbl>
      <w:tblPr>
        <w:tblW w:w="0" w:type="auto"/>
        <w:tblLook w:val="01E0" w:firstRow="1" w:lastRow="1" w:firstColumn="1" w:lastColumn="1" w:noHBand="0" w:noVBand="0"/>
      </w:tblPr>
      <w:tblGrid>
        <w:gridCol w:w="1350"/>
        <w:gridCol w:w="7506"/>
      </w:tblGrid>
      <w:tr w:rsidR="007C2D22" w:rsidRPr="00EB6217" w14:paraId="725AE702" w14:textId="77777777" w:rsidTr="00F82E6B">
        <w:tc>
          <w:tcPr>
            <w:tcW w:w="1350" w:type="dxa"/>
            <w:shd w:val="clear" w:color="auto" w:fill="auto"/>
          </w:tcPr>
          <w:p w14:paraId="14DFAF17" w14:textId="77777777" w:rsidR="007C2D22" w:rsidRPr="00EB6217" w:rsidRDefault="0093176F" w:rsidP="0093176F">
            <w:pPr>
              <w:pStyle w:val="AFMANormal"/>
              <w:keepNext/>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1</w:t>
            </w:r>
          </w:p>
        </w:tc>
        <w:tc>
          <w:tcPr>
            <w:tcW w:w="7506" w:type="dxa"/>
            <w:shd w:val="clear" w:color="auto" w:fill="auto"/>
          </w:tcPr>
          <w:p w14:paraId="644CD381" w14:textId="0CFA0147" w:rsidR="007C2D22" w:rsidRPr="00EB6217" w:rsidRDefault="007C2D22" w:rsidP="00547D04">
            <w:pPr>
              <w:pStyle w:val="AFMANormal"/>
              <w:keepNext/>
              <w:spacing w:before="0" w:after="240" w:line="276" w:lineRule="auto"/>
              <w:rPr>
                <w:sz w:val="22"/>
                <w:szCs w:val="22"/>
              </w:rPr>
            </w:pPr>
            <w:r w:rsidRPr="00EB6217">
              <w:rPr>
                <w:sz w:val="22"/>
                <w:szCs w:val="22"/>
              </w:rPr>
              <w:t xml:space="preserve">Provides </w:t>
            </w:r>
            <w:r w:rsidR="00601872">
              <w:rPr>
                <w:sz w:val="22"/>
                <w:szCs w:val="22"/>
              </w:rPr>
              <w:t>that</w:t>
            </w:r>
            <w:r w:rsidRPr="00EB6217">
              <w:rPr>
                <w:sz w:val="22"/>
                <w:szCs w:val="22"/>
              </w:rPr>
              <w:t xml:space="preserve"> the Determination </w:t>
            </w:r>
            <w:r w:rsidR="00601872">
              <w:rPr>
                <w:sz w:val="22"/>
                <w:szCs w:val="22"/>
              </w:rPr>
              <w:t>is</w:t>
            </w:r>
            <w:r w:rsidR="00547D04">
              <w:rPr>
                <w:sz w:val="22"/>
                <w:szCs w:val="22"/>
              </w:rPr>
              <w:t xml:space="preserve"> </w:t>
            </w:r>
            <w:r w:rsidRPr="00EB6217">
              <w:rPr>
                <w:sz w:val="22"/>
                <w:szCs w:val="22"/>
              </w:rPr>
              <w:t>the</w:t>
            </w:r>
            <w:r w:rsidR="00B16E22" w:rsidRPr="00EB6217">
              <w:rPr>
                <w:i/>
                <w:sz w:val="22"/>
                <w:szCs w:val="22"/>
              </w:rPr>
              <w:t xml:space="preserve"> </w:t>
            </w:r>
            <w:r w:rsidR="00E95AFD" w:rsidRPr="00EB6217">
              <w:rPr>
                <w:i/>
                <w:sz w:val="22"/>
                <w:szCs w:val="22"/>
              </w:rPr>
              <w:t>Small Pelagic</w:t>
            </w:r>
            <w:r w:rsidRPr="00EB6217">
              <w:rPr>
                <w:i/>
                <w:sz w:val="22"/>
                <w:szCs w:val="22"/>
              </w:rPr>
              <w:t xml:space="preserve"> Fishery </w:t>
            </w:r>
            <w:r w:rsidR="00DA0F67">
              <w:rPr>
                <w:i/>
                <w:sz w:val="22"/>
                <w:szCs w:val="22"/>
              </w:rPr>
              <w:t>(</w:t>
            </w:r>
            <w:proofErr w:type="spellStart"/>
            <w:r w:rsidRPr="00EB6217">
              <w:rPr>
                <w:i/>
                <w:sz w:val="22"/>
                <w:szCs w:val="22"/>
              </w:rPr>
              <w:t>Overcatch</w:t>
            </w:r>
            <w:proofErr w:type="spellEnd"/>
            <w:r w:rsidRPr="00EB6217">
              <w:rPr>
                <w:i/>
                <w:sz w:val="22"/>
                <w:szCs w:val="22"/>
              </w:rPr>
              <w:t xml:space="preserve"> and </w:t>
            </w:r>
            <w:proofErr w:type="spellStart"/>
            <w:r w:rsidRPr="00EB6217">
              <w:rPr>
                <w:i/>
                <w:sz w:val="22"/>
                <w:szCs w:val="22"/>
              </w:rPr>
              <w:t>Undercatch</w:t>
            </w:r>
            <w:proofErr w:type="spellEnd"/>
            <w:r w:rsidR="00DA0F67">
              <w:rPr>
                <w:i/>
                <w:sz w:val="22"/>
                <w:szCs w:val="22"/>
              </w:rPr>
              <w:t>)</w:t>
            </w:r>
            <w:r w:rsidRPr="00EB6217">
              <w:rPr>
                <w:i/>
                <w:sz w:val="22"/>
                <w:szCs w:val="22"/>
              </w:rPr>
              <w:t xml:space="preserve"> Determination</w:t>
            </w:r>
            <w:r w:rsidR="00B16E22" w:rsidRPr="00EB6217">
              <w:rPr>
                <w:i/>
                <w:sz w:val="22"/>
                <w:szCs w:val="22"/>
              </w:rPr>
              <w:t xml:space="preserve"> 20</w:t>
            </w:r>
            <w:r w:rsidR="0010406A">
              <w:rPr>
                <w:i/>
                <w:sz w:val="22"/>
                <w:szCs w:val="22"/>
              </w:rPr>
              <w:t>20</w:t>
            </w:r>
            <w:r w:rsidRPr="00EB6217">
              <w:rPr>
                <w:sz w:val="22"/>
                <w:szCs w:val="22"/>
              </w:rPr>
              <w:t>.</w:t>
            </w:r>
          </w:p>
        </w:tc>
      </w:tr>
      <w:tr w:rsidR="007C2D22" w:rsidRPr="00EB6217" w14:paraId="162346D4" w14:textId="77777777" w:rsidTr="00F82E6B">
        <w:tc>
          <w:tcPr>
            <w:tcW w:w="1350" w:type="dxa"/>
            <w:shd w:val="clear" w:color="auto" w:fill="auto"/>
          </w:tcPr>
          <w:p w14:paraId="245D2E31" w14:textId="77777777"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2</w:t>
            </w:r>
          </w:p>
        </w:tc>
        <w:tc>
          <w:tcPr>
            <w:tcW w:w="7506" w:type="dxa"/>
            <w:shd w:val="clear" w:color="auto" w:fill="auto"/>
          </w:tcPr>
          <w:p w14:paraId="25C1C806" w14:textId="5EDDFA40" w:rsidR="007C2D22" w:rsidRPr="00EB6217" w:rsidRDefault="007C2D22" w:rsidP="002432B4">
            <w:pPr>
              <w:pStyle w:val="AFMANormal"/>
              <w:spacing w:before="0" w:after="240" w:line="276" w:lineRule="auto"/>
              <w:rPr>
                <w:sz w:val="22"/>
                <w:szCs w:val="22"/>
              </w:rPr>
            </w:pPr>
            <w:r w:rsidRPr="00EB6217">
              <w:rPr>
                <w:sz w:val="22"/>
                <w:szCs w:val="22"/>
              </w:rPr>
              <w:t>Provides that the Determination commences</w:t>
            </w:r>
            <w:r w:rsidR="002432B4">
              <w:rPr>
                <w:sz w:val="22"/>
                <w:szCs w:val="22"/>
              </w:rPr>
              <w:t xml:space="preserve"> on 1 May 2020</w:t>
            </w:r>
            <w:r w:rsidRPr="00EB6217">
              <w:rPr>
                <w:sz w:val="22"/>
                <w:szCs w:val="22"/>
              </w:rPr>
              <w:t>.</w:t>
            </w:r>
          </w:p>
        </w:tc>
      </w:tr>
      <w:tr w:rsidR="007C2D22" w:rsidRPr="00EB6217" w14:paraId="313261E0" w14:textId="77777777" w:rsidTr="00F82E6B">
        <w:tc>
          <w:tcPr>
            <w:tcW w:w="1350" w:type="dxa"/>
            <w:shd w:val="clear" w:color="auto" w:fill="auto"/>
          </w:tcPr>
          <w:p w14:paraId="6260F2C7" w14:textId="77777777" w:rsidR="007C2D22" w:rsidRPr="00EB6217" w:rsidRDefault="0093176F" w:rsidP="0093176F">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7C2D22" w:rsidRPr="00EB6217">
              <w:rPr>
                <w:b/>
                <w:i/>
                <w:sz w:val="22"/>
                <w:szCs w:val="22"/>
              </w:rPr>
              <w:t>3</w:t>
            </w:r>
          </w:p>
        </w:tc>
        <w:tc>
          <w:tcPr>
            <w:tcW w:w="7506" w:type="dxa"/>
            <w:shd w:val="clear" w:color="auto" w:fill="auto"/>
          </w:tcPr>
          <w:p w14:paraId="3C4EAC3D" w14:textId="37873AAE" w:rsidR="007C2D22" w:rsidRPr="00EB6217" w:rsidRDefault="007C2D22" w:rsidP="0093176F">
            <w:pPr>
              <w:pStyle w:val="AFMANormal"/>
              <w:spacing w:before="0" w:after="240" w:line="276" w:lineRule="auto"/>
              <w:rPr>
                <w:sz w:val="22"/>
                <w:szCs w:val="22"/>
              </w:rPr>
            </w:pPr>
            <w:r w:rsidRPr="00EB6217">
              <w:rPr>
                <w:color w:val="000000"/>
                <w:sz w:val="22"/>
                <w:szCs w:val="22"/>
              </w:rPr>
              <w:t>Provides that the Determination</w:t>
            </w:r>
            <w:r w:rsidR="002172DB">
              <w:rPr>
                <w:color w:val="000000"/>
                <w:sz w:val="22"/>
                <w:szCs w:val="22"/>
              </w:rPr>
              <w:t xml:space="preserve"> ceases to have effect as if it</w:t>
            </w:r>
            <w:r w:rsidRPr="00EB6217">
              <w:rPr>
                <w:color w:val="000000"/>
                <w:sz w:val="22"/>
                <w:szCs w:val="22"/>
              </w:rPr>
              <w:t xml:space="preserve"> </w:t>
            </w:r>
            <w:r w:rsidR="009A06D3" w:rsidRPr="00EB6217">
              <w:rPr>
                <w:color w:val="000000"/>
                <w:sz w:val="22"/>
                <w:szCs w:val="22"/>
              </w:rPr>
              <w:t xml:space="preserve">is </w:t>
            </w:r>
            <w:r w:rsidR="0093176F">
              <w:rPr>
                <w:color w:val="000000"/>
                <w:sz w:val="22"/>
                <w:szCs w:val="22"/>
              </w:rPr>
              <w:t>revoked</w:t>
            </w:r>
            <w:r w:rsidR="0093176F" w:rsidRPr="00EB6217">
              <w:rPr>
                <w:color w:val="000000"/>
                <w:sz w:val="22"/>
                <w:szCs w:val="22"/>
              </w:rPr>
              <w:t xml:space="preserve"> </w:t>
            </w:r>
            <w:r w:rsidRPr="00EB6217">
              <w:rPr>
                <w:color w:val="000000"/>
                <w:sz w:val="22"/>
                <w:szCs w:val="22"/>
              </w:rPr>
              <w:t xml:space="preserve">on 1 </w:t>
            </w:r>
            <w:r w:rsidR="00E95AFD" w:rsidRPr="00EB6217">
              <w:rPr>
                <w:color w:val="000000"/>
                <w:sz w:val="22"/>
                <w:szCs w:val="22"/>
              </w:rPr>
              <w:t>May</w:t>
            </w:r>
            <w:r w:rsidR="00FA434D" w:rsidRPr="00EB6217">
              <w:rPr>
                <w:color w:val="000000"/>
                <w:sz w:val="22"/>
                <w:szCs w:val="22"/>
              </w:rPr>
              <w:t xml:space="preserve"> 202</w:t>
            </w:r>
            <w:r w:rsidR="0010406A">
              <w:rPr>
                <w:color w:val="000000"/>
                <w:sz w:val="22"/>
                <w:szCs w:val="22"/>
              </w:rPr>
              <w:t>1</w:t>
            </w:r>
            <w:r w:rsidR="00B375CE">
              <w:rPr>
                <w:color w:val="000000"/>
                <w:sz w:val="22"/>
                <w:szCs w:val="22"/>
              </w:rPr>
              <w:t xml:space="preserve"> unless earlier revoked.</w:t>
            </w:r>
          </w:p>
        </w:tc>
      </w:tr>
      <w:tr w:rsidR="002172DB" w:rsidRPr="00EB6217" w14:paraId="452EE160" w14:textId="77777777" w:rsidTr="00F82E6B">
        <w:tc>
          <w:tcPr>
            <w:tcW w:w="1350" w:type="dxa"/>
            <w:shd w:val="clear" w:color="auto" w:fill="auto"/>
          </w:tcPr>
          <w:p w14:paraId="53B3B7F5" w14:textId="570080BB" w:rsidR="002172DB" w:rsidRDefault="002172DB" w:rsidP="0093176F">
            <w:pPr>
              <w:pStyle w:val="AFMANormal"/>
              <w:spacing w:before="0" w:after="240" w:line="276" w:lineRule="auto"/>
              <w:rPr>
                <w:b/>
                <w:i/>
                <w:sz w:val="22"/>
                <w:szCs w:val="22"/>
              </w:rPr>
            </w:pPr>
            <w:r>
              <w:rPr>
                <w:b/>
                <w:i/>
                <w:sz w:val="22"/>
                <w:szCs w:val="22"/>
              </w:rPr>
              <w:t>Section 4</w:t>
            </w:r>
          </w:p>
        </w:tc>
        <w:tc>
          <w:tcPr>
            <w:tcW w:w="7506" w:type="dxa"/>
            <w:shd w:val="clear" w:color="auto" w:fill="auto"/>
          </w:tcPr>
          <w:p w14:paraId="30A50148" w14:textId="7EF9F52B" w:rsidR="002172DB" w:rsidRPr="00EB6217" w:rsidRDefault="002172DB" w:rsidP="0093176F">
            <w:pPr>
              <w:pStyle w:val="AFMANormal"/>
              <w:spacing w:before="0" w:after="240" w:line="276" w:lineRule="auto"/>
              <w:rPr>
                <w:color w:val="000000"/>
                <w:sz w:val="22"/>
                <w:szCs w:val="22"/>
              </w:rPr>
            </w:pPr>
            <w:r>
              <w:rPr>
                <w:color w:val="000000"/>
                <w:sz w:val="22"/>
                <w:szCs w:val="22"/>
              </w:rPr>
              <w:t xml:space="preserve">Provides the Determination is made </w:t>
            </w:r>
            <w:r w:rsidRPr="002172DB">
              <w:rPr>
                <w:rFonts w:eastAsia="Calibri"/>
                <w:snapToGrid/>
                <w:kern w:val="0"/>
                <w:sz w:val="22"/>
              </w:rPr>
              <w:t>pursuant to paragraph 17(6</w:t>
            </w:r>
            <w:proofErr w:type="gramStart"/>
            <w:r w:rsidRPr="002172DB">
              <w:rPr>
                <w:rFonts w:eastAsia="Calibri"/>
                <w:snapToGrid/>
                <w:kern w:val="0"/>
                <w:sz w:val="22"/>
              </w:rPr>
              <w:t>)(</w:t>
            </w:r>
            <w:proofErr w:type="gramEnd"/>
            <w:r w:rsidRPr="002172DB">
              <w:rPr>
                <w:rFonts w:eastAsia="Calibri"/>
                <w:snapToGrid/>
                <w:kern w:val="0"/>
                <w:sz w:val="22"/>
              </w:rPr>
              <w:t>aa) of the Act for the purpose of subsections 29(5) and 30(3) of the Management Plan</w:t>
            </w:r>
            <w:r w:rsidR="0041195C">
              <w:rPr>
                <w:rFonts w:eastAsia="Calibri"/>
                <w:snapToGrid/>
                <w:kern w:val="0"/>
                <w:sz w:val="22"/>
              </w:rPr>
              <w:t>.</w:t>
            </w:r>
          </w:p>
        </w:tc>
      </w:tr>
      <w:tr w:rsidR="00DA0F67" w:rsidRPr="00EB6217" w14:paraId="47CAF4A1" w14:textId="77777777" w:rsidTr="00F82E6B">
        <w:tc>
          <w:tcPr>
            <w:tcW w:w="1350" w:type="dxa"/>
            <w:shd w:val="clear" w:color="auto" w:fill="auto"/>
          </w:tcPr>
          <w:p w14:paraId="600BD980" w14:textId="2768BF8E" w:rsidR="00DA0F67" w:rsidRDefault="00DA0F67" w:rsidP="0093176F">
            <w:pPr>
              <w:pStyle w:val="AFMANormal"/>
              <w:spacing w:before="0" w:after="240" w:line="276" w:lineRule="auto"/>
              <w:rPr>
                <w:b/>
                <w:i/>
                <w:sz w:val="22"/>
                <w:szCs w:val="22"/>
              </w:rPr>
            </w:pPr>
            <w:r>
              <w:rPr>
                <w:b/>
                <w:i/>
                <w:sz w:val="22"/>
                <w:szCs w:val="22"/>
              </w:rPr>
              <w:t xml:space="preserve">Section </w:t>
            </w:r>
            <w:r w:rsidR="002172DB">
              <w:rPr>
                <w:b/>
                <w:i/>
                <w:sz w:val="22"/>
                <w:szCs w:val="22"/>
              </w:rPr>
              <w:t>5</w:t>
            </w:r>
          </w:p>
        </w:tc>
        <w:tc>
          <w:tcPr>
            <w:tcW w:w="7506" w:type="dxa"/>
            <w:shd w:val="clear" w:color="auto" w:fill="auto"/>
          </w:tcPr>
          <w:p w14:paraId="07120310" w14:textId="460D1E6D" w:rsidR="005812B6" w:rsidRDefault="005812B6" w:rsidP="002172DB">
            <w:pPr>
              <w:spacing w:after="120"/>
              <w:rPr>
                <w:i/>
                <w:sz w:val="22"/>
                <w:szCs w:val="22"/>
              </w:rPr>
            </w:pPr>
            <w:r>
              <w:rPr>
                <w:color w:val="000000"/>
                <w:sz w:val="22"/>
                <w:szCs w:val="22"/>
              </w:rPr>
              <w:t>S</w:t>
            </w:r>
            <w:r w:rsidR="002172DB">
              <w:rPr>
                <w:color w:val="000000"/>
                <w:sz w:val="22"/>
                <w:szCs w:val="22"/>
              </w:rPr>
              <w:t>ubs</w:t>
            </w:r>
            <w:r>
              <w:rPr>
                <w:color w:val="000000"/>
                <w:sz w:val="22"/>
                <w:szCs w:val="22"/>
              </w:rPr>
              <w:t xml:space="preserve">ection </w:t>
            </w:r>
            <w:r w:rsidR="002172DB">
              <w:rPr>
                <w:color w:val="000000"/>
                <w:sz w:val="22"/>
                <w:szCs w:val="22"/>
              </w:rPr>
              <w:t>5</w:t>
            </w:r>
            <w:r>
              <w:rPr>
                <w:color w:val="000000"/>
                <w:sz w:val="22"/>
                <w:szCs w:val="22"/>
              </w:rPr>
              <w:t xml:space="preserve">(1) defines </w:t>
            </w:r>
            <w:r>
              <w:rPr>
                <w:sz w:val="22"/>
                <w:szCs w:val="22"/>
              </w:rPr>
              <w:t xml:space="preserve">the Act to be the </w:t>
            </w:r>
            <w:r>
              <w:rPr>
                <w:i/>
                <w:sz w:val="22"/>
                <w:szCs w:val="22"/>
              </w:rPr>
              <w:t>Fisheries Management Act 1991</w:t>
            </w:r>
            <w:r w:rsidR="002172DB">
              <w:rPr>
                <w:sz w:val="22"/>
                <w:szCs w:val="22"/>
              </w:rPr>
              <w:t>;</w:t>
            </w:r>
            <w:r>
              <w:rPr>
                <w:sz w:val="22"/>
                <w:szCs w:val="22"/>
              </w:rPr>
              <w:t xml:space="preserve"> the Management Plan to be the </w:t>
            </w:r>
            <w:r>
              <w:rPr>
                <w:i/>
                <w:sz w:val="22"/>
                <w:szCs w:val="22"/>
              </w:rPr>
              <w:t>Small Pelagic Fishery Management Plan 2009</w:t>
            </w:r>
            <w:r w:rsidR="002172DB">
              <w:rPr>
                <w:i/>
                <w:sz w:val="22"/>
                <w:szCs w:val="22"/>
              </w:rPr>
              <w:t xml:space="preserve">; </w:t>
            </w:r>
            <w:r w:rsidR="002172DB" w:rsidRPr="002172DB">
              <w:rPr>
                <w:sz w:val="22"/>
                <w:szCs w:val="22"/>
              </w:rPr>
              <w:t>and</w:t>
            </w:r>
            <w:r w:rsidR="002172DB">
              <w:rPr>
                <w:i/>
                <w:sz w:val="22"/>
                <w:szCs w:val="22"/>
              </w:rPr>
              <w:t xml:space="preserve"> </w:t>
            </w:r>
            <w:r w:rsidR="002172DB" w:rsidRPr="002172DB">
              <w:rPr>
                <w:sz w:val="22"/>
                <w:szCs w:val="20"/>
                <w:lang w:val="en-AU" w:eastAsia="en-AU"/>
              </w:rPr>
              <w:t>Fishing season 2020-202</w:t>
            </w:r>
            <w:r w:rsidR="000E44A2">
              <w:rPr>
                <w:sz w:val="22"/>
                <w:szCs w:val="20"/>
                <w:lang w:val="en-AU" w:eastAsia="en-AU"/>
              </w:rPr>
              <w:t>1</w:t>
            </w:r>
            <w:r w:rsidR="002172DB">
              <w:rPr>
                <w:sz w:val="22"/>
                <w:szCs w:val="20"/>
                <w:lang w:val="en-AU" w:eastAsia="en-AU"/>
              </w:rPr>
              <w:t xml:space="preserve"> </w:t>
            </w:r>
            <w:r w:rsidR="002172DB" w:rsidRPr="002172DB">
              <w:rPr>
                <w:sz w:val="22"/>
                <w:szCs w:val="20"/>
                <w:lang w:val="en-AU" w:eastAsia="en-AU"/>
              </w:rPr>
              <w:t>to be</w:t>
            </w:r>
            <w:r w:rsidR="002172DB" w:rsidRPr="002172DB">
              <w:rPr>
                <w:i/>
                <w:sz w:val="22"/>
                <w:szCs w:val="20"/>
                <w:lang w:val="en-AU" w:eastAsia="en-AU"/>
              </w:rPr>
              <w:t xml:space="preserve"> the period starting on 1 May 2020 and ending on 30 April 2021.</w:t>
            </w:r>
            <w:r w:rsidR="002172DB" w:rsidRPr="002172DB">
              <w:rPr>
                <w:sz w:val="22"/>
                <w:szCs w:val="20"/>
                <w:lang w:val="en-AU" w:eastAsia="en-AU"/>
              </w:rPr>
              <w:t xml:space="preserve"> </w:t>
            </w:r>
          </w:p>
          <w:p w14:paraId="41A3E668" w14:textId="78D98C09" w:rsidR="00DA0F67" w:rsidRPr="00EB6217" w:rsidRDefault="005812B6" w:rsidP="002172DB">
            <w:pPr>
              <w:pStyle w:val="AFMANormal"/>
              <w:spacing w:before="0" w:after="240" w:line="276" w:lineRule="auto"/>
              <w:rPr>
                <w:color w:val="000000"/>
                <w:sz w:val="22"/>
                <w:szCs w:val="22"/>
              </w:rPr>
            </w:pPr>
            <w:r w:rsidRPr="002172DB">
              <w:rPr>
                <w:sz w:val="22"/>
                <w:szCs w:val="22"/>
              </w:rPr>
              <w:t>S</w:t>
            </w:r>
            <w:r w:rsidR="002172DB" w:rsidRPr="002172DB">
              <w:rPr>
                <w:sz w:val="22"/>
                <w:szCs w:val="22"/>
              </w:rPr>
              <w:t>ubs</w:t>
            </w:r>
            <w:r w:rsidRPr="002172DB">
              <w:rPr>
                <w:sz w:val="22"/>
                <w:szCs w:val="22"/>
              </w:rPr>
              <w:t xml:space="preserve">ection </w:t>
            </w:r>
            <w:r w:rsidR="002172DB" w:rsidRPr="002172DB">
              <w:rPr>
                <w:sz w:val="22"/>
                <w:szCs w:val="22"/>
              </w:rPr>
              <w:t>5(2) provides that</w:t>
            </w:r>
            <w:r w:rsidR="002172DB">
              <w:rPr>
                <w:i/>
                <w:sz w:val="22"/>
                <w:szCs w:val="22"/>
              </w:rPr>
              <w:t xml:space="preserve"> </w:t>
            </w:r>
            <w:r w:rsidR="002172DB">
              <w:rPr>
                <w:rFonts w:eastAsia="Calibri"/>
                <w:snapToGrid/>
                <w:kern w:val="0"/>
                <w:sz w:val="22"/>
              </w:rPr>
              <w:t>a</w:t>
            </w:r>
            <w:r w:rsidR="002172DB" w:rsidRPr="002172DB">
              <w:rPr>
                <w:rFonts w:eastAsia="Calibri"/>
                <w:snapToGrid/>
                <w:kern w:val="0"/>
                <w:sz w:val="22"/>
              </w:rPr>
              <w:t xml:space="preserve"> term used in this instrument that is defined for the purposes of the Management Plan has the same meaning in this instrument as it has in the Management Plan</w:t>
            </w:r>
            <w:r w:rsidR="002172DB">
              <w:rPr>
                <w:rFonts w:eastAsia="Calibri"/>
                <w:snapToGrid/>
                <w:kern w:val="0"/>
                <w:sz w:val="22"/>
              </w:rPr>
              <w:t>.</w:t>
            </w:r>
          </w:p>
        </w:tc>
      </w:tr>
      <w:tr w:rsidR="007C2D22" w:rsidRPr="00EB6217" w14:paraId="121390B8" w14:textId="77777777" w:rsidTr="00F82E6B">
        <w:tc>
          <w:tcPr>
            <w:tcW w:w="1350" w:type="dxa"/>
            <w:shd w:val="clear" w:color="auto" w:fill="auto"/>
          </w:tcPr>
          <w:p w14:paraId="0353E3C2" w14:textId="2EAFAECD" w:rsidR="007C2D22" w:rsidRPr="00EB6217" w:rsidRDefault="0093176F" w:rsidP="002172DB">
            <w:pPr>
              <w:pStyle w:val="AFMANormal"/>
              <w:spacing w:before="0" w:after="240" w:line="276" w:lineRule="auto"/>
              <w:rPr>
                <w:b/>
                <w:i/>
                <w:sz w:val="22"/>
                <w:szCs w:val="22"/>
              </w:rPr>
            </w:pPr>
            <w:r>
              <w:rPr>
                <w:b/>
                <w:i/>
                <w:sz w:val="22"/>
                <w:szCs w:val="22"/>
              </w:rPr>
              <w:t>Section</w:t>
            </w:r>
            <w:r w:rsidRPr="00EB6217">
              <w:rPr>
                <w:b/>
                <w:i/>
                <w:sz w:val="22"/>
                <w:szCs w:val="22"/>
              </w:rPr>
              <w:t xml:space="preserve"> </w:t>
            </w:r>
            <w:r w:rsidR="002172DB">
              <w:rPr>
                <w:b/>
                <w:i/>
                <w:sz w:val="22"/>
                <w:szCs w:val="22"/>
              </w:rPr>
              <w:t>6</w:t>
            </w:r>
          </w:p>
        </w:tc>
        <w:tc>
          <w:tcPr>
            <w:tcW w:w="7506" w:type="dxa"/>
            <w:shd w:val="clear" w:color="auto" w:fill="auto"/>
          </w:tcPr>
          <w:p w14:paraId="44552905" w14:textId="57EDFA51" w:rsidR="007C2D22" w:rsidRPr="00EB6217" w:rsidRDefault="007C2D22" w:rsidP="00AB23C7">
            <w:pPr>
              <w:pStyle w:val="AFMANormal"/>
              <w:spacing w:before="0" w:after="240" w:line="276" w:lineRule="auto"/>
              <w:rPr>
                <w:sz w:val="22"/>
                <w:szCs w:val="22"/>
              </w:rPr>
            </w:pPr>
            <w:r w:rsidRPr="00EB6217">
              <w:rPr>
                <w:bCs/>
                <w:iCs/>
                <w:sz w:val="22"/>
                <w:szCs w:val="22"/>
              </w:rPr>
              <w:t xml:space="preserve">Determines the </w:t>
            </w:r>
            <w:r w:rsidRPr="00EB6217">
              <w:rPr>
                <w:sz w:val="22"/>
                <w:szCs w:val="22"/>
              </w:rPr>
              <w:t xml:space="preserve">percentage and weight, under section </w:t>
            </w:r>
            <w:r w:rsidR="00E95AFD" w:rsidRPr="00EB6217">
              <w:rPr>
                <w:sz w:val="22"/>
                <w:szCs w:val="22"/>
              </w:rPr>
              <w:t xml:space="preserve">29 of the </w:t>
            </w:r>
            <w:r w:rsidR="002172DB">
              <w:rPr>
                <w:sz w:val="22"/>
                <w:szCs w:val="22"/>
              </w:rPr>
              <w:t xml:space="preserve">Management </w:t>
            </w:r>
            <w:r w:rsidR="00E95AFD" w:rsidRPr="00EB6217">
              <w:rPr>
                <w:sz w:val="22"/>
                <w:szCs w:val="22"/>
              </w:rPr>
              <w:t>Plan (Obligation</w:t>
            </w:r>
            <w:r w:rsidRPr="00EB6217">
              <w:rPr>
                <w:sz w:val="22"/>
                <w:szCs w:val="22"/>
              </w:rPr>
              <w:t xml:space="preserve"> relating to </w:t>
            </w:r>
            <w:proofErr w:type="spellStart"/>
            <w:r w:rsidRPr="00EB6217">
              <w:rPr>
                <w:sz w:val="22"/>
                <w:szCs w:val="22"/>
              </w:rPr>
              <w:t>overcatch</w:t>
            </w:r>
            <w:proofErr w:type="spellEnd"/>
            <w:r w:rsidRPr="00EB6217">
              <w:rPr>
                <w:sz w:val="22"/>
                <w:szCs w:val="22"/>
              </w:rPr>
              <w:t>), and</w:t>
            </w:r>
            <w:r w:rsidR="00E95AFD" w:rsidRPr="00EB6217">
              <w:rPr>
                <w:sz w:val="22"/>
                <w:szCs w:val="22"/>
              </w:rPr>
              <w:t xml:space="preserve"> the percentage under section 30</w:t>
            </w:r>
            <w:r w:rsidRPr="00EB6217">
              <w:rPr>
                <w:sz w:val="22"/>
                <w:szCs w:val="22"/>
              </w:rPr>
              <w:t xml:space="preserve"> of the </w:t>
            </w:r>
            <w:r w:rsidR="002172DB">
              <w:rPr>
                <w:sz w:val="22"/>
                <w:szCs w:val="22"/>
              </w:rPr>
              <w:t xml:space="preserve">Management </w:t>
            </w:r>
            <w:r w:rsidRPr="00EB6217">
              <w:rPr>
                <w:sz w:val="22"/>
                <w:szCs w:val="22"/>
              </w:rPr>
              <w:t>Plan (</w:t>
            </w:r>
            <w:r w:rsidR="00E95AFD" w:rsidRPr="00EB6217">
              <w:rPr>
                <w:sz w:val="22"/>
                <w:szCs w:val="22"/>
              </w:rPr>
              <w:t>Obligation</w:t>
            </w:r>
            <w:r w:rsidRPr="00EB6217">
              <w:rPr>
                <w:sz w:val="22"/>
                <w:szCs w:val="22"/>
              </w:rPr>
              <w:t xml:space="preserve"> relating to </w:t>
            </w:r>
            <w:proofErr w:type="spellStart"/>
            <w:r w:rsidRPr="00EB6217">
              <w:rPr>
                <w:sz w:val="22"/>
                <w:szCs w:val="22"/>
              </w:rPr>
              <w:t>undercatch</w:t>
            </w:r>
            <w:proofErr w:type="spellEnd"/>
            <w:r w:rsidRPr="00EB6217">
              <w:rPr>
                <w:sz w:val="22"/>
                <w:szCs w:val="22"/>
              </w:rPr>
              <w:t xml:space="preserve">) for each quota species </w:t>
            </w:r>
            <w:r w:rsidR="00B16E22" w:rsidRPr="00EB6217">
              <w:rPr>
                <w:sz w:val="22"/>
                <w:szCs w:val="22"/>
              </w:rPr>
              <w:t xml:space="preserve">for a sub-area </w:t>
            </w:r>
            <w:r w:rsidRPr="00EB6217">
              <w:rPr>
                <w:sz w:val="22"/>
                <w:szCs w:val="22"/>
              </w:rPr>
              <w:t>for the 20</w:t>
            </w:r>
            <w:r w:rsidR="002172DB">
              <w:rPr>
                <w:sz w:val="22"/>
                <w:szCs w:val="22"/>
              </w:rPr>
              <w:t>20-2021</w:t>
            </w:r>
            <w:r w:rsidRPr="00EB6217">
              <w:rPr>
                <w:sz w:val="22"/>
                <w:szCs w:val="22"/>
              </w:rPr>
              <w:t xml:space="preserve"> fishing season commencing on 1 </w:t>
            </w:r>
            <w:r w:rsidR="00E95AFD" w:rsidRPr="00EB6217">
              <w:rPr>
                <w:sz w:val="22"/>
                <w:szCs w:val="22"/>
              </w:rPr>
              <w:t>May</w:t>
            </w:r>
            <w:r w:rsidRPr="00EB6217">
              <w:rPr>
                <w:sz w:val="22"/>
                <w:szCs w:val="22"/>
              </w:rPr>
              <w:t xml:space="preserve"> 20</w:t>
            </w:r>
            <w:r w:rsidR="0010406A">
              <w:rPr>
                <w:sz w:val="22"/>
                <w:szCs w:val="22"/>
              </w:rPr>
              <w:t>20</w:t>
            </w:r>
            <w:r w:rsidRPr="00EB6217">
              <w:rPr>
                <w:sz w:val="22"/>
                <w:szCs w:val="22"/>
              </w:rPr>
              <w:t xml:space="preserve"> and ending on </w:t>
            </w:r>
            <w:r w:rsidR="00E95AFD" w:rsidRPr="00EB6217">
              <w:rPr>
                <w:sz w:val="22"/>
                <w:szCs w:val="22"/>
              </w:rPr>
              <w:t>30 April</w:t>
            </w:r>
            <w:r w:rsidR="00FA434D" w:rsidRPr="00EB6217">
              <w:rPr>
                <w:sz w:val="22"/>
                <w:szCs w:val="22"/>
              </w:rPr>
              <w:t xml:space="preserve"> 202</w:t>
            </w:r>
            <w:r w:rsidR="0010406A">
              <w:rPr>
                <w:sz w:val="22"/>
                <w:szCs w:val="22"/>
              </w:rPr>
              <w:t>1</w:t>
            </w:r>
            <w:r w:rsidRPr="00EB6217">
              <w:rPr>
                <w:sz w:val="22"/>
                <w:szCs w:val="22"/>
              </w:rPr>
              <w:t>.</w:t>
            </w:r>
          </w:p>
        </w:tc>
      </w:tr>
    </w:tbl>
    <w:p w14:paraId="46D3C07F" w14:textId="77777777" w:rsidR="00E75F5B" w:rsidRDefault="000C4985" w:rsidP="0093176F">
      <w:pPr>
        <w:spacing w:before="240" w:after="240" w:line="276" w:lineRule="auto"/>
        <w:jc w:val="center"/>
        <w:rPr>
          <w:sz w:val="22"/>
          <w:szCs w:val="22"/>
        </w:rPr>
      </w:pPr>
      <w:r w:rsidRPr="00EB6217">
        <w:rPr>
          <w:sz w:val="22"/>
          <w:szCs w:val="22"/>
        </w:rPr>
        <w:br w:type="page"/>
      </w:r>
    </w:p>
    <w:p w14:paraId="61403039" w14:textId="15423347" w:rsidR="00E75F5B" w:rsidRPr="00E75F5B" w:rsidRDefault="00E75F5B" w:rsidP="00E75F5B">
      <w:pPr>
        <w:spacing w:before="240" w:after="240" w:line="276" w:lineRule="auto"/>
        <w:jc w:val="right"/>
        <w:rPr>
          <w:b/>
          <w:sz w:val="22"/>
          <w:szCs w:val="22"/>
        </w:rPr>
      </w:pPr>
      <w:r w:rsidRPr="00E75F5B">
        <w:rPr>
          <w:b/>
          <w:sz w:val="22"/>
          <w:szCs w:val="22"/>
        </w:rPr>
        <w:lastRenderedPageBreak/>
        <w:t>ATTACHMENT B</w:t>
      </w:r>
    </w:p>
    <w:p w14:paraId="13A39C8B" w14:textId="448C9BC2" w:rsidR="001E1575" w:rsidRPr="00457259" w:rsidRDefault="001E1575" w:rsidP="0093176F">
      <w:pPr>
        <w:spacing w:before="240" w:after="240" w:line="276" w:lineRule="auto"/>
        <w:jc w:val="center"/>
        <w:rPr>
          <w:rFonts w:eastAsia="Calibri"/>
          <w:b/>
          <w:sz w:val="22"/>
          <w:szCs w:val="22"/>
        </w:rPr>
      </w:pPr>
      <w:r w:rsidRPr="00457259">
        <w:rPr>
          <w:rFonts w:eastAsia="Calibri"/>
          <w:b/>
          <w:sz w:val="22"/>
          <w:szCs w:val="22"/>
        </w:rPr>
        <w:t>Statement of Compatibility with Human Rights</w:t>
      </w:r>
    </w:p>
    <w:p w14:paraId="06B92EBB" w14:textId="77777777" w:rsidR="001E1575" w:rsidRPr="00266A93" w:rsidRDefault="001E1575" w:rsidP="0093176F">
      <w:pPr>
        <w:spacing w:before="240" w:after="240" w:line="276" w:lineRule="auto"/>
        <w:jc w:val="center"/>
        <w:rPr>
          <w:sz w:val="22"/>
          <w:szCs w:val="22"/>
        </w:rPr>
      </w:pPr>
      <w:r w:rsidRPr="00266A93">
        <w:rPr>
          <w:sz w:val="22"/>
          <w:szCs w:val="22"/>
        </w:rPr>
        <w:t xml:space="preserve">Prepared in accordance with Part 3 of the </w:t>
      </w:r>
      <w:r w:rsidRPr="00CA70AC">
        <w:rPr>
          <w:i/>
          <w:sz w:val="22"/>
          <w:szCs w:val="22"/>
        </w:rPr>
        <w:t>Human Rights (Parliamentary Scrutiny) Act 2011</w:t>
      </w:r>
    </w:p>
    <w:p w14:paraId="0942722F" w14:textId="5FA8CAFE" w:rsidR="001E1575" w:rsidRPr="00266A93" w:rsidRDefault="001E1575" w:rsidP="0093176F">
      <w:pPr>
        <w:spacing w:before="240" w:after="480" w:line="276" w:lineRule="auto"/>
        <w:jc w:val="center"/>
        <w:rPr>
          <w:b/>
          <w:i/>
          <w:sz w:val="22"/>
          <w:szCs w:val="22"/>
        </w:rPr>
      </w:pPr>
      <w:r w:rsidRPr="00266A93">
        <w:rPr>
          <w:b/>
          <w:i/>
          <w:sz w:val="22"/>
          <w:szCs w:val="22"/>
        </w:rPr>
        <w:t xml:space="preserve">Small Pelagic Fishery </w:t>
      </w:r>
      <w:r>
        <w:rPr>
          <w:b/>
          <w:i/>
          <w:sz w:val="22"/>
          <w:szCs w:val="22"/>
        </w:rPr>
        <w:t>(</w:t>
      </w:r>
      <w:proofErr w:type="spellStart"/>
      <w:r>
        <w:rPr>
          <w:b/>
          <w:i/>
          <w:sz w:val="22"/>
          <w:szCs w:val="22"/>
        </w:rPr>
        <w:t>Undercatch</w:t>
      </w:r>
      <w:proofErr w:type="spellEnd"/>
      <w:r>
        <w:rPr>
          <w:b/>
          <w:i/>
          <w:sz w:val="22"/>
          <w:szCs w:val="22"/>
        </w:rPr>
        <w:t xml:space="preserve"> and </w:t>
      </w:r>
      <w:proofErr w:type="spellStart"/>
      <w:r>
        <w:rPr>
          <w:b/>
          <w:i/>
          <w:sz w:val="22"/>
          <w:szCs w:val="22"/>
        </w:rPr>
        <w:t>Overcatch</w:t>
      </w:r>
      <w:proofErr w:type="spellEnd"/>
      <w:r>
        <w:rPr>
          <w:b/>
          <w:i/>
          <w:sz w:val="22"/>
          <w:szCs w:val="22"/>
        </w:rPr>
        <w:t>) Determination 20</w:t>
      </w:r>
      <w:r w:rsidR="0010406A">
        <w:rPr>
          <w:b/>
          <w:i/>
          <w:sz w:val="22"/>
          <w:szCs w:val="22"/>
        </w:rPr>
        <w:t>20</w:t>
      </w:r>
    </w:p>
    <w:p w14:paraId="55233C08" w14:textId="77777777" w:rsidR="001E1575" w:rsidRPr="00457259" w:rsidRDefault="001E1575" w:rsidP="00E75F5B">
      <w:pPr>
        <w:spacing w:before="240" w:after="240" w:line="276" w:lineRule="auto"/>
        <w:rPr>
          <w:sz w:val="22"/>
          <w:szCs w:val="22"/>
        </w:rPr>
      </w:pPr>
      <w:r w:rsidRPr="00457259">
        <w:rPr>
          <w:sz w:val="22"/>
          <w:szCs w:val="22"/>
        </w:rPr>
        <w:t xml:space="preserve">This </w:t>
      </w:r>
      <w:r>
        <w:rPr>
          <w:sz w:val="22"/>
          <w:szCs w:val="22"/>
        </w:rPr>
        <w:t>legislative instrument</w:t>
      </w:r>
      <w:r w:rsidRPr="00457259">
        <w:rPr>
          <w:sz w:val="22"/>
          <w:szCs w:val="22"/>
        </w:rPr>
        <w:t xml:space="preserve"> is compatible with the human rights and freedoms </w:t>
      </w:r>
      <w:proofErr w:type="spellStart"/>
      <w:r w:rsidRPr="00457259">
        <w:rPr>
          <w:sz w:val="22"/>
          <w:szCs w:val="22"/>
        </w:rPr>
        <w:t>recognised</w:t>
      </w:r>
      <w:proofErr w:type="spellEnd"/>
      <w:r w:rsidRPr="00457259">
        <w:rPr>
          <w:sz w:val="22"/>
          <w:szCs w:val="22"/>
        </w:rPr>
        <w:t xml:space="preserve"> or declared in the international instruments listed in section 3 of the </w:t>
      </w:r>
      <w:r w:rsidRPr="00457259">
        <w:rPr>
          <w:i/>
          <w:sz w:val="22"/>
          <w:szCs w:val="22"/>
        </w:rPr>
        <w:t>Human Rights (Parliamentary Scrutiny) Act 2011</w:t>
      </w:r>
      <w:r w:rsidRPr="00457259">
        <w:rPr>
          <w:sz w:val="22"/>
          <w:szCs w:val="22"/>
        </w:rPr>
        <w:t>.</w:t>
      </w:r>
    </w:p>
    <w:p w14:paraId="43C2D945" w14:textId="77777777" w:rsidR="001E1575" w:rsidRPr="00457259" w:rsidRDefault="001E1575" w:rsidP="0093176F">
      <w:pPr>
        <w:spacing w:before="240" w:after="240" w:line="276" w:lineRule="auto"/>
        <w:jc w:val="both"/>
        <w:rPr>
          <w:b/>
          <w:sz w:val="22"/>
          <w:szCs w:val="22"/>
        </w:rPr>
      </w:pPr>
      <w:r w:rsidRPr="00457259">
        <w:rPr>
          <w:b/>
          <w:sz w:val="22"/>
          <w:szCs w:val="22"/>
        </w:rPr>
        <w:t xml:space="preserve">Overview of the </w:t>
      </w:r>
      <w:r>
        <w:rPr>
          <w:b/>
          <w:sz w:val="22"/>
          <w:szCs w:val="22"/>
        </w:rPr>
        <w:t>legislative instrument</w:t>
      </w:r>
    </w:p>
    <w:p w14:paraId="25160828" w14:textId="77777777" w:rsidR="001E1575" w:rsidRPr="00457259" w:rsidRDefault="001E1575" w:rsidP="0093176F">
      <w:pPr>
        <w:autoSpaceDE w:val="0"/>
        <w:autoSpaceDN w:val="0"/>
        <w:adjustRightInd w:val="0"/>
        <w:spacing w:before="240" w:after="240" w:line="276" w:lineRule="auto"/>
        <w:jc w:val="both"/>
        <w:rPr>
          <w:color w:val="000000"/>
          <w:sz w:val="22"/>
          <w:szCs w:val="22"/>
        </w:rPr>
      </w:pPr>
      <w:r>
        <w:rPr>
          <w:color w:val="000000"/>
          <w:sz w:val="22"/>
          <w:szCs w:val="22"/>
        </w:rPr>
        <w:t>Subsection</w:t>
      </w:r>
      <w:r w:rsidRPr="00457259">
        <w:rPr>
          <w:color w:val="000000"/>
          <w:sz w:val="22"/>
          <w:szCs w:val="22"/>
        </w:rPr>
        <w:t xml:space="preserve"> 17</w:t>
      </w:r>
      <w:r>
        <w:rPr>
          <w:color w:val="000000"/>
          <w:sz w:val="22"/>
          <w:szCs w:val="22"/>
        </w:rPr>
        <w:t>(1)</w:t>
      </w:r>
      <w:r w:rsidRPr="00457259">
        <w:rPr>
          <w:color w:val="000000"/>
          <w:sz w:val="22"/>
          <w:szCs w:val="22"/>
        </w:rPr>
        <w:t xml:space="preserve"> of the </w:t>
      </w:r>
      <w:r w:rsidRPr="00457259">
        <w:rPr>
          <w:i/>
          <w:color w:val="000000"/>
          <w:sz w:val="22"/>
          <w:szCs w:val="22"/>
        </w:rPr>
        <w:t>Small Pelagic Fishery Management Plan</w:t>
      </w:r>
      <w:r w:rsidRPr="00457259">
        <w:rPr>
          <w:color w:val="000000"/>
          <w:sz w:val="22"/>
          <w:szCs w:val="22"/>
        </w:rPr>
        <w:t xml:space="preserve"> </w:t>
      </w:r>
      <w:r w:rsidRPr="00457259">
        <w:rPr>
          <w:i/>
          <w:iCs/>
          <w:color w:val="000000"/>
          <w:sz w:val="22"/>
          <w:szCs w:val="22"/>
        </w:rPr>
        <w:t xml:space="preserve">2009 </w:t>
      </w:r>
      <w:r w:rsidRPr="00457259">
        <w:rPr>
          <w:color w:val="000000"/>
          <w:sz w:val="22"/>
          <w:szCs w:val="22"/>
        </w:rPr>
        <w:t xml:space="preserve">(the </w:t>
      </w:r>
      <w:r w:rsidR="0093176F">
        <w:rPr>
          <w:color w:val="000000"/>
          <w:sz w:val="22"/>
          <w:szCs w:val="22"/>
        </w:rPr>
        <w:t xml:space="preserve">Management </w:t>
      </w:r>
      <w:r w:rsidRPr="00457259">
        <w:rPr>
          <w:color w:val="000000"/>
          <w:sz w:val="22"/>
          <w:szCs w:val="22"/>
        </w:rPr>
        <w:t xml:space="preserve">Plan) provides that </w:t>
      </w:r>
      <w:r>
        <w:rPr>
          <w:color w:val="000000"/>
          <w:sz w:val="22"/>
          <w:szCs w:val="22"/>
        </w:rPr>
        <w:t>the Australian Fisheries Management Authority (</w:t>
      </w:r>
      <w:r w:rsidR="0093176F">
        <w:rPr>
          <w:color w:val="000000"/>
          <w:sz w:val="22"/>
          <w:szCs w:val="22"/>
        </w:rPr>
        <w:t>the Authority</w:t>
      </w:r>
      <w:r>
        <w:rPr>
          <w:color w:val="000000"/>
          <w:sz w:val="22"/>
          <w:szCs w:val="22"/>
        </w:rPr>
        <w:t>)</w:t>
      </w:r>
      <w:r w:rsidRPr="00457259">
        <w:rPr>
          <w:color w:val="000000"/>
          <w:sz w:val="22"/>
          <w:szCs w:val="22"/>
        </w:rPr>
        <w:t xml:space="preserve"> must determine a Total Allowable Catch (TAC) for each quota species for a sub-area of the fishery for a season before the start of the season. </w:t>
      </w:r>
      <w:r>
        <w:rPr>
          <w:color w:val="000000"/>
          <w:sz w:val="22"/>
          <w:szCs w:val="22"/>
        </w:rPr>
        <w:t xml:space="preserve"> </w:t>
      </w:r>
      <w:r w:rsidRPr="00457259">
        <w:rPr>
          <w:color w:val="000000"/>
          <w:sz w:val="22"/>
          <w:szCs w:val="22"/>
        </w:rPr>
        <w:t>The determination of a TAC must specify the TAC expressed in whole weight or a specified other weight and must specify the sub-area of the fishery to which the TAC applies, or if the TAC applies to a part of the sub-area, that part of the sub-area</w:t>
      </w:r>
      <w:r>
        <w:rPr>
          <w:color w:val="000000"/>
          <w:sz w:val="22"/>
          <w:szCs w:val="22"/>
        </w:rPr>
        <w:t xml:space="preserve"> (see subsection 17(4) of the Plan)</w:t>
      </w:r>
      <w:r w:rsidRPr="00457259">
        <w:rPr>
          <w:color w:val="000000"/>
          <w:sz w:val="22"/>
          <w:szCs w:val="22"/>
        </w:rPr>
        <w:t>.</w:t>
      </w:r>
    </w:p>
    <w:p w14:paraId="5943A312" w14:textId="77777777"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Section 18 of the </w:t>
      </w:r>
      <w:r w:rsidR="0093176F">
        <w:rPr>
          <w:color w:val="000000"/>
          <w:sz w:val="22"/>
          <w:szCs w:val="22"/>
        </w:rPr>
        <w:t xml:space="preserve">Management </w:t>
      </w:r>
      <w:r w:rsidRPr="00457259">
        <w:rPr>
          <w:color w:val="000000"/>
          <w:sz w:val="22"/>
          <w:szCs w:val="22"/>
        </w:rPr>
        <w:t xml:space="preserve">Plan provides that, before </w:t>
      </w:r>
      <w:r w:rsidR="0093176F">
        <w:rPr>
          <w:color w:val="000000"/>
          <w:sz w:val="22"/>
          <w:szCs w:val="22"/>
        </w:rPr>
        <w:t>the Authority</w:t>
      </w:r>
      <w:r w:rsidR="0093176F" w:rsidRPr="00457259">
        <w:rPr>
          <w:color w:val="000000"/>
          <w:sz w:val="22"/>
          <w:szCs w:val="22"/>
        </w:rPr>
        <w:t xml:space="preserve"> </w:t>
      </w:r>
      <w:r w:rsidRPr="00457259">
        <w:rPr>
          <w:color w:val="000000"/>
          <w:sz w:val="22"/>
          <w:szCs w:val="22"/>
        </w:rPr>
        <w:t>determines a TAC for a quota species for a sub-area or part of a sub-area for a season, it must consult and consider the views of each relevant management advisory committee. It must take into account advice from the relevant fishery assessment group about the stock status of a quota species and may consider the views of any other interested person. It must also take into account all fishing mortality from all sub-areas within the fishery and overlapping or adjacent fisheries, the ecological implications of harvesting the TAC, the distribution and population structure of the species and the precautionary principle.</w:t>
      </w:r>
    </w:p>
    <w:p w14:paraId="12D3E0C1" w14:textId="5F748C5E"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sidR="0093176F">
        <w:rPr>
          <w:i/>
          <w:sz w:val="22"/>
          <w:szCs w:val="22"/>
        </w:rPr>
        <w:t>(</w:t>
      </w:r>
      <w:proofErr w:type="spellStart"/>
      <w:r w:rsidR="0093176F">
        <w:rPr>
          <w:i/>
          <w:sz w:val="22"/>
          <w:szCs w:val="22"/>
        </w:rPr>
        <w:t>Undercatch</w:t>
      </w:r>
      <w:proofErr w:type="spellEnd"/>
      <w:r w:rsidR="0093176F">
        <w:rPr>
          <w:i/>
          <w:sz w:val="22"/>
          <w:szCs w:val="22"/>
        </w:rPr>
        <w:t xml:space="preserve"> and </w:t>
      </w:r>
      <w:proofErr w:type="spellStart"/>
      <w:r w:rsidR="0093176F">
        <w:rPr>
          <w:i/>
          <w:sz w:val="22"/>
          <w:szCs w:val="22"/>
        </w:rPr>
        <w:t>Overcatch</w:t>
      </w:r>
      <w:proofErr w:type="spellEnd"/>
      <w:r w:rsidRPr="00457259">
        <w:rPr>
          <w:i/>
          <w:sz w:val="22"/>
          <w:szCs w:val="22"/>
        </w:rPr>
        <w:t xml:space="preserve">) Determination </w:t>
      </w:r>
      <w:r w:rsidR="0093176F">
        <w:rPr>
          <w:i/>
          <w:sz w:val="22"/>
          <w:szCs w:val="22"/>
        </w:rPr>
        <w:t>20</w:t>
      </w:r>
      <w:r w:rsidR="0010406A">
        <w:rPr>
          <w:i/>
          <w:sz w:val="22"/>
          <w:szCs w:val="22"/>
        </w:rPr>
        <w:t>20</w:t>
      </w:r>
      <w:r w:rsidR="0093176F" w:rsidRPr="00457259">
        <w:rPr>
          <w:sz w:val="22"/>
          <w:szCs w:val="22"/>
        </w:rPr>
        <w:t xml:space="preserve"> </w:t>
      </w:r>
      <w:r w:rsidRPr="00457259">
        <w:rPr>
          <w:color w:val="000000"/>
          <w:sz w:val="22"/>
          <w:szCs w:val="22"/>
        </w:rPr>
        <w:t xml:space="preserve">determines the TAC for each quota species and sub-area for the </w:t>
      </w:r>
      <w:r w:rsidR="0093176F">
        <w:rPr>
          <w:color w:val="000000"/>
          <w:sz w:val="22"/>
          <w:szCs w:val="22"/>
        </w:rPr>
        <w:t>20</w:t>
      </w:r>
      <w:r w:rsidR="0010406A">
        <w:rPr>
          <w:color w:val="000000"/>
          <w:sz w:val="22"/>
          <w:szCs w:val="22"/>
        </w:rPr>
        <w:t>20</w:t>
      </w:r>
      <w:r w:rsidR="0093176F">
        <w:rPr>
          <w:color w:val="000000"/>
          <w:sz w:val="22"/>
          <w:szCs w:val="22"/>
        </w:rPr>
        <w:t>-</w:t>
      </w:r>
      <w:r w:rsidR="00DA0F67">
        <w:rPr>
          <w:color w:val="000000"/>
          <w:sz w:val="22"/>
          <w:szCs w:val="22"/>
        </w:rPr>
        <w:t>20</w:t>
      </w:r>
      <w:r w:rsidR="0093176F">
        <w:rPr>
          <w:color w:val="000000"/>
          <w:sz w:val="22"/>
          <w:szCs w:val="22"/>
        </w:rPr>
        <w:t>2</w:t>
      </w:r>
      <w:r w:rsidR="0010406A">
        <w:rPr>
          <w:color w:val="000000"/>
          <w:sz w:val="22"/>
          <w:szCs w:val="22"/>
        </w:rPr>
        <w:t>1</w:t>
      </w:r>
      <w:r w:rsidRPr="00457259">
        <w:rPr>
          <w:color w:val="000000"/>
          <w:sz w:val="22"/>
          <w:szCs w:val="22"/>
        </w:rPr>
        <w:t xml:space="preserve"> fishing season.</w:t>
      </w:r>
    </w:p>
    <w:p w14:paraId="6561FF36" w14:textId="1D8DF992" w:rsidR="001E1575" w:rsidRPr="00457259" w:rsidRDefault="001E1575" w:rsidP="0093176F">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the Small Pelagic Fishery </w:t>
      </w:r>
      <w:r w:rsidR="004E2629">
        <w:rPr>
          <w:color w:val="000000"/>
          <w:sz w:val="22"/>
          <w:szCs w:val="22"/>
        </w:rPr>
        <w:t>Resource Assessment Group (the RAG)</w:t>
      </w:r>
      <w:r w:rsidRPr="00457259">
        <w:rPr>
          <w:color w:val="000000"/>
          <w:sz w:val="22"/>
          <w:szCs w:val="22"/>
        </w:rPr>
        <w:t xml:space="preserve"> was considered by the South East Management Advisory Committee (</w:t>
      </w:r>
      <w:r w:rsidR="0093176F">
        <w:rPr>
          <w:color w:val="000000"/>
          <w:sz w:val="22"/>
          <w:szCs w:val="22"/>
        </w:rPr>
        <w:t>SEMAC</w:t>
      </w:r>
      <w:r w:rsidRPr="00457259">
        <w:rPr>
          <w:color w:val="000000"/>
          <w:sz w:val="22"/>
          <w:szCs w:val="22"/>
        </w:rPr>
        <w:t xml:space="preserve">). </w:t>
      </w:r>
      <w:r w:rsidR="0093176F" w:rsidRPr="0093176F">
        <w:rPr>
          <w:color w:val="000000"/>
          <w:sz w:val="22"/>
          <w:szCs w:val="22"/>
        </w:rPr>
        <w:t xml:space="preserve">Advice on </w:t>
      </w:r>
      <w:proofErr w:type="spellStart"/>
      <w:r w:rsidR="0093176F" w:rsidRPr="0093176F">
        <w:rPr>
          <w:color w:val="000000"/>
          <w:sz w:val="22"/>
          <w:szCs w:val="22"/>
        </w:rPr>
        <w:t>undercatch</w:t>
      </w:r>
      <w:proofErr w:type="spellEnd"/>
      <w:r w:rsidR="0093176F" w:rsidRPr="0093176F">
        <w:rPr>
          <w:color w:val="000000"/>
          <w:sz w:val="22"/>
          <w:szCs w:val="22"/>
        </w:rPr>
        <w:t xml:space="preserve"> and </w:t>
      </w:r>
      <w:proofErr w:type="spellStart"/>
      <w:r w:rsidR="0093176F" w:rsidRPr="0093176F">
        <w:rPr>
          <w:color w:val="000000"/>
          <w:sz w:val="22"/>
          <w:szCs w:val="22"/>
        </w:rPr>
        <w:t>overcatch</w:t>
      </w:r>
      <w:proofErr w:type="spellEnd"/>
      <w:r w:rsidR="0093176F" w:rsidRPr="0093176F">
        <w:rPr>
          <w:color w:val="000000"/>
          <w:sz w:val="22"/>
          <w:szCs w:val="22"/>
        </w:rPr>
        <w:t xml:space="preserve"> percentages and weights was sought from SEMAC on </w:t>
      </w:r>
      <w:r w:rsidR="0010406A">
        <w:rPr>
          <w:color w:val="000000"/>
          <w:sz w:val="22"/>
          <w:szCs w:val="22"/>
        </w:rPr>
        <w:t>4</w:t>
      </w:r>
      <w:r w:rsidR="0093176F" w:rsidRPr="0093176F">
        <w:rPr>
          <w:color w:val="000000"/>
          <w:sz w:val="22"/>
          <w:szCs w:val="22"/>
        </w:rPr>
        <w:t>-</w:t>
      </w:r>
      <w:r w:rsidR="0010406A">
        <w:rPr>
          <w:color w:val="000000"/>
          <w:sz w:val="22"/>
          <w:szCs w:val="22"/>
        </w:rPr>
        <w:t>6</w:t>
      </w:r>
      <w:r w:rsidR="0093176F" w:rsidRPr="0093176F">
        <w:rPr>
          <w:color w:val="000000"/>
          <w:sz w:val="22"/>
          <w:szCs w:val="22"/>
        </w:rPr>
        <w:t xml:space="preserve"> February 20</w:t>
      </w:r>
      <w:r w:rsidR="0010406A">
        <w:rPr>
          <w:color w:val="000000"/>
          <w:sz w:val="22"/>
          <w:szCs w:val="22"/>
        </w:rPr>
        <w:t>20</w:t>
      </w:r>
      <w:r w:rsidR="0093176F" w:rsidRPr="0093176F">
        <w:rPr>
          <w:color w:val="000000"/>
          <w:sz w:val="22"/>
          <w:szCs w:val="22"/>
        </w:rPr>
        <w:t>.</w:t>
      </w:r>
    </w:p>
    <w:p w14:paraId="7B88B62C" w14:textId="77777777" w:rsidR="001E1575" w:rsidRPr="00457259" w:rsidRDefault="001E1575" w:rsidP="0093176F">
      <w:pPr>
        <w:spacing w:before="240" w:after="240" w:line="276" w:lineRule="auto"/>
        <w:jc w:val="both"/>
        <w:rPr>
          <w:b/>
          <w:sz w:val="22"/>
          <w:szCs w:val="22"/>
        </w:rPr>
      </w:pPr>
      <w:r w:rsidRPr="00457259">
        <w:rPr>
          <w:b/>
          <w:sz w:val="22"/>
          <w:szCs w:val="22"/>
        </w:rPr>
        <w:t>Human rights implications</w:t>
      </w:r>
    </w:p>
    <w:p w14:paraId="46C1A3FB" w14:textId="77777777" w:rsidR="001E1575" w:rsidRPr="00AA33D0" w:rsidRDefault="001E1575" w:rsidP="00AA33D0">
      <w:pPr>
        <w:autoSpaceDE w:val="0"/>
        <w:autoSpaceDN w:val="0"/>
        <w:adjustRightInd w:val="0"/>
        <w:spacing w:before="240" w:after="240" w:line="276" w:lineRule="auto"/>
        <w:jc w:val="both"/>
        <w:rPr>
          <w:color w:val="000000"/>
          <w:sz w:val="22"/>
          <w:szCs w:val="22"/>
        </w:rPr>
      </w:pPr>
      <w:r w:rsidRPr="00AA33D0">
        <w:rPr>
          <w:color w:val="000000"/>
          <w:sz w:val="22"/>
          <w:szCs w:val="22"/>
        </w:rPr>
        <w:lastRenderedPageBreak/>
        <w:t>This legislative instrument does not engage any of the applicable rights or freedoms.</w:t>
      </w:r>
    </w:p>
    <w:p w14:paraId="0DBCA08A" w14:textId="77777777" w:rsidR="001E1575" w:rsidRPr="00457259" w:rsidRDefault="001E1575" w:rsidP="0093176F">
      <w:pPr>
        <w:spacing w:before="240" w:after="240" w:line="276" w:lineRule="auto"/>
        <w:jc w:val="both"/>
        <w:rPr>
          <w:b/>
          <w:sz w:val="22"/>
          <w:szCs w:val="22"/>
        </w:rPr>
      </w:pPr>
      <w:r w:rsidRPr="00457259">
        <w:rPr>
          <w:b/>
          <w:sz w:val="22"/>
          <w:szCs w:val="22"/>
        </w:rPr>
        <w:t>Conclusion</w:t>
      </w:r>
    </w:p>
    <w:p w14:paraId="18678522" w14:textId="067A209A" w:rsidR="000C4985" w:rsidRPr="00AA33D0" w:rsidRDefault="001E1575" w:rsidP="00AA33D0">
      <w:pPr>
        <w:autoSpaceDE w:val="0"/>
        <w:autoSpaceDN w:val="0"/>
        <w:adjustRightInd w:val="0"/>
        <w:spacing w:before="240" w:after="240" w:line="276" w:lineRule="auto"/>
        <w:jc w:val="both"/>
        <w:rPr>
          <w:color w:val="000000"/>
          <w:sz w:val="22"/>
          <w:szCs w:val="22"/>
        </w:rPr>
      </w:pPr>
      <w:r w:rsidRPr="00AA33D0">
        <w:rPr>
          <w:color w:val="000000"/>
          <w:sz w:val="22"/>
          <w:szCs w:val="22"/>
        </w:rPr>
        <w:t xml:space="preserve">This legislative instrument is compatible with human rights as it does not raise any human rights issues. The </w:t>
      </w:r>
      <w:r w:rsidR="0093176F" w:rsidRPr="00AA33D0">
        <w:rPr>
          <w:color w:val="000000"/>
          <w:sz w:val="22"/>
          <w:szCs w:val="22"/>
        </w:rPr>
        <w:t>A</w:t>
      </w:r>
      <w:r w:rsidR="00DA0F67" w:rsidRPr="00AA33D0">
        <w:rPr>
          <w:color w:val="000000"/>
          <w:sz w:val="22"/>
          <w:szCs w:val="22"/>
        </w:rPr>
        <w:t>FMA</w:t>
      </w:r>
      <w:r w:rsidR="0093176F" w:rsidRPr="00AA33D0">
        <w:rPr>
          <w:color w:val="000000"/>
          <w:sz w:val="22"/>
          <w:szCs w:val="22"/>
        </w:rPr>
        <w:t xml:space="preserve"> </w:t>
      </w:r>
      <w:r w:rsidRPr="00AA33D0">
        <w:rPr>
          <w:color w:val="000000"/>
          <w:sz w:val="22"/>
          <w:szCs w:val="22"/>
        </w:rPr>
        <w:t xml:space="preserve">Commission is satisfied that the instrument is consistent with </w:t>
      </w:r>
      <w:r w:rsidR="00DA0F67" w:rsidRPr="00AA33D0">
        <w:rPr>
          <w:color w:val="000000"/>
          <w:sz w:val="22"/>
          <w:szCs w:val="22"/>
        </w:rPr>
        <w:t>the Authority</w:t>
      </w:r>
      <w:r w:rsidRPr="00AA33D0">
        <w:rPr>
          <w:color w:val="000000"/>
          <w:sz w:val="22"/>
          <w:szCs w:val="22"/>
        </w:rPr>
        <w:t>’s obligation to pursue its statutory objectives.  The instrument is machinery in nature and sets the catch limits for quota species in the fishery thereby allowing statutory fishing right holders the abil</w:t>
      </w:r>
      <w:r w:rsidR="00547D04" w:rsidRPr="00AA33D0">
        <w:rPr>
          <w:color w:val="000000"/>
          <w:sz w:val="22"/>
          <w:szCs w:val="22"/>
        </w:rPr>
        <w:t xml:space="preserve">ity to take a proportion of the </w:t>
      </w:r>
      <w:r w:rsidRPr="00AA33D0">
        <w:rPr>
          <w:color w:val="000000"/>
          <w:sz w:val="22"/>
          <w:szCs w:val="22"/>
        </w:rPr>
        <w:t>total allowable catch for the 20</w:t>
      </w:r>
      <w:r w:rsidR="0010406A" w:rsidRPr="00AA33D0">
        <w:rPr>
          <w:color w:val="000000"/>
          <w:sz w:val="22"/>
          <w:szCs w:val="22"/>
        </w:rPr>
        <w:t>20</w:t>
      </w:r>
      <w:r w:rsidR="00DA0F67" w:rsidRPr="00AA33D0">
        <w:rPr>
          <w:color w:val="000000"/>
          <w:sz w:val="22"/>
          <w:szCs w:val="22"/>
        </w:rPr>
        <w:t>-2021</w:t>
      </w:r>
      <w:r w:rsidRPr="00AA33D0">
        <w:rPr>
          <w:color w:val="000000"/>
          <w:sz w:val="22"/>
          <w:szCs w:val="22"/>
        </w:rPr>
        <w:t xml:space="preserve"> fishing season.  </w:t>
      </w:r>
    </w:p>
    <w:sectPr w:rsidR="000C4985" w:rsidRPr="00AA33D0" w:rsidSect="0093176F">
      <w:footerReference w:type="default" r:id="rId11"/>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834A" w14:textId="77777777" w:rsidR="009D2E95" w:rsidRDefault="009D2E95">
      <w:r>
        <w:separator/>
      </w:r>
    </w:p>
  </w:endnote>
  <w:endnote w:type="continuationSeparator" w:id="0">
    <w:p w14:paraId="4F011DC0" w14:textId="77777777" w:rsidR="009D2E95" w:rsidRDefault="009D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ED38" w14:textId="77777777" w:rsidR="00F70A59" w:rsidRDefault="00F70A59" w:rsidP="00F70A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95A90" w14:textId="77777777" w:rsidR="009D2E95" w:rsidRDefault="009D2E95">
      <w:r>
        <w:separator/>
      </w:r>
    </w:p>
  </w:footnote>
  <w:footnote w:type="continuationSeparator" w:id="0">
    <w:p w14:paraId="2DFAA923" w14:textId="77777777" w:rsidR="009D2E95" w:rsidRDefault="009D2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95842"/>
    <w:multiLevelType w:val="hybridMultilevel"/>
    <w:tmpl w:val="C2FCBEC2"/>
    <w:lvl w:ilvl="0" w:tplc="04D25D90">
      <w:start w:val="1"/>
      <w:numFmt w:val="decimal"/>
      <w:lvlText w:val="%1."/>
      <w:lvlJc w:val="left"/>
      <w:pPr>
        <w:tabs>
          <w:tab w:val="num" w:pos="720"/>
        </w:tabs>
        <w:ind w:left="720" w:hanging="360"/>
      </w:pPr>
      <w:rPr>
        <w:rFonts w:cs="Times New Roman" w:hint="default"/>
        <w:b w:val="0"/>
        <w:sz w:val="24"/>
      </w:rPr>
    </w:lvl>
    <w:lvl w:ilvl="1" w:tplc="CF440CCC">
      <w:start w:val="1"/>
      <w:numFmt w:val="lowerLetter"/>
      <w:lvlText w:val="%2)"/>
      <w:lvlJc w:val="left"/>
      <w:pPr>
        <w:tabs>
          <w:tab w:val="num" w:pos="1440"/>
        </w:tabs>
        <w:ind w:left="1440" w:hanging="360"/>
      </w:pPr>
      <w:rPr>
        <w:rFonts w:cs="Times New Roman" w:hint="default"/>
        <w:b w:val="0"/>
        <w:sz w:val="24"/>
      </w:rPr>
    </w:lvl>
    <w:lvl w:ilvl="2" w:tplc="BFFEE4F4">
      <w:start w:val="1"/>
      <w:numFmt w:val="lowerLetter"/>
      <w:lvlText w:val="(%3.)"/>
      <w:lvlJc w:val="left"/>
      <w:pPr>
        <w:tabs>
          <w:tab w:val="num" w:pos="2370"/>
        </w:tabs>
        <w:ind w:left="2370" w:hanging="390"/>
      </w:pPr>
      <w:rPr>
        <w:rFonts w:cs="Times New Roman" w:hint="default"/>
        <w:b/>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56"/>
    <w:rsid w:val="000032C6"/>
    <w:rsid w:val="00032089"/>
    <w:rsid w:val="00037D0F"/>
    <w:rsid w:val="00045BD5"/>
    <w:rsid w:val="000511B5"/>
    <w:rsid w:val="00080903"/>
    <w:rsid w:val="00084B4B"/>
    <w:rsid w:val="0008737C"/>
    <w:rsid w:val="00094EF7"/>
    <w:rsid w:val="000A1256"/>
    <w:rsid w:val="000A247B"/>
    <w:rsid w:val="000A7BB0"/>
    <w:rsid w:val="000B14FF"/>
    <w:rsid w:val="000C4985"/>
    <w:rsid w:val="000E44A2"/>
    <w:rsid w:val="001006B9"/>
    <w:rsid w:val="0010406A"/>
    <w:rsid w:val="00112243"/>
    <w:rsid w:val="0011246E"/>
    <w:rsid w:val="00114819"/>
    <w:rsid w:val="00143816"/>
    <w:rsid w:val="001640A5"/>
    <w:rsid w:val="001663CA"/>
    <w:rsid w:val="00171E77"/>
    <w:rsid w:val="001C454B"/>
    <w:rsid w:val="001E1575"/>
    <w:rsid w:val="002172DB"/>
    <w:rsid w:val="0021739B"/>
    <w:rsid w:val="00240D5B"/>
    <w:rsid w:val="002432B4"/>
    <w:rsid w:val="0025214B"/>
    <w:rsid w:val="00254B37"/>
    <w:rsid w:val="002D0D3C"/>
    <w:rsid w:val="002D465C"/>
    <w:rsid w:val="002E225D"/>
    <w:rsid w:val="003125FA"/>
    <w:rsid w:val="00321159"/>
    <w:rsid w:val="003368AE"/>
    <w:rsid w:val="00350B12"/>
    <w:rsid w:val="0036736B"/>
    <w:rsid w:val="00372895"/>
    <w:rsid w:val="003A4506"/>
    <w:rsid w:val="003C1B98"/>
    <w:rsid w:val="003D3D2D"/>
    <w:rsid w:val="003E20B0"/>
    <w:rsid w:val="00406595"/>
    <w:rsid w:val="004110AF"/>
    <w:rsid w:val="0041195C"/>
    <w:rsid w:val="00437C77"/>
    <w:rsid w:val="004657EE"/>
    <w:rsid w:val="00480A98"/>
    <w:rsid w:val="0048597F"/>
    <w:rsid w:val="004B48D5"/>
    <w:rsid w:val="004C3710"/>
    <w:rsid w:val="004C5553"/>
    <w:rsid w:val="004E2629"/>
    <w:rsid w:val="004F324A"/>
    <w:rsid w:val="005114C9"/>
    <w:rsid w:val="00511E34"/>
    <w:rsid w:val="005179F7"/>
    <w:rsid w:val="005454D6"/>
    <w:rsid w:val="00547D04"/>
    <w:rsid w:val="00557C37"/>
    <w:rsid w:val="005812B6"/>
    <w:rsid w:val="005927C4"/>
    <w:rsid w:val="00594FC0"/>
    <w:rsid w:val="005C76BF"/>
    <w:rsid w:val="005E1425"/>
    <w:rsid w:val="00601872"/>
    <w:rsid w:val="0062198B"/>
    <w:rsid w:val="00634E92"/>
    <w:rsid w:val="00696C6E"/>
    <w:rsid w:val="007111FF"/>
    <w:rsid w:val="007128BB"/>
    <w:rsid w:val="00724531"/>
    <w:rsid w:val="0074530C"/>
    <w:rsid w:val="007C2D22"/>
    <w:rsid w:val="007D24D6"/>
    <w:rsid w:val="007D5A84"/>
    <w:rsid w:val="007D5FE9"/>
    <w:rsid w:val="007E6F45"/>
    <w:rsid w:val="00821440"/>
    <w:rsid w:val="00823E9C"/>
    <w:rsid w:val="008448D2"/>
    <w:rsid w:val="0087445C"/>
    <w:rsid w:val="008748DC"/>
    <w:rsid w:val="008C048C"/>
    <w:rsid w:val="008C7D47"/>
    <w:rsid w:val="008E5C67"/>
    <w:rsid w:val="008E5E21"/>
    <w:rsid w:val="008F23A8"/>
    <w:rsid w:val="00927305"/>
    <w:rsid w:val="0093176F"/>
    <w:rsid w:val="0093740F"/>
    <w:rsid w:val="00944C08"/>
    <w:rsid w:val="00952F13"/>
    <w:rsid w:val="009543CD"/>
    <w:rsid w:val="00971DC6"/>
    <w:rsid w:val="00987EBD"/>
    <w:rsid w:val="009A06D3"/>
    <w:rsid w:val="009A13FA"/>
    <w:rsid w:val="009B0BF9"/>
    <w:rsid w:val="009B4300"/>
    <w:rsid w:val="009D2E95"/>
    <w:rsid w:val="009E2A67"/>
    <w:rsid w:val="00A31230"/>
    <w:rsid w:val="00A45FA4"/>
    <w:rsid w:val="00A50E75"/>
    <w:rsid w:val="00A630AC"/>
    <w:rsid w:val="00A743E7"/>
    <w:rsid w:val="00AA33D0"/>
    <w:rsid w:val="00AA7BA0"/>
    <w:rsid w:val="00AB23C7"/>
    <w:rsid w:val="00AD73BA"/>
    <w:rsid w:val="00AD79F0"/>
    <w:rsid w:val="00AE1867"/>
    <w:rsid w:val="00B05A37"/>
    <w:rsid w:val="00B16E22"/>
    <w:rsid w:val="00B21741"/>
    <w:rsid w:val="00B35201"/>
    <w:rsid w:val="00B375CE"/>
    <w:rsid w:val="00B62718"/>
    <w:rsid w:val="00B70200"/>
    <w:rsid w:val="00B833FD"/>
    <w:rsid w:val="00BA34C7"/>
    <w:rsid w:val="00BA4DEB"/>
    <w:rsid w:val="00BC50CB"/>
    <w:rsid w:val="00C203A2"/>
    <w:rsid w:val="00C70B66"/>
    <w:rsid w:val="00C83AF1"/>
    <w:rsid w:val="00CA02C2"/>
    <w:rsid w:val="00CA70AC"/>
    <w:rsid w:val="00D04E07"/>
    <w:rsid w:val="00D12ABB"/>
    <w:rsid w:val="00D13B80"/>
    <w:rsid w:val="00D43E66"/>
    <w:rsid w:val="00D65A15"/>
    <w:rsid w:val="00DA0F67"/>
    <w:rsid w:val="00DC4CFF"/>
    <w:rsid w:val="00DE1B0C"/>
    <w:rsid w:val="00DE7B26"/>
    <w:rsid w:val="00E01E0A"/>
    <w:rsid w:val="00E211A1"/>
    <w:rsid w:val="00E30313"/>
    <w:rsid w:val="00E57066"/>
    <w:rsid w:val="00E75F5B"/>
    <w:rsid w:val="00E84328"/>
    <w:rsid w:val="00E95AFD"/>
    <w:rsid w:val="00EA0C1B"/>
    <w:rsid w:val="00EB6217"/>
    <w:rsid w:val="00EC0E21"/>
    <w:rsid w:val="00ED5A9B"/>
    <w:rsid w:val="00F12626"/>
    <w:rsid w:val="00F25C65"/>
    <w:rsid w:val="00F52403"/>
    <w:rsid w:val="00F70A59"/>
    <w:rsid w:val="00F70C74"/>
    <w:rsid w:val="00F82E6B"/>
    <w:rsid w:val="00FA4123"/>
    <w:rsid w:val="00FA434D"/>
    <w:rsid w:val="00FD27F4"/>
    <w:rsid w:val="00FD33CF"/>
    <w:rsid w:val="00FE0E3E"/>
    <w:rsid w:val="00FE2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808140"/>
  <w15:docId w15:val="{3A97EEC2-F7A5-4603-8680-8A778AC8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C76BF"/>
    <w:pPr>
      <w:keepNext/>
      <w:spacing w:before="240"/>
      <w:jc w:val="both"/>
      <w:outlineLvl w:val="1"/>
    </w:pPr>
    <w:rPr>
      <w:rFonts w:ascii="Arial" w:hAnsi="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7445C"/>
    <w:rPr>
      <w:sz w:val="16"/>
      <w:szCs w:val="16"/>
    </w:rPr>
  </w:style>
  <w:style w:type="paragraph" w:styleId="CommentText">
    <w:name w:val="annotation text"/>
    <w:basedOn w:val="Normal"/>
    <w:semiHidden/>
    <w:rsid w:val="0087445C"/>
    <w:rPr>
      <w:sz w:val="20"/>
      <w:szCs w:val="20"/>
    </w:rPr>
  </w:style>
  <w:style w:type="paragraph" w:styleId="CommentSubject">
    <w:name w:val="annotation subject"/>
    <w:basedOn w:val="CommentText"/>
    <w:next w:val="CommentText"/>
    <w:semiHidden/>
    <w:rsid w:val="0087445C"/>
    <w:rPr>
      <w:b/>
      <w:bCs/>
    </w:rPr>
  </w:style>
  <w:style w:type="paragraph" w:styleId="BalloonText">
    <w:name w:val="Balloon Text"/>
    <w:basedOn w:val="Normal"/>
    <w:semiHidden/>
    <w:rsid w:val="0087445C"/>
    <w:rPr>
      <w:rFonts w:ascii="Tahoma" w:hAnsi="Tahoma" w:cs="Tahoma"/>
      <w:sz w:val="16"/>
      <w:szCs w:val="16"/>
    </w:rPr>
  </w:style>
  <w:style w:type="paragraph" w:customStyle="1" w:styleId="AFMANormal">
    <w:name w:val="AFMA Normal"/>
    <w:rsid w:val="00634E92"/>
    <w:pPr>
      <w:spacing w:before="240"/>
      <w:jc w:val="both"/>
    </w:pPr>
    <w:rPr>
      <w:snapToGrid w:val="0"/>
      <w:kern w:val="20"/>
      <w:sz w:val="24"/>
      <w:lang w:eastAsia="en-US"/>
    </w:rPr>
  </w:style>
  <w:style w:type="paragraph" w:styleId="Header">
    <w:name w:val="header"/>
    <w:basedOn w:val="Normal"/>
    <w:rsid w:val="00F70A59"/>
    <w:pPr>
      <w:tabs>
        <w:tab w:val="center" w:pos="4153"/>
        <w:tab w:val="right" w:pos="8306"/>
      </w:tabs>
    </w:pPr>
  </w:style>
  <w:style w:type="paragraph" w:styleId="Footer">
    <w:name w:val="footer"/>
    <w:basedOn w:val="Normal"/>
    <w:rsid w:val="00F70A59"/>
    <w:pPr>
      <w:tabs>
        <w:tab w:val="center" w:pos="4153"/>
        <w:tab w:val="right" w:pos="8306"/>
      </w:tabs>
    </w:pPr>
  </w:style>
  <w:style w:type="table" w:styleId="TableGrid">
    <w:name w:val="Table Grid"/>
    <w:basedOn w:val="TableNormal"/>
    <w:rsid w:val="007C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2F13"/>
    <w:pPr>
      <w:spacing w:before="100" w:beforeAutospacing="1" w:after="100" w:afterAutospacing="1"/>
    </w:pPr>
    <w:rPr>
      <w:lang w:val="en-AU" w:eastAsia="en-AU"/>
    </w:rPr>
  </w:style>
  <w:style w:type="character" w:customStyle="1" w:styleId="Heading2Char">
    <w:name w:val="Heading 2 Char"/>
    <w:link w:val="Heading2"/>
    <w:rsid w:val="005C76BF"/>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155F-ABCB-44F2-A726-8B8E7A6A358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3ACE8C-A8DD-4AE1-B72E-FC5F17A9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29EABC-D617-4093-B076-44F9C983C48C}">
  <ds:schemaRefs>
    <ds:schemaRef ds:uri="http://schemas.microsoft.com/sharepoint/v3/contenttype/forms"/>
  </ds:schemaRefs>
</ds:datastoreItem>
</file>

<file path=customXml/itemProps4.xml><?xml version="1.0" encoding="utf-8"?>
<ds:datastoreItem xmlns:ds="http://schemas.openxmlformats.org/officeDocument/2006/customXml" ds:itemID="{DD17EAED-ACA8-42EC-B126-EECB61E9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7437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afma</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AFMJPS</dc:creator>
  <cp:lastModifiedBy>WEEKES, Sally</cp:lastModifiedBy>
  <cp:revision>2</cp:revision>
  <cp:lastPrinted>2014-04-02T04:28:00Z</cp:lastPrinted>
  <dcterms:created xsi:type="dcterms:W3CDTF">2020-02-24T02:29:00Z</dcterms:created>
  <dcterms:modified xsi:type="dcterms:W3CDTF">2020-02-24T02:29:00Z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9deabe18-a534-4930-9089-c72658b4ae06</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