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228E0AC3" w14:textId="77777777" w:rsidTr="00A22E0D">
        <w:tc>
          <w:tcPr>
            <w:tcW w:w="4661" w:type="dxa"/>
          </w:tcPr>
          <w:p w14:paraId="24A25895" w14:textId="77777777" w:rsidR="00090A6F" w:rsidRPr="0000292B" w:rsidRDefault="00364B30">
            <w:pPr>
              <w:pStyle w:val="CoverStandard"/>
            </w:pPr>
            <w:bookmarkStart w:id="0" w:name="_GoBack"/>
            <w:bookmarkEnd w:id="0"/>
            <w:r>
              <w:t>AASB</w:t>
            </w:r>
            <w:r w:rsidR="00831497">
              <w:t xml:space="preserve"> Standard</w:t>
            </w:r>
          </w:p>
        </w:tc>
        <w:tc>
          <w:tcPr>
            <w:tcW w:w="4661" w:type="dxa"/>
          </w:tcPr>
          <w:p w14:paraId="032D156A" w14:textId="0FCEA40D" w:rsidR="00090A6F" w:rsidRPr="0000292B" w:rsidRDefault="00831497">
            <w:pPr>
              <w:pStyle w:val="CoverNumber"/>
            </w:pPr>
            <w:r>
              <w:t>AASB</w:t>
            </w:r>
            <w:r w:rsidR="00090A6F" w:rsidRPr="0000292B">
              <w:t xml:space="preserve"> </w:t>
            </w:r>
            <w:bookmarkStart w:id="1" w:name="DocNo"/>
            <w:r w:rsidR="009F264A">
              <w:t>2020-1</w:t>
            </w:r>
            <w:bookmarkEnd w:id="1"/>
          </w:p>
          <w:p w14:paraId="739B2958" w14:textId="77777777" w:rsidR="00090A6F" w:rsidRPr="0000292B" w:rsidRDefault="00ED4A33">
            <w:pPr>
              <w:pStyle w:val="CoverDate"/>
            </w:pPr>
            <w:bookmarkStart w:id="2" w:name="DocDate"/>
            <w:r>
              <w:t>March 2020</w:t>
            </w:r>
            <w:bookmarkEnd w:id="2"/>
          </w:p>
        </w:tc>
      </w:tr>
    </w:tbl>
    <w:p w14:paraId="3E3F93B6" w14:textId="6E8FD5C8" w:rsidR="00090A6F" w:rsidRPr="0000292B" w:rsidRDefault="006C7D67" w:rsidP="00051037">
      <w:pPr>
        <w:pStyle w:val="CoverTitle"/>
        <w:jc w:val="left"/>
      </w:pPr>
      <w:bookmarkStart w:id="3" w:name="DocTitle"/>
      <w:r>
        <w:t>Amendments to Australian Accounting Standards – Classification of Liabilities as Current or Non-current</w:t>
      </w:r>
      <w:bookmarkEnd w:id="3"/>
    </w:p>
    <w:p w14:paraId="281281CA" w14:textId="77777777" w:rsidR="00C5022C" w:rsidRPr="00C5022C" w:rsidRDefault="002B7803" w:rsidP="00C5022C">
      <w:pPr>
        <w:pStyle w:val="CoverSubtitle"/>
      </w:pPr>
      <w:r>
        <w:t>[</w:t>
      </w:r>
      <w:bookmarkStart w:id="4" w:name="AmendingNos"/>
      <w:r w:rsidR="00ED4A33">
        <w:t>AASB 101</w:t>
      </w:r>
      <w:bookmarkEnd w:id="4"/>
      <w:r>
        <w:t>]</w:t>
      </w:r>
    </w:p>
    <w:p w14:paraId="6909DF99" w14:textId="77777777" w:rsidR="00737714" w:rsidRPr="0000292B" w:rsidRDefault="00737714" w:rsidP="00737714"/>
    <w:p w14:paraId="3AD3D9C8" w14:textId="77777777" w:rsidR="00090A6F" w:rsidRPr="0000292B" w:rsidRDefault="008B643A">
      <w:pPr>
        <w:sectPr w:rsidR="00090A6F" w:rsidRPr="0000292B" w:rsidSect="00D74C6A">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7728" behindDoc="0" locked="1" layoutInCell="1" allowOverlap="1" wp14:anchorId="0BE867AE" wp14:editId="6DDE31AF">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6A864"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53870341"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7D94C96C" w14:textId="77777777" w:rsidR="00895809" w:rsidRPr="0000292B" w:rsidRDefault="00895809" w:rsidP="00895809">
      <w:r w:rsidRPr="0000292B">
        <w:t>Australian Accounting Standards Board</w:t>
      </w:r>
    </w:p>
    <w:p w14:paraId="50003B41" w14:textId="77777777" w:rsidR="00895809" w:rsidRPr="0000292B" w:rsidRDefault="00895809" w:rsidP="00895809">
      <w:r>
        <w:t>PO Box 204</w:t>
      </w:r>
    </w:p>
    <w:p w14:paraId="33EE12BE" w14:textId="77777777" w:rsidR="00895809" w:rsidRPr="0000292B" w:rsidRDefault="00895809" w:rsidP="00895809">
      <w:r>
        <w:t>Collins Street West</w:t>
      </w:r>
    </w:p>
    <w:p w14:paraId="4F51CC9A" w14:textId="77777777" w:rsidR="00895809" w:rsidRPr="0000292B" w:rsidRDefault="00895809" w:rsidP="00895809">
      <w:r>
        <w:t>Victoria   8007</w:t>
      </w:r>
    </w:p>
    <w:p w14:paraId="10231806" w14:textId="77777777" w:rsidR="00895809" w:rsidRDefault="00895809" w:rsidP="00895809">
      <w:pPr>
        <w:pStyle w:val="CoverContact"/>
        <w:spacing w:after="200"/>
      </w:pPr>
      <w:r w:rsidRPr="0000292B">
        <w:t>AUSTRALIA</w:t>
      </w:r>
    </w:p>
    <w:p w14:paraId="2D5D5D1F" w14:textId="77777777" w:rsidR="00737714" w:rsidRDefault="0034243B" w:rsidP="00B82F15">
      <w:pPr>
        <w:pStyle w:val="CoverContact"/>
      </w:pPr>
      <w:r>
        <w:t>Phone:</w:t>
      </w:r>
      <w:r>
        <w:tab/>
        <w:t>(03) 9617 7600</w:t>
      </w:r>
    </w:p>
    <w:p w14:paraId="71CA37EA" w14:textId="77777777" w:rsidR="00E96D45" w:rsidRDefault="00DB00CD" w:rsidP="00DB00CD">
      <w:pPr>
        <w:pStyle w:val="CoverContact"/>
      </w:pPr>
      <w:r>
        <w:t>E-mail:</w:t>
      </w:r>
      <w:r>
        <w:tab/>
      </w:r>
      <w:r w:rsidR="0034243B">
        <w:t>standard</w:t>
      </w:r>
      <w:r>
        <w:t>@aasb.gov</w:t>
      </w:r>
      <w:r w:rsidRPr="00C5022C">
        <w:t>.au</w:t>
      </w:r>
    </w:p>
    <w:p w14:paraId="75CFFB0C" w14:textId="77777777" w:rsidR="00E96D45" w:rsidRPr="00E96D45" w:rsidRDefault="00DB00CD" w:rsidP="00DB00CD">
      <w:pPr>
        <w:pStyle w:val="CoverContact"/>
        <w:spacing w:after="240"/>
      </w:pPr>
      <w:r>
        <w:t>Website:</w:t>
      </w:r>
      <w:r>
        <w:tab/>
        <w:t>www.aasb.gov.au</w:t>
      </w:r>
    </w:p>
    <w:p w14:paraId="46DF030E" w14:textId="77777777" w:rsidR="00090A6F" w:rsidRPr="0000292B" w:rsidRDefault="00090A6F" w:rsidP="00F13C5A">
      <w:pPr>
        <w:pStyle w:val="Heading1"/>
      </w:pPr>
      <w:r w:rsidRPr="0000292B">
        <w:t xml:space="preserve">Other </w:t>
      </w:r>
      <w:r w:rsidR="005655CE" w:rsidRPr="0000292B">
        <w:t>enquiries</w:t>
      </w:r>
    </w:p>
    <w:p w14:paraId="74850820"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2E959DE0" w14:textId="77777777" w:rsidR="00090A6F" w:rsidRPr="0000292B" w:rsidRDefault="00923261">
      <w:pPr>
        <w:pStyle w:val="CoverContact"/>
      </w:pPr>
      <w:r>
        <w:t>E-mail:</w:t>
      </w:r>
      <w:r>
        <w:tab/>
        <w:t>standard@aasb.gov</w:t>
      </w:r>
      <w:r w:rsidR="00090A6F" w:rsidRPr="0000292B">
        <w:t>.au</w:t>
      </w:r>
    </w:p>
    <w:p w14:paraId="3CD663BB" w14:textId="77777777" w:rsidR="00276BC5" w:rsidRDefault="00276BC5" w:rsidP="00895809">
      <w:pPr>
        <w:pStyle w:val="NoNumPlain1"/>
        <w:spacing w:before="6240"/>
      </w:pPr>
      <w:r>
        <w:t>COPYRIGHT</w:t>
      </w:r>
    </w:p>
    <w:p w14:paraId="07BCD01C" w14:textId="77777777" w:rsidR="00276BC5" w:rsidRDefault="00276BC5" w:rsidP="00276BC5">
      <w:pPr>
        <w:pStyle w:val="NoNumPlain1"/>
      </w:pPr>
      <w:r>
        <w:t xml:space="preserve">© Commonwealth of Australia </w:t>
      </w:r>
      <w:bookmarkStart w:id="5" w:name="Year"/>
      <w:r w:rsidR="00ED4A33">
        <w:t>2020</w:t>
      </w:r>
      <w:bookmarkEnd w:id="5"/>
    </w:p>
    <w:p w14:paraId="7188671C" w14:textId="77777777" w:rsidR="00276BC5" w:rsidRPr="00DE4E67" w:rsidRDefault="00276BC5" w:rsidP="00276BC5">
      <w:pPr>
        <w:pStyle w:val="NoNumPlain1"/>
      </w:pPr>
      <w:r w:rsidRPr="00DE4E67">
        <w:t xml:space="preserve">This AASB Standard contains </w:t>
      </w:r>
      <w:r>
        <w:t>IFRS</w:t>
      </w:r>
      <w:r w:rsidRPr="00DE4E67">
        <w:t xml:space="preserve"> Foundation copyright material.  Reproduction within Australia in unaltered form (retaining this notice) is permitted for personal and non</w:t>
      </w:r>
      <w:r w:rsidR="00895809">
        <w:t>-</w:t>
      </w:r>
      <w:r w:rsidRPr="00DE4E67">
        <w:t xml:space="preserve">commercial use subject to the inclusion of an acknowledgment of the source.  Requests and enquiries concerning reproduction and rights for commercial purposes within Australia should be addressed to The </w:t>
      </w:r>
      <w:r w:rsidR="0034243B">
        <w:t xml:space="preserve">National </w:t>
      </w:r>
      <w:r w:rsidRPr="00DE4E67">
        <w:t xml:space="preserve">Director, Australian Accounting Standards Board, </w:t>
      </w:r>
      <w:r w:rsidR="00895809">
        <w:t>PO Box </w:t>
      </w:r>
      <w:r w:rsidRPr="00DE4E67">
        <w:t>204, Collins Street West, Victoria 8007.</w:t>
      </w:r>
    </w:p>
    <w:p w14:paraId="18E88C12" w14:textId="77777777" w:rsidR="00276BC5" w:rsidRPr="00DE4E67" w:rsidRDefault="00276BC5" w:rsidP="00895809">
      <w:pPr>
        <w:spacing w:after="200"/>
      </w:pPr>
      <w:r w:rsidRPr="00DE4E67">
        <w:t>All existing rights in this material are reserved outside Australia.</w:t>
      </w:r>
      <w:r w:rsidR="00895809">
        <w:t xml:space="preserve">  </w:t>
      </w:r>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p w14:paraId="2C523B6C" w14:textId="77777777" w:rsidR="007455F0" w:rsidRPr="0000292B" w:rsidRDefault="006D4700" w:rsidP="006D4700">
      <w:r>
        <w:t xml:space="preserve">ISSN </w:t>
      </w:r>
      <w:bookmarkStart w:id="6" w:name="ISSN"/>
      <w:r w:rsidR="00ED4A33">
        <w:t>1036-4803</w:t>
      </w:r>
      <w:bookmarkEnd w:id="6"/>
    </w:p>
    <w:p w14:paraId="69BE7081" w14:textId="77777777" w:rsidR="00090A6F" w:rsidRPr="0000292B" w:rsidRDefault="00090A6F">
      <w:pPr>
        <w:sectPr w:rsidR="00090A6F" w:rsidRPr="0000292B" w:rsidSect="00D74C6A">
          <w:footerReference w:type="default" r:id="rId12"/>
          <w:pgSz w:w="11907" w:h="16840" w:code="9"/>
          <w:pgMar w:top="1418" w:right="1418" w:bottom="1418" w:left="1418" w:header="709" w:footer="709" w:gutter="0"/>
          <w:paperSrc w:first="7" w:other="7"/>
          <w:cols w:space="720"/>
        </w:sectPr>
      </w:pPr>
    </w:p>
    <w:p w14:paraId="49EEEFA3" w14:textId="77777777" w:rsidR="00090A6F" w:rsidRPr="0000292B" w:rsidRDefault="005655CE">
      <w:pPr>
        <w:pStyle w:val="Heading1"/>
      </w:pPr>
      <w:r w:rsidRPr="0000292B">
        <w:lastRenderedPageBreak/>
        <w:t>Contents</w:t>
      </w:r>
    </w:p>
    <w:p w14:paraId="6E6C13D5" w14:textId="77777777" w:rsidR="00090A6F" w:rsidRPr="0000292B" w:rsidRDefault="00090A6F" w:rsidP="001A0C8F">
      <w:pPr>
        <w:pStyle w:val="ContentsCapsPlain"/>
      </w:pPr>
      <w:r w:rsidRPr="0000292B">
        <w:t>Preface</w:t>
      </w:r>
    </w:p>
    <w:p w14:paraId="4341C77E" w14:textId="77777777" w:rsidR="00090A6F" w:rsidRPr="0000292B" w:rsidRDefault="00090A6F">
      <w:pPr>
        <w:pStyle w:val="ContentsCapsBold"/>
      </w:pPr>
      <w:r w:rsidRPr="0000292B">
        <w:t>Accounting Standard</w:t>
      </w:r>
    </w:p>
    <w:p w14:paraId="4D8F0304" w14:textId="23776442" w:rsidR="00090A6F" w:rsidRDefault="00090A6F">
      <w:pPr>
        <w:pStyle w:val="ContentsCapsBold"/>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054195" w:rsidRPr="00054195">
        <w:rPr>
          <w:iCs/>
        </w:rPr>
        <w:t>2020-1</w:t>
      </w:r>
      <w:r w:rsidR="009C2479"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054195" w:rsidRPr="00054195">
        <w:rPr>
          <w:i/>
        </w:rPr>
        <w:t>Amendments to Australian Accounting Standards – Classification of Liabilities as Current or Non-current</w:t>
      </w:r>
      <w:r w:rsidR="00CC1DF4" w:rsidRPr="00CC1DF4">
        <w:rPr>
          <w:i/>
        </w:rPr>
        <w:fldChar w:fldCharType="end"/>
      </w:r>
    </w:p>
    <w:p w14:paraId="02738CEB" w14:textId="77777777" w:rsidR="002B7803" w:rsidRPr="002B7803" w:rsidRDefault="002B7803" w:rsidP="002B7803"/>
    <w:p w14:paraId="25F1CC65" w14:textId="77777777" w:rsidR="00090A6F" w:rsidRPr="0000292B" w:rsidRDefault="009965BA">
      <w:pPr>
        <w:pStyle w:val="ContentsParaHead"/>
      </w:pPr>
      <w:r>
        <w:t>from page</w:t>
      </w:r>
    </w:p>
    <w:p w14:paraId="483AFAF0" w14:textId="4F6FF78E" w:rsidR="00090A6F" w:rsidRPr="0000292B" w:rsidRDefault="00090A6F" w:rsidP="0014453D">
      <w:pPr>
        <w:pStyle w:val="ContentsLevel1"/>
        <w:ind w:right="-1"/>
      </w:pPr>
      <w:bookmarkStart w:id="7" w:name="TOCRange"/>
      <w:r w:rsidRPr="0000292B">
        <w:t>Objective</w:t>
      </w:r>
      <w:r w:rsidRPr="0000292B">
        <w:tab/>
      </w:r>
      <w:r w:rsidR="00BF1287">
        <w:t xml:space="preserve">    </w:t>
      </w:r>
      <w:r w:rsidR="00266650">
        <w:t>5</w:t>
      </w:r>
    </w:p>
    <w:p w14:paraId="19B9952B" w14:textId="6A25107E" w:rsidR="00090A6F" w:rsidRDefault="00090A6F" w:rsidP="0014453D">
      <w:pPr>
        <w:pStyle w:val="ContentsLevel1"/>
        <w:ind w:right="-1"/>
      </w:pPr>
      <w:r w:rsidRPr="0000292B">
        <w:t>Application</w:t>
      </w:r>
      <w:r w:rsidRPr="0000292B">
        <w:tab/>
      </w:r>
      <w:r w:rsidR="00266650">
        <w:t>5</w:t>
      </w:r>
    </w:p>
    <w:p w14:paraId="7F9C4D23" w14:textId="4C27EB70" w:rsidR="00ED4A33" w:rsidRDefault="00ED4A33" w:rsidP="001629EB">
      <w:pPr>
        <w:pStyle w:val="ContentsLevel1"/>
        <w:ind w:right="-1"/>
      </w:pPr>
      <w:r>
        <w:t>Amendments to AASB 101</w:t>
      </w:r>
      <w:r>
        <w:tab/>
      </w:r>
      <w:r w:rsidR="00266650">
        <w:t>5</w:t>
      </w:r>
    </w:p>
    <w:p w14:paraId="2A483299" w14:textId="17D296CA" w:rsidR="00090A6F" w:rsidRPr="0000292B" w:rsidRDefault="001629EB" w:rsidP="001629EB">
      <w:pPr>
        <w:pStyle w:val="ContentsLevel1"/>
        <w:ind w:right="-1"/>
      </w:pPr>
      <w:r>
        <w:t xml:space="preserve">COMMENCEMENT OF THE LEGISLATIVE INSTRUMENT   </w:t>
      </w:r>
      <w:r>
        <w:tab/>
      </w:r>
      <w:bookmarkStart w:id="8" w:name="ContentsMarker"/>
      <w:bookmarkEnd w:id="8"/>
      <w:r w:rsidR="00FF310F">
        <w:t>7</w:t>
      </w:r>
    </w:p>
    <w:bookmarkEnd w:id="7"/>
    <w:p w14:paraId="139E9527" w14:textId="29FE0B14" w:rsidR="0034243B" w:rsidRDefault="0034243B" w:rsidP="00606840">
      <w:pPr>
        <w:pStyle w:val="ContentsCapsBold"/>
        <w:spacing w:before="400" w:after="200"/>
        <w:jc w:val="left"/>
      </w:pPr>
      <w:r>
        <w:t>aVailable on the AASB website</w:t>
      </w:r>
      <w:r w:rsidR="00A878EC">
        <w:br/>
      </w:r>
      <w:r w:rsidRPr="003D7DBF">
        <w:rPr>
          <w:caps w:val="0"/>
        </w:rPr>
        <w:t xml:space="preserve">IASB </w:t>
      </w:r>
      <w:r w:rsidR="007C7F27" w:rsidRPr="003D7DBF">
        <w:rPr>
          <w:caps w:val="0"/>
        </w:rPr>
        <w:t>Bas</w:t>
      </w:r>
      <w:r w:rsidR="00D57F18" w:rsidRPr="003D7DBF">
        <w:rPr>
          <w:caps w:val="0"/>
        </w:rPr>
        <w:t>i</w:t>
      </w:r>
      <w:r w:rsidR="007C7F27" w:rsidRPr="003D7DBF">
        <w:rPr>
          <w:caps w:val="0"/>
        </w:rPr>
        <w:t xml:space="preserve">s </w:t>
      </w:r>
      <w:r w:rsidRPr="003D7DBF">
        <w:rPr>
          <w:caps w:val="0"/>
        </w:rPr>
        <w:t>for Conclusions – Amendments</w:t>
      </w:r>
    </w:p>
    <w:p w14:paraId="45CCACCB" w14:textId="77777777" w:rsidR="0034243B" w:rsidRPr="0034243B" w:rsidRDefault="0034243B" w:rsidP="0034243B">
      <w:pPr>
        <w:pStyle w:val="ContentsCapsBoldPg"/>
      </w:pPr>
    </w:p>
    <w:p w14:paraId="580DC75A" w14:textId="2D7FFBEC"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054195" w:rsidRPr="00054195">
        <w:rPr>
          <w:iCs/>
        </w:rPr>
        <w:t>2020-1</w:t>
      </w:r>
      <w:r w:rsidR="00BC0D5D"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054195" w:rsidRPr="00054195">
        <w:rPr>
          <w:i/>
        </w:rPr>
        <w:t>Amendments to Australian Accounting Standards – Classification of Liabilities as Current or Non-current</w:t>
      </w:r>
      <w:r w:rsidR="00CC1DF4" w:rsidRPr="00CC1DF4">
        <w:rPr>
          <w:i/>
        </w:rPr>
        <w:fldChar w:fldCharType="end"/>
      </w:r>
      <w:r w:rsidRPr="0000292B">
        <w:rPr>
          <w:i/>
          <w:iCs/>
        </w:rPr>
        <w:t xml:space="preserve"> </w:t>
      </w:r>
      <w:r w:rsidRPr="0000292B">
        <w:t xml:space="preserve">is set out </w:t>
      </w:r>
      <w:r w:rsidR="005655CE">
        <w:t>o</w:t>
      </w:r>
      <w:r w:rsidRPr="0000292B">
        <w:t xml:space="preserve">n </w:t>
      </w:r>
      <w:r w:rsidR="005655CE">
        <w:t>pages</w:t>
      </w:r>
      <w:r w:rsidR="0067737A">
        <w:t xml:space="preserve"> 5</w:t>
      </w:r>
      <w:r w:rsidR="009D3486">
        <w:t xml:space="preserve"> – 7</w:t>
      </w:r>
      <w:r w:rsidR="0067737A">
        <w:t>.</w:t>
      </w:r>
      <w:r w:rsidRPr="0000292B">
        <w:t xml:space="preserve"> All the pa</w:t>
      </w:r>
      <w:r w:rsidR="009C2479">
        <w:t>ragraphs have equal authority.</w:t>
      </w:r>
    </w:p>
    <w:p w14:paraId="23A5BF35" w14:textId="77777777" w:rsidR="00090A6F" w:rsidRPr="0000292B" w:rsidRDefault="00090A6F">
      <w:pPr>
        <w:pStyle w:val="ContentsBox"/>
        <w:pBdr>
          <w:top w:val="none" w:sz="0" w:space="0" w:color="auto"/>
          <w:left w:val="none" w:sz="0" w:space="0" w:color="auto"/>
          <w:bottom w:val="none" w:sz="0" w:space="0" w:color="auto"/>
          <w:right w:val="none" w:sz="0" w:space="0" w:color="auto"/>
        </w:pBdr>
      </w:pPr>
    </w:p>
    <w:p w14:paraId="28A5233B" w14:textId="77777777" w:rsidR="00090A6F" w:rsidRPr="0000292B" w:rsidRDefault="00090A6F">
      <w:pPr>
        <w:sectPr w:rsidR="00090A6F" w:rsidRPr="0000292B" w:rsidSect="00D74C6A">
          <w:footerReference w:type="default" r:id="rId13"/>
          <w:pgSz w:w="11907" w:h="16840" w:code="9"/>
          <w:pgMar w:top="1418" w:right="1418" w:bottom="1418" w:left="1418" w:header="709" w:footer="709" w:gutter="0"/>
          <w:paperSrc w:first="7" w:other="7"/>
          <w:cols w:space="720"/>
        </w:sectPr>
      </w:pPr>
    </w:p>
    <w:p w14:paraId="62455324" w14:textId="77777777" w:rsidR="00090A6F" w:rsidRPr="0000292B" w:rsidRDefault="00090A6F">
      <w:pPr>
        <w:pStyle w:val="Heading1"/>
      </w:pPr>
      <w:r w:rsidRPr="0000292B">
        <w:lastRenderedPageBreak/>
        <w:t>Preface</w:t>
      </w:r>
    </w:p>
    <w:p w14:paraId="18937B93" w14:textId="050DC512" w:rsidR="000F64CC" w:rsidRPr="0000292B" w:rsidRDefault="00CA61C5" w:rsidP="00C764E7">
      <w:pPr>
        <w:pStyle w:val="Heading2"/>
        <w:spacing w:before="400"/>
      </w:pPr>
      <w:r>
        <w:t xml:space="preserve">Standards amended by AASB </w:t>
      </w:r>
      <w:r>
        <w:fldChar w:fldCharType="begin" w:fldLock="1"/>
      </w:r>
      <w:r>
        <w:instrText xml:space="preserve"> REF DocNo \* charformat</w:instrText>
      </w:r>
      <w:r>
        <w:fldChar w:fldCharType="separate"/>
      </w:r>
      <w:r w:rsidR="00054195">
        <w:t>2020-1</w:t>
      </w:r>
      <w:r>
        <w:fldChar w:fldCharType="end"/>
      </w:r>
    </w:p>
    <w:p w14:paraId="12A09BCA" w14:textId="6E32E7A6" w:rsidR="00074133" w:rsidRDefault="009C2479" w:rsidP="005A2514">
      <w:pPr>
        <w:pStyle w:val="NoNumPlain1"/>
      </w:pPr>
      <w:r>
        <w:t xml:space="preserve">This Standard makes amendments to </w:t>
      </w:r>
      <w:r w:rsidR="00876E74">
        <w:t>AASB 10</w:t>
      </w:r>
      <w:r w:rsidR="00FD6A1D">
        <w:t xml:space="preserve">1 </w:t>
      </w:r>
      <w:r w:rsidR="00FD6A1D">
        <w:rPr>
          <w:i/>
          <w:iCs/>
        </w:rPr>
        <w:t>Presentation of Financial Statements</w:t>
      </w:r>
      <w:r w:rsidR="007146C4">
        <w:rPr>
          <w:i/>
          <w:iCs/>
        </w:rPr>
        <w:t xml:space="preserve"> </w:t>
      </w:r>
      <w:r w:rsidR="007146C4">
        <w:t>(</w:t>
      </w:r>
      <w:r w:rsidR="003E5232">
        <w:t>July 2015)</w:t>
      </w:r>
      <w:r w:rsidR="005A2514">
        <w:t>.</w:t>
      </w:r>
    </w:p>
    <w:p w14:paraId="36855BF1" w14:textId="4A0C7B02" w:rsidR="008A16EB" w:rsidRDefault="00401ECA" w:rsidP="00401ECA">
      <w:pPr>
        <w:pStyle w:val="NoNumPlain1"/>
      </w:pPr>
      <w:r>
        <w:t xml:space="preserve">These </w:t>
      </w:r>
      <w:r w:rsidR="00460FBB">
        <w:t>a</w:t>
      </w:r>
      <w:r>
        <w:t>mendments arise from</w:t>
      </w:r>
      <w:r w:rsidR="00D00FD5">
        <w:t xml:space="preserve"> the issuance of </w:t>
      </w:r>
      <w:r w:rsidR="008A16EB">
        <w:t xml:space="preserve">International Financial Reporting Standard </w:t>
      </w:r>
      <w:bookmarkStart w:id="9" w:name="ArisingTitle"/>
      <w:r w:rsidR="00B35142" w:rsidRPr="00B35142">
        <w:rPr>
          <w:i/>
        </w:rPr>
        <w:t>Classification of Liabilities as Current or Non-current</w:t>
      </w:r>
      <w:bookmarkEnd w:id="9"/>
      <w:r w:rsidR="008A16EB">
        <w:t xml:space="preserve"> by the International Accounting Standards Board (IASB) in </w:t>
      </w:r>
      <w:bookmarkStart w:id="10" w:name="ArisingDate"/>
      <w:r w:rsidR="00ED4A33">
        <w:t>January 2020</w:t>
      </w:r>
      <w:bookmarkEnd w:id="10"/>
      <w:r w:rsidR="008A16EB">
        <w:t>.</w:t>
      </w:r>
    </w:p>
    <w:p w14:paraId="65623F4E" w14:textId="77777777" w:rsidR="00090A6F" w:rsidRDefault="00F22AF2" w:rsidP="00C764E7">
      <w:pPr>
        <w:pStyle w:val="Heading2"/>
        <w:spacing w:before="400"/>
      </w:pPr>
      <w:r>
        <w:t>Main features of this Standard</w:t>
      </w:r>
    </w:p>
    <w:p w14:paraId="0523793E" w14:textId="77777777" w:rsidR="00F22AF2" w:rsidRDefault="00F22AF2" w:rsidP="00F22AF2">
      <w:pPr>
        <w:pStyle w:val="Heading2Indent1"/>
      </w:pPr>
      <w:r>
        <w:t>Main requirements</w:t>
      </w:r>
    </w:p>
    <w:p w14:paraId="3CEEF433" w14:textId="74F6C3B7" w:rsidR="00F22AF2" w:rsidRDefault="00D60174" w:rsidP="00F22AF2">
      <w:pPr>
        <w:pStyle w:val="NoNumPlain1"/>
      </w:pPr>
      <w:r>
        <w:t xml:space="preserve">This Standard amends AASB 101 to </w:t>
      </w:r>
      <w:r w:rsidR="00C41EDB">
        <w:t>clarify re</w:t>
      </w:r>
      <w:r w:rsidR="00C97F95">
        <w:t>quirements for the presentation of liabilities in the statement of financial position</w:t>
      </w:r>
      <w:r w:rsidR="00A9136E">
        <w:t xml:space="preserve"> as current or non-current</w:t>
      </w:r>
      <w:r w:rsidR="00C97F95">
        <w:t>.</w:t>
      </w:r>
      <w:r w:rsidR="006E3EC5">
        <w:t xml:space="preserve"> For example,</w:t>
      </w:r>
      <w:r w:rsidR="002632AE">
        <w:t xml:space="preserve"> </w:t>
      </w:r>
      <w:r w:rsidR="006E3EC5">
        <w:t>t</w:t>
      </w:r>
      <w:r w:rsidR="002632AE">
        <w:t xml:space="preserve">he amendments clarify </w:t>
      </w:r>
      <w:r w:rsidR="006F2172">
        <w:t xml:space="preserve">that </w:t>
      </w:r>
      <w:r w:rsidR="003F2FF9">
        <w:t xml:space="preserve">a </w:t>
      </w:r>
      <w:r w:rsidR="00D11FCB">
        <w:t>liability</w:t>
      </w:r>
      <w:r w:rsidR="003F2FF9">
        <w:t xml:space="preserve"> </w:t>
      </w:r>
      <w:r w:rsidR="00357EB1">
        <w:t xml:space="preserve">is classified </w:t>
      </w:r>
      <w:r w:rsidR="003F2FF9">
        <w:t xml:space="preserve">as non-current </w:t>
      </w:r>
      <w:r w:rsidR="00CD56CA">
        <w:t>if</w:t>
      </w:r>
      <w:r w:rsidR="0044574D">
        <w:t xml:space="preserve"> an entity </w:t>
      </w:r>
      <w:r w:rsidR="00EF64E1">
        <w:t>has</w:t>
      </w:r>
      <w:r w:rsidR="0044574D">
        <w:t xml:space="preserve"> the right </w:t>
      </w:r>
      <w:r w:rsidR="00EF64E1">
        <w:t xml:space="preserve">at the end of the reporting period </w:t>
      </w:r>
      <w:r w:rsidR="0044574D">
        <w:t>to defer s</w:t>
      </w:r>
      <w:r w:rsidR="007B6C04">
        <w:t xml:space="preserve">ettlement of the liability for at least 12 months after the reporting </w:t>
      </w:r>
      <w:r w:rsidR="00D21DC5">
        <w:t>period.</w:t>
      </w:r>
      <w:r w:rsidR="006F2172">
        <w:t xml:space="preserve"> The meaning of settlement of a li</w:t>
      </w:r>
      <w:r w:rsidR="00A44A4F">
        <w:t>ability is also clarified.</w:t>
      </w:r>
    </w:p>
    <w:p w14:paraId="361B169B" w14:textId="77777777" w:rsidR="00F22AF2" w:rsidRDefault="00F22AF2" w:rsidP="00F22AF2">
      <w:pPr>
        <w:pStyle w:val="Heading2Indent1"/>
      </w:pPr>
      <w:r>
        <w:t>Application date</w:t>
      </w:r>
    </w:p>
    <w:p w14:paraId="483EF620" w14:textId="70EC144B" w:rsidR="00F22AF2" w:rsidRPr="00F22AF2" w:rsidRDefault="00B16904" w:rsidP="00F22AF2">
      <w:pPr>
        <w:pStyle w:val="NoNumPlain1"/>
      </w:pPr>
      <w:r>
        <w:t xml:space="preserve">This Standard applies to annual </w:t>
      </w:r>
      <w:r w:rsidR="00A44A4F">
        <w:t xml:space="preserve">reporting </w:t>
      </w:r>
      <w:r>
        <w:t xml:space="preserve">periods </w:t>
      </w:r>
      <w:bookmarkStart w:id="11" w:name="ApplyText"/>
      <w:r>
        <w:t>beginning</w:t>
      </w:r>
      <w:bookmarkEnd w:id="11"/>
      <w:r>
        <w:t xml:space="preserve"> on or after</w:t>
      </w:r>
      <w:r w:rsidR="00867FB0">
        <w:t xml:space="preserve"> </w:t>
      </w:r>
      <w:bookmarkStart w:id="12" w:name="ApplyDate"/>
      <w:r w:rsidR="00ED4A33">
        <w:t>1 January 2022</w:t>
      </w:r>
      <w:bookmarkEnd w:id="12"/>
      <w:r>
        <w:t>.  Earlier application is permitted</w:t>
      </w:r>
      <w:r w:rsidR="00B944E5">
        <w:t>.</w:t>
      </w:r>
    </w:p>
    <w:p w14:paraId="3274FDD8" w14:textId="77777777" w:rsidR="00F22AF2" w:rsidRPr="0000292B" w:rsidRDefault="00F22AF2"/>
    <w:p w14:paraId="4D3B279A" w14:textId="77777777" w:rsidR="00090A6F" w:rsidRPr="0000292B" w:rsidRDefault="00090A6F">
      <w:pPr>
        <w:sectPr w:rsidR="00090A6F" w:rsidRPr="0000292B" w:rsidSect="00D74C6A">
          <w:footerReference w:type="default" r:id="rId14"/>
          <w:pgSz w:w="11907" w:h="16840" w:code="9"/>
          <w:pgMar w:top="1418" w:right="1418" w:bottom="1418" w:left="1418" w:header="709" w:footer="709" w:gutter="0"/>
          <w:paperSrc w:first="7" w:other="7"/>
          <w:cols w:space="720"/>
        </w:sectPr>
      </w:pPr>
    </w:p>
    <w:p w14:paraId="716B1A81" w14:textId="49DCD3B2" w:rsidR="001662B8" w:rsidRPr="0000292B" w:rsidRDefault="00F13C5A" w:rsidP="001662B8">
      <w:pPr>
        <w:pStyle w:val="Heading1"/>
      </w:pPr>
      <w:r w:rsidRPr="0000292B">
        <w:lastRenderedPageBreak/>
        <w:t xml:space="preserve">Accounting Standard </w:t>
      </w:r>
      <w:r w:rsidR="001662B8" w:rsidRPr="0000292B">
        <w:t xml:space="preserve">AASB </w:t>
      </w:r>
      <w:r w:rsidR="001662B8" w:rsidRPr="00BC0D5D">
        <w:rPr>
          <w:iCs/>
        </w:rPr>
        <w:fldChar w:fldCharType="begin" w:fldLock="1"/>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054195" w:rsidRPr="00054195">
        <w:rPr>
          <w:iCs/>
        </w:rPr>
        <w:t>2020-1</w:t>
      </w:r>
      <w:r w:rsidR="001662B8" w:rsidRPr="00BC0D5D">
        <w:rPr>
          <w:iCs/>
        </w:rPr>
        <w:fldChar w:fldCharType="end"/>
      </w:r>
    </w:p>
    <w:p w14:paraId="34E4C5B8" w14:textId="5762009B" w:rsidR="001662B8" w:rsidRDefault="001662B8" w:rsidP="003E1900">
      <w:pPr>
        <w:pStyle w:val="NoNumPlain1"/>
      </w:pPr>
      <w:r>
        <w:t>The Australian Accounting Standards Board makes Accounting Standard AASB </w:t>
      </w:r>
      <w:r w:rsidR="003954D6">
        <w:fldChar w:fldCharType="begin" w:fldLock="1"/>
      </w:r>
      <w:r w:rsidR="003954D6">
        <w:instrText xml:space="preserve"> REF DocNo  \* charformat </w:instrText>
      </w:r>
      <w:r w:rsidR="003954D6">
        <w:fldChar w:fldCharType="separate"/>
      </w:r>
      <w:r w:rsidR="00054195">
        <w:t>2020-1</w:t>
      </w:r>
      <w:r w:rsidR="003954D6">
        <w:fldChar w:fldCharType="end"/>
      </w:r>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054195" w:rsidRPr="00054195">
        <w:rPr>
          <w:i/>
        </w:rPr>
        <w:t>Amendments to Australian Accounting Standards – Classification of Liabilities as Current or Non-current</w:t>
      </w:r>
      <w:r w:rsidR="00CC1DF4" w:rsidRPr="00CC1DF4">
        <w:rPr>
          <w:i/>
        </w:rPr>
        <w:fldChar w:fldCharType="end"/>
      </w:r>
      <w:bookmarkStart w:id="13" w:name="CorpsAct"/>
      <w:r w:rsidR="002B7803">
        <w:rPr>
          <w:i/>
          <w:iCs/>
        </w:rPr>
        <w:t xml:space="preserve"> </w:t>
      </w:r>
      <w:r>
        <w:t xml:space="preserve">under section 334 of the </w:t>
      </w:r>
      <w:r>
        <w:rPr>
          <w:i/>
          <w:iCs/>
        </w:rPr>
        <w:t>Corporations Act 2001</w:t>
      </w:r>
      <w:bookmarkEnd w:id="13"/>
      <w:r>
        <w:t>.</w:t>
      </w:r>
    </w:p>
    <w:tbl>
      <w:tblPr>
        <w:tblW w:w="932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14:paraId="2C162D2D" w14:textId="77777777" w:rsidTr="008C1C4A">
        <w:tc>
          <w:tcPr>
            <w:tcW w:w="4361" w:type="dxa"/>
          </w:tcPr>
          <w:p w14:paraId="4781EB40" w14:textId="77777777" w:rsidR="00C03C7B" w:rsidRDefault="00C03C7B" w:rsidP="0048155F"/>
        </w:tc>
        <w:tc>
          <w:tcPr>
            <w:tcW w:w="4961" w:type="dxa"/>
          </w:tcPr>
          <w:p w14:paraId="5E2AD40F" w14:textId="77777777" w:rsidR="00C03C7B" w:rsidRDefault="008F3EBA" w:rsidP="0048155F">
            <w:pPr>
              <w:jc w:val="right"/>
            </w:pPr>
            <w:r>
              <w:t>Kris Peach</w:t>
            </w:r>
          </w:p>
        </w:tc>
      </w:tr>
      <w:tr w:rsidR="00C03C7B" w14:paraId="50AE0908" w14:textId="77777777" w:rsidTr="008C1C4A">
        <w:tc>
          <w:tcPr>
            <w:tcW w:w="4361" w:type="dxa"/>
          </w:tcPr>
          <w:p w14:paraId="69CFD623" w14:textId="31230E92" w:rsidR="00C03C7B" w:rsidRDefault="00C03C7B" w:rsidP="0048155F">
            <w:r>
              <w:t xml:space="preserve">Dated </w:t>
            </w:r>
            <w:bookmarkStart w:id="14" w:name="DateSigned"/>
            <w:bookmarkEnd w:id="14"/>
            <w:r w:rsidR="009F264A">
              <w:t>5 March 2020</w:t>
            </w:r>
          </w:p>
        </w:tc>
        <w:tc>
          <w:tcPr>
            <w:tcW w:w="4961" w:type="dxa"/>
          </w:tcPr>
          <w:p w14:paraId="6556DECB" w14:textId="77777777" w:rsidR="00C03C7B" w:rsidRDefault="00C03C7B" w:rsidP="0048155F">
            <w:pPr>
              <w:jc w:val="right"/>
            </w:pPr>
            <w:r>
              <w:t>Chair – AASB</w:t>
            </w:r>
          </w:p>
        </w:tc>
      </w:tr>
    </w:tbl>
    <w:p w14:paraId="3F9D5857" w14:textId="55606A07"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054195" w:rsidRPr="00054195">
        <w:rPr>
          <w:iCs/>
        </w:rPr>
        <w:t>2020-1</w:t>
      </w:r>
      <w:r w:rsidR="00BC0D5D" w:rsidRPr="00BC0D5D">
        <w:rPr>
          <w:iCs/>
        </w:rPr>
        <w:fldChar w:fldCharType="end"/>
      </w:r>
    </w:p>
    <w:p w14:paraId="1252D2AE" w14:textId="47174AB6" w:rsidR="00090A6F" w:rsidRDefault="00CC1DF4" w:rsidP="003E1900">
      <w:pPr>
        <w:pStyle w:val="Heading1Italic"/>
        <w:spacing w:before="0"/>
      </w:pPr>
      <w:r>
        <w:fldChar w:fldCharType="begin" w:fldLock="1"/>
      </w:r>
      <w:r>
        <w:instrText xml:space="preserve"> REF DocTitle \* charformat</w:instrText>
      </w:r>
      <w:r>
        <w:fldChar w:fldCharType="separate"/>
      </w:r>
      <w:r w:rsidR="00054195">
        <w:t>Amendments to Australian Accounting Standards – Classification of Liabilities as Current or Non-current</w:t>
      </w:r>
      <w:r>
        <w:fldChar w:fldCharType="end"/>
      </w:r>
    </w:p>
    <w:p w14:paraId="0E692538" w14:textId="77777777" w:rsidR="00090A6F" w:rsidRPr="0000292B" w:rsidRDefault="00090A6F" w:rsidP="00AC6758">
      <w:pPr>
        <w:pStyle w:val="Heading2"/>
        <w:spacing w:before="400"/>
      </w:pPr>
      <w:bookmarkStart w:id="15" w:name="TOCStart"/>
      <w:bookmarkEnd w:id="15"/>
      <w:r w:rsidRPr="0000292B">
        <w:t>Objective</w:t>
      </w:r>
    </w:p>
    <w:p w14:paraId="3C01E6AC" w14:textId="6DF38DDB" w:rsidR="001662B8" w:rsidRPr="0000292B" w:rsidRDefault="00867FB0" w:rsidP="005A6AC7">
      <w:pPr>
        <w:pStyle w:val="NoNumPlain1"/>
      </w:pPr>
      <w:r>
        <w:t>This</w:t>
      </w:r>
      <w:r w:rsidR="001662B8">
        <w:t xml:space="preserve"> Standard </w:t>
      </w:r>
      <w:r>
        <w:t>amends</w:t>
      </w:r>
      <w:r w:rsidR="00C34B51">
        <w:t xml:space="preserve"> </w:t>
      </w:r>
      <w:r w:rsidR="00ED4A33">
        <w:t xml:space="preserve">AASB 101 </w:t>
      </w:r>
      <w:r w:rsidR="00ED4A33" w:rsidRPr="00ED4A33">
        <w:rPr>
          <w:i/>
        </w:rPr>
        <w:t>Presentation of Financial Statements</w:t>
      </w:r>
      <w:r w:rsidR="003E0E44">
        <w:rPr>
          <w:iCs/>
        </w:rPr>
        <w:t xml:space="preserve"> (July 2015)</w:t>
      </w:r>
      <w:r w:rsidR="00C34B51">
        <w:t xml:space="preserve"> </w:t>
      </w:r>
      <w:r w:rsidR="001662B8">
        <w:t>a</w:t>
      </w:r>
      <w:bookmarkStart w:id="16" w:name="StndObj"/>
      <w:bookmarkEnd w:id="16"/>
      <w:r w:rsidR="001662B8">
        <w:t>s a consequence of the issuance of</w:t>
      </w:r>
      <w:r>
        <w:t xml:space="preserve"> International Financial Reporting Standard</w:t>
      </w:r>
      <w:r w:rsidR="001662B8">
        <w:t xml:space="preserve"> </w:t>
      </w:r>
      <w:r w:rsidRPr="00867FB0">
        <w:rPr>
          <w:i/>
        </w:rPr>
        <w:fldChar w:fldCharType="begin" w:fldLock="1"/>
      </w:r>
      <w:r w:rsidRPr="00867FB0">
        <w:rPr>
          <w:i/>
        </w:rPr>
        <w:instrText xml:space="preserve"> REF ArisingTitle \* charformat</w:instrText>
      </w:r>
      <w:r w:rsidR="00C34B51">
        <w:rPr>
          <w:i/>
        </w:rPr>
        <w:instrText xml:space="preserve"> \* MERGEFORMAT </w:instrText>
      </w:r>
      <w:r w:rsidRPr="00867FB0">
        <w:rPr>
          <w:i/>
        </w:rPr>
        <w:fldChar w:fldCharType="separate"/>
      </w:r>
      <w:r w:rsidR="00054195" w:rsidRPr="00B35142">
        <w:rPr>
          <w:i/>
        </w:rPr>
        <w:t>Classification of Liabilities as Current or Non-current</w:t>
      </w:r>
      <w:r w:rsidRPr="00867FB0">
        <w:rPr>
          <w:i/>
        </w:rPr>
        <w:fldChar w:fldCharType="end"/>
      </w:r>
      <w:r w:rsidR="001662B8">
        <w:t xml:space="preserve"> </w:t>
      </w:r>
      <w:r w:rsidR="00F24FDB">
        <w:t xml:space="preserve">(Amendments to IAS 1) </w:t>
      </w:r>
      <w:r>
        <w:t xml:space="preserve">by the International Accounting Standards Board </w:t>
      </w:r>
      <w:r w:rsidR="003E5F75">
        <w:t xml:space="preserve">(IASB) </w:t>
      </w:r>
      <w:r w:rsidR="001662B8">
        <w:t>in</w:t>
      </w:r>
      <w:r w:rsidR="00742E4B">
        <w:t xml:space="preserve"> </w:t>
      </w:r>
      <w:r>
        <w:fldChar w:fldCharType="begin" w:fldLock="1"/>
      </w:r>
      <w:r>
        <w:instrText xml:space="preserve"> REF ArisingDate \* charformat</w:instrText>
      </w:r>
      <w:r>
        <w:fldChar w:fldCharType="separate"/>
      </w:r>
      <w:r w:rsidR="00054195">
        <w:t>January 2020</w:t>
      </w:r>
      <w:r>
        <w:fldChar w:fldCharType="end"/>
      </w:r>
      <w:r w:rsidR="001662B8">
        <w:t>.</w:t>
      </w:r>
    </w:p>
    <w:p w14:paraId="2FFB215D" w14:textId="77777777" w:rsidR="00090A6F" w:rsidRPr="0000292B" w:rsidRDefault="00090A6F" w:rsidP="00AC6758">
      <w:pPr>
        <w:pStyle w:val="Heading2"/>
        <w:spacing w:before="400"/>
      </w:pPr>
      <w:r w:rsidRPr="0000292B">
        <w:t>Application</w:t>
      </w:r>
    </w:p>
    <w:p w14:paraId="1C96A3F6" w14:textId="730F8F18" w:rsidR="005A6AC7" w:rsidRPr="005A6AC7" w:rsidRDefault="005A6AC7" w:rsidP="005A6AC7">
      <w:pPr>
        <w:pStyle w:val="NoNumPlain1"/>
        <w:rPr>
          <w:i/>
        </w:rPr>
      </w:pPr>
      <w:r>
        <w:t>The amendments set out in this Standard apply to entities and financial statements in accordance with the application of</w:t>
      </w:r>
      <w:r w:rsidR="00F706D4">
        <w:t xml:space="preserve"> AASB 101 set out in</w:t>
      </w:r>
      <w:r w:rsidR="002165BC">
        <w:t xml:space="preserve"> </w:t>
      </w:r>
      <w:r>
        <w:t xml:space="preserve">AASB 1057 </w:t>
      </w:r>
      <w:r>
        <w:rPr>
          <w:i/>
        </w:rPr>
        <w:t>Application of Australian Accounting Standards.</w:t>
      </w:r>
    </w:p>
    <w:p w14:paraId="5A1CC824" w14:textId="74A61B10" w:rsidR="00090A6F" w:rsidRPr="00027E8B" w:rsidRDefault="00090A6F" w:rsidP="005A6AC7">
      <w:pPr>
        <w:pStyle w:val="NoNumPlain1"/>
      </w:pPr>
      <w:r w:rsidRPr="00027E8B">
        <w:t>This Standard applies to annual</w:t>
      </w:r>
      <w:r w:rsidR="00D15811">
        <w:t xml:space="preserve"> reporting</w:t>
      </w:r>
      <w:r w:rsidRPr="00027E8B">
        <w:t xml:space="preserve"> periods </w:t>
      </w:r>
      <w:r w:rsidR="005A6AC7">
        <w:fldChar w:fldCharType="begin" w:fldLock="1"/>
      </w:r>
      <w:r w:rsidR="005A6AC7">
        <w:instrText xml:space="preserve"> REF ApplyText \* charformat</w:instrText>
      </w:r>
      <w:r w:rsidR="005A6AC7">
        <w:fldChar w:fldCharType="separate"/>
      </w:r>
      <w:r w:rsidR="00054195">
        <w:t>beginning</w:t>
      </w:r>
      <w:r w:rsidR="005A6AC7">
        <w:fldChar w:fldCharType="end"/>
      </w:r>
      <w:r w:rsidRPr="00027E8B">
        <w:t xml:space="preserve"> on or after </w:t>
      </w:r>
      <w:r w:rsidR="005A6AC7">
        <w:fldChar w:fldCharType="begin" w:fldLock="1"/>
      </w:r>
      <w:r w:rsidR="005A6AC7">
        <w:instrText xml:space="preserve"> REF ApplyDate \* charformat</w:instrText>
      </w:r>
      <w:r w:rsidR="005A6AC7">
        <w:fldChar w:fldCharType="separate"/>
      </w:r>
      <w:r w:rsidR="00054195">
        <w:t>1 January 2022</w:t>
      </w:r>
      <w:r w:rsidR="005A6AC7">
        <w:fldChar w:fldCharType="end"/>
      </w:r>
      <w:r w:rsidRPr="00027E8B">
        <w:t>.</w:t>
      </w:r>
    </w:p>
    <w:p w14:paraId="1D36FAA0" w14:textId="1B8F9E3F" w:rsidR="00090A6F" w:rsidRPr="0000292B" w:rsidRDefault="00C52287" w:rsidP="005A6AC7">
      <w:pPr>
        <w:pStyle w:val="NoNumPlain1"/>
      </w:pPr>
      <w:bookmarkStart w:id="17" w:name="EarlyYesPara"/>
      <w:r w:rsidRPr="0000292B">
        <w:t>This Standard may be applied to</w:t>
      </w:r>
      <w:r>
        <w:t xml:space="preserve"> annual reporting periods beginning before 1 January 2022</w:t>
      </w:r>
      <w:r w:rsidRPr="0000292B">
        <w:t xml:space="preserve">. </w:t>
      </w:r>
      <w:r w:rsidR="00090A6F" w:rsidRPr="0000292B">
        <w:t xml:space="preserve">When an entity applies this Standard to </w:t>
      </w:r>
      <w:r w:rsidR="00590051">
        <w:t xml:space="preserve">such </w:t>
      </w:r>
      <w:r w:rsidR="00090A6F" w:rsidRPr="0000292B">
        <w:t>an annual period</w:t>
      </w:r>
      <w:r w:rsidR="00590051">
        <w:t>,</w:t>
      </w:r>
      <w:r w:rsidR="00090A6F" w:rsidRPr="0000292B">
        <w:t xml:space="preserve"> it shall disclose that fact.</w:t>
      </w:r>
    </w:p>
    <w:bookmarkEnd w:id="17"/>
    <w:p w14:paraId="61399507" w14:textId="417B2ABF" w:rsidR="00090A6F" w:rsidRDefault="0048155F" w:rsidP="005A6AC7">
      <w:pPr>
        <w:pStyle w:val="NoNumPlain1"/>
      </w:pPr>
      <w:r>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3B6633">
        <w:t xml:space="preserve"> other typographical material.</w:t>
      </w:r>
      <w:r w:rsidR="00254B16">
        <w:t xml:space="preserve">  Ellipses (…) are used to help provide the context within which amendments are made </w:t>
      </w:r>
      <w:proofErr w:type="gramStart"/>
      <w:r w:rsidR="00254B16">
        <w:t>and also</w:t>
      </w:r>
      <w:proofErr w:type="gramEnd"/>
      <w:r w:rsidR="00254B16">
        <w:t xml:space="preserve"> to indicate text that is not amended.</w:t>
      </w:r>
    </w:p>
    <w:p w14:paraId="791723A0" w14:textId="77777777" w:rsidR="00ED4A33" w:rsidRDefault="00ED4A33" w:rsidP="00AC6758">
      <w:pPr>
        <w:pStyle w:val="Heading2"/>
        <w:spacing w:before="400"/>
      </w:pPr>
      <w:r>
        <w:t xml:space="preserve">Amendments to </w:t>
      </w:r>
      <w:bookmarkStart w:id="18" w:name="StndNo2"/>
      <w:r>
        <w:t>AASB 101</w:t>
      </w:r>
      <w:bookmarkEnd w:id="18"/>
    </w:p>
    <w:p w14:paraId="3FD56A73" w14:textId="77777777" w:rsidR="00277708" w:rsidRDefault="00277708" w:rsidP="00277708">
      <w:pPr>
        <w:pStyle w:val="IASBNormalnpara"/>
      </w:pPr>
    </w:p>
    <w:tbl>
      <w:tblPr>
        <w:tblW w:w="0" w:type="auto"/>
        <w:tblBorders>
          <w:top w:val="single" w:sz="0" w:space="0" w:color="auto"/>
          <w:left w:val="single" w:sz="0" w:space="0" w:color="auto"/>
          <w:bottom w:val="single" w:sz="0" w:space="0" w:color="auto"/>
          <w:right w:val="single" w:sz="0" w:space="0" w:color="auto"/>
        </w:tblBorders>
        <w:tblCellMar>
          <w:top w:w="57" w:type="dxa"/>
          <w:bottom w:w="57" w:type="dxa"/>
        </w:tblCellMar>
        <w:tblLook w:val="04A0" w:firstRow="1" w:lastRow="0" w:firstColumn="1" w:lastColumn="0" w:noHBand="0" w:noVBand="1"/>
        <w:tblCaption w:val="Amendments to AASB 101"/>
        <w:tblDescription w:val="Further information on amendments"/>
      </w:tblPr>
      <w:tblGrid>
        <w:gridCol w:w="9071"/>
      </w:tblGrid>
      <w:tr w:rsidR="00277708" w14:paraId="2E338EE5" w14:textId="77777777" w:rsidTr="00384396">
        <w:trPr>
          <w:trHeight w:val="1077"/>
        </w:trPr>
        <w:tc>
          <w:tcPr>
            <w:tcW w:w="0" w:type="auto"/>
          </w:tcPr>
          <w:p w14:paraId="5B41953E" w14:textId="77777777" w:rsidR="00277708" w:rsidRDefault="00277708" w:rsidP="00384396">
            <w:pPr>
              <w:pStyle w:val="IASBTableArial"/>
            </w:pPr>
            <w:r>
              <w:t>Paragraphs 69, 73, 74 and 76 are amended. Paragraphs 72A, 75A, 76A, 76B and 139U are added</w:t>
            </w:r>
            <w:r w:rsidR="00F706D4">
              <w:t xml:space="preserve">. </w:t>
            </w:r>
            <w:r>
              <w:t xml:space="preserve">Headings are added before paragraphs 70, 71, 72A and 76A. Paragraphs 70, 71, 72 and 75 are not amended, but are included for ease of reading. New text is </w:t>
            </w:r>
            <w:proofErr w:type="gramStart"/>
            <w:r>
              <w:t>underlined</w:t>
            </w:r>
            <w:proofErr w:type="gramEnd"/>
            <w:r>
              <w:t xml:space="preserve"> and deleted text is struck through.</w:t>
            </w:r>
          </w:p>
          <w:p w14:paraId="79618B8D" w14:textId="0FD3CBE9" w:rsidR="00F706D4" w:rsidRDefault="00F706D4" w:rsidP="00E769C4">
            <w:pPr>
              <w:pStyle w:val="IASBTableArial"/>
              <w:spacing w:after="120"/>
            </w:pPr>
            <w:r>
              <w:t>Paragraph 139D has now been deleted by the IASB.</w:t>
            </w:r>
          </w:p>
        </w:tc>
      </w:tr>
    </w:tbl>
    <w:p w14:paraId="0AFDA59C" w14:textId="7AB79D0C" w:rsidR="00277708" w:rsidRDefault="00277708" w:rsidP="00183F4C">
      <w:pPr>
        <w:pStyle w:val="IASBNormalnpara"/>
        <w:ind w:left="0" w:firstLine="0"/>
      </w:pPr>
    </w:p>
    <w:p w14:paraId="3FC710E9" w14:textId="77777777" w:rsidR="00277708" w:rsidRDefault="00277708" w:rsidP="00277708">
      <w:pPr>
        <w:pStyle w:val="IASBSectionTitle1NonInd"/>
      </w:pPr>
      <w:r>
        <w:t>Structure and content</w:t>
      </w:r>
    </w:p>
    <w:p w14:paraId="52E0A02C" w14:textId="77777777" w:rsidR="00277708" w:rsidRDefault="00277708" w:rsidP="00277708">
      <w:pPr>
        <w:pStyle w:val="IASBNormalnpara"/>
      </w:pPr>
      <w:r>
        <w:tab/>
        <w:t>...</w:t>
      </w:r>
    </w:p>
    <w:p w14:paraId="0E6D968C" w14:textId="77777777" w:rsidR="00277708" w:rsidRDefault="00277708" w:rsidP="00277708">
      <w:pPr>
        <w:pStyle w:val="IASBSectionTitle2Ind"/>
      </w:pPr>
      <w:r>
        <w:t>Statement of financial position</w:t>
      </w:r>
    </w:p>
    <w:p w14:paraId="1D35352E" w14:textId="77777777" w:rsidR="00277708" w:rsidRDefault="00277708" w:rsidP="00277708">
      <w:pPr>
        <w:pStyle w:val="IASBNormalnpara"/>
      </w:pPr>
      <w:r>
        <w:tab/>
        <w:t>...</w:t>
      </w:r>
    </w:p>
    <w:p w14:paraId="1D45E1A8" w14:textId="77777777" w:rsidR="00277708" w:rsidRDefault="00277708" w:rsidP="00277708">
      <w:pPr>
        <w:pStyle w:val="IASBSectionTitle3Ind"/>
      </w:pPr>
      <w:r>
        <w:t>Current liabilities</w:t>
      </w:r>
    </w:p>
    <w:p w14:paraId="1CEEA97F" w14:textId="77777777" w:rsidR="00277708" w:rsidRDefault="00277708" w:rsidP="00277708">
      <w:pPr>
        <w:pStyle w:val="IASBNormalnpara"/>
      </w:pPr>
      <w:r>
        <w:rPr>
          <w:b/>
        </w:rPr>
        <w:t>69</w:t>
      </w:r>
      <w:r>
        <w:tab/>
      </w:r>
      <w:r>
        <w:rPr>
          <w:b/>
        </w:rPr>
        <w:t>An entity shall classify a liability as current when:</w:t>
      </w:r>
    </w:p>
    <w:p w14:paraId="0AE94136" w14:textId="77777777" w:rsidR="00277708" w:rsidRDefault="00277708" w:rsidP="00277708">
      <w:pPr>
        <w:pStyle w:val="IASBNormalnparaL1"/>
      </w:pPr>
      <w:r>
        <w:rPr>
          <w:b/>
        </w:rPr>
        <w:lastRenderedPageBreak/>
        <w:t>(a)</w:t>
      </w:r>
      <w:r>
        <w:tab/>
      </w:r>
      <w:r>
        <w:rPr>
          <w:b/>
        </w:rPr>
        <w:t>it expects to settle the liability in its normal operating cycle;</w:t>
      </w:r>
    </w:p>
    <w:p w14:paraId="31776074" w14:textId="77777777" w:rsidR="00277708" w:rsidRDefault="00277708" w:rsidP="00277708">
      <w:pPr>
        <w:pStyle w:val="IASBNormalnparaL1"/>
      </w:pPr>
      <w:r>
        <w:rPr>
          <w:b/>
        </w:rPr>
        <w:t>(b)</w:t>
      </w:r>
      <w:r>
        <w:tab/>
      </w:r>
      <w:r>
        <w:rPr>
          <w:b/>
        </w:rPr>
        <w:t>it holds the liability primarily for the purpose of trading;</w:t>
      </w:r>
    </w:p>
    <w:p w14:paraId="4BBBFF95" w14:textId="77777777" w:rsidR="00277708" w:rsidRDefault="00277708" w:rsidP="00277708">
      <w:pPr>
        <w:pStyle w:val="IASBNormalnparaL1"/>
      </w:pPr>
      <w:r>
        <w:rPr>
          <w:b/>
        </w:rPr>
        <w:t>(c)</w:t>
      </w:r>
      <w:r>
        <w:tab/>
      </w:r>
      <w:r>
        <w:rPr>
          <w:b/>
        </w:rPr>
        <w:t>the liability is due to be settled within twelve months after the reporting period; or</w:t>
      </w:r>
    </w:p>
    <w:p w14:paraId="0648CEE0" w14:textId="77777777" w:rsidR="00277708" w:rsidRDefault="00277708" w:rsidP="00277708">
      <w:pPr>
        <w:pStyle w:val="IASBNormalnparaL1"/>
      </w:pPr>
      <w:r>
        <w:rPr>
          <w:b/>
        </w:rPr>
        <w:t>(d)</w:t>
      </w:r>
      <w:r>
        <w:tab/>
      </w:r>
      <w:r>
        <w:rPr>
          <w:b/>
        </w:rPr>
        <w:t>it does not have</w:t>
      </w:r>
      <w:r>
        <w:rPr>
          <w:b/>
          <w:strike/>
        </w:rPr>
        <w:t xml:space="preserve"> an unconditional</w:t>
      </w:r>
      <w:r>
        <w:rPr>
          <w:b/>
          <w:u w:val="single"/>
        </w:rPr>
        <w:t xml:space="preserve"> the</w:t>
      </w:r>
      <w:r>
        <w:rPr>
          <w:b/>
        </w:rPr>
        <w:t xml:space="preserve"> right</w:t>
      </w:r>
      <w:r>
        <w:rPr>
          <w:b/>
          <w:u w:val="single"/>
        </w:rPr>
        <w:t xml:space="preserve"> at the end of the reporting period</w:t>
      </w:r>
      <w:r>
        <w:rPr>
          <w:b/>
        </w:rPr>
        <w:t xml:space="preserve"> to defer settlement of the liability for at least twelve months after the reporting period</w:t>
      </w:r>
      <w:r>
        <w:rPr>
          <w:b/>
          <w:strike/>
        </w:rPr>
        <w:t xml:space="preserve"> (see paragraph 73). Terms of a liability that could, at the option of the counterparty, result in its settlement by the issue of equity instruments do not affect its classification</w:t>
      </w:r>
      <w:r>
        <w:rPr>
          <w:b/>
        </w:rPr>
        <w:t>.</w:t>
      </w:r>
    </w:p>
    <w:p w14:paraId="32350F63" w14:textId="77777777" w:rsidR="00277708" w:rsidRDefault="00277708" w:rsidP="00277708">
      <w:pPr>
        <w:pStyle w:val="IASBNormalnparaP"/>
      </w:pPr>
      <w:r>
        <w:rPr>
          <w:b/>
        </w:rPr>
        <w:t>An entity shall classify all other liabilities as non‑current.</w:t>
      </w:r>
    </w:p>
    <w:p w14:paraId="389C22A8" w14:textId="77777777" w:rsidR="00277708" w:rsidRDefault="00277708" w:rsidP="00277708">
      <w:pPr>
        <w:pStyle w:val="IASBSectionTitle4Ind"/>
      </w:pPr>
      <w:r>
        <w:rPr>
          <w:u w:val="single"/>
        </w:rPr>
        <w:t>Normal operating cycle (paragraph 69(a))</w:t>
      </w:r>
    </w:p>
    <w:p w14:paraId="58EA4AC4" w14:textId="77777777" w:rsidR="00277708" w:rsidRDefault="00277708" w:rsidP="00277708">
      <w:pPr>
        <w:pStyle w:val="IASBNormalnpara"/>
      </w:pPr>
      <w:r>
        <w:t>70</w:t>
      </w:r>
      <w:r>
        <w:tab/>
        <w:t>Some current liabilities, such as trade payables and some accruals for employee and other operating costs, are part of the working capital used in the entity’s normal operating cycle. An entity classifies such operating items as current liabilities even if they are due to be settled more than twelve months after the reporting period. The same normal operating cycle applies to the classification of an entity’s assets and liabilities. When the entity’s normal operating cycle is not clearly identifiable, it is assumed to be twelve months.</w:t>
      </w:r>
    </w:p>
    <w:p w14:paraId="2F4322D6" w14:textId="77777777" w:rsidR="00277708" w:rsidRDefault="00277708" w:rsidP="00277708">
      <w:pPr>
        <w:pStyle w:val="IASBSectionTitle4Ind"/>
      </w:pPr>
      <w:r>
        <w:rPr>
          <w:u w:val="single"/>
        </w:rPr>
        <w:t>Held primarily for the purpose of trading (paragraph 69(b)) or due to be settled within twelve months (paragraph 69(c))</w:t>
      </w:r>
    </w:p>
    <w:p w14:paraId="3D9C3938" w14:textId="1EB70799" w:rsidR="00277708" w:rsidRDefault="00277708" w:rsidP="00277708">
      <w:pPr>
        <w:pStyle w:val="IASBNormalnpara"/>
      </w:pPr>
      <w:r>
        <w:t>71</w:t>
      </w:r>
      <w:r>
        <w:tab/>
        <w:t xml:space="preserve">Other current liabilities are not settled as part of the normal operating </w:t>
      </w:r>
      <w:proofErr w:type="gramStart"/>
      <w:r>
        <w:t>cycle, but</w:t>
      </w:r>
      <w:proofErr w:type="gramEnd"/>
      <w:r>
        <w:t xml:space="preserve"> are due for settlement within twelve months after the reporting period or held primarily for the purpose of trading. Examples are some financial liabilities that meet the definition of held for trading in </w:t>
      </w:r>
      <w:r w:rsidR="00D65CB5">
        <w:t>AASB</w:t>
      </w:r>
      <w:r>
        <w:t> 9, bank overdrafts, and the current portion of non-current financial liabilities, dividends payable, income taxes and other non-trade payables. Financial liabilities that provide financing on a long-term basis (</w:t>
      </w:r>
      <w:proofErr w:type="spellStart"/>
      <w:r>
        <w:t>ie</w:t>
      </w:r>
      <w:proofErr w:type="spellEnd"/>
      <w:r>
        <w:t xml:space="preserve"> are not part of the working capital used in the entity’s normal operating cycle) and are not due for settlement within twelve months after the reporting period are non-current liabilities, subject to paragraphs 74 and 75.</w:t>
      </w:r>
    </w:p>
    <w:p w14:paraId="2D4BEC24" w14:textId="77777777" w:rsidR="00277708" w:rsidRDefault="00277708" w:rsidP="00277708">
      <w:pPr>
        <w:pStyle w:val="IASBNormalnpara"/>
      </w:pPr>
      <w:r>
        <w:t>72</w:t>
      </w:r>
      <w:r>
        <w:tab/>
        <w:t>An entity classifies its financial liabilities as current when they are due to be settled within twelve months after the reporting period, even if:</w:t>
      </w:r>
    </w:p>
    <w:p w14:paraId="54AEEFE7" w14:textId="77777777" w:rsidR="00277708" w:rsidRDefault="00277708" w:rsidP="00277708">
      <w:pPr>
        <w:pStyle w:val="IASBNormalnparaL1"/>
      </w:pPr>
      <w:r>
        <w:t>(a)</w:t>
      </w:r>
      <w:r>
        <w:tab/>
        <w:t>the original term was for a period longer than twelve months; and</w:t>
      </w:r>
    </w:p>
    <w:p w14:paraId="56364E0E" w14:textId="77777777" w:rsidR="00277708" w:rsidRDefault="00277708" w:rsidP="00277708">
      <w:pPr>
        <w:pStyle w:val="IASBNormalnparaL1"/>
      </w:pPr>
      <w:r>
        <w:t>(b)</w:t>
      </w:r>
      <w:r>
        <w:tab/>
        <w:t xml:space="preserve">an agreement to refinance, or to reschedule payments, on a long‑term basis is completed after the reporting period and before the financial statements are </w:t>
      </w:r>
      <w:proofErr w:type="spellStart"/>
      <w:r>
        <w:t>authorised</w:t>
      </w:r>
      <w:proofErr w:type="spellEnd"/>
      <w:r>
        <w:t xml:space="preserve"> for issue.</w:t>
      </w:r>
    </w:p>
    <w:p w14:paraId="7C5D4074" w14:textId="77777777" w:rsidR="00277708" w:rsidRDefault="00277708" w:rsidP="00277708">
      <w:pPr>
        <w:pStyle w:val="IASBSectionTitle4Ind"/>
      </w:pPr>
      <w:r>
        <w:rPr>
          <w:u w:val="single"/>
        </w:rPr>
        <w:t>Right to defer settlement for at least twelve months (paragraph 69(d))</w:t>
      </w:r>
    </w:p>
    <w:p w14:paraId="207EAC63" w14:textId="77777777" w:rsidR="00277708" w:rsidRPr="00800E57" w:rsidRDefault="00277708" w:rsidP="00277708">
      <w:pPr>
        <w:pStyle w:val="IASBNormalnpara"/>
        <w:rPr>
          <w:u w:val="single"/>
        </w:rPr>
      </w:pPr>
      <w:r w:rsidRPr="00800E57">
        <w:rPr>
          <w:u w:val="single"/>
        </w:rPr>
        <w:t>72A</w:t>
      </w:r>
      <w:r w:rsidRPr="00800E57">
        <w:tab/>
      </w:r>
      <w:proofErr w:type="gramStart"/>
      <w:r w:rsidRPr="00800E57">
        <w:rPr>
          <w:u w:val="single"/>
        </w:rPr>
        <w:t>An</w:t>
      </w:r>
      <w:proofErr w:type="gramEnd"/>
      <w:r w:rsidRPr="00800E57">
        <w:rPr>
          <w:u w:val="single"/>
        </w:rPr>
        <w:t xml:space="preserve"> entity’s right to defer settlement of a liability for at least twelve months after the reporting period must have substance and, as illustrated in paragraphs 73–75, must exist at the end of the reporting period. If the right to defer settlement is subject to the entity complying with specified conditions, the right exists at the end of the reporting period only if the entity complies with those conditions at the end of the reporting period. The entity must comply with the conditions at the end of the reporting period even if the lender does not test compliance until a later date.</w:t>
      </w:r>
    </w:p>
    <w:p w14:paraId="36A80A63" w14:textId="77777777" w:rsidR="00277708" w:rsidRDefault="00277708" w:rsidP="00277708">
      <w:pPr>
        <w:pStyle w:val="IASBNormalnpara"/>
      </w:pPr>
      <w:r>
        <w:t>73</w:t>
      </w:r>
      <w:r>
        <w:tab/>
        <w:t>If an entity</w:t>
      </w:r>
      <w:r>
        <w:rPr>
          <w:strike/>
        </w:rPr>
        <w:t xml:space="preserve"> expects, and</w:t>
      </w:r>
      <w:r>
        <w:t xml:space="preserve"> has the</w:t>
      </w:r>
      <w:r>
        <w:rPr>
          <w:strike/>
        </w:rPr>
        <w:t xml:space="preserve"> discretion,</w:t>
      </w:r>
      <w:r>
        <w:rPr>
          <w:u w:val="single"/>
        </w:rPr>
        <w:t xml:space="preserve"> right, at the end of the reporting period,</w:t>
      </w:r>
      <w:r>
        <w:t xml:space="preserve"> to</w:t>
      </w:r>
      <w:r>
        <w:rPr>
          <w:strike/>
        </w:rPr>
        <w:t xml:space="preserve"> refinance or</w:t>
      </w:r>
      <w:r>
        <w:t xml:space="preserve"> roll over an obligation for at least twelve months after the reporting period under an existing loan facility, it classifies the obligation as non‑current, even if it would otherwise be due within a shorter period.</w:t>
      </w:r>
      <w:r>
        <w:rPr>
          <w:strike/>
        </w:rPr>
        <w:t xml:space="preserve"> However, when refinancing or rolling over the obligation is not at the discretion of the entity (for example, there is no arrangement for refinancing)</w:t>
      </w:r>
      <w:r>
        <w:rPr>
          <w:u w:val="single"/>
        </w:rPr>
        <w:t xml:space="preserve"> If the entity has no such right</w:t>
      </w:r>
      <w:r>
        <w:t>, the entity does not consider the potential to refinance the obligation and classifies the obligation as current.</w:t>
      </w:r>
    </w:p>
    <w:p w14:paraId="67A3492F" w14:textId="77777777" w:rsidR="00277708" w:rsidRDefault="00277708" w:rsidP="00277708">
      <w:pPr>
        <w:pStyle w:val="IASBNormalnpara"/>
      </w:pPr>
      <w:r>
        <w:t>74</w:t>
      </w:r>
      <w:r>
        <w:tab/>
        <w:t>When an entity breaches a</w:t>
      </w:r>
      <w:r>
        <w:rPr>
          <w:strike/>
        </w:rPr>
        <w:t xml:space="preserve"> provision</w:t>
      </w:r>
      <w:r>
        <w:rPr>
          <w:u w:val="single"/>
        </w:rPr>
        <w:t xml:space="preserve"> condition</w:t>
      </w:r>
      <w:r>
        <w:t xml:space="preserve"> of a long‑term loan arrangement on or before the end of the reporting period with the effect that the liability becomes payable on demand, it classifies the liability as current, even if the lender agreed, after the reporting period and before the </w:t>
      </w:r>
      <w:proofErr w:type="spellStart"/>
      <w:r>
        <w:t>authorisation</w:t>
      </w:r>
      <w:proofErr w:type="spellEnd"/>
      <w:r>
        <w:t xml:space="preserve"> of the financial statements for issue,</w:t>
      </w:r>
      <w:r>
        <w:rPr>
          <w:b/>
        </w:rPr>
        <w:t xml:space="preserve"> </w:t>
      </w:r>
      <w:r>
        <w:t>not to demand payment as a consequence of the breach. An entity classifies the liability as current because, at the end of the reporting period, it does not have</w:t>
      </w:r>
      <w:r>
        <w:rPr>
          <w:strike/>
        </w:rPr>
        <w:t xml:space="preserve"> an unconditional</w:t>
      </w:r>
      <w:r>
        <w:rPr>
          <w:u w:val="single"/>
        </w:rPr>
        <w:t xml:space="preserve"> the</w:t>
      </w:r>
      <w:r>
        <w:t xml:space="preserve"> right to defer its settlement for at least twelve months after that date.</w:t>
      </w:r>
    </w:p>
    <w:p w14:paraId="7E3B8C60" w14:textId="77777777" w:rsidR="00277708" w:rsidRDefault="00277708" w:rsidP="00277708">
      <w:pPr>
        <w:pStyle w:val="IASBNormalnpara"/>
      </w:pPr>
      <w:r>
        <w:t>75</w:t>
      </w:r>
      <w:r>
        <w:tab/>
        <w:t>However, an entity classifies the liability as non‑current if the lender agreed by the end of the reporting period to provide a period of grace ending at least twelve months after the reporting period, within which the entity can rectify the breach and during which the lender cannot demand immediate repayment.</w:t>
      </w:r>
    </w:p>
    <w:p w14:paraId="4D854C30" w14:textId="77777777" w:rsidR="00277708" w:rsidRPr="00800E57" w:rsidRDefault="00277708" w:rsidP="00277708">
      <w:pPr>
        <w:pStyle w:val="IASBNormalnpara"/>
        <w:rPr>
          <w:u w:val="single"/>
        </w:rPr>
      </w:pPr>
      <w:r w:rsidRPr="00800E57">
        <w:rPr>
          <w:u w:val="single"/>
        </w:rPr>
        <w:lastRenderedPageBreak/>
        <w:t>75A</w:t>
      </w:r>
      <w:r w:rsidRPr="00800E57">
        <w:tab/>
      </w:r>
      <w:r w:rsidRPr="00800E57">
        <w:rPr>
          <w:u w:val="single"/>
        </w:rPr>
        <w:t xml:space="preserve">Classification of a liability is unaffected by the likelihood that the entity will exercise its right to defer settlement of the liability for at least twelve months after the reporting period. If a liability meets the criteria in paragraph 69 for classification as non-current, it is classified as non-current even if management intends or expects the entity to settle the liability within twelve months after the reporting period, or even if the entity settles the liability between the end of the reporting period and the date the financial statements are </w:t>
      </w:r>
      <w:proofErr w:type="spellStart"/>
      <w:r w:rsidRPr="00800E57">
        <w:rPr>
          <w:u w:val="single"/>
        </w:rPr>
        <w:t>authorised</w:t>
      </w:r>
      <w:proofErr w:type="spellEnd"/>
      <w:r w:rsidRPr="00800E57">
        <w:rPr>
          <w:u w:val="single"/>
        </w:rPr>
        <w:t xml:space="preserve"> for issue. However, in either of those circumstances, the entity may need to disclose information about the timing of settlement to enable users of its financial statements to understand the impact of the liability on the entity’s financial position (see paragraphs 17(c) and 76(d)).</w:t>
      </w:r>
    </w:p>
    <w:p w14:paraId="0DC8BD75" w14:textId="6037920E" w:rsidR="00277708" w:rsidRDefault="00277708" w:rsidP="00277708">
      <w:pPr>
        <w:pStyle w:val="IASBNormalnpara"/>
      </w:pPr>
      <w:r>
        <w:t>76</w:t>
      </w:r>
      <w:r>
        <w:tab/>
      </w:r>
      <w:r>
        <w:rPr>
          <w:strike/>
        </w:rPr>
        <w:t xml:space="preserve">In respect of loans classified as current liabilities, if </w:t>
      </w:r>
      <w:proofErr w:type="spellStart"/>
      <w:r>
        <w:rPr>
          <w:u w:val="single"/>
        </w:rPr>
        <w:t>If</w:t>
      </w:r>
      <w:proofErr w:type="spellEnd"/>
      <w:r>
        <w:rPr>
          <w:u w:val="single"/>
        </w:rPr>
        <w:t xml:space="preserve"> </w:t>
      </w:r>
      <w:r>
        <w:t xml:space="preserve">the following events occur between the end of the reporting period and the date the financial statements are </w:t>
      </w:r>
      <w:proofErr w:type="spellStart"/>
      <w:r>
        <w:t>authorised</w:t>
      </w:r>
      <w:proofErr w:type="spellEnd"/>
      <w:r>
        <w:t xml:space="preserve"> for issue, those events are disclosed as non‑adjusting events in accordance with </w:t>
      </w:r>
      <w:r w:rsidR="000C4197">
        <w:t>AASB</w:t>
      </w:r>
      <w:r>
        <w:t> </w:t>
      </w:r>
      <w:r w:rsidR="002F53F3">
        <w:t>1</w:t>
      </w:r>
      <w:r>
        <w:t>10 </w:t>
      </w:r>
      <w:r>
        <w:rPr>
          <w:i/>
        </w:rPr>
        <w:t>Events after the Reporting Period</w:t>
      </w:r>
      <w:r>
        <w:t>:</w:t>
      </w:r>
    </w:p>
    <w:p w14:paraId="6918FA2F" w14:textId="77777777" w:rsidR="00277708" w:rsidRDefault="00277708" w:rsidP="00277708">
      <w:pPr>
        <w:pStyle w:val="IASBNormalnparaL1"/>
      </w:pPr>
      <w:r>
        <w:t>(a)</w:t>
      </w:r>
      <w:r>
        <w:tab/>
        <w:t>refinancing on a long‑term basis</w:t>
      </w:r>
      <w:r>
        <w:rPr>
          <w:u w:val="single"/>
        </w:rPr>
        <w:t xml:space="preserve"> of a liability classified as current (see paragraph 72)</w:t>
      </w:r>
      <w:r>
        <w:t>;</w:t>
      </w:r>
    </w:p>
    <w:p w14:paraId="7E42BE41" w14:textId="77777777" w:rsidR="00277708" w:rsidRDefault="00277708" w:rsidP="00277708">
      <w:pPr>
        <w:pStyle w:val="IASBNormalnparaL1"/>
      </w:pPr>
      <w:r>
        <w:t>(b)</w:t>
      </w:r>
      <w:r>
        <w:tab/>
        <w:t>rectification of a breach of a long‑term loan arrangement</w:t>
      </w:r>
      <w:r>
        <w:rPr>
          <w:u w:val="single"/>
        </w:rPr>
        <w:t xml:space="preserve"> classified as current (see paragraph 74)</w:t>
      </w:r>
      <w:r>
        <w:t>;</w:t>
      </w:r>
      <w:r>
        <w:rPr>
          <w:strike/>
        </w:rPr>
        <w:t xml:space="preserve"> and</w:t>
      </w:r>
    </w:p>
    <w:p w14:paraId="6189B401" w14:textId="77777777" w:rsidR="00277708" w:rsidRDefault="00277708" w:rsidP="00277708">
      <w:pPr>
        <w:pStyle w:val="IASBNormalnparaL1"/>
      </w:pPr>
      <w:r>
        <w:t>(c)</w:t>
      </w:r>
      <w:r>
        <w:tab/>
        <w:t>the granting by the lender of a period of grace to rectify a breach of a long‑term loan arrangement</w:t>
      </w:r>
      <w:r>
        <w:rPr>
          <w:strike/>
        </w:rPr>
        <w:t xml:space="preserve"> ending at least twelve months after the reporting period.</w:t>
      </w:r>
      <w:r>
        <w:rPr>
          <w:u w:val="single"/>
        </w:rPr>
        <w:t xml:space="preserve"> classified as current (see paragraph 75); and</w:t>
      </w:r>
    </w:p>
    <w:p w14:paraId="7ACB75E2" w14:textId="77777777" w:rsidR="00277708" w:rsidRPr="00E57FE5" w:rsidRDefault="00277708" w:rsidP="00277708">
      <w:pPr>
        <w:pStyle w:val="IASBNormalnparaL1"/>
        <w:rPr>
          <w:u w:val="single"/>
        </w:rPr>
      </w:pPr>
      <w:r w:rsidRPr="00E57FE5">
        <w:rPr>
          <w:u w:val="single"/>
        </w:rPr>
        <w:t>(d)</w:t>
      </w:r>
      <w:r w:rsidRPr="00E57FE5">
        <w:tab/>
      </w:r>
      <w:r w:rsidRPr="00E57FE5">
        <w:rPr>
          <w:u w:val="single"/>
        </w:rPr>
        <w:t>settlement of a liability classified as non-current (see paragraph 75A).</w:t>
      </w:r>
    </w:p>
    <w:p w14:paraId="6A76520A" w14:textId="77777777" w:rsidR="00277708" w:rsidRDefault="00277708" w:rsidP="00277708">
      <w:pPr>
        <w:pStyle w:val="IASBSectionTitle4Ind"/>
      </w:pPr>
      <w:r>
        <w:rPr>
          <w:u w:val="single"/>
        </w:rPr>
        <w:t>Settlement (paragraphs 69(a), 69(c) and 69(d))</w:t>
      </w:r>
    </w:p>
    <w:p w14:paraId="58363C0C" w14:textId="77777777" w:rsidR="00277708" w:rsidRPr="00800E57" w:rsidRDefault="00277708" w:rsidP="00277708">
      <w:pPr>
        <w:pStyle w:val="IASBNormalnpara"/>
        <w:rPr>
          <w:u w:val="single"/>
        </w:rPr>
      </w:pPr>
      <w:r w:rsidRPr="00800E57">
        <w:rPr>
          <w:b/>
          <w:u w:val="single"/>
        </w:rPr>
        <w:t>76A</w:t>
      </w:r>
      <w:r w:rsidRPr="00800E57">
        <w:tab/>
      </w:r>
      <w:proofErr w:type="gramStart"/>
      <w:r w:rsidRPr="00800E57">
        <w:rPr>
          <w:b/>
          <w:u w:val="single"/>
        </w:rPr>
        <w:t>For</w:t>
      </w:r>
      <w:proofErr w:type="gramEnd"/>
      <w:r w:rsidRPr="00800E57">
        <w:rPr>
          <w:b/>
          <w:u w:val="single"/>
        </w:rPr>
        <w:t xml:space="preserve"> the purpose of classifying a liability as current or non-current, settlement refers to a transfer to the counterparty that results in the extinguishment of the liability. The transfer could be of:</w:t>
      </w:r>
    </w:p>
    <w:p w14:paraId="33AA8036" w14:textId="77777777" w:rsidR="00277708" w:rsidRPr="00800E57" w:rsidRDefault="00277708" w:rsidP="00277708">
      <w:pPr>
        <w:pStyle w:val="IASBNormalnparaL1"/>
        <w:rPr>
          <w:u w:val="single"/>
        </w:rPr>
      </w:pPr>
      <w:r w:rsidRPr="00800E57">
        <w:rPr>
          <w:b/>
          <w:u w:val="single"/>
        </w:rPr>
        <w:t>(a)</w:t>
      </w:r>
      <w:r w:rsidRPr="00800E57">
        <w:tab/>
      </w:r>
      <w:r w:rsidRPr="00800E57">
        <w:rPr>
          <w:b/>
          <w:u w:val="single"/>
        </w:rPr>
        <w:t>cash or other economic resources—for example, goods or services; or</w:t>
      </w:r>
    </w:p>
    <w:p w14:paraId="2F056804" w14:textId="77777777" w:rsidR="00277708" w:rsidRPr="00800E57" w:rsidRDefault="00277708" w:rsidP="00277708">
      <w:pPr>
        <w:pStyle w:val="IASBNormalnparaL1"/>
        <w:rPr>
          <w:u w:val="single"/>
        </w:rPr>
      </w:pPr>
      <w:r w:rsidRPr="00800E57">
        <w:rPr>
          <w:b/>
          <w:u w:val="single"/>
        </w:rPr>
        <w:t>(b)</w:t>
      </w:r>
      <w:r w:rsidRPr="00800E57">
        <w:tab/>
      </w:r>
      <w:r w:rsidRPr="00800E57">
        <w:rPr>
          <w:b/>
          <w:u w:val="single"/>
        </w:rPr>
        <w:t>the entity’s own equity instruments, unless paragraph 76B applies.</w:t>
      </w:r>
    </w:p>
    <w:p w14:paraId="7D743778" w14:textId="63C5684A" w:rsidR="00277708" w:rsidRPr="00800E57" w:rsidRDefault="00277708" w:rsidP="00277708">
      <w:pPr>
        <w:pStyle w:val="IASBNormalnpara"/>
        <w:rPr>
          <w:u w:val="single"/>
        </w:rPr>
      </w:pPr>
      <w:r w:rsidRPr="00800E57">
        <w:rPr>
          <w:b/>
          <w:u w:val="single"/>
        </w:rPr>
        <w:t>76B</w:t>
      </w:r>
      <w:r w:rsidRPr="00800E57">
        <w:tab/>
      </w:r>
      <w:r w:rsidRPr="00800E57">
        <w:rPr>
          <w:b/>
          <w:u w:val="single"/>
        </w:rPr>
        <w:t xml:space="preserve">Terms of a liability that could, at the option of the counterparty, result in its settlement by the transfer of the entity’s own equity instruments do not affect its classification as current or non-current if, applying </w:t>
      </w:r>
      <w:r w:rsidR="002F53F3">
        <w:rPr>
          <w:b/>
          <w:u w:val="single"/>
        </w:rPr>
        <w:t>AASB</w:t>
      </w:r>
      <w:r w:rsidRPr="00800E57">
        <w:rPr>
          <w:b/>
          <w:u w:val="single"/>
        </w:rPr>
        <w:t xml:space="preserve"> </w:t>
      </w:r>
      <w:r w:rsidR="002F53F3">
        <w:rPr>
          <w:b/>
          <w:u w:val="single"/>
        </w:rPr>
        <w:t>1</w:t>
      </w:r>
      <w:r w:rsidRPr="00800E57">
        <w:rPr>
          <w:b/>
          <w:u w:val="single"/>
        </w:rPr>
        <w:t xml:space="preserve">32 </w:t>
      </w:r>
      <w:r w:rsidRPr="00800E57">
        <w:rPr>
          <w:b/>
          <w:i/>
          <w:u w:val="single"/>
        </w:rPr>
        <w:t>Financial Instruments: Presentation</w:t>
      </w:r>
      <w:r w:rsidRPr="00800E57">
        <w:rPr>
          <w:b/>
          <w:u w:val="single"/>
        </w:rPr>
        <w:t xml:space="preserve">, the entity classifies the option as an equity instrument, </w:t>
      </w:r>
      <w:proofErr w:type="spellStart"/>
      <w:r w:rsidRPr="00800E57">
        <w:rPr>
          <w:b/>
          <w:u w:val="single"/>
        </w:rPr>
        <w:t>recognising</w:t>
      </w:r>
      <w:proofErr w:type="spellEnd"/>
      <w:r w:rsidRPr="00800E57">
        <w:rPr>
          <w:b/>
          <w:u w:val="single"/>
        </w:rPr>
        <w:t xml:space="preserve"> it separately from the liability as an equity component of a compound financial instrument.</w:t>
      </w:r>
    </w:p>
    <w:p w14:paraId="6E80E483" w14:textId="6DBC38B5" w:rsidR="00277708" w:rsidRDefault="00277708" w:rsidP="00277708">
      <w:pPr>
        <w:pStyle w:val="IASBNormalnpara"/>
      </w:pPr>
      <w:r>
        <w:tab/>
        <w:t>...</w:t>
      </w:r>
      <w:r w:rsidR="00B07CB8" w:rsidRPr="00B07CB8">
        <w:t xml:space="preserve"> </w:t>
      </w:r>
    </w:p>
    <w:p w14:paraId="61CB6169" w14:textId="77777777" w:rsidR="00277708" w:rsidRDefault="00277708" w:rsidP="00277708">
      <w:pPr>
        <w:pStyle w:val="IASBSectionTitle1NonInd"/>
      </w:pPr>
      <w:r>
        <w:t>Transition and effective date</w:t>
      </w:r>
    </w:p>
    <w:p w14:paraId="5264E1AB" w14:textId="77777777" w:rsidR="00277708" w:rsidRDefault="00277708" w:rsidP="00277708">
      <w:pPr>
        <w:pStyle w:val="IASBNormalnpara"/>
      </w:pPr>
      <w:r>
        <w:tab/>
        <w:t>...</w:t>
      </w:r>
    </w:p>
    <w:p w14:paraId="3AAF534E" w14:textId="5C4CDA1A" w:rsidR="00277708" w:rsidRDefault="00E36A9A" w:rsidP="005520F9">
      <w:pPr>
        <w:pStyle w:val="IASBNormalnpara"/>
        <w:tabs>
          <w:tab w:val="left" w:pos="782"/>
        </w:tabs>
        <w:ind w:left="0" w:firstLine="0"/>
      </w:pPr>
      <w:r>
        <w:t>139A–</w:t>
      </w:r>
      <w:r>
        <w:br/>
      </w:r>
      <w:r w:rsidRPr="00F10D41">
        <w:rPr>
          <w:strike/>
        </w:rPr>
        <w:t>139D</w:t>
      </w:r>
      <w:r>
        <w:tab/>
      </w:r>
      <w:r w:rsidR="005D633B">
        <w:br/>
      </w:r>
      <w:r w:rsidR="0040602F" w:rsidRPr="0040602F">
        <w:rPr>
          <w:u w:val="single"/>
        </w:rPr>
        <w:t>139C</w:t>
      </w:r>
      <w:r w:rsidR="005520F9">
        <w:tab/>
      </w:r>
      <w:r>
        <w:t>[Deleted by the AASB]</w:t>
      </w:r>
    </w:p>
    <w:p w14:paraId="0B580AC3" w14:textId="48913989" w:rsidR="00DE7324" w:rsidRDefault="00CA69A0" w:rsidP="005520F9">
      <w:pPr>
        <w:pStyle w:val="IASBNormalnpara"/>
        <w:tabs>
          <w:tab w:val="left" w:pos="782"/>
        </w:tabs>
        <w:ind w:left="0" w:firstLine="0"/>
        <w:rPr>
          <w:u w:val="single"/>
        </w:rPr>
      </w:pPr>
      <w:r w:rsidRPr="003B7EC9">
        <w:rPr>
          <w:u w:val="single"/>
        </w:rPr>
        <w:t>139D</w:t>
      </w:r>
      <w:r>
        <w:tab/>
      </w:r>
      <w:r w:rsidRPr="00CA69A0">
        <w:rPr>
          <w:u w:val="single"/>
        </w:rPr>
        <w:t>[Deleted]</w:t>
      </w:r>
    </w:p>
    <w:p w14:paraId="06591A82" w14:textId="2DA8D731" w:rsidR="003B7EC9" w:rsidRDefault="003B7EC9" w:rsidP="005520F9">
      <w:pPr>
        <w:pStyle w:val="IASBNormalnpara"/>
        <w:tabs>
          <w:tab w:val="left" w:pos="782"/>
        </w:tabs>
        <w:ind w:left="0" w:firstLine="0"/>
      </w:pPr>
      <w:r>
        <w:tab/>
        <w:t>...</w:t>
      </w:r>
    </w:p>
    <w:p w14:paraId="731BA244" w14:textId="0237BFFC" w:rsidR="00277708" w:rsidRPr="00800E57" w:rsidRDefault="00277708" w:rsidP="00277708">
      <w:pPr>
        <w:pStyle w:val="IASBNormalnpara"/>
        <w:rPr>
          <w:u w:val="single"/>
        </w:rPr>
      </w:pPr>
      <w:r w:rsidRPr="00800E57">
        <w:rPr>
          <w:u w:val="single"/>
        </w:rPr>
        <w:t>139U</w:t>
      </w:r>
      <w:r w:rsidRPr="00800E57">
        <w:tab/>
      </w:r>
      <w:r w:rsidR="00145AEF" w:rsidRPr="00A705F4">
        <w:rPr>
          <w:u w:val="single"/>
        </w:rPr>
        <w:t>AASB 2020</w:t>
      </w:r>
      <w:r w:rsidR="007679DA" w:rsidRPr="00A705F4">
        <w:rPr>
          <w:u w:val="single"/>
        </w:rPr>
        <w:t>-</w:t>
      </w:r>
      <w:r w:rsidR="0076340C">
        <w:rPr>
          <w:u w:val="single"/>
        </w:rPr>
        <w:t>1</w:t>
      </w:r>
      <w:r w:rsidR="00A705F4" w:rsidRPr="00A705F4">
        <w:rPr>
          <w:u w:val="single"/>
        </w:rPr>
        <w:t xml:space="preserve"> </w:t>
      </w:r>
      <w:r w:rsidR="00A705F4" w:rsidRPr="00A705F4">
        <w:rPr>
          <w:i/>
          <w:u w:val="single"/>
        </w:rPr>
        <w:t xml:space="preserve">Amendments to Australian Accounting Standards – </w:t>
      </w:r>
      <w:r w:rsidRPr="00800E57">
        <w:rPr>
          <w:i/>
          <w:u w:val="single"/>
        </w:rPr>
        <w:t>Classification of Liabilities as Current or Non-current</w:t>
      </w:r>
      <w:r w:rsidRPr="00800E57">
        <w:rPr>
          <w:u w:val="single"/>
        </w:rPr>
        <w:t xml:space="preserve">, issued in </w:t>
      </w:r>
      <w:r w:rsidR="0076340C">
        <w:rPr>
          <w:u w:val="single"/>
        </w:rPr>
        <w:t>March</w:t>
      </w:r>
      <w:r w:rsidR="0076340C" w:rsidRPr="00800E57">
        <w:rPr>
          <w:u w:val="single"/>
        </w:rPr>
        <w:t xml:space="preserve"> </w:t>
      </w:r>
      <w:r w:rsidRPr="00800E57">
        <w:rPr>
          <w:u w:val="single"/>
        </w:rPr>
        <w:t>2020 amended paragraphs 69, 73, 74 and 76 and added paragraphs 72A, 75A, 76A and 76B. An entity shall apply those amendments for annual reporting periods beginning on or after 1</w:t>
      </w:r>
      <w:r w:rsidR="00705483">
        <w:rPr>
          <w:u w:val="single"/>
        </w:rPr>
        <w:t> </w:t>
      </w:r>
      <w:r w:rsidRPr="00800E57">
        <w:rPr>
          <w:u w:val="single"/>
        </w:rPr>
        <w:t xml:space="preserve">January 2022 retrospectively in accordance with </w:t>
      </w:r>
      <w:r w:rsidR="00925CAA">
        <w:rPr>
          <w:u w:val="single"/>
        </w:rPr>
        <w:t>AASB</w:t>
      </w:r>
      <w:r w:rsidRPr="00800E57">
        <w:rPr>
          <w:u w:val="single"/>
        </w:rPr>
        <w:t xml:space="preserve"> </w:t>
      </w:r>
      <w:r w:rsidR="00925CAA">
        <w:rPr>
          <w:u w:val="single"/>
        </w:rPr>
        <w:t>10</w:t>
      </w:r>
      <w:r w:rsidRPr="00800E57">
        <w:rPr>
          <w:u w:val="single"/>
        </w:rPr>
        <w:t>8. Earlier application is permitted. If an entity applies those amendments for an earlier period, it shall disclose that fact.</w:t>
      </w:r>
    </w:p>
    <w:p w14:paraId="07BEBB85" w14:textId="5C217DB0" w:rsidR="00ED4A33" w:rsidRPr="0000292B" w:rsidRDefault="00ED4A33" w:rsidP="000812F8">
      <w:pPr>
        <w:pStyle w:val="NoNumPlain1"/>
      </w:pPr>
    </w:p>
    <w:p w14:paraId="3B2CA3AD" w14:textId="77777777" w:rsidR="00ED4A33" w:rsidRDefault="00ED4A33" w:rsidP="00AC6758">
      <w:pPr>
        <w:pStyle w:val="Heading2"/>
        <w:spacing w:before="400"/>
      </w:pPr>
      <w:r>
        <w:t>Commencement of the legislative instrument</w:t>
      </w:r>
    </w:p>
    <w:p w14:paraId="3A8FECD4" w14:textId="77777777" w:rsidR="00ED4A33" w:rsidRPr="0000292B" w:rsidRDefault="00ED4A33" w:rsidP="000812F8">
      <w:pPr>
        <w:pStyle w:val="NoNumPlain1"/>
      </w:pPr>
      <w:r>
        <w:t xml:space="preserve">For legal purposes, this legislative instrument commences on </w:t>
      </w:r>
      <w:bookmarkStart w:id="19" w:name="CommenceDate"/>
      <w:r>
        <w:t>31 December 2021</w:t>
      </w:r>
      <w:bookmarkEnd w:id="19"/>
      <w:r>
        <w:t>.</w:t>
      </w:r>
    </w:p>
    <w:p w14:paraId="3E7D57B5" w14:textId="77777777" w:rsidR="00ED4A33" w:rsidRDefault="00ED4A33" w:rsidP="005A6AC7">
      <w:pPr>
        <w:pStyle w:val="NoNumPlain1"/>
      </w:pPr>
    </w:p>
    <w:sectPr w:rsidR="00ED4A33" w:rsidSect="00D74C6A">
      <w:headerReference w:type="default" r:id="rId15"/>
      <w:footerReference w:type="default" r:id="rId16"/>
      <w:headerReference w:type="first" r:id="rId17"/>
      <w:footerReference w:type="first" r:id="rId18"/>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0F72C" w14:textId="77777777" w:rsidR="006A555B" w:rsidRDefault="006A555B">
      <w:r>
        <w:separator/>
      </w:r>
    </w:p>
  </w:endnote>
  <w:endnote w:type="continuationSeparator" w:id="0">
    <w:p w14:paraId="2D234F5B" w14:textId="77777777" w:rsidR="006A555B" w:rsidRDefault="006A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5418" w14:textId="0A25EC46"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54195" w:rsidRPr="00054195">
      <w:rPr>
        <w:b/>
      </w:rPr>
      <w:t>2020-1</w:t>
    </w:r>
    <w:r>
      <w:rPr>
        <w:b/>
      </w:rPr>
      <w:fldChar w:fldCharType="end"/>
    </w:r>
    <w:r>
      <w:rPr>
        <w:b/>
      </w:rPr>
      <w:tab/>
    </w:r>
    <w:r>
      <w:fldChar w:fldCharType="begin"/>
    </w:r>
    <w:r>
      <w:instrText>PAGE</w:instrText>
    </w:r>
    <w:r>
      <w:fldChar w:fldCharType="separate"/>
    </w:r>
    <w:r w:rsidR="001C553E">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CE3F" w14:textId="1DE62BDD"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54195" w:rsidRPr="00054195">
      <w:rPr>
        <w:b/>
      </w:rPr>
      <w:t>2020-1</w:t>
    </w:r>
    <w:r>
      <w:rPr>
        <w:b/>
      </w:rPr>
      <w:fldChar w:fldCharType="end"/>
    </w:r>
    <w:r>
      <w:rPr>
        <w:b/>
      </w:rPr>
      <w:tab/>
    </w:r>
    <w:r>
      <w:fldChar w:fldCharType="begin"/>
    </w:r>
    <w:r>
      <w:instrText>PAGE</w:instrText>
    </w:r>
    <w:r>
      <w:fldChar w:fldCharType="separate"/>
    </w:r>
    <w:r w:rsidR="001C553E">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F828" w14:textId="166D2FD3"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54195" w:rsidRPr="00054195">
      <w:rPr>
        <w:b/>
      </w:rPr>
      <w:t>2020-1</w:t>
    </w:r>
    <w:r>
      <w:rPr>
        <w:b/>
      </w:rPr>
      <w:fldChar w:fldCharType="end"/>
    </w:r>
    <w:r>
      <w:rPr>
        <w:b/>
      </w:rPr>
      <w:tab/>
    </w:r>
    <w:r>
      <w:fldChar w:fldCharType="begin"/>
    </w:r>
    <w:r>
      <w:instrText>PAGE</w:instrText>
    </w:r>
    <w:r>
      <w:fldChar w:fldCharType="separate"/>
    </w:r>
    <w:r w:rsidR="001C553E">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8D0C" w14:textId="4811CEED"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054195" w:rsidRPr="00054195">
      <w:rPr>
        <w:b/>
      </w:rPr>
      <w:t>2020-1</w:t>
    </w:r>
    <w:r>
      <w:rPr>
        <w:b/>
      </w:rPr>
      <w:fldChar w:fldCharType="end"/>
    </w:r>
    <w:r>
      <w:rPr>
        <w:b/>
      </w:rPr>
      <w:tab/>
    </w:r>
    <w:r>
      <w:fldChar w:fldCharType="begin"/>
    </w:r>
    <w:r>
      <w:instrText>PAGE</w:instrText>
    </w:r>
    <w:r>
      <w:fldChar w:fldCharType="separate"/>
    </w:r>
    <w:r w:rsidR="001C553E">
      <w:rPr>
        <w:noProof/>
      </w:rPr>
      <w:t>5</w:t>
    </w:r>
    <w:r>
      <w:fldChar w:fldCharType="end"/>
    </w:r>
    <w:r>
      <w:tab/>
    </w:r>
    <w:r>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1D9E" w14:textId="77777777" w:rsidR="00A96702" w:rsidRDefault="00A9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23BB2" w14:textId="77777777" w:rsidR="006A555B" w:rsidRDefault="006A555B">
      <w:r>
        <w:separator/>
      </w:r>
    </w:p>
  </w:footnote>
  <w:footnote w:type="continuationSeparator" w:id="0">
    <w:p w14:paraId="0E83B275" w14:textId="77777777" w:rsidR="006A555B" w:rsidRDefault="006A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F693" w14:textId="6B7F581F" w:rsidR="00A96702" w:rsidRDefault="00A96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4DD2"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4"/>
  </w:num>
  <w:num w:numId="8">
    <w:abstractNumId w:val="5"/>
  </w:num>
  <w:num w:numId="9">
    <w:abstractNumId w:val="1"/>
  </w:num>
  <w:num w:numId="10">
    <w:abstractNumId w:val="0"/>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8193">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33"/>
    <w:rsid w:val="0000292B"/>
    <w:rsid w:val="000116F5"/>
    <w:rsid w:val="00027E8B"/>
    <w:rsid w:val="0004455B"/>
    <w:rsid w:val="00051037"/>
    <w:rsid w:val="00054195"/>
    <w:rsid w:val="000625F2"/>
    <w:rsid w:val="00074133"/>
    <w:rsid w:val="000812F8"/>
    <w:rsid w:val="00090A6F"/>
    <w:rsid w:val="00093458"/>
    <w:rsid w:val="00096027"/>
    <w:rsid w:val="000A3783"/>
    <w:rsid w:val="000B16F3"/>
    <w:rsid w:val="000B733C"/>
    <w:rsid w:val="000C3EB0"/>
    <w:rsid w:val="000C4197"/>
    <w:rsid w:val="000D7B40"/>
    <w:rsid w:val="000F64CC"/>
    <w:rsid w:val="00110B96"/>
    <w:rsid w:val="001162C5"/>
    <w:rsid w:val="001206CF"/>
    <w:rsid w:val="0012495F"/>
    <w:rsid w:val="0014453D"/>
    <w:rsid w:val="00145AEF"/>
    <w:rsid w:val="001629EB"/>
    <w:rsid w:val="001662B8"/>
    <w:rsid w:val="00171F51"/>
    <w:rsid w:val="001761C6"/>
    <w:rsid w:val="00183F4C"/>
    <w:rsid w:val="001864D4"/>
    <w:rsid w:val="0019286F"/>
    <w:rsid w:val="001A0C8F"/>
    <w:rsid w:val="001B33A5"/>
    <w:rsid w:val="001C225F"/>
    <w:rsid w:val="001C553E"/>
    <w:rsid w:val="001F78DF"/>
    <w:rsid w:val="00202F29"/>
    <w:rsid w:val="002165BC"/>
    <w:rsid w:val="0022022E"/>
    <w:rsid w:val="002310DE"/>
    <w:rsid w:val="00242AE0"/>
    <w:rsid w:val="00254B16"/>
    <w:rsid w:val="002632AE"/>
    <w:rsid w:val="00266650"/>
    <w:rsid w:val="00276BC5"/>
    <w:rsid w:val="00277708"/>
    <w:rsid w:val="0028086D"/>
    <w:rsid w:val="00283482"/>
    <w:rsid w:val="0029647E"/>
    <w:rsid w:val="002A201D"/>
    <w:rsid w:val="002B7803"/>
    <w:rsid w:val="002F1CD0"/>
    <w:rsid w:val="002F53F3"/>
    <w:rsid w:val="00307F26"/>
    <w:rsid w:val="003251D8"/>
    <w:rsid w:val="0033581C"/>
    <w:rsid w:val="0034243B"/>
    <w:rsid w:val="00355EF2"/>
    <w:rsid w:val="00357EB1"/>
    <w:rsid w:val="00364B30"/>
    <w:rsid w:val="00367DC9"/>
    <w:rsid w:val="00377B8D"/>
    <w:rsid w:val="003816F1"/>
    <w:rsid w:val="00382796"/>
    <w:rsid w:val="0039009E"/>
    <w:rsid w:val="003954D6"/>
    <w:rsid w:val="003A488F"/>
    <w:rsid w:val="003B0CAA"/>
    <w:rsid w:val="003B0E71"/>
    <w:rsid w:val="003B6633"/>
    <w:rsid w:val="003B7EC9"/>
    <w:rsid w:val="003D1DD4"/>
    <w:rsid w:val="003D7DBF"/>
    <w:rsid w:val="003E0A68"/>
    <w:rsid w:val="003E0E44"/>
    <w:rsid w:val="003E1900"/>
    <w:rsid w:val="003E5232"/>
    <w:rsid w:val="003E5F75"/>
    <w:rsid w:val="003F2FF9"/>
    <w:rsid w:val="00401ECA"/>
    <w:rsid w:val="00404426"/>
    <w:rsid w:val="0040602F"/>
    <w:rsid w:val="004150BD"/>
    <w:rsid w:val="00422E4D"/>
    <w:rsid w:val="00426876"/>
    <w:rsid w:val="00434D86"/>
    <w:rsid w:val="00436A2D"/>
    <w:rsid w:val="00440EA1"/>
    <w:rsid w:val="0044574D"/>
    <w:rsid w:val="0044702C"/>
    <w:rsid w:val="00447CAC"/>
    <w:rsid w:val="00452F15"/>
    <w:rsid w:val="00460FBB"/>
    <w:rsid w:val="00470CE9"/>
    <w:rsid w:val="00473CF4"/>
    <w:rsid w:val="0047683E"/>
    <w:rsid w:val="0048155F"/>
    <w:rsid w:val="0048270E"/>
    <w:rsid w:val="00487CF6"/>
    <w:rsid w:val="004961F8"/>
    <w:rsid w:val="004A417F"/>
    <w:rsid w:val="004B038C"/>
    <w:rsid w:val="004B0680"/>
    <w:rsid w:val="004B736C"/>
    <w:rsid w:val="004C1FD8"/>
    <w:rsid w:val="004C5BDE"/>
    <w:rsid w:val="004D3809"/>
    <w:rsid w:val="004D4D1C"/>
    <w:rsid w:val="004E65D8"/>
    <w:rsid w:val="004F55FE"/>
    <w:rsid w:val="004F5787"/>
    <w:rsid w:val="00500E80"/>
    <w:rsid w:val="00505617"/>
    <w:rsid w:val="0051008A"/>
    <w:rsid w:val="00511C34"/>
    <w:rsid w:val="005166B2"/>
    <w:rsid w:val="00524185"/>
    <w:rsid w:val="0053452C"/>
    <w:rsid w:val="00535EC5"/>
    <w:rsid w:val="005520F9"/>
    <w:rsid w:val="0056274D"/>
    <w:rsid w:val="005655CE"/>
    <w:rsid w:val="00574B1B"/>
    <w:rsid w:val="00577065"/>
    <w:rsid w:val="0058004D"/>
    <w:rsid w:val="00580BC4"/>
    <w:rsid w:val="00590051"/>
    <w:rsid w:val="005A2514"/>
    <w:rsid w:val="005A6AC7"/>
    <w:rsid w:val="005B146F"/>
    <w:rsid w:val="005B797C"/>
    <w:rsid w:val="005D633B"/>
    <w:rsid w:val="005D757C"/>
    <w:rsid w:val="005E6BE4"/>
    <w:rsid w:val="00602261"/>
    <w:rsid w:val="00606840"/>
    <w:rsid w:val="00625A6C"/>
    <w:rsid w:val="00641282"/>
    <w:rsid w:val="00643384"/>
    <w:rsid w:val="00652DF8"/>
    <w:rsid w:val="0067737A"/>
    <w:rsid w:val="0069438D"/>
    <w:rsid w:val="006A3AE9"/>
    <w:rsid w:val="006A40E5"/>
    <w:rsid w:val="006A555B"/>
    <w:rsid w:val="006B0CD6"/>
    <w:rsid w:val="006B62E4"/>
    <w:rsid w:val="006C2E37"/>
    <w:rsid w:val="006C7D67"/>
    <w:rsid w:val="006D055E"/>
    <w:rsid w:val="006D134A"/>
    <w:rsid w:val="006D4700"/>
    <w:rsid w:val="006D7679"/>
    <w:rsid w:val="006E2C39"/>
    <w:rsid w:val="006E3EC5"/>
    <w:rsid w:val="006F2172"/>
    <w:rsid w:val="00705483"/>
    <w:rsid w:val="007110A9"/>
    <w:rsid w:val="00714340"/>
    <w:rsid w:val="007146C4"/>
    <w:rsid w:val="007219F7"/>
    <w:rsid w:val="007333C2"/>
    <w:rsid w:val="00737714"/>
    <w:rsid w:val="00742E4B"/>
    <w:rsid w:val="007430E8"/>
    <w:rsid w:val="007455F0"/>
    <w:rsid w:val="00751F6A"/>
    <w:rsid w:val="007554ED"/>
    <w:rsid w:val="00755E40"/>
    <w:rsid w:val="00756FF6"/>
    <w:rsid w:val="0076127E"/>
    <w:rsid w:val="0076340C"/>
    <w:rsid w:val="007679DA"/>
    <w:rsid w:val="0078116B"/>
    <w:rsid w:val="007A6BC3"/>
    <w:rsid w:val="007B2469"/>
    <w:rsid w:val="007B6C04"/>
    <w:rsid w:val="007C0C79"/>
    <w:rsid w:val="007C7F27"/>
    <w:rsid w:val="007D2C30"/>
    <w:rsid w:val="007F1D3D"/>
    <w:rsid w:val="00812637"/>
    <w:rsid w:val="00813227"/>
    <w:rsid w:val="00820794"/>
    <w:rsid w:val="00831497"/>
    <w:rsid w:val="008459E8"/>
    <w:rsid w:val="008622B9"/>
    <w:rsid w:val="00864ADE"/>
    <w:rsid w:val="00867FB0"/>
    <w:rsid w:val="00871A12"/>
    <w:rsid w:val="00875431"/>
    <w:rsid w:val="00876E74"/>
    <w:rsid w:val="00881BBE"/>
    <w:rsid w:val="00895809"/>
    <w:rsid w:val="008A16EB"/>
    <w:rsid w:val="008A6182"/>
    <w:rsid w:val="008B1D94"/>
    <w:rsid w:val="008B4C8D"/>
    <w:rsid w:val="008B643A"/>
    <w:rsid w:val="008C1C4A"/>
    <w:rsid w:val="008C60B1"/>
    <w:rsid w:val="008C6BD0"/>
    <w:rsid w:val="008D2EBD"/>
    <w:rsid w:val="008D4B8C"/>
    <w:rsid w:val="008F0A81"/>
    <w:rsid w:val="008F3EBA"/>
    <w:rsid w:val="008F4AC5"/>
    <w:rsid w:val="008F5963"/>
    <w:rsid w:val="00923261"/>
    <w:rsid w:val="009256B7"/>
    <w:rsid w:val="00925CAA"/>
    <w:rsid w:val="0095480C"/>
    <w:rsid w:val="00970C7A"/>
    <w:rsid w:val="00970D4B"/>
    <w:rsid w:val="009721DB"/>
    <w:rsid w:val="00972BFA"/>
    <w:rsid w:val="00994A85"/>
    <w:rsid w:val="009965BA"/>
    <w:rsid w:val="009B3235"/>
    <w:rsid w:val="009B6535"/>
    <w:rsid w:val="009C2479"/>
    <w:rsid w:val="009C2C9D"/>
    <w:rsid w:val="009D06F8"/>
    <w:rsid w:val="009D3486"/>
    <w:rsid w:val="009D73F1"/>
    <w:rsid w:val="009F264A"/>
    <w:rsid w:val="00A05041"/>
    <w:rsid w:val="00A13F82"/>
    <w:rsid w:val="00A16664"/>
    <w:rsid w:val="00A22E0D"/>
    <w:rsid w:val="00A41ED3"/>
    <w:rsid w:val="00A44A4F"/>
    <w:rsid w:val="00A47FA2"/>
    <w:rsid w:val="00A51A7E"/>
    <w:rsid w:val="00A55F4F"/>
    <w:rsid w:val="00A6237D"/>
    <w:rsid w:val="00A705F4"/>
    <w:rsid w:val="00A748BA"/>
    <w:rsid w:val="00A83862"/>
    <w:rsid w:val="00A8486C"/>
    <w:rsid w:val="00A878EC"/>
    <w:rsid w:val="00A9136E"/>
    <w:rsid w:val="00A96702"/>
    <w:rsid w:val="00A97EB2"/>
    <w:rsid w:val="00AA14A9"/>
    <w:rsid w:val="00AB780A"/>
    <w:rsid w:val="00AC0A7E"/>
    <w:rsid w:val="00AC4315"/>
    <w:rsid w:val="00AC6758"/>
    <w:rsid w:val="00AD42DA"/>
    <w:rsid w:val="00AE10CD"/>
    <w:rsid w:val="00AF61B8"/>
    <w:rsid w:val="00B07CB8"/>
    <w:rsid w:val="00B110AD"/>
    <w:rsid w:val="00B16904"/>
    <w:rsid w:val="00B271BA"/>
    <w:rsid w:val="00B3429E"/>
    <w:rsid w:val="00B35142"/>
    <w:rsid w:val="00B731F8"/>
    <w:rsid w:val="00B74237"/>
    <w:rsid w:val="00B82F15"/>
    <w:rsid w:val="00B944E5"/>
    <w:rsid w:val="00BA3AB4"/>
    <w:rsid w:val="00BA4622"/>
    <w:rsid w:val="00BB4C9F"/>
    <w:rsid w:val="00BC0794"/>
    <w:rsid w:val="00BC0D5D"/>
    <w:rsid w:val="00BE2F68"/>
    <w:rsid w:val="00BE38FC"/>
    <w:rsid w:val="00BF1287"/>
    <w:rsid w:val="00C03C7B"/>
    <w:rsid w:val="00C0643D"/>
    <w:rsid w:val="00C16831"/>
    <w:rsid w:val="00C25321"/>
    <w:rsid w:val="00C3493B"/>
    <w:rsid w:val="00C34B51"/>
    <w:rsid w:val="00C37458"/>
    <w:rsid w:val="00C41EDB"/>
    <w:rsid w:val="00C438DD"/>
    <w:rsid w:val="00C43CD1"/>
    <w:rsid w:val="00C43DCA"/>
    <w:rsid w:val="00C45020"/>
    <w:rsid w:val="00C5022C"/>
    <w:rsid w:val="00C52287"/>
    <w:rsid w:val="00C552FD"/>
    <w:rsid w:val="00C56A4C"/>
    <w:rsid w:val="00C63573"/>
    <w:rsid w:val="00C764E7"/>
    <w:rsid w:val="00C95D8A"/>
    <w:rsid w:val="00C97F95"/>
    <w:rsid w:val="00CA61C5"/>
    <w:rsid w:val="00CA69A0"/>
    <w:rsid w:val="00CB0A1A"/>
    <w:rsid w:val="00CB719A"/>
    <w:rsid w:val="00CC1DF4"/>
    <w:rsid w:val="00CC6FCD"/>
    <w:rsid w:val="00CD56CA"/>
    <w:rsid w:val="00CD5D1C"/>
    <w:rsid w:val="00CE260B"/>
    <w:rsid w:val="00CE2F8C"/>
    <w:rsid w:val="00CF75CA"/>
    <w:rsid w:val="00CF7B67"/>
    <w:rsid w:val="00D00FD5"/>
    <w:rsid w:val="00D03D28"/>
    <w:rsid w:val="00D11FCB"/>
    <w:rsid w:val="00D15811"/>
    <w:rsid w:val="00D21DC5"/>
    <w:rsid w:val="00D444CD"/>
    <w:rsid w:val="00D52086"/>
    <w:rsid w:val="00D54F5C"/>
    <w:rsid w:val="00D57F18"/>
    <w:rsid w:val="00D60174"/>
    <w:rsid w:val="00D65CB5"/>
    <w:rsid w:val="00D67336"/>
    <w:rsid w:val="00D74038"/>
    <w:rsid w:val="00D74C6A"/>
    <w:rsid w:val="00D942EB"/>
    <w:rsid w:val="00D96A64"/>
    <w:rsid w:val="00DA2A7B"/>
    <w:rsid w:val="00DB00CD"/>
    <w:rsid w:val="00DC7E1B"/>
    <w:rsid w:val="00DD1DDC"/>
    <w:rsid w:val="00DD3718"/>
    <w:rsid w:val="00DD7E7A"/>
    <w:rsid w:val="00DE7324"/>
    <w:rsid w:val="00DF39E3"/>
    <w:rsid w:val="00E033B7"/>
    <w:rsid w:val="00E06C2F"/>
    <w:rsid w:val="00E24399"/>
    <w:rsid w:val="00E274C6"/>
    <w:rsid w:val="00E36A9A"/>
    <w:rsid w:val="00E41399"/>
    <w:rsid w:val="00E4776D"/>
    <w:rsid w:val="00E63279"/>
    <w:rsid w:val="00E74BD5"/>
    <w:rsid w:val="00E7592A"/>
    <w:rsid w:val="00E769C4"/>
    <w:rsid w:val="00E839DA"/>
    <w:rsid w:val="00E87135"/>
    <w:rsid w:val="00E90B4F"/>
    <w:rsid w:val="00E915E3"/>
    <w:rsid w:val="00E9325C"/>
    <w:rsid w:val="00E94DA2"/>
    <w:rsid w:val="00E96BF5"/>
    <w:rsid w:val="00E96D45"/>
    <w:rsid w:val="00E97B4B"/>
    <w:rsid w:val="00EB4197"/>
    <w:rsid w:val="00EB4756"/>
    <w:rsid w:val="00EC4AFD"/>
    <w:rsid w:val="00ED0067"/>
    <w:rsid w:val="00ED06E4"/>
    <w:rsid w:val="00ED4A33"/>
    <w:rsid w:val="00EE2509"/>
    <w:rsid w:val="00EE3D03"/>
    <w:rsid w:val="00EE73BB"/>
    <w:rsid w:val="00EE740D"/>
    <w:rsid w:val="00EF647B"/>
    <w:rsid w:val="00EF64E1"/>
    <w:rsid w:val="00F039AA"/>
    <w:rsid w:val="00F10D41"/>
    <w:rsid w:val="00F13C5A"/>
    <w:rsid w:val="00F14BDB"/>
    <w:rsid w:val="00F20740"/>
    <w:rsid w:val="00F22AF2"/>
    <w:rsid w:val="00F24FDB"/>
    <w:rsid w:val="00F2677A"/>
    <w:rsid w:val="00F27D29"/>
    <w:rsid w:val="00F424C9"/>
    <w:rsid w:val="00F46CA2"/>
    <w:rsid w:val="00F66B41"/>
    <w:rsid w:val="00F706D4"/>
    <w:rsid w:val="00F70811"/>
    <w:rsid w:val="00F82A0E"/>
    <w:rsid w:val="00F970FB"/>
    <w:rsid w:val="00FA5518"/>
    <w:rsid w:val="00FB39CB"/>
    <w:rsid w:val="00FC2254"/>
    <w:rsid w:val="00FC30DA"/>
    <w:rsid w:val="00FC64EE"/>
    <w:rsid w:val="00FD6A1D"/>
    <w:rsid w:val="00FD6B81"/>
    <w:rsid w:val="00FF3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silver,#eaeaea"/>
    </o:shapedefaults>
    <o:shapelayout v:ext="edit">
      <o:idmap v:ext="edit" data="1"/>
    </o:shapelayout>
  </w:shapeDefaults>
  <w:decimalSymbol w:val="."/>
  <w:listSeparator w:val=","/>
  <w14:docId w14:val="69ABE689"/>
  <w15:docId w15:val="{9A005A70-7F36-4B9A-B834-9E62D60E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1C553E"/>
    <w:pPr>
      <w:spacing w:before="400"/>
      <w:outlineLvl w:val="2"/>
    </w:pPr>
    <w:rPr>
      <w:bCs/>
      <w:szCs w:val="26"/>
    </w:rPr>
  </w:style>
  <w:style w:type="paragraph" w:styleId="Heading4">
    <w:name w:val="heading 4"/>
    <w:basedOn w:val="Heading3"/>
    <w:next w:val="Normal"/>
    <w:qFormat/>
    <w:rsid w:val="001C553E"/>
    <w:pPr>
      <w:pBdr>
        <w:bottom w:val="none" w:sz="0" w:space="0" w:color="auto"/>
      </w:pBdr>
      <w:spacing w:before="100"/>
      <w:ind w:left="782"/>
      <w:outlineLvl w:val="3"/>
    </w:pPr>
    <w:rPr>
      <w:bCs w:val="0"/>
      <w:szCs w:val="28"/>
    </w:rPr>
  </w:style>
  <w:style w:type="paragraph" w:styleId="Heading5">
    <w:name w:val="heading 5"/>
    <w:basedOn w:val="Heading4"/>
    <w:next w:val="Normal"/>
    <w:qFormat/>
    <w:rsid w:val="001C553E"/>
    <w:pPr>
      <w:outlineLvl w:val="4"/>
    </w:pPr>
    <w:rPr>
      <w:bCs/>
      <w:i/>
      <w:iCs w:val="0"/>
      <w:sz w:val="18"/>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rsid w:val="001C553E"/>
    <w:pPr>
      <w:ind w:left="1293"/>
    </w:pPr>
  </w:style>
  <w:style w:type="paragraph" w:customStyle="1" w:styleId="Heading5Indent1">
    <w:name w:val="Heading 5 Indent1"/>
    <w:basedOn w:val="Heading5"/>
    <w:next w:val="Normal"/>
    <w:rsid w:val="001C553E"/>
    <w:pPr>
      <w:ind w:left="1293"/>
    </w:pPr>
  </w:style>
  <w:style w:type="paragraph" w:customStyle="1" w:styleId="Heading6Indent1">
    <w:name w:val="Heading 6 Indent1"/>
    <w:basedOn w:val="Heading6"/>
    <w:next w:val="Normal"/>
    <w:rsid w:val="001C553E"/>
    <w:pPr>
      <w:ind w:left="1293"/>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1A0C8F"/>
    <w:pPr>
      <w:tabs>
        <w:tab w:val="right" w:pos="9072"/>
      </w:tabs>
      <w:spacing w:after="60"/>
      <w:ind w:left="170" w:right="1134" w:hanging="170"/>
      <w:jc w:val="left"/>
    </w:pPr>
    <w:rPr>
      <w:b/>
      <w:caps/>
    </w:r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rsid w:val="001A0C8F"/>
    <w:pPr>
      <w:ind w:left="510"/>
    </w:pPr>
    <w:rPr>
      <w:b w:val="0"/>
      <w:caps w:val="0"/>
    </w:r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34243B"/>
    <w:pPr>
      <w:spacing w:after="200"/>
    </w:pPr>
    <w:rPr>
      <w:caps/>
    </w:r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styleId="BalloonText">
    <w:name w:val="Balloon Text"/>
    <w:basedOn w:val="Normal"/>
    <w:link w:val="BalloonTextChar"/>
    <w:semiHidden/>
    <w:unhideWhenUsed/>
    <w:rsid w:val="001A0C8F"/>
    <w:rPr>
      <w:rFonts w:ascii="Segoe UI" w:hAnsi="Segoe UI" w:cs="Segoe UI"/>
      <w:sz w:val="18"/>
      <w:szCs w:val="18"/>
    </w:rPr>
  </w:style>
  <w:style w:type="character" w:customStyle="1" w:styleId="BalloonTextChar">
    <w:name w:val="Balloon Text Char"/>
    <w:basedOn w:val="DefaultParagraphFont"/>
    <w:link w:val="BalloonText"/>
    <w:semiHidden/>
    <w:rsid w:val="001A0C8F"/>
    <w:rPr>
      <w:rFonts w:ascii="Segoe UI" w:hAnsi="Segoe UI" w:cs="Segoe UI"/>
      <w:sz w:val="18"/>
      <w:szCs w:val="18"/>
      <w:lang w:eastAsia="en-US"/>
    </w:rPr>
  </w:style>
  <w:style w:type="paragraph" w:customStyle="1" w:styleId="IASBNormalnpara">
    <w:name w:val="IASB Normal npara"/>
    <w:basedOn w:val="Normal"/>
    <w:uiPriority w:val="8"/>
    <w:rsid w:val="00277708"/>
    <w:pPr>
      <w:spacing w:before="100"/>
      <w:ind w:left="782" w:hanging="782"/>
    </w:pPr>
    <w:rPr>
      <w:lang w:val="en-US"/>
    </w:rPr>
  </w:style>
  <w:style w:type="paragraph" w:customStyle="1" w:styleId="IASBSectionTitle1NonInd">
    <w:name w:val="IASB Section Title 1 NonInd"/>
    <w:basedOn w:val="Normal"/>
    <w:rsid w:val="00277708"/>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277708"/>
    <w:pPr>
      <w:keepNext/>
      <w:keepLines/>
      <w:spacing w:before="240" w:after="200"/>
      <w:ind w:left="782"/>
      <w:jc w:val="left"/>
    </w:pPr>
    <w:rPr>
      <w:rFonts w:ascii="Arial" w:hAnsi="Arial" w:cs="Arial"/>
      <w:b/>
      <w:sz w:val="26"/>
      <w:lang w:val="en-US"/>
    </w:rPr>
  </w:style>
  <w:style w:type="paragraph" w:customStyle="1" w:styleId="IASBSectionTitle3Ind">
    <w:name w:val="IASB Section Title 3 Ind"/>
    <w:basedOn w:val="Normal"/>
    <w:rsid w:val="00277708"/>
    <w:pPr>
      <w:keepNext/>
      <w:keepLines/>
      <w:spacing w:before="240" w:after="200"/>
      <w:ind w:left="782"/>
      <w:jc w:val="left"/>
    </w:pPr>
    <w:rPr>
      <w:rFonts w:ascii="Arial" w:hAnsi="Arial" w:cs="Arial"/>
      <w:b/>
      <w:sz w:val="22"/>
      <w:lang w:val="en-US"/>
    </w:rPr>
  </w:style>
  <w:style w:type="paragraph" w:customStyle="1" w:styleId="IASBSectionTitle4Ind">
    <w:name w:val="IASB Section Title 4 Ind"/>
    <w:basedOn w:val="Normal"/>
    <w:rsid w:val="00277708"/>
    <w:pPr>
      <w:keepNext/>
      <w:keepLines/>
      <w:spacing w:before="300" w:after="200"/>
      <w:ind w:left="782"/>
      <w:jc w:val="left"/>
    </w:pPr>
    <w:rPr>
      <w:rFonts w:ascii="Arial" w:hAnsi="Arial" w:cs="Arial"/>
      <w:i/>
      <w:sz w:val="22"/>
      <w:lang w:val="en-US"/>
    </w:rPr>
  </w:style>
  <w:style w:type="paragraph" w:customStyle="1" w:styleId="IASBNormalnparaL1">
    <w:name w:val="IASB Normal nparaL1"/>
    <w:basedOn w:val="IASBNormalnpara"/>
    <w:rsid w:val="00277708"/>
    <w:pPr>
      <w:ind w:left="1564"/>
    </w:pPr>
  </w:style>
  <w:style w:type="paragraph" w:customStyle="1" w:styleId="IASBNormalnparaP">
    <w:name w:val="IASB Normal nparaP"/>
    <w:basedOn w:val="Normal"/>
    <w:rsid w:val="00277708"/>
    <w:pPr>
      <w:tabs>
        <w:tab w:val="left" w:pos="4253"/>
      </w:tabs>
      <w:spacing w:before="100" w:after="100"/>
      <w:ind w:left="782"/>
    </w:pPr>
    <w:rPr>
      <w:lang w:val="en-US"/>
    </w:rPr>
  </w:style>
  <w:style w:type="paragraph" w:customStyle="1" w:styleId="IASBTableArial">
    <w:name w:val="IASB Table Arial"/>
    <w:basedOn w:val="Normal"/>
    <w:rsid w:val="00277708"/>
    <w:pPr>
      <w:spacing w:before="120"/>
      <w:jc w:val="left"/>
    </w:pPr>
    <w:rPr>
      <w:rFonts w:ascii="Arial" w:hAnsi="Arial"/>
      <w:sz w:val="18"/>
      <w:lang w:val="en-GB" w:eastAsia="en-GB"/>
    </w:rPr>
  </w:style>
  <w:style w:type="character" w:customStyle="1" w:styleId="HeaderChar">
    <w:name w:val="Header Char"/>
    <w:link w:val="Header"/>
    <w:uiPriority w:val="99"/>
    <w:rsid w:val="008D4B8C"/>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omich\AUSTRALIAN%20ACCOUNTING%20STANDARDS%20-%20AUDITING%20AND%20ASSURANCE%20STANDARDS%20BOARD\OfficeTemplates%20-%20Documents\Templates\AmendingIF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21C3-00EA-46A5-8D5F-F5FD41216991}">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2fffc6f8-0ce6-4feb-a150-9d1574269ef9"/>
    <ds:schemaRef ds:uri="dacb3ef7-33a4-4aaf-8e2c-a382b35b189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8DB95AD-7833-4936-8A76-CB6AFD06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60860-9CE2-4828-8B89-E5C48DFB63AE}">
  <ds:schemaRefs>
    <ds:schemaRef ds:uri="http://schemas.microsoft.com/sharepoint/v3/contenttype/forms"/>
  </ds:schemaRefs>
</ds:datastoreItem>
</file>

<file path=customXml/itemProps4.xml><?xml version="1.0" encoding="utf-8"?>
<ds:datastoreItem xmlns:ds="http://schemas.openxmlformats.org/officeDocument/2006/customXml" ds:itemID="{7B4232D5-134A-4189-BDED-4C5DC82B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AmendingIFRS</Template>
  <TotalTime>1</TotalTime>
  <Pages>7</Pages>
  <Words>2013</Words>
  <Characters>11463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Agenda item 6.2 M174</vt:lpstr>
    </vt:vector>
  </TitlesOfParts>
  <Company>Australian Accounting Standards Board</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6.2 M174</dc:title>
  <dc:subject/>
  <dc:creator>Liassis, Tom</dc:creator>
  <cp:lastModifiedBy>Andrew Tomich</cp:lastModifiedBy>
  <cp:revision>2</cp:revision>
  <cp:lastPrinted>2020-03-11T02:57:00Z</cp:lastPrinted>
  <dcterms:created xsi:type="dcterms:W3CDTF">2020-03-11T02:58:00Z</dcterms:created>
  <dcterms:modified xsi:type="dcterms:W3CDTF">2020-03-11T02:58:00Z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